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14:paraId="57F18167" w14:textId="77777777" w:rsidTr="00893C7D">
        <w:tc>
          <w:tcPr>
            <w:tcW w:w="6522" w:type="dxa"/>
          </w:tcPr>
          <w:p w14:paraId="5B0A48A5" w14:textId="77777777" w:rsidR="00893C7D" w:rsidRPr="00AC2883" w:rsidRDefault="00893C7D" w:rsidP="00893C7D">
            <w:r>
              <w:rPr>
                <w:noProof/>
                <w:lang w:val="en-US" w:eastAsia="en-US" w:bidi="ar-SA"/>
              </w:rPr>
              <w:drawing>
                <wp:inline distT="0" distB="0" distL="0" distR="0" wp14:anchorId="3C974184" wp14:editId="11B92DD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491C9A5" w14:textId="1EFED326" w:rsidR="00893C7D" w:rsidRPr="007C1D92" w:rsidRDefault="00A83356" w:rsidP="00893C7D">
            <w:pPr>
              <w:pStyle w:val="Lettrine"/>
            </w:pPr>
            <w:r>
              <w:t>S</w:t>
            </w:r>
            <w:bookmarkStart w:id="0" w:name="_GoBack"/>
            <w:bookmarkEnd w:id="0"/>
          </w:p>
        </w:tc>
      </w:tr>
      <w:tr w:rsidR="00893C7D" w:rsidRPr="00DA4973" w14:paraId="1517B83F" w14:textId="77777777" w:rsidTr="00893C7D">
        <w:trPr>
          <w:trHeight w:val="219"/>
        </w:trPr>
        <w:tc>
          <w:tcPr>
            <w:tcW w:w="6522" w:type="dxa"/>
          </w:tcPr>
          <w:p w14:paraId="66FE2AAD" w14:textId="77777777" w:rsidR="00893C7D" w:rsidRPr="00B96AE2" w:rsidRDefault="00893C7D" w:rsidP="00893C7D">
            <w:pPr>
              <w:pStyle w:val="upove"/>
            </w:pPr>
            <w:r>
              <w:t>Unión Internacional para la Protección de las Obtenciones Vegetales</w:t>
            </w:r>
          </w:p>
        </w:tc>
        <w:tc>
          <w:tcPr>
            <w:tcW w:w="3117" w:type="dxa"/>
          </w:tcPr>
          <w:p w14:paraId="3FB81C05" w14:textId="77777777" w:rsidR="00893C7D" w:rsidRPr="00DA4973" w:rsidRDefault="00893C7D" w:rsidP="00893C7D"/>
        </w:tc>
      </w:tr>
    </w:tbl>
    <w:p w14:paraId="4A0406DA" w14:textId="77777777" w:rsidR="00893C7D" w:rsidRDefault="00893C7D" w:rsidP="00893C7D"/>
    <w:p w14:paraId="1787BB5B" w14:textId="77777777"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14:paraId="2AEC52F4" w14:textId="77777777" w:rsidTr="0083751E">
        <w:tc>
          <w:tcPr>
            <w:tcW w:w="6512" w:type="dxa"/>
          </w:tcPr>
          <w:p w14:paraId="4D2B4396" w14:textId="77777777" w:rsidR="00893C7D" w:rsidRPr="006F64C3" w:rsidRDefault="00893C7D" w:rsidP="00893C7D">
            <w:pPr>
              <w:rPr>
                <w:b/>
                <w:sz w:val="18"/>
              </w:rPr>
            </w:pPr>
          </w:p>
        </w:tc>
        <w:tc>
          <w:tcPr>
            <w:tcW w:w="3127" w:type="dxa"/>
          </w:tcPr>
          <w:p w14:paraId="0FCCADCF" w14:textId="77777777" w:rsidR="00893C7D" w:rsidRPr="00B0234D" w:rsidRDefault="00537C5F" w:rsidP="00893C7D">
            <w:pPr>
              <w:pStyle w:val="Doccode"/>
            </w:pPr>
            <w:r w:rsidRPr="00B0234D">
              <w:rPr>
                <w:u w:val="single"/>
                <w:shd w:val="pct15" w:color="auto" w:fill="FFFFFF"/>
              </w:rPr>
              <w:t>UPOV/EXN/DEN/1 Draft 4</w:t>
            </w:r>
          </w:p>
          <w:p w14:paraId="3A348949" w14:textId="59E099EE" w:rsidR="00893C7D" w:rsidRPr="00B0234D" w:rsidRDefault="00893C7D" w:rsidP="00893C7D">
            <w:pPr>
              <w:pStyle w:val="Docoriginal"/>
            </w:pPr>
            <w:r w:rsidRPr="00B0234D">
              <w:t>Original:</w:t>
            </w:r>
            <w:r w:rsidR="008130BA" w:rsidRPr="00B0234D">
              <w:rPr>
                <w:b w:val="0"/>
                <w:spacing w:val="0"/>
              </w:rPr>
              <w:t xml:space="preserve"> </w:t>
            </w:r>
            <w:r w:rsidRPr="00B0234D">
              <w:rPr>
                <w:b w:val="0"/>
                <w:spacing w:val="0"/>
              </w:rPr>
              <w:t>Inglés</w:t>
            </w:r>
          </w:p>
          <w:p w14:paraId="0C837A02" w14:textId="5DC4E6C6" w:rsidR="00893C7D" w:rsidRPr="00B96AE2" w:rsidRDefault="00893C7D" w:rsidP="00B601E3">
            <w:pPr>
              <w:pStyle w:val="Docoriginal"/>
              <w:rPr>
                <w:b w:val="0"/>
                <w:spacing w:val="0"/>
                <w:highlight w:val="yellow"/>
              </w:rPr>
            </w:pPr>
            <w:r>
              <w:t>Fecha:</w:t>
            </w:r>
            <w:r w:rsidR="008130BA">
              <w:rPr>
                <w:b w:val="0"/>
                <w:spacing w:val="0"/>
              </w:rPr>
              <w:t xml:space="preserve"> </w:t>
            </w:r>
            <w:r w:rsidR="00C134CF">
              <w:rPr>
                <w:b w:val="0"/>
                <w:spacing w:val="0"/>
              </w:rPr>
              <w:t>10</w:t>
            </w:r>
            <w:r w:rsidRPr="00B0234D">
              <w:rPr>
                <w:b w:val="0"/>
                <w:spacing w:val="0"/>
              </w:rPr>
              <w:t xml:space="preserve"> de agosto de 2020</w:t>
            </w:r>
          </w:p>
        </w:tc>
      </w:tr>
      <w:tr w:rsidR="008D4B99" w:rsidRPr="008D4B99" w14:paraId="1EDA98A5" w14:textId="77777777" w:rsidTr="00613E1A">
        <w:tc>
          <w:tcPr>
            <w:tcW w:w="6512" w:type="dxa"/>
            <w:tcBorders>
              <w:top w:val="single" w:sz="4" w:space="0" w:color="auto"/>
              <w:bottom w:val="single" w:sz="4" w:space="0" w:color="auto"/>
            </w:tcBorders>
          </w:tcPr>
          <w:p w14:paraId="47372545" w14:textId="77777777" w:rsidR="008D4B99" w:rsidRPr="008D4B99" w:rsidRDefault="008D4B99" w:rsidP="008D4B99">
            <w:pPr>
              <w:jc w:val="left"/>
              <w:rPr>
                <w:rFonts w:eastAsia="Times New Roman"/>
                <w:b/>
                <w:bCs/>
                <w:i/>
                <w:kern w:val="28"/>
              </w:rPr>
            </w:pPr>
            <w:r>
              <w:rPr>
                <w:b/>
                <w:i/>
                <w:kern w:val="28"/>
              </w:rPr>
              <w:t>para examen por correspondencia</w:t>
            </w:r>
          </w:p>
        </w:tc>
        <w:tc>
          <w:tcPr>
            <w:tcW w:w="3127" w:type="dxa"/>
            <w:tcBorders>
              <w:top w:val="single" w:sz="4" w:space="0" w:color="auto"/>
              <w:bottom w:val="single" w:sz="4" w:space="0" w:color="auto"/>
            </w:tcBorders>
          </w:tcPr>
          <w:p w14:paraId="299D9E9C" w14:textId="77777777" w:rsidR="008D4B99" w:rsidRPr="008D4B99" w:rsidRDefault="008D4B99" w:rsidP="008D4B99">
            <w:pPr>
              <w:jc w:val="left"/>
              <w:rPr>
                <w:rFonts w:eastAsia="Times New Roman"/>
                <w:b/>
                <w:bCs/>
                <w:spacing w:val="10"/>
                <w:sz w:val="18"/>
              </w:rPr>
            </w:pPr>
          </w:p>
        </w:tc>
      </w:tr>
    </w:tbl>
    <w:p w14:paraId="431EC0D7" w14:textId="77777777" w:rsidR="00893C7D" w:rsidRDefault="00893C7D" w:rsidP="00893C7D">
      <w:bookmarkStart w:id="1" w:name="TitleOfDoc"/>
      <w:bookmarkEnd w:id="1"/>
    </w:p>
    <w:p w14:paraId="0DD8DC37" w14:textId="77777777" w:rsidR="00893C7D" w:rsidRDefault="00893C7D" w:rsidP="00893C7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14:paraId="25BB511C" w14:textId="77777777" w:rsidTr="00C35230">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4D0DE" w14:textId="77777777" w:rsidR="00893C7D" w:rsidRDefault="00893C7D" w:rsidP="00893C7D">
            <w:pPr>
              <w:jc w:val="center"/>
              <w:rPr>
                <w:b/>
              </w:rPr>
            </w:pPr>
            <w:r>
              <w:rPr>
                <w:b/>
              </w:rPr>
              <w:t>PROYECTO</w:t>
            </w:r>
          </w:p>
          <w:p w14:paraId="294DB8E7" w14:textId="77777777" w:rsidR="00893C7D" w:rsidRPr="007C1D92" w:rsidRDefault="00893C7D" w:rsidP="00893C7D">
            <w:pPr>
              <w:jc w:val="center"/>
            </w:pPr>
            <w:r>
              <w:rPr>
                <w:b/>
              </w:rPr>
              <w:t>(revisión)</w:t>
            </w:r>
          </w:p>
        </w:tc>
      </w:tr>
    </w:tbl>
    <w:p w14:paraId="1E2354D3" w14:textId="77777777" w:rsidR="00893C7D" w:rsidRPr="00B96AE2" w:rsidRDefault="00893C7D" w:rsidP="00893C7D">
      <w:pPr>
        <w:pStyle w:val="Titleofdoc0"/>
      </w:pPr>
      <w:r>
        <w:t>NOTAS EXPLICATIVAS SOBRE LAS DENOMINACIONES DE VARIEDADES</w:t>
      </w:r>
      <w:r>
        <w:br/>
        <w:t>CON ARREGLO AL CONVENIO DE LA UPOV</w:t>
      </w:r>
    </w:p>
    <w:p w14:paraId="4C79D83A" w14:textId="77777777" w:rsidR="00893C7D" w:rsidRDefault="00893C7D" w:rsidP="00893C7D">
      <w:pPr>
        <w:pStyle w:val="preparedby1"/>
        <w:jc w:val="left"/>
      </w:pPr>
      <w:bookmarkStart w:id="2" w:name="Prepared"/>
      <w:bookmarkEnd w:id="2"/>
      <w:r>
        <w:t>Documento preparado por la Oficina de la Unión</w:t>
      </w:r>
    </w:p>
    <w:p w14:paraId="7968FE09" w14:textId="19BCA580" w:rsidR="00896E10" w:rsidRPr="00896E10" w:rsidRDefault="006C4D21" w:rsidP="00896E10">
      <w:pPr>
        <w:pStyle w:val="preparedby1"/>
        <w:jc w:val="left"/>
        <w:rPr>
          <w:rFonts w:eastAsia="Times New Roman"/>
        </w:rPr>
      </w:pPr>
      <w:r>
        <w:t xml:space="preserve">para su examen por </w:t>
      </w:r>
      <w:r>
        <w:br/>
      </w:r>
      <w:r>
        <w:br/>
        <w:t xml:space="preserve">el Comité Administrativo y Jurídico </w:t>
      </w:r>
    </w:p>
    <w:p w14:paraId="4BE69EB9" w14:textId="77777777" w:rsidR="00896E10" w:rsidRPr="00896E10" w:rsidRDefault="00896E10" w:rsidP="00896E10">
      <w:pPr>
        <w:spacing w:after="240"/>
        <w:jc w:val="left"/>
        <w:rPr>
          <w:rFonts w:eastAsia="Times New Roman"/>
          <w:i/>
          <w:iCs/>
        </w:rPr>
      </w:pPr>
      <w:r>
        <w:rPr>
          <w:i/>
        </w:rPr>
        <w:t>y</w:t>
      </w:r>
    </w:p>
    <w:p w14:paraId="6963F7FF" w14:textId="77777777" w:rsidR="00896E10" w:rsidRPr="00896E10" w:rsidRDefault="00896E10" w:rsidP="00896E10">
      <w:pPr>
        <w:spacing w:after="240"/>
        <w:jc w:val="left"/>
        <w:rPr>
          <w:rFonts w:eastAsia="Times New Roman"/>
          <w:i/>
          <w:iCs/>
        </w:rPr>
      </w:pPr>
      <w:r>
        <w:rPr>
          <w:i/>
        </w:rPr>
        <w:t>el Consejo en 2020</w:t>
      </w:r>
    </w:p>
    <w:p w14:paraId="3B2DD4D8" w14:textId="77777777" w:rsidR="006C4D21" w:rsidRPr="00B23EDC" w:rsidRDefault="006C4D21" w:rsidP="006B2FD5">
      <w:pPr>
        <w:pStyle w:val="preparedby1"/>
        <w:spacing w:before="240"/>
        <w:jc w:val="left"/>
        <w:rPr>
          <w:rFonts w:cs="Arial"/>
        </w:rPr>
      </w:pPr>
    </w:p>
    <w:p w14:paraId="684B28D3" w14:textId="1F25019D" w:rsidR="00893C7D" w:rsidRPr="006A644A" w:rsidRDefault="00893C7D" w:rsidP="00893C7D">
      <w:pPr>
        <w:pStyle w:val="Disclaimer"/>
        <w:spacing w:after="1200"/>
      </w:pPr>
      <w:r>
        <w:t>Descargo de responsabilidad:</w:t>
      </w:r>
      <w:r w:rsidR="008130BA">
        <w:t xml:space="preserve"> </w:t>
      </w:r>
      <w:r>
        <w:t>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893C7D" w14:paraId="467CEA5A" w14:textId="77777777" w:rsidTr="00A804AB">
        <w:trPr>
          <w:cantSplit/>
          <w:trHeight w:val="1690"/>
          <w:jc w:val="center"/>
        </w:trPr>
        <w:tc>
          <w:tcPr>
            <w:tcW w:w="8313" w:type="dxa"/>
            <w:shd w:val="clear" w:color="auto" w:fill="F2F2F2" w:themeFill="background1" w:themeFillShade="F2"/>
          </w:tcPr>
          <w:p w14:paraId="266A15FF" w14:textId="77777777" w:rsidR="00893C7D" w:rsidRPr="00886F95" w:rsidRDefault="00893C7D" w:rsidP="00893C7D">
            <w:pPr>
              <w:jc w:val="center"/>
              <w:rPr>
                <w:rFonts w:cs="Arial"/>
                <w:sz w:val="18"/>
                <w:szCs w:val="18"/>
                <w:u w:val="single"/>
              </w:rPr>
            </w:pPr>
            <w:r>
              <w:rPr>
                <w:sz w:val="18"/>
                <w:u w:val="single"/>
              </w:rPr>
              <w:t>Nota sobre el presente proyecto</w:t>
            </w:r>
          </w:p>
          <w:p w14:paraId="4EDAAE54" w14:textId="77777777" w:rsidR="00893C7D" w:rsidRPr="00886F95" w:rsidRDefault="00893C7D" w:rsidP="00893C7D">
            <w:pPr>
              <w:rPr>
                <w:rFonts w:cs="Arial"/>
                <w:sz w:val="18"/>
                <w:szCs w:val="18"/>
              </w:rPr>
            </w:pPr>
          </w:p>
          <w:p w14:paraId="365EAC6D" w14:textId="77777777" w:rsidR="00893C7D" w:rsidRPr="00886F95" w:rsidRDefault="00893C7D" w:rsidP="00893C7D">
            <w:pPr>
              <w:rPr>
                <w:rFonts w:cs="Arial"/>
                <w:sz w:val="18"/>
                <w:szCs w:val="18"/>
              </w:rPr>
            </w:pPr>
            <w:r>
              <w:rPr>
                <w:sz w:val="18"/>
              </w:rPr>
              <w:t>Las notas de pie de página figurarán en el documento que se haga público.</w:t>
            </w:r>
          </w:p>
          <w:p w14:paraId="69099841" w14:textId="77777777" w:rsidR="00893C7D" w:rsidRPr="00886F95" w:rsidRDefault="00893C7D" w:rsidP="00893C7D">
            <w:pPr>
              <w:rPr>
                <w:rFonts w:cs="Arial"/>
                <w:sz w:val="18"/>
                <w:szCs w:val="18"/>
              </w:rPr>
            </w:pPr>
          </w:p>
          <w:p w14:paraId="3022DA78" w14:textId="77777777" w:rsidR="00893C7D" w:rsidRPr="00C134CF" w:rsidRDefault="00893C7D" w:rsidP="00893C7D">
            <w:pPr>
              <w:rPr>
                <w:rFonts w:cs="Arial"/>
                <w:sz w:val="18"/>
                <w:szCs w:val="18"/>
              </w:rPr>
            </w:pPr>
            <w:r w:rsidRPr="00C134CF">
              <w:rPr>
                <w:sz w:val="18"/>
                <w:szCs w:val="18"/>
                <w:highlight w:val="lightGray"/>
              </w:rPr>
              <w:t>Las notas finales y los recuadros sombreados</w:t>
            </w:r>
            <w:r w:rsidRPr="00C134CF">
              <w:rPr>
                <w:sz w:val="18"/>
                <w:szCs w:val="18"/>
              </w:rPr>
              <w:t xml:space="preserve"> se ofrecen a título informativo para facilitar el examen del presente proyecto y no figurarán en la versión definitiva que se publique. </w:t>
            </w:r>
          </w:p>
          <w:p w14:paraId="4423F3CD" w14:textId="77777777" w:rsidR="00632322" w:rsidRPr="00C134CF" w:rsidRDefault="00632322" w:rsidP="00893C7D">
            <w:pPr>
              <w:rPr>
                <w:rFonts w:cs="Arial"/>
                <w:sz w:val="18"/>
                <w:szCs w:val="18"/>
              </w:rPr>
            </w:pPr>
          </w:p>
          <w:p w14:paraId="324CE0E1" w14:textId="77777777" w:rsidR="00893C7D" w:rsidRPr="00C134CF" w:rsidRDefault="00893C7D" w:rsidP="00893C7D">
            <w:pPr>
              <w:rPr>
                <w:rFonts w:cs="Arial"/>
                <w:sz w:val="18"/>
                <w:szCs w:val="18"/>
              </w:rPr>
            </w:pPr>
            <w:r w:rsidRPr="00C134CF">
              <w:rPr>
                <w:sz w:val="18"/>
                <w:szCs w:val="18"/>
              </w:rPr>
              <w:t xml:space="preserve">Se indica </w:t>
            </w:r>
            <w:r w:rsidRPr="00C134CF">
              <w:rPr>
                <w:strike/>
                <w:sz w:val="18"/>
                <w:szCs w:val="18"/>
                <w:highlight w:val="lightGray"/>
              </w:rPr>
              <w:t>tachado</w:t>
            </w:r>
            <w:r w:rsidRPr="00C134CF">
              <w:rPr>
                <w:sz w:val="18"/>
                <w:szCs w:val="18"/>
                <w:highlight w:val="lightGray"/>
              </w:rPr>
              <w:t xml:space="preserve"> (y sombreado en gris)</w:t>
            </w:r>
            <w:r w:rsidRPr="00C134CF">
              <w:rPr>
                <w:sz w:val="18"/>
                <w:szCs w:val="18"/>
              </w:rPr>
              <w:t xml:space="preserve"> el texto suprimido del documento UPOV/INF/12/5 que el CAJ examinó por correspondencia (Circular E-20/017) </w:t>
            </w:r>
          </w:p>
          <w:p w14:paraId="4A5BF6AC" w14:textId="77777777" w:rsidR="00632322" w:rsidRPr="00C134CF" w:rsidRDefault="00632322" w:rsidP="00893C7D">
            <w:pPr>
              <w:rPr>
                <w:rFonts w:cs="Arial"/>
                <w:sz w:val="18"/>
                <w:szCs w:val="18"/>
              </w:rPr>
            </w:pPr>
          </w:p>
          <w:p w14:paraId="451303A5" w14:textId="77777777" w:rsidR="009F7478" w:rsidRPr="00C134CF" w:rsidRDefault="00893C7D" w:rsidP="009F7478">
            <w:pPr>
              <w:rPr>
                <w:rFonts w:cs="Arial"/>
                <w:sz w:val="18"/>
                <w:szCs w:val="18"/>
              </w:rPr>
            </w:pPr>
            <w:r w:rsidRPr="00C134CF">
              <w:rPr>
                <w:sz w:val="18"/>
                <w:szCs w:val="18"/>
              </w:rPr>
              <w:t xml:space="preserve">Se indica </w:t>
            </w:r>
            <w:r w:rsidRPr="00C134CF">
              <w:rPr>
                <w:sz w:val="18"/>
                <w:szCs w:val="18"/>
                <w:highlight w:val="lightGray"/>
                <w:u w:val="single"/>
              </w:rPr>
              <w:t>subrayado</w:t>
            </w:r>
            <w:r w:rsidRPr="00C134CF">
              <w:rPr>
                <w:sz w:val="18"/>
                <w:szCs w:val="18"/>
                <w:highlight w:val="lightGray"/>
              </w:rPr>
              <w:t xml:space="preserve"> (y sombreado en gris)</w:t>
            </w:r>
            <w:r w:rsidRPr="00C134CF">
              <w:rPr>
                <w:sz w:val="18"/>
                <w:szCs w:val="18"/>
              </w:rPr>
              <w:t xml:space="preserve"> el texto insertado en el documento UPOV/INF/12/5 que el CAJ examinó por correspondencia (Circular E-20/017) </w:t>
            </w:r>
          </w:p>
          <w:p w14:paraId="057F9EA5" w14:textId="77777777" w:rsidR="00632322" w:rsidRPr="00C134CF" w:rsidRDefault="00632322" w:rsidP="009F7478">
            <w:pPr>
              <w:rPr>
                <w:rFonts w:cs="Arial"/>
                <w:sz w:val="18"/>
                <w:szCs w:val="18"/>
              </w:rPr>
            </w:pPr>
          </w:p>
          <w:p w14:paraId="0BF5E148" w14:textId="6460675E" w:rsidR="00FE644D" w:rsidRPr="00C134CF" w:rsidRDefault="009F7478" w:rsidP="00DC5E4D">
            <w:pPr>
              <w:rPr>
                <w:sz w:val="18"/>
                <w:szCs w:val="18"/>
              </w:rPr>
            </w:pPr>
            <w:r w:rsidRPr="00C134CF">
              <w:rPr>
                <w:sz w:val="18"/>
                <w:szCs w:val="18"/>
                <w:highlight w:val="yellow"/>
              </w:rPr>
              <w:t xml:space="preserve">El </w:t>
            </w:r>
            <w:r w:rsidRPr="00C134CF">
              <w:rPr>
                <w:dstrike/>
                <w:sz w:val="18"/>
                <w:szCs w:val="18"/>
                <w:highlight w:val="yellow"/>
                <w:lang w:eastAsia="ja-JP" w:bidi="ar-SA"/>
              </w:rPr>
              <w:t>doble tachado</w:t>
            </w:r>
            <w:r w:rsidR="00F25630" w:rsidRPr="00C134CF">
              <w:rPr>
                <w:sz w:val="18"/>
                <w:szCs w:val="18"/>
                <w:highlight w:val="yellow"/>
              </w:rPr>
              <w:t xml:space="preserve"> </w:t>
            </w:r>
            <w:r w:rsidRPr="00C134CF">
              <w:rPr>
                <w:sz w:val="18"/>
                <w:szCs w:val="18"/>
                <w:highlight w:val="yellow"/>
                <w:u w:val="double"/>
              </w:rPr>
              <w:t>o doble subrayado</w:t>
            </w:r>
            <w:r w:rsidRPr="00C134CF">
              <w:rPr>
                <w:sz w:val="18"/>
                <w:szCs w:val="18"/>
                <w:highlight w:val="yellow"/>
              </w:rPr>
              <w:t xml:space="preserve"> y sombreado en amarillo</w:t>
            </w:r>
            <w:r w:rsidRPr="00C134CF">
              <w:rPr>
                <w:sz w:val="18"/>
                <w:szCs w:val="18"/>
              </w:rPr>
              <w:t xml:space="preserve"> corresponde a las propuestas que atienden a las observaciones recibidas en respuesta a la Circular E-20/017 y los avances en relación con las clases 203 y 205. </w:t>
            </w:r>
          </w:p>
          <w:p w14:paraId="72D0499D" w14:textId="77777777" w:rsidR="0034362D" w:rsidRDefault="0034362D" w:rsidP="00DC5E4D">
            <w:pPr>
              <w:rPr>
                <w:sz w:val="18"/>
                <w:szCs w:val="18"/>
              </w:rPr>
            </w:pPr>
          </w:p>
          <w:p w14:paraId="3BA510A9" w14:textId="77777777" w:rsidR="0034362D" w:rsidRPr="0034362D" w:rsidRDefault="0034362D" w:rsidP="00BA5252">
            <w:pPr>
              <w:rPr>
                <w:rFonts w:cs="Arial"/>
                <w:sz w:val="18"/>
                <w:szCs w:val="18"/>
                <w:u w:val="dottedHeavy"/>
              </w:rPr>
            </w:pPr>
          </w:p>
        </w:tc>
      </w:tr>
    </w:tbl>
    <w:p w14:paraId="4137590F" w14:textId="77777777" w:rsidR="00893C7D" w:rsidRDefault="00893C7D" w:rsidP="00893C7D">
      <w:pPr>
        <w:rPr>
          <w:snapToGrid w:val="0"/>
        </w:rPr>
      </w:pPr>
    </w:p>
    <w:p w14:paraId="0360708A" w14:textId="77777777" w:rsidR="00893C7D" w:rsidRDefault="00893C7D">
      <w:pPr>
        <w:jc w:val="left"/>
        <w:rPr>
          <w:snapToGrid w:val="0"/>
        </w:rPr>
      </w:pPr>
      <w:r>
        <w:br w:type="page"/>
      </w:r>
    </w:p>
    <w:p w14:paraId="25CA1AAD" w14:textId="77777777" w:rsidR="00893C7D" w:rsidRPr="002A553B" w:rsidRDefault="00893C7D" w:rsidP="00893C7D">
      <w:pPr>
        <w:jc w:val="left"/>
        <w:rPr>
          <w:u w:val="single"/>
        </w:rPr>
      </w:pPr>
      <w:r>
        <w:rPr>
          <w:u w:val="single"/>
        </w:rPr>
        <w:lastRenderedPageBreak/>
        <w:t>Índice</w:t>
      </w:r>
    </w:p>
    <w:sdt>
      <w:sdtPr>
        <w:rPr>
          <w:rFonts w:ascii="Arial" w:eastAsia="MS Mincho" w:hAnsi="Arial" w:cs="Times New Roman"/>
          <w:color w:val="auto"/>
          <w:sz w:val="20"/>
          <w:szCs w:val="20"/>
          <w:lang w:bidi="es-ES"/>
        </w:rPr>
        <w:id w:val="1382671078"/>
        <w:docPartObj>
          <w:docPartGallery w:val="Table of Contents"/>
          <w:docPartUnique/>
        </w:docPartObj>
      </w:sdtPr>
      <w:sdtEndPr>
        <w:rPr>
          <w:b/>
          <w:bCs/>
        </w:rPr>
      </w:sdtEndPr>
      <w:sdtContent>
        <w:p w14:paraId="7AE7EE80" w14:textId="784C0D24" w:rsidR="00F25630" w:rsidRPr="00F25630" w:rsidRDefault="00F25630">
          <w:pPr>
            <w:pStyle w:val="TOCHeading"/>
            <w:rPr>
              <w:sz w:val="2"/>
              <w:szCs w:val="2"/>
            </w:rPr>
          </w:pPr>
        </w:p>
        <w:p w14:paraId="4EC9A4D5" w14:textId="44B09DCC" w:rsidR="00B0234D" w:rsidRDefault="00AC2559">
          <w:pPr>
            <w:pStyle w:val="TOC1"/>
            <w:rPr>
              <w:rFonts w:asciiTheme="minorHAnsi" w:eastAsiaTheme="minorEastAsia" w:hAnsiTheme="minorHAnsi" w:cstheme="minorBidi"/>
              <w:bCs w:val="0"/>
              <w:caps w:val="0"/>
              <w:sz w:val="22"/>
              <w:szCs w:val="22"/>
              <w:lang w:val="en-US" w:eastAsia="en-US" w:bidi="ar-SA"/>
            </w:rPr>
          </w:pPr>
          <w:r>
            <w:rPr>
              <w:bCs w:val="0"/>
              <w:caps w:val="0"/>
            </w:rPr>
            <w:fldChar w:fldCharType="begin"/>
          </w:r>
          <w:r>
            <w:rPr>
              <w:bCs w:val="0"/>
              <w:caps w:val="0"/>
            </w:rPr>
            <w:instrText xml:space="preserve"> TOC \o "1-4" \h \z \u </w:instrText>
          </w:r>
          <w:r>
            <w:rPr>
              <w:bCs w:val="0"/>
              <w:caps w:val="0"/>
            </w:rPr>
            <w:fldChar w:fldCharType="separate"/>
          </w:r>
          <w:hyperlink w:anchor="_Toc48738879" w:history="1">
            <w:r w:rsidR="00B0234D" w:rsidRPr="0047312C">
              <w:rPr>
                <w:rStyle w:val="Hyperlink"/>
              </w:rPr>
              <w:t>PREÁMBULO</w:t>
            </w:r>
            <w:r w:rsidR="00B0234D">
              <w:rPr>
                <w:webHidden/>
              </w:rPr>
              <w:tab/>
            </w:r>
            <w:r w:rsidR="00B0234D">
              <w:rPr>
                <w:webHidden/>
              </w:rPr>
              <w:fldChar w:fldCharType="begin"/>
            </w:r>
            <w:r w:rsidR="00B0234D">
              <w:rPr>
                <w:webHidden/>
              </w:rPr>
              <w:instrText xml:space="preserve"> PAGEREF _Toc48738879 \h </w:instrText>
            </w:r>
            <w:r w:rsidR="00B0234D">
              <w:rPr>
                <w:webHidden/>
              </w:rPr>
            </w:r>
            <w:r w:rsidR="00B0234D">
              <w:rPr>
                <w:webHidden/>
              </w:rPr>
              <w:fldChar w:fldCharType="separate"/>
            </w:r>
            <w:r w:rsidR="00B0234D">
              <w:rPr>
                <w:webHidden/>
              </w:rPr>
              <w:t>3</w:t>
            </w:r>
            <w:r w:rsidR="00B0234D">
              <w:rPr>
                <w:webHidden/>
              </w:rPr>
              <w:fldChar w:fldCharType="end"/>
            </w:r>
          </w:hyperlink>
        </w:p>
        <w:p w14:paraId="28C55C97" w14:textId="5AD00CB5"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880" w:history="1">
            <w:r w:rsidR="00B0234D" w:rsidRPr="0047312C">
              <w:rPr>
                <w:rStyle w:val="Hyperlink"/>
              </w:rPr>
              <w:t>Párrafo 1</w:t>
            </w:r>
            <w:r w:rsidR="00B0234D">
              <w:rPr>
                <w:webHidden/>
              </w:rPr>
              <w:tab/>
            </w:r>
            <w:r w:rsidR="00B0234D">
              <w:rPr>
                <w:webHidden/>
              </w:rPr>
              <w:fldChar w:fldCharType="begin"/>
            </w:r>
            <w:r w:rsidR="00B0234D">
              <w:rPr>
                <w:webHidden/>
              </w:rPr>
              <w:instrText xml:space="preserve"> PAGEREF _Toc48738880 \h </w:instrText>
            </w:r>
            <w:r w:rsidR="00B0234D">
              <w:rPr>
                <w:webHidden/>
              </w:rPr>
            </w:r>
            <w:r w:rsidR="00B0234D">
              <w:rPr>
                <w:webHidden/>
              </w:rPr>
              <w:fldChar w:fldCharType="separate"/>
            </w:r>
            <w:r w:rsidR="00B0234D">
              <w:rPr>
                <w:webHidden/>
              </w:rPr>
              <w:t>5</w:t>
            </w:r>
            <w:r w:rsidR="00B0234D">
              <w:rPr>
                <w:webHidden/>
              </w:rPr>
              <w:fldChar w:fldCharType="end"/>
            </w:r>
          </w:hyperlink>
        </w:p>
        <w:p w14:paraId="367DE532" w14:textId="5CF51AB8" w:rsidR="00B0234D" w:rsidRDefault="00A83356">
          <w:pPr>
            <w:pStyle w:val="TOC2"/>
            <w:rPr>
              <w:rFonts w:asciiTheme="minorHAnsi" w:eastAsiaTheme="minorEastAsia" w:hAnsiTheme="minorHAnsi" w:cstheme="minorBidi"/>
              <w:sz w:val="22"/>
              <w:szCs w:val="22"/>
              <w:lang w:val="en-US" w:eastAsia="en-US" w:bidi="ar-SA"/>
            </w:rPr>
          </w:pPr>
          <w:hyperlink w:anchor="_Toc48738881" w:history="1">
            <w:r w:rsidR="00B0234D" w:rsidRPr="0047312C">
              <w:rPr>
                <w:rStyle w:val="Hyperlink"/>
              </w:rPr>
              <w:t>[Designación de las variedades por denominaciones; utilización de la denominación]</w:t>
            </w:r>
            <w:r w:rsidR="00B0234D">
              <w:rPr>
                <w:webHidden/>
              </w:rPr>
              <w:tab/>
            </w:r>
            <w:r w:rsidR="00B0234D">
              <w:rPr>
                <w:webHidden/>
              </w:rPr>
              <w:fldChar w:fldCharType="begin"/>
            </w:r>
            <w:r w:rsidR="00B0234D">
              <w:rPr>
                <w:webHidden/>
              </w:rPr>
              <w:instrText xml:space="preserve"> PAGEREF _Toc48738881 \h </w:instrText>
            </w:r>
            <w:r w:rsidR="00B0234D">
              <w:rPr>
                <w:webHidden/>
              </w:rPr>
            </w:r>
            <w:r w:rsidR="00B0234D">
              <w:rPr>
                <w:webHidden/>
              </w:rPr>
              <w:fldChar w:fldCharType="separate"/>
            </w:r>
            <w:r w:rsidR="00B0234D">
              <w:rPr>
                <w:webHidden/>
              </w:rPr>
              <w:t>5</w:t>
            </w:r>
            <w:r w:rsidR="00B0234D">
              <w:rPr>
                <w:webHidden/>
              </w:rPr>
              <w:fldChar w:fldCharType="end"/>
            </w:r>
          </w:hyperlink>
        </w:p>
        <w:p w14:paraId="16CE8EED" w14:textId="175469A3"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882" w:history="1">
            <w:r w:rsidR="00B0234D" w:rsidRPr="0047312C">
              <w:rPr>
                <w:rStyle w:val="Hyperlink"/>
              </w:rPr>
              <w:t>Párrafo 2</w:t>
            </w:r>
            <w:r w:rsidR="00B0234D">
              <w:rPr>
                <w:webHidden/>
              </w:rPr>
              <w:tab/>
            </w:r>
            <w:r w:rsidR="00B0234D">
              <w:rPr>
                <w:webHidden/>
              </w:rPr>
              <w:fldChar w:fldCharType="begin"/>
            </w:r>
            <w:r w:rsidR="00B0234D">
              <w:rPr>
                <w:webHidden/>
              </w:rPr>
              <w:instrText xml:space="preserve"> PAGEREF _Toc48738882 \h </w:instrText>
            </w:r>
            <w:r w:rsidR="00B0234D">
              <w:rPr>
                <w:webHidden/>
              </w:rPr>
            </w:r>
            <w:r w:rsidR="00B0234D">
              <w:rPr>
                <w:webHidden/>
              </w:rPr>
              <w:fldChar w:fldCharType="separate"/>
            </w:r>
            <w:r w:rsidR="00B0234D">
              <w:rPr>
                <w:webHidden/>
              </w:rPr>
              <w:t>6</w:t>
            </w:r>
            <w:r w:rsidR="00B0234D">
              <w:rPr>
                <w:webHidden/>
              </w:rPr>
              <w:fldChar w:fldCharType="end"/>
            </w:r>
          </w:hyperlink>
        </w:p>
        <w:p w14:paraId="0D4DD2D2" w14:textId="3CEF5B07" w:rsidR="00B0234D" w:rsidRDefault="00A83356">
          <w:pPr>
            <w:pStyle w:val="TOC2"/>
            <w:rPr>
              <w:rFonts w:asciiTheme="minorHAnsi" w:eastAsiaTheme="minorEastAsia" w:hAnsiTheme="minorHAnsi" w:cstheme="minorBidi"/>
              <w:sz w:val="22"/>
              <w:szCs w:val="22"/>
              <w:lang w:val="en-US" w:eastAsia="en-US" w:bidi="ar-SA"/>
            </w:rPr>
          </w:pPr>
          <w:hyperlink w:anchor="_Toc48738883" w:history="1">
            <w:r w:rsidR="00B0234D" w:rsidRPr="0047312C">
              <w:rPr>
                <w:rStyle w:val="Hyperlink"/>
              </w:rPr>
              <w:t>[Características de la denominación]</w:t>
            </w:r>
            <w:r w:rsidR="00B0234D">
              <w:rPr>
                <w:webHidden/>
              </w:rPr>
              <w:tab/>
            </w:r>
            <w:r w:rsidR="00B0234D">
              <w:rPr>
                <w:webHidden/>
              </w:rPr>
              <w:fldChar w:fldCharType="begin"/>
            </w:r>
            <w:r w:rsidR="00B0234D">
              <w:rPr>
                <w:webHidden/>
              </w:rPr>
              <w:instrText xml:space="preserve"> PAGEREF _Toc48738883 \h </w:instrText>
            </w:r>
            <w:r w:rsidR="00B0234D">
              <w:rPr>
                <w:webHidden/>
              </w:rPr>
            </w:r>
            <w:r w:rsidR="00B0234D">
              <w:rPr>
                <w:webHidden/>
              </w:rPr>
              <w:fldChar w:fldCharType="separate"/>
            </w:r>
            <w:r w:rsidR="00B0234D">
              <w:rPr>
                <w:webHidden/>
              </w:rPr>
              <w:t>6</w:t>
            </w:r>
            <w:r w:rsidR="00B0234D">
              <w:rPr>
                <w:webHidden/>
              </w:rPr>
              <w:fldChar w:fldCharType="end"/>
            </w:r>
          </w:hyperlink>
        </w:p>
        <w:p w14:paraId="7D9D8905" w14:textId="2F245FFF" w:rsidR="00B0234D" w:rsidRDefault="00A83356">
          <w:pPr>
            <w:pStyle w:val="TOC3"/>
            <w:tabs>
              <w:tab w:val="left" w:pos="1134"/>
            </w:tabs>
            <w:rPr>
              <w:rFonts w:asciiTheme="minorHAnsi" w:eastAsiaTheme="minorEastAsia" w:hAnsiTheme="minorHAnsi" w:cstheme="minorBidi"/>
              <w:i w:val="0"/>
              <w:sz w:val="22"/>
              <w:szCs w:val="22"/>
              <w:lang w:val="en-US" w:eastAsia="en-US" w:bidi="ar-SA"/>
            </w:rPr>
          </w:pPr>
          <w:hyperlink w:anchor="_Toc48738884" w:history="1">
            <w:r w:rsidR="00B0234D" w:rsidRPr="0047312C">
              <w:rPr>
                <w:rStyle w:val="Hyperlink"/>
              </w:rPr>
              <w:t>2.1.</w:t>
            </w:r>
            <w:r w:rsidR="00B0234D">
              <w:rPr>
                <w:rFonts w:asciiTheme="minorHAnsi" w:eastAsiaTheme="minorEastAsia" w:hAnsiTheme="minorHAnsi" w:cstheme="minorBidi"/>
                <w:i w:val="0"/>
                <w:sz w:val="22"/>
                <w:szCs w:val="22"/>
                <w:lang w:val="en-US" w:eastAsia="en-US" w:bidi="ar-SA"/>
              </w:rPr>
              <w:tab/>
            </w:r>
            <w:r w:rsidR="00B0234D" w:rsidRPr="0047312C">
              <w:rPr>
                <w:rStyle w:val="Hyperlink"/>
              </w:rPr>
              <w:t>Identificación</w:t>
            </w:r>
            <w:r w:rsidR="00B0234D">
              <w:rPr>
                <w:webHidden/>
              </w:rPr>
              <w:tab/>
            </w:r>
            <w:r w:rsidR="00B0234D">
              <w:rPr>
                <w:webHidden/>
              </w:rPr>
              <w:fldChar w:fldCharType="begin"/>
            </w:r>
            <w:r w:rsidR="00B0234D">
              <w:rPr>
                <w:webHidden/>
              </w:rPr>
              <w:instrText xml:space="preserve"> PAGEREF _Toc48738884 \h </w:instrText>
            </w:r>
            <w:r w:rsidR="00B0234D">
              <w:rPr>
                <w:webHidden/>
              </w:rPr>
            </w:r>
            <w:r w:rsidR="00B0234D">
              <w:rPr>
                <w:webHidden/>
              </w:rPr>
              <w:fldChar w:fldCharType="separate"/>
            </w:r>
            <w:r w:rsidR="00B0234D">
              <w:rPr>
                <w:webHidden/>
              </w:rPr>
              <w:t>6</w:t>
            </w:r>
            <w:r w:rsidR="00B0234D">
              <w:rPr>
                <w:webHidden/>
              </w:rPr>
              <w:fldChar w:fldCharType="end"/>
            </w:r>
          </w:hyperlink>
        </w:p>
        <w:p w14:paraId="1F9E70A4" w14:textId="1195DB42" w:rsidR="00B0234D" w:rsidRDefault="00A83356">
          <w:pPr>
            <w:pStyle w:val="TOC3"/>
            <w:tabs>
              <w:tab w:val="left" w:pos="1134"/>
            </w:tabs>
            <w:rPr>
              <w:rFonts w:asciiTheme="minorHAnsi" w:eastAsiaTheme="minorEastAsia" w:hAnsiTheme="minorHAnsi" w:cstheme="minorBidi"/>
              <w:i w:val="0"/>
              <w:sz w:val="22"/>
              <w:szCs w:val="22"/>
              <w:lang w:val="en-US" w:eastAsia="en-US" w:bidi="ar-SA"/>
            </w:rPr>
          </w:pPr>
          <w:hyperlink w:anchor="_Toc48738885" w:history="1">
            <w:r w:rsidR="00B0234D" w:rsidRPr="0047312C">
              <w:rPr>
                <w:rStyle w:val="Hyperlink"/>
              </w:rPr>
              <w:t>2.2.</w:t>
            </w:r>
            <w:r w:rsidR="00B0234D">
              <w:rPr>
                <w:rFonts w:asciiTheme="minorHAnsi" w:eastAsiaTheme="minorEastAsia" w:hAnsiTheme="minorHAnsi" w:cstheme="minorBidi"/>
                <w:i w:val="0"/>
                <w:sz w:val="22"/>
                <w:szCs w:val="22"/>
                <w:lang w:val="en-US" w:eastAsia="en-US" w:bidi="ar-SA"/>
              </w:rPr>
              <w:tab/>
            </w:r>
            <w:r w:rsidR="00B0234D" w:rsidRPr="0047312C">
              <w:rPr>
                <w:rStyle w:val="Hyperlink"/>
              </w:rPr>
              <w:t>Únicamente de cifras</w:t>
            </w:r>
            <w:r w:rsidR="00B0234D">
              <w:rPr>
                <w:webHidden/>
              </w:rPr>
              <w:tab/>
            </w:r>
            <w:r w:rsidR="00B0234D">
              <w:rPr>
                <w:webHidden/>
              </w:rPr>
              <w:fldChar w:fldCharType="begin"/>
            </w:r>
            <w:r w:rsidR="00B0234D">
              <w:rPr>
                <w:webHidden/>
              </w:rPr>
              <w:instrText xml:space="preserve"> PAGEREF _Toc48738885 \h </w:instrText>
            </w:r>
            <w:r w:rsidR="00B0234D">
              <w:rPr>
                <w:webHidden/>
              </w:rPr>
            </w:r>
            <w:r w:rsidR="00B0234D">
              <w:rPr>
                <w:webHidden/>
              </w:rPr>
              <w:fldChar w:fldCharType="separate"/>
            </w:r>
            <w:r w:rsidR="00B0234D">
              <w:rPr>
                <w:webHidden/>
              </w:rPr>
              <w:t>6</w:t>
            </w:r>
            <w:r w:rsidR="00B0234D">
              <w:rPr>
                <w:webHidden/>
              </w:rPr>
              <w:fldChar w:fldCharType="end"/>
            </w:r>
          </w:hyperlink>
        </w:p>
        <w:p w14:paraId="1C5405BE" w14:textId="216B131E" w:rsidR="00B0234D" w:rsidRDefault="00A83356">
          <w:pPr>
            <w:pStyle w:val="TOC3"/>
            <w:tabs>
              <w:tab w:val="left" w:pos="1134"/>
            </w:tabs>
            <w:rPr>
              <w:rFonts w:asciiTheme="minorHAnsi" w:eastAsiaTheme="minorEastAsia" w:hAnsiTheme="minorHAnsi" w:cstheme="minorBidi"/>
              <w:i w:val="0"/>
              <w:sz w:val="22"/>
              <w:szCs w:val="22"/>
              <w:lang w:val="en-US" w:eastAsia="en-US" w:bidi="ar-SA"/>
            </w:rPr>
          </w:pPr>
          <w:hyperlink w:anchor="_Toc48738886" w:history="1">
            <w:r w:rsidR="00B0234D" w:rsidRPr="0047312C">
              <w:rPr>
                <w:rStyle w:val="Hyperlink"/>
              </w:rPr>
              <w:t>2.3.</w:t>
            </w:r>
            <w:r w:rsidR="00B0234D">
              <w:rPr>
                <w:rFonts w:asciiTheme="minorHAnsi" w:eastAsiaTheme="minorEastAsia" w:hAnsiTheme="minorHAnsi" w:cstheme="minorBidi"/>
                <w:i w:val="0"/>
                <w:sz w:val="22"/>
                <w:szCs w:val="22"/>
                <w:lang w:val="en-US" w:eastAsia="en-US" w:bidi="ar-SA"/>
              </w:rPr>
              <w:tab/>
            </w:r>
            <w:r w:rsidR="00B0234D" w:rsidRPr="0047312C">
              <w:rPr>
                <w:rStyle w:val="Hyperlink"/>
              </w:rPr>
              <w:t>Susceptibles de inducir en error o de prestarse a confusión</w:t>
            </w:r>
            <w:r w:rsidR="00B0234D">
              <w:rPr>
                <w:webHidden/>
              </w:rPr>
              <w:tab/>
            </w:r>
            <w:r w:rsidR="00B0234D">
              <w:rPr>
                <w:webHidden/>
              </w:rPr>
              <w:fldChar w:fldCharType="begin"/>
            </w:r>
            <w:r w:rsidR="00B0234D">
              <w:rPr>
                <w:webHidden/>
              </w:rPr>
              <w:instrText xml:space="preserve"> PAGEREF _Toc48738886 \h </w:instrText>
            </w:r>
            <w:r w:rsidR="00B0234D">
              <w:rPr>
                <w:webHidden/>
              </w:rPr>
            </w:r>
            <w:r w:rsidR="00B0234D">
              <w:rPr>
                <w:webHidden/>
              </w:rPr>
              <w:fldChar w:fldCharType="separate"/>
            </w:r>
            <w:r w:rsidR="00B0234D">
              <w:rPr>
                <w:webHidden/>
              </w:rPr>
              <w:t>6</w:t>
            </w:r>
            <w:r w:rsidR="00B0234D">
              <w:rPr>
                <w:webHidden/>
              </w:rPr>
              <w:fldChar w:fldCharType="end"/>
            </w:r>
          </w:hyperlink>
        </w:p>
        <w:p w14:paraId="5E6D0C69" w14:textId="272E8EE9" w:rsidR="00B0234D" w:rsidRDefault="00A83356">
          <w:pPr>
            <w:pStyle w:val="TOC4"/>
            <w:rPr>
              <w:rFonts w:asciiTheme="minorHAnsi" w:eastAsiaTheme="minorEastAsia" w:hAnsiTheme="minorHAnsi" w:cstheme="minorBidi"/>
              <w:i w:val="0"/>
              <w:noProof/>
              <w:sz w:val="22"/>
              <w:szCs w:val="22"/>
              <w:lang w:val="en-US" w:eastAsia="en-US" w:bidi="ar-SA"/>
            </w:rPr>
          </w:pPr>
          <w:hyperlink w:anchor="_Toc48738887" w:history="1">
            <w:r w:rsidR="00B0234D" w:rsidRPr="0047312C">
              <w:rPr>
                <w:rStyle w:val="Hyperlink"/>
                <w:noProof/>
              </w:rPr>
              <w:t>2.3.1</w:t>
            </w:r>
            <w:r w:rsidR="00B0234D">
              <w:rPr>
                <w:rFonts w:asciiTheme="minorHAnsi" w:eastAsiaTheme="minorEastAsia" w:hAnsiTheme="minorHAnsi" w:cstheme="minorBidi"/>
                <w:i w:val="0"/>
                <w:noProof/>
                <w:sz w:val="22"/>
                <w:szCs w:val="22"/>
                <w:lang w:val="en-US" w:eastAsia="en-US" w:bidi="ar-SA"/>
              </w:rPr>
              <w:tab/>
            </w:r>
            <w:r w:rsidR="00B0234D" w:rsidRPr="0047312C">
              <w:rPr>
                <w:rStyle w:val="Hyperlink"/>
                <w:noProof/>
              </w:rPr>
              <w:t>Características de la variedad</w:t>
            </w:r>
            <w:r w:rsidR="00B0234D">
              <w:rPr>
                <w:noProof/>
                <w:webHidden/>
              </w:rPr>
              <w:tab/>
            </w:r>
            <w:r w:rsidR="00B0234D">
              <w:rPr>
                <w:noProof/>
                <w:webHidden/>
              </w:rPr>
              <w:fldChar w:fldCharType="begin"/>
            </w:r>
            <w:r w:rsidR="00B0234D">
              <w:rPr>
                <w:noProof/>
                <w:webHidden/>
              </w:rPr>
              <w:instrText xml:space="preserve"> PAGEREF _Toc48738887 \h </w:instrText>
            </w:r>
            <w:r w:rsidR="00B0234D">
              <w:rPr>
                <w:noProof/>
                <w:webHidden/>
              </w:rPr>
            </w:r>
            <w:r w:rsidR="00B0234D">
              <w:rPr>
                <w:noProof/>
                <w:webHidden/>
              </w:rPr>
              <w:fldChar w:fldCharType="separate"/>
            </w:r>
            <w:r w:rsidR="00B0234D">
              <w:rPr>
                <w:noProof/>
                <w:webHidden/>
              </w:rPr>
              <w:t>6</w:t>
            </w:r>
            <w:r w:rsidR="00B0234D">
              <w:rPr>
                <w:noProof/>
                <w:webHidden/>
              </w:rPr>
              <w:fldChar w:fldCharType="end"/>
            </w:r>
          </w:hyperlink>
        </w:p>
        <w:p w14:paraId="1881EF70" w14:textId="02526672" w:rsidR="00B0234D" w:rsidRDefault="00A83356">
          <w:pPr>
            <w:pStyle w:val="TOC4"/>
            <w:rPr>
              <w:rFonts w:asciiTheme="minorHAnsi" w:eastAsiaTheme="minorEastAsia" w:hAnsiTheme="minorHAnsi" w:cstheme="minorBidi"/>
              <w:i w:val="0"/>
              <w:noProof/>
              <w:sz w:val="22"/>
              <w:szCs w:val="22"/>
              <w:lang w:val="en-US" w:eastAsia="en-US" w:bidi="ar-SA"/>
            </w:rPr>
          </w:pPr>
          <w:hyperlink w:anchor="_Toc48738888" w:history="1">
            <w:r w:rsidR="00B0234D" w:rsidRPr="0047312C">
              <w:rPr>
                <w:rStyle w:val="Hyperlink"/>
                <w:noProof/>
              </w:rPr>
              <w:t>2.3.2</w:t>
            </w:r>
            <w:r w:rsidR="00B0234D">
              <w:rPr>
                <w:rFonts w:asciiTheme="minorHAnsi" w:eastAsiaTheme="minorEastAsia" w:hAnsiTheme="minorHAnsi" w:cstheme="minorBidi"/>
                <w:i w:val="0"/>
                <w:noProof/>
                <w:sz w:val="22"/>
                <w:szCs w:val="22"/>
                <w:lang w:val="en-US" w:eastAsia="en-US" w:bidi="ar-SA"/>
              </w:rPr>
              <w:tab/>
            </w:r>
            <w:r w:rsidR="00B0234D" w:rsidRPr="0047312C">
              <w:rPr>
                <w:rStyle w:val="Hyperlink"/>
                <w:noProof/>
              </w:rPr>
              <w:t>Valor de la variedad</w:t>
            </w:r>
            <w:r w:rsidR="00B0234D">
              <w:rPr>
                <w:noProof/>
                <w:webHidden/>
              </w:rPr>
              <w:tab/>
            </w:r>
            <w:r w:rsidR="00B0234D">
              <w:rPr>
                <w:noProof/>
                <w:webHidden/>
              </w:rPr>
              <w:fldChar w:fldCharType="begin"/>
            </w:r>
            <w:r w:rsidR="00B0234D">
              <w:rPr>
                <w:noProof/>
                <w:webHidden/>
              </w:rPr>
              <w:instrText xml:space="preserve"> PAGEREF _Toc48738888 \h </w:instrText>
            </w:r>
            <w:r w:rsidR="00B0234D">
              <w:rPr>
                <w:noProof/>
                <w:webHidden/>
              </w:rPr>
            </w:r>
            <w:r w:rsidR="00B0234D">
              <w:rPr>
                <w:noProof/>
                <w:webHidden/>
              </w:rPr>
              <w:fldChar w:fldCharType="separate"/>
            </w:r>
            <w:r w:rsidR="00B0234D">
              <w:rPr>
                <w:noProof/>
                <w:webHidden/>
              </w:rPr>
              <w:t>7</w:t>
            </w:r>
            <w:r w:rsidR="00B0234D">
              <w:rPr>
                <w:noProof/>
                <w:webHidden/>
              </w:rPr>
              <w:fldChar w:fldCharType="end"/>
            </w:r>
          </w:hyperlink>
        </w:p>
        <w:p w14:paraId="4BCB669E" w14:textId="227463D2" w:rsidR="00B0234D" w:rsidRDefault="00A83356">
          <w:pPr>
            <w:pStyle w:val="TOC4"/>
            <w:rPr>
              <w:rFonts w:asciiTheme="minorHAnsi" w:eastAsiaTheme="minorEastAsia" w:hAnsiTheme="minorHAnsi" w:cstheme="minorBidi"/>
              <w:i w:val="0"/>
              <w:noProof/>
              <w:sz w:val="22"/>
              <w:szCs w:val="22"/>
              <w:lang w:val="en-US" w:eastAsia="en-US" w:bidi="ar-SA"/>
            </w:rPr>
          </w:pPr>
          <w:hyperlink w:anchor="_Toc48738889" w:history="1">
            <w:r w:rsidR="00B0234D" w:rsidRPr="0047312C">
              <w:rPr>
                <w:rStyle w:val="Hyperlink"/>
                <w:noProof/>
              </w:rPr>
              <w:t>2.3.3</w:t>
            </w:r>
            <w:r w:rsidR="00B0234D">
              <w:rPr>
                <w:rFonts w:asciiTheme="minorHAnsi" w:eastAsiaTheme="minorEastAsia" w:hAnsiTheme="minorHAnsi" w:cstheme="minorBidi"/>
                <w:i w:val="0"/>
                <w:noProof/>
                <w:sz w:val="22"/>
                <w:szCs w:val="22"/>
                <w:lang w:val="en-US" w:eastAsia="en-US" w:bidi="ar-SA"/>
              </w:rPr>
              <w:tab/>
            </w:r>
            <w:r w:rsidR="00B0234D" w:rsidRPr="0047312C">
              <w:rPr>
                <w:rStyle w:val="Hyperlink"/>
                <w:noProof/>
              </w:rPr>
              <w:t>Identidad de la variedad</w:t>
            </w:r>
            <w:r w:rsidR="00B0234D">
              <w:rPr>
                <w:noProof/>
                <w:webHidden/>
              </w:rPr>
              <w:tab/>
            </w:r>
            <w:r w:rsidR="00B0234D">
              <w:rPr>
                <w:noProof/>
                <w:webHidden/>
              </w:rPr>
              <w:fldChar w:fldCharType="begin"/>
            </w:r>
            <w:r w:rsidR="00B0234D">
              <w:rPr>
                <w:noProof/>
                <w:webHidden/>
              </w:rPr>
              <w:instrText xml:space="preserve"> PAGEREF _Toc48738889 \h </w:instrText>
            </w:r>
            <w:r w:rsidR="00B0234D">
              <w:rPr>
                <w:noProof/>
                <w:webHidden/>
              </w:rPr>
            </w:r>
            <w:r w:rsidR="00B0234D">
              <w:rPr>
                <w:noProof/>
                <w:webHidden/>
              </w:rPr>
              <w:fldChar w:fldCharType="separate"/>
            </w:r>
            <w:r w:rsidR="00B0234D">
              <w:rPr>
                <w:noProof/>
                <w:webHidden/>
              </w:rPr>
              <w:t>8</w:t>
            </w:r>
            <w:r w:rsidR="00B0234D">
              <w:rPr>
                <w:noProof/>
                <w:webHidden/>
              </w:rPr>
              <w:fldChar w:fldCharType="end"/>
            </w:r>
          </w:hyperlink>
        </w:p>
        <w:p w14:paraId="552C8773" w14:textId="5EE68676" w:rsidR="00B0234D" w:rsidRDefault="00A83356">
          <w:pPr>
            <w:pStyle w:val="TOC4"/>
            <w:rPr>
              <w:rFonts w:asciiTheme="minorHAnsi" w:eastAsiaTheme="minorEastAsia" w:hAnsiTheme="minorHAnsi" w:cstheme="minorBidi"/>
              <w:i w:val="0"/>
              <w:noProof/>
              <w:sz w:val="22"/>
              <w:szCs w:val="22"/>
              <w:lang w:val="en-US" w:eastAsia="en-US" w:bidi="ar-SA"/>
            </w:rPr>
          </w:pPr>
          <w:hyperlink w:anchor="_Toc48738890" w:history="1">
            <w:r w:rsidR="00B0234D" w:rsidRPr="0047312C">
              <w:rPr>
                <w:rStyle w:val="Hyperlink"/>
                <w:noProof/>
              </w:rPr>
              <w:t>2.3.4</w:t>
            </w:r>
            <w:r w:rsidR="00B0234D">
              <w:rPr>
                <w:rFonts w:asciiTheme="minorHAnsi" w:eastAsiaTheme="minorEastAsia" w:hAnsiTheme="minorHAnsi" w:cstheme="minorBidi"/>
                <w:i w:val="0"/>
                <w:noProof/>
                <w:sz w:val="22"/>
                <w:szCs w:val="22"/>
                <w:lang w:val="en-US" w:eastAsia="en-US" w:bidi="ar-SA"/>
              </w:rPr>
              <w:tab/>
            </w:r>
            <w:r w:rsidR="00B0234D" w:rsidRPr="0047312C">
              <w:rPr>
                <w:rStyle w:val="Hyperlink"/>
                <w:noProof/>
              </w:rPr>
              <w:t>Identidad del obtentor</w:t>
            </w:r>
            <w:r w:rsidR="00B0234D">
              <w:rPr>
                <w:noProof/>
                <w:webHidden/>
              </w:rPr>
              <w:tab/>
            </w:r>
            <w:r w:rsidR="00B0234D">
              <w:rPr>
                <w:noProof/>
                <w:webHidden/>
              </w:rPr>
              <w:fldChar w:fldCharType="begin"/>
            </w:r>
            <w:r w:rsidR="00B0234D">
              <w:rPr>
                <w:noProof/>
                <w:webHidden/>
              </w:rPr>
              <w:instrText xml:space="preserve"> PAGEREF _Toc48738890 \h </w:instrText>
            </w:r>
            <w:r w:rsidR="00B0234D">
              <w:rPr>
                <w:noProof/>
                <w:webHidden/>
              </w:rPr>
            </w:r>
            <w:r w:rsidR="00B0234D">
              <w:rPr>
                <w:noProof/>
                <w:webHidden/>
              </w:rPr>
              <w:fldChar w:fldCharType="separate"/>
            </w:r>
            <w:r w:rsidR="00B0234D">
              <w:rPr>
                <w:noProof/>
                <w:webHidden/>
              </w:rPr>
              <w:t>8</w:t>
            </w:r>
            <w:r w:rsidR="00B0234D">
              <w:rPr>
                <w:noProof/>
                <w:webHidden/>
              </w:rPr>
              <w:fldChar w:fldCharType="end"/>
            </w:r>
          </w:hyperlink>
        </w:p>
        <w:p w14:paraId="28552EA1" w14:textId="0111461B" w:rsidR="00B0234D" w:rsidRDefault="00A83356">
          <w:pPr>
            <w:pStyle w:val="TOC3"/>
            <w:tabs>
              <w:tab w:val="left" w:pos="1134"/>
            </w:tabs>
            <w:rPr>
              <w:rFonts w:asciiTheme="minorHAnsi" w:eastAsiaTheme="minorEastAsia" w:hAnsiTheme="minorHAnsi" w:cstheme="minorBidi"/>
              <w:i w:val="0"/>
              <w:sz w:val="22"/>
              <w:szCs w:val="22"/>
              <w:lang w:val="en-US" w:eastAsia="en-US" w:bidi="ar-SA"/>
            </w:rPr>
          </w:pPr>
          <w:hyperlink w:anchor="_Toc48738891" w:history="1">
            <w:r w:rsidR="00B0234D" w:rsidRPr="0047312C">
              <w:rPr>
                <w:rStyle w:val="Hyperlink"/>
              </w:rPr>
              <w:t>2.4.</w:t>
            </w:r>
            <w:r w:rsidR="00B0234D">
              <w:rPr>
                <w:rFonts w:asciiTheme="minorHAnsi" w:eastAsiaTheme="minorEastAsia" w:hAnsiTheme="minorHAnsi" w:cstheme="minorBidi"/>
                <w:i w:val="0"/>
                <w:sz w:val="22"/>
                <w:szCs w:val="22"/>
                <w:lang w:val="en-US" w:eastAsia="en-US" w:bidi="ar-SA"/>
              </w:rPr>
              <w:tab/>
            </w:r>
            <w:r w:rsidR="00B0234D" w:rsidRPr="0047312C">
              <w:rPr>
                <w:rStyle w:val="Hyperlink"/>
              </w:rPr>
              <w:t>Diferente de una variedad existente de la misma especie vegetal o de una especie vecina</w:t>
            </w:r>
            <w:r w:rsidR="00B0234D">
              <w:rPr>
                <w:webHidden/>
              </w:rPr>
              <w:tab/>
            </w:r>
            <w:r w:rsidR="00B0234D">
              <w:rPr>
                <w:webHidden/>
              </w:rPr>
              <w:fldChar w:fldCharType="begin"/>
            </w:r>
            <w:r w:rsidR="00B0234D">
              <w:rPr>
                <w:webHidden/>
              </w:rPr>
              <w:instrText xml:space="preserve"> PAGEREF _Toc48738891 \h </w:instrText>
            </w:r>
            <w:r w:rsidR="00B0234D">
              <w:rPr>
                <w:webHidden/>
              </w:rPr>
            </w:r>
            <w:r w:rsidR="00B0234D">
              <w:rPr>
                <w:webHidden/>
              </w:rPr>
              <w:fldChar w:fldCharType="separate"/>
            </w:r>
            <w:r w:rsidR="00B0234D">
              <w:rPr>
                <w:webHidden/>
              </w:rPr>
              <w:t>9</w:t>
            </w:r>
            <w:r w:rsidR="00B0234D">
              <w:rPr>
                <w:webHidden/>
              </w:rPr>
              <w:fldChar w:fldCharType="end"/>
            </w:r>
          </w:hyperlink>
        </w:p>
        <w:p w14:paraId="66EAA6E2" w14:textId="3C6221C3" w:rsidR="00B0234D" w:rsidRDefault="00A83356">
          <w:pPr>
            <w:pStyle w:val="TOC3"/>
            <w:tabs>
              <w:tab w:val="left" w:pos="1134"/>
            </w:tabs>
            <w:rPr>
              <w:rFonts w:asciiTheme="minorHAnsi" w:eastAsiaTheme="minorEastAsia" w:hAnsiTheme="minorHAnsi" w:cstheme="minorBidi"/>
              <w:i w:val="0"/>
              <w:sz w:val="22"/>
              <w:szCs w:val="22"/>
              <w:lang w:val="en-US" w:eastAsia="en-US" w:bidi="ar-SA"/>
            </w:rPr>
          </w:pPr>
          <w:hyperlink w:anchor="_Toc48738892" w:history="1">
            <w:r w:rsidR="00B0234D" w:rsidRPr="0047312C">
              <w:rPr>
                <w:rStyle w:val="Hyperlink"/>
              </w:rPr>
              <w:t>2.5.</w:t>
            </w:r>
            <w:r w:rsidR="00B0234D">
              <w:rPr>
                <w:rFonts w:asciiTheme="minorHAnsi" w:eastAsiaTheme="minorEastAsia" w:hAnsiTheme="minorHAnsi" w:cstheme="minorBidi"/>
                <w:i w:val="0"/>
                <w:sz w:val="22"/>
                <w:szCs w:val="22"/>
                <w:lang w:val="en-US" w:eastAsia="en-US" w:bidi="ar-SA"/>
              </w:rPr>
              <w:tab/>
            </w:r>
            <w:r w:rsidR="00B0234D" w:rsidRPr="0047312C">
              <w:rPr>
                <w:rStyle w:val="Hyperlink"/>
              </w:rPr>
              <w:t>Clases de denominaciones de variedades: una denominación de variedad no deberá ser utilizada más de una vez en la misma clase.</w:t>
            </w:r>
            <w:r w:rsidR="00B0234D">
              <w:rPr>
                <w:webHidden/>
              </w:rPr>
              <w:tab/>
            </w:r>
            <w:r w:rsidR="00B0234D">
              <w:rPr>
                <w:webHidden/>
              </w:rPr>
              <w:fldChar w:fldCharType="begin"/>
            </w:r>
            <w:r w:rsidR="00B0234D">
              <w:rPr>
                <w:webHidden/>
              </w:rPr>
              <w:instrText xml:space="preserve"> PAGEREF _Toc48738892 \h </w:instrText>
            </w:r>
            <w:r w:rsidR="00B0234D">
              <w:rPr>
                <w:webHidden/>
              </w:rPr>
            </w:r>
            <w:r w:rsidR="00B0234D">
              <w:rPr>
                <w:webHidden/>
              </w:rPr>
              <w:fldChar w:fldCharType="separate"/>
            </w:r>
            <w:r w:rsidR="00B0234D">
              <w:rPr>
                <w:webHidden/>
              </w:rPr>
              <w:t>9</w:t>
            </w:r>
            <w:r w:rsidR="00B0234D">
              <w:rPr>
                <w:webHidden/>
              </w:rPr>
              <w:fldChar w:fldCharType="end"/>
            </w:r>
          </w:hyperlink>
        </w:p>
        <w:p w14:paraId="5311287B" w14:textId="47BCC4D5" w:rsidR="00B0234D" w:rsidRDefault="00A83356">
          <w:pPr>
            <w:pStyle w:val="TOC3"/>
            <w:tabs>
              <w:tab w:val="left" w:pos="1134"/>
            </w:tabs>
            <w:rPr>
              <w:rFonts w:asciiTheme="minorHAnsi" w:eastAsiaTheme="minorEastAsia" w:hAnsiTheme="minorHAnsi" w:cstheme="minorBidi"/>
              <w:i w:val="0"/>
              <w:sz w:val="22"/>
              <w:szCs w:val="22"/>
              <w:lang w:val="en-US" w:eastAsia="en-US" w:bidi="ar-SA"/>
            </w:rPr>
          </w:pPr>
          <w:hyperlink w:anchor="_Toc48738893" w:history="1">
            <w:r w:rsidR="00B0234D" w:rsidRPr="0047312C">
              <w:rPr>
                <w:rStyle w:val="Hyperlink"/>
                <w:snapToGrid w:val="0"/>
                <w:highlight w:val="lightGray"/>
              </w:rPr>
              <w:t>2.6</w:t>
            </w:r>
            <w:r w:rsidR="00B0234D">
              <w:rPr>
                <w:rFonts w:asciiTheme="minorHAnsi" w:eastAsiaTheme="minorEastAsia" w:hAnsiTheme="minorHAnsi" w:cstheme="minorBidi"/>
                <w:i w:val="0"/>
                <w:sz w:val="22"/>
                <w:szCs w:val="22"/>
                <w:lang w:val="en-US" w:eastAsia="en-US" w:bidi="ar-SA"/>
              </w:rPr>
              <w:tab/>
            </w:r>
            <w:r w:rsidR="00B0234D" w:rsidRPr="0047312C">
              <w:rPr>
                <w:rStyle w:val="Hyperlink"/>
                <w:snapToGrid w:val="0"/>
                <w:highlight w:val="lightGray"/>
              </w:rPr>
              <w:t>Instrumento de la UPOV para la búsqueda de denominaciones similares</w:t>
            </w:r>
            <w:r w:rsidR="00B0234D">
              <w:rPr>
                <w:webHidden/>
              </w:rPr>
              <w:tab/>
            </w:r>
            <w:r w:rsidR="00B0234D">
              <w:rPr>
                <w:webHidden/>
              </w:rPr>
              <w:fldChar w:fldCharType="begin"/>
            </w:r>
            <w:r w:rsidR="00B0234D">
              <w:rPr>
                <w:webHidden/>
              </w:rPr>
              <w:instrText xml:space="preserve"> PAGEREF _Toc48738893 \h </w:instrText>
            </w:r>
            <w:r w:rsidR="00B0234D">
              <w:rPr>
                <w:webHidden/>
              </w:rPr>
            </w:r>
            <w:r w:rsidR="00B0234D">
              <w:rPr>
                <w:webHidden/>
              </w:rPr>
              <w:fldChar w:fldCharType="separate"/>
            </w:r>
            <w:r w:rsidR="00B0234D">
              <w:rPr>
                <w:webHidden/>
              </w:rPr>
              <w:t>9</w:t>
            </w:r>
            <w:r w:rsidR="00B0234D">
              <w:rPr>
                <w:webHidden/>
              </w:rPr>
              <w:fldChar w:fldCharType="end"/>
            </w:r>
          </w:hyperlink>
        </w:p>
        <w:p w14:paraId="544AE49A" w14:textId="3222D483"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894" w:history="1">
            <w:r w:rsidR="00B0234D" w:rsidRPr="0047312C">
              <w:rPr>
                <w:rStyle w:val="Hyperlink"/>
              </w:rPr>
              <w:t>Párrafo 3</w:t>
            </w:r>
            <w:r w:rsidR="00B0234D">
              <w:rPr>
                <w:webHidden/>
              </w:rPr>
              <w:tab/>
            </w:r>
            <w:r w:rsidR="00B0234D">
              <w:rPr>
                <w:webHidden/>
              </w:rPr>
              <w:fldChar w:fldCharType="begin"/>
            </w:r>
            <w:r w:rsidR="00B0234D">
              <w:rPr>
                <w:webHidden/>
              </w:rPr>
              <w:instrText xml:space="preserve"> PAGEREF _Toc48738894 \h </w:instrText>
            </w:r>
            <w:r w:rsidR="00B0234D">
              <w:rPr>
                <w:webHidden/>
              </w:rPr>
            </w:r>
            <w:r w:rsidR="00B0234D">
              <w:rPr>
                <w:webHidden/>
              </w:rPr>
              <w:fldChar w:fldCharType="separate"/>
            </w:r>
            <w:r w:rsidR="00B0234D">
              <w:rPr>
                <w:webHidden/>
              </w:rPr>
              <w:t>10</w:t>
            </w:r>
            <w:r w:rsidR="00B0234D">
              <w:rPr>
                <w:webHidden/>
              </w:rPr>
              <w:fldChar w:fldCharType="end"/>
            </w:r>
          </w:hyperlink>
        </w:p>
        <w:p w14:paraId="5830D3B1" w14:textId="15E4F241" w:rsidR="00B0234D" w:rsidRDefault="00A83356">
          <w:pPr>
            <w:pStyle w:val="TOC2"/>
            <w:rPr>
              <w:rFonts w:asciiTheme="minorHAnsi" w:eastAsiaTheme="minorEastAsia" w:hAnsiTheme="minorHAnsi" w:cstheme="minorBidi"/>
              <w:sz w:val="22"/>
              <w:szCs w:val="22"/>
              <w:lang w:val="en-US" w:eastAsia="en-US" w:bidi="ar-SA"/>
            </w:rPr>
          </w:pPr>
          <w:hyperlink w:anchor="_Toc48738895" w:history="1">
            <w:r w:rsidR="00B0234D" w:rsidRPr="0047312C">
              <w:rPr>
                <w:rStyle w:val="Hyperlink"/>
              </w:rPr>
              <w:t>[Registro de la denominación]</w:t>
            </w:r>
            <w:r w:rsidR="00B0234D">
              <w:rPr>
                <w:webHidden/>
              </w:rPr>
              <w:tab/>
            </w:r>
            <w:r w:rsidR="00B0234D">
              <w:rPr>
                <w:webHidden/>
              </w:rPr>
              <w:fldChar w:fldCharType="begin"/>
            </w:r>
            <w:r w:rsidR="00B0234D">
              <w:rPr>
                <w:webHidden/>
              </w:rPr>
              <w:instrText xml:space="preserve"> PAGEREF _Toc48738895 \h </w:instrText>
            </w:r>
            <w:r w:rsidR="00B0234D">
              <w:rPr>
                <w:webHidden/>
              </w:rPr>
            </w:r>
            <w:r w:rsidR="00B0234D">
              <w:rPr>
                <w:webHidden/>
              </w:rPr>
              <w:fldChar w:fldCharType="separate"/>
            </w:r>
            <w:r w:rsidR="00B0234D">
              <w:rPr>
                <w:webHidden/>
              </w:rPr>
              <w:t>10</w:t>
            </w:r>
            <w:r w:rsidR="00B0234D">
              <w:rPr>
                <w:webHidden/>
              </w:rPr>
              <w:fldChar w:fldCharType="end"/>
            </w:r>
          </w:hyperlink>
        </w:p>
        <w:p w14:paraId="64360EC8" w14:textId="5A1D1DD6"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896" w:history="1">
            <w:r w:rsidR="00B0234D" w:rsidRPr="0047312C">
              <w:rPr>
                <w:rStyle w:val="Hyperlink"/>
              </w:rPr>
              <w:t>Párrafo 4</w:t>
            </w:r>
            <w:r w:rsidR="00B0234D">
              <w:rPr>
                <w:webHidden/>
              </w:rPr>
              <w:tab/>
            </w:r>
            <w:r w:rsidR="00B0234D">
              <w:rPr>
                <w:webHidden/>
              </w:rPr>
              <w:fldChar w:fldCharType="begin"/>
            </w:r>
            <w:r w:rsidR="00B0234D">
              <w:rPr>
                <w:webHidden/>
              </w:rPr>
              <w:instrText xml:space="preserve"> PAGEREF _Toc48738896 \h </w:instrText>
            </w:r>
            <w:r w:rsidR="00B0234D">
              <w:rPr>
                <w:webHidden/>
              </w:rPr>
            </w:r>
            <w:r w:rsidR="00B0234D">
              <w:rPr>
                <w:webHidden/>
              </w:rPr>
              <w:fldChar w:fldCharType="separate"/>
            </w:r>
            <w:r w:rsidR="00B0234D">
              <w:rPr>
                <w:webHidden/>
              </w:rPr>
              <w:t>11</w:t>
            </w:r>
            <w:r w:rsidR="00B0234D">
              <w:rPr>
                <w:webHidden/>
              </w:rPr>
              <w:fldChar w:fldCharType="end"/>
            </w:r>
          </w:hyperlink>
        </w:p>
        <w:p w14:paraId="08E1F490" w14:textId="3A7FFE6A" w:rsidR="00B0234D" w:rsidRDefault="00A83356">
          <w:pPr>
            <w:pStyle w:val="TOC2"/>
            <w:rPr>
              <w:rFonts w:asciiTheme="minorHAnsi" w:eastAsiaTheme="minorEastAsia" w:hAnsiTheme="minorHAnsi" w:cstheme="minorBidi"/>
              <w:sz w:val="22"/>
              <w:szCs w:val="22"/>
              <w:lang w:val="en-US" w:eastAsia="en-US" w:bidi="ar-SA"/>
            </w:rPr>
          </w:pPr>
          <w:hyperlink w:anchor="_Toc48738897" w:history="1">
            <w:r w:rsidR="00B0234D" w:rsidRPr="0047312C">
              <w:rPr>
                <w:rStyle w:val="Hyperlink"/>
              </w:rPr>
              <w:t>[Derechos anteriores de terceros]</w:t>
            </w:r>
            <w:r w:rsidR="00B0234D">
              <w:rPr>
                <w:webHidden/>
              </w:rPr>
              <w:tab/>
            </w:r>
            <w:r w:rsidR="00B0234D">
              <w:rPr>
                <w:webHidden/>
              </w:rPr>
              <w:fldChar w:fldCharType="begin"/>
            </w:r>
            <w:r w:rsidR="00B0234D">
              <w:rPr>
                <w:webHidden/>
              </w:rPr>
              <w:instrText xml:space="preserve"> PAGEREF _Toc48738897 \h </w:instrText>
            </w:r>
            <w:r w:rsidR="00B0234D">
              <w:rPr>
                <w:webHidden/>
              </w:rPr>
            </w:r>
            <w:r w:rsidR="00B0234D">
              <w:rPr>
                <w:webHidden/>
              </w:rPr>
              <w:fldChar w:fldCharType="separate"/>
            </w:r>
            <w:r w:rsidR="00B0234D">
              <w:rPr>
                <w:webHidden/>
              </w:rPr>
              <w:t>11</w:t>
            </w:r>
            <w:r w:rsidR="00B0234D">
              <w:rPr>
                <w:webHidden/>
              </w:rPr>
              <w:fldChar w:fldCharType="end"/>
            </w:r>
          </w:hyperlink>
        </w:p>
        <w:p w14:paraId="5F6FECFC" w14:textId="50DD0C98"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898" w:history="1">
            <w:r w:rsidR="00B0234D" w:rsidRPr="0047312C">
              <w:rPr>
                <w:rStyle w:val="Hyperlink"/>
              </w:rPr>
              <w:t>Párrafo 5</w:t>
            </w:r>
            <w:r w:rsidR="00B0234D">
              <w:rPr>
                <w:webHidden/>
              </w:rPr>
              <w:tab/>
            </w:r>
            <w:r w:rsidR="00B0234D">
              <w:rPr>
                <w:webHidden/>
              </w:rPr>
              <w:fldChar w:fldCharType="begin"/>
            </w:r>
            <w:r w:rsidR="00B0234D">
              <w:rPr>
                <w:webHidden/>
              </w:rPr>
              <w:instrText xml:space="preserve"> PAGEREF _Toc48738898 \h </w:instrText>
            </w:r>
            <w:r w:rsidR="00B0234D">
              <w:rPr>
                <w:webHidden/>
              </w:rPr>
            </w:r>
            <w:r w:rsidR="00B0234D">
              <w:rPr>
                <w:webHidden/>
              </w:rPr>
              <w:fldChar w:fldCharType="separate"/>
            </w:r>
            <w:r w:rsidR="00B0234D">
              <w:rPr>
                <w:webHidden/>
              </w:rPr>
              <w:t>13</w:t>
            </w:r>
            <w:r w:rsidR="00B0234D">
              <w:rPr>
                <w:webHidden/>
              </w:rPr>
              <w:fldChar w:fldCharType="end"/>
            </w:r>
          </w:hyperlink>
        </w:p>
        <w:p w14:paraId="63E373FC" w14:textId="1CEE770E" w:rsidR="00B0234D" w:rsidRDefault="00A83356">
          <w:pPr>
            <w:pStyle w:val="TOC2"/>
            <w:rPr>
              <w:rFonts w:asciiTheme="minorHAnsi" w:eastAsiaTheme="minorEastAsia" w:hAnsiTheme="minorHAnsi" w:cstheme="minorBidi"/>
              <w:sz w:val="22"/>
              <w:szCs w:val="22"/>
              <w:lang w:val="en-US" w:eastAsia="en-US" w:bidi="ar-SA"/>
            </w:rPr>
          </w:pPr>
          <w:hyperlink w:anchor="_Toc48738899" w:history="1">
            <w:r w:rsidR="00B0234D" w:rsidRPr="0047312C">
              <w:rPr>
                <w:rStyle w:val="Hyperlink"/>
              </w:rPr>
              <w:t>[Misma denominación en todos los miembros de la Unión]</w:t>
            </w:r>
            <w:r w:rsidR="00B0234D">
              <w:rPr>
                <w:webHidden/>
              </w:rPr>
              <w:tab/>
            </w:r>
            <w:r w:rsidR="00B0234D">
              <w:rPr>
                <w:webHidden/>
              </w:rPr>
              <w:fldChar w:fldCharType="begin"/>
            </w:r>
            <w:r w:rsidR="00B0234D">
              <w:rPr>
                <w:webHidden/>
              </w:rPr>
              <w:instrText xml:space="preserve"> PAGEREF _Toc48738899 \h </w:instrText>
            </w:r>
            <w:r w:rsidR="00B0234D">
              <w:rPr>
                <w:webHidden/>
              </w:rPr>
            </w:r>
            <w:r w:rsidR="00B0234D">
              <w:rPr>
                <w:webHidden/>
              </w:rPr>
              <w:fldChar w:fldCharType="separate"/>
            </w:r>
            <w:r w:rsidR="00B0234D">
              <w:rPr>
                <w:webHidden/>
              </w:rPr>
              <w:t>13</w:t>
            </w:r>
            <w:r w:rsidR="00B0234D">
              <w:rPr>
                <w:webHidden/>
              </w:rPr>
              <w:fldChar w:fldCharType="end"/>
            </w:r>
          </w:hyperlink>
        </w:p>
        <w:p w14:paraId="27E56EBA" w14:textId="2CAB3294"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900" w:history="1">
            <w:r w:rsidR="00B0234D" w:rsidRPr="0047312C">
              <w:rPr>
                <w:rStyle w:val="Hyperlink"/>
              </w:rPr>
              <w:t>Párrafo 6</w:t>
            </w:r>
            <w:r w:rsidR="00B0234D">
              <w:rPr>
                <w:webHidden/>
              </w:rPr>
              <w:tab/>
            </w:r>
            <w:r w:rsidR="00B0234D">
              <w:rPr>
                <w:webHidden/>
              </w:rPr>
              <w:fldChar w:fldCharType="begin"/>
            </w:r>
            <w:r w:rsidR="00B0234D">
              <w:rPr>
                <w:webHidden/>
              </w:rPr>
              <w:instrText xml:space="preserve"> PAGEREF _Toc48738900 \h </w:instrText>
            </w:r>
            <w:r w:rsidR="00B0234D">
              <w:rPr>
                <w:webHidden/>
              </w:rPr>
            </w:r>
            <w:r w:rsidR="00B0234D">
              <w:rPr>
                <w:webHidden/>
              </w:rPr>
              <w:fldChar w:fldCharType="separate"/>
            </w:r>
            <w:r w:rsidR="00B0234D">
              <w:rPr>
                <w:webHidden/>
              </w:rPr>
              <w:t>14</w:t>
            </w:r>
            <w:r w:rsidR="00B0234D">
              <w:rPr>
                <w:webHidden/>
              </w:rPr>
              <w:fldChar w:fldCharType="end"/>
            </w:r>
          </w:hyperlink>
        </w:p>
        <w:p w14:paraId="27D5A9CB" w14:textId="5B933A75" w:rsidR="00B0234D" w:rsidRDefault="00A83356">
          <w:pPr>
            <w:pStyle w:val="TOC2"/>
            <w:rPr>
              <w:rFonts w:asciiTheme="minorHAnsi" w:eastAsiaTheme="minorEastAsia" w:hAnsiTheme="minorHAnsi" w:cstheme="minorBidi"/>
              <w:sz w:val="22"/>
              <w:szCs w:val="22"/>
              <w:lang w:val="en-US" w:eastAsia="en-US" w:bidi="ar-SA"/>
            </w:rPr>
          </w:pPr>
          <w:hyperlink w:anchor="_Toc48738901" w:history="1">
            <w:r w:rsidR="00B0234D" w:rsidRPr="0047312C">
              <w:rPr>
                <w:rStyle w:val="Hyperlink"/>
              </w:rPr>
              <w:t>[Información mutua de las autoridades de los miembros de la Unión]</w:t>
            </w:r>
            <w:r w:rsidR="00B0234D">
              <w:rPr>
                <w:webHidden/>
              </w:rPr>
              <w:tab/>
            </w:r>
            <w:r w:rsidR="00B0234D">
              <w:rPr>
                <w:webHidden/>
              </w:rPr>
              <w:fldChar w:fldCharType="begin"/>
            </w:r>
            <w:r w:rsidR="00B0234D">
              <w:rPr>
                <w:webHidden/>
              </w:rPr>
              <w:instrText xml:space="preserve"> PAGEREF _Toc48738901 \h </w:instrText>
            </w:r>
            <w:r w:rsidR="00B0234D">
              <w:rPr>
                <w:webHidden/>
              </w:rPr>
            </w:r>
            <w:r w:rsidR="00B0234D">
              <w:rPr>
                <w:webHidden/>
              </w:rPr>
              <w:fldChar w:fldCharType="separate"/>
            </w:r>
            <w:r w:rsidR="00B0234D">
              <w:rPr>
                <w:webHidden/>
              </w:rPr>
              <w:t>14</w:t>
            </w:r>
            <w:r w:rsidR="00B0234D">
              <w:rPr>
                <w:webHidden/>
              </w:rPr>
              <w:fldChar w:fldCharType="end"/>
            </w:r>
          </w:hyperlink>
        </w:p>
        <w:p w14:paraId="4ADF8A84" w14:textId="370E9A1D"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902" w:history="1">
            <w:r w:rsidR="00B0234D" w:rsidRPr="0047312C">
              <w:rPr>
                <w:rStyle w:val="Hyperlink"/>
              </w:rPr>
              <w:t>Párrafo 7</w:t>
            </w:r>
            <w:r w:rsidR="00B0234D">
              <w:rPr>
                <w:webHidden/>
              </w:rPr>
              <w:tab/>
            </w:r>
            <w:r w:rsidR="00B0234D">
              <w:rPr>
                <w:webHidden/>
              </w:rPr>
              <w:fldChar w:fldCharType="begin"/>
            </w:r>
            <w:r w:rsidR="00B0234D">
              <w:rPr>
                <w:webHidden/>
              </w:rPr>
              <w:instrText xml:space="preserve"> PAGEREF _Toc48738902 \h </w:instrText>
            </w:r>
            <w:r w:rsidR="00B0234D">
              <w:rPr>
                <w:webHidden/>
              </w:rPr>
            </w:r>
            <w:r w:rsidR="00B0234D">
              <w:rPr>
                <w:webHidden/>
              </w:rPr>
              <w:fldChar w:fldCharType="separate"/>
            </w:r>
            <w:r w:rsidR="00B0234D">
              <w:rPr>
                <w:webHidden/>
              </w:rPr>
              <w:t>15</w:t>
            </w:r>
            <w:r w:rsidR="00B0234D">
              <w:rPr>
                <w:webHidden/>
              </w:rPr>
              <w:fldChar w:fldCharType="end"/>
            </w:r>
          </w:hyperlink>
        </w:p>
        <w:p w14:paraId="7CD1C583" w14:textId="1B43CDF1" w:rsidR="00B0234D" w:rsidRDefault="00A83356">
          <w:pPr>
            <w:pStyle w:val="TOC2"/>
            <w:rPr>
              <w:rFonts w:asciiTheme="minorHAnsi" w:eastAsiaTheme="minorEastAsia" w:hAnsiTheme="minorHAnsi" w:cstheme="minorBidi"/>
              <w:sz w:val="22"/>
              <w:szCs w:val="22"/>
              <w:lang w:val="en-US" w:eastAsia="en-US" w:bidi="ar-SA"/>
            </w:rPr>
          </w:pPr>
          <w:hyperlink w:anchor="_Toc48738903" w:history="1">
            <w:r w:rsidR="00B0234D" w:rsidRPr="0047312C">
              <w:rPr>
                <w:rStyle w:val="Hyperlink"/>
              </w:rPr>
              <w:t>[Obligación de utilizar la denominación]</w:t>
            </w:r>
            <w:r w:rsidR="00B0234D">
              <w:rPr>
                <w:webHidden/>
              </w:rPr>
              <w:tab/>
            </w:r>
            <w:r w:rsidR="00B0234D">
              <w:rPr>
                <w:webHidden/>
              </w:rPr>
              <w:fldChar w:fldCharType="begin"/>
            </w:r>
            <w:r w:rsidR="00B0234D">
              <w:rPr>
                <w:webHidden/>
              </w:rPr>
              <w:instrText xml:space="preserve"> PAGEREF _Toc48738903 \h </w:instrText>
            </w:r>
            <w:r w:rsidR="00B0234D">
              <w:rPr>
                <w:webHidden/>
              </w:rPr>
            </w:r>
            <w:r w:rsidR="00B0234D">
              <w:rPr>
                <w:webHidden/>
              </w:rPr>
              <w:fldChar w:fldCharType="separate"/>
            </w:r>
            <w:r w:rsidR="00B0234D">
              <w:rPr>
                <w:webHidden/>
              </w:rPr>
              <w:t>15</w:t>
            </w:r>
            <w:r w:rsidR="00B0234D">
              <w:rPr>
                <w:webHidden/>
              </w:rPr>
              <w:fldChar w:fldCharType="end"/>
            </w:r>
          </w:hyperlink>
        </w:p>
        <w:p w14:paraId="16933172" w14:textId="61E51EBB" w:rsidR="00B0234D" w:rsidRDefault="00A83356">
          <w:pPr>
            <w:pStyle w:val="TOC1"/>
            <w:rPr>
              <w:rFonts w:asciiTheme="minorHAnsi" w:eastAsiaTheme="minorEastAsia" w:hAnsiTheme="minorHAnsi" w:cstheme="minorBidi"/>
              <w:bCs w:val="0"/>
              <w:caps w:val="0"/>
              <w:sz w:val="22"/>
              <w:szCs w:val="22"/>
              <w:lang w:val="en-US" w:eastAsia="en-US" w:bidi="ar-SA"/>
            </w:rPr>
          </w:pPr>
          <w:hyperlink w:anchor="_Toc48738904" w:history="1">
            <w:r w:rsidR="00B0234D" w:rsidRPr="0047312C">
              <w:rPr>
                <w:rStyle w:val="Hyperlink"/>
              </w:rPr>
              <w:t>Párrafo 8</w:t>
            </w:r>
            <w:r w:rsidR="00B0234D">
              <w:rPr>
                <w:webHidden/>
              </w:rPr>
              <w:tab/>
            </w:r>
            <w:r w:rsidR="00B0234D">
              <w:rPr>
                <w:webHidden/>
              </w:rPr>
              <w:fldChar w:fldCharType="begin"/>
            </w:r>
            <w:r w:rsidR="00B0234D">
              <w:rPr>
                <w:webHidden/>
              </w:rPr>
              <w:instrText xml:space="preserve"> PAGEREF _Toc48738904 \h </w:instrText>
            </w:r>
            <w:r w:rsidR="00B0234D">
              <w:rPr>
                <w:webHidden/>
              </w:rPr>
            </w:r>
            <w:r w:rsidR="00B0234D">
              <w:rPr>
                <w:webHidden/>
              </w:rPr>
              <w:fldChar w:fldCharType="separate"/>
            </w:r>
            <w:r w:rsidR="00B0234D">
              <w:rPr>
                <w:webHidden/>
              </w:rPr>
              <w:t>16</w:t>
            </w:r>
            <w:r w:rsidR="00B0234D">
              <w:rPr>
                <w:webHidden/>
              </w:rPr>
              <w:fldChar w:fldCharType="end"/>
            </w:r>
          </w:hyperlink>
        </w:p>
        <w:p w14:paraId="27DCA9D3" w14:textId="3B6B4736" w:rsidR="00B0234D" w:rsidRDefault="00A83356">
          <w:pPr>
            <w:pStyle w:val="TOC2"/>
            <w:rPr>
              <w:rFonts w:asciiTheme="minorHAnsi" w:eastAsiaTheme="minorEastAsia" w:hAnsiTheme="minorHAnsi" w:cstheme="minorBidi"/>
              <w:sz w:val="22"/>
              <w:szCs w:val="22"/>
              <w:lang w:val="en-US" w:eastAsia="en-US" w:bidi="ar-SA"/>
            </w:rPr>
          </w:pPr>
          <w:hyperlink w:anchor="_Toc48738905" w:history="1">
            <w:r w:rsidR="00B0234D" w:rsidRPr="0047312C">
              <w:rPr>
                <w:rStyle w:val="Hyperlink"/>
              </w:rPr>
              <w:t>[Indicaciones utilizadas en asociación con denominaciones]</w:t>
            </w:r>
            <w:r w:rsidR="00B0234D">
              <w:rPr>
                <w:webHidden/>
              </w:rPr>
              <w:tab/>
            </w:r>
            <w:r w:rsidR="00B0234D">
              <w:rPr>
                <w:webHidden/>
              </w:rPr>
              <w:fldChar w:fldCharType="begin"/>
            </w:r>
            <w:r w:rsidR="00B0234D">
              <w:rPr>
                <w:webHidden/>
              </w:rPr>
              <w:instrText xml:space="preserve"> PAGEREF _Toc48738905 \h </w:instrText>
            </w:r>
            <w:r w:rsidR="00B0234D">
              <w:rPr>
                <w:webHidden/>
              </w:rPr>
            </w:r>
            <w:r w:rsidR="00B0234D">
              <w:rPr>
                <w:webHidden/>
              </w:rPr>
              <w:fldChar w:fldCharType="separate"/>
            </w:r>
            <w:r w:rsidR="00B0234D">
              <w:rPr>
                <w:webHidden/>
              </w:rPr>
              <w:t>16</w:t>
            </w:r>
            <w:r w:rsidR="00B0234D">
              <w:rPr>
                <w:webHidden/>
              </w:rPr>
              <w:fldChar w:fldCharType="end"/>
            </w:r>
          </w:hyperlink>
        </w:p>
        <w:p w14:paraId="2EB5A4B4" w14:textId="69647AD8" w:rsidR="00F25630" w:rsidRDefault="00AC2559">
          <w:r>
            <w:rPr>
              <w:rFonts w:cs="Arial"/>
              <w:bCs/>
              <w:caps/>
              <w:noProof/>
              <w:sz w:val="18"/>
            </w:rPr>
            <w:fldChar w:fldCharType="end"/>
          </w:r>
        </w:p>
      </w:sdtContent>
    </w:sdt>
    <w:p w14:paraId="7F289920" w14:textId="5C87D54E" w:rsidR="0063477E" w:rsidRPr="008E5C61" w:rsidRDefault="0063477E">
      <w:pPr>
        <w:pStyle w:val="TOC1"/>
        <w:rPr>
          <w:rFonts w:asciiTheme="minorHAnsi" w:eastAsiaTheme="minorEastAsia" w:hAnsiTheme="minorHAnsi" w:cstheme="minorBidi"/>
          <w:bCs w:val="0"/>
          <w:caps w:val="0"/>
          <w:sz w:val="2"/>
          <w:szCs w:val="2"/>
        </w:rPr>
      </w:pPr>
    </w:p>
    <w:p w14:paraId="53875C2E" w14:textId="471EF4FA" w:rsidR="00D706BE" w:rsidRDefault="00D706BE" w:rsidP="009759AF">
      <w:pPr>
        <w:ind w:left="993" w:right="1275" w:hanging="993"/>
        <w:rPr>
          <w:noProof/>
          <w:sz w:val="18"/>
        </w:rPr>
      </w:pPr>
      <w:r>
        <w:rPr>
          <w:noProof/>
          <w:sz w:val="18"/>
        </w:rPr>
        <w:t xml:space="preserve">ANEXO I: </w:t>
      </w:r>
      <w:r>
        <w:tab/>
      </w:r>
      <w:r>
        <w:rPr>
          <w:noProof/>
          <w:sz w:val="18"/>
        </w:rPr>
        <w:t>Clases de denominaciones de variedades de la UPOV:</w:t>
      </w:r>
      <w:r w:rsidR="008130BA">
        <w:rPr>
          <w:noProof/>
          <w:sz w:val="18"/>
        </w:rPr>
        <w:t xml:space="preserve"> </w:t>
      </w:r>
      <w:r>
        <w:rPr>
          <w:noProof/>
          <w:sz w:val="18"/>
        </w:rPr>
        <w:t>una denominación de variedad no deberá ser utilizada más de una vez en la misma clase</w:t>
      </w:r>
    </w:p>
    <w:p w14:paraId="0AE83EC9" w14:textId="77777777" w:rsidR="00012886" w:rsidRDefault="00012886" w:rsidP="00012886">
      <w:pPr>
        <w:ind w:left="1134" w:right="1275" w:hanging="1134"/>
        <w:rPr>
          <w:noProof/>
          <w:sz w:val="18"/>
        </w:rPr>
      </w:pPr>
    </w:p>
    <w:p w14:paraId="0ABD51FB" w14:textId="77777777" w:rsidR="00012886" w:rsidRDefault="00012886" w:rsidP="0094333D">
      <w:pPr>
        <w:tabs>
          <w:tab w:val="left" w:pos="993"/>
        </w:tabs>
        <w:ind w:left="1134" w:right="1275" w:hanging="1134"/>
        <w:jc w:val="left"/>
        <w:rPr>
          <w:noProof/>
          <w:sz w:val="18"/>
        </w:rPr>
      </w:pPr>
      <w:r>
        <w:rPr>
          <w:noProof/>
          <w:sz w:val="18"/>
        </w:rPr>
        <w:t xml:space="preserve">ANEXO II: </w:t>
      </w:r>
      <w:r>
        <w:tab/>
        <w:t>-</w:t>
      </w:r>
      <w:r>
        <w:tab/>
      </w:r>
      <w:r w:rsidRPr="00C134CF">
        <w:rPr>
          <w:sz w:val="18"/>
          <w:szCs w:val="18"/>
        </w:rPr>
        <w:t>Formulario tipo para las observaciones sobre denominaciones de variedades propuestas a otro miembro de la Unión</w:t>
      </w:r>
    </w:p>
    <w:p w14:paraId="1BFEBD10" w14:textId="77777777" w:rsidR="00012886" w:rsidRDefault="00012886" w:rsidP="0094333D">
      <w:pPr>
        <w:tabs>
          <w:tab w:val="left" w:pos="993"/>
        </w:tabs>
        <w:ind w:left="1134" w:right="1275" w:hanging="1134"/>
        <w:jc w:val="left"/>
        <w:rPr>
          <w:noProof/>
          <w:sz w:val="18"/>
        </w:rPr>
      </w:pPr>
    </w:p>
    <w:p w14:paraId="16A7CF1B" w14:textId="77777777" w:rsidR="00012886" w:rsidRPr="00C134CF" w:rsidRDefault="00012886" w:rsidP="0094333D">
      <w:pPr>
        <w:tabs>
          <w:tab w:val="left" w:pos="993"/>
        </w:tabs>
        <w:ind w:left="1134" w:right="1275" w:hanging="1134"/>
        <w:jc w:val="left"/>
        <w:rPr>
          <w:sz w:val="18"/>
          <w:szCs w:val="18"/>
        </w:rPr>
      </w:pPr>
      <w:r>
        <w:tab/>
      </w:r>
      <w:r w:rsidRPr="00C134CF">
        <w:rPr>
          <w:sz w:val="18"/>
          <w:szCs w:val="18"/>
        </w:rPr>
        <w:t>-</w:t>
      </w:r>
      <w:r w:rsidRPr="00C134CF">
        <w:rPr>
          <w:sz w:val="18"/>
          <w:szCs w:val="18"/>
        </w:rPr>
        <w:tab/>
        <w:t>Respuesta tipo a las observaciones sobre denominaciones de variedades propuestas a otro miembro de la Unión</w:t>
      </w:r>
    </w:p>
    <w:p w14:paraId="3EC0EC71" w14:textId="77777777" w:rsidR="00893C7D" w:rsidRDefault="00893C7D" w:rsidP="00893C7D">
      <w:pPr>
        <w:jc w:val="center"/>
        <w:rPr>
          <w:caps/>
        </w:rPr>
      </w:pPr>
    </w:p>
    <w:p w14:paraId="0A3B7648" w14:textId="77777777" w:rsidR="00893C7D" w:rsidRDefault="00893C7D" w:rsidP="00893C7D">
      <w:pPr>
        <w:tabs>
          <w:tab w:val="left" w:pos="567"/>
        </w:tabs>
        <w:jc w:val="left"/>
      </w:pPr>
      <w:r>
        <w:br w:type="page"/>
      </w:r>
    </w:p>
    <w:p w14:paraId="263569B8" w14:textId="77777777" w:rsidR="002E6475" w:rsidRDefault="002E6475" w:rsidP="00783D38">
      <w:pPr>
        <w:spacing w:before="120"/>
        <w:jc w:val="center"/>
      </w:pPr>
      <w:r>
        <w:lastRenderedPageBreak/>
        <w:t>NOTAS EXPLICATIVAS SOBRE LAS DENOMINACIONES DE VARIEDADES</w:t>
      </w:r>
      <w:r>
        <w:br/>
        <w:t>CON ARREGLO AL CONVENIO DE LA UPOV</w:t>
      </w:r>
    </w:p>
    <w:p w14:paraId="6A258F35" w14:textId="77777777" w:rsidR="002E6475" w:rsidRPr="002E6475" w:rsidRDefault="002E6475" w:rsidP="002E6475"/>
    <w:p w14:paraId="3DF3DC84" w14:textId="77777777" w:rsidR="00893C7D" w:rsidRPr="0094333D" w:rsidRDefault="0094333D" w:rsidP="00BA57B3">
      <w:pPr>
        <w:pStyle w:val="Heading1"/>
      </w:pPr>
      <w:bookmarkStart w:id="3" w:name="_Toc15033872"/>
      <w:bookmarkStart w:id="4" w:name="_Toc48738879"/>
      <w:r>
        <w:t>PREÁMBULO</w:t>
      </w:r>
      <w:bookmarkEnd w:id="3"/>
      <w:bookmarkEnd w:id="4"/>
    </w:p>
    <w:p w14:paraId="4F5F7BE2" w14:textId="77777777" w:rsidR="00893C7D" w:rsidRPr="00407B23" w:rsidRDefault="00893C7D" w:rsidP="00893C7D"/>
    <w:p w14:paraId="1D207554" w14:textId="77777777" w:rsidR="00893C7D" w:rsidRPr="00783D38" w:rsidRDefault="00893C7D" w:rsidP="00893C7D">
      <w:r>
        <w:t>1.</w:t>
      </w:r>
      <w:r>
        <w:tab/>
        <w:t xml:space="preserve">El Consejo de la Unión Internacional para la Protección de las Obtenciones Vegetales (UPOV) se remite al Convenio Internacional para la Protección de las Obtenciones Vegetales (el Convenio de la UPOV), y en particular a los Artículos 5.2) y 20 del Acta de 1991, y a los Artículos 6.1)e) y 13 del Acta de 1978 y del Convenio de 1961, que prevén que las variedades deben recibir una denominación adecuada que será registrada al mismo tiempo que se otorga el derecho de obtentor. </w:t>
      </w:r>
    </w:p>
    <w:p w14:paraId="0141E465" w14:textId="77777777" w:rsidR="00893C7D" w:rsidRPr="00783D38" w:rsidRDefault="00893C7D" w:rsidP="00893C7D">
      <w:pPr>
        <w:rPr>
          <w:sz w:val="18"/>
        </w:rPr>
      </w:pPr>
    </w:p>
    <w:p w14:paraId="57E3B81A" w14:textId="77777777" w:rsidR="00893C7D" w:rsidRPr="00783D38" w:rsidRDefault="00893C7D" w:rsidP="00893C7D">
      <w:r>
        <w:t>2.</w:t>
      </w:r>
      <w:r>
        <w:tab/>
        <w:t>El Consejo recuerda que, con arreglo a las disposiciones pertinentes del Convenio de la UPOV, una denominación de variedad deberá ser adecuada como designación genérica y permitir la identificación de la variedad; no deberá ser susceptible de inducir a error o de prestarse a confusión sobre las características, el valor o la identidad de la variedad o sobre la identidad del obtentor.</w:t>
      </w:r>
    </w:p>
    <w:p w14:paraId="561AAD3D" w14:textId="77777777" w:rsidR="00893C7D" w:rsidRPr="00783D38" w:rsidRDefault="00893C7D" w:rsidP="00893C7D">
      <w:pPr>
        <w:rPr>
          <w:sz w:val="18"/>
        </w:rPr>
      </w:pPr>
    </w:p>
    <w:p w14:paraId="5874E2C3" w14:textId="77777777" w:rsidR="00893C7D" w:rsidRPr="00783D38" w:rsidRDefault="00893C7D" w:rsidP="00893C7D">
      <w:r>
        <w:t>3.</w:t>
      </w:r>
      <w:r>
        <w:tab/>
        <w:t>El Consejo hace hincapié en que el objetivo principal de estas notas explicativas es asegurarse de que, en la medida de lo posible, las variedades protegidas sean designadas en todos los miembros de la Unión con la misma denominación de variedad, que las denominaciones de variedad aprobadas se establezcan como designaciones genéricas y que se utilicen en la comercialización del material reproductivo o de propagación, incluso después de que haya expirado el derecho de obtentor.</w:t>
      </w:r>
    </w:p>
    <w:p w14:paraId="172C385F" w14:textId="77777777" w:rsidR="005F59D6" w:rsidRPr="00783D38" w:rsidRDefault="005F59D6" w:rsidP="005F59D6">
      <w:pPr>
        <w:rPr>
          <w:sz w:val="18"/>
        </w:rPr>
      </w:pPr>
    </w:p>
    <w:p w14:paraId="167B4CB6" w14:textId="77777777" w:rsidR="00906CB0" w:rsidRPr="00783D38" w:rsidRDefault="005F59D6" w:rsidP="00906CB0">
      <w:pPr>
        <w:rPr>
          <w:u w:val="single"/>
          <w:shd w:val="pct15" w:color="auto" w:fill="FFFFFF"/>
        </w:rPr>
      </w:pPr>
      <w:r>
        <w:rPr>
          <w:u w:val="single"/>
          <w:shd w:val="pct15" w:color="auto" w:fill="FFFFFF"/>
        </w:rPr>
        <w:t>4.</w:t>
      </w:r>
      <w:r>
        <w:tab/>
      </w:r>
      <w:r>
        <w:rPr>
          <w:u w:val="single"/>
          <w:shd w:val="pct15" w:color="auto" w:fill="FFFFFF"/>
        </w:rPr>
        <w:t>El Consejo recuerda la definición de “variedad” que consta en el Artículo 1.vi) del Acta de 1991 del Convenio de la UPOV:</w:t>
      </w:r>
      <w:r>
        <w:t xml:space="preserve"> </w:t>
      </w:r>
    </w:p>
    <w:p w14:paraId="133A9E70" w14:textId="77777777" w:rsidR="00906CB0" w:rsidRPr="00783D38" w:rsidRDefault="00906CB0" w:rsidP="00906CB0">
      <w:pPr>
        <w:rPr>
          <w:sz w:val="18"/>
          <w:u w:val="single"/>
          <w:shd w:val="pct15" w:color="auto" w:fill="FFFFFF"/>
        </w:rPr>
      </w:pPr>
    </w:p>
    <w:p w14:paraId="4ADCEAA1" w14:textId="77777777" w:rsidR="00906CB0" w:rsidRPr="00783D38" w:rsidRDefault="00906CB0" w:rsidP="00783D38">
      <w:pPr>
        <w:ind w:left="567"/>
        <w:rPr>
          <w:sz w:val="18"/>
          <w:szCs w:val="18"/>
          <w:u w:val="single"/>
          <w:shd w:val="pct15" w:color="auto" w:fill="FFFFFF"/>
        </w:rPr>
      </w:pPr>
      <w:r>
        <w:rPr>
          <w:sz w:val="18"/>
          <w:u w:val="single"/>
          <w:shd w:val="pct15" w:color="auto" w:fill="FFFFFF"/>
        </w:rPr>
        <w:t xml:space="preserve">se entenderá por “variedad” un conjunto de plantas de un solo taxón botánico del rango más bajo conocido que, con independencia de si responde o no plenamente a las condiciones para la concesión de un derecho de obtentor, pueda </w:t>
      </w:r>
    </w:p>
    <w:p w14:paraId="18220852" w14:textId="77777777" w:rsidR="00906CB0" w:rsidRPr="00783D38" w:rsidRDefault="00906CB0" w:rsidP="00783D38">
      <w:pPr>
        <w:ind w:left="993" w:hanging="142"/>
        <w:rPr>
          <w:sz w:val="18"/>
          <w:szCs w:val="18"/>
          <w:u w:val="single"/>
          <w:shd w:val="pct15" w:color="auto" w:fill="FFFFFF"/>
        </w:rPr>
      </w:pPr>
      <w:r>
        <w:rPr>
          <w:sz w:val="18"/>
          <w:u w:val="single"/>
          <w:shd w:val="pct15" w:color="auto" w:fill="FFFFFF"/>
        </w:rPr>
        <w:t xml:space="preserve">- definirse por la expresión de los caracteres resultantes de un cierto genotipo o de una cierta combinación de genotipos, </w:t>
      </w:r>
    </w:p>
    <w:p w14:paraId="6CA5DF7E" w14:textId="77777777" w:rsidR="00906CB0" w:rsidRPr="00783D38" w:rsidRDefault="00906CB0" w:rsidP="00783D38">
      <w:pPr>
        <w:ind w:left="993" w:hanging="142"/>
        <w:rPr>
          <w:sz w:val="18"/>
          <w:szCs w:val="18"/>
          <w:u w:val="single"/>
          <w:shd w:val="pct15" w:color="auto" w:fill="FFFFFF"/>
        </w:rPr>
      </w:pPr>
      <w:r>
        <w:rPr>
          <w:sz w:val="18"/>
          <w:u w:val="single"/>
          <w:shd w:val="pct15" w:color="auto" w:fill="FFFFFF"/>
        </w:rPr>
        <w:t xml:space="preserve">- distinguirse de cualquier otro conjunto de plantas por la expresión de uno de dichos caracteres por lo menos, y </w:t>
      </w:r>
    </w:p>
    <w:p w14:paraId="327BDD56" w14:textId="77777777" w:rsidR="00906CB0" w:rsidRPr="00783D38" w:rsidRDefault="00906CB0" w:rsidP="00783D38">
      <w:pPr>
        <w:ind w:left="993" w:hanging="142"/>
        <w:rPr>
          <w:u w:val="single"/>
          <w:shd w:val="pct15" w:color="auto" w:fill="FFFFFF"/>
        </w:rPr>
      </w:pPr>
      <w:r>
        <w:rPr>
          <w:sz w:val="18"/>
          <w:u w:val="single"/>
          <w:shd w:val="pct15" w:color="auto" w:fill="FFFFFF"/>
        </w:rPr>
        <w:t>- considerarse como una unidad, habida cuenta de su aptitud a propagarse sin alteración [</w:t>
      </w:r>
      <w:r>
        <w:rPr>
          <w:u w:val="single"/>
          <w:shd w:val="pct15" w:color="auto" w:fill="FFFFFF"/>
        </w:rPr>
        <w:t xml:space="preserve">;]. </w:t>
      </w:r>
    </w:p>
    <w:p w14:paraId="54E6E9C2" w14:textId="77777777" w:rsidR="005F59D6" w:rsidRPr="00783D38" w:rsidRDefault="005F59D6" w:rsidP="005F59D6">
      <w:pPr>
        <w:rPr>
          <w:u w:val="single"/>
        </w:rPr>
      </w:pPr>
    </w:p>
    <w:p w14:paraId="39A29630" w14:textId="2F2C86AF" w:rsidR="00893C7D" w:rsidRPr="00783D38" w:rsidRDefault="0094333D" w:rsidP="00893C7D">
      <w:r>
        <w:rPr>
          <w:strike/>
          <w:shd w:val="pct15" w:color="auto" w:fill="FFFFFF"/>
        </w:rPr>
        <w:t>4.</w:t>
      </w:r>
      <w:r>
        <w:rPr>
          <w:highlight w:val="lightGray"/>
          <w:u w:val="single"/>
          <w:shd w:val="pct15" w:color="auto" w:fill="FFFFFF"/>
        </w:rPr>
        <w:t>5</w:t>
      </w:r>
      <w:r>
        <w:rPr>
          <w:highlight w:val="lightGray"/>
          <w:u w:val="single"/>
        </w:rPr>
        <w:t>.</w:t>
      </w:r>
      <w:r>
        <w:tab/>
        <w:t>Si bien observa que las únicas obligaciones vinculantes de los miembros de la Unión son las que figuran en el Convenio de la UPOV, el Consejo considera que el objetivo expuesto en el párrafo 3 puede lograrse únicamente si las disposiciones generales sobre denominaciones de variedades previstas en el Convenio de la UPOV son interpretadas y aplicadas uniformemente por los miembros de la Unión y que, por lo tanto, resulta aconsejable la aprobación de las recomendaciones adecuadas.</w:t>
      </w:r>
      <w:r w:rsidR="008130BA">
        <w:t xml:space="preserve"> </w:t>
      </w:r>
      <w:r>
        <w:t>Esas notas explicativas no deberán interpretarse de manera que no estén en concordancia con el Convenio de la UPOV.</w:t>
      </w:r>
    </w:p>
    <w:p w14:paraId="2D6879B1" w14:textId="77777777" w:rsidR="00893C7D" w:rsidRPr="00783D38" w:rsidRDefault="00893C7D" w:rsidP="00893C7D">
      <w:pPr>
        <w:rPr>
          <w:sz w:val="18"/>
        </w:rPr>
      </w:pPr>
    </w:p>
    <w:p w14:paraId="1C11555E" w14:textId="77777777" w:rsidR="00893C7D" w:rsidRPr="00783D38" w:rsidRDefault="00893C7D" w:rsidP="00893C7D">
      <w:r>
        <w:rPr>
          <w:strike/>
          <w:highlight w:val="lightGray"/>
          <w:shd w:val="pct15" w:color="auto" w:fill="FFFFFF"/>
        </w:rPr>
        <w:t>5</w:t>
      </w:r>
      <w:r>
        <w:rPr>
          <w:strike/>
          <w:highlight w:val="lightGray"/>
        </w:rPr>
        <w:t>.</w:t>
      </w:r>
      <w:r>
        <w:rPr>
          <w:highlight w:val="lightGray"/>
          <w:u w:val="single"/>
        </w:rPr>
        <w:t>6.</w:t>
      </w:r>
      <w:r>
        <w:tab/>
        <w:t>El Consejo considera que la aprobación de tales notas explicativas para la interpretación y aplicación uniforme de las disposiciones sobre denominaciones de variedades ayudará no solamente a las autoridades</w:t>
      </w:r>
      <w:r>
        <w:rPr>
          <w:rStyle w:val="FootnoteReference"/>
        </w:rPr>
        <w:footnoteReference w:id="1"/>
      </w:r>
      <w:r>
        <w:t xml:space="preserve"> de los miembros de la Unión, sino también a los obtentores que deben seleccionar las denominaciones de variedades.</w:t>
      </w:r>
    </w:p>
    <w:p w14:paraId="6004B75C" w14:textId="77777777" w:rsidR="00893C7D" w:rsidRPr="00783D38" w:rsidRDefault="00893C7D" w:rsidP="00893C7D"/>
    <w:p w14:paraId="2FFB37D0" w14:textId="77777777" w:rsidR="00893C7D" w:rsidRPr="00783D38" w:rsidRDefault="00893C7D" w:rsidP="002E6475">
      <w:r>
        <w:rPr>
          <w:strike/>
          <w:highlight w:val="lightGray"/>
          <w:shd w:val="pct15" w:color="auto" w:fill="FFFFFF"/>
        </w:rPr>
        <w:t>6</w:t>
      </w:r>
      <w:r>
        <w:rPr>
          <w:strike/>
          <w:highlight w:val="lightGray"/>
        </w:rPr>
        <w:t>.</w:t>
      </w:r>
      <w:r>
        <w:rPr>
          <w:highlight w:val="lightGray"/>
          <w:u w:val="single"/>
        </w:rPr>
        <w:t>7.</w:t>
      </w:r>
      <w:r>
        <w:tab/>
        <w:t xml:space="preserve">El Consejo, habida cuenta de lo dispuesto en el Convenio de la UPOV (Artículo 26.5)x) del Acta de 1991 y Artículo 21.h) del Acta de 1978 y del Convenio de 1961), según lo cual tiene la tarea de adoptar todas las decisiones necesarias para el buen funcionamiento de la Unión, y a la luz de la experiencia adquirida por los miembros de la Unión con respecto a las denominaciones de variedades, recomienda a las autoridades de los Estados miembros de la Unión: </w:t>
      </w:r>
    </w:p>
    <w:p w14:paraId="5398F5E9" w14:textId="77777777" w:rsidR="00893C7D" w:rsidRPr="00783D38" w:rsidRDefault="00893C7D" w:rsidP="00893C7D">
      <w:pPr>
        <w:rPr>
          <w:sz w:val="18"/>
        </w:rPr>
      </w:pPr>
    </w:p>
    <w:p w14:paraId="2E1ED332" w14:textId="77777777" w:rsidR="00893C7D" w:rsidRPr="00783D38" w:rsidRDefault="00893C7D" w:rsidP="002E6475">
      <w:pPr>
        <w:pStyle w:val="ListParagraph"/>
        <w:numPr>
          <w:ilvl w:val="0"/>
          <w:numId w:val="5"/>
        </w:numPr>
        <w:ind w:left="0" w:firstLine="851"/>
      </w:pPr>
      <w:r>
        <w:t xml:space="preserve">basar sus decisiones en la conveniencia de las denominaciones de variedades propuestas en estas notas explicativas; </w:t>
      </w:r>
    </w:p>
    <w:p w14:paraId="6F99000D" w14:textId="77777777" w:rsidR="00893C7D" w:rsidRPr="00783D38" w:rsidRDefault="00893C7D" w:rsidP="008D4B95">
      <w:pPr>
        <w:rPr>
          <w:sz w:val="18"/>
        </w:rPr>
      </w:pPr>
    </w:p>
    <w:p w14:paraId="5BA3D939" w14:textId="77777777" w:rsidR="00893C7D" w:rsidRPr="00783D38" w:rsidRDefault="00893C7D" w:rsidP="002E6475">
      <w:pPr>
        <w:pStyle w:val="ListParagraph"/>
        <w:numPr>
          <w:ilvl w:val="0"/>
          <w:numId w:val="5"/>
        </w:numPr>
        <w:ind w:left="0" w:firstLine="851"/>
      </w:pPr>
      <w:r>
        <w:t xml:space="preserve">tomar en consideración las orientaciones que se brindan en estas notas explicativas en relación con el procedimiento de evaluación de la conveniencia de las denominaciones de variedades propuestas y el intercambio de información; </w:t>
      </w:r>
    </w:p>
    <w:p w14:paraId="37D14C21" w14:textId="77777777" w:rsidR="00893C7D" w:rsidRPr="00783D38" w:rsidRDefault="00893C7D" w:rsidP="008D4B95">
      <w:pPr>
        <w:rPr>
          <w:sz w:val="18"/>
        </w:rPr>
      </w:pPr>
    </w:p>
    <w:p w14:paraId="73626175" w14:textId="77777777" w:rsidR="00893C7D" w:rsidRPr="00783D38" w:rsidRDefault="00893C7D" w:rsidP="002E6475">
      <w:pPr>
        <w:pStyle w:val="ListParagraph"/>
        <w:numPr>
          <w:ilvl w:val="0"/>
          <w:numId w:val="5"/>
        </w:numPr>
        <w:ind w:left="0" w:firstLine="851"/>
      </w:pPr>
      <w:r>
        <w:lastRenderedPageBreak/>
        <w:t xml:space="preserve">proporcionar información completa sobre estas notas explicativas, para prestar asistencia a los obtentores al seleccionar las denominaciones de variedades. </w:t>
      </w:r>
    </w:p>
    <w:p w14:paraId="2041ACAF" w14:textId="77777777" w:rsidR="00893C7D" w:rsidRPr="00783D38" w:rsidRDefault="00893C7D" w:rsidP="00783D38"/>
    <w:p w14:paraId="128A6DB3" w14:textId="77777777" w:rsidR="00893C7D" w:rsidRPr="00783D38" w:rsidRDefault="00893C7D" w:rsidP="00893C7D">
      <w:r>
        <w:t xml:space="preserve">Las presentes notas explicativas </w:t>
      </w:r>
      <w:r>
        <w:rPr>
          <w:u w:val="single"/>
          <w:shd w:val="pct15" w:color="auto" w:fill="FFFFFF"/>
        </w:rPr>
        <w:t>(documento UPOV/EXN/DEN/1)</w:t>
      </w:r>
      <w:r>
        <w:t xml:space="preserve"> sustituyen a las orientaciones anteriores relativas a esta cuestión, a saber, las “Notas explicativas sobre las denominaciones de variedades con arreglo al Convenio de la UPOV” (documento UPOV/INF/12/</w:t>
      </w:r>
      <w:r>
        <w:rPr>
          <w:strike/>
          <w:shd w:val="pct15" w:color="auto" w:fill="FFFFFF"/>
        </w:rPr>
        <w:t>3</w:t>
      </w:r>
      <w:r>
        <w:rPr>
          <w:u w:val="single"/>
          <w:shd w:val="pct15" w:color="auto" w:fill="FFFFFF"/>
        </w:rPr>
        <w:t>5</w:t>
      </w:r>
      <w:r>
        <w:t>).</w:t>
      </w:r>
    </w:p>
    <w:p w14:paraId="639F2160" w14:textId="77777777"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14:paraId="6944B5FA" w14:textId="77777777" w:rsidTr="008D4B95">
        <w:trPr>
          <w:jc w:val="center"/>
        </w:trPr>
        <w:tc>
          <w:tcPr>
            <w:tcW w:w="9287" w:type="dxa"/>
            <w:tcBorders>
              <w:top w:val="single" w:sz="4" w:space="0" w:color="auto"/>
              <w:left w:val="single" w:sz="4" w:space="0" w:color="auto"/>
              <w:bottom w:val="single" w:sz="4" w:space="0" w:color="auto"/>
              <w:right w:val="single" w:sz="4" w:space="0" w:color="auto"/>
            </w:tcBorders>
          </w:tcPr>
          <w:p w14:paraId="6AD0464D" w14:textId="77777777" w:rsidR="00893C7D" w:rsidRPr="00407B23" w:rsidRDefault="00893C7D" w:rsidP="00893C7D">
            <w:pPr>
              <w:pStyle w:val="Style1"/>
              <w:pageBreakBefore/>
              <w:spacing w:before="240"/>
              <w:jc w:val="center"/>
              <w:rPr>
                <w:b/>
              </w:rPr>
            </w:pPr>
            <w:r>
              <w:rPr>
                <w:b/>
              </w:rPr>
              <w:lastRenderedPageBreak/>
              <w:t xml:space="preserve">NOTAS EXPLICATIVAS SOBRE LAS DENOMINACIONES DE VARIEDADES </w:t>
            </w:r>
            <w:r>
              <w:rPr>
                <w:b/>
              </w:rPr>
              <w:br/>
              <w:t>CON ARREGLO AL CONVENIO DE LA UPOV</w:t>
            </w:r>
          </w:p>
          <w:p w14:paraId="5325DD6D" w14:textId="77777777" w:rsidR="00893C7D" w:rsidRPr="00407B23" w:rsidRDefault="00893C7D" w:rsidP="00893C7D">
            <w:pPr>
              <w:pStyle w:val="Style1"/>
              <w:pageBreakBefore/>
              <w:jc w:val="center"/>
            </w:pPr>
          </w:p>
          <w:p w14:paraId="6EAC7656" w14:textId="77777777" w:rsidR="00893C7D" w:rsidRPr="00407B23" w:rsidRDefault="00893C7D" w:rsidP="00893C7D">
            <w:pPr>
              <w:pStyle w:val="Style1"/>
              <w:pageBreakBefore/>
              <w:spacing w:after="240"/>
              <w:jc w:val="center"/>
              <w:rPr>
                <w:i/>
                <w:highlight w:val="yellow"/>
              </w:rPr>
            </w:pPr>
            <w:r>
              <w:rPr>
                <w:i/>
              </w:rPr>
              <w:t>Las notas explicativas que figuran a continuación corresponden a los números de párrafo</w:t>
            </w:r>
            <w:r>
              <w:rPr>
                <w:i/>
              </w:rPr>
              <w:br/>
              <w:t>del Artículo 20 del Acta de 1991 y del Artículo 13 del Acta de 1978 y</w:t>
            </w:r>
            <w:r>
              <w:rPr>
                <w:i/>
              </w:rPr>
              <w:br/>
              <w:t>del Convenio de 1961, a menos que se indique lo contrario.</w:t>
            </w:r>
          </w:p>
        </w:tc>
      </w:tr>
    </w:tbl>
    <w:p w14:paraId="65A00FD9" w14:textId="77777777" w:rsidR="007A1DCC" w:rsidRDefault="007A1DCC" w:rsidP="00893C7D">
      <w:pPr>
        <w:rPr>
          <w:i/>
        </w:rPr>
      </w:pPr>
    </w:p>
    <w:p w14:paraId="488CF796" w14:textId="77777777" w:rsidR="00337C2C" w:rsidRPr="00407B23" w:rsidRDefault="00337C2C" w:rsidP="00893C7D">
      <w:pPr>
        <w:rPr>
          <w:i/>
        </w:rPr>
      </w:pPr>
    </w:p>
    <w:p w14:paraId="630303B7" w14:textId="77777777" w:rsidR="00893C7D" w:rsidRPr="00BA57B3" w:rsidRDefault="00893C7D" w:rsidP="00BA57B3">
      <w:pPr>
        <w:pStyle w:val="Heading1"/>
      </w:pPr>
      <w:bookmarkStart w:id="5" w:name="_Toc15033873"/>
      <w:bookmarkStart w:id="6" w:name="_Toc48738880"/>
      <w:r>
        <w:t>Párrafo 1</w:t>
      </w:r>
      <w:bookmarkEnd w:id="5"/>
      <w:bookmarkEnd w:id="6"/>
    </w:p>
    <w:p w14:paraId="05B2759A" w14:textId="77777777" w:rsidR="00893C7D" w:rsidRPr="00407B23" w:rsidRDefault="00893C7D" w:rsidP="00893C7D">
      <w:pPr>
        <w:jc w:val="center"/>
      </w:pPr>
      <w:r>
        <w:t>(Párrafos 1 y 3 del Artículo 13 del Convenio de 1961)</w:t>
      </w:r>
    </w:p>
    <w:p w14:paraId="2A563A90" w14:textId="77777777" w:rsidR="00893C7D" w:rsidRPr="00407B23" w:rsidRDefault="00893C7D" w:rsidP="00893C7D"/>
    <w:p w14:paraId="491160D5" w14:textId="77777777" w:rsidR="00E3281E" w:rsidRDefault="00893C7D" w:rsidP="00E3281E">
      <w:pPr>
        <w:pStyle w:val="Heading2"/>
      </w:pPr>
      <w:bookmarkStart w:id="7" w:name="_Toc15033874"/>
      <w:bookmarkStart w:id="8" w:name="_Toc48738881"/>
      <w:r>
        <w:t>[Designación de las variedades por denominaciones; utilización de la denominación]</w:t>
      </w:r>
      <w:bookmarkEnd w:id="7"/>
      <w:bookmarkEnd w:id="8"/>
    </w:p>
    <w:p w14:paraId="3ABC9FE6" w14:textId="77777777" w:rsidR="00E3281E" w:rsidRDefault="00E3281E" w:rsidP="00E3281E">
      <w:pPr>
        <w:jc w:val="center"/>
        <w:rPr>
          <w:b/>
        </w:rPr>
      </w:pPr>
    </w:p>
    <w:p w14:paraId="714F1032" w14:textId="25A54C78" w:rsidR="00893C7D" w:rsidRPr="00407B23" w:rsidRDefault="00893C7D" w:rsidP="00893C7D">
      <w:pPr>
        <w:ind w:firstLine="567"/>
        <w:rPr>
          <w:b/>
        </w:rPr>
      </w:pPr>
      <w:r>
        <w:rPr>
          <w:b/>
        </w:rPr>
        <w:t>La variedad será designada por una denominación destinada a ser su designación genérica.</w:t>
      </w:r>
      <w:r w:rsidR="008130BA">
        <w:rPr>
          <w:b/>
        </w:rPr>
        <w:t xml:space="preserve"> </w:t>
      </w:r>
      <w:r>
        <w:rPr>
          <w:b/>
        </w:rPr>
        <w:t>Cada miembro de la Unión se asegurará de que, a reserva de lo dispuesto en el párrafo 4), ningún derecho relativo a la designación registrada como la denominación de la variedad obstaculice la libre utilización de la denominación en relación con la variedad, incluso después de la expiración del derecho de obtentor.</w:t>
      </w:r>
    </w:p>
    <w:p w14:paraId="012D3F9C" w14:textId="77777777" w:rsidR="00893C7D" w:rsidRPr="00407B23" w:rsidRDefault="00893C7D" w:rsidP="00893C7D">
      <w:pPr>
        <w:rPr>
          <w:b/>
        </w:rPr>
      </w:pPr>
    </w:p>
    <w:p w14:paraId="3FEDF773" w14:textId="77777777" w:rsidR="00893C7D" w:rsidRPr="00E3281E" w:rsidRDefault="00893C7D" w:rsidP="00E3281E">
      <w:pPr>
        <w:rPr>
          <w:u w:val="single"/>
        </w:rPr>
      </w:pPr>
      <w:r>
        <w:rPr>
          <w:u w:val="single"/>
        </w:rPr>
        <w:t>Notas explicativas – Párrafo 1)</w:t>
      </w:r>
    </w:p>
    <w:p w14:paraId="273ABDF6" w14:textId="77777777" w:rsidR="00893C7D" w:rsidRPr="00407B23" w:rsidRDefault="00893C7D" w:rsidP="00893C7D"/>
    <w:p w14:paraId="13965ABD" w14:textId="08C6B6E2" w:rsidR="00893C7D" w:rsidRPr="00407B23" w:rsidRDefault="00893C7D" w:rsidP="00893C7D">
      <w:pPr>
        <w:widowControl w:val="0"/>
        <w:tabs>
          <w:tab w:val="left" w:pos="567"/>
        </w:tabs>
      </w:pPr>
      <w:r>
        <w:t>1.1</w:t>
      </w:r>
      <w:r>
        <w:tab/>
        <w:t>El Artículo 5.2) del Acta de 1991 y el Artículo 6.1)e) del Acta de 1978 y del Convenio de 1961 exigen que la variedad sea designada mediante una denominación.</w:t>
      </w:r>
      <w:r w:rsidR="008130BA">
        <w:t xml:space="preserve"> </w:t>
      </w:r>
      <w:r>
        <w:t>En el párrafo 1) se establece que la denominación será la designación genérica de la variedad, y a reserva de los derechos anteriores, ningún derecho sobre la designación obstaculizará la libre utilización de la denominación de la variedad, incluso después de la expiración del derecho de obtentor.</w:t>
      </w:r>
      <w:r w:rsidR="008130BA">
        <w:t xml:space="preserve"> </w:t>
      </w:r>
      <w:r>
        <w:t>La obligación prevista en el párrafo 1) deberá considerarse junto con la obligación de utilizar la denominación de la variedad respecto de la venta o comercialización del material de reproducción o de multiplicación vegetativa de la variedad (véase el párrafo 7)).</w:t>
      </w:r>
    </w:p>
    <w:p w14:paraId="0A23CC5F" w14:textId="77777777" w:rsidR="00893C7D" w:rsidRPr="00407B23" w:rsidRDefault="00893C7D" w:rsidP="00893C7D">
      <w:pPr>
        <w:widowControl w:val="0"/>
        <w:tabs>
          <w:tab w:val="left" w:pos="567"/>
        </w:tabs>
      </w:pPr>
    </w:p>
    <w:p w14:paraId="1A640579" w14:textId="5DE33FBA" w:rsidR="00893C7D" w:rsidRPr="00407B23" w:rsidRDefault="00893C7D" w:rsidP="00893C7D">
      <w:pPr>
        <w:widowControl w:val="0"/>
        <w:tabs>
          <w:tab w:val="left" w:pos="567"/>
        </w:tabs>
      </w:pPr>
      <w:r>
        <w:t>1.2</w:t>
      </w:r>
      <w:r>
        <w:tab/>
        <w:t>La obligación prevista en el párrafo 1) de permitir el uso de la denominación en relación con la variedad, incluso después de expirado el derecho de obtentor, es importante si el obtentor de la variedad es también el titular de una marca que es idéntica a la denominación de la variedad. Cabe destacar que, cuando un nombre es registrado como marca por la autoridad en el ámbito de las marcas, la utilización del nombre como denominación de la variedad puede convertir a la marca en un nombre genérico.</w:t>
      </w:r>
      <w:r w:rsidR="008130BA">
        <w:t xml:space="preserve"> </w:t>
      </w:r>
      <w:r>
        <w:t>En tales casos, puede hacer de la marca una marca susceptible de cancelación.</w:t>
      </w:r>
      <w:r>
        <w:rPr>
          <w:rStyle w:val="FootnoteReference"/>
        </w:rPr>
        <w:footnoteReference w:id="2"/>
      </w:r>
      <w:r w:rsidR="008130BA">
        <w:t xml:space="preserve"> </w:t>
      </w:r>
      <w:r>
        <w:t>Con el fin de asegurar la claridad y la certidumbre en relación con las denominaciones de variedades, las autoridades deberían rechazar una denominación de variedad que sea la misma que la de una marca sobre la que tenga un derecho el obtentor.</w:t>
      </w:r>
      <w:r w:rsidR="008130BA">
        <w:t xml:space="preserve"> </w:t>
      </w:r>
      <w:r>
        <w:t>El obtentor podrá elegir renunciar al derecho sobre la marca antes de presentar una denominación propuesta con el fin de evitar su rechazo.</w:t>
      </w:r>
    </w:p>
    <w:p w14:paraId="0A32A5D6" w14:textId="77777777" w:rsidR="00893C7D" w:rsidRDefault="00893C7D">
      <w:pPr>
        <w:jc w:val="left"/>
      </w:pPr>
    </w:p>
    <w:p w14:paraId="5410C308" w14:textId="77777777" w:rsidR="00893C7D" w:rsidRPr="003B1180" w:rsidRDefault="00893C7D" w:rsidP="00893C7D">
      <w:pPr>
        <w:widowControl w:val="0"/>
        <w:tabs>
          <w:tab w:val="left" w:pos="567"/>
        </w:tabs>
        <w:rPr>
          <w:u w:val="single"/>
        </w:rPr>
      </w:pPr>
      <w:r>
        <w:rPr>
          <w:highlight w:val="lightGray"/>
          <w:u w:val="single"/>
        </w:rPr>
        <w:t>1.3</w:t>
      </w:r>
      <w:r>
        <w:tab/>
      </w:r>
      <w:r>
        <w:rPr>
          <w:color w:val="000000"/>
          <w:highlight w:val="lightGray"/>
          <w:u w:val="single"/>
        </w:rPr>
        <w:t>Si una autoridad tiene conocimiento y admite que se registre una denominación de una variedad cuyo obtentor es también el titular de una marca que es idéntica a la denominación de la variedad, dicha autoridad</w:t>
      </w:r>
      <w:r>
        <w:rPr>
          <w:dstrike/>
          <w:highlight w:val="yellow"/>
          <w:shd w:val="pct15" w:color="auto" w:fill="FFFFFF"/>
        </w:rPr>
        <w:t>, si tiene conocimiento de ello</w:t>
      </w:r>
      <w:r>
        <w:rPr>
          <w:rStyle w:val="EndnoteReference"/>
          <w:b/>
          <w:highlight w:val="yellow"/>
          <w:u w:val="single"/>
          <w:shd w:val="pct15" w:color="auto" w:fill="FFFFFF"/>
        </w:rPr>
        <w:endnoteReference w:id="1"/>
      </w:r>
      <w:r>
        <w:rPr>
          <w:highlight w:val="lightGray"/>
          <w:u w:val="single"/>
          <w:shd w:val="pct15" w:color="auto" w:fill="FFFFFF"/>
        </w:rPr>
        <w:t>,</w:t>
      </w:r>
      <w:r>
        <w:rPr>
          <w:color w:val="000000"/>
          <w:highlight w:val="lightGray"/>
          <w:u w:val="single"/>
        </w:rPr>
        <w:t xml:space="preserve"> deberá informar al obtentor de la obligación de permitir el uso de la denominación en relación con la variedad, incluso después de haber expirado el derecho de obtentor.</w:t>
      </w:r>
    </w:p>
    <w:p w14:paraId="2216DDE7" w14:textId="77777777" w:rsidR="00893C7D" w:rsidRDefault="00893C7D" w:rsidP="00893C7D">
      <w:pPr>
        <w:widowControl w:val="0"/>
        <w:tabs>
          <w:tab w:val="left" w:pos="567"/>
        </w:tabs>
      </w:pPr>
    </w:p>
    <w:p w14:paraId="624BB225" w14:textId="77777777" w:rsidR="00893C7D" w:rsidRPr="00E3281E" w:rsidRDefault="00893C7D" w:rsidP="00BA57B3">
      <w:pPr>
        <w:pStyle w:val="Heading1"/>
      </w:pPr>
      <w:bookmarkStart w:id="9" w:name="_Toc15033875"/>
      <w:bookmarkStart w:id="10" w:name="_Toc48738882"/>
      <w:r>
        <w:t>Párrafo 2</w:t>
      </w:r>
      <w:bookmarkEnd w:id="9"/>
      <w:bookmarkEnd w:id="10"/>
    </w:p>
    <w:p w14:paraId="0CFE1D5F" w14:textId="77777777" w:rsidR="00893C7D" w:rsidRPr="00407B23" w:rsidRDefault="00893C7D" w:rsidP="0009426E">
      <w:pPr>
        <w:keepNext/>
        <w:jc w:val="center"/>
        <w:rPr>
          <w:b/>
        </w:rPr>
      </w:pPr>
    </w:p>
    <w:p w14:paraId="0BB97685" w14:textId="77777777" w:rsidR="00E3281E" w:rsidRDefault="00893C7D" w:rsidP="0009426E">
      <w:pPr>
        <w:pStyle w:val="Heading2"/>
      </w:pPr>
      <w:bookmarkStart w:id="11" w:name="_Toc15033876"/>
      <w:bookmarkStart w:id="12" w:name="_Toc48738883"/>
      <w:r>
        <w:t>[Características de la denominación]</w:t>
      </w:r>
      <w:bookmarkEnd w:id="11"/>
      <w:bookmarkEnd w:id="12"/>
    </w:p>
    <w:p w14:paraId="650477D9" w14:textId="77777777" w:rsidR="00E3281E" w:rsidRDefault="00E3281E" w:rsidP="0009426E">
      <w:pPr>
        <w:keepNext/>
        <w:keepLines/>
        <w:ind w:firstLine="567"/>
        <w:rPr>
          <w:b/>
        </w:rPr>
      </w:pPr>
    </w:p>
    <w:p w14:paraId="7776AE20" w14:textId="57359F97" w:rsidR="00893C7D" w:rsidRPr="00407B23" w:rsidRDefault="00893C7D" w:rsidP="0009426E">
      <w:pPr>
        <w:keepNext/>
        <w:keepLines/>
        <w:ind w:firstLine="567"/>
        <w:rPr>
          <w:b/>
        </w:rPr>
      </w:pPr>
      <w:r>
        <w:rPr>
          <w:b/>
        </w:rPr>
        <w:t>La denominación deberá permitir identificar la variedad.</w:t>
      </w:r>
      <w:r w:rsidR="008130BA">
        <w:rPr>
          <w:b/>
        </w:rPr>
        <w:t xml:space="preserve"> </w:t>
      </w:r>
      <w:r>
        <w:rPr>
          <w:b/>
        </w:rPr>
        <w:t>No podrá componerse únicamente de cifras, salvo cuando sea una práctica establecida para designar variedades.</w:t>
      </w:r>
      <w:r w:rsidR="008130BA">
        <w:rPr>
          <w:b/>
        </w:rPr>
        <w:t xml:space="preserve"> </w:t>
      </w:r>
      <w:r>
        <w:rPr>
          <w:b/>
        </w:rPr>
        <w:t>No deberá ser susceptible de inducir en error o de prestarse a confusión sobre las características, el valor o la identidad de la variedad o sobre la identidad del obtentor.</w:t>
      </w:r>
      <w:r w:rsidR="008130BA">
        <w:rPr>
          <w:b/>
        </w:rPr>
        <w:t xml:space="preserve"> </w:t>
      </w:r>
      <w:r>
        <w:rPr>
          <w:b/>
        </w:rPr>
        <w:t>Concretamente, deberá ser diferente de toda denominación que designe, en el territorio de cualquiera de los miembros de la Unión, una variedad existente de la misma especie vegetal o de una especie vecina.</w:t>
      </w:r>
    </w:p>
    <w:p w14:paraId="1F02E9DA" w14:textId="77777777" w:rsidR="00893C7D" w:rsidRDefault="00893C7D" w:rsidP="00893C7D"/>
    <w:p w14:paraId="4DD21D25" w14:textId="77777777" w:rsidR="00893C7D" w:rsidRPr="00E3281E" w:rsidRDefault="00893C7D" w:rsidP="00E3281E">
      <w:pPr>
        <w:keepNext/>
        <w:rPr>
          <w:u w:val="single"/>
        </w:rPr>
      </w:pPr>
      <w:r>
        <w:rPr>
          <w:u w:val="single"/>
        </w:rPr>
        <w:t>Notas explicativas – Párrafo 2)</w:t>
      </w:r>
    </w:p>
    <w:p w14:paraId="10B50330" w14:textId="77777777" w:rsidR="00893C7D" w:rsidRDefault="00893C7D" w:rsidP="00E3281E">
      <w:pPr>
        <w:keepNext/>
      </w:pPr>
    </w:p>
    <w:p w14:paraId="0B480DC0" w14:textId="77777777" w:rsidR="00893C7D" w:rsidRPr="00D768B5" w:rsidRDefault="00893C7D" w:rsidP="00B45AEA">
      <w:pPr>
        <w:pStyle w:val="Heading3"/>
      </w:pPr>
      <w:bookmarkStart w:id="13" w:name="_Toc15033877"/>
      <w:bookmarkStart w:id="14" w:name="_Toc48718046"/>
      <w:bookmarkStart w:id="15" w:name="_Toc48738884"/>
      <w:r>
        <w:t>2.1.</w:t>
      </w:r>
      <w:r>
        <w:tab/>
        <w:t>Identificación</w:t>
      </w:r>
      <w:bookmarkEnd w:id="13"/>
      <w:bookmarkEnd w:id="14"/>
      <w:bookmarkEnd w:id="15"/>
    </w:p>
    <w:p w14:paraId="664432E6" w14:textId="77777777" w:rsidR="00893C7D" w:rsidRPr="00407B23" w:rsidRDefault="00893C7D" w:rsidP="00893C7D"/>
    <w:p w14:paraId="61618B94" w14:textId="6CE598D9" w:rsidR="00893C7D" w:rsidRDefault="00893C7D" w:rsidP="00893C7D">
      <w:pPr>
        <w:tabs>
          <w:tab w:val="left" w:pos="567"/>
        </w:tabs>
      </w:pPr>
      <w:r>
        <w:t>Las disposiciones del párrafo 2) ponen de relieve la función “identificadora” de la denominación.</w:t>
      </w:r>
      <w:r w:rsidR="008130BA">
        <w:t xml:space="preserve"> </w:t>
      </w:r>
      <w:r>
        <w:t>Habida cuenta de que el principal objetivo de la denominación es identificar la variedad, se debería permitir la suficiente flexibilidad como para incorporar prácticas en constante evolución de designación de variedades.</w:t>
      </w:r>
    </w:p>
    <w:p w14:paraId="7634876D" w14:textId="77777777" w:rsidR="00893C7D" w:rsidRDefault="00893C7D" w:rsidP="00893C7D">
      <w:pPr>
        <w:tabs>
          <w:tab w:val="left" w:pos="567"/>
        </w:tabs>
      </w:pPr>
    </w:p>
    <w:p w14:paraId="583C588F" w14:textId="77777777" w:rsidR="00893C7D" w:rsidRDefault="00893C7D" w:rsidP="00893C7D">
      <w:pPr>
        <w:tabs>
          <w:tab w:val="left" w:pos="567"/>
        </w:tabs>
      </w:pPr>
    </w:p>
    <w:p w14:paraId="1E1E3873" w14:textId="77777777" w:rsidR="00893C7D" w:rsidRPr="00407B23" w:rsidRDefault="00893C7D" w:rsidP="00B45AEA">
      <w:pPr>
        <w:pStyle w:val="Heading3"/>
      </w:pPr>
      <w:bookmarkStart w:id="16" w:name="_Toc15033878"/>
      <w:bookmarkStart w:id="17" w:name="_Toc48718047"/>
      <w:bookmarkStart w:id="18" w:name="_Toc48738885"/>
      <w:r>
        <w:t>2.2.</w:t>
      </w:r>
      <w:r>
        <w:tab/>
        <w:t>Únicamente de cifras</w:t>
      </w:r>
      <w:bookmarkEnd w:id="16"/>
      <w:bookmarkEnd w:id="17"/>
      <w:bookmarkEnd w:id="18"/>
    </w:p>
    <w:p w14:paraId="086846BB" w14:textId="77777777" w:rsidR="00893C7D" w:rsidRPr="00407B23" w:rsidRDefault="00893C7D" w:rsidP="00893C7D">
      <w:pPr>
        <w:rPr>
          <w:i/>
        </w:rPr>
      </w:pPr>
    </w:p>
    <w:p w14:paraId="236E3B31" w14:textId="1D13A9EB" w:rsidR="00893C7D" w:rsidRPr="00407B23" w:rsidRDefault="00893C7D" w:rsidP="00893C7D">
      <w:r>
        <w:t xml:space="preserve">2.2.1 </w:t>
      </w:r>
      <w:r>
        <w:tab/>
        <w:t>El párrafo 2) establece que la denominación no podrá componerse “únicamente de cifras”, salvo cuando sea una “práctica establecida” para designar variedades.</w:t>
      </w:r>
      <w:r w:rsidR="008130BA">
        <w:t xml:space="preserve"> </w:t>
      </w:r>
      <w:r>
        <w:t>La expresión “únicamente de cifras” se refiere a las denominaciones de variedades compuestas exclusivamente de cifras (por ejemplo, 91150).</w:t>
      </w:r>
      <w:r w:rsidR="008130BA">
        <w:t xml:space="preserve"> </w:t>
      </w:r>
      <w:r>
        <w:t>Por consiguiente, las denominaciones que contengan tanto letras como cifras no están sujetas al requisito de la “práctica establecida” (por ejemplo, AX350).</w:t>
      </w:r>
      <w:r w:rsidR="008130BA">
        <w:t xml:space="preserve"> </w:t>
      </w:r>
    </w:p>
    <w:p w14:paraId="56E196AC" w14:textId="77777777" w:rsidR="00893C7D" w:rsidRPr="00407B23" w:rsidRDefault="00893C7D" w:rsidP="00893C7D"/>
    <w:p w14:paraId="275E3674" w14:textId="07272DC7" w:rsidR="00893C7D" w:rsidRPr="00407B23" w:rsidRDefault="00893C7D" w:rsidP="00893C7D">
      <w:r>
        <w:t xml:space="preserve">2.2.2 </w:t>
      </w:r>
      <w:r>
        <w:tab/>
        <w:t>En el caso de las denominaciones compuestas “únicamente de cifras”, los siguientes elementos no exhaustivos pueden ayudar a las autoridades a comprender lo que podría considerarse como una “práctica establecida”:</w:t>
      </w:r>
      <w:r w:rsidR="008130BA">
        <w:t xml:space="preserve"> </w:t>
      </w:r>
    </w:p>
    <w:p w14:paraId="645BBE2E" w14:textId="77777777" w:rsidR="00893C7D" w:rsidRPr="00407B23" w:rsidRDefault="00893C7D" w:rsidP="00893C7D"/>
    <w:p w14:paraId="2E9BD3D6" w14:textId="77777777" w:rsidR="00893C7D" w:rsidRPr="00407B23" w:rsidRDefault="00893C7D" w:rsidP="00893C7D">
      <w:pPr>
        <w:ind w:firstLine="567"/>
      </w:pPr>
      <w:r>
        <w:t xml:space="preserve">a) </w:t>
      </w:r>
      <w:r>
        <w:tab/>
        <w:t>en el caso de las variedades utilizadas dentro de un círculo limitado de especialistas, la práctica establecida debería reflejar ese círculo de especialistas (por ejemplo, líneas endógamas);</w:t>
      </w:r>
    </w:p>
    <w:p w14:paraId="2B1A8C83" w14:textId="77777777" w:rsidR="00893C7D" w:rsidRPr="00407B23" w:rsidRDefault="00893C7D" w:rsidP="00893C7D">
      <w:pPr>
        <w:ind w:firstLine="567"/>
      </w:pPr>
    </w:p>
    <w:p w14:paraId="348D5A47" w14:textId="74D1523C" w:rsidR="00893C7D" w:rsidRPr="00407B23" w:rsidRDefault="00893C7D" w:rsidP="00893C7D">
      <w:pPr>
        <w:ind w:firstLine="567"/>
        <w:rPr>
          <w:color w:val="000000"/>
        </w:rPr>
      </w:pPr>
      <w:r>
        <w:t xml:space="preserve">b) </w:t>
      </w:r>
      <w:r>
        <w:tab/>
        <w:t>prácticas de comercialización aceptadas para determinados tipos de variedades (por ejemplo, híbridos) y ciert</w:t>
      </w:r>
      <w:r>
        <w:rPr>
          <w:rFonts w:hint="eastAsia"/>
          <w:color w:val="000000"/>
          <w:highlight w:val="lightGray"/>
          <w:u w:val="single"/>
        </w:rPr>
        <w:t>os géneros</w:t>
      </w:r>
      <w:r>
        <w:t xml:space="preserve">/especies (por ejemplo, </w:t>
      </w:r>
      <w:r>
        <w:rPr>
          <w:i/>
        </w:rPr>
        <w:t>Medicago, Helianthus</w:t>
      </w:r>
      <w:r>
        <w:t>).</w:t>
      </w:r>
    </w:p>
    <w:p w14:paraId="2DCD23B8" w14:textId="77777777" w:rsidR="00893C7D" w:rsidRDefault="00893C7D" w:rsidP="00893C7D">
      <w:pPr>
        <w:rPr>
          <w:color w:val="000000"/>
        </w:rPr>
      </w:pPr>
    </w:p>
    <w:p w14:paraId="31E02016" w14:textId="77777777" w:rsidR="00893C7D" w:rsidRDefault="00893C7D" w:rsidP="00893C7D">
      <w:pPr>
        <w:ind w:firstLine="567"/>
        <w:rPr>
          <w:color w:val="000000"/>
        </w:rPr>
      </w:pPr>
      <w:r>
        <w:t>c)</w:t>
      </w:r>
      <w:r>
        <w:tab/>
        <w:t>se determina como “práctica establecida” la aceptación del registro de una especie o grupo, de modo que puede usarse en otras especies que no han registrado aún ninguna variedad cuya denominación se componga únicamente de cifras.</w:t>
      </w:r>
    </w:p>
    <w:p w14:paraId="7E3BC873" w14:textId="77777777" w:rsidR="00893C7D" w:rsidRDefault="00893C7D" w:rsidP="00893C7D"/>
    <w:p w14:paraId="5685E986" w14:textId="77777777" w:rsidR="009B3D60" w:rsidRDefault="009B3D60" w:rsidP="00893C7D"/>
    <w:p w14:paraId="6A5C9C5C" w14:textId="77777777" w:rsidR="00893C7D" w:rsidRPr="00407B23" w:rsidRDefault="00893C7D" w:rsidP="00B45AEA">
      <w:pPr>
        <w:pStyle w:val="Heading3"/>
      </w:pPr>
      <w:bookmarkStart w:id="19" w:name="_Toc15033879"/>
      <w:bookmarkStart w:id="20" w:name="_Toc48718048"/>
      <w:bookmarkStart w:id="21" w:name="_Toc48738886"/>
      <w:r>
        <w:t>2.3.</w:t>
      </w:r>
      <w:r>
        <w:tab/>
        <w:t>Susceptibles de inducir en error o de prestarse a confusión</w:t>
      </w:r>
      <w:bookmarkEnd w:id="19"/>
      <w:bookmarkEnd w:id="20"/>
      <w:bookmarkEnd w:id="21"/>
    </w:p>
    <w:p w14:paraId="7DE757B9" w14:textId="77777777" w:rsidR="00893C7D" w:rsidRPr="00407B23" w:rsidRDefault="00893C7D" w:rsidP="00893C7D">
      <w:pPr>
        <w:keepNext/>
        <w:rPr>
          <w:i/>
        </w:rPr>
      </w:pPr>
    </w:p>
    <w:p w14:paraId="2F1D6066" w14:textId="63A6FC25" w:rsidR="00893C7D" w:rsidRDefault="00893C7D" w:rsidP="00893C7D">
      <w:r>
        <w:t>El párrafo 2) establece que la denominación no deberá ser susceptible de “inducir en error o prestarse a confusión sobre las características, el valor o la identidad de la variedad o sobre la identidad del obtentor”.</w:t>
      </w:r>
      <w:r w:rsidR="008130BA">
        <w:t xml:space="preserve"> </w:t>
      </w:r>
      <w:r>
        <w:t>A continuación se examinan esos aspectos.</w:t>
      </w:r>
    </w:p>
    <w:p w14:paraId="1507FD34" w14:textId="77777777" w:rsidR="00893C7D" w:rsidRDefault="00893C7D" w:rsidP="0095317C">
      <w:pPr>
        <w:spacing w:line="360" w:lineRule="auto"/>
      </w:pPr>
    </w:p>
    <w:p w14:paraId="6E8966B1" w14:textId="77777777" w:rsidR="00893C7D" w:rsidRPr="00B96AE2" w:rsidRDefault="00893C7D" w:rsidP="00A24E0F">
      <w:pPr>
        <w:pStyle w:val="Heading4"/>
      </w:pPr>
      <w:bookmarkStart w:id="22" w:name="_Toc15033880"/>
      <w:bookmarkStart w:id="23" w:name="_Toc48718049"/>
      <w:bookmarkStart w:id="24" w:name="_Toc48738887"/>
      <w:r>
        <w:t>2.3.1</w:t>
      </w:r>
      <w:r>
        <w:tab/>
        <w:t>Características de la variedad</w:t>
      </w:r>
      <w:bookmarkEnd w:id="22"/>
      <w:bookmarkEnd w:id="23"/>
      <w:bookmarkEnd w:id="24"/>
    </w:p>
    <w:p w14:paraId="283573FC" w14:textId="77777777" w:rsidR="00893C7D" w:rsidRPr="00407B23" w:rsidRDefault="00893C7D" w:rsidP="00A24E0F">
      <w:pPr>
        <w:keepNext/>
      </w:pPr>
    </w:p>
    <w:p w14:paraId="25AF62BD" w14:textId="77777777" w:rsidR="00893C7D" w:rsidRPr="00407B23" w:rsidRDefault="00893C7D" w:rsidP="00A24E0F">
      <w:pPr>
        <w:keepNext/>
      </w:pPr>
      <w:r>
        <w:t>La denominación no deberá:</w:t>
      </w:r>
    </w:p>
    <w:p w14:paraId="546BBE7B" w14:textId="77777777" w:rsidR="00893C7D" w:rsidRPr="00407B23" w:rsidRDefault="00893C7D" w:rsidP="00A24E0F">
      <w:pPr>
        <w:keepNext/>
      </w:pPr>
    </w:p>
    <w:p w14:paraId="44775C02" w14:textId="77777777" w:rsidR="00893C7D" w:rsidRPr="00211C6F" w:rsidRDefault="00893C7D" w:rsidP="00211C6F">
      <w:pPr>
        <w:spacing w:after="120"/>
        <w:ind w:firstLine="567"/>
      </w:pPr>
      <w:r>
        <w:t>a)</w:t>
      </w:r>
      <w:r>
        <w:tab/>
        <w:t xml:space="preserve">dar la impresión de que la variedad tiene características particulares que, en realidad, no tiene; </w:t>
      </w:r>
    </w:p>
    <w:p w14:paraId="3211A513" w14:textId="39BA9CFD" w:rsidR="00893C7D" w:rsidRPr="00407B23" w:rsidRDefault="00893C7D" w:rsidP="00893C7D">
      <w:pPr>
        <w:ind w:left="567"/>
      </w:pPr>
      <w:r>
        <w:rPr>
          <w:i/>
        </w:rPr>
        <w:t>Ejemplo:</w:t>
      </w:r>
      <w:r w:rsidR="008130BA">
        <w:t xml:space="preserve"> </w:t>
      </w:r>
      <w:r>
        <w:t>la denominación de variedad “enana” para una variedad que tenga una altura normal, cuando exista un rasgo de enanismo en la especie que la variedad no posea.</w:t>
      </w:r>
    </w:p>
    <w:p w14:paraId="69F69667" w14:textId="77777777" w:rsidR="00893C7D" w:rsidRDefault="00893C7D" w:rsidP="00893C7D"/>
    <w:p w14:paraId="33F4D8B7" w14:textId="77777777" w:rsidR="00211C6F" w:rsidRDefault="00211C6F">
      <w:pPr>
        <w:rPr>
          <w:color w:val="000000"/>
        </w:rPr>
      </w:pPr>
      <w:r>
        <w:br w:type="page"/>
      </w:r>
    </w:p>
    <w:p w14:paraId="532AC284" w14:textId="77777777" w:rsidR="00893C7D" w:rsidRPr="00370A99" w:rsidRDefault="009B3D60" w:rsidP="00211C6F">
      <w:pPr>
        <w:tabs>
          <w:tab w:val="left" w:pos="567"/>
        </w:tabs>
        <w:spacing w:after="120"/>
        <w:rPr>
          <w:sz w:val="18"/>
          <w:szCs w:val="18"/>
        </w:rPr>
      </w:pPr>
      <w:r>
        <w:lastRenderedPageBreak/>
        <w:tab/>
        <w:t>b)</w:t>
      </w:r>
      <w:r>
        <w:tab/>
        <w:t>referirse a caracteres específicos de la variedad de manera tal que se dé la impresión de que solo la variedad los posee, mientras que en realidad otras variedades de la especie en cuestión también tienen o pueden tener los mismos caracteres; por ejemplo, cuando la denominación de la variedad consista únicamente en palabras que describan atributos de la variedad que otras variedades de la especie puedan también poseer.</w:t>
      </w:r>
    </w:p>
    <w:p w14:paraId="2A751A38" w14:textId="23584C2B" w:rsidR="00F36A93" w:rsidRPr="00F36A93" w:rsidRDefault="00893C7D" w:rsidP="00211C6F">
      <w:pPr>
        <w:ind w:left="567"/>
        <w:jc w:val="left"/>
        <w:rPr>
          <w:highlight w:val="lightGray"/>
        </w:rPr>
      </w:pPr>
      <w:r>
        <w:rPr>
          <w:i/>
        </w:rPr>
        <w:t>Ejemplo 1</w:t>
      </w:r>
      <w:r>
        <w:t>: “Dulce” para una variedad frutal;</w:t>
      </w:r>
      <w:r>
        <w:br/>
      </w:r>
      <w:r>
        <w:rPr>
          <w:i/>
        </w:rPr>
        <w:t>Ejemplo 2:</w:t>
      </w:r>
      <w:r>
        <w:t xml:space="preserve"> “Blanca grande” para una variedad de crisantemo.</w:t>
      </w:r>
      <w:r>
        <w:br/>
      </w:r>
    </w:p>
    <w:p w14:paraId="697BAF22" w14:textId="77777777" w:rsidR="00F36A93" w:rsidRPr="00F36A93" w:rsidRDefault="00F36A93" w:rsidP="00F36A93">
      <w:pPr>
        <w:keepNext/>
        <w:ind w:firstLine="567"/>
        <w:rPr>
          <w:rFonts w:eastAsia="Times New Roman"/>
          <w:strike/>
          <w:highlight w:val="lightGray"/>
        </w:rPr>
      </w:pPr>
      <w:r>
        <w:t>c)</w:t>
      </w:r>
      <w:r>
        <w:tab/>
        <w:t>dar la impresión</w:t>
      </w:r>
      <w:r>
        <w:rPr>
          <w:highlight w:val="lightGray"/>
          <w:u w:val="single"/>
        </w:rPr>
        <w:t>, por semejanza o asociación con otra denominación de variedad</w:t>
      </w:r>
      <w:r>
        <w:t xml:space="preserve">, de que la variedad </w:t>
      </w:r>
      <w:r>
        <w:rPr>
          <w:u w:val="single"/>
          <w:shd w:val="pct15" w:color="auto" w:fill="FFFFFF"/>
        </w:rPr>
        <w:t>tiene características particulares que, en realidad, no tiene</w:t>
      </w:r>
      <w:r>
        <w:rPr>
          <w:highlight w:val="lightGray"/>
        </w:rPr>
        <w:t xml:space="preserve"> </w:t>
      </w:r>
      <w:r>
        <w:rPr>
          <w:strike/>
          <w:highlight w:val="lightGray"/>
        </w:rPr>
        <w:t>se deriva de otra variedad o está relacionada con esta cuando, en realidad, no es el caso</w:t>
      </w:r>
      <w:r>
        <w:rPr>
          <w:highlight w:val="lightGray"/>
        </w:rPr>
        <w:t>.</w:t>
      </w:r>
      <w:r>
        <w:rPr>
          <w:strike/>
          <w:highlight w:val="lightGray"/>
        </w:rPr>
        <w:t>;</w:t>
      </w:r>
    </w:p>
    <w:p w14:paraId="48FA8E8E" w14:textId="77777777" w:rsidR="00F36A93" w:rsidRPr="00F36A93" w:rsidRDefault="00F36A93" w:rsidP="00F36A93">
      <w:pPr>
        <w:keepNext/>
        <w:ind w:firstLine="567"/>
        <w:rPr>
          <w:rFonts w:eastAsia="Times New Roman"/>
          <w:strike/>
          <w:highlight w:val="lightGray"/>
        </w:rPr>
      </w:pPr>
    </w:p>
    <w:p w14:paraId="4F3BCA4E" w14:textId="7FC766BE" w:rsidR="000F7F85" w:rsidRDefault="00F36A93" w:rsidP="00211C6F">
      <w:pPr>
        <w:keepNext/>
        <w:ind w:left="567"/>
        <w:rPr>
          <w:rFonts w:eastAsia="Times New Roman"/>
          <w:highlight w:val="lightGray"/>
          <w:u w:val="single"/>
        </w:rPr>
      </w:pPr>
      <w:r>
        <w:rPr>
          <w:i/>
          <w:highlight w:val="lightGray"/>
          <w:u w:val="single"/>
        </w:rPr>
        <w:t>Ejemplo de denominacione</w:t>
      </w:r>
      <w:r>
        <w:rPr>
          <w:i/>
          <w:highlight w:val="yellow"/>
          <w:u w:val="double"/>
        </w:rPr>
        <w:t>s</w:t>
      </w:r>
      <w:r>
        <w:rPr>
          <w:i/>
          <w:highlight w:val="lightGray"/>
          <w:u w:val="single"/>
        </w:rPr>
        <w:t xml:space="preserve"> inadecuada</w:t>
      </w:r>
      <w:r>
        <w:rPr>
          <w:i/>
          <w:highlight w:val="yellow"/>
          <w:u w:val="double"/>
        </w:rPr>
        <w:t>s</w:t>
      </w:r>
      <w:r>
        <w:t>:</w:t>
      </w:r>
      <w:r w:rsidR="008130BA">
        <w:rPr>
          <w:i/>
          <w:highlight w:val="lightGray"/>
          <w:u w:val="single"/>
        </w:rPr>
        <w:t xml:space="preserve"> </w:t>
      </w:r>
    </w:p>
    <w:p w14:paraId="43CD01AE" w14:textId="77777777" w:rsidR="000F7F85" w:rsidRDefault="005455CB" w:rsidP="000F7F85">
      <w:pPr>
        <w:keepNext/>
        <w:ind w:left="567"/>
        <w:rPr>
          <w:rFonts w:eastAsia="Times New Roman"/>
          <w:highlight w:val="lightGray"/>
          <w:u w:val="single"/>
        </w:rPr>
      </w:pPr>
      <w:r>
        <w:rPr>
          <w:highlight w:val="lightGray"/>
          <w:u w:val="single"/>
        </w:rPr>
        <w:t xml:space="preserve">“Son of Russet Burbank”, si la variedad </w:t>
      </w:r>
      <w:r w:rsidRPr="00C16381">
        <w:rPr>
          <w:dstrike/>
          <w:highlight w:val="yellow"/>
        </w:rPr>
        <w:t>de papa/patata</w:t>
      </w:r>
      <w:r w:rsidRPr="0014159F">
        <w:rPr>
          <w:rStyle w:val="EndnoteReference"/>
          <w:b/>
          <w:strike/>
          <w:highlight w:val="yellow"/>
        </w:rPr>
        <w:endnoteReference w:id="2"/>
      </w:r>
      <w:r>
        <w:rPr>
          <w:highlight w:val="lightGray"/>
          <w:u w:val="single"/>
        </w:rPr>
        <w:t xml:space="preserve"> “Russet Burbank” no ha sido empleada en la obtención de “Son of Russet Burbank”.</w:t>
      </w:r>
    </w:p>
    <w:p w14:paraId="2AC646E8" w14:textId="77777777" w:rsidR="005D2559" w:rsidRPr="000F7F85" w:rsidRDefault="005455CB" w:rsidP="000F7F85">
      <w:pPr>
        <w:keepNext/>
        <w:ind w:left="567"/>
        <w:rPr>
          <w:rFonts w:eastAsia="Times New Roman"/>
          <w:highlight w:val="lightGray"/>
          <w:u w:val="single"/>
        </w:rPr>
      </w:pPr>
      <w:r>
        <w:rPr>
          <w:highlight w:val="yellow"/>
          <w:u w:val="double"/>
        </w:rPr>
        <w:t>“Delta II”, si la variedad “Delta” no ha sido empleada en la obtención de la variedad “Delta II”.</w:t>
      </w:r>
      <w:r>
        <w:rPr>
          <w:rStyle w:val="EndnoteReference"/>
          <w:b/>
          <w:highlight w:val="yellow"/>
        </w:rPr>
        <w:endnoteReference w:id="3"/>
      </w:r>
    </w:p>
    <w:p w14:paraId="139AEBD4" w14:textId="77777777" w:rsidR="00F36A93" w:rsidRPr="000F7F85" w:rsidRDefault="00F36A93" w:rsidP="00F36A93">
      <w:pPr>
        <w:keepNext/>
        <w:ind w:firstLine="567"/>
        <w:rPr>
          <w:rFonts w:eastAsia="Times New Roman"/>
          <w:highlight w:val="lightGray"/>
        </w:rPr>
      </w:pPr>
    </w:p>
    <w:p w14:paraId="3955EAAC" w14:textId="422DCE18" w:rsidR="005D2559" w:rsidRDefault="00F36A93" w:rsidP="00211C6F">
      <w:pPr>
        <w:keepNext/>
        <w:ind w:left="567"/>
        <w:rPr>
          <w:rFonts w:eastAsia="Times New Roman"/>
          <w:spacing w:val="-2"/>
          <w:highlight w:val="lightGray"/>
          <w:u w:val="single"/>
        </w:rPr>
      </w:pPr>
      <w:r>
        <w:rPr>
          <w:i/>
          <w:spacing w:val="-2"/>
          <w:highlight w:val="lightGray"/>
          <w:u w:val="single"/>
        </w:rPr>
        <w:t>Ejemplos de denominaciones adecuadas:</w:t>
      </w:r>
      <w:r w:rsidR="008130BA">
        <w:rPr>
          <w:spacing w:val="-2"/>
          <w:highlight w:val="lightGray"/>
          <w:u w:val="single"/>
        </w:rPr>
        <w:t xml:space="preserve"> </w:t>
      </w:r>
    </w:p>
    <w:p w14:paraId="3018AD57" w14:textId="77777777" w:rsidR="00F36A93" w:rsidRDefault="005455CB" w:rsidP="00211C6F">
      <w:pPr>
        <w:keepNext/>
        <w:ind w:left="567"/>
        <w:rPr>
          <w:rFonts w:eastAsiaTheme="minorEastAsia"/>
          <w:spacing w:val="-2"/>
          <w:highlight w:val="lightGray"/>
          <w:u w:val="single"/>
        </w:rPr>
      </w:pPr>
      <w:r>
        <w:rPr>
          <w:spacing w:val="-2"/>
          <w:highlight w:val="lightGray"/>
          <w:u w:val="single"/>
        </w:rPr>
        <w:t>“Koshihikari Niigata BL 1 go” y “Koshihikari Niigata BL 2 go”, del gobierno de la prefectura de Niigata, ambas obtenidas por introducción de resistencia al añublo del arroz en la variedad “Koshihikar”.</w:t>
      </w:r>
    </w:p>
    <w:p w14:paraId="3DBEA8D0" w14:textId="5F466679" w:rsidR="005D2559" w:rsidRPr="005455CB" w:rsidRDefault="005455CB" w:rsidP="005455CB">
      <w:pPr>
        <w:keepNext/>
        <w:ind w:left="567"/>
        <w:rPr>
          <w:highlight w:val="yellow"/>
          <w:u w:val="double"/>
        </w:rPr>
      </w:pPr>
      <w:r>
        <w:rPr>
          <w:rFonts w:eastAsiaTheme="minorEastAsia"/>
          <w:spacing w:val="-2"/>
          <w:highlight w:val="yellow"/>
          <w:u w:val="double"/>
        </w:rPr>
        <w:t>“A 5409” y “A 5409 RG”: “A 5409” corresponde a una variedad de soja y “A 5409 RG” a una variedad de soja en la que se ha introducido el gen de resistencia al glifosato.</w:t>
      </w:r>
      <w:r>
        <w:rPr>
          <w:rStyle w:val="EndnoteReference"/>
          <w:rFonts w:eastAsiaTheme="minorEastAsia"/>
          <w:b/>
          <w:spacing w:val="-2"/>
          <w:highlight w:val="yellow"/>
        </w:rPr>
        <w:endnoteReference w:id="4"/>
      </w:r>
    </w:p>
    <w:p w14:paraId="565F14F8" w14:textId="77777777" w:rsidR="00F36A93" w:rsidRPr="00F36A93" w:rsidRDefault="00F36A93" w:rsidP="00F36A93">
      <w:pPr>
        <w:keepNext/>
        <w:ind w:firstLine="567"/>
        <w:rPr>
          <w:rFonts w:eastAsia="Times New Roman"/>
          <w:strike/>
          <w:highlight w:val="lightGray"/>
        </w:rPr>
      </w:pPr>
    </w:p>
    <w:p w14:paraId="18B44D08" w14:textId="5AA70106" w:rsidR="00F36A93" w:rsidRPr="00F36A93" w:rsidRDefault="00F36A93" w:rsidP="00F36A93">
      <w:pPr>
        <w:ind w:left="567"/>
        <w:rPr>
          <w:rFonts w:eastAsia="Times New Roman"/>
          <w:strike/>
          <w:highlight w:val="lightGray"/>
        </w:rPr>
      </w:pPr>
      <w:r>
        <w:rPr>
          <w:i/>
          <w:strike/>
          <w:highlight w:val="lightGray"/>
        </w:rPr>
        <w:t>Ejemplo:</w:t>
      </w:r>
      <w:r w:rsidR="008130BA">
        <w:rPr>
          <w:strike/>
          <w:highlight w:val="lightGray"/>
        </w:rPr>
        <w:t xml:space="preserve"> </w:t>
      </w:r>
      <w:r>
        <w:rPr>
          <w:strike/>
          <w:highlight w:val="lightGray"/>
        </w:rPr>
        <w:t>una denominación que sea similar a la de otra variedad de la misma especie o de especies vecinas; por ejemplo, “Southern cross 1”, “Southern cross 2”, etc., lo que da la impresión de que estas variedades son una serie de variedades relacionadas entre sí con los mismos caracteres cuando, en realidad, tal no es el caso.</w:t>
      </w:r>
    </w:p>
    <w:p w14:paraId="57FBE4B3" w14:textId="77777777" w:rsidR="00F36A93" w:rsidRPr="00F36A93" w:rsidRDefault="00F36A93" w:rsidP="00F36A93"/>
    <w:p w14:paraId="75819B17" w14:textId="77777777" w:rsidR="00F36A93" w:rsidRPr="00F36A93" w:rsidRDefault="00F36A93" w:rsidP="00F36A93">
      <w:pPr>
        <w:ind w:firstLine="540"/>
        <w:rPr>
          <w:highlight w:val="lightGray"/>
          <w:u w:val="single"/>
        </w:rPr>
      </w:pPr>
      <w:r>
        <w:rPr>
          <w:rFonts w:hint="eastAsia"/>
          <w:highlight w:val="lightGray"/>
          <w:u w:val="single"/>
        </w:rPr>
        <w:t>d)</w:t>
      </w:r>
      <w:r>
        <w:tab/>
      </w:r>
      <w:r>
        <w:rPr>
          <w:highlight w:val="lightGray"/>
          <w:u w:val="single"/>
        </w:rPr>
        <w:t xml:space="preserve">contener el nombre botánico o nombre común del género al que pertenece la variedad. </w:t>
      </w:r>
    </w:p>
    <w:p w14:paraId="0827A90F" w14:textId="77777777" w:rsidR="00F36A93" w:rsidRPr="00F36A93" w:rsidRDefault="00F36A93" w:rsidP="00F36A93">
      <w:pPr>
        <w:rPr>
          <w:highlight w:val="lightGray"/>
          <w:u w:val="single"/>
        </w:rPr>
      </w:pPr>
    </w:p>
    <w:p w14:paraId="748D66E8" w14:textId="345A389B" w:rsidR="00F36A93" w:rsidRPr="00211C6F" w:rsidRDefault="00F36A93" w:rsidP="00F36A93">
      <w:pPr>
        <w:ind w:left="540"/>
        <w:rPr>
          <w:i/>
          <w:highlight w:val="lightGray"/>
          <w:u w:val="single"/>
        </w:rPr>
      </w:pPr>
      <w:r>
        <w:rPr>
          <w:i/>
          <w:highlight w:val="lightGray"/>
          <w:u w:val="single"/>
        </w:rPr>
        <w:t>Ejemplos de denominaciones inadecuadas:</w:t>
      </w:r>
      <w:r w:rsidR="008130BA">
        <w:rPr>
          <w:i/>
          <w:highlight w:val="lightGray"/>
          <w:u w:val="single"/>
        </w:rPr>
        <w:t xml:space="preserve"> </w:t>
      </w:r>
    </w:p>
    <w:p w14:paraId="6FB1D6E7" w14:textId="77777777" w:rsidR="00F36A93" w:rsidRPr="00D6756F" w:rsidRDefault="00F36A93" w:rsidP="00211C6F">
      <w:pPr>
        <w:ind w:left="851"/>
        <w:rPr>
          <w:i/>
          <w:color w:val="000000"/>
          <w:sz w:val="18"/>
          <w:szCs w:val="18"/>
          <w:u w:val="single"/>
          <w:shd w:val="pct15" w:color="auto" w:fill="FFFFFF"/>
        </w:rPr>
      </w:pPr>
      <w:r>
        <w:rPr>
          <w:highlight w:val="lightGray"/>
          <w:u w:val="single"/>
        </w:rPr>
        <w:t xml:space="preserve">variedad “Sedge” de </w:t>
      </w:r>
      <w:r>
        <w:rPr>
          <w:i/>
          <w:highlight w:val="lightGray"/>
          <w:u w:val="single"/>
        </w:rPr>
        <w:t>Carex</w:t>
      </w:r>
      <w:r>
        <w:rPr>
          <w:highlight w:val="lightGray"/>
          <w:u w:val="single"/>
        </w:rPr>
        <w:t xml:space="preserve"> (</w:t>
      </w:r>
      <w:r>
        <w:rPr>
          <w:i/>
          <w:highlight w:val="lightGray"/>
          <w:u w:val="single"/>
        </w:rPr>
        <w:t>Carex</w:t>
      </w:r>
      <w:r>
        <w:rPr>
          <w:highlight w:val="lightGray"/>
          <w:u w:val="single"/>
        </w:rPr>
        <w:t xml:space="preserve"> es el nombre botánico de un género, del que el nombre común en inglés es </w:t>
      </w:r>
      <w:r>
        <w:rPr>
          <w:i/>
          <w:highlight w:val="lightGray"/>
          <w:u w:val="single"/>
        </w:rPr>
        <w:t>sedge</w:t>
      </w:r>
      <w:r>
        <w:rPr>
          <w:highlight w:val="lightGray"/>
          <w:u w:val="single"/>
        </w:rPr>
        <w:t>)</w:t>
      </w:r>
      <w:r>
        <w:rPr>
          <w:i/>
          <w:color w:val="000000"/>
          <w:sz w:val="18"/>
          <w:u w:val="single"/>
          <w:shd w:val="pct15" w:color="auto" w:fill="FFFFFF"/>
        </w:rPr>
        <w:t>;</w:t>
      </w:r>
    </w:p>
    <w:p w14:paraId="148E493E" w14:textId="77777777" w:rsidR="00F36A93" w:rsidRPr="00D6756F" w:rsidRDefault="00F36A93" w:rsidP="00211C6F">
      <w:pPr>
        <w:ind w:left="851"/>
        <w:rPr>
          <w:highlight w:val="lightGray"/>
          <w:u w:val="single"/>
        </w:rPr>
      </w:pPr>
      <w:r>
        <w:rPr>
          <w:highlight w:val="lightGray"/>
          <w:u w:val="single"/>
        </w:rPr>
        <w:t xml:space="preserve">variedad “Pale Chestnut” de </w:t>
      </w:r>
      <w:r>
        <w:rPr>
          <w:i/>
          <w:highlight w:val="lightGray"/>
          <w:u w:val="single"/>
        </w:rPr>
        <w:t>Castanea</w:t>
      </w:r>
      <w:r>
        <w:rPr>
          <w:highlight w:val="lightGray"/>
          <w:u w:val="single"/>
        </w:rPr>
        <w:t xml:space="preserve"> (</w:t>
      </w:r>
      <w:r>
        <w:rPr>
          <w:i/>
          <w:highlight w:val="lightGray"/>
          <w:u w:val="single"/>
        </w:rPr>
        <w:t>Castanea</w:t>
      </w:r>
      <w:r>
        <w:rPr>
          <w:highlight w:val="lightGray"/>
          <w:u w:val="single"/>
        </w:rPr>
        <w:t xml:space="preserve"> es el nombre botánico de un género, del que el nombre común en inglés es </w:t>
      </w:r>
      <w:r>
        <w:rPr>
          <w:i/>
          <w:highlight w:val="lightGray"/>
          <w:u w:val="single"/>
        </w:rPr>
        <w:t>chestnut</w:t>
      </w:r>
      <w:r>
        <w:rPr>
          <w:highlight w:val="lightGray"/>
          <w:u w:val="single"/>
        </w:rPr>
        <w:t>);</w:t>
      </w:r>
    </w:p>
    <w:p w14:paraId="319C839A" w14:textId="77777777" w:rsidR="00F36A93" w:rsidRPr="00D6756F" w:rsidRDefault="00F36A93" w:rsidP="00211C6F">
      <w:pPr>
        <w:ind w:left="851"/>
        <w:rPr>
          <w:highlight w:val="lightGray"/>
          <w:u w:val="single"/>
        </w:rPr>
      </w:pPr>
      <w:r>
        <w:rPr>
          <w:highlight w:val="lightGray"/>
          <w:u w:val="single"/>
        </w:rPr>
        <w:t xml:space="preserve">variedad “Pink Gladiolus” de </w:t>
      </w:r>
      <w:r>
        <w:rPr>
          <w:i/>
          <w:highlight w:val="lightGray"/>
          <w:u w:val="single"/>
        </w:rPr>
        <w:t>Gladiolus</w:t>
      </w:r>
      <w:r>
        <w:t>;</w:t>
      </w:r>
    </w:p>
    <w:p w14:paraId="5C7167A3" w14:textId="77777777" w:rsidR="00F36A93" w:rsidRPr="00D6756F" w:rsidRDefault="00F36A93" w:rsidP="00211C6F">
      <w:pPr>
        <w:ind w:left="851"/>
        <w:rPr>
          <w:highlight w:val="lightGray"/>
          <w:u w:val="single"/>
        </w:rPr>
      </w:pPr>
      <w:r>
        <w:rPr>
          <w:highlight w:val="lightGray"/>
          <w:u w:val="single"/>
        </w:rPr>
        <w:t xml:space="preserve">variedad “Davis Daff” de </w:t>
      </w:r>
      <w:r>
        <w:rPr>
          <w:i/>
          <w:highlight w:val="lightGray"/>
          <w:u w:val="single"/>
        </w:rPr>
        <w:t>Narcissus</w:t>
      </w:r>
      <w:r>
        <w:rPr>
          <w:highlight w:val="lightGray"/>
          <w:u w:val="single"/>
        </w:rPr>
        <w:t xml:space="preserve"> (</w:t>
      </w:r>
      <w:r>
        <w:rPr>
          <w:i/>
          <w:highlight w:val="lightGray"/>
          <w:u w:val="single"/>
        </w:rPr>
        <w:t>Narcissus</w:t>
      </w:r>
      <w:r>
        <w:rPr>
          <w:highlight w:val="lightGray"/>
          <w:u w:val="single"/>
        </w:rPr>
        <w:t xml:space="preserve"> es el nombre botánico de un género, del que el nombre común en inglés es </w:t>
      </w:r>
      <w:r>
        <w:rPr>
          <w:i/>
          <w:highlight w:val="lightGray"/>
          <w:u w:val="single"/>
        </w:rPr>
        <w:t>daffodil</w:t>
      </w:r>
      <w:r>
        <w:rPr>
          <w:highlight w:val="lightGray"/>
          <w:u w:val="single"/>
        </w:rPr>
        <w:t>);</w:t>
      </w:r>
    </w:p>
    <w:p w14:paraId="05A1B701" w14:textId="77777777" w:rsidR="00F36A93" w:rsidRPr="00D6756F" w:rsidRDefault="005455CB" w:rsidP="00211C6F">
      <w:pPr>
        <w:ind w:left="851"/>
        <w:rPr>
          <w:highlight w:val="lightGray"/>
          <w:u w:val="single"/>
        </w:rPr>
      </w:pPr>
      <w:r>
        <w:rPr>
          <w:highlight w:val="lightGray"/>
          <w:u w:val="single"/>
        </w:rPr>
        <w:t xml:space="preserve">variedad “Granny’s Daffodil” de </w:t>
      </w:r>
      <w:r>
        <w:rPr>
          <w:i/>
          <w:highlight w:val="lightGray"/>
          <w:u w:val="single"/>
        </w:rPr>
        <w:t>Narcissus</w:t>
      </w:r>
      <w:r>
        <w:rPr>
          <w:highlight w:val="lightGray"/>
          <w:u w:val="single"/>
        </w:rPr>
        <w:t>;</w:t>
      </w:r>
    </w:p>
    <w:p w14:paraId="27F64C39" w14:textId="77777777" w:rsidR="00F36A93" w:rsidRPr="00D6756F" w:rsidRDefault="00F36A93" w:rsidP="00211C6F">
      <w:pPr>
        <w:ind w:left="851"/>
        <w:rPr>
          <w:highlight w:val="lightGray"/>
          <w:u w:val="single"/>
        </w:rPr>
      </w:pPr>
      <w:r>
        <w:rPr>
          <w:highlight w:val="lightGray"/>
          <w:u w:val="single"/>
        </w:rPr>
        <w:t xml:space="preserve">variedad “Sussex Peony” de </w:t>
      </w:r>
      <w:r>
        <w:rPr>
          <w:i/>
          <w:highlight w:val="lightGray"/>
          <w:u w:val="single"/>
        </w:rPr>
        <w:t>Paeonia</w:t>
      </w:r>
      <w:r>
        <w:rPr>
          <w:highlight w:val="lightGray"/>
          <w:u w:val="single"/>
        </w:rPr>
        <w:t xml:space="preserve"> (</w:t>
      </w:r>
      <w:r>
        <w:rPr>
          <w:i/>
          <w:highlight w:val="lightGray"/>
          <w:u w:val="single"/>
        </w:rPr>
        <w:t>Paeonia</w:t>
      </w:r>
      <w:r>
        <w:rPr>
          <w:highlight w:val="lightGray"/>
          <w:u w:val="single"/>
        </w:rPr>
        <w:t xml:space="preserve"> es el nombre botánico de un género, del que el nombre común en inglés es </w:t>
      </w:r>
      <w:r>
        <w:rPr>
          <w:i/>
          <w:highlight w:val="lightGray"/>
          <w:u w:val="single"/>
        </w:rPr>
        <w:t>peony</w:t>
      </w:r>
      <w:r>
        <w:rPr>
          <w:highlight w:val="lightGray"/>
          <w:u w:val="single"/>
        </w:rPr>
        <w:t>);</w:t>
      </w:r>
    </w:p>
    <w:p w14:paraId="2ED6FCA7" w14:textId="77777777" w:rsidR="00F36A93" w:rsidRPr="00F25630" w:rsidRDefault="00F36A93" w:rsidP="00211C6F">
      <w:pPr>
        <w:ind w:left="851"/>
        <w:rPr>
          <w:highlight w:val="lightGray"/>
          <w:u w:val="single"/>
          <w:lang w:val="en-GB"/>
        </w:rPr>
      </w:pPr>
      <w:r w:rsidRPr="00F25630">
        <w:rPr>
          <w:highlight w:val="lightGray"/>
          <w:u w:val="single"/>
          <w:lang w:val="en-GB"/>
        </w:rPr>
        <w:t xml:space="preserve">variedad “Phlox of Sheep” de </w:t>
      </w:r>
      <w:r w:rsidRPr="00F25630">
        <w:rPr>
          <w:i/>
          <w:highlight w:val="lightGray"/>
          <w:u w:val="single"/>
          <w:lang w:val="en-GB"/>
        </w:rPr>
        <w:t>Phlox</w:t>
      </w:r>
      <w:r w:rsidRPr="00F25630">
        <w:rPr>
          <w:highlight w:val="lightGray"/>
          <w:u w:val="single"/>
          <w:lang w:val="en-GB"/>
        </w:rPr>
        <w:t>;</w:t>
      </w:r>
    </w:p>
    <w:p w14:paraId="08A75343" w14:textId="77777777" w:rsidR="00F36A93" w:rsidRPr="00D6756F" w:rsidRDefault="00F36A93" w:rsidP="00211C6F">
      <w:pPr>
        <w:ind w:left="851"/>
        <w:rPr>
          <w:highlight w:val="lightGray"/>
          <w:u w:val="single"/>
        </w:rPr>
      </w:pPr>
      <w:r>
        <w:rPr>
          <w:highlight w:val="lightGray"/>
          <w:u w:val="single"/>
        </w:rPr>
        <w:t xml:space="preserve">variedad “Rhododendron Mad” de </w:t>
      </w:r>
      <w:r>
        <w:rPr>
          <w:i/>
          <w:highlight w:val="lightGray"/>
          <w:u w:val="single"/>
        </w:rPr>
        <w:t>Rhododendron</w:t>
      </w:r>
      <w:r>
        <w:t>.</w:t>
      </w:r>
    </w:p>
    <w:p w14:paraId="1631D47C" w14:textId="77777777" w:rsidR="00F36A93" w:rsidRPr="00D6756F" w:rsidRDefault="00F36A93" w:rsidP="00F36A93">
      <w:pPr>
        <w:rPr>
          <w:highlight w:val="lightGray"/>
          <w:u w:val="single"/>
        </w:rPr>
      </w:pPr>
    </w:p>
    <w:p w14:paraId="10B153CB" w14:textId="4F6DC9D2" w:rsidR="00F36A93" w:rsidRPr="00D6756F" w:rsidRDefault="00F36A93" w:rsidP="00F36A93">
      <w:pPr>
        <w:ind w:left="540"/>
        <w:rPr>
          <w:i/>
          <w:highlight w:val="lightGray"/>
          <w:u w:val="single"/>
        </w:rPr>
      </w:pPr>
      <w:r>
        <w:rPr>
          <w:i/>
          <w:highlight w:val="lightGray"/>
          <w:u w:val="single"/>
        </w:rPr>
        <w:t>Ejemplos de denominaciones adecuadas:</w:t>
      </w:r>
      <w:r w:rsidR="008130BA">
        <w:rPr>
          <w:i/>
          <w:highlight w:val="lightGray"/>
          <w:u w:val="single"/>
        </w:rPr>
        <w:t xml:space="preserve"> </w:t>
      </w:r>
    </w:p>
    <w:p w14:paraId="7DE855CE" w14:textId="77777777" w:rsidR="00D6756F" w:rsidRPr="00D6756F" w:rsidRDefault="00F36A93" w:rsidP="00D6756F">
      <w:pPr>
        <w:ind w:left="851"/>
        <w:rPr>
          <w:i/>
          <w:sz w:val="18"/>
          <w:szCs w:val="18"/>
          <w:u w:val="single"/>
          <w:shd w:val="pct15" w:color="auto" w:fill="FFFFFF"/>
        </w:rPr>
      </w:pPr>
      <w:r>
        <w:rPr>
          <w:highlight w:val="lightGray"/>
          <w:u w:val="single"/>
        </w:rPr>
        <w:t xml:space="preserve">variedad “Rupert's Pink” de </w:t>
      </w:r>
      <w:r>
        <w:rPr>
          <w:i/>
          <w:highlight w:val="lightGray"/>
          <w:u w:val="single"/>
        </w:rPr>
        <w:t>Dianthus</w:t>
      </w:r>
      <w:r>
        <w:rPr>
          <w:highlight w:val="lightGray"/>
          <w:u w:val="single"/>
        </w:rPr>
        <w:t xml:space="preserve"> (“</w:t>
      </w:r>
      <w:r>
        <w:rPr>
          <w:i/>
          <w:highlight w:val="lightGray"/>
          <w:u w:val="single"/>
        </w:rPr>
        <w:t>pink”</w:t>
      </w:r>
      <w:r>
        <w:rPr>
          <w:highlight w:val="lightGray"/>
          <w:u w:val="single"/>
        </w:rPr>
        <w:t xml:space="preserve"> no es el nombre común en inglés de todas las especies del género </w:t>
      </w:r>
      <w:r>
        <w:rPr>
          <w:i/>
          <w:highlight w:val="lightGray"/>
          <w:u w:val="single"/>
        </w:rPr>
        <w:t>Dianthus</w:t>
      </w:r>
      <w:r>
        <w:rPr>
          <w:u w:val="single"/>
          <w:shd w:val="pct15" w:color="auto" w:fill="FFFFFF"/>
        </w:rPr>
        <w:t>);</w:t>
      </w:r>
    </w:p>
    <w:p w14:paraId="5530AF7A" w14:textId="77777777" w:rsidR="00F36A93" w:rsidRPr="00D6756F" w:rsidRDefault="00F36A93" w:rsidP="00D6756F">
      <w:pPr>
        <w:ind w:left="851"/>
        <w:rPr>
          <w:i/>
          <w:highlight w:val="lightGray"/>
          <w:u w:val="single"/>
        </w:rPr>
      </w:pPr>
      <w:r>
        <w:rPr>
          <w:i/>
          <w:highlight w:val="lightGray"/>
          <w:u w:val="single"/>
        </w:rPr>
        <w:t>Pyrus bretschneideri</w:t>
      </w:r>
      <w:r>
        <w:rPr>
          <w:highlight w:val="lightGray"/>
          <w:u w:val="single"/>
        </w:rPr>
        <w:t xml:space="preserve"> “Ya Li” (aunque la palabra “li” es el nombre común en chino del género </w:t>
      </w:r>
      <w:r>
        <w:rPr>
          <w:i/>
          <w:highlight w:val="lightGray"/>
          <w:u w:val="single"/>
        </w:rPr>
        <w:t>Pyrus</w:t>
      </w:r>
      <w:r>
        <w:rPr>
          <w:highlight w:val="lightGray"/>
          <w:u w:val="single"/>
        </w:rPr>
        <w:t>, “li” es inseparable de “ya” según el uso lingüístico chino, por lo que su inclusión en la denominación de la variedad es necesaria y admisible).</w:t>
      </w:r>
    </w:p>
    <w:p w14:paraId="47C8CE09" w14:textId="77777777" w:rsidR="00893C7D" w:rsidRPr="00D6756F" w:rsidRDefault="00893C7D" w:rsidP="004359AA">
      <w:pPr>
        <w:spacing w:line="360" w:lineRule="auto"/>
      </w:pPr>
    </w:p>
    <w:p w14:paraId="7D950CA0" w14:textId="77777777" w:rsidR="00893C7D" w:rsidRPr="00B96AE2" w:rsidRDefault="00893C7D" w:rsidP="00A24E0F">
      <w:pPr>
        <w:pStyle w:val="Heading4"/>
      </w:pPr>
      <w:bookmarkStart w:id="25" w:name="_Toc15033881"/>
      <w:bookmarkStart w:id="26" w:name="_Toc48718050"/>
      <w:bookmarkStart w:id="27" w:name="_Toc48738888"/>
      <w:r>
        <w:t>2.3.2</w:t>
      </w:r>
      <w:r>
        <w:tab/>
        <w:t>Valor de la variedad</w:t>
      </w:r>
      <w:bookmarkEnd w:id="25"/>
      <w:bookmarkEnd w:id="26"/>
      <w:bookmarkEnd w:id="27"/>
    </w:p>
    <w:p w14:paraId="5A1262C4" w14:textId="77777777" w:rsidR="00893C7D" w:rsidRPr="00407B23" w:rsidRDefault="00893C7D" w:rsidP="009B3D60">
      <w:pPr>
        <w:keepNext/>
      </w:pPr>
    </w:p>
    <w:p w14:paraId="0E63D0CC" w14:textId="77777777" w:rsidR="00893C7D" w:rsidRPr="00407B23" w:rsidRDefault="00893C7D" w:rsidP="00425C23">
      <w:pPr>
        <w:keepNext/>
      </w:pPr>
      <w:r>
        <w:t xml:space="preserve">La denominación no deberá componerse de designaciones superlativas o comparativas </w:t>
      </w:r>
      <w:r>
        <w:rPr>
          <w:highlight w:val="lightGray"/>
          <w:u w:val="single"/>
        </w:rPr>
        <w:t>que sean susceptibles de inducir a error o de prestarse a confusión sobre las características o el valor de la variedad</w:t>
      </w:r>
      <w:r>
        <w:t>, o contener</w:t>
      </w:r>
      <w:r>
        <w:rPr>
          <w:rStyle w:val="EndnoteReference"/>
          <w:b/>
        </w:rPr>
        <w:endnoteReference w:id="5"/>
      </w:r>
      <w:r>
        <w:t xml:space="preserve"> estas designaciones. </w:t>
      </w:r>
    </w:p>
    <w:p w14:paraId="264DE28D" w14:textId="77777777" w:rsidR="00893C7D" w:rsidRPr="00407B23" w:rsidRDefault="00893C7D" w:rsidP="00012886">
      <w:pPr>
        <w:keepNext/>
        <w:ind w:firstLine="567"/>
      </w:pPr>
    </w:p>
    <w:p w14:paraId="14F8F6CB" w14:textId="2AD61C15" w:rsidR="00893C7D" w:rsidRPr="00407B23" w:rsidRDefault="00893C7D" w:rsidP="00893C7D">
      <w:pPr>
        <w:ind w:left="567"/>
      </w:pPr>
      <w:r>
        <w:rPr>
          <w:i/>
        </w:rPr>
        <w:t xml:space="preserve">Ejemplo </w:t>
      </w:r>
      <w:r>
        <w:rPr>
          <w:i/>
          <w:u w:val="single"/>
        </w:rPr>
        <w:t>de denominaciones inadecuadas</w:t>
      </w:r>
      <w:r>
        <w:rPr>
          <w:i/>
        </w:rPr>
        <w:t>:</w:t>
      </w:r>
      <w:r>
        <w:t xml:space="preserve"> </w:t>
      </w:r>
      <w:r>
        <w:rPr>
          <w:strike/>
          <w:highlight w:val="lightGray"/>
        </w:rPr>
        <w:t>una denominación que contenga términos tales como</w:t>
      </w:r>
      <w:r>
        <w:rPr>
          <w:strike/>
        </w:rPr>
        <w:t xml:space="preserve"> </w:t>
      </w:r>
      <w:r>
        <w:t>“mejor</w:t>
      </w:r>
      <w:r>
        <w:rPr>
          <w:highlight w:val="lightGray"/>
          <w:u w:val="single"/>
        </w:rPr>
        <w:t>resultado</w:t>
      </w:r>
      <w:r>
        <w:t>”, “</w:t>
      </w:r>
      <w:r>
        <w:rPr>
          <w:highlight w:val="lightGray"/>
          <w:u w:val="single"/>
        </w:rPr>
        <w:t>sabor</w:t>
      </w:r>
      <w:r>
        <w:t xml:space="preserve"> superior”, “más dulce </w:t>
      </w:r>
      <w:r>
        <w:rPr>
          <w:highlight w:val="lightGray"/>
          <w:u w:val="single"/>
        </w:rPr>
        <w:t>que el resto</w:t>
      </w:r>
      <w:r>
        <w:t xml:space="preserve">”. </w:t>
      </w:r>
    </w:p>
    <w:p w14:paraId="2E208CBC" w14:textId="77777777" w:rsidR="00893C7D" w:rsidRDefault="00893C7D" w:rsidP="00893C7D"/>
    <w:p w14:paraId="31C3CA9C" w14:textId="73000939" w:rsidR="00893C7D" w:rsidRPr="00BF55B5" w:rsidRDefault="00893C7D" w:rsidP="00893C7D">
      <w:pPr>
        <w:ind w:left="567"/>
        <w:rPr>
          <w:u w:val="single"/>
        </w:rPr>
      </w:pPr>
      <w:r>
        <w:rPr>
          <w:i/>
          <w:highlight w:val="lightGray"/>
          <w:u w:val="single"/>
        </w:rPr>
        <w:t>Ejemplos de denominaciones adecuadas:</w:t>
      </w:r>
      <w:r>
        <w:rPr>
          <w:highlight w:val="lightGray"/>
          <w:u w:val="single"/>
        </w:rPr>
        <w:t xml:space="preserve"> “Lago Superior”, “Mejores deseos”.</w:t>
      </w:r>
      <w:r>
        <w:rPr>
          <w:rStyle w:val="EndnoteReference"/>
          <w:color w:val="000000"/>
        </w:rPr>
        <w:t xml:space="preserve"> </w:t>
      </w:r>
    </w:p>
    <w:p w14:paraId="3F4092FF" w14:textId="77777777" w:rsidR="00893C7D" w:rsidRDefault="00893C7D" w:rsidP="004359AA">
      <w:pPr>
        <w:spacing w:line="360" w:lineRule="auto"/>
      </w:pPr>
    </w:p>
    <w:p w14:paraId="2B540FB0" w14:textId="77777777" w:rsidR="00893C7D" w:rsidRPr="00B96AE2" w:rsidRDefault="00893C7D" w:rsidP="00927C51">
      <w:pPr>
        <w:pStyle w:val="Heading4"/>
        <w:numPr>
          <w:ilvl w:val="2"/>
          <w:numId w:val="21"/>
        </w:numPr>
      </w:pPr>
      <w:bookmarkStart w:id="28" w:name="_Toc15033882"/>
      <w:bookmarkStart w:id="29" w:name="_Toc48718051"/>
      <w:bookmarkStart w:id="30" w:name="_Toc48738889"/>
      <w:r>
        <w:lastRenderedPageBreak/>
        <w:t>Identidad de la variedad</w:t>
      </w:r>
      <w:bookmarkEnd w:id="28"/>
      <w:bookmarkEnd w:id="29"/>
      <w:bookmarkEnd w:id="30"/>
    </w:p>
    <w:p w14:paraId="52EA9E9D" w14:textId="77777777" w:rsidR="000C3B11" w:rsidRDefault="000C3B11" w:rsidP="000C3B11">
      <w:pPr>
        <w:keepNext/>
        <w:keepLines/>
      </w:pPr>
      <w:r>
        <w:tab/>
      </w:r>
    </w:p>
    <w:p w14:paraId="0DD3D869" w14:textId="66D166D9" w:rsidR="000C3B11" w:rsidRDefault="000C3B11" w:rsidP="000C3B11">
      <w:pPr>
        <w:keepNext/>
        <w:keepLines/>
        <w:ind w:firstLine="567"/>
      </w:pPr>
      <w:r>
        <w:t>a)</w:t>
      </w:r>
      <w:r>
        <w:tab/>
      </w:r>
      <w:r>
        <w:rPr>
          <w:highlight w:val="yellow"/>
          <w:u w:val="double"/>
        </w:rPr>
        <w:t>Como recomendación general, s</w:t>
      </w:r>
      <w:r>
        <w:rPr>
          <w:dstrike/>
          <w:highlight w:val="yellow"/>
          <w:u w:val="double"/>
        </w:rPr>
        <w:t>S</w:t>
      </w:r>
      <w:r>
        <w:rPr>
          <w:rStyle w:val="EndnoteReference"/>
          <w:b/>
          <w:highlight w:val="yellow"/>
        </w:rPr>
        <w:endnoteReference w:id="6"/>
      </w:r>
      <w:r>
        <w:t>olo una diferencia de una letra o un número podrá considerarse susceptible de inducir en error o prestarse a confusión en relación con la variedad</w:t>
      </w:r>
      <w:r>
        <w:rPr>
          <w:strike/>
          <w:highlight w:val="lightGray"/>
        </w:rPr>
        <w:t>,</w:t>
      </w:r>
      <w:r>
        <w:rPr>
          <w:highlight w:val="lightGray"/>
        </w:rPr>
        <w:t xml:space="preserve"> </w:t>
      </w:r>
      <w:r>
        <w:rPr>
          <w:strike/>
          <w:highlight w:val="lightGray"/>
        </w:rPr>
        <w:t xml:space="preserve">salvo cuando </w:t>
      </w:r>
      <w:r>
        <w:rPr>
          <w:highlight w:val="lightGray"/>
          <w:u w:val="single"/>
        </w:rPr>
        <w:t xml:space="preserve">Sin embargo, los </w:t>
      </w:r>
      <w:r>
        <w:rPr>
          <w:dstrike/>
          <w:highlight w:val="yellow"/>
          <w:u w:val="single"/>
        </w:rPr>
        <w:t>casos</w:t>
      </w:r>
      <w:r>
        <w:rPr>
          <w:dstrike/>
          <w:highlight w:val="yellow"/>
          <w:u w:val="double"/>
        </w:rPr>
        <w:t>,</w:t>
      </w:r>
      <w:r>
        <w:rPr>
          <w:rStyle w:val="EndnoteReference"/>
          <w:b/>
          <w:highlight w:val="yellow"/>
          <w:u w:val="double"/>
        </w:rPr>
        <w:t xml:space="preserve"> </w:t>
      </w:r>
      <w:r>
        <w:rPr>
          <w:rStyle w:val="EndnoteReference"/>
          <w:b/>
          <w:highlight w:val="yellow"/>
          <w:u w:val="double"/>
        </w:rPr>
        <w:endnoteReference w:id="7"/>
      </w:r>
      <w:r>
        <w:rPr>
          <w:highlight w:val="lightGray"/>
          <w:u w:val="single"/>
        </w:rPr>
        <w:t xml:space="preserve"> siguientes </w:t>
      </w:r>
      <w:r w:rsidR="00C16381">
        <w:rPr>
          <w:highlight w:val="lightGray"/>
          <w:u w:val="single"/>
        </w:rPr>
        <w:t xml:space="preserve">ejemplos </w:t>
      </w:r>
      <w:r>
        <w:rPr>
          <w:highlight w:val="lightGray"/>
          <w:u w:val="single"/>
        </w:rPr>
        <w:t>en los que la diferencia es de solo una letra o un número, podrán considerarse no susceptibles de inducir en error o prestarse a confusión</w:t>
      </w:r>
      <w:r>
        <w:t>:</w:t>
      </w:r>
    </w:p>
    <w:p w14:paraId="1321F2CA" w14:textId="77777777" w:rsidR="000C3B11" w:rsidRDefault="000C3B11" w:rsidP="000C3B11">
      <w:pPr>
        <w:keepNext/>
        <w:keepLines/>
      </w:pPr>
    </w:p>
    <w:p w14:paraId="186BDD2B" w14:textId="7102BE04" w:rsidR="000C3B11" w:rsidRPr="00C04C22" w:rsidRDefault="000C3B11" w:rsidP="000C3B11">
      <w:pPr>
        <w:keepNext/>
        <w:keepLines/>
        <w:tabs>
          <w:tab w:val="right" w:pos="1022"/>
        </w:tabs>
        <w:ind w:left="1163" w:hanging="1163"/>
      </w:pPr>
      <w:r>
        <w:tab/>
        <w:t>i)</w:t>
      </w:r>
      <w:r>
        <w:tab/>
        <w:t xml:space="preserve">la diferencia de una letra indica una diferencia visual </w:t>
      </w:r>
      <w:r>
        <w:rPr>
          <w:strike/>
          <w:highlight w:val="lightGray"/>
        </w:rPr>
        <w:t>o</w:t>
      </w:r>
      <w:r>
        <w:rPr>
          <w:highlight w:val="lightGray"/>
          <w:u w:val="single"/>
        </w:rPr>
        <w:t>y</w:t>
      </w:r>
      <w:r>
        <w:t xml:space="preserve"> fonética clara</w:t>
      </w:r>
      <w:r>
        <w:rPr>
          <w:strike/>
          <w:highlight w:val="yellow"/>
          <w:u w:val="double"/>
        </w:rPr>
        <w:t>; por ejemplo, si se trata de una letra al comienzo de una palabra</w:t>
      </w:r>
      <w:r>
        <w:t>:</w:t>
      </w:r>
      <w:r>
        <w:rPr>
          <w:rStyle w:val="EndnoteReference"/>
          <w:b/>
          <w:highlight w:val="yellow"/>
          <w:u w:val="double"/>
        </w:rPr>
        <w:endnoteReference w:id="8"/>
      </w:r>
    </w:p>
    <w:p w14:paraId="7D106D6B" w14:textId="77777777" w:rsidR="000C3B11" w:rsidRPr="002E0409" w:rsidRDefault="000C3B11" w:rsidP="000C3B11">
      <w:pPr>
        <w:keepNext/>
        <w:rPr>
          <w:sz w:val="14"/>
        </w:rPr>
      </w:pPr>
    </w:p>
    <w:p w14:paraId="7A42A7EA" w14:textId="7347F81E" w:rsidR="000C3B11" w:rsidRPr="00FF5486" w:rsidRDefault="000C3B11" w:rsidP="000C3B11">
      <w:pPr>
        <w:ind w:left="567"/>
        <w:rPr>
          <w:color w:val="000000"/>
          <w:highlight w:val="lightGray"/>
        </w:rPr>
      </w:pPr>
      <w:r>
        <w:rPr>
          <w:i/>
          <w:color w:val="000000"/>
        </w:rPr>
        <w:t>Ejemplo</w:t>
      </w:r>
      <w:r>
        <w:rPr>
          <w:i/>
          <w:strike/>
          <w:color w:val="000000"/>
        </w:rPr>
        <w:t xml:space="preserve"> </w:t>
      </w:r>
      <w:r>
        <w:rPr>
          <w:i/>
          <w:strike/>
          <w:color w:val="000000"/>
          <w:highlight w:val="lightGray"/>
          <w:u w:val="single"/>
        </w:rPr>
        <w:t>1</w:t>
      </w:r>
      <w:r>
        <w:rPr>
          <w:i/>
          <w:color w:val="000000"/>
          <w:u w:val="single"/>
          <w:shd w:val="pct15" w:color="auto" w:fill="FFFFFF"/>
        </w:rPr>
        <w:t>s</w:t>
      </w:r>
      <w:r>
        <w:rPr>
          <w:i/>
          <w:color w:val="000000"/>
          <w:u w:val="single"/>
        </w:rPr>
        <w:t xml:space="preserve"> de denominaciones adecuadas</w:t>
      </w:r>
      <w:r>
        <w:rPr>
          <w:i/>
          <w:color w:val="000000"/>
        </w:rPr>
        <w:t>:</w:t>
      </w:r>
      <w:r>
        <w:rPr>
          <w:color w:val="000000"/>
        </w:rPr>
        <w:t xml:space="preserve"> </w:t>
      </w:r>
      <w:r>
        <w:rPr>
          <w:strike/>
          <w:color w:val="000000"/>
          <w:highlight w:val="lightGray"/>
        </w:rPr>
        <w:t>en el idioma inglés,</w:t>
      </w:r>
      <w:r>
        <w:rPr>
          <w:strike/>
          <w:color w:val="000000"/>
        </w:rPr>
        <w:t xml:space="preserve"> </w:t>
      </w:r>
      <w:r>
        <w:rPr>
          <w:color w:val="000000"/>
        </w:rPr>
        <w:t>“Harry” y “Larry”</w:t>
      </w:r>
      <w:r>
        <w:rPr>
          <w:color w:val="000000"/>
          <w:u w:val="single"/>
          <w:shd w:val="pct15" w:color="auto" w:fill="FFFFFF"/>
        </w:rPr>
        <w:t xml:space="preserve">”, “Meagan” y “Reagan”, “Kinky” y “Binky”, “Hagar” y “Magar” </w:t>
      </w:r>
      <w:r>
        <w:rPr>
          <w:color w:val="000000"/>
          <w:highlight w:val="yellow"/>
          <w:u w:val="double"/>
          <w:shd w:val="pct15" w:color="auto" w:fill="FFFFFF"/>
        </w:rPr>
        <w:t>“Marina” y “Martina”,</w:t>
      </w:r>
      <w:r>
        <w:rPr>
          <w:rStyle w:val="EndnoteReference"/>
          <w:b/>
          <w:highlight w:val="yellow"/>
          <w:u w:val="double"/>
        </w:rPr>
        <w:endnoteReference w:id="9"/>
      </w:r>
      <w:r>
        <w:rPr>
          <w:highlight w:val="yellow"/>
          <w:u w:val="double"/>
          <w:shd w:val="pct15" w:color="auto" w:fill="FFFFFF"/>
        </w:rPr>
        <w:t xml:space="preserve"> “Dora” y “Dorka”, “Goran” y “Gran”,</w:t>
      </w:r>
      <w:r>
        <w:rPr>
          <w:rStyle w:val="EndnoteReference"/>
          <w:b/>
          <w:highlight w:val="yellow"/>
          <w:u w:val="double"/>
        </w:rPr>
        <w:endnoteReference w:id="10"/>
      </w:r>
      <w:r w:rsidR="008130BA">
        <w:rPr>
          <w:b/>
          <w:u w:val="single"/>
        </w:rPr>
        <w:t xml:space="preserve"> </w:t>
      </w:r>
      <w:r>
        <w:rPr>
          <w:strike/>
          <w:color w:val="000000"/>
          <w:highlight w:val="lightGray"/>
        </w:rPr>
        <w:t>no se prestarían a confusión;</w:t>
      </w:r>
      <w:r>
        <w:t xml:space="preserve"> </w:t>
      </w:r>
      <w:r>
        <w:rPr>
          <w:strike/>
          <w:color w:val="000000"/>
          <w:highlight w:val="lightGray"/>
        </w:rPr>
        <w:t xml:space="preserve">sin embargo, “Bough” </w:t>
      </w:r>
    </w:p>
    <w:p w14:paraId="6A30BA8F" w14:textId="77777777" w:rsidR="000C3B11" w:rsidRPr="00F96023" w:rsidRDefault="000C3B11" w:rsidP="000C3B11">
      <w:pPr>
        <w:ind w:left="567"/>
      </w:pPr>
      <w:r>
        <w:rPr>
          <w:strike/>
          <w:color w:val="000000"/>
          <w:highlight w:val="lightGray"/>
        </w:rPr>
        <w:t>y “Bow” podrían causar confusión (en términos fonéticos);</w:t>
      </w:r>
      <w:r>
        <w:rPr>
          <w:color w:val="000000"/>
        </w:rPr>
        <w:t xml:space="preserve"> </w:t>
      </w:r>
    </w:p>
    <w:p w14:paraId="6A71F835" w14:textId="36BD13BF" w:rsidR="000C3B11" w:rsidRPr="00AD1830" w:rsidRDefault="000C3B11" w:rsidP="000C3B11">
      <w:pPr>
        <w:spacing w:before="120"/>
        <w:ind w:left="567"/>
        <w:rPr>
          <w:u w:val="single"/>
        </w:rPr>
      </w:pPr>
      <w:r>
        <w:rPr>
          <w:i/>
          <w:shd w:val="pct15" w:color="auto" w:fill="FFFFFF"/>
        </w:rPr>
        <w:t>Ejemplo</w:t>
      </w:r>
      <w:r>
        <w:rPr>
          <w:i/>
          <w:strike/>
          <w:shd w:val="pct15" w:color="auto" w:fill="FFFFFF"/>
        </w:rPr>
        <w:t> 2</w:t>
      </w:r>
      <w:r>
        <w:rPr>
          <w:i/>
          <w:highlight w:val="lightGray"/>
          <w:u w:val="single"/>
        </w:rPr>
        <w:t>s de denominaciones inadecuadas</w:t>
      </w:r>
      <w:r>
        <w:t>:</w:t>
      </w:r>
      <w:r w:rsidR="008130BA">
        <w:rPr>
          <w:i/>
          <w:highlight w:val="lightGray"/>
        </w:rPr>
        <w:t xml:space="preserve"> </w:t>
      </w:r>
      <w:r>
        <w:rPr>
          <w:strike/>
          <w:highlight w:val="lightGray"/>
        </w:rPr>
        <w:t xml:space="preserve">en los idiomas japonés y coreano, no hay diferencia entre los sonidos de las letras “L” y “R”, por lo que “Lion” y “Raion” suenan exactamente lo mismo, aunque sean palabras que las personas de habla inglesa pueden distinguirlas perfectamente </w:t>
      </w:r>
      <w:r>
        <w:rPr>
          <w:highlight w:val="lightGray"/>
          <w:u w:val="single"/>
        </w:rPr>
        <w:t xml:space="preserve">“Helena” y “Elena”, “Paqou”, “Pacou” y “Pakou”, “Poge” y “Poje” y “Zophia” y “Sophia”. </w:t>
      </w:r>
      <w:r>
        <w:rPr>
          <w:highlight w:val="yellow"/>
          <w:u w:val="double"/>
        </w:rPr>
        <w:t>“Tacuara” y “Thacuara”, “Selva” y “Selba”</w:t>
      </w:r>
      <w:r>
        <w:rPr>
          <w:rStyle w:val="EndnoteReference"/>
          <w:b/>
          <w:highlight w:val="yellow"/>
          <w:u w:val="double"/>
        </w:rPr>
        <w:endnoteReference w:id="11"/>
      </w:r>
      <w:r>
        <w:rPr>
          <w:highlight w:val="lightGray"/>
          <w:u w:val="single"/>
        </w:rPr>
        <w:t>.</w:t>
      </w:r>
      <w:r>
        <w:rPr>
          <w:strike/>
          <w:highlight w:val="lightGray"/>
        </w:rPr>
        <w:t xml:space="preserve"> podrían prestarse a confusión fonéticamente, pero no visualmente;</w:t>
      </w:r>
    </w:p>
    <w:p w14:paraId="314BF78D" w14:textId="77777777" w:rsidR="000C3B11" w:rsidRDefault="000C3B11" w:rsidP="000C3B11"/>
    <w:p w14:paraId="4A649E16" w14:textId="77777777" w:rsidR="000C3B11" w:rsidRPr="00EE22F6" w:rsidRDefault="000C3B11" w:rsidP="000C3B11">
      <w:pPr>
        <w:keepNext/>
        <w:keepLines/>
        <w:tabs>
          <w:tab w:val="right" w:pos="1022"/>
        </w:tabs>
        <w:ind w:left="1163" w:hanging="1163"/>
        <w:rPr>
          <w:highlight w:val="yellow"/>
          <w:u w:val="single"/>
        </w:rPr>
      </w:pPr>
      <w:r>
        <w:tab/>
      </w:r>
      <w:r>
        <w:rPr>
          <w:highlight w:val="lightGray"/>
          <w:u w:val="single"/>
        </w:rPr>
        <w:t>ii)</w:t>
      </w:r>
      <w:r>
        <w:tab/>
      </w:r>
      <w:r>
        <w:rPr>
          <w:highlight w:val="lightGray"/>
          <w:u w:val="single"/>
        </w:rPr>
        <w:t>la diferencia de una letra indica una diferencia de significado claramente apreciable</w:t>
      </w:r>
    </w:p>
    <w:p w14:paraId="11117EDF" w14:textId="77777777" w:rsidR="000C3B11" w:rsidRPr="002E0409" w:rsidRDefault="000C3B11" w:rsidP="000C3B11">
      <w:pPr>
        <w:keepNext/>
        <w:keepLines/>
        <w:tabs>
          <w:tab w:val="right" w:pos="1022"/>
        </w:tabs>
        <w:ind w:left="1163" w:hanging="1163"/>
        <w:rPr>
          <w:sz w:val="14"/>
          <w:highlight w:val="yellow"/>
          <w:u w:val="double"/>
        </w:rPr>
      </w:pPr>
    </w:p>
    <w:p w14:paraId="673CF26C" w14:textId="23131F8A" w:rsidR="000C3B11" w:rsidRPr="00EE22F6" w:rsidRDefault="000C3B11" w:rsidP="001A4D2C">
      <w:pPr>
        <w:ind w:left="564"/>
        <w:rPr>
          <w:u w:val="single"/>
        </w:rPr>
      </w:pPr>
      <w:r>
        <w:rPr>
          <w:i/>
          <w:highlight w:val="lightGray"/>
          <w:u w:val="single"/>
        </w:rPr>
        <w:t>Ejemplos de denominaciones adecuadas</w:t>
      </w:r>
      <w:r>
        <w:t>:</w:t>
      </w:r>
      <w:r>
        <w:rPr>
          <w:highlight w:val="lightGray"/>
          <w:u w:val="single"/>
        </w:rPr>
        <w:t xml:space="preserve"> “Power” y “Poker”, “Angle” y “Ankle”, </w:t>
      </w:r>
      <w:r>
        <w:rPr>
          <w:highlight w:val="yellow"/>
          <w:u w:val="double"/>
        </w:rPr>
        <w:t>“Plato” y “Plata”</w:t>
      </w:r>
      <w:r>
        <w:rPr>
          <w:rStyle w:val="EndnoteReference"/>
          <w:b/>
          <w:highlight w:val="yellow"/>
          <w:u w:val="double"/>
        </w:rPr>
        <w:endnoteReference w:id="12"/>
      </w:r>
      <w:r>
        <w:rPr>
          <w:highlight w:val="yellow"/>
          <w:u w:val="single"/>
        </w:rPr>
        <w:t>,</w:t>
      </w:r>
      <w:r w:rsidR="008130BA">
        <w:rPr>
          <w:u w:val="single"/>
        </w:rPr>
        <w:t xml:space="preserve"> </w:t>
      </w:r>
    </w:p>
    <w:p w14:paraId="282D0907" w14:textId="77777777" w:rsidR="000C3B11" w:rsidRDefault="000C3B11" w:rsidP="000C3B11">
      <w:pPr>
        <w:keepNext/>
        <w:keepLines/>
        <w:tabs>
          <w:tab w:val="right" w:pos="1022"/>
        </w:tabs>
        <w:ind w:left="1306" w:hanging="1306"/>
      </w:pPr>
    </w:p>
    <w:p w14:paraId="62C02BAE" w14:textId="77777777" w:rsidR="000C3B11" w:rsidRDefault="000C3B11" w:rsidP="000C3B11">
      <w:pPr>
        <w:keepNext/>
        <w:keepLines/>
        <w:tabs>
          <w:tab w:val="right" w:pos="1022"/>
        </w:tabs>
        <w:ind w:left="1163" w:hanging="1163"/>
      </w:pPr>
      <w:r>
        <w:tab/>
      </w:r>
      <w:r>
        <w:rPr>
          <w:highlight w:val="lightGray"/>
          <w:u w:val="single"/>
        </w:rPr>
        <w:t>iii)</w:t>
      </w:r>
      <w:r>
        <w:tab/>
      </w:r>
      <w:r>
        <w:rPr>
          <w:highlight w:val="lightGray"/>
          <w:u w:val="single"/>
        </w:rPr>
        <w:t>denominaciones compuestas únicamente de letras que no forman palabras</w:t>
      </w:r>
    </w:p>
    <w:p w14:paraId="01589FC3" w14:textId="77777777" w:rsidR="000C3B11" w:rsidRPr="002E0409" w:rsidRDefault="000C3B11" w:rsidP="000C3B11">
      <w:pPr>
        <w:rPr>
          <w:sz w:val="14"/>
        </w:rPr>
      </w:pPr>
    </w:p>
    <w:p w14:paraId="3FF59E62" w14:textId="65EB090B" w:rsidR="000C3B11" w:rsidRPr="00EE22F6" w:rsidRDefault="000C3B11" w:rsidP="000C3B11">
      <w:pPr>
        <w:rPr>
          <w:u w:val="single"/>
        </w:rPr>
      </w:pPr>
      <w:r>
        <w:tab/>
      </w:r>
      <w:r>
        <w:rPr>
          <w:i/>
          <w:highlight w:val="lightGray"/>
          <w:u w:val="single"/>
        </w:rPr>
        <w:t>Ejemplos de denominaciones adecuadas</w:t>
      </w:r>
      <w:r>
        <w:t>:</w:t>
      </w:r>
      <w:r>
        <w:rPr>
          <w:highlight w:val="lightGray"/>
          <w:u w:val="single"/>
        </w:rPr>
        <w:t xml:space="preserve"> “ABCD” y “ABCE”;</w:t>
      </w:r>
    </w:p>
    <w:p w14:paraId="4CC9E553" w14:textId="77777777" w:rsidR="000C3B11" w:rsidRDefault="000C3B11" w:rsidP="000C3B11"/>
    <w:p w14:paraId="786F90A4" w14:textId="77777777" w:rsidR="000C3B11" w:rsidRDefault="000C3B11" w:rsidP="000C3B11">
      <w:pPr>
        <w:keepNext/>
        <w:keepLines/>
        <w:tabs>
          <w:tab w:val="right" w:pos="1021"/>
        </w:tabs>
        <w:ind w:left="1163" w:hanging="1163"/>
      </w:pPr>
      <w:r>
        <w:tab/>
      </w:r>
      <w:r>
        <w:rPr>
          <w:strike/>
          <w:highlight w:val="lightGray"/>
        </w:rPr>
        <w:t>ii)</w:t>
      </w:r>
      <w:r>
        <w:rPr>
          <w:highlight w:val="lightGray"/>
          <w:u w:val="single"/>
        </w:rPr>
        <w:t>iv)</w:t>
      </w:r>
      <w:r>
        <w:tab/>
        <w:t xml:space="preserve">las denominaciones </w:t>
      </w:r>
      <w:r>
        <w:rPr>
          <w:highlight w:val="lightGray"/>
          <w:u w:val="single"/>
        </w:rPr>
        <w:t>compuestas</w:t>
      </w:r>
      <w:r>
        <w:t xml:space="preserve"> de una combinación de letras y cifras</w:t>
      </w:r>
    </w:p>
    <w:p w14:paraId="6B0CEE91" w14:textId="77777777" w:rsidR="000C3B11" w:rsidRPr="002E0409" w:rsidRDefault="000C3B11" w:rsidP="000C3B11">
      <w:pPr>
        <w:rPr>
          <w:sz w:val="14"/>
        </w:rPr>
      </w:pPr>
    </w:p>
    <w:p w14:paraId="6A292EC7" w14:textId="1B237A9D" w:rsidR="000C3B11" w:rsidRPr="009C62C1" w:rsidRDefault="000C3B11" w:rsidP="000C3B11">
      <w:pPr>
        <w:rPr>
          <w:highlight w:val="yellow"/>
          <w:shd w:val="pct15" w:color="auto" w:fill="FFFFFF"/>
          <w:vertAlign w:val="superscript"/>
        </w:rPr>
      </w:pPr>
      <w:r>
        <w:tab/>
      </w:r>
      <w:r>
        <w:rPr>
          <w:i/>
          <w:highlight w:val="lightGray"/>
          <w:u w:val="single"/>
        </w:rPr>
        <w:t>Ejemplos de denominaciones adecuadas</w:t>
      </w:r>
      <w:r>
        <w:t>:</w:t>
      </w:r>
      <w:r>
        <w:rPr>
          <w:highlight w:val="lightGray"/>
          <w:u w:val="single"/>
        </w:rPr>
        <w:t xml:space="preserve"> “ABC678” y “ABC688” y “PremP009” y “PremP109”</w:t>
      </w:r>
      <w:r>
        <w:rPr>
          <w:u w:val="double"/>
        </w:rPr>
        <w:t>;</w:t>
      </w:r>
    </w:p>
    <w:p w14:paraId="48F47D1B" w14:textId="77777777" w:rsidR="000C3B11" w:rsidRDefault="000C3B11" w:rsidP="000C3B11">
      <w:pPr>
        <w:tabs>
          <w:tab w:val="right" w:pos="1134"/>
          <w:tab w:val="left" w:pos="1418"/>
        </w:tabs>
      </w:pPr>
    </w:p>
    <w:p w14:paraId="66705577" w14:textId="77777777" w:rsidR="000C3B11" w:rsidRPr="009C62C1" w:rsidRDefault="000C3B11" w:rsidP="000C3B11">
      <w:pPr>
        <w:tabs>
          <w:tab w:val="right" w:pos="1021"/>
        </w:tabs>
        <w:ind w:left="1163" w:hanging="1163"/>
        <w:rPr>
          <w:highlight w:val="yellow"/>
        </w:rPr>
      </w:pPr>
      <w:r>
        <w:tab/>
      </w:r>
      <w:r>
        <w:rPr>
          <w:strike/>
          <w:highlight w:val="lightGray"/>
        </w:rPr>
        <w:t>iii)</w:t>
      </w:r>
      <w:r>
        <w:rPr>
          <w:highlight w:val="lightGray"/>
          <w:u w:val="single"/>
        </w:rPr>
        <w:t>v)</w:t>
      </w:r>
      <w:r>
        <w:tab/>
        <w:t>las denominaciones compuestas “únicamente de cifras”</w:t>
      </w:r>
    </w:p>
    <w:p w14:paraId="7E8B9C34" w14:textId="77777777" w:rsidR="000C3B11" w:rsidRPr="002E0409" w:rsidRDefault="000C3B11" w:rsidP="000C3B11">
      <w:pPr>
        <w:rPr>
          <w:sz w:val="14"/>
        </w:rPr>
      </w:pPr>
    </w:p>
    <w:p w14:paraId="4CF47F42" w14:textId="3B23A47D" w:rsidR="000C3B11" w:rsidRDefault="000C3B11" w:rsidP="000C3B11">
      <w:pPr>
        <w:rPr>
          <w:u w:val="single"/>
        </w:rPr>
      </w:pPr>
      <w:r>
        <w:tab/>
      </w:r>
      <w:r>
        <w:rPr>
          <w:i/>
          <w:highlight w:val="lightGray"/>
          <w:u w:val="single"/>
        </w:rPr>
        <w:t>Ejemplos de denominaciones adecuadas</w:t>
      </w:r>
      <w:r>
        <w:t>:</w:t>
      </w:r>
      <w:r>
        <w:rPr>
          <w:highlight w:val="lightGray"/>
          <w:u w:val="single"/>
        </w:rPr>
        <w:t xml:space="preserve"> “411” y “412”.</w:t>
      </w:r>
    </w:p>
    <w:p w14:paraId="5AC2F74B" w14:textId="77777777" w:rsidR="00354EAF" w:rsidRDefault="00354EAF" w:rsidP="000C3B11">
      <w:pPr>
        <w:rPr>
          <w:u w:val="single"/>
        </w:rPr>
      </w:pPr>
    </w:p>
    <w:p w14:paraId="0495DCCE" w14:textId="77777777" w:rsidR="00354EAF" w:rsidRPr="00354EAF" w:rsidRDefault="00354EAF" w:rsidP="00354EAF">
      <w:pPr>
        <w:ind w:firstLine="567"/>
        <w:rPr>
          <w:u w:val="double"/>
        </w:rPr>
      </w:pPr>
      <w:r>
        <w:rPr>
          <w:rStyle w:val="EndnoteReference"/>
          <w:b/>
          <w:highlight w:val="yellow"/>
          <w:u w:val="double"/>
        </w:rPr>
        <w:endnoteReference w:id="13"/>
      </w:r>
      <w:r>
        <w:rPr>
          <w:highlight w:val="yellow"/>
          <w:u w:val="double"/>
        </w:rPr>
        <w:t>b)</w:t>
      </w:r>
      <w:r>
        <w:tab/>
      </w:r>
      <w:r>
        <w:rPr>
          <w:highlight w:val="yellow"/>
          <w:u w:val="double"/>
        </w:rPr>
        <w:t>Una diferencia de dos o más letras podrá considerarse susceptible de inducir a error o prestarse a confusión respecto de la identidad de la variedad si la diferencia no implica una clara diferencia fonética o una diferencia de significado claramente apreciable:</w:t>
      </w:r>
    </w:p>
    <w:p w14:paraId="0444752D" w14:textId="77777777" w:rsidR="00354EAF" w:rsidRPr="00354EAF" w:rsidRDefault="00354EAF" w:rsidP="00354EAF">
      <w:pPr>
        <w:rPr>
          <w:u w:val="double"/>
        </w:rPr>
      </w:pPr>
    </w:p>
    <w:p w14:paraId="514FE483" w14:textId="616A25E0" w:rsidR="00354EAF" w:rsidRPr="00354EAF" w:rsidRDefault="00354EAF" w:rsidP="00354EAF">
      <w:pPr>
        <w:rPr>
          <w:u w:val="double"/>
        </w:rPr>
      </w:pPr>
      <w:r>
        <w:tab/>
      </w:r>
      <w:r>
        <w:rPr>
          <w:i/>
          <w:highlight w:val="yellow"/>
          <w:u w:val="double"/>
        </w:rPr>
        <w:t>Ejemplos de denominaciones inadecuadas</w:t>
      </w:r>
      <w:r>
        <w:t>:</w:t>
      </w:r>
      <w:r>
        <w:rPr>
          <w:highlight w:val="yellow"/>
          <w:u w:val="double"/>
        </w:rPr>
        <w:t xml:space="preserve"> “Antelope” y “Antilop”,</w:t>
      </w:r>
      <w:r>
        <w:rPr>
          <w:rStyle w:val="EndnoteReference"/>
          <w:b/>
          <w:highlight w:val="yellow"/>
          <w:u w:val="double"/>
        </w:rPr>
        <w:endnoteReference w:id="14"/>
      </w:r>
      <w:r>
        <w:rPr>
          <w:highlight w:val="yellow"/>
          <w:u w:val="double"/>
        </w:rPr>
        <w:t xml:space="preserve"> “Sharlene” y “Charleen”, “Kapricio” y “Capricho” y “Sophie” y “Sofie”.</w:t>
      </w:r>
    </w:p>
    <w:p w14:paraId="00FE5308" w14:textId="77777777" w:rsidR="00354EAF" w:rsidRDefault="00354EAF" w:rsidP="00354EAF"/>
    <w:p w14:paraId="37C3FA6D" w14:textId="77777777" w:rsidR="00393191" w:rsidRDefault="00393191" w:rsidP="00893C7D"/>
    <w:p w14:paraId="746AFAFE" w14:textId="77777777" w:rsidR="00893C7D" w:rsidRDefault="00893C7D" w:rsidP="002E0409">
      <w:r>
        <w:tab/>
      </w:r>
      <w:r>
        <w:rPr>
          <w:dstrike/>
          <w:highlight w:val="yellow"/>
          <w:u w:val="double"/>
        </w:rPr>
        <w:t>b)</w:t>
      </w:r>
      <w:r>
        <w:rPr>
          <w:highlight w:val="yellow"/>
          <w:u w:val="double"/>
        </w:rPr>
        <w:t>c)</w:t>
      </w:r>
      <w:r>
        <w:tab/>
        <w:t>La utilización de una denominación que es similar a la utilizada para una variedad de otra especie o género de la misma clase de denominación (véase la sección 2.5) puede prestarse a confusión.</w:t>
      </w:r>
    </w:p>
    <w:p w14:paraId="472BCDF2" w14:textId="77777777" w:rsidR="00A207A9" w:rsidRPr="00407B23" w:rsidRDefault="00A207A9" w:rsidP="00A207A9"/>
    <w:p w14:paraId="76889780" w14:textId="78EEA490" w:rsidR="00A207A9" w:rsidRDefault="00A207A9" w:rsidP="00A207A9">
      <w:pPr>
        <w:spacing w:line="240" w:lineRule="atLeast"/>
        <w:ind w:firstLine="567"/>
      </w:pPr>
      <w:r>
        <w:rPr>
          <w:dstrike/>
          <w:highlight w:val="yellow"/>
        </w:rPr>
        <w:t>c)</w:t>
      </w:r>
      <w:r>
        <w:rPr>
          <w:highlight w:val="yellow"/>
          <w:u w:val="double"/>
        </w:rPr>
        <w:t>d)</w:t>
      </w:r>
      <w:r>
        <w:tab/>
        <w:t>Para mayor claridad y certidumbre en relación con las denominaciones de variedades, por lo general, se desaconseja la reutilización de denominaciones puesto que al volver a utilizar una denominación, aun cuando esta se relacione con una variedad que ya no exista (véase la sección 2.4.2), se puede no obstante causar confusión.</w:t>
      </w:r>
      <w:r w:rsidR="008130BA">
        <w:t xml:space="preserve"> </w:t>
      </w:r>
      <w:r>
        <w:t xml:space="preserve">En ciertos casos limitados, se puede aceptar una excepción, por ejemplo, una variedad que nunca haya sido comercializada o que solo haya sido comercializada en forma limitada y durante un corto período de tiempo. En esos casos, se exigiría que pase cierto tiempo después de suprimida la comercialización de la variedad antes de poder volver a utilizar la denominación y ello con el fin de evitar causar confusión en relación con la identidad y/o las características de la variedad. </w:t>
      </w:r>
    </w:p>
    <w:p w14:paraId="7128FA7D" w14:textId="77777777" w:rsidR="0081352E" w:rsidRDefault="0081352E" w:rsidP="00A207A9">
      <w:pPr>
        <w:spacing w:line="240" w:lineRule="atLeast"/>
        <w:ind w:firstLine="567"/>
      </w:pPr>
    </w:p>
    <w:p w14:paraId="4C1E8A51" w14:textId="77777777" w:rsidR="00893C7D" w:rsidRPr="009A5B53" w:rsidRDefault="00893C7D" w:rsidP="00A24E0F">
      <w:pPr>
        <w:pStyle w:val="Heading4"/>
      </w:pPr>
      <w:bookmarkStart w:id="31" w:name="_Toc15033883"/>
      <w:bookmarkStart w:id="32" w:name="_Toc48718052"/>
      <w:bookmarkStart w:id="33" w:name="_Toc48738890"/>
      <w:r>
        <w:t>2.3.4</w:t>
      </w:r>
      <w:r>
        <w:tab/>
        <w:t>Identidad del obtentor</w:t>
      </w:r>
      <w:bookmarkEnd w:id="31"/>
      <w:bookmarkEnd w:id="32"/>
      <w:bookmarkEnd w:id="33"/>
    </w:p>
    <w:p w14:paraId="4AAD1779" w14:textId="77777777" w:rsidR="0081352E" w:rsidRDefault="0081352E" w:rsidP="0081352E">
      <w:pPr>
        <w:pStyle w:val="ListParagraph"/>
        <w:tabs>
          <w:tab w:val="left" w:pos="853"/>
        </w:tabs>
        <w:ind w:left="0" w:firstLine="357"/>
      </w:pPr>
    </w:p>
    <w:p w14:paraId="6D6A52D3" w14:textId="77777777" w:rsidR="0081352E" w:rsidRPr="009F175B" w:rsidRDefault="0081352E" w:rsidP="0081352E">
      <w:pPr>
        <w:pStyle w:val="ListParagraph"/>
        <w:tabs>
          <w:tab w:val="left" w:pos="853"/>
        </w:tabs>
        <w:ind w:left="0" w:firstLine="357"/>
      </w:pPr>
      <w:r>
        <w:rPr>
          <w:highlight w:val="lightGray"/>
          <w:u w:val="single"/>
        </w:rPr>
        <w:t>a)</w:t>
      </w:r>
      <w:r>
        <w:tab/>
        <w:t>La denominación de la variedad no deberá inducir en error o prestarse a confusión sobre la identidad del obtentor.</w:t>
      </w:r>
    </w:p>
    <w:p w14:paraId="22F848A3" w14:textId="61A1D81A" w:rsidR="00B0234D" w:rsidRDefault="00B0234D">
      <w:r>
        <w:br w:type="page"/>
      </w:r>
    </w:p>
    <w:p w14:paraId="2A0762EB" w14:textId="1150766E" w:rsidR="0081352E" w:rsidRPr="0081352E" w:rsidRDefault="0081352E" w:rsidP="0081352E">
      <w:pPr>
        <w:pStyle w:val="ListParagraph"/>
        <w:tabs>
          <w:tab w:val="left" w:pos="880"/>
        </w:tabs>
        <w:ind w:left="0" w:firstLine="357"/>
        <w:rPr>
          <w:color w:val="000000"/>
          <w:sz w:val="18"/>
          <w:szCs w:val="18"/>
          <w:highlight w:val="lightGray"/>
          <w:u w:val="single"/>
        </w:rPr>
      </w:pPr>
      <w:r>
        <w:rPr>
          <w:highlight w:val="lightGray"/>
          <w:u w:val="single"/>
        </w:rPr>
        <w:lastRenderedPageBreak/>
        <w:t>b)</w:t>
      </w:r>
      <w:r>
        <w:tab/>
      </w:r>
      <w:r>
        <w:rPr>
          <w:highlight w:val="lightGray"/>
          <w:u w:val="single"/>
        </w:rPr>
        <w:t>Un formato, una estructura o una combinación de palabras pueden llegar a asociarse a un obtentor por uso y costumbre</w:t>
      </w:r>
      <w:r>
        <w:t>.</w:t>
      </w:r>
      <w:r w:rsidR="008130BA">
        <w:rPr>
          <w:highlight w:val="lightGray"/>
          <w:u w:val="single"/>
        </w:rPr>
        <w:t xml:space="preserve"> </w:t>
      </w:r>
      <w:r>
        <w:rPr>
          <w:highlight w:val="lightGray"/>
          <w:u w:val="single"/>
        </w:rPr>
        <w:t>No obstante, para que se asocie a un obtentor, es necesario que incluya una palabra corriente, un prefijo o un sufijo.</w:t>
      </w:r>
      <w:r w:rsidR="008130BA">
        <w:rPr>
          <w:highlight w:val="lightGray"/>
          <w:u w:val="single"/>
        </w:rPr>
        <w:t xml:space="preserve"> </w:t>
      </w:r>
      <w:r>
        <w:rPr>
          <w:highlight w:val="lightGray"/>
          <w:u w:val="single"/>
        </w:rPr>
        <w:t>En ese caso, la autoridad podrá considerar que la utilización de ese formato, estructura o combinación de palabras por otro obtentor para denominaciones de variedades puede inducir a error o prestarse a confusión en cuanto a la identidad del obtentor;</w:t>
      </w:r>
    </w:p>
    <w:p w14:paraId="786A92B5" w14:textId="77777777" w:rsidR="0081352E" w:rsidRPr="0081352E" w:rsidRDefault="0081352E" w:rsidP="0081352E">
      <w:pPr>
        <w:pStyle w:val="ListParagraph"/>
        <w:rPr>
          <w:color w:val="000000"/>
          <w:sz w:val="14"/>
          <w:szCs w:val="18"/>
          <w:highlight w:val="lightGray"/>
          <w:u w:val="single"/>
        </w:rPr>
      </w:pPr>
    </w:p>
    <w:p w14:paraId="2B8B1295" w14:textId="403BF3BE" w:rsidR="0081352E" w:rsidRDefault="0081352E" w:rsidP="0081352E">
      <w:pPr>
        <w:ind w:left="567" w:hanging="567"/>
        <w:rPr>
          <w:u w:val="single"/>
        </w:rPr>
      </w:pPr>
      <w:r>
        <w:tab/>
      </w:r>
      <w:r>
        <w:rPr>
          <w:i/>
          <w:highlight w:val="lightGray"/>
          <w:u w:val="single"/>
        </w:rPr>
        <w:t>Ejemplos de denominaciones inadecuadas</w:t>
      </w:r>
      <w:r>
        <w:t>:</w:t>
      </w:r>
      <w:r>
        <w:rPr>
          <w:highlight w:val="lightGray"/>
          <w:u w:val="single"/>
        </w:rPr>
        <w:t xml:space="preserve"> “ABC rojo” propuesta por un obtentor (obtentor 2) cuando “ABC terciopelo”, “ABC estrella” y “ABC verde” están registradas por otro obtentor (obtentor 1).</w:t>
      </w:r>
    </w:p>
    <w:p w14:paraId="1154961B" w14:textId="77777777" w:rsidR="0081352E" w:rsidRPr="0081352E" w:rsidRDefault="0081352E" w:rsidP="0081352E">
      <w:pPr>
        <w:ind w:left="567" w:hanging="567"/>
        <w:rPr>
          <w:u w:val="single"/>
        </w:rPr>
      </w:pPr>
    </w:p>
    <w:p w14:paraId="750F3138" w14:textId="77777777" w:rsidR="0081352E" w:rsidRDefault="0081352E" w:rsidP="004B3FB2"/>
    <w:p w14:paraId="62E02003" w14:textId="77777777" w:rsidR="00893C7D" w:rsidRPr="00407B23" w:rsidRDefault="00893C7D" w:rsidP="00921D38">
      <w:pPr>
        <w:pStyle w:val="Heading3"/>
      </w:pPr>
      <w:bookmarkStart w:id="34" w:name="_Toc15033884"/>
      <w:bookmarkStart w:id="35" w:name="_Toc48718053"/>
      <w:bookmarkStart w:id="36" w:name="_Toc48738891"/>
      <w:r>
        <w:t>2.4.</w:t>
      </w:r>
      <w:r>
        <w:tab/>
        <w:t>Diferente de una variedad existente de la misma especie vegetal o de una especie vecina</w:t>
      </w:r>
      <w:bookmarkEnd w:id="34"/>
      <w:bookmarkEnd w:id="35"/>
      <w:bookmarkEnd w:id="36"/>
    </w:p>
    <w:p w14:paraId="3721B74E" w14:textId="77777777" w:rsidR="00B0234D" w:rsidRDefault="00B0234D" w:rsidP="00B0234D"/>
    <w:p w14:paraId="4B38F7DE" w14:textId="007582A5" w:rsidR="00893C7D" w:rsidRPr="00407B23" w:rsidRDefault="00893C7D" w:rsidP="00B0234D">
      <w:r>
        <w:t>2.4.1</w:t>
      </w:r>
      <w:r>
        <w:tab/>
        <w:t>El párrafo 2) establece que la denominación deberá ser “diferente” de una variedad existente de la misma especie vegetal o de una especie vecina.</w:t>
      </w:r>
      <w:r>
        <w:rPr>
          <w:rStyle w:val="FootnoteReference"/>
        </w:rPr>
        <w:footnoteReference w:id="3"/>
      </w:r>
      <w:r>
        <w:t xml:space="preserve"> </w:t>
      </w:r>
    </w:p>
    <w:p w14:paraId="705FA618" w14:textId="77777777" w:rsidR="00B0234D" w:rsidRDefault="00B0234D" w:rsidP="00B0234D"/>
    <w:p w14:paraId="6389E540" w14:textId="14A16BB1" w:rsidR="00893C7D" w:rsidRDefault="00893C7D" w:rsidP="00B0234D">
      <w:r>
        <w:t>2.4.2</w:t>
      </w:r>
      <w:r>
        <w:tab/>
        <w:t>La siguiente explicación es a los fines de las denominaciones de variedades y sin perjuicio del significado de una “variedad cuya existencia sea notoriamente conocida” del Artículo 7 del Acta de 1991 y del Artículo 6.1)a) del Acta de 1978 y del Convenio de 1961.</w:t>
      </w:r>
      <w:r w:rsidR="008130BA">
        <w:t xml:space="preserve"> </w:t>
      </w:r>
      <w:r>
        <w:t>Por lo general, se desaconseja la reutilización de denominaciones pero, en casos excepcionales (véase la sección 2.3.3.</w:t>
      </w:r>
      <w:r>
        <w:rPr>
          <w:dstrike/>
          <w:highlight w:val="yellow"/>
        </w:rPr>
        <w:t>c)</w:t>
      </w:r>
      <w:r>
        <w:rPr>
          <w:highlight w:val="yellow"/>
          <w:u w:val="double"/>
        </w:rPr>
        <w:t>d)</w:t>
      </w:r>
      <w:r>
        <w:t>), se podría, en principio, registrar para una nueva variedad la denominación de una variedad antigua.</w:t>
      </w:r>
    </w:p>
    <w:p w14:paraId="0FAD2D4F" w14:textId="54DA19BF" w:rsidR="00B0234D" w:rsidRDefault="00B0234D" w:rsidP="00B0234D"/>
    <w:p w14:paraId="4E1A90D9" w14:textId="77777777" w:rsidR="00B0234D" w:rsidRPr="00407B23" w:rsidRDefault="00B0234D" w:rsidP="00B0234D"/>
    <w:p w14:paraId="3C2CADC7" w14:textId="3780DCD6" w:rsidR="00893C7D" w:rsidRPr="00407B23" w:rsidRDefault="00893C7D" w:rsidP="00B45AEA">
      <w:pPr>
        <w:pStyle w:val="Heading3"/>
      </w:pPr>
      <w:bookmarkStart w:id="37" w:name="_Toc15033885"/>
      <w:bookmarkStart w:id="38" w:name="_Toc48718054"/>
      <w:bookmarkStart w:id="39" w:name="_Toc48738892"/>
      <w:r>
        <w:t>2.5.</w:t>
      </w:r>
      <w:r>
        <w:tab/>
        <w:t>Clases de denominaciones de variedades:</w:t>
      </w:r>
      <w:r w:rsidR="008130BA">
        <w:t xml:space="preserve"> </w:t>
      </w:r>
      <w:r>
        <w:t>una denominación de variedad no deberá ser utilizada más de una vez en la misma clase.</w:t>
      </w:r>
      <w:bookmarkEnd w:id="37"/>
      <w:bookmarkEnd w:id="38"/>
      <w:bookmarkEnd w:id="39"/>
    </w:p>
    <w:p w14:paraId="191389DB" w14:textId="77777777" w:rsidR="00893C7D" w:rsidRDefault="00893C7D" w:rsidP="00893C7D">
      <w:pPr>
        <w:keepNext/>
      </w:pPr>
    </w:p>
    <w:p w14:paraId="1D9C52E1" w14:textId="42DF8A23" w:rsidR="00893C7D" w:rsidRPr="004359AA" w:rsidRDefault="00893C7D" w:rsidP="00665E0F">
      <w:pPr>
        <w:rPr>
          <w:spacing w:val="-2"/>
        </w:rPr>
      </w:pPr>
      <w:r>
        <w:t>2.5.1</w:t>
      </w:r>
      <w:r>
        <w:tab/>
        <w:t>A los efectos de proporcionar orientación sobre la tercera (véase la sección 2.3.3.b)) y cuarta frases del párrafo 2 del Artículo 20 del Acta de 1991 y del Artículo 13 del Acta de 1978 y del Convenio de 1961, se han elaborado clases de denominaciones de variedades.</w:t>
      </w:r>
      <w:r w:rsidR="008130BA">
        <w:t xml:space="preserve"> </w:t>
      </w:r>
      <w:r>
        <w:t>Una denominación de variedad no deberá ser utilizada más de una vez en la misma clase.</w:t>
      </w:r>
      <w:r w:rsidR="008130BA">
        <w:t xml:space="preserve"> </w:t>
      </w:r>
      <w:r>
        <w:t xml:space="preserve">Las clases se han elaborado de manera tal que los taxones botánicos de la misma clase se consideren estrechamente relacionados entre sí o susceptibles de inducir a error o de prestarse a confusión en relación con la identidad de la variedad. </w:t>
      </w:r>
    </w:p>
    <w:p w14:paraId="11243DAF" w14:textId="77777777" w:rsidR="00B45AEA" w:rsidRDefault="00B45AEA" w:rsidP="00B45AEA"/>
    <w:p w14:paraId="365F220A" w14:textId="225C37BB" w:rsidR="00893C7D" w:rsidRPr="00407B23" w:rsidRDefault="00893C7D" w:rsidP="00893C7D">
      <w:pPr>
        <w:keepNext/>
        <w:spacing w:line="240" w:lineRule="atLeast"/>
      </w:pPr>
      <w:r>
        <w:t>2.5.2</w:t>
      </w:r>
      <w:r>
        <w:tab/>
        <w:t>A continuación figuran las clases de denominaciones de variedades:</w:t>
      </w:r>
      <w:r w:rsidR="008130BA">
        <w:t xml:space="preserve"> </w:t>
      </w:r>
    </w:p>
    <w:p w14:paraId="7AA9ADB3" w14:textId="77777777" w:rsidR="00893C7D" w:rsidRPr="00407B23" w:rsidRDefault="00893C7D" w:rsidP="00893C7D">
      <w:pPr>
        <w:keepNext/>
      </w:pPr>
    </w:p>
    <w:p w14:paraId="5A79A496" w14:textId="3659A646" w:rsidR="00893C7D" w:rsidRPr="00DE1471" w:rsidRDefault="00893C7D" w:rsidP="00893C7D">
      <w:pPr>
        <w:pStyle w:val="BodyTextIndent"/>
        <w:ind w:left="0" w:firstLine="567"/>
      </w:pPr>
      <w:r>
        <w:t>a)</w:t>
      </w:r>
      <w:r>
        <w:tab/>
        <w:t>norma general (un género/una clase): para los géneros y especies no comprendidos en la Lista de clases del Anexo I, se considera que un género es una clase;</w:t>
      </w:r>
      <w:r w:rsidR="008130BA">
        <w:t xml:space="preserve"> </w:t>
      </w:r>
    </w:p>
    <w:p w14:paraId="07ABF260" w14:textId="77777777" w:rsidR="00893C7D" w:rsidRPr="00DE1471" w:rsidRDefault="00893C7D" w:rsidP="00893C7D">
      <w:pPr>
        <w:pStyle w:val="BodyTextIndent"/>
        <w:ind w:left="0"/>
      </w:pPr>
    </w:p>
    <w:p w14:paraId="6A7E0538" w14:textId="03EEE958" w:rsidR="00893C7D" w:rsidRPr="00DE1471" w:rsidRDefault="00893C7D" w:rsidP="00893C7D">
      <w:pPr>
        <w:pStyle w:val="BodyTextIndent"/>
        <w:ind w:left="0" w:firstLine="567"/>
      </w:pPr>
      <w:r>
        <w:t>b)</w:t>
      </w:r>
      <w:r>
        <w:tab/>
        <w:t>excepciones a la norma general (lista de clases):</w:t>
      </w:r>
      <w:r w:rsidR="008130BA">
        <w:t xml:space="preserve"> </w:t>
      </w:r>
    </w:p>
    <w:p w14:paraId="7F9B25F5" w14:textId="77777777" w:rsidR="00893C7D" w:rsidRPr="004359AA" w:rsidRDefault="00893C7D" w:rsidP="00893C7D">
      <w:pPr>
        <w:pStyle w:val="BodyTextIndent"/>
        <w:ind w:left="0"/>
        <w:rPr>
          <w:sz w:val="18"/>
        </w:rPr>
      </w:pPr>
    </w:p>
    <w:p w14:paraId="7E0C286D" w14:textId="72C22800" w:rsidR="00893C7D" w:rsidRPr="00DE1471" w:rsidRDefault="00893C7D" w:rsidP="00893C7D">
      <w:pPr>
        <w:pStyle w:val="BodyTextIndent"/>
        <w:tabs>
          <w:tab w:val="right" w:pos="1134"/>
          <w:tab w:val="left" w:pos="1418"/>
        </w:tabs>
        <w:ind w:left="0"/>
      </w:pPr>
      <w:r>
        <w:tab/>
        <w:t xml:space="preserve"> i)</w:t>
      </w:r>
      <w:r>
        <w:tab/>
        <w:t>clases dentro de un género:</w:t>
      </w:r>
      <w:r w:rsidR="008130BA">
        <w:t xml:space="preserve"> </w:t>
      </w:r>
      <w:r>
        <w:t>Lista de clases del Anexo I: parte I;</w:t>
      </w:r>
      <w:r w:rsidR="008130BA">
        <w:t xml:space="preserve"> </w:t>
      </w:r>
    </w:p>
    <w:p w14:paraId="3377EAB0" w14:textId="77777777" w:rsidR="00893C7D" w:rsidRPr="0044165F" w:rsidRDefault="00893C7D" w:rsidP="00893C7D">
      <w:pPr>
        <w:pStyle w:val="BodyTextIndent"/>
        <w:tabs>
          <w:tab w:val="right" w:pos="1134"/>
          <w:tab w:val="left" w:pos="1418"/>
        </w:tabs>
        <w:ind w:left="0"/>
        <w:rPr>
          <w:sz w:val="16"/>
        </w:rPr>
      </w:pPr>
    </w:p>
    <w:p w14:paraId="1A733CFA" w14:textId="44884E07" w:rsidR="00893C7D" w:rsidRPr="00DE1471" w:rsidRDefault="00893C7D" w:rsidP="00893C7D">
      <w:pPr>
        <w:pStyle w:val="Header"/>
        <w:tabs>
          <w:tab w:val="right" w:pos="1134"/>
          <w:tab w:val="left" w:pos="1418"/>
        </w:tabs>
        <w:spacing w:after="240"/>
        <w:jc w:val="left"/>
      </w:pPr>
      <w:r>
        <w:tab/>
        <w:t>ii)</w:t>
      </w:r>
      <w:r>
        <w:tab/>
        <w:t>clases que comprenden más de un género:</w:t>
      </w:r>
      <w:r w:rsidR="008130BA">
        <w:t xml:space="preserve"> </w:t>
      </w:r>
      <w:r>
        <w:t>Lista de clases del Anexo I: parte II.</w:t>
      </w:r>
      <w:r w:rsidR="008130BA">
        <w:t xml:space="preserve"> </w:t>
      </w:r>
    </w:p>
    <w:p w14:paraId="51F710E5" w14:textId="20F2F845" w:rsidR="00893C7D" w:rsidRDefault="00893C7D" w:rsidP="00893C7D">
      <w:pPr>
        <w:rPr>
          <w:color w:val="000000"/>
          <w:spacing w:val="-2"/>
        </w:rPr>
      </w:pPr>
      <w:r>
        <w:t>2.5.3</w:t>
      </w:r>
      <w:r>
        <w:tab/>
      </w:r>
      <w:r>
        <w:rPr>
          <w:color w:val="000000"/>
          <w:spacing w:val="-2"/>
        </w:rPr>
        <w:t>Se recomienda utilizar la base de datos de la UPOV sobre variedades vegetales (PLUTO) (</w:t>
      </w:r>
      <w:hyperlink r:id="rId9">
        <w:r>
          <w:rPr>
            <w:rStyle w:val="Hyperlink"/>
          </w:rPr>
          <w:t>https://www.upov.int/pluto/es/</w:t>
        </w:r>
      </w:hyperlink>
      <w:r>
        <w:rPr>
          <w:rStyle w:val="Hyperlink"/>
        </w:rPr>
        <w:t xml:space="preserve">) </w:t>
      </w:r>
      <w:r>
        <w:rPr>
          <w:color w:val="000000"/>
          <w:spacing w:val="-2"/>
        </w:rPr>
        <w:t>con el fin de comprobar si, en el territorio de cualquier miembro de la Unión, la denominación propuesta es diferente de las denominaciones de variedades existentes del mismo género o, si se da el caso, de la misma clase de denominación de variedades (véase el Anexo I).</w:t>
      </w:r>
      <w:r w:rsidR="008130BA">
        <w:rPr>
          <w:color w:val="000000"/>
          <w:spacing w:val="-2"/>
        </w:rPr>
        <w:t xml:space="preserve"> </w:t>
      </w:r>
      <w:r>
        <w:rPr>
          <w:color w:val="000000"/>
          <w:spacing w:val="-2"/>
        </w:rPr>
        <w:t>Conviene tener presente el “Aviso general y descargo de responsabilidad” de</w:t>
      </w:r>
      <w:r>
        <w:rPr>
          <w:strike/>
          <w:color w:val="000000"/>
          <w:spacing w:val="-2"/>
          <w:highlight w:val="lightGray"/>
        </w:rPr>
        <w:t>l UPOV-ROM</w:t>
      </w:r>
      <w:r>
        <w:rPr>
          <w:color w:val="000000"/>
          <w:spacing w:val="-2"/>
        </w:rPr>
        <w:t xml:space="preserve"> </w:t>
      </w:r>
      <w:r>
        <w:rPr>
          <w:color w:val="000000"/>
          <w:spacing w:val="-2"/>
          <w:highlight w:val="lightGray"/>
          <w:u w:val="single"/>
        </w:rPr>
        <w:t>la base de datos PLUTO</w:t>
      </w:r>
      <w:r>
        <w:rPr>
          <w:color w:val="000000"/>
          <w:spacing w:val="-2"/>
        </w:rPr>
        <w:t xml:space="preserve"> para velar por que la información contenida en </w:t>
      </w:r>
      <w:r>
        <w:rPr>
          <w:strike/>
          <w:color w:val="000000"/>
          <w:spacing w:val="-2"/>
          <w:highlight w:val="lightGray"/>
        </w:rPr>
        <w:t>el UPOV-ROM</w:t>
      </w:r>
      <w:r>
        <w:rPr>
          <w:color w:val="000000"/>
          <w:spacing w:val="-2"/>
        </w:rPr>
        <w:t xml:space="preserve"> </w:t>
      </w:r>
      <w:r>
        <w:rPr>
          <w:color w:val="000000"/>
          <w:spacing w:val="-2"/>
          <w:highlight w:val="lightGray"/>
          <w:u w:val="single"/>
        </w:rPr>
        <w:t>la base de datos PLUTO</w:t>
      </w:r>
      <w:r>
        <w:rPr>
          <w:color w:val="000000"/>
          <w:spacing w:val="-2"/>
        </w:rPr>
        <w:t xml:space="preserve"> se considere de la forma apropiada.</w:t>
      </w:r>
    </w:p>
    <w:p w14:paraId="0E500560" w14:textId="77777777" w:rsidR="00775FCF" w:rsidRDefault="00775FCF" w:rsidP="00893C7D">
      <w:pPr>
        <w:rPr>
          <w:color w:val="000000"/>
          <w:spacing w:val="-2"/>
        </w:rPr>
      </w:pPr>
    </w:p>
    <w:p w14:paraId="2EEAE1BC" w14:textId="77777777" w:rsidR="00C02D1D" w:rsidRDefault="00C02D1D" w:rsidP="00893C7D">
      <w:pPr>
        <w:rPr>
          <w:color w:val="000000"/>
          <w:spacing w:val="-2"/>
        </w:rPr>
      </w:pPr>
    </w:p>
    <w:p w14:paraId="03E2A312" w14:textId="77777777" w:rsidR="00775FCF" w:rsidRPr="00775FCF" w:rsidRDefault="00775FCF" w:rsidP="00775FCF">
      <w:pPr>
        <w:keepNext/>
        <w:ind w:left="567" w:hanging="567"/>
        <w:outlineLvl w:val="2"/>
        <w:rPr>
          <w:i/>
          <w:snapToGrid w:val="0"/>
          <w:highlight w:val="lightGray"/>
          <w:u w:val="single"/>
        </w:rPr>
      </w:pPr>
      <w:bookmarkStart w:id="40" w:name="_Toc48738893"/>
      <w:r>
        <w:rPr>
          <w:i/>
          <w:snapToGrid w:val="0"/>
          <w:highlight w:val="lightGray"/>
          <w:u w:val="single"/>
        </w:rPr>
        <w:t>2.6</w:t>
      </w:r>
      <w:r>
        <w:tab/>
      </w:r>
      <w:r>
        <w:rPr>
          <w:i/>
          <w:snapToGrid w:val="0"/>
          <w:highlight w:val="lightGray"/>
          <w:u w:val="single"/>
        </w:rPr>
        <w:t>Instrumento de la UPOV para la búsqueda de denominaciones similares</w:t>
      </w:r>
      <w:bookmarkEnd w:id="40"/>
    </w:p>
    <w:p w14:paraId="28969EBD" w14:textId="77777777" w:rsidR="00775FCF" w:rsidRPr="00775FCF" w:rsidRDefault="00775FCF" w:rsidP="00775FCF">
      <w:pPr>
        <w:rPr>
          <w:highlight w:val="lightGray"/>
          <w:u w:val="single"/>
        </w:rPr>
      </w:pPr>
    </w:p>
    <w:p w14:paraId="39051E67" w14:textId="7044E35C" w:rsidR="00902621" w:rsidRDefault="00775FCF">
      <w:pPr>
        <w:rPr>
          <w:u w:val="single"/>
          <w:shd w:val="pct15" w:color="auto" w:fill="FFFFFF"/>
        </w:rPr>
      </w:pPr>
      <w:r>
        <w:rPr>
          <w:u w:val="single"/>
          <w:shd w:val="pct15" w:color="auto" w:fill="FFFFFF"/>
        </w:rPr>
        <w:t xml:space="preserve">Se </w:t>
      </w:r>
      <w:r w:rsidR="00BE7A17">
        <w:rPr>
          <w:u w:val="single"/>
          <w:shd w:val="pct15" w:color="auto" w:fill="FFFFFF"/>
        </w:rPr>
        <w:t>invita</w:t>
      </w:r>
      <w:r>
        <w:rPr>
          <w:u w:val="single"/>
          <w:shd w:val="pct15" w:color="auto" w:fill="FFFFFF"/>
        </w:rPr>
        <w:t xml:space="preserve"> a los miembros de la Unión a que utilicen el instrumento de la UPOV para la búsqueda de denominaciones similares a fin de comprobar de manera preliminar si la denominación propuesta es diferente de las denominaciones de variedades existentes de la misma clase de denominación de variedades (véase el Anexo I).</w:t>
      </w:r>
      <w:r w:rsidR="008130BA">
        <w:rPr>
          <w:u w:val="single"/>
          <w:shd w:val="pct15" w:color="auto" w:fill="FFFFFF"/>
        </w:rPr>
        <w:t xml:space="preserve"> </w:t>
      </w:r>
      <w:r>
        <w:rPr>
          <w:u w:val="single"/>
          <w:shd w:val="pct15" w:color="auto" w:fill="FFFFFF"/>
        </w:rPr>
        <w:t xml:space="preserve">Se hace hincapié en que la utilización del instrumento de la UPOV para la búsqueda de denominaciones similares </w:t>
      </w:r>
      <w:r w:rsidR="00BE7A17">
        <w:rPr>
          <w:u w:val="single"/>
          <w:shd w:val="pct15" w:color="auto" w:fill="FFFFFF"/>
        </w:rPr>
        <w:t>puede constituir</w:t>
      </w:r>
      <w:r w:rsidRPr="00BE7A17">
        <w:rPr>
          <w:rStyle w:val="EndnoteReference"/>
          <w:b/>
          <w:u w:val="single"/>
          <w:shd w:val="pct15" w:color="auto" w:fill="FFFFFF"/>
        </w:rPr>
        <w:endnoteReference w:id="15"/>
      </w:r>
      <w:r w:rsidRPr="00BE7A17">
        <w:rPr>
          <w:b/>
          <w:u w:val="single"/>
          <w:shd w:val="pct15" w:color="auto" w:fill="FFFFFF"/>
        </w:rPr>
        <w:t xml:space="preserve"> </w:t>
      </w:r>
      <w:r>
        <w:rPr>
          <w:u w:val="single"/>
          <w:shd w:val="pct15" w:color="auto" w:fill="FFFFFF"/>
        </w:rPr>
        <w:t>un paso previo en el proceso de examen de la adecuación de las denominaciones de variedades y que las autoridades podrán efectuar otras comprobaciones, según proceda.</w:t>
      </w:r>
      <w:r w:rsidR="00902621">
        <w:rPr>
          <w:u w:val="single"/>
          <w:shd w:val="pct15" w:color="auto" w:fill="FFFFFF"/>
        </w:rPr>
        <w:t xml:space="preserve">  </w:t>
      </w:r>
      <w:r w:rsidR="00902621">
        <w:rPr>
          <w:u w:val="single"/>
          <w:shd w:val="pct15" w:color="auto" w:fill="FFFFFF"/>
        </w:rPr>
        <w:br w:type="page"/>
      </w:r>
    </w:p>
    <w:p w14:paraId="540CE143" w14:textId="51812581" w:rsidR="00893C7D" w:rsidRPr="00407B23" w:rsidRDefault="00893C7D" w:rsidP="00BA57B3">
      <w:pPr>
        <w:pStyle w:val="Heading1"/>
      </w:pPr>
      <w:bookmarkStart w:id="41" w:name="_Toc15033886"/>
      <w:bookmarkStart w:id="42" w:name="_Toc48738894"/>
      <w:r>
        <w:lastRenderedPageBreak/>
        <w:t>Párrafo 3</w:t>
      </w:r>
      <w:bookmarkEnd w:id="41"/>
      <w:bookmarkEnd w:id="42"/>
    </w:p>
    <w:p w14:paraId="0D2AB3D7" w14:textId="77777777" w:rsidR="00893C7D" w:rsidRPr="00D4056E" w:rsidRDefault="00893C7D" w:rsidP="00893C7D">
      <w:pPr>
        <w:keepNext/>
        <w:jc w:val="center"/>
        <w:rPr>
          <w:sz w:val="18"/>
        </w:rPr>
      </w:pPr>
      <w:r>
        <w:rPr>
          <w:sz w:val="18"/>
        </w:rPr>
        <w:t>(Párrafo 4 del Artículo 13 del Convenio de 1961)</w:t>
      </w:r>
    </w:p>
    <w:p w14:paraId="3A41F32E" w14:textId="77777777" w:rsidR="00893C7D" w:rsidRPr="00407B23" w:rsidRDefault="00893C7D" w:rsidP="00893C7D">
      <w:pPr>
        <w:keepNext/>
      </w:pPr>
    </w:p>
    <w:p w14:paraId="0F1B0EC5" w14:textId="20436248" w:rsidR="00EE496B" w:rsidRDefault="00893C7D" w:rsidP="00EE496B">
      <w:pPr>
        <w:pStyle w:val="Heading2"/>
      </w:pPr>
      <w:bookmarkStart w:id="43" w:name="_Toc15033887"/>
      <w:bookmarkStart w:id="44" w:name="_Toc48738895"/>
      <w:r>
        <w:t>[Registro de la denominación]</w:t>
      </w:r>
      <w:bookmarkEnd w:id="43"/>
      <w:bookmarkEnd w:id="44"/>
    </w:p>
    <w:p w14:paraId="1C1253FD" w14:textId="77777777" w:rsidR="00EE496B" w:rsidRDefault="00EE496B" w:rsidP="00EE496B">
      <w:pPr>
        <w:keepNext/>
        <w:keepLines/>
        <w:rPr>
          <w:b/>
        </w:rPr>
      </w:pPr>
    </w:p>
    <w:p w14:paraId="062CE223" w14:textId="0C80F4FC" w:rsidR="00893C7D" w:rsidRPr="00407B23" w:rsidRDefault="00EE496B" w:rsidP="00EE496B">
      <w:pPr>
        <w:keepNext/>
        <w:keepLines/>
        <w:rPr>
          <w:b/>
        </w:rPr>
      </w:pPr>
      <w:r>
        <w:tab/>
      </w:r>
      <w:r>
        <w:rPr>
          <w:b/>
        </w:rPr>
        <w:t>La denominación de la variedad será propuesta por el obtentor a la autoridad.</w:t>
      </w:r>
      <w:r w:rsidR="008130BA">
        <w:rPr>
          <w:b/>
        </w:rPr>
        <w:t xml:space="preserve"> </w:t>
      </w:r>
      <w:r>
        <w:rPr>
          <w:b/>
        </w:rPr>
        <w:t>Si se comprueba que esa denominación no responde a las exigencias del párrafo 2), la autoridad denegará el registro y exigirá que el obtentor proponga otra denominación en un plazo prescrito.</w:t>
      </w:r>
      <w:r w:rsidR="008130BA">
        <w:rPr>
          <w:b/>
        </w:rPr>
        <w:t xml:space="preserve"> </w:t>
      </w:r>
      <w:r>
        <w:rPr>
          <w:b/>
        </w:rPr>
        <w:t>La denominación se registrará por la autoridad al mismo tiempo que se conceda el derecho de obtentor.</w:t>
      </w:r>
    </w:p>
    <w:p w14:paraId="02EC084C" w14:textId="77777777" w:rsidR="00A24E0F" w:rsidRPr="00407B23" w:rsidRDefault="00A24E0F" w:rsidP="00EE496B">
      <w:pPr>
        <w:keepNext/>
        <w:rPr>
          <w:b/>
        </w:rPr>
      </w:pPr>
    </w:p>
    <w:p w14:paraId="34070C33" w14:textId="77777777" w:rsidR="00893C7D" w:rsidRPr="00EE496B" w:rsidRDefault="00893C7D" w:rsidP="00EE496B">
      <w:pPr>
        <w:keepNext/>
        <w:rPr>
          <w:u w:val="single"/>
        </w:rPr>
      </w:pPr>
      <w:r>
        <w:rPr>
          <w:u w:val="single"/>
        </w:rPr>
        <w:t>Notas explicativas – Párrafo 3)</w:t>
      </w:r>
    </w:p>
    <w:p w14:paraId="0D6BCA0A" w14:textId="77777777" w:rsidR="00893C7D" w:rsidRPr="00407B23" w:rsidRDefault="00893C7D" w:rsidP="00EE496B">
      <w:pPr>
        <w:keepNext/>
      </w:pPr>
    </w:p>
    <w:p w14:paraId="7B328D03" w14:textId="77777777" w:rsidR="00893C7D" w:rsidRPr="00407B23" w:rsidRDefault="00893C7D" w:rsidP="00893C7D">
      <w:r>
        <w:t>3.1</w:t>
      </w:r>
      <w:r>
        <w:tab/>
        <w:t>Si la autoridad no tiene motivos de rechazo en virtud del párrafo 2) ni tampoco en virtud del párrafo 4), la denominación propuesta será registrada, publicada y comunicada a las autoridades de los demás miembros de la Unión.</w:t>
      </w:r>
    </w:p>
    <w:p w14:paraId="5D58B2CF" w14:textId="77777777" w:rsidR="00893C7D" w:rsidRPr="00407B23" w:rsidRDefault="00893C7D" w:rsidP="00893C7D"/>
    <w:p w14:paraId="2ED09FD1" w14:textId="0C5F1C1F" w:rsidR="00893C7D" w:rsidRPr="00407B23" w:rsidRDefault="00893C7D" w:rsidP="00893C7D">
      <w:r>
        <w:t>3.2</w:t>
      </w:r>
      <w:r>
        <w:tab/>
        <w:t>En caso de haber derechos anteriores (párrafo 4) u otros motivos de rechazo, cualquier persona interesada podrá presentar una objeción al registro.</w:t>
      </w:r>
      <w:r w:rsidR="008130BA">
        <w:t xml:space="preserve"> </w:t>
      </w:r>
      <w:r>
        <w:t>Las autoridades de los demás miembros de la Unión podrán presentar observaciones (véase las notas explicativas del párrafo 6)).</w:t>
      </w:r>
    </w:p>
    <w:p w14:paraId="148FEEFE" w14:textId="77777777" w:rsidR="00893C7D" w:rsidRPr="00407B23" w:rsidRDefault="00893C7D" w:rsidP="00893C7D"/>
    <w:p w14:paraId="70D0467C" w14:textId="75DD4F83" w:rsidR="00893C7D" w:rsidRPr="00407B23" w:rsidRDefault="00893C7D" w:rsidP="00893C7D">
      <w:r>
        <w:t>3.3</w:t>
      </w:r>
      <w:r>
        <w:tab/>
        <w:t>Las objeciones y observaciones pertinentes deberán comunicarse al solicitante.</w:t>
      </w:r>
      <w:r w:rsidR="008130BA">
        <w:t xml:space="preserve"> </w:t>
      </w:r>
      <w:r>
        <w:t>Se deberá dar al solicitante la oportunidad de responder a las observaciones.</w:t>
      </w:r>
      <w:r w:rsidR="008130BA">
        <w:t xml:space="preserve"> </w:t>
      </w:r>
      <w:r>
        <w:t>Si la autoridad considera la denominación inadecuada para su territorio, deberá exigir al obtentor que proponga otra denominación.</w:t>
      </w:r>
      <w:r w:rsidR="008130BA">
        <w:t xml:space="preserve"> </w:t>
      </w:r>
      <w:r>
        <w:t xml:space="preserve">La no presentación de una propuesta dentro del período prescrito entrañará el rechazo de la solicitud. </w:t>
      </w:r>
    </w:p>
    <w:p w14:paraId="012CF671" w14:textId="77777777" w:rsidR="00893C7D" w:rsidRPr="00407B23" w:rsidRDefault="00893C7D" w:rsidP="00893C7D"/>
    <w:p w14:paraId="34F6F60A" w14:textId="77777777" w:rsidR="00893C7D" w:rsidRPr="00407B23" w:rsidRDefault="00893C7D" w:rsidP="00893C7D">
      <w:r>
        <w:t>3.4</w:t>
      </w:r>
      <w:r>
        <w:tab/>
        <w:t>El examen de la denominación propuesta y de las demás condiciones para la protección de la variedad son procedimientos que deberían emprenderse en paralelo con el fin de asegurar que la denominación pueda ser registrada en el momento en que se conceda el derecho de obtentor.</w:t>
      </w:r>
    </w:p>
    <w:p w14:paraId="01499ED3" w14:textId="77777777" w:rsidR="00893C7D" w:rsidRDefault="00893C7D" w:rsidP="00893C7D"/>
    <w:p w14:paraId="005EC4AF" w14:textId="77777777" w:rsidR="00AA4043" w:rsidRDefault="00AA4043" w:rsidP="00893C7D"/>
    <w:p w14:paraId="4EAC1600" w14:textId="77777777" w:rsidR="004359AA" w:rsidRDefault="004359AA">
      <w:r>
        <w:br w:type="page"/>
      </w:r>
    </w:p>
    <w:p w14:paraId="3AD4CFF8" w14:textId="48445826" w:rsidR="00893C7D" w:rsidRPr="00407B23" w:rsidRDefault="00893C7D" w:rsidP="00BA57B3">
      <w:pPr>
        <w:pStyle w:val="Heading1"/>
      </w:pPr>
      <w:bookmarkStart w:id="45" w:name="_Toc15033888"/>
      <w:bookmarkStart w:id="46" w:name="_Toc48738896"/>
      <w:r>
        <w:lastRenderedPageBreak/>
        <w:t>Párrafo 4</w:t>
      </w:r>
      <w:bookmarkEnd w:id="45"/>
      <w:bookmarkEnd w:id="46"/>
    </w:p>
    <w:p w14:paraId="113B3E34" w14:textId="77777777" w:rsidR="00893C7D" w:rsidRPr="00407B23" w:rsidRDefault="00893C7D" w:rsidP="00893C7D">
      <w:pPr>
        <w:keepNext/>
        <w:jc w:val="center"/>
      </w:pPr>
      <w:r>
        <w:t>(Párrafo 10 del Artículo 13 del Convenio de 1961)</w:t>
      </w:r>
    </w:p>
    <w:p w14:paraId="28CE13F4" w14:textId="77777777" w:rsidR="00893C7D" w:rsidRPr="00902621" w:rsidRDefault="00893C7D" w:rsidP="00893C7D">
      <w:pPr>
        <w:keepNext/>
        <w:rPr>
          <w:sz w:val="16"/>
        </w:rPr>
      </w:pPr>
    </w:p>
    <w:p w14:paraId="04E040ED" w14:textId="06E1A88C" w:rsidR="00EE496B" w:rsidRDefault="00893C7D" w:rsidP="00EE496B">
      <w:pPr>
        <w:pStyle w:val="Heading2"/>
      </w:pPr>
      <w:bookmarkStart w:id="47" w:name="_Toc15033889"/>
      <w:bookmarkStart w:id="48" w:name="_Toc48738897"/>
      <w:r>
        <w:t>[Derechos anteriores de terceros]</w:t>
      </w:r>
      <w:bookmarkEnd w:id="47"/>
      <w:bookmarkEnd w:id="48"/>
    </w:p>
    <w:p w14:paraId="2A2769F0" w14:textId="77777777" w:rsidR="00EE496B" w:rsidRPr="00902621" w:rsidRDefault="00EE496B" w:rsidP="00893C7D">
      <w:pPr>
        <w:keepLines/>
        <w:rPr>
          <w:b/>
          <w:sz w:val="16"/>
        </w:rPr>
      </w:pPr>
    </w:p>
    <w:p w14:paraId="4517EB9D" w14:textId="2CF36237" w:rsidR="00893C7D" w:rsidRPr="00407B23" w:rsidRDefault="00EE496B" w:rsidP="00893C7D">
      <w:pPr>
        <w:keepLines/>
        <w:rPr>
          <w:b/>
        </w:rPr>
      </w:pPr>
      <w:r>
        <w:tab/>
      </w:r>
      <w:r>
        <w:rPr>
          <w:b/>
        </w:rPr>
        <w:t>Los derechos anteriores de terceros no serán afectados.</w:t>
      </w:r>
      <w:r w:rsidR="008130BA">
        <w:rPr>
          <w:b/>
        </w:rPr>
        <w:t xml:space="preserve"> </w:t>
      </w:r>
      <w:r>
        <w:rPr>
          <w:b/>
        </w:rPr>
        <w:t>Si, en virtud de un derecho anterior, la utilización de la denominación de una variedad está prohibida a una persona que está obligada a utilizarla, de conformidad con lo dispuesto en el párrafo 7, la autoridad exigirá que el obtentor proponga otra denominación para la variedad.</w:t>
      </w:r>
    </w:p>
    <w:p w14:paraId="41B6AE31" w14:textId="77777777" w:rsidR="00893C7D" w:rsidRPr="00902621" w:rsidRDefault="00893C7D" w:rsidP="00893C7D">
      <w:pPr>
        <w:rPr>
          <w:sz w:val="16"/>
        </w:rPr>
      </w:pPr>
    </w:p>
    <w:p w14:paraId="18456492" w14:textId="77777777" w:rsidR="00893C7D" w:rsidRPr="00EE496B" w:rsidRDefault="00893C7D" w:rsidP="00EE496B">
      <w:pPr>
        <w:keepNext/>
        <w:rPr>
          <w:u w:val="single"/>
        </w:rPr>
      </w:pPr>
      <w:r>
        <w:rPr>
          <w:u w:val="single"/>
        </w:rPr>
        <w:t>Notas explicativas – Párrafo 4)</w:t>
      </w:r>
    </w:p>
    <w:p w14:paraId="392FF58E" w14:textId="77777777" w:rsidR="00893C7D" w:rsidRPr="00902621" w:rsidRDefault="00893C7D" w:rsidP="00EE496B">
      <w:pPr>
        <w:keepNext/>
        <w:rPr>
          <w:sz w:val="16"/>
        </w:rPr>
      </w:pPr>
    </w:p>
    <w:p w14:paraId="7FEC0B1E" w14:textId="77777777" w:rsidR="00893C7D" w:rsidRPr="00407B23" w:rsidRDefault="00893C7D" w:rsidP="00893C7D">
      <w:r>
        <w:t>4.</w:t>
      </w:r>
      <w:r>
        <w:tab/>
        <w:t>Al decidir acerca de la adecuación de una denominación propuesta y al examinar las objeciones y observaciones en relación con derechos anteriores de terceros, las autoridades podrán contar con las siguientes orientaciones.</w:t>
      </w:r>
    </w:p>
    <w:p w14:paraId="1D73897E" w14:textId="77777777" w:rsidR="00893C7D" w:rsidRPr="00902621" w:rsidRDefault="00893C7D" w:rsidP="00893C7D">
      <w:pPr>
        <w:tabs>
          <w:tab w:val="left" w:pos="567"/>
        </w:tabs>
        <w:rPr>
          <w:sz w:val="16"/>
        </w:rPr>
      </w:pPr>
    </w:p>
    <w:p w14:paraId="746E6988" w14:textId="6EB8C59B" w:rsidR="00893C7D" w:rsidRDefault="00A24E0F" w:rsidP="00893C7D">
      <w:r>
        <w:tab/>
        <w:t>a)</w:t>
      </w:r>
      <w:r>
        <w:tab/>
        <w:t xml:space="preserve">Una autoridad no deberá aceptar una denominación de variedad </w:t>
      </w:r>
      <w:r>
        <w:rPr>
          <w:highlight w:val="lightGray"/>
          <w:u w:val="single"/>
        </w:rPr>
        <w:t>si hay</w:t>
      </w:r>
      <w:r>
        <w:t xml:space="preserve"> un derecho anterior </w:t>
      </w:r>
      <w:r>
        <w:rPr>
          <w:highlight w:val="lightGray"/>
          <w:u w:val="single"/>
        </w:rPr>
        <w:t>vigente</w:t>
      </w:r>
      <w:r>
        <w:t xml:space="preserve">, </w:t>
      </w:r>
      <w:r w:rsidRPr="009B6D51">
        <w:rPr>
          <w:strike/>
          <w:highlight w:val="lightGray"/>
        </w:rPr>
        <w:t>ya se ha concedido a un tercero, en virtud de la legislación sobre derechos de obtentor, la legislación sobre marcas o cualquier otra legislación de propiedad intelectual</w:t>
      </w:r>
      <w:r>
        <w:rPr>
          <w:highlight w:val="lightGray"/>
        </w:rPr>
        <w:t>,</w:t>
      </w:r>
      <w:r>
        <w:t xml:space="preserve"> cuyo ejercicio puede impedir el uso de la denominación propuesta.</w:t>
      </w:r>
      <w:r w:rsidR="008130BA">
        <w:t xml:space="preserve"> </w:t>
      </w:r>
      <w:r>
        <w:t>Corresponde al titular de un derecho anterior afirmar sus derechos mediante una objeción o los procedimientos judiciales disponibles.</w:t>
      </w:r>
      <w:r w:rsidR="008130BA">
        <w:t xml:space="preserve"> </w:t>
      </w:r>
      <w:r>
        <w:t xml:space="preserve">No obstante, se </w:t>
      </w:r>
      <w:r w:rsidR="00BE7A17" w:rsidRPr="00BE7A17">
        <w:rPr>
          <w:strike/>
          <w:highlight w:val="yellow"/>
        </w:rPr>
        <w:t>insta</w:t>
      </w:r>
      <w:r w:rsidR="00BE7A17" w:rsidRPr="00BE7A17">
        <w:rPr>
          <w:highlight w:val="yellow"/>
        </w:rPr>
        <w:t xml:space="preserve"> </w:t>
      </w:r>
      <w:r w:rsidRPr="00BE7A17">
        <w:rPr>
          <w:highlight w:val="yellow"/>
          <w:u w:val="single"/>
        </w:rPr>
        <w:t>invita</w:t>
      </w:r>
      <w:r w:rsidRPr="00BE7A17">
        <w:rPr>
          <w:rStyle w:val="EndnoteReference"/>
          <w:b/>
        </w:rPr>
        <w:endnoteReference w:id="16"/>
      </w:r>
      <w:r w:rsidRPr="00BE7A17">
        <w:rPr>
          <w:b/>
        </w:rPr>
        <w:t xml:space="preserve"> </w:t>
      </w:r>
      <w:r>
        <w:t>a las autoridades a que efectúen búsquedas en las publicaciones pertinentes (por ejemplo, boletines oficiales) y bases de datos (por ejemplo, la base de datos de la UPOV sobre variedades vegetales (PLUTO) con objeto de identificar derechos anteriores respecto de las denominaciones de variedades.</w:t>
      </w:r>
      <w:r w:rsidR="008130BA">
        <w:t xml:space="preserve"> </w:t>
      </w:r>
      <w:r>
        <w:t>Asimismo, pueden efectuar búsquedas en otros registros, tales como los registros de marcas, antes de aceptar una denominación de variedad.</w:t>
      </w:r>
    </w:p>
    <w:p w14:paraId="4AD3808A" w14:textId="77777777" w:rsidR="00893C7D" w:rsidRPr="00902621" w:rsidRDefault="00893C7D" w:rsidP="00893C7D">
      <w:pPr>
        <w:rPr>
          <w:sz w:val="16"/>
        </w:rPr>
      </w:pPr>
    </w:p>
    <w:p w14:paraId="2EF70AF8" w14:textId="77D4E4CB" w:rsidR="00893C7D" w:rsidRPr="00407B23" w:rsidRDefault="00893C7D" w:rsidP="00893C7D">
      <w:pPr>
        <w:ind w:firstLine="567"/>
      </w:pPr>
      <w:r>
        <w:t>b)</w:t>
      </w:r>
      <w:r>
        <w:tab/>
        <w:t>La noción de derechos anteriores deberá incluir los derechos que estén en vigor, en el territorio en cuestión, en el momento de la publicación de la denominación propuesta.</w:t>
      </w:r>
      <w:r w:rsidR="008130BA">
        <w:t xml:space="preserve"> </w:t>
      </w:r>
      <w:r>
        <w:t>Respecto de los derechos cuya duración empiece en la fecha de presentación de las solicitudes, las fechas de presentación son las fechas pertinentes para consideraciones respecto de los derechos anteriores, siempre que esas solicitudes den lugar a la concesión de derechos.</w:t>
      </w:r>
    </w:p>
    <w:p w14:paraId="566CA7F4" w14:textId="77777777" w:rsidR="00893C7D" w:rsidRPr="00902621" w:rsidRDefault="00893C7D" w:rsidP="00893C7D">
      <w:pPr>
        <w:ind w:firstLine="567"/>
        <w:rPr>
          <w:sz w:val="16"/>
        </w:rPr>
      </w:pPr>
    </w:p>
    <w:p w14:paraId="21743002" w14:textId="77777777" w:rsidR="00893C7D" w:rsidRPr="00407B23" w:rsidRDefault="00893C7D" w:rsidP="00893C7D">
      <w:pPr>
        <w:ind w:firstLine="567"/>
      </w:pPr>
      <w:r>
        <w:t>c)</w:t>
      </w:r>
      <w:r>
        <w:tab/>
        <w:t>En el caso de dos denominaciones de variedades propuestas que entren en conflicto (véase el párrafo 2)) en el mismo territorio o en territorios diferentes, se deberá retener la denominación que contenga una fecha de publicación anterior y la autoridad pertinente deberá pedir al obtentor cuya denominación propuesta haya sido o pudiera haber sido publicada en una fecha ulterior, que presente otra denominación.</w:t>
      </w:r>
    </w:p>
    <w:p w14:paraId="01627394" w14:textId="77777777" w:rsidR="00893C7D" w:rsidRPr="00902621" w:rsidRDefault="00893C7D" w:rsidP="00893C7D">
      <w:pPr>
        <w:ind w:firstLine="567"/>
        <w:rPr>
          <w:sz w:val="16"/>
        </w:rPr>
      </w:pPr>
    </w:p>
    <w:p w14:paraId="38F8A6BE" w14:textId="0D1921EE" w:rsidR="00893C7D" w:rsidRPr="00407B23" w:rsidRDefault="00893C7D" w:rsidP="00893C7D">
      <w:pPr>
        <w:ind w:firstLine="567"/>
      </w:pPr>
      <w:r>
        <w:t>d)</w:t>
      </w:r>
      <w:r>
        <w:tab/>
        <w:t>Si, después de haber concedido un derecho de obtentor, se descubriera que había un derecho anterior sobre la denominación que habría tenido por resultado el rechazo de la denominación, esa denominación deberá cancelarse y el obtentor deberá proponer otra denominación adecuada para la variedad.</w:t>
      </w:r>
      <w:r w:rsidR="008130BA">
        <w:t xml:space="preserve"> </w:t>
      </w:r>
      <w:r>
        <w:t>En el Artículo 22.1)b)ii) del Acta de 1991 se declara que si el obtentor no propone otra denominación adecuada, la autoridad podrá cancelar el derecho de obtentor.</w:t>
      </w:r>
      <w:r w:rsidR="008130BA">
        <w:t xml:space="preserve"> </w:t>
      </w:r>
    </w:p>
    <w:p w14:paraId="3621A6C9" w14:textId="77777777" w:rsidR="00893C7D" w:rsidRPr="00902621" w:rsidRDefault="00893C7D" w:rsidP="00893C7D">
      <w:pPr>
        <w:rPr>
          <w:sz w:val="16"/>
        </w:rPr>
      </w:pPr>
    </w:p>
    <w:p w14:paraId="44083134" w14:textId="77777777" w:rsidR="00893C7D" w:rsidRPr="00407B23" w:rsidRDefault="00893C7D" w:rsidP="00893C7D">
      <w:pPr>
        <w:ind w:firstLine="567"/>
      </w:pPr>
      <w:r>
        <w:t>e)</w:t>
      </w:r>
      <w:r>
        <w:tab/>
        <w:t>Los siguientes puntos pueden servir de orientación sobre lo que podría constituir un “derecho anterior” cuyo ejercicio puede impedir el uso de una denominación propuesta:</w:t>
      </w:r>
    </w:p>
    <w:p w14:paraId="09547CF9" w14:textId="77777777" w:rsidR="00893C7D" w:rsidRPr="00902621" w:rsidRDefault="00893C7D" w:rsidP="00A24E0F">
      <w:pPr>
        <w:rPr>
          <w:sz w:val="16"/>
        </w:rPr>
      </w:pPr>
    </w:p>
    <w:p w14:paraId="4CA79297" w14:textId="00DC38D5" w:rsidR="00902621" w:rsidRDefault="008130BA" w:rsidP="00902621">
      <w:pPr>
        <w:tabs>
          <w:tab w:val="right" w:pos="1134"/>
          <w:tab w:val="left" w:pos="1418"/>
        </w:tabs>
      </w:pPr>
      <w:r>
        <w:t xml:space="preserve"> </w:t>
      </w:r>
      <w:r w:rsidR="00893C7D">
        <w:tab/>
        <w:t>i)</w:t>
      </w:r>
      <w:r w:rsidR="00893C7D">
        <w:tab/>
        <w:t>Una marca podrá ser considerada como un derecho anterior cuando la denominación propuesta sea idéntica a la marca registrada para un producto idéntico.</w:t>
      </w:r>
      <w:r>
        <w:t xml:space="preserve"> </w:t>
      </w:r>
      <w:r w:rsidR="00893C7D">
        <w:t>Para todos los efectos prácticos, dicha identidad de los productos es más probable que ocurra respecto de marcas registradas para productos de la Clase 31 de la Clasificación de Niza,</w:t>
      </w:r>
      <w:r w:rsidR="00893C7D">
        <w:rPr>
          <w:rStyle w:val="FootnoteReference"/>
        </w:rPr>
        <w:footnoteReference w:id="4"/>
      </w:r>
      <w:r w:rsidR="00893C7D">
        <w:t xml:space="preserve"> si bien cabe recordar que, en ciertos países, las marcas también pueden estar protegidas sobre la base de su utilización y sin registro.</w:t>
      </w:r>
      <w:r>
        <w:t xml:space="preserve"> </w:t>
      </w:r>
      <w:r w:rsidR="00893C7D">
        <w:t>Si la marca y la denominación propuesta no son idénticas sino similares, la marca, en ciertos casos, podrá constituir un derecho anterior cuyo ejercicio puede impedir el uso de la denominación propuesta, y se podrá exigir al obtentor que proponga otra denominación.</w:t>
      </w:r>
      <w:r>
        <w:t xml:space="preserve"> </w:t>
      </w:r>
      <w:r w:rsidR="00893C7D">
        <w:t>Si, a pesar de la similitud entre la denominación propuesta y la marca, el ejercicio del derecho sobre esta última no impide el uso de la denominación propuesta, la denominación podrá ser aceptada; los rechazos de denominaciones por la autoridad basados en la similitud con una marca son, en general, el resultado de oposiciones de titulares de marcas, observaciones de autoridades responsables del registro de marcas o decisiones de un tribunal competente.</w:t>
      </w:r>
      <w:r>
        <w:t xml:space="preserve"> </w:t>
      </w:r>
      <w:r w:rsidR="00893C7D">
        <w:t xml:space="preserve">En los casos en que exista una simple similitud o una probabilidad escasa de </w:t>
      </w:r>
      <w:r w:rsidR="00893C7D">
        <w:rPr>
          <w:strike/>
          <w:highlight w:val="lightGray"/>
        </w:rPr>
        <w:t>asociación</w:t>
      </w:r>
      <w:r w:rsidR="00893C7D">
        <w:rPr>
          <w:highlight w:val="lightGray"/>
        </w:rPr>
        <w:t xml:space="preserve"> </w:t>
      </w:r>
      <w:r w:rsidR="00893C7D">
        <w:rPr>
          <w:rFonts w:hint="eastAsia"/>
          <w:highlight w:val="lightGray"/>
          <w:u w:val="single"/>
        </w:rPr>
        <w:t>confusión</w:t>
      </w:r>
      <w:r w:rsidR="00893C7D">
        <w:t xml:space="preserve"> por los usuarios, las dispensas concedidas a los obtentores por titulares de derechos sobre marcas anteriores podrían constituir una solución viable;</w:t>
      </w:r>
      <w:r w:rsidR="00902621">
        <w:t xml:space="preserve">  </w:t>
      </w:r>
      <w:r w:rsidR="00902621">
        <w:br w:type="page"/>
      </w:r>
    </w:p>
    <w:p w14:paraId="6D858AAA" w14:textId="305DE598" w:rsidR="00893C7D" w:rsidRPr="00407B23" w:rsidRDefault="00893C7D" w:rsidP="00893C7D">
      <w:pPr>
        <w:tabs>
          <w:tab w:val="right" w:pos="1134"/>
          <w:tab w:val="left" w:pos="1418"/>
        </w:tabs>
      </w:pPr>
      <w:r>
        <w:lastRenderedPageBreak/>
        <w:tab/>
        <w:t>ii)</w:t>
      </w:r>
      <w:r>
        <w:tab/>
        <w:t>Si la denominación propuesta es idéntica o similar a una marca notoriamente conocida, puede resultar inadecuada aun cuando la marca notoriamente conocida se aplique a productos distintos de los que aparecen en la Clase 31 de la Clasificación de Niza;</w:t>
      </w:r>
      <w:r>
        <w:rPr>
          <w:rStyle w:val="FootnoteReference"/>
        </w:rPr>
        <w:footnoteReference w:id="5"/>
      </w:r>
    </w:p>
    <w:p w14:paraId="372596B7" w14:textId="77777777" w:rsidR="00893C7D" w:rsidRPr="00407B23" w:rsidRDefault="00893C7D" w:rsidP="00893C7D">
      <w:pPr>
        <w:tabs>
          <w:tab w:val="right" w:pos="1134"/>
        </w:tabs>
      </w:pPr>
    </w:p>
    <w:p w14:paraId="3813C72B" w14:textId="77777777" w:rsidR="00893C7D" w:rsidRPr="00407B23" w:rsidRDefault="00893C7D" w:rsidP="00893C7D">
      <w:pPr>
        <w:tabs>
          <w:tab w:val="right" w:pos="1134"/>
          <w:tab w:val="left" w:pos="1418"/>
        </w:tabs>
      </w:pPr>
      <w:r>
        <w:tab/>
        <w:t>iii)</w:t>
      </w:r>
      <w:r>
        <w:tab/>
        <w:t>Los derechos anteriores también podrían estar relacionados con los nombres comerciales</w:t>
      </w:r>
      <w:r>
        <w:rPr>
          <w:rStyle w:val="FootnoteReference"/>
        </w:rPr>
        <w:footnoteReference w:id="6"/>
      </w:r>
      <w:r>
        <w:t xml:space="preserve"> y los nombres de personas famosas;</w:t>
      </w:r>
    </w:p>
    <w:p w14:paraId="69CC8A8B" w14:textId="77777777" w:rsidR="00893C7D" w:rsidRPr="00407B23" w:rsidRDefault="00893C7D" w:rsidP="00893C7D">
      <w:pPr>
        <w:tabs>
          <w:tab w:val="right" w:pos="1134"/>
        </w:tabs>
      </w:pPr>
    </w:p>
    <w:p w14:paraId="66EBF31A" w14:textId="77777777" w:rsidR="00893C7D" w:rsidRPr="00407B23" w:rsidRDefault="00893C7D" w:rsidP="00893C7D">
      <w:pPr>
        <w:tabs>
          <w:tab w:val="right" w:pos="1134"/>
          <w:tab w:val="left" w:pos="1418"/>
        </w:tabs>
      </w:pPr>
      <w:r>
        <w:tab/>
        <w:t xml:space="preserve">iv) </w:t>
      </w:r>
      <w:r>
        <w:tab/>
        <w:t>Los nombres y siglas de organizaciones intergubernamentales, cuya utilización como marcas o partes de marcas está excluida mediante convenios internacionales, no convienen como denominaciones de variedades;</w:t>
      </w:r>
      <w:r>
        <w:rPr>
          <w:rStyle w:val="FootnoteReference"/>
        </w:rPr>
        <w:footnoteReference w:id="7"/>
      </w:r>
    </w:p>
    <w:p w14:paraId="04DA08E9" w14:textId="77777777" w:rsidR="00893C7D" w:rsidRPr="00407B23" w:rsidRDefault="00893C7D" w:rsidP="00893C7D">
      <w:pPr>
        <w:ind w:firstLine="1134"/>
      </w:pPr>
    </w:p>
    <w:p w14:paraId="3B948BAA" w14:textId="77777777" w:rsidR="00893C7D" w:rsidRPr="00407B23" w:rsidRDefault="00893C7D" w:rsidP="00893C7D">
      <w:pPr>
        <w:tabs>
          <w:tab w:val="right" w:pos="1134"/>
          <w:tab w:val="left" w:pos="1418"/>
        </w:tabs>
      </w:pPr>
      <w:r>
        <w:tab/>
        <w:t>v)</w:t>
      </w:r>
      <w:r>
        <w:tab/>
        <w:t>Los derechos anteriores relacionados con denominaciones de origen e indicaciones geográficas (por ejemplo, “Scotch”) pueden existir en virtud de la legislación nacional sobre la base del Derecho común inglés o de un registro;</w:t>
      </w:r>
      <w:r>
        <w:rPr>
          <w:rStyle w:val="FootnoteReference"/>
        </w:rPr>
        <w:footnoteReference w:id="8"/>
      </w:r>
    </w:p>
    <w:p w14:paraId="4CBEDB5D" w14:textId="77777777" w:rsidR="00893C7D" w:rsidRPr="00407B23" w:rsidRDefault="00893C7D" w:rsidP="00893C7D">
      <w:pPr>
        <w:tabs>
          <w:tab w:val="right" w:pos="1134"/>
        </w:tabs>
      </w:pPr>
    </w:p>
    <w:p w14:paraId="50F25A1F" w14:textId="77777777" w:rsidR="00893C7D" w:rsidRPr="00407B23" w:rsidRDefault="00893C7D" w:rsidP="00893C7D">
      <w:pPr>
        <w:tabs>
          <w:tab w:val="right" w:pos="1134"/>
          <w:tab w:val="left" w:pos="1418"/>
        </w:tabs>
      </w:pPr>
      <w:r>
        <w:tab/>
        <w:t>vi)</w:t>
      </w:r>
      <w:r>
        <w:tab/>
        <w:t>En ciertos casos, pueden existir derechos anteriores sobre nombres geográficos (por ejemplo, nombres de ciudades o Estados); sin embargo, no existe una regla general para estos casos y su evaluación deberá basarse en las pruebas presentadas caso por caso.</w:t>
      </w:r>
    </w:p>
    <w:p w14:paraId="7C784135" w14:textId="77777777" w:rsidR="00893C7D" w:rsidRDefault="00893C7D" w:rsidP="00D51156"/>
    <w:p w14:paraId="2C6A8850" w14:textId="77777777" w:rsidR="00D51156" w:rsidRPr="00407B23" w:rsidRDefault="00D51156" w:rsidP="00D51156"/>
    <w:p w14:paraId="0DFC3ADC" w14:textId="77777777" w:rsidR="00893C7D" w:rsidRDefault="00893C7D" w:rsidP="00893C7D">
      <w:pPr>
        <w:jc w:val="left"/>
        <w:rPr>
          <w:b/>
        </w:rPr>
      </w:pPr>
    </w:p>
    <w:p w14:paraId="206ABC93" w14:textId="77777777" w:rsidR="004359AA" w:rsidRDefault="004359AA">
      <w:r>
        <w:br w:type="page"/>
      </w:r>
    </w:p>
    <w:p w14:paraId="39D12526" w14:textId="77A7151A" w:rsidR="00893C7D" w:rsidRPr="00407B23" w:rsidRDefault="00893C7D" w:rsidP="00BA57B3">
      <w:pPr>
        <w:pStyle w:val="Heading1"/>
      </w:pPr>
      <w:bookmarkStart w:id="49" w:name="_Toc15033890"/>
      <w:bookmarkStart w:id="50" w:name="_Toc48738898"/>
      <w:r>
        <w:lastRenderedPageBreak/>
        <w:t>Párrafo 5</w:t>
      </w:r>
      <w:bookmarkEnd w:id="49"/>
      <w:bookmarkEnd w:id="50"/>
    </w:p>
    <w:p w14:paraId="278B032A" w14:textId="77777777" w:rsidR="00893C7D" w:rsidRPr="00407B23" w:rsidRDefault="00893C7D" w:rsidP="00893C7D">
      <w:pPr>
        <w:keepNext/>
        <w:keepLines/>
        <w:ind w:firstLine="567"/>
      </w:pPr>
    </w:p>
    <w:p w14:paraId="1B052C5D" w14:textId="511EFA3F" w:rsidR="00EE496B" w:rsidRDefault="00893C7D" w:rsidP="00EE496B">
      <w:pPr>
        <w:pStyle w:val="Heading2"/>
      </w:pPr>
      <w:bookmarkStart w:id="51" w:name="_Toc15033891"/>
      <w:bookmarkStart w:id="52" w:name="_Toc48738899"/>
      <w:r>
        <w:t>[Misma denominación en todos los miembros de la Unión]</w:t>
      </w:r>
      <w:bookmarkEnd w:id="51"/>
      <w:bookmarkEnd w:id="52"/>
    </w:p>
    <w:p w14:paraId="3083B7EA" w14:textId="77777777" w:rsidR="00EE496B" w:rsidRDefault="00EE496B" w:rsidP="00893C7D">
      <w:pPr>
        <w:keepNext/>
        <w:ind w:firstLine="567"/>
        <w:rPr>
          <w:b/>
        </w:rPr>
      </w:pPr>
    </w:p>
    <w:p w14:paraId="48335477" w14:textId="39E6BEAA" w:rsidR="00893C7D" w:rsidRPr="00407B23" w:rsidRDefault="00893C7D" w:rsidP="00D4056E">
      <w:pPr>
        <w:keepNext/>
        <w:keepLines/>
        <w:ind w:firstLine="567"/>
        <w:rPr>
          <w:b/>
        </w:rPr>
      </w:pPr>
      <w:r>
        <w:rPr>
          <w:b/>
        </w:rPr>
        <w:t>Una variedad sólo podrá ser objeto de solicitudes de concesión de un derecho de obtentor bajo la misma denominación en los miembros de la Unión.</w:t>
      </w:r>
      <w:r w:rsidR="008130BA">
        <w:rPr>
          <w:b/>
        </w:rPr>
        <w:t xml:space="preserve"> </w:t>
      </w:r>
      <w:r>
        <w:rPr>
          <w:b/>
        </w:rPr>
        <w:t>La autoridad de cada Parte Contratante deberá registrar la denominación así propuesta, a menos que compruebe que la denominación es inadecuada en el territorio de ese miembro de la Unión.</w:t>
      </w:r>
      <w:r w:rsidR="008130BA">
        <w:rPr>
          <w:b/>
        </w:rPr>
        <w:t xml:space="preserve"> </w:t>
      </w:r>
      <w:r>
        <w:rPr>
          <w:b/>
        </w:rPr>
        <w:t xml:space="preserve">En tal caso, exigirá que el obtentor proponga otra denominación. </w:t>
      </w:r>
    </w:p>
    <w:p w14:paraId="743C2581" w14:textId="77777777" w:rsidR="00893C7D" w:rsidRPr="00407B23" w:rsidRDefault="00893C7D" w:rsidP="00893C7D">
      <w:pPr>
        <w:keepNext/>
        <w:rPr>
          <w:i/>
        </w:rPr>
      </w:pPr>
    </w:p>
    <w:p w14:paraId="4277C29E" w14:textId="77777777" w:rsidR="00893C7D" w:rsidRPr="00EE496B" w:rsidRDefault="00893C7D" w:rsidP="00EE496B">
      <w:pPr>
        <w:keepNext/>
        <w:rPr>
          <w:u w:val="single"/>
        </w:rPr>
      </w:pPr>
      <w:r>
        <w:rPr>
          <w:u w:val="single"/>
        </w:rPr>
        <w:t xml:space="preserve">Notas explicativas – Párrafo 5) </w:t>
      </w:r>
    </w:p>
    <w:p w14:paraId="077211E0" w14:textId="77777777" w:rsidR="00893C7D" w:rsidRPr="00407B23" w:rsidRDefault="00893C7D" w:rsidP="00EE496B">
      <w:pPr>
        <w:keepNext/>
      </w:pPr>
    </w:p>
    <w:p w14:paraId="3E24761F" w14:textId="39046014" w:rsidR="00893C7D" w:rsidRPr="00407B23" w:rsidRDefault="00893C7D" w:rsidP="00893C7D">
      <w:r>
        <w:t>5.1</w:t>
      </w:r>
      <w:r>
        <w:tab/>
        <w:t>Estas disposiciones reflejan la importancia de una denominación de variedad única para el funcionamiento eficaz del sistema de la UPOV.</w:t>
      </w:r>
      <w:r w:rsidR="008130BA">
        <w:t xml:space="preserve"> </w:t>
      </w:r>
    </w:p>
    <w:p w14:paraId="17D46280" w14:textId="77777777" w:rsidR="00893C7D" w:rsidRPr="00407B23" w:rsidRDefault="00893C7D" w:rsidP="00893C7D"/>
    <w:p w14:paraId="49D376CE" w14:textId="77777777" w:rsidR="00893C7D" w:rsidRPr="006F4B73" w:rsidRDefault="00893C7D" w:rsidP="00893C7D">
      <w:r>
        <w:t>5.2</w:t>
      </w:r>
      <w:r>
        <w:tab/>
        <w:t>El párrafo 5) proporciona orientaciones claras tanto para los obtentores como para las autoridades:</w:t>
      </w:r>
    </w:p>
    <w:p w14:paraId="5081A06A" w14:textId="77777777" w:rsidR="00893C7D" w:rsidRPr="00407B23" w:rsidRDefault="00893C7D" w:rsidP="00893C7D"/>
    <w:p w14:paraId="17F3EBB6" w14:textId="699D0F60" w:rsidR="00893C7D" w:rsidRPr="00407B23" w:rsidRDefault="00893C7D" w:rsidP="00893C7D">
      <w:pPr>
        <w:ind w:firstLine="567"/>
      </w:pPr>
      <w:r>
        <w:t>a)</w:t>
      </w:r>
      <w:r>
        <w:tab/>
        <w:t>En relación con las solicitudes subsiguientes de la misma variedad, el obtentor debe proponer a todos los miembros de la Unión la denominación propuesta en la primera solicitud.</w:t>
      </w:r>
      <w:r w:rsidR="008130BA">
        <w:t xml:space="preserve"> </w:t>
      </w:r>
      <w:r>
        <w:t>Una excepción a esta obligación podría resultar apropiada cuando una autoridad rechaza la denominación propuesta antes de que ésta haya sido registrada por cualquiera de los demás miembros de la Unión; en cuyo caso, se insta al obtentor a proponer una nueva denominación a todas las autoridades con el fin de obtener una denominación única en todos los territorios.</w:t>
      </w:r>
    </w:p>
    <w:p w14:paraId="03A6597F" w14:textId="77777777" w:rsidR="00860F1C" w:rsidRPr="00407B23" w:rsidRDefault="00860F1C" w:rsidP="00860F1C"/>
    <w:p w14:paraId="1FC40F57" w14:textId="5DC16D96" w:rsidR="00860F1C" w:rsidRDefault="00860F1C" w:rsidP="00860F1C">
      <w:pPr>
        <w:ind w:firstLine="567"/>
      </w:pPr>
      <w:r>
        <w:t>b)</w:t>
      </w:r>
      <w:r>
        <w:tab/>
        <w:t>La obligación esencial en virtud del párrafo 5) es que las autoridades deberán aceptar la denominación que haya sido propuesta y registrada junto con la primera solicitud, a menos que dicha denominación sea inadecuada en su territorio (véase la sección 5.3).</w:t>
      </w:r>
      <w:r w:rsidR="008130BA">
        <w:t xml:space="preserve"> </w:t>
      </w:r>
      <w:r>
        <w:t>Partiendo de esa base, si bien ciertas disposiciones sobre denominaciones de variedades permiten a las autoridades proponer orientaciones sobre prácticas óptimas caso por caso, se tendría que dar prioridad a la obligación prevista en el párrafo 5), a menos que haya un conflicto directo con las disposiciones del Convenio de la UPOV.</w:t>
      </w:r>
      <w:r w:rsidR="008130BA">
        <w:t xml:space="preserve"> </w:t>
      </w:r>
      <w:r>
        <w:t>A este respecto, también se recomienda evitar toda interpretación estrecha de las disposiciones del Convenio de la UPOV y las orientaciones o prácticas óptimas conexas, lo cual podría dar lugar a un rechazo innecesario de las denominaciones de variedades y, en consecuencia, a la innecesaria creación de sinónimos para una variedad</w:t>
      </w:r>
      <w:r>
        <w:rPr>
          <w:u w:val="single"/>
          <w:shd w:val="pct15" w:color="auto" w:fill="FFFFFF"/>
        </w:rPr>
        <w:t>.</w:t>
      </w:r>
      <w:r w:rsidR="008130BA">
        <w:rPr>
          <w:u w:val="single"/>
          <w:shd w:val="pct15" w:color="auto" w:fill="FFFFFF"/>
        </w:rPr>
        <w:t xml:space="preserve"> </w:t>
      </w:r>
      <w:r>
        <w:rPr>
          <w:u w:val="single"/>
          <w:shd w:val="pct15" w:color="auto" w:fill="FFFFFF"/>
        </w:rPr>
        <w:t>En aquellos casos en que distintos miembros de la Unión hayan aceptado diferentes denominaciones para la misma variedad, las autoridades deberán aceptar la denominación que haya sido propuesta y registrada junto con la primera solicitud, a menos que dicha denominación sea inadecuada en su territorio</w:t>
      </w:r>
      <w:r>
        <w:t>;</w:t>
      </w:r>
    </w:p>
    <w:p w14:paraId="3F8D4AE8" w14:textId="77777777" w:rsidR="009A5B53" w:rsidRDefault="009A5B53" w:rsidP="00893C7D"/>
    <w:p w14:paraId="2A7F7901" w14:textId="7B421DE4" w:rsidR="00893C7D" w:rsidRPr="00407B23" w:rsidRDefault="00893C7D" w:rsidP="00893C7D">
      <w:r>
        <w:tab/>
        <w:t>c)</w:t>
      </w:r>
      <w:r>
        <w:tab/>
        <w:t>Debido a los alfabetos o sistemas de escritura diferentes, puede ser necesario transliterar</w:t>
      </w:r>
      <w:r>
        <w:rPr>
          <w:rStyle w:val="EndnoteReference"/>
        </w:rPr>
        <w:t xml:space="preserve"> </w:t>
      </w:r>
      <w:r>
        <w:t>o transcribir la denominación propuesta para permitir su registro en otro territorio.</w:t>
      </w:r>
      <w:r w:rsidR="008130BA">
        <w:t xml:space="preserve"> </w:t>
      </w:r>
      <w:r>
        <w:t>En esos casos, tanto la denominación de la variedad propuesta en la solicitud como su transliteración o transcripción se consideran como la denominación propiamente dicha.</w:t>
      </w:r>
      <w:r w:rsidR="008130BA">
        <w:t xml:space="preserve"> </w:t>
      </w:r>
      <w:r>
        <w:t>No obstante, una traducción no se consideraría como la denominación propiamente dicha.</w:t>
      </w:r>
    </w:p>
    <w:p w14:paraId="7751E337" w14:textId="77777777" w:rsidR="00893C7D" w:rsidRPr="00407B23" w:rsidRDefault="00893C7D" w:rsidP="00893C7D"/>
    <w:p w14:paraId="1B86BC9A" w14:textId="32F31F1A" w:rsidR="00893C7D" w:rsidRPr="00407B23" w:rsidRDefault="00893C7D" w:rsidP="00893C7D">
      <w:r>
        <w:t>5.3</w:t>
      </w:r>
      <w:r>
        <w:tab/>
        <w:t>Si bien resulta apropiado contar con cierto grado de flexibilidad, la siguiente lista no exhaustiva puede ser de ayuda para las autoridades cuando estas deban decidir lo que resulta o no adecuado.</w:t>
      </w:r>
      <w:r w:rsidR="008130BA">
        <w:t xml:space="preserve"> </w:t>
      </w:r>
      <w:r>
        <w:t xml:space="preserve">Una denominación propuesta puede ser rechazada por una autoridad de un país miembro si se comprueba que, pese a los máximos esfuerzos desplegados (véase la sección 5.5) en su territorio, </w:t>
      </w:r>
    </w:p>
    <w:p w14:paraId="1AFE3118" w14:textId="77777777" w:rsidR="00860F1C" w:rsidRPr="00407B23" w:rsidRDefault="00860F1C" w:rsidP="00860F1C"/>
    <w:p w14:paraId="24AE34B2" w14:textId="74798189" w:rsidR="00860F1C" w:rsidRPr="00407B23" w:rsidRDefault="00860F1C" w:rsidP="00860F1C">
      <w:pPr>
        <w:ind w:firstLine="567"/>
      </w:pPr>
      <w:r>
        <w:t>a)</w:t>
      </w:r>
      <w:r>
        <w:tab/>
        <w:t xml:space="preserve">no está conforme con las disposiciones de los párrafos 2) </w:t>
      </w:r>
      <w:r>
        <w:rPr>
          <w:u w:val="single"/>
          <w:shd w:val="pct15" w:color="auto" w:fill="FFFFFF"/>
        </w:rPr>
        <w:t xml:space="preserve">(por ejemplo, la denominación propuesta no es diferente de </w:t>
      </w:r>
      <w:r>
        <w:rPr>
          <w:highlight w:val="lightGray"/>
          <w:u w:val="single"/>
          <w:shd w:val="pct15" w:color="auto" w:fill="FFFFFF"/>
        </w:rPr>
        <w:t>la denominación de</w:t>
      </w:r>
      <w:r>
        <w:rPr>
          <w:u w:val="single"/>
          <w:shd w:val="pct15" w:color="auto" w:fill="FFFFFF"/>
        </w:rPr>
        <w:t xml:space="preserve"> una variedad existente de la misma especie vegetal o de una especie vecina </w:t>
      </w:r>
      <w:r>
        <w:rPr>
          <w:dstrike/>
          <w:highlight w:val="yellow"/>
          <w:shd w:val="pct15" w:color="auto" w:fill="FFFFFF"/>
        </w:rPr>
        <w:t>en su territorio</w:t>
      </w:r>
      <w:r>
        <w:rPr>
          <w:highlight w:val="yellow"/>
          <w:u w:val="single"/>
          <w:shd w:val="pct15" w:color="auto" w:fill="FFFFFF"/>
        </w:rPr>
        <w:t>)</w:t>
      </w:r>
      <w:r>
        <w:rPr>
          <w:b/>
          <w:highlight w:val="yellow"/>
          <w:shd w:val="pct15" w:color="auto" w:fill="FFFFFF"/>
          <w:vertAlign w:val="superscript"/>
        </w:rPr>
        <w:endnoteReference w:id="17"/>
      </w:r>
      <w:r>
        <w:t xml:space="preserve"> y 4) </w:t>
      </w:r>
      <w:r>
        <w:rPr>
          <w:u w:val="single"/>
          <w:shd w:val="pct15" w:color="auto" w:fill="FFFFFF"/>
        </w:rPr>
        <w:t>(por ejemplo, la denominación propuesta es idéntica a la marca registrada para un producto idéntico)</w:t>
      </w:r>
      <w:r>
        <w:t>; o</w:t>
      </w:r>
    </w:p>
    <w:p w14:paraId="4A28555F" w14:textId="77777777" w:rsidR="00893C7D" w:rsidRPr="00407B23" w:rsidRDefault="00893C7D" w:rsidP="00893C7D">
      <w:pPr>
        <w:ind w:firstLine="567"/>
      </w:pPr>
    </w:p>
    <w:p w14:paraId="08600D02" w14:textId="77777777" w:rsidR="00893C7D" w:rsidRPr="00407B23" w:rsidRDefault="00893C7D" w:rsidP="00893C7D">
      <w:pPr>
        <w:ind w:firstLine="567"/>
      </w:pPr>
      <w:r>
        <w:t>b)</w:t>
      </w:r>
      <w:r>
        <w:tab/>
        <w:t>es contraria a las directrices de política pública.</w:t>
      </w:r>
    </w:p>
    <w:p w14:paraId="67DFC3FD" w14:textId="77777777" w:rsidR="00893C7D" w:rsidRPr="00407B23" w:rsidRDefault="00893C7D" w:rsidP="00893C7D">
      <w:pPr>
        <w:ind w:firstLine="567"/>
      </w:pPr>
    </w:p>
    <w:p w14:paraId="0E6EBEF1" w14:textId="77777777" w:rsidR="00893C7D" w:rsidRPr="00407B23" w:rsidRDefault="00893C7D" w:rsidP="00893C7D">
      <w:r>
        <w:t>5.4</w:t>
      </w:r>
      <w:r>
        <w:tab/>
        <w:t>Para permitir la correcta identificación de una variedad registrada con diferentes denominaciones debido a casos excepcionales (véase la sección 5.3), en territorios diferentes, la UPOV y/o algunos miembros de la Unión pueden crear un registro de sinónimos regional o internacional.</w:t>
      </w:r>
    </w:p>
    <w:p w14:paraId="499FEAF5" w14:textId="77777777" w:rsidR="00860F1C" w:rsidRDefault="00860F1C" w:rsidP="00860F1C"/>
    <w:p w14:paraId="170596D1" w14:textId="1425B529" w:rsidR="00902621" w:rsidRDefault="00860F1C" w:rsidP="00902621">
      <w:pPr>
        <w:keepLines/>
        <w:spacing w:after="360"/>
      </w:pPr>
      <w:r>
        <w:lastRenderedPageBreak/>
        <w:t>5.5</w:t>
      </w:r>
      <w:r>
        <w:tab/>
        <w:t>Para reducir el riesgo de que una denominación de variedad sea considerada inadecuada en un territorio en el que se solicita protección, se insta a los miembros de la Unión a poner a disposición de las demás autoridades y los demás obtentores los criterios, orientaciones y prácticas óptimas que aplican a las denominaciones de variedades.</w:t>
      </w:r>
      <w:r w:rsidR="0039613E">
        <w:t xml:space="preserve"> </w:t>
      </w:r>
      <w:r>
        <w:t xml:space="preserve">En particular, se insta a las autoridades a que pongan a disposición de los interesados las funciones de búsqueda electrónica que utilizan en el examen de denominaciones, de tal forma que se pueda comprobar en línea la denominación propuesta para una variedad comparándola con bases de datos de las variedades pertinentes y, en particular, con la base de datos </w:t>
      </w:r>
      <w:r>
        <w:rPr>
          <w:strike/>
          <w:highlight w:val="lightGray"/>
        </w:rPr>
        <w:t>de obtenciones vegetales de la UPOV</w:t>
      </w:r>
      <w:r>
        <w:rPr>
          <w:highlight w:val="lightGray"/>
          <w:u w:val="single"/>
        </w:rPr>
        <w:t>PLUTO</w:t>
      </w:r>
      <w:r>
        <w:t>.</w:t>
      </w:r>
      <w:r w:rsidR="0039613E">
        <w:t xml:space="preserve"> </w:t>
      </w:r>
      <w:r>
        <w:t>Los miembros de la Unión también podrán optar por proporcionar servicios de búsquedas de denominación de variedades adaptados a su sistema.</w:t>
      </w:r>
      <w:r w:rsidR="0039613E">
        <w:t xml:space="preserve"> </w:t>
      </w:r>
      <w:r>
        <w:t>Se insta a los miembros de la Unión a utilizar el sitio web de la UPOV con el fin de proporcionar información sobre estos recursos así como enlaces a los mismos.</w:t>
      </w:r>
    </w:p>
    <w:p w14:paraId="05A39614" w14:textId="77777777" w:rsidR="00902621" w:rsidRDefault="00902621">
      <w:r>
        <w:br w:type="page"/>
      </w:r>
    </w:p>
    <w:p w14:paraId="4C779349" w14:textId="4A5E6B32" w:rsidR="00893C7D" w:rsidRPr="00407B23" w:rsidRDefault="00893C7D" w:rsidP="00BA57B3">
      <w:pPr>
        <w:pStyle w:val="Heading1"/>
      </w:pPr>
      <w:bookmarkStart w:id="53" w:name="_Toc15033892"/>
      <w:bookmarkStart w:id="54" w:name="_Toc48738900"/>
      <w:r>
        <w:lastRenderedPageBreak/>
        <w:t>Párrafo 6</w:t>
      </w:r>
      <w:bookmarkEnd w:id="53"/>
      <w:bookmarkEnd w:id="54"/>
    </w:p>
    <w:p w14:paraId="225A3CAD" w14:textId="77777777" w:rsidR="00893C7D" w:rsidRPr="00407B23" w:rsidRDefault="00893C7D" w:rsidP="00B417B0">
      <w:pPr>
        <w:keepNext/>
      </w:pPr>
    </w:p>
    <w:p w14:paraId="7AD67490" w14:textId="46956D7C" w:rsidR="00EE496B" w:rsidRDefault="00893C7D" w:rsidP="00D4056E">
      <w:pPr>
        <w:pStyle w:val="Heading2"/>
      </w:pPr>
      <w:bookmarkStart w:id="55" w:name="_Toc15033893"/>
      <w:bookmarkStart w:id="56" w:name="_Toc48738901"/>
      <w:r>
        <w:t>[Información mutua de las autoridades de los miembros de la Unión]</w:t>
      </w:r>
      <w:bookmarkEnd w:id="55"/>
      <w:bookmarkEnd w:id="56"/>
    </w:p>
    <w:p w14:paraId="1042AF9A" w14:textId="77777777" w:rsidR="00EE496B" w:rsidRDefault="00EE496B" w:rsidP="00893C7D">
      <w:pPr>
        <w:rPr>
          <w:b/>
        </w:rPr>
      </w:pPr>
    </w:p>
    <w:p w14:paraId="69576103" w14:textId="01017607" w:rsidR="00893C7D" w:rsidRPr="00407B23" w:rsidRDefault="00D4056E" w:rsidP="00893C7D">
      <w:pPr>
        <w:rPr>
          <w:b/>
        </w:rPr>
      </w:pPr>
      <w:r>
        <w:tab/>
      </w:r>
      <w:r>
        <w:rPr>
          <w:b/>
        </w:rPr>
        <w:t>La autoridad de un miembro de la Unión deberá asegurar la comunicación a las autoridades de los demás miembros de la Unión de las informaciones relativas a las denominaciones de variedades, concretamente de la propuesta, el registro y la cancelación de denominaciones.</w:t>
      </w:r>
      <w:r w:rsidR="0039613E">
        <w:rPr>
          <w:b/>
        </w:rPr>
        <w:t xml:space="preserve"> </w:t>
      </w:r>
      <w:r>
        <w:rPr>
          <w:b/>
        </w:rPr>
        <w:t>Toda autoridad podrá transmitir sus observaciones eventuales sobre el registro de una denominación a la autoridad que la haya comunicado.</w:t>
      </w:r>
    </w:p>
    <w:p w14:paraId="5831A786" w14:textId="77777777" w:rsidR="00893C7D" w:rsidRPr="00407B23" w:rsidRDefault="00893C7D" w:rsidP="00893C7D"/>
    <w:p w14:paraId="03F4AE0E" w14:textId="77777777" w:rsidR="00893C7D" w:rsidRPr="00EE496B" w:rsidRDefault="00893C7D" w:rsidP="00EE496B">
      <w:pPr>
        <w:keepNext/>
        <w:rPr>
          <w:u w:val="single"/>
        </w:rPr>
      </w:pPr>
      <w:r>
        <w:rPr>
          <w:u w:val="single"/>
        </w:rPr>
        <w:t>Notas explicativas – Párrafo 6)</w:t>
      </w:r>
    </w:p>
    <w:p w14:paraId="5CC5F18D" w14:textId="77777777" w:rsidR="00893C7D" w:rsidRPr="00407B23" w:rsidRDefault="00893C7D" w:rsidP="00EE496B">
      <w:pPr>
        <w:keepNext/>
      </w:pPr>
    </w:p>
    <w:p w14:paraId="30D09D58" w14:textId="5EBC5AEC" w:rsidR="00893C7D" w:rsidRPr="00407B23" w:rsidRDefault="00893C7D" w:rsidP="00893C7D">
      <w:r>
        <w:t>6.1</w:t>
      </w:r>
      <w:r>
        <w:tab/>
        <w:t>Las disposiciones del párrafo 6) indican la importancia de la cooperación y el intercambio de información entre las autoridades.</w:t>
      </w:r>
      <w:r w:rsidR="0039613E">
        <w:t xml:space="preserve"> </w:t>
      </w:r>
    </w:p>
    <w:p w14:paraId="4E30FAC1" w14:textId="77777777" w:rsidR="00860F1C" w:rsidRPr="00407B23" w:rsidRDefault="00860F1C" w:rsidP="00860F1C"/>
    <w:p w14:paraId="4810AA62" w14:textId="1FC683DC" w:rsidR="00860F1C" w:rsidRPr="00407B23" w:rsidRDefault="00860F1C" w:rsidP="00860F1C">
      <w:r>
        <w:t>6.2</w:t>
      </w:r>
      <w:r>
        <w:tab/>
        <w:t>La obligación de informar a los demás miembros de la Unión sobre cuestiones relativas a las denominaciones de variedades se basa en el intercambio de boletines oficiales y otros medios de publicación.</w:t>
      </w:r>
      <w:r w:rsidR="0039613E">
        <w:t xml:space="preserve"> </w:t>
      </w:r>
      <w:r>
        <w:t>Para la presentación del boletín oficial, se recomienda inspirarse del Boletín tipo de la UPOV sobre derechos de los obtentores (documento UPOV/INF/5); en particular, deberán identificarse debidamente en el índice los capítulos que contengan información sobre las denominaciones de variedades.</w:t>
      </w:r>
      <w:r w:rsidR="0039613E">
        <w:t xml:space="preserve"> </w:t>
      </w:r>
      <w:r>
        <w:t xml:space="preserve">No obstante, la base de datos </w:t>
      </w:r>
      <w:r>
        <w:rPr>
          <w:strike/>
          <w:highlight w:val="lightGray"/>
        </w:rPr>
        <w:t>de obtenciones vegetales de la UPOV</w:t>
      </w:r>
      <w:r>
        <w:rPr>
          <w:highlight w:val="lightGray"/>
          <w:u w:val="single"/>
        </w:rPr>
        <w:t>PLUTO</w:t>
      </w:r>
      <w:r>
        <w:t xml:space="preserve"> es un mecanismo importante que permite a los miembros de la Unión disponer de la mejor información posible sobre denominaciones de variedades en forma práctica.</w:t>
      </w:r>
      <w:r w:rsidR="0039613E">
        <w:t xml:space="preserve"> </w:t>
      </w:r>
    </w:p>
    <w:p w14:paraId="42655D80" w14:textId="77777777" w:rsidR="00893C7D" w:rsidRPr="00407B23" w:rsidRDefault="00893C7D" w:rsidP="00893C7D"/>
    <w:p w14:paraId="45C0C08E" w14:textId="7F664C7C" w:rsidR="00893C7D" w:rsidRPr="00407B23" w:rsidRDefault="00893C7D" w:rsidP="00893C7D">
      <w:r>
        <w:t>6.3</w:t>
      </w:r>
      <w:r>
        <w:tab/>
        <w:t>El párrafo 6) permite a un miembro de la Unión formular observaciones si considera que una denominación propuesta por otro miembro de la Unión es inadecuada.</w:t>
      </w:r>
      <w:r w:rsidR="0039613E">
        <w:t xml:space="preserve"> </w:t>
      </w:r>
      <w:r>
        <w:t>En particular, respecto de las disposiciones del párrafo 5), la autoridad en cuestión deberá tener en cuenta todas las observaciones formuladas por las autoridades de los demás miembros al decidir acerca de la conveniencia de una denominación propuesta.</w:t>
      </w:r>
      <w:r w:rsidR="0039613E">
        <w:t xml:space="preserve"> </w:t>
      </w:r>
      <w:r>
        <w:t>Si las observaciones se refieren a un obstáculo para la aprobación que, de conformidad con las disposiciones sobre denominaciones de variedades con arreglo al Convenio de la UPOV, resulte aplicable a todos los miembros, la denominación propuesta deberá entonces ser rechazada.</w:t>
      </w:r>
      <w:r w:rsidR="0039613E">
        <w:t xml:space="preserve"> </w:t>
      </w:r>
      <w:r>
        <w:t>Si la observación se refiere a un obstáculo para la aprobación interpuesto únicamente en el miembro de la Unión que haya transmitido la observación (por ejemplo, un derecho anterior sobre la marca dentro de ese territorio), se informará en consecuencia al solicitante.</w:t>
      </w:r>
      <w:r w:rsidR="0039613E">
        <w:t xml:space="preserve"> </w:t>
      </w:r>
      <w:r>
        <w:t>Si se ha previsto solicitar protección o si puede preverse que se ha de comercializar material de reproducción o de multiplicación vegetativa de la variedad en el territorio del miembro de la Unión que haya transmitido la observación, la autoridad que examine la denominación propuesta deberá pedir al solicitante que proponga otra denominación.</w:t>
      </w:r>
    </w:p>
    <w:p w14:paraId="0EA7E540" w14:textId="77777777" w:rsidR="00893C7D" w:rsidRPr="00407B23" w:rsidRDefault="00893C7D" w:rsidP="00893C7D"/>
    <w:p w14:paraId="5A127DAC" w14:textId="77777777" w:rsidR="00893C7D" w:rsidRPr="00407B23" w:rsidRDefault="00893C7D" w:rsidP="00893C7D">
      <w:pPr>
        <w:pStyle w:val="BodyText"/>
      </w:pPr>
      <w:r>
        <w:t>6.4</w:t>
      </w:r>
      <w:r>
        <w:tab/>
        <w:t>Las autoridades que formulen observaciones y la autoridad que realice el examen deberán, en la medida de lo posible, esforzarse por llegar a un acuerdo sobre la aceptabilidad de la denominación de la variedad.</w:t>
      </w:r>
    </w:p>
    <w:p w14:paraId="126C1CE2" w14:textId="77777777" w:rsidR="00893C7D" w:rsidRPr="00407B23" w:rsidRDefault="00893C7D" w:rsidP="00893C7D"/>
    <w:p w14:paraId="589CC512" w14:textId="77777777" w:rsidR="00893C7D" w:rsidRPr="00407B23" w:rsidRDefault="00893C7D" w:rsidP="00893C7D">
      <w:r>
        <w:t>6.5</w:t>
      </w:r>
      <w:r>
        <w:tab/>
        <w:t xml:space="preserve">Se recomienda dirigir una comunicación sobre la decisión final a toda autoridad que haya transmitido una observación. </w:t>
      </w:r>
    </w:p>
    <w:p w14:paraId="11411B82" w14:textId="77777777" w:rsidR="00893C7D" w:rsidRPr="00407B23" w:rsidRDefault="00893C7D" w:rsidP="00893C7D"/>
    <w:p w14:paraId="09C90726" w14:textId="77777777" w:rsidR="00893C7D" w:rsidRPr="00407B23" w:rsidRDefault="00893C7D" w:rsidP="00893C7D">
      <w:r>
        <w:t>6.6</w:t>
      </w:r>
      <w:r>
        <w:tab/>
        <w:t xml:space="preserve">Se insta a las autoridades a que envíen información sobre las denominaciones de las variedades a las autoridades encargadas de proteger otros derechos (por ejemplo, autoridades responsables del registro de marcas). </w:t>
      </w:r>
    </w:p>
    <w:p w14:paraId="0023E3C6" w14:textId="77777777" w:rsidR="00893C7D" w:rsidRPr="00407B23" w:rsidRDefault="00893C7D" w:rsidP="00893C7D"/>
    <w:p w14:paraId="7BE5C16C" w14:textId="0270B8F1" w:rsidR="00893C7D" w:rsidRPr="00407B23" w:rsidRDefault="00893C7D" w:rsidP="00893C7D">
      <w:r>
        <w:t>6.7</w:t>
      </w:r>
      <w:r>
        <w:tab/>
        <w:t>En el Anexo II figura un formulario tipo para las observaciones sobre las denominaciones propuestas en otro Estado miembro de la Unión.</w:t>
      </w:r>
      <w:r w:rsidR="0039613E">
        <w:t xml:space="preserve"> </w:t>
      </w:r>
      <w:r>
        <w:t>En el Anexo III figura un formulario tipo para las respuestas a las observaciones.</w:t>
      </w:r>
      <w:r w:rsidR="0039613E">
        <w:t xml:space="preserve"> </w:t>
      </w:r>
      <w:r>
        <w:t>Al mismo tiempo, se deberán enviar copias de estas comunicaciones a las autoridades de los demás miembros de la Unión.</w:t>
      </w:r>
    </w:p>
    <w:p w14:paraId="383A49AB" w14:textId="77777777" w:rsidR="00860F1C" w:rsidRDefault="00860F1C" w:rsidP="00860F1C"/>
    <w:p w14:paraId="2F28E988" w14:textId="79EB5A91" w:rsidR="00860F1C" w:rsidRPr="008A736E" w:rsidRDefault="00860F1C" w:rsidP="00860F1C">
      <w:pPr>
        <w:rPr>
          <w:u w:val="single"/>
        </w:rPr>
      </w:pPr>
      <w:r>
        <w:rPr>
          <w:highlight w:val="lightGray"/>
          <w:u w:val="single"/>
        </w:rPr>
        <w:t>6.8</w:t>
      </w:r>
      <w:r>
        <w:tab/>
      </w:r>
      <w:r>
        <w:rPr>
          <w:highlight w:val="lightGray"/>
          <w:u w:val="single"/>
        </w:rPr>
        <w:t>Los datos aportados por los miembros de la Unión a la base de datos PLUTO sirven de base para el examen de denominaciones de variedades.</w:t>
      </w:r>
      <w:r w:rsidR="0039613E">
        <w:rPr>
          <w:highlight w:val="lightGray"/>
          <w:u w:val="single"/>
        </w:rPr>
        <w:t xml:space="preserve"> </w:t>
      </w:r>
      <w:r>
        <w:rPr>
          <w:highlight w:val="lightGray"/>
          <w:u w:val="single"/>
        </w:rPr>
        <w:t xml:space="preserve">Se </w:t>
      </w:r>
      <w:r w:rsidR="00BE7A17" w:rsidRPr="00BE7A17">
        <w:rPr>
          <w:strike/>
          <w:highlight w:val="yellow"/>
        </w:rPr>
        <w:t>insta</w:t>
      </w:r>
      <w:r w:rsidR="00BE7A17" w:rsidRPr="00BE7A17">
        <w:rPr>
          <w:highlight w:val="yellow"/>
        </w:rPr>
        <w:t xml:space="preserve"> </w:t>
      </w:r>
      <w:r w:rsidR="00BE7A17" w:rsidRPr="00BE7A17">
        <w:rPr>
          <w:highlight w:val="yellow"/>
          <w:u w:val="single"/>
        </w:rPr>
        <w:t>invita</w:t>
      </w:r>
      <w:r w:rsidR="00BE7A17" w:rsidRPr="00BE7A17">
        <w:rPr>
          <w:rStyle w:val="EndnoteReference"/>
          <w:b/>
          <w:highlight w:val="lightGray"/>
          <w:u w:val="single"/>
        </w:rPr>
        <w:t xml:space="preserve"> </w:t>
      </w:r>
      <w:r w:rsidRPr="00BE7A17">
        <w:rPr>
          <w:rStyle w:val="EndnoteReference"/>
          <w:b/>
          <w:highlight w:val="lightGray"/>
          <w:u w:val="single"/>
        </w:rPr>
        <w:endnoteReference w:id="18"/>
      </w:r>
      <w:r w:rsidRPr="00BE7A17">
        <w:rPr>
          <w:b/>
          <w:highlight w:val="lightGray"/>
          <w:u w:val="single"/>
        </w:rPr>
        <w:t xml:space="preserve"> </w:t>
      </w:r>
      <w:r>
        <w:rPr>
          <w:highlight w:val="lightGray"/>
          <w:u w:val="single"/>
        </w:rPr>
        <w:t>a los miembros de la Unión a que remitan los datos en cuanto sea factible tras su publicación por las autoridades correspondientes.</w:t>
      </w:r>
      <w:r w:rsidR="0039613E">
        <w:rPr>
          <w:highlight w:val="lightGray"/>
          <w:u w:val="single"/>
        </w:rPr>
        <w:t xml:space="preserve"> </w:t>
      </w:r>
      <w:r>
        <w:rPr>
          <w:highlight w:val="lightGray"/>
          <w:u w:val="single"/>
        </w:rPr>
        <w:t>La base de datos PLUTO se actualizará con los nuevos datos a la mayor brevedad posible tras la recepción de estos, conforme al procedimiento de introducción de datos.</w:t>
      </w:r>
      <w:r w:rsidR="0039613E">
        <w:rPr>
          <w:highlight w:val="lightGray"/>
          <w:u w:val="single"/>
        </w:rPr>
        <w:t xml:space="preserve"> </w:t>
      </w:r>
      <w:r>
        <w:rPr>
          <w:highlight w:val="lightGray"/>
          <w:u w:val="single"/>
        </w:rPr>
        <w:t>Cuando sea necesario, la base de datos PLUTO podrá actualizarse con datos corregidos, conforme al procedimiento de introducción de datos.</w:t>
      </w:r>
    </w:p>
    <w:p w14:paraId="4F93DA07" w14:textId="77777777" w:rsidR="00893C7D" w:rsidRDefault="00893C7D" w:rsidP="00893C7D">
      <w:pPr>
        <w:jc w:val="left"/>
        <w:rPr>
          <w:b/>
        </w:rPr>
      </w:pPr>
    </w:p>
    <w:p w14:paraId="76200D4A" w14:textId="77777777" w:rsidR="00893C7D" w:rsidRDefault="00893C7D" w:rsidP="00893C7D">
      <w:pPr>
        <w:jc w:val="left"/>
        <w:rPr>
          <w:b/>
        </w:rPr>
      </w:pPr>
    </w:p>
    <w:p w14:paraId="0087A740" w14:textId="3F2ED9A8" w:rsidR="00893C7D" w:rsidRPr="00294914" w:rsidRDefault="00893C7D" w:rsidP="00BA57B3">
      <w:pPr>
        <w:pStyle w:val="Heading1"/>
      </w:pPr>
      <w:bookmarkStart w:id="57" w:name="_Toc15033894"/>
      <w:bookmarkStart w:id="58" w:name="_Toc48738902"/>
      <w:r>
        <w:lastRenderedPageBreak/>
        <w:t>Párrafo 7</w:t>
      </w:r>
      <w:bookmarkEnd w:id="57"/>
      <w:bookmarkEnd w:id="58"/>
    </w:p>
    <w:p w14:paraId="6F27F5DF" w14:textId="77777777" w:rsidR="00893C7D" w:rsidRPr="00294914" w:rsidRDefault="00893C7D" w:rsidP="00893C7D">
      <w:pPr>
        <w:keepNext/>
        <w:rPr>
          <w:b/>
        </w:rPr>
      </w:pPr>
    </w:p>
    <w:p w14:paraId="6B1071FB" w14:textId="50D98D10" w:rsidR="00D4056E" w:rsidRDefault="00893C7D" w:rsidP="00D4056E">
      <w:pPr>
        <w:pStyle w:val="Heading2"/>
      </w:pPr>
      <w:bookmarkStart w:id="59" w:name="_Toc15033895"/>
      <w:bookmarkStart w:id="60" w:name="_Toc48738903"/>
      <w:r>
        <w:t>[Obligación de utilizar la denominación]</w:t>
      </w:r>
      <w:bookmarkEnd w:id="59"/>
      <w:bookmarkEnd w:id="60"/>
    </w:p>
    <w:p w14:paraId="70F1AD3B" w14:textId="77777777" w:rsidR="00D4056E" w:rsidRDefault="00D4056E" w:rsidP="00893C7D">
      <w:pPr>
        <w:rPr>
          <w:b/>
        </w:rPr>
      </w:pPr>
    </w:p>
    <w:p w14:paraId="028FA4CD" w14:textId="77777777" w:rsidR="00893C7D" w:rsidRPr="00294914" w:rsidRDefault="00D4056E" w:rsidP="00893C7D">
      <w:pPr>
        <w:rPr>
          <w:b/>
        </w:rPr>
      </w:pPr>
      <w:r>
        <w:tab/>
      </w:r>
      <w:r>
        <w:rPr>
          <w:b/>
        </w:rPr>
        <w:t>Quien, en el territorio de una Parte Contratante, proceda a la puesta en venta o a la comercialización del material de reproducción o de multiplicación vegetativa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14:paraId="5BB20365" w14:textId="77777777" w:rsidR="00893C7D" w:rsidRPr="00294914" w:rsidRDefault="00893C7D" w:rsidP="00893C7D"/>
    <w:p w14:paraId="57391900" w14:textId="77777777" w:rsidR="00893C7D" w:rsidRPr="00D4056E" w:rsidRDefault="00893C7D" w:rsidP="00D4056E">
      <w:pPr>
        <w:keepNext/>
        <w:rPr>
          <w:u w:val="single"/>
        </w:rPr>
      </w:pPr>
      <w:r>
        <w:rPr>
          <w:u w:val="single"/>
        </w:rPr>
        <w:t>Nota explicativa – Párrafo 7)</w:t>
      </w:r>
    </w:p>
    <w:p w14:paraId="448107A4" w14:textId="77777777" w:rsidR="00893C7D" w:rsidRPr="00294914" w:rsidRDefault="00893C7D" w:rsidP="00D4056E">
      <w:pPr>
        <w:keepNext/>
      </w:pPr>
    </w:p>
    <w:p w14:paraId="250EF4F9" w14:textId="56E70169" w:rsidR="00893C7D" w:rsidRPr="00795648" w:rsidRDefault="00893C7D" w:rsidP="00893C7D">
      <w:r>
        <w:t>7.1</w:t>
      </w:r>
      <w:r>
        <w:tab/>
        <w:t>Si se descubre que los derechos anteriores de un tercero impiden el uso de la denominación de la variedad registrada, la autoridad exigirá al obtentor que proponga otra denominación.</w:t>
      </w:r>
      <w:r w:rsidR="0039613E">
        <w:t xml:space="preserve"> </w:t>
      </w:r>
      <w:r>
        <w:t>El Artículo 22.1)b)iii) del Acta de 1991 establece que el derecho del obtentor podrá ser cancelado si “el obtentor no propone otra denominación adecuada, en caso de cancelación de la denominación de la variedad después de la concesión del derecho”.</w:t>
      </w:r>
      <w:r w:rsidR="0039613E">
        <w:t xml:space="preserve"> </w:t>
      </w:r>
    </w:p>
    <w:p w14:paraId="49D8B87E" w14:textId="77777777" w:rsidR="00893C7D" w:rsidRPr="00795648" w:rsidRDefault="00893C7D" w:rsidP="00893C7D"/>
    <w:p w14:paraId="1A2A90EB" w14:textId="77777777" w:rsidR="00893C7D" w:rsidRPr="00294914" w:rsidRDefault="00893C7D" w:rsidP="00893C7D">
      <w:r>
        <w:t>7.2</w:t>
      </w:r>
      <w:r>
        <w:tab/>
        <w:t>Los elementos siguientes constituyen orientaciones relativas a los cambios de la denominación de variedades registradas:</w:t>
      </w:r>
    </w:p>
    <w:p w14:paraId="6E06445C" w14:textId="77777777" w:rsidR="00893C7D" w:rsidRPr="00294914" w:rsidRDefault="00893C7D" w:rsidP="00893C7D"/>
    <w:p w14:paraId="01797815" w14:textId="3B5EE1BC" w:rsidR="00893C7D" w:rsidRPr="00EB154B" w:rsidRDefault="00893C7D" w:rsidP="00893C7D">
      <w:pPr>
        <w:ind w:firstLine="567"/>
      </w:pPr>
      <w:r>
        <w:t>a)</w:t>
      </w:r>
      <w:r>
        <w:tab/>
        <w:t>El Convenio de la UPOV establece que, cuando se declara la caducidad de la denominación de la variedad tras la concesión del derecho, la denominación registrada debe modificarse.</w:t>
      </w:r>
      <w:r w:rsidR="0039613E">
        <w:t xml:space="preserve"> </w:t>
      </w:r>
      <w:r>
        <w:t xml:space="preserve">La autoridad competente deberá declarar la caducidad de la denominación de una variedad si: </w:t>
      </w:r>
    </w:p>
    <w:p w14:paraId="2C007E72" w14:textId="77777777" w:rsidR="00893C7D" w:rsidRPr="00EB154B" w:rsidRDefault="00893C7D" w:rsidP="00893C7D">
      <w:pPr>
        <w:pStyle w:val="ListParagraph"/>
      </w:pPr>
    </w:p>
    <w:p w14:paraId="29FF9377" w14:textId="77777777" w:rsidR="00893C7D" w:rsidRPr="00EB154B" w:rsidRDefault="00893C7D" w:rsidP="00EB154B">
      <w:pPr>
        <w:pStyle w:val="ListParagraph"/>
        <w:numPr>
          <w:ilvl w:val="0"/>
          <w:numId w:val="7"/>
        </w:numPr>
        <w:tabs>
          <w:tab w:val="left" w:pos="1418"/>
        </w:tabs>
      </w:pPr>
      <w:r>
        <w:t xml:space="preserve">en virtud de un derecho anterior, la utilización de la denominación de una variedad está prohibida a una persona que está obligada a utilizarla, de conformidad con lo dispuesto en el párrafo 7) (véase el párrafo 4 “Derechos anteriores de terceros”); </w:t>
      </w:r>
    </w:p>
    <w:p w14:paraId="4CC8F61D" w14:textId="77777777" w:rsidR="00893C7D" w:rsidRPr="00EB154B" w:rsidRDefault="00893C7D" w:rsidP="00893C7D">
      <w:pPr>
        <w:tabs>
          <w:tab w:val="left" w:pos="1418"/>
        </w:tabs>
        <w:ind w:firstLine="1134"/>
      </w:pPr>
    </w:p>
    <w:p w14:paraId="5496895E" w14:textId="77777777" w:rsidR="00893C7D" w:rsidRPr="00EB154B" w:rsidRDefault="00893C7D" w:rsidP="00EB154B">
      <w:pPr>
        <w:pStyle w:val="ListParagraph"/>
        <w:numPr>
          <w:ilvl w:val="0"/>
          <w:numId w:val="7"/>
        </w:numPr>
        <w:tabs>
          <w:tab w:val="left" w:pos="1418"/>
        </w:tabs>
      </w:pPr>
      <w:r>
        <w:t xml:space="preserve">la denominación resultara inadecuada por ser contraria a las disposiciones del párrafo 2 “Características de la denominación”; </w:t>
      </w:r>
    </w:p>
    <w:p w14:paraId="2E20C09A" w14:textId="77777777" w:rsidR="00893C7D" w:rsidRPr="00EB154B" w:rsidRDefault="00893C7D" w:rsidP="00893C7D">
      <w:pPr>
        <w:pStyle w:val="ListParagraph"/>
        <w:ind w:left="1854"/>
      </w:pPr>
    </w:p>
    <w:p w14:paraId="3989AB8A" w14:textId="77777777" w:rsidR="00893C7D" w:rsidRPr="00EB154B" w:rsidRDefault="00893C7D" w:rsidP="00893C7D">
      <w:pPr>
        <w:ind w:firstLine="567"/>
      </w:pPr>
      <w:r>
        <w:t>b)</w:t>
      </w:r>
      <w:r>
        <w:tab/>
        <w:t>En casos en que la denominación registrada es rechazada posteriormente por otro miembro de la Unión por ser inadecuada en su territorio (por ejemplo, por un derecho anterior), la autoridad puede considerar oportuno, a petición del obtentor, cambiar la denominación por la registrada en ese otro miembro de la Unión (véanse las disposiciones del párrafo 5 “Misma denominación en todas las partes contratantes”); y</w:t>
      </w:r>
    </w:p>
    <w:p w14:paraId="71868D92" w14:textId="77777777" w:rsidR="00893C7D" w:rsidRPr="00EB154B" w:rsidRDefault="00893C7D" w:rsidP="00893C7D"/>
    <w:p w14:paraId="51F1FBF8" w14:textId="77777777" w:rsidR="00893C7D" w:rsidRPr="00294914" w:rsidRDefault="00893C7D" w:rsidP="00893C7D">
      <w:pPr>
        <w:ind w:firstLine="567"/>
      </w:pPr>
      <w:r>
        <w:t>c)</w:t>
      </w:r>
      <w:r>
        <w:tab/>
        <w:t>En general, salvo en los casos a) y b) indicados, no será pertinente que la autoridad cambie, a petición del obtentor, una denominación registrada.</w:t>
      </w:r>
    </w:p>
    <w:p w14:paraId="4B5C4284" w14:textId="77777777" w:rsidR="00893C7D" w:rsidRPr="00294914" w:rsidRDefault="00893C7D" w:rsidP="00893C7D"/>
    <w:p w14:paraId="2D70B199" w14:textId="77777777" w:rsidR="00893C7D" w:rsidRPr="00407B23" w:rsidRDefault="00893C7D" w:rsidP="00893C7D"/>
    <w:p w14:paraId="575A06C8" w14:textId="77777777" w:rsidR="00893C7D" w:rsidRDefault="00893C7D" w:rsidP="00893C7D">
      <w:pPr>
        <w:jc w:val="left"/>
        <w:rPr>
          <w:b/>
        </w:rPr>
      </w:pPr>
    </w:p>
    <w:p w14:paraId="33C31C72" w14:textId="77777777" w:rsidR="004359AA" w:rsidRDefault="004359AA">
      <w:r>
        <w:br w:type="page"/>
      </w:r>
    </w:p>
    <w:p w14:paraId="5F270992" w14:textId="12111AA7" w:rsidR="00893C7D" w:rsidRPr="00407B23" w:rsidRDefault="00893C7D" w:rsidP="00BA56E0">
      <w:pPr>
        <w:pStyle w:val="Heading1"/>
        <w:pageBreakBefore/>
      </w:pPr>
      <w:bookmarkStart w:id="61" w:name="_Toc15033896"/>
      <w:bookmarkStart w:id="62" w:name="_Toc48738904"/>
      <w:r>
        <w:lastRenderedPageBreak/>
        <w:t>Párrafo 8</w:t>
      </w:r>
      <w:bookmarkEnd w:id="61"/>
      <w:bookmarkEnd w:id="62"/>
    </w:p>
    <w:p w14:paraId="77A6FCCE" w14:textId="77777777" w:rsidR="00893C7D" w:rsidRDefault="00893C7D" w:rsidP="00893C7D"/>
    <w:p w14:paraId="5C3D51B6" w14:textId="77777777" w:rsidR="00D4056E" w:rsidRDefault="00D4056E" w:rsidP="00D4056E">
      <w:pPr>
        <w:pStyle w:val="Heading2"/>
      </w:pPr>
      <w:bookmarkStart w:id="63" w:name="_Toc15033897"/>
      <w:bookmarkStart w:id="64" w:name="_Toc48738905"/>
      <w:r>
        <w:t>[Indicaciones utilizadas en asociación con denominaciones]</w:t>
      </w:r>
      <w:bookmarkEnd w:id="63"/>
      <w:bookmarkEnd w:id="64"/>
    </w:p>
    <w:p w14:paraId="37749C18" w14:textId="77777777" w:rsidR="00D4056E" w:rsidRPr="00407B23" w:rsidRDefault="00D4056E" w:rsidP="00893C7D"/>
    <w:p w14:paraId="0F950A8E" w14:textId="1599087F" w:rsidR="00893C7D" w:rsidRPr="00407B23" w:rsidRDefault="00893C7D" w:rsidP="00893C7D">
      <w:pPr>
        <w:rPr>
          <w:b/>
        </w:rPr>
      </w:pPr>
      <w:r>
        <w:tab/>
      </w:r>
      <w:r>
        <w:rPr>
          <w:b/>
        </w:rPr>
        <w:t>Cuando una variedad se ofrezca en venta o se comercialice, estará permitido asociar una marca de fábrica o de comercio, un nombre comercial o una indicación similar a la denominación de variedad registrada.</w:t>
      </w:r>
      <w:r w:rsidR="0039613E">
        <w:rPr>
          <w:b/>
        </w:rPr>
        <w:t xml:space="preserve"> </w:t>
      </w:r>
      <w:r>
        <w:rPr>
          <w:b/>
        </w:rPr>
        <w:t>Si tal indicación se asociase de esta forma, la denominación deberá ser, no obstante, fácilmente reconocible.</w:t>
      </w:r>
    </w:p>
    <w:p w14:paraId="63C2A826" w14:textId="77777777" w:rsidR="00893C7D" w:rsidRPr="00407B23" w:rsidRDefault="00893C7D" w:rsidP="00893C7D"/>
    <w:p w14:paraId="3DB9AD58" w14:textId="77777777" w:rsidR="00893C7D" w:rsidRDefault="00893C7D" w:rsidP="00893C7D">
      <w:r>
        <w:tab/>
        <w:t>Esta disposición se explica por sí sola.</w:t>
      </w:r>
    </w:p>
    <w:p w14:paraId="173BE642" w14:textId="77777777" w:rsidR="00893C7D" w:rsidRDefault="00893C7D" w:rsidP="00893C7D"/>
    <w:p w14:paraId="6FFD2AEB" w14:textId="77777777" w:rsidR="0058797E" w:rsidRDefault="0058797E" w:rsidP="00893C7D"/>
    <w:p w14:paraId="5E647B5F" w14:textId="77777777" w:rsidR="002E12C4" w:rsidRDefault="002E12C4" w:rsidP="00893C7D"/>
    <w:p w14:paraId="4FDDCB0B" w14:textId="77777777" w:rsidR="00893C7D" w:rsidRDefault="00893C7D" w:rsidP="0058797E">
      <w:pPr>
        <w:jc w:val="right"/>
      </w:pPr>
      <w:r>
        <w:t>[Siguen los Anexos]</w:t>
      </w:r>
    </w:p>
    <w:p w14:paraId="0AC3558B" w14:textId="77777777" w:rsidR="00253EA1" w:rsidRPr="00407B23" w:rsidRDefault="00253EA1" w:rsidP="00253EA1"/>
    <w:p w14:paraId="02B5623B" w14:textId="77777777" w:rsidR="00893C7D" w:rsidRPr="00407B23" w:rsidRDefault="00893C7D" w:rsidP="00893C7D">
      <w:pPr>
        <w:jc w:val="right"/>
        <w:sectPr w:rsidR="00893C7D" w:rsidRPr="00407B23" w:rsidSect="00182493">
          <w:headerReference w:type="even" r:id="rId10"/>
          <w:headerReference w:type="default" r:id="rId11"/>
          <w:footerReference w:type="even" r:id="rId12"/>
          <w:endnotePr>
            <w:numFmt w:val="lowerLetter"/>
          </w:endnotePr>
          <w:pgSz w:w="11907" w:h="16840" w:code="9"/>
          <w:pgMar w:top="510" w:right="1134" w:bottom="1134" w:left="1134" w:header="510" w:footer="624" w:gutter="0"/>
          <w:cols w:space="720"/>
          <w:titlePg/>
          <w:docGrid w:linePitch="272"/>
        </w:sectPr>
      </w:pPr>
    </w:p>
    <w:p w14:paraId="038635C6" w14:textId="164B2F61" w:rsidR="00893C7D" w:rsidRPr="00DE1471" w:rsidRDefault="00893C7D" w:rsidP="00893C7D">
      <w:pPr>
        <w:spacing w:line="240" w:lineRule="atLeast"/>
        <w:jc w:val="center"/>
        <w:rPr>
          <w:u w:val="single"/>
        </w:rPr>
      </w:pPr>
      <w:r>
        <w:rPr>
          <w:u w:val="single"/>
        </w:rPr>
        <w:lastRenderedPageBreak/>
        <w:t>Clases de denominaciones de variedades de la UPOV:</w:t>
      </w:r>
      <w:r w:rsidR="0039613E">
        <w:rPr>
          <w:u w:val="single"/>
        </w:rPr>
        <w:t xml:space="preserve"> </w:t>
      </w:r>
      <w:r>
        <w:rPr>
          <w:u w:val="single"/>
        </w:rPr>
        <w:br/>
        <w:t>una denominación de variedad no deberá ser utilizada más de una vez en la misma clase</w:t>
      </w:r>
    </w:p>
    <w:p w14:paraId="4EC99338" w14:textId="77777777" w:rsidR="00893C7D" w:rsidRPr="00407B23" w:rsidRDefault="00893C7D" w:rsidP="00893C7D">
      <w:pPr>
        <w:spacing w:line="240" w:lineRule="atLeast"/>
        <w:rPr>
          <w:b/>
        </w:rPr>
      </w:pPr>
    </w:p>
    <w:p w14:paraId="2621B536" w14:textId="77890FF6" w:rsidR="00893C7D" w:rsidRPr="00407B23" w:rsidRDefault="00893C7D" w:rsidP="00893C7D">
      <w:pPr>
        <w:spacing w:line="240" w:lineRule="atLeast"/>
      </w:pPr>
      <w:r>
        <w:t>A los efectos de proporcionar orientación sobre la tercera y cuarta frases del párrafo 2 del Artículo 20 del Acta de 1991 y del Artículo 13 del Acta de 1978 y del Convenio de 1961, se han elaborado clases de denominaciones de variedades.</w:t>
      </w:r>
      <w:r w:rsidR="0039613E">
        <w:t xml:space="preserve"> </w:t>
      </w:r>
      <w:r>
        <w:t>Una denominación de variedad no deberá ser utilizada más de una vez en la misma clase.</w:t>
      </w:r>
      <w:r w:rsidR="0039613E">
        <w:t xml:space="preserve"> </w:t>
      </w:r>
      <w:r>
        <w:t xml:space="preserve">Las clases se han elaborado de manera tal que los taxones botánicos de la misma clase se consideren estrechamente relacionados entre sí o susceptibles de inducir a error o de prestarse a confusión en relación con la identidad de la variedad. </w:t>
      </w:r>
    </w:p>
    <w:p w14:paraId="7631960E" w14:textId="77777777" w:rsidR="00893C7D" w:rsidRPr="00407B23" w:rsidRDefault="00893C7D" w:rsidP="00893C7D">
      <w:pPr>
        <w:spacing w:line="240" w:lineRule="atLeast"/>
      </w:pPr>
    </w:p>
    <w:p w14:paraId="67569530" w14:textId="1B3CEB23" w:rsidR="00893C7D" w:rsidRPr="00407B23" w:rsidRDefault="00893C7D" w:rsidP="00893C7D">
      <w:pPr>
        <w:spacing w:line="240" w:lineRule="atLeast"/>
      </w:pPr>
      <w:r>
        <w:t>A continuación figuran las clases de denominaciones de variedades:</w:t>
      </w:r>
      <w:r w:rsidR="0039613E">
        <w:t xml:space="preserve"> </w:t>
      </w:r>
    </w:p>
    <w:p w14:paraId="7FA6473F" w14:textId="77777777" w:rsidR="00893C7D" w:rsidRPr="00407B23" w:rsidRDefault="00893C7D" w:rsidP="00893C7D">
      <w:pPr>
        <w:spacing w:line="240" w:lineRule="atLeast"/>
      </w:pPr>
    </w:p>
    <w:p w14:paraId="290842E9" w14:textId="0BEEA076" w:rsidR="00893C7D" w:rsidRPr="00DE1471" w:rsidRDefault="00893C7D" w:rsidP="00893C7D">
      <w:pPr>
        <w:pStyle w:val="BodyTextIndent"/>
        <w:ind w:left="0" w:firstLine="567"/>
      </w:pPr>
      <w:r>
        <w:t>a)</w:t>
      </w:r>
      <w:r>
        <w:tab/>
        <w:t>norma general (un género/una clase): para los géneros y especies no comprendidos en la Lista de clases del presente Anexo, se considera que un género es una clase;</w:t>
      </w:r>
      <w:r w:rsidR="008130BA">
        <w:t xml:space="preserve"> </w:t>
      </w:r>
    </w:p>
    <w:p w14:paraId="3CFBA469" w14:textId="77777777" w:rsidR="00893C7D" w:rsidRPr="00DE1471" w:rsidRDefault="00893C7D" w:rsidP="00893C7D">
      <w:pPr>
        <w:pStyle w:val="BodyTextIndent"/>
        <w:ind w:left="0"/>
      </w:pPr>
    </w:p>
    <w:p w14:paraId="1CDF19BA" w14:textId="720B10BA" w:rsidR="00893C7D" w:rsidRPr="00DE1471" w:rsidRDefault="00893C7D" w:rsidP="00893C7D">
      <w:pPr>
        <w:pStyle w:val="BodyTextIndent"/>
        <w:ind w:left="0" w:firstLine="567"/>
      </w:pPr>
      <w:r>
        <w:t>b)</w:t>
      </w:r>
      <w:r>
        <w:tab/>
        <w:t>excepciones a la norma general (lista de clases):</w:t>
      </w:r>
      <w:r w:rsidR="0039613E">
        <w:t xml:space="preserve"> </w:t>
      </w:r>
    </w:p>
    <w:p w14:paraId="35EAB649" w14:textId="77777777" w:rsidR="00893C7D" w:rsidRPr="00DE1471" w:rsidRDefault="00893C7D" w:rsidP="00893C7D">
      <w:pPr>
        <w:pStyle w:val="BodyTextIndent"/>
        <w:tabs>
          <w:tab w:val="right" w:pos="1134"/>
        </w:tabs>
        <w:ind w:left="0"/>
      </w:pPr>
    </w:p>
    <w:p w14:paraId="085FCD77" w14:textId="31B5FB4C" w:rsidR="00893C7D" w:rsidRPr="00407B23" w:rsidRDefault="00893C7D" w:rsidP="00893C7D">
      <w:pPr>
        <w:tabs>
          <w:tab w:val="right" w:pos="1134"/>
          <w:tab w:val="left" w:pos="1418"/>
        </w:tabs>
      </w:pPr>
      <w:r>
        <w:tab/>
        <w:t>i)</w:t>
      </w:r>
      <w:r>
        <w:tab/>
        <w:t>clases dentro de un género:</w:t>
      </w:r>
      <w:r w:rsidR="0039613E">
        <w:t xml:space="preserve"> </w:t>
      </w:r>
      <w:r>
        <w:t>Lista de clases del presente Anexo:</w:t>
      </w:r>
      <w:r w:rsidR="0039613E">
        <w:t xml:space="preserve"> </w:t>
      </w:r>
      <w:r>
        <w:t>parte I;</w:t>
      </w:r>
      <w:r w:rsidR="0039613E">
        <w:t xml:space="preserve"> </w:t>
      </w:r>
    </w:p>
    <w:p w14:paraId="5E59F185" w14:textId="77777777" w:rsidR="00893C7D" w:rsidRPr="00407B23" w:rsidRDefault="00893C7D" w:rsidP="00893C7D">
      <w:pPr>
        <w:tabs>
          <w:tab w:val="right" w:pos="1134"/>
          <w:tab w:val="left" w:pos="1418"/>
        </w:tabs>
      </w:pPr>
    </w:p>
    <w:p w14:paraId="3B936A5C" w14:textId="066BDA54" w:rsidR="00893C7D" w:rsidRPr="00407B23" w:rsidRDefault="00893C7D" w:rsidP="00893C7D">
      <w:pPr>
        <w:tabs>
          <w:tab w:val="right" w:pos="1134"/>
          <w:tab w:val="left" w:pos="1418"/>
        </w:tabs>
      </w:pPr>
      <w:r>
        <w:tab/>
        <w:t>ii)</w:t>
      </w:r>
      <w:r>
        <w:tab/>
        <w:t>clases que comprenden más de un género:</w:t>
      </w:r>
      <w:r w:rsidR="0039613E">
        <w:t xml:space="preserve"> </w:t>
      </w:r>
      <w:r>
        <w:t>Lista de clases del presente Anexo:</w:t>
      </w:r>
      <w:r w:rsidR="0039613E">
        <w:t xml:space="preserve"> </w:t>
      </w:r>
      <w:r>
        <w:t>parte II.</w:t>
      </w:r>
    </w:p>
    <w:p w14:paraId="21642C9B" w14:textId="77777777" w:rsidR="00893C7D" w:rsidRDefault="00893C7D" w:rsidP="00893C7D">
      <w:pPr>
        <w:pStyle w:val="BodyTextIndent"/>
        <w:ind w:left="0"/>
      </w:pPr>
    </w:p>
    <w:p w14:paraId="1B100057" w14:textId="77777777" w:rsidR="00893C7D" w:rsidRPr="00DE1471" w:rsidRDefault="00893C7D" w:rsidP="00893C7D">
      <w:pPr>
        <w:pStyle w:val="BodyTextIndent"/>
        <w:ind w:left="0"/>
      </w:pPr>
    </w:p>
    <w:p w14:paraId="4FE9CEC3" w14:textId="77777777" w:rsidR="00893C7D" w:rsidRPr="00407B23" w:rsidRDefault="00893C7D" w:rsidP="00893C7D">
      <w:pPr>
        <w:jc w:val="center"/>
      </w:pPr>
      <w:r>
        <w:t>LISTA DE CLASES</w:t>
      </w:r>
    </w:p>
    <w:p w14:paraId="57AE01C7" w14:textId="77777777" w:rsidR="00893C7D" w:rsidRPr="00DE1471" w:rsidRDefault="00893C7D" w:rsidP="00893C7D">
      <w:pPr>
        <w:rPr>
          <w:u w:val="single"/>
        </w:rPr>
      </w:pPr>
    </w:p>
    <w:p w14:paraId="4987218F" w14:textId="77777777" w:rsidR="00893C7D" w:rsidRPr="00DE1471" w:rsidRDefault="00893C7D" w:rsidP="00893C7D">
      <w:pPr>
        <w:pStyle w:val="Heading8"/>
      </w:pPr>
      <w:r>
        <w:t>Parte I</w:t>
      </w:r>
    </w:p>
    <w:p w14:paraId="601F44DD" w14:textId="77777777" w:rsidR="00893C7D" w:rsidRPr="00DE1471" w:rsidRDefault="00893C7D" w:rsidP="00893C7D">
      <w:pPr>
        <w:pStyle w:val="EndnoteText"/>
      </w:pPr>
    </w:p>
    <w:p w14:paraId="2AA1AAED" w14:textId="77777777" w:rsidR="00893C7D" w:rsidRPr="00DE1471" w:rsidRDefault="00893C7D" w:rsidP="00893C7D">
      <w:pPr>
        <w:jc w:val="center"/>
        <w:rPr>
          <w:i/>
        </w:rPr>
      </w:pPr>
      <w:r>
        <w:rPr>
          <w:i/>
        </w:rPr>
        <w:t>Clases dentro de un género</w:t>
      </w:r>
    </w:p>
    <w:p w14:paraId="17271B5E" w14:textId="77777777"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14:paraId="26CBA021" w14:textId="77777777" w:rsidTr="00893C7D">
        <w:trPr>
          <w:cantSplit/>
          <w:tblHeader/>
        </w:trPr>
        <w:tc>
          <w:tcPr>
            <w:tcW w:w="1418" w:type="dxa"/>
            <w:shd w:val="clear" w:color="auto" w:fill="D9D9D9" w:themeFill="background1" w:themeFillShade="D9"/>
            <w:vAlign w:val="center"/>
          </w:tcPr>
          <w:p w14:paraId="5251B3BF" w14:textId="77777777"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14:paraId="236994FC" w14:textId="77777777" w:rsidR="00893C7D" w:rsidRPr="00A6443F" w:rsidRDefault="00893C7D" w:rsidP="00893C7D">
            <w:pPr>
              <w:spacing w:before="40" w:after="60"/>
              <w:jc w:val="center"/>
              <w:rPr>
                <w:sz w:val="18"/>
                <w:u w:val="single"/>
              </w:rPr>
            </w:pPr>
            <w:r>
              <w:rPr>
                <w:sz w:val="18"/>
                <w:u w:val="single"/>
              </w:rPr>
              <w:t>Nombres botánicos</w:t>
            </w:r>
          </w:p>
        </w:tc>
        <w:tc>
          <w:tcPr>
            <w:tcW w:w="2551" w:type="dxa"/>
            <w:shd w:val="clear" w:color="auto" w:fill="D9D9D9" w:themeFill="background1" w:themeFillShade="D9"/>
            <w:vAlign w:val="center"/>
          </w:tcPr>
          <w:p w14:paraId="24853EEC" w14:textId="77777777" w:rsidR="00893C7D" w:rsidRPr="00A6443F" w:rsidRDefault="00893C7D" w:rsidP="00893C7D">
            <w:pPr>
              <w:spacing w:before="40" w:after="60"/>
              <w:jc w:val="center"/>
              <w:rPr>
                <w:sz w:val="18"/>
                <w:u w:val="single"/>
              </w:rPr>
            </w:pPr>
            <w:r>
              <w:rPr>
                <w:sz w:val="18"/>
                <w:u w:val="single"/>
              </w:rPr>
              <w:t>Códigos UPOV</w:t>
            </w:r>
          </w:p>
        </w:tc>
      </w:tr>
      <w:tr w:rsidR="00893C7D" w:rsidRPr="00A6443F" w14:paraId="5CE598B1" w14:textId="77777777" w:rsidTr="00893C7D">
        <w:trPr>
          <w:cantSplit/>
          <w:tblHeader/>
        </w:trPr>
        <w:tc>
          <w:tcPr>
            <w:tcW w:w="1418" w:type="dxa"/>
            <w:tcBorders>
              <w:left w:val="nil"/>
              <w:right w:val="nil"/>
            </w:tcBorders>
          </w:tcPr>
          <w:p w14:paraId="6CCAD4E6" w14:textId="77777777" w:rsidR="00893C7D" w:rsidRPr="00A6443F" w:rsidRDefault="00893C7D" w:rsidP="00893C7D">
            <w:pPr>
              <w:jc w:val="left"/>
              <w:rPr>
                <w:sz w:val="18"/>
              </w:rPr>
            </w:pPr>
          </w:p>
        </w:tc>
        <w:tc>
          <w:tcPr>
            <w:tcW w:w="5670" w:type="dxa"/>
            <w:tcBorders>
              <w:left w:val="nil"/>
              <w:right w:val="nil"/>
            </w:tcBorders>
          </w:tcPr>
          <w:p w14:paraId="3C565D43" w14:textId="77777777" w:rsidR="00893C7D" w:rsidRPr="00A6443F" w:rsidRDefault="00893C7D" w:rsidP="00893C7D">
            <w:pPr>
              <w:jc w:val="left"/>
              <w:rPr>
                <w:sz w:val="18"/>
              </w:rPr>
            </w:pPr>
          </w:p>
        </w:tc>
        <w:tc>
          <w:tcPr>
            <w:tcW w:w="2551" w:type="dxa"/>
            <w:tcBorders>
              <w:left w:val="nil"/>
              <w:right w:val="nil"/>
            </w:tcBorders>
          </w:tcPr>
          <w:p w14:paraId="5844A7C8" w14:textId="77777777" w:rsidR="00893C7D" w:rsidRPr="00A6443F" w:rsidRDefault="00893C7D" w:rsidP="00893C7D">
            <w:pPr>
              <w:jc w:val="left"/>
              <w:rPr>
                <w:sz w:val="18"/>
              </w:rPr>
            </w:pPr>
          </w:p>
        </w:tc>
      </w:tr>
      <w:tr w:rsidR="00893C7D" w:rsidRPr="00A6443F" w14:paraId="0A9F3F55" w14:textId="77777777" w:rsidTr="00893C7D">
        <w:trPr>
          <w:cantSplit/>
        </w:trPr>
        <w:tc>
          <w:tcPr>
            <w:tcW w:w="1418" w:type="dxa"/>
          </w:tcPr>
          <w:p w14:paraId="6F1FB3DC" w14:textId="77777777" w:rsidR="00893C7D" w:rsidRPr="00A6443F" w:rsidRDefault="00893C7D" w:rsidP="00893C7D">
            <w:pPr>
              <w:spacing w:before="40" w:after="40"/>
              <w:jc w:val="left"/>
              <w:rPr>
                <w:sz w:val="18"/>
              </w:rPr>
            </w:pPr>
            <w:r>
              <w:rPr>
                <w:sz w:val="18"/>
              </w:rPr>
              <w:t>Clase 1.1</w:t>
            </w:r>
          </w:p>
        </w:tc>
        <w:tc>
          <w:tcPr>
            <w:tcW w:w="5670" w:type="dxa"/>
          </w:tcPr>
          <w:p w14:paraId="2E43FEE7" w14:textId="77777777" w:rsidR="00893C7D" w:rsidRPr="00A6443F" w:rsidRDefault="00893C7D" w:rsidP="00893C7D">
            <w:pPr>
              <w:spacing w:before="40" w:after="40"/>
              <w:jc w:val="left"/>
              <w:rPr>
                <w:sz w:val="18"/>
              </w:rPr>
            </w:pPr>
            <w:r>
              <w:rPr>
                <w:i/>
                <w:sz w:val="18"/>
              </w:rPr>
              <w:t>Brassica oleracea</w:t>
            </w:r>
          </w:p>
        </w:tc>
        <w:tc>
          <w:tcPr>
            <w:tcW w:w="2551" w:type="dxa"/>
          </w:tcPr>
          <w:p w14:paraId="0196A0B0" w14:textId="77777777" w:rsidR="00893C7D" w:rsidRPr="00A6443F" w:rsidRDefault="00893C7D" w:rsidP="00893C7D">
            <w:pPr>
              <w:spacing w:before="40" w:after="40"/>
              <w:jc w:val="left"/>
              <w:rPr>
                <w:sz w:val="18"/>
              </w:rPr>
            </w:pPr>
            <w:r>
              <w:rPr>
                <w:sz w:val="18"/>
              </w:rPr>
              <w:t>BRASS_OLE</w:t>
            </w:r>
          </w:p>
        </w:tc>
      </w:tr>
      <w:tr w:rsidR="00893C7D" w:rsidRPr="00A6443F" w14:paraId="295B3020" w14:textId="77777777" w:rsidTr="00893C7D">
        <w:trPr>
          <w:cantSplit/>
        </w:trPr>
        <w:tc>
          <w:tcPr>
            <w:tcW w:w="1418" w:type="dxa"/>
            <w:tcBorders>
              <w:bottom w:val="nil"/>
            </w:tcBorders>
          </w:tcPr>
          <w:p w14:paraId="1A4D469F" w14:textId="77777777" w:rsidR="00893C7D" w:rsidRPr="00A6443F" w:rsidRDefault="00893C7D" w:rsidP="00893C7D">
            <w:pPr>
              <w:spacing w:before="40" w:after="40"/>
              <w:jc w:val="left"/>
              <w:rPr>
                <w:sz w:val="18"/>
              </w:rPr>
            </w:pPr>
            <w:r>
              <w:rPr>
                <w:sz w:val="18"/>
              </w:rPr>
              <w:t>Clase 1.2</w:t>
            </w:r>
          </w:p>
        </w:tc>
        <w:tc>
          <w:tcPr>
            <w:tcW w:w="5670" w:type="dxa"/>
            <w:tcBorders>
              <w:bottom w:val="nil"/>
            </w:tcBorders>
          </w:tcPr>
          <w:p w14:paraId="219AFD38" w14:textId="77777777" w:rsidR="00893C7D" w:rsidRPr="00A6443F" w:rsidRDefault="00893C7D" w:rsidP="00893C7D">
            <w:pPr>
              <w:spacing w:before="40" w:after="40"/>
              <w:jc w:val="left"/>
              <w:rPr>
                <w:sz w:val="18"/>
              </w:rPr>
            </w:pPr>
            <w:r>
              <w:rPr>
                <w:i/>
                <w:sz w:val="18"/>
              </w:rPr>
              <w:t>Brassica</w:t>
            </w:r>
            <w:r>
              <w:rPr>
                <w:sz w:val="18"/>
              </w:rPr>
              <w:t xml:space="preserve">, a excepción de </w:t>
            </w:r>
            <w:r>
              <w:rPr>
                <w:i/>
                <w:sz w:val="18"/>
              </w:rPr>
              <w:t>Brassica oleracea</w:t>
            </w:r>
          </w:p>
        </w:tc>
        <w:tc>
          <w:tcPr>
            <w:tcW w:w="2551" w:type="dxa"/>
            <w:tcBorders>
              <w:bottom w:val="nil"/>
            </w:tcBorders>
          </w:tcPr>
          <w:p w14:paraId="51F1190F" w14:textId="77777777" w:rsidR="00893C7D" w:rsidRPr="00A6443F" w:rsidRDefault="00893C7D" w:rsidP="00893C7D">
            <w:pPr>
              <w:spacing w:before="40" w:after="40"/>
              <w:jc w:val="left"/>
              <w:rPr>
                <w:sz w:val="18"/>
              </w:rPr>
            </w:pPr>
            <w:r>
              <w:rPr>
                <w:sz w:val="18"/>
              </w:rPr>
              <w:t>distintos de BRASS_OLE</w:t>
            </w:r>
          </w:p>
        </w:tc>
      </w:tr>
      <w:tr w:rsidR="00893C7D" w:rsidRPr="00A6443F" w14:paraId="5263538D" w14:textId="77777777" w:rsidTr="00893C7D">
        <w:trPr>
          <w:cantSplit/>
        </w:trPr>
        <w:tc>
          <w:tcPr>
            <w:tcW w:w="1418" w:type="dxa"/>
            <w:tcBorders>
              <w:left w:val="nil"/>
              <w:right w:val="nil"/>
            </w:tcBorders>
          </w:tcPr>
          <w:p w14:paraId="2A520B5A" w14:textId="77777777" w:rsidR="00893C7D" w:rsidRPr="00A6443F" w:rsidRDefault="00893C7D" w:rsidP="00893C7D">
            <w:pPr>
              <w:jc w:val="left"/>
              <w:rPr>
                <w:sz w:val="18"/>
              </w:rPr>
            </w:pPr>
          </w:p>
        </w:tc>
        <w:tc>
          <w:tcPr>
            <w:tcW w:w="5670" w:type="dxa"/>
            <w:tcBorders>
              <w:left w:val="nil"/>
              <w:right w:val="nil"/>
            </w:tcBorders>
          </w:tcPr>
          <w:p w14:paraId="288A395D" w14:textId="77777777" w:rsidR="00893C7D" w:rsidRPr="00A6443F" w:rsidRDefault="00893C7D" w:rsidP="00893C7D">
            <w:pPr>
              <w:jc w:val="left"/>
              <w:rPr>
                <w:sz w:val="18"/>
              </w:rPr>
            </w:pPr>
          </w:p>
        </w:tc>
        <w:tc>
          <w:tcPr>
            <w:tcW w:w="2551" w:type="dxa"/>
            <w:tcBorders>
              <w:left w:val="nil"/>
              <w:right w:val="nil"/>
            </w:tcBorders>
          </w:tcPr>
          <w:p w14:paraId="59C76B11" w14:textId="77777777" w:rsidR="00893C7D" w:rsidRPr="00A6443F" w:rsidRDefault="00893C7D" w:rsidP="00893C7D">
            <w:pPr>
              <w:jc w:val="left"/>
              <w:rPr>
                <w:sz w:val="18"/>
              </w:rPr>
            </w:pPr>
          </w:p>
        </w:tc>
      </w:tr>
      <w:tr w:rsidR="00893C7D" w:rsidRPr="00921D38" w14:paraId="5C8778B2" w14:textId="77777777" w:rsidTr="00893C7D">
        <w:trPr>
          <w:cantSplit/>
        </w:trPr>
        <w:tc>
          <w:tcPr>
            <w:tcW w:w="1418" w:type="dxa"/>
          </w:tcPr>
          <w:p w14:paraId="47892309" w14:textId="77777777" w:rsidR="00893C7D" w:rsidRPr="00A6443F" w:rsidRDefault="00893C7D" w:rsidP="00893C7D">
            <w:pPr>
              <w:spacing w:before="40" w:after="40"/>
              <w:jc w:val="left"/>
              <w:rPr>
                <w:sz w:val="18"/>
              </w:rPr>
            </w:pPr>
            <w:r>
              <w:rPr>
                <w:sz w:val="18"/>
              </w:rPr>
              <w:t>Clase 2.1</w:t>
            </w:r>
          </w:p>
        </w:tc>
        <w:tc>
          <w:tcPr>
            <w:tcW w:w="5670" w:type="dxa"/>
          </w:tcPr>
          <w:p w14:paraId="7311EFCD" w14:textId="77777777" w:rsidR="00893C7D" w:rsidRPr="005D4199" w:rsidRDefault="00893C7D" w:rsidP="00893C7D">
            <w:pPr>
              <w:spacing w:before="40" w:after="40"/>
              <w:jc w:val="left"/>
              <w:rPr>
                <w:sz w:val="18"/>
              </w:rPr>
            </w:pPr>
            <w:r>
              <w:rPr>
                <w:i/>
                <w:sz w:val="18"/>
              </w:rPr>
              <w:t xml:space="preserve">Beta vulgaris L. </w:t>
            </w:r>
            <w:r>
              <w:rPr>
                <w:sz w:val="18"/>
              </w:rPr>
              <w:t>var.</w:t>
            </w:r>
            <w:r>
              <w:rPr>
                <w:i/>
                <w:sz w:val="18"/>
              </w:rPr>
              <w:t xml:space="preserve"> alba </w:t>
            </w:r>
            <w:r>
              <w:rPr>
                <w:sz w:val="18"/>
              </w:rPr>
              <w:t>DC.</w:t>
            </w:r>
            <w:r>
              <w:rPr>
                <w:i/>
                <w:sz w:val="18"/>
              </w:rPr>
              <w:t xml:space="preserve">, </w:t>
            </w:r>
            <w:r>
              <w:rPr>
                <w:sz w:val="18"/>
              </w:rPr>
              <w:br/>
            </w:r>
            <w:r>
              <w:rPr>
                <w:i/>
                <w:sz w:val="18"/>
              </w:rPr>
              <w:t xml:space="preserve">Beta vulgaris L. </w:t>
            </w:r>
            <w:r>
              <w:rPr>
                <w:sz w:val="18"/>
              </w:rPr>
              <w:t>var.</w:t>
            </w:r>
            <w:r>
              <w:rPr>
                <w:i/>
                <w:sz w:val="18"/>
              </w:rPr>
              <w:t xml:space="preserve"> altissima</w:t>
            </w:r>
          </w:p>
        </w:tc>
        <w:tc>
          <w:tcPr>
            <w:tcW w:w="2551" w:type="dxa"/>
          </w:tcPr>
          <w:p w14:paraId="12297C05" w14:textId="77777777" w:rsidR="00893C7D" w:rsidRPr="00A6443F" w:rsidRDefault="00893C7D" w:rsidP="00893C7D">
            <w:pPr>
              <w:spacing w:before="40" w:after="40"/>
              <w:jc w:val="left"/>
              <w:rPr>
                <w:sz w:val="18"/>
              </w:rPr>
            </w:pPr>
            <w:r>
              <w:rPr>
                <w:sz w:val="18"/>
              </w:rPr>
              <w:t>BETAA_VUL_GVA; BETAA_VUL_GVS</w:t>
            </w:r>
          </w:p>
        </w:tc>
      </w:tr>
      <w:tr w:rsidR="00893C7D" w:rsidRPr="00921D38" w14:paraId="7EC05F74" w14:textId="77777777" w:rsidTr="00893C7D">
        <w:trPr>
          <w:cantSplit/>
        </w:trPr>
        <w:tc>
          <w:tcPr>
            <w:tcW w:w="1418" w:type="dxa"/>
          </w:tcPr>
          <w:p w14:paraId="542E3D4C" w14:textId="77777777" w:rsidR="00893C7D" w:rsidRPr="00A6443F" w:rsidRDefault="00893C7D" w:rsidP="00893C7D">
            <w:pPr>
              <w:spacing w:before="40" w:after="40"/>
              <w:jc w:val="left"/>
              <w:rPr>
                <w:sz w:val="18"/>
              </w:rPr>
            </w:pPr>
            <w:r>
              <w:rPr>
                <w:sz w:val="18"/>
              </w:rPr>
              <w:t>Clase 2.2</w:t>
            </w:r>
          </w:p>
        </w:tc>
        <w:tc>
          <w:tcPr>
            <w:tcW w:w="5670" w:type="dxa"/>
          </w:tcPr>
          <w:p w14:paraId="0CF27763" w14:textId="06767E54" w:rsidR="00893C7D" w:rsidRPr="005D4199" w:rsidRDefault="00893C7D" w:rsidP="00893C7D">
            <w:pPr>
              <w:spacing w:before="40" w:after="40"/>
              <w:jc w:val="left"/>
              <w:rPr>
                <w:sz w:val="18"/>
              </w:rPr>
            </w:pPr>
            <w:r>
              <w:rPr>
                <w:i/>
                <w:sz w:val="18"/>
              </w:rPr>
              <w:t>Beta vulgaris</w:t>
            </w:r>
            <w:r>
              <w:rPr>
                <w:sz w:val="18"/>
              </w:rPr>
              <w:t xml:space="preserve"> ssp. </w:t>
            </w:r>
            <w:r>
              <w:rPr>
                <w:i/>
                <w:sz w:val="18"/>
              </w:rPr>
              <w:t>vulgaris</w:t>
            </w:r>
            <w:r>
              <w:rPr>
                <w:sz w:val="18"/>
              </w:rPr>
              <w:t xml:space="preserve"> var. </w:t>
            </w:r>
            <w:r>
              <w:rPr>
                <w:i/>
                <w:sz w:val="18"/>
              </w:rPr>
              <w:t>conditiva</w:t>
            </w:r>
            <w:r>
              <w:rPr>
                <w:sz w:val="18"/>
              </w:rPr>
              <w:t xml:space="preserve"> Alef. (sin.:</w:t>
            </w:r>
            <w:r w:rsidR="0039613E">
              <w:rPr>
                <w:sz w:val="18"/>
              </w:rPr>
              <w:t xml:space="preserve"> </w:t>
            </w:r>
            <w:r>
              <w:rPr>
                <w:i/>
                <w:sz w:val="18"/>
              </w:rPr>
              <w:t>B. vulgaris</w:t>
            </w:r>
            <w:r>
              <w:rPr>
                <w:sz w:val="18"/>
              </w:rPr>
              <w:t xml:space="preserve"> L. var. </w:t>
            </w:r>
            <w:r>
              <w:rPr>
                <w:i/>
                <w:sz w:val="18"/>
              </w:rPr>
              <w:t>rubra</w:t>
            </w:r>
            <w:r>
              <w:rPr>
                <w:sz w:val="18"/>
              </w:rPr>
              <w:t xml:space="preserve"> L.), </w:t>
            </w:r>
            <w:r>
              <w:rPr>
                <w:i/>
                <w:sz w:val="18"/>
              </w:rPr>
              <w:t>B. vulgaris</w:t>
            </w:r>
            <w:r>
              <w:rPr>
                <w:sz w:val="18"/>
              </w:rPr>
              <w:t xml:space="preserve"> L. var. </w:t>
            </w:r>
            <w:r>
              <w:rPr>
                <w:i/>
                <w:sz w:val="18"/>
              </w:rPr>
              <w:t>cicla</w:t>
            </w:r>
            <w:r>
              <w:rPr>
                <w:sz w:val="18"/>
              </w:rPr>
              <w:t xml:space="preserve"> L., </w:t>
            </w:r>
            <w:r>
              <w:rPr>
                <w:i/>
                <w:sz w:val="18"/>
              </w:rPr>
              <w:t>B. vulgaris</w:t>
            </w:r>
            <w:r>
              <w:rPr>
                <w:sz w:val="18"/>
              </w:rPr>
              <w:t xml:space="preserve"> L. ssp. </w:t>
            </w:r>
            <w:r>
              <w:rPr>
                <w:i/>
                <w:sz w:val="18"/>
              </w:rPr>
              <w:t>vulgaris</w:t>
            </w:r>
            <w:r>
              <w:rPr>
                <w:sz w:val="18"/>
              </w:rPr>
              <w:t xml:space="preserve"> var. </w:t>
            </w:r>
            <w:r>
              <w:rPr>
                <w:i/>
                <w:sz w:val="18"/>
              </w:rPr>
              <w:t>vulgaris</w:t>
            </w:r>
          </w:p>
        </w:tc>
        <w:tc>
          <w:tcPr>
            <w:tcW w:w="2551" w:type="dxa"/>
          </w:tcPr>
          <w:p w14:paraId="4CDABE39" w14:textId="77777777" w:rsidR="00893C7D" w:rsidRPr="00A6443F" w:rsidRDefault="00893C7D" w:rsidP="00893C7D">
            <w:pPr>
              <w:spacing w:before="40" w:after="40"/>
              <w:jc w:val="left"/>
              <w:rPr>
                <w:sz w:val="18"/>
              </w:rPr>
            </w:pPr>
            <w:r>
              <w:rPr>
                <w:sz w:val="18"/>
              </w:rPr>
              <w:t>BETAA_VUL_GVC; BETAA_VUL_GVF</w:t>
            </w:r>
          </w:p>
        </w:tc>
      </w:tr>
      <w:tr w:rsidR="00893C7D" w:rsidRPr="00A6443F" w14:paraId="4559F02A" w14:textId="77777777" w:rsidTr="00893C7D">
        <w:trPr>
          <w:cantSplit/>
        </w:trPr>
        <w:tc>
          <w:tcPr>
            <w:tcW w:w="1418" w:type="dxa"/>
            <w:tcBorders>
              <w:bottom w:val="nil"/>
            </w:tcBorders>
          </w:tcPr>
          <w:p w14:paraId="351AE1AC" w14:textId="03E2C217" w:rsidR="00893C7D" w:rsidRPr="00A6443F" w:rsidRDefault="00893C7D" w:rsidP="00893C7D">
            <w:pPr>
              <w:spacing w:before="40" w:after="40"/>
              <w:jc w:val="left"/>
              <w:rPr>
                <w:sz w:val="18"/>
              </w:rPr>
            </w:pPr>
            <w:r>
              <w:rPr>
                <w:sz w:val="18"/>
              </w:rPr>
              <w:t>Clase 2</w:t>
            </w:r>
            <w:r w:rsidR="00410EC3">
              <w:rPr>
                <w:sz w:val="18"/>
              </w:rPr>
              <w:t>.</w:t>
            </w:r>
            <w:r>
              <w:rPr>
                <w:sz w:val="18"/>
              </w:rPr>
              <w:t>3</w:t>
            </w:r>
          </w:p>
        </w:tc>
        <w:tc>
          <w:tcPr>
            <w:tcW w:w="5670" w:type="dxa"/>
            <w:tcBorders>
              <w:bottom w:val="nil"/>
            </w:tcBorders>
          </w:tcPr>
          <w:p w14:paraId="63505920" w14:textId="77777777" w:rsidR="00893C7D" w:rsidRPr="00A6443F" w:rsidRDefault="00893C7D" w:rsidP="00893C7D">
            <w:pPr>
              <w:spacing w:before="40" w:after="40"/>
              <w:jc w:val="left"/>
              <w:rPr>
                <w:sz w:val="18"/>
              </w:rPr>
            </w:pPr>
            <w:r>
              <w:rPr>
                <w:i/>
                <w:sz w:val="18"/>
              </w:rPr>
              <w:t>Beta</w:t>
            </w:r>
            <w:r>
              <w:rPr>
                <w:sz w:val="18"/>
              </w:rPr>
              <w:t>, a excepción de las clases 2.1 y 2.2</w:t>
            </w:r>
          </w:p>
        </w:tc>
        <w:tc>
          <w:tcPr>
            <w:tcW w:w="2551" w:type="dxa"/>
            <w:tcBorders>
              <w:bottom w:val="nil"/>
            </w:tcBorders>
          </w:tcPr>
          <w:p w14:paraId="1C781212" w14:textId="77777777" w:rsidR="00893C7D" w:rsidRPr="00A6443F" w:rsidRDefault="00893C7D" w:rsidP="00893C7D">
            <w:pPr>
              <w:spacing w:before="40" w:after="40"/>
              <w:jc w:val="left"/>
              <w:rPr>
                <w:sz w:val="18"/>
              </w:rPr>
            </w:pPr>
            <w:r>
              <w:rPr>
                <w:sz w:val="18"/>
              </w:rPr>
              <w:t>distintos de las clases 2.1 y 2.2</w:t>
            </w:r>
          </w:p>
        </w:tc>
      </w:tr>
      <w:tr w:rsidR="00893C7D" w:rsidRPr="00A6443F" w14:paraId="5E148CB3" w14:textId="77777777" w:rsidTr="00893C7D">
        <w:trPr>
          <w:cantSplit/>
        </w:trPr>
        <w:tc>
          <w:tcPr>
            <w:tcW w:w="1418" w:type="dxa"/>
            <w:tcBorders>
              <w:left w:val="nil"/>
              <w:bottom w:val="nil"/>
              <w:right w:val="nil"/>
            </w:tcBorders>
          </w:tcPr>
          <w:p w14:paraId="265F5ADE" w14:textId="77777777" w:rsidR="00893C7D" w:rsidRPr="00A6443F" w:rsidRDefault="00893C7D" w:rsidP="00893C7D">
            <w:pPr>
              <w:jc w:val="left"/>
              <w:rPr>
                <w:sz w:val="18"/>
              </w:rPr>
            </w:pPr>
          </w:p>
        </w:tc>
        <w:tc>
          <w:tcPr>
            <w:tcW w:w="5670" w:type="dxa"/>
            <w:tcBorders>
              <w:left w:val="nil"/>
              <w:bottom w:val="nil"/>
              <w:right w:val="nil"/>
            </w:tcBorders>
          </w:tcPr>
          <w:p w14:paraId="332DC7CC" w14:textId="77777777" w:rsidR="00893C7D" w:rsidRPr="00A6443F" w:rsidRDefault="00893C7D" w:rsidP="00893C7D">
            <w:pPr>
              <w:jc w:val="left"/>
              <w:rPr>
                <w:sz w:val="18"/>
              </w:rPr>
            </w:pPr>
          </w:p>
        </w:tc>
        <w:tc>
          <w:tcPr>
            <w:tcW w:w="2551" w:type="dxa"/>
            <w:tcBorders>
              <w:left w:val="nil"/>
              <w:bottom w:val="nil"/>
              <w:right w:val="nil"/>
            </w:tcBorders>
          </w:tcPr>
          <w:p w14:paraId="7E56AC15" w14:textId="77777777" w:rsidR="00893C7D" w:rsidRPr="00A6443F" w:rsidRDefault="00893C7D" w:rsidP="00893C7D">
            <w:pPr>
              <w:jc w:val="left"/>
              <w:rPr>
                <w:sz w:val="18"/>
              </w:rPr>
            </w:pPr>
          </w:p>
        </w:tc>
      </w:tr>
      <w:tr w:rsidR="00893C7D" w:rsidRPr="00A6443F" w14:paraId="0F8832BE" w14:textId="77777777" w:rsidTr="00893C7D">
        <w:trPr>
          <w:cantSplit/>
        </w:trPr>
        <w:tc>
          <w:tcPr>
            <w:tcW w:w="1418" w:type="dxa"/>
            <w:tcBorders>
              <w:top w:val="single" w:sz="4" w:space="0" w:color="auto"/>
            </w:tcBorders>
          </w:tcPr>
          <w:p w14:paraId="55669E98" w14:textId="77777777" w:rsidR="00893C7D" w:rsidRPr="00A6443F" w:rsidRDefault="00893C7D" w:rsidP="00893C7D">
            <w:pPr>
              <w:spacing w:before="40" w:after="40"/>
              <w:jc w:val="left"/>
              <w:rPr>
                <w:sz w:val="18"/>
              </w:rPr>
            </w:pPr>
            <w:r>
              <w:rPr>
                <w:sz w:val="18"/>
              </w:rPr>
              <w:t>Clase 3.1</w:t>
            </w:r>
          </w:p>
        </w:tc>
        <w:tc>
          <w:tcPr>
            <w:tcW w:w="5670" w:type="dxa"/>
            <w:tcBorders>
              <w:top w:val="single" w:sz="4" w:space="0" w:color="auto"/>
            </w:tcBorders>
          </w:tcPr>
          <w:p w14:paraId="5CDF18D0" w14:textId="77777777" w:rsidR="00893C7D" w:rsidRPr="00A6443F" w:rsidRDefault="00893C7D" w:rsidP="00893C7D">
            <w:pPr>
              <w:spacing w:before="40" w:after="40"/>
              <w:jc w:val="left"/>
              <w:rPr>
                <w:sz w:val="18"/>
              </w:rPr>
            </w:pPr>
            <w:r>
              <w:rPr>
                <w:i/>
                <w:sz w:val="18"/>
              </w:rPr>
              <w:t>Cucumis sativus</w:t>
            </w:r>
          </w:p>
        </w:tc>
        <w:tc>
          <w:tcPr>
            <w:tcW w:w="2551" w:type="dxa"/>
            <w:tcBorders>
              <w:top w:val="single" w:sz="4" w:space="0" w:color="auto"/>
            </w:tcBorders>
          </w:tcPr>
          <w:p w14:paraId="75C7DD78" w14:textId="77777777" w:rsidR="00893C7D" w:rsidRPr="00A6443F" w:rsidRDefault="00893C7D" w:rsidP="00893C7D">
            <w:pPr>
              <w:spacing w:before="40" w:after="40"/>
              <w:jc w:val="left"/>
              <w:rPr>
                <w:sz w:val="18"/>
              </w:rPr>
            </w:pPr>
            <w:r>
              <w:rPr>
                <w:sz w:val="18"/>
              </w:rPr>
              <w:t>CUCUM_SAT</w:t>
            </w:r>
          </w:p>
        </w:tc>
      </w:tr>
      <w:tr w:rsidR="00893C7D" w:rsidRPr="00A6443F" w14:paraId="0AF62D78" w14:textId="77777777" w:rsidTr="00893C7D">
        <w:trPr>
          <w:cantSplit/>
        </w:trPr>
        <w:tc>
          <w:tcPr>
            <w:tcW w:w="1418" w:type="dxa"/>
          </w:tcPr>
          <w:p w14:paraId="770F5718" w14:textId="77777777" w:rsidR="00893C7D" w:rsidRPr="00A6443F" w:rsidRDefault="00893C7D" w:rsidP="00893C7D">
            <w:pPr>
              <w:spacing w:before="40" w:after="40"/>
              <w:jc w:val="left"/>
              <w:rPr>
                <w:sz w:val="18"/>
              </w:rPr>
            </w:pPr>
            <w:r>
              <w:rPr>
                <w:sz w:val="18"/>
              </w:rPr>
              <w:t>Clase 3.2</w:t>
            </w:r>
          </w:p>
        </w:tc>
        <w:tc>
          <w:tcPr>
            <w:tcW w:w="5670" w:type="dxa"/>
          </w:tcPr>
          <w:p w14:paraId="228D3D24" w14:textId="77777777" w:rsidR="00893C7D" w:rsidRPr="00A6443F" w:rsidRDefault="00893C7D" w:rsidP="00893C7D">
            <w:pPr>
              <w:spacing w:before="40" w:after="40"/>
              <w:jc w:val="left"/>
              <w:rPr>
                <w:sz w:val="18"/>
              </w:rPr>
            </w:pPr>
            <w:r>
              <w:rPr>
                <w:i/>
                <w:sz w:val="18"/>
              </w:rPr>
              <w:t>Cucumis melo</w:t>
            </w:r>
          </w:p>
        </w:tc>
        <w:tc>
          <w:tcPr>
            <w:tcW w:w="2551" w:type="dxa"/>
          </w:tcPr>
          <w:p w14:paraId="1F6F46A7" w14:textId="77777777" w:rsidR="00893C7D" w:rsidRPr="00A6443F" w:rsidRDefault="00893C7D" w:rsidP="00893C7D">
            <w:pPr>
              <w:spacing w:before="40" w:after="40"/>
              <w:jc w:val="left"/>
              <w:rPr>
                <w:sz w:val="18"/>
              </w:rPr>
            </w:pPr>
            <w:r>
              <w:rPr>
                <w:sz w:val="18"/>
              </w:rPr>
              <w:t>CUCUM_MEL</w:t>
            </w:r>
          </w:p>
        </w:tc>
      </w:tr>
      <w:tr w:rsidR="00893C7D" w:rsidRPr="00A6443F" w14:paraId="032DB32F" w14:textId="77777777" w:rsidTr="00893C7D">
        <w:trPr>
          <w:cantSplit/>
        </w:trPr>
        <w:tc>
          <w:tcPr>
            <w:tcW w:w="1418" w:type="dxa"/>
          </w:tcPr>
          <w:p w14:paraId="213AFBEF" w14:textId="77777777" w:rsidR="00893C7D" w:rsidRPr="00A6443F" w:rsidRDefault="00893C7D" w:rsidP="00893C7D">
            <w:pPr>
              <w:spacing w:before="40" w:after="40"/>
              <w:jc w:val="left"/>
              <w:rPr>
                <w:sz w:val="18"/>
              </w:rPr>
            </w:pPr>
            <w:r>
              <w:rPr>
                <w:sz w:val="18"/>
              </w:rPr>
              <w:t>Clase 3.3</w:t>
            </w:r>
          </w:p>
        </w:tc>
        <w:tc>
          <w:tcPr>
            <w:tcW w:w="5670" w:type="dxa"/>
          </w:tcPr>
          <w:p w14:paraId="6EDFC129" w14:textId="77777777" w:rsidR="00893C7D" w:rsidRPr="00A6443F" w:rsidRDefault="00893C7D" w:rsidP="00893C7D">
            <w:pPr>
              <w:spacing w:before="40" w:after="40"/>
              <w:jc w:val="left"/>
              <w:rPr>
                <w:sz w:val="18"/>
              </w:rPr>
            </w:pPr>
            <w:r>
              <w:rPr>
                <w:i/>
                <w:sz w:val="18"/>
              </w:rPr>
              <w:t>Cucumis</w:t>
            </w:r>
            <w:r>
              <w:rPr>
                <w:sz w:val="18"/>
              </w:rPr>
              <w:t>, a excepción de las clases 3.1 y 3.2</w:t>
            </w:r>
          </w:p>
        </w:tc>
        <w:tc>
          <w:tcPr>
            <w:tcW w:w="2551" w:type="dxa"/>
          </w:tcPr>
          <w:p w14:paraId="19022AB9" w14:textId="77777777" w:rsidR="00893C7D" w:rsidRPr="00A6443F" w:rsidRDefault="00893C7D" w:rsidP="00893C7D">
            <w:pPr>
              <w:spacing w:before="40" w:after="40"/>
              <w:jc w:val="left"/>
              <w:rPr>
                <w:sz w:val="18"/>
              </w:rPr>
            </w:pPr>
            <w:r>
              <w:rPr>
                <w:sz w:val="18"/>
              </w:rPr>
              <w:t>distintos de las clases 3.1 y 3.2</w:t>
            </w:r>
          </w:p>
        </w:tc>
      </w:tr>
      <w:tr w:rsidR="00893C7D" w:rsidRPr="00A6443F" w14:paraId="406CEB08" w14:textId="77777777" w:rsidTr="00893C7D">
        <w:trPr>
          <w:cantSplit/>
        </w:trPr>
        <w:tc>
          <w:tcPr>
            <w:tcW w:w="1418" w:type="dxa"/>
            <w:tcBorders>
              <w:left w:val="nil"/>
              <w:bottom w:val="nil"/>
              <w:right w:val="nil"/>
            </w:tcBorders>
          </w:tcPr>
          <w:p w14:paraId="0B3FB97D" w14:textId="77777777" w:rsidR="00893C7D" w:rsidRPr="00A6443F" w:rsidRDefault="00893C7D" w:rsidP="00893C7D">
            <w:pPr>
              <w:jc w:val="left"/>
              <w:rPr>
                <w:sz w:val="18"/>
              </w:rPr>
            </w:pPr>
          </w:p>
        </w:tc>
        <w:tc>
          <w:tcPr>
            <w:tcW w:w="5670" w:type="dxa"/>
            <w:tcBorders>
              <w:left w:val="nil"/>
              <w:bottom w:val="nil"/>
              <w:right w:val="nil"/>
            </w:tcBorders>
          </w:tcPr>
          <w:p w14:paraId="26BBB8B8" w14:textId="77777777" w:rsidR="00893C7D" w:rsidRPr="00A6443F" w:rsidRDefault="00893C7D" w:rsidP="00893C7D">
            <w:pPr>
              <w:jc w:val="left"/>
              <w:rPr>
                <w:sz w:val="18"/>
              </w:rPr>
            </w:pPr>
          </w:p>
        </w:tc>
        <w:tc>
          <w:tcPr>
            <w:tcW w:w="2551" w:type="dxa"/>
            <w:tcBorders>
              <w:left w:val="nil"/>
              <w:bottom w:val="nil"/>
              <w:right w:val="nil"/>
            </w:tcBorders>
          </w:tcPr>
          <w:p w14:paraId="0AAA402E" w14:textId="77777777" w:rsidR="00893C7D" w:rsidRPr="00A6443F" w:rsidRDefault="00893C7D" w:rsidP="00893C7D">
            <w:pPr>
              <w:jc w:val="left"/>
              <w:rPr>
                <w:sz w:val="18"/>
              </w:rPr>
            </w:pPr>
          </w:p>
        </w:tc>
      </w:tr>
      <w:tr w:rsidR="00893C7D" w:rsidRPr="00A6443F" w14:paraId="6E0C7E3D" w14:textId="77777777" w:rsidTr="00893C7D">
        <w:trPr>
          <w:cantSplit/>
        </w:trPr>
        <w:tc>
          <w:tcPr>
            <w:tcW w:w="1418" w:type="dxa"/>
            <w:tcBorders>
              <w:top w:val="single" w:sz="4" w:space="0" w:color="auto"/>
              <w:left w:val="single" w:sz="4" w:space="0" w:color="auto"/>
              <w:bottom w:val="single" w:sz="4" w:space="0" w:color="auto"/>
            </w:tcBorders>
          </w:tcPr>
          <w:p w14:paraId="2D816A96" w14:textId="77777777" w:rsidR="00893C7D" w:rsidRPr="00A6443F" w:rsidRDefault="00893C7D" w:rsidP="00893C7D">
            <w:pPr>
              <w:keepNext/>
              <w:spacing w:before="40" w:after="40"/>
              <w:rPr>
                <w:color w:val="000000"/>
                <w:sz w:val="18"/>
              </w:rPr>
            </w:pPr>
            <w:r>
              <w:rPr>
                <w:color w:val="000000"/>
                <w:sz w:val="18"/>
              </w:rPr>
              <w:t>Clase 4.1</w:t>
            </w:r>
          </w:p>
        </w:tc>
        <w:tc>
          <w:tcPr>
            <w:tcW w:w="5670" w:type="dxa"/>
            <w:tcBorders>
              <w:top w:val="single" w:sz="4" w:space="0" w:color="auto"/>
              <w:bottom w:val="single" w:sz="4" w:space="0" w:color="auto"/>
            </w:tcBorders>
          </w:tcPr>
          <w:p w14:paraId="58E2C206" w14:textId="77777777" w:rsidR="00893C7D" w:rsidRPr="00A6443F" w:rsidRDefault="00893C7D" w:rsidP="00893C7D">
            <w:pPr>
              <w:keepNext/>
              <w:spacing w:before="40" w:after="40"/>
              <w:rPr>
                <w:color w:val="000000"/>
                <w:sz w:val="18"/>
              </w:rPr>
            </w:pPr>
            <w:r>
              <w:rPr>
                <w:i/>
                <w:color w:val="000000"/>
                <w:sz w:val="18"/>
              </w:rPr>
              <w:t>Solanum tuberosum</w:t>
            </w:r>
            <w:r>
              <w:rPr>
                <w:color w:val="000000"/>
                <w:sz w:val="18"/>
              </w:rPr>
              <w:t xml:space="preserve"> L.</w:t>
            </w:r>
          </w:p>
        </w:tc>
        <w:tc>
          <w:tcPr>
            <w:tcW w:w="2551" w:type="dxa"/>
            <w:tcBorders>
              <w:top w:val="single" w:sz="4" w:space="0" w:color="auto"/>
              <w:bottom w:val="single" w:sz="4" w:space="0" w:color="auto"/>
            </w:tcBorders>
          </w:tcPr>
          <w:p w14:paraId="0E3A4F9A" w14:textId="77777777" w:rsidR="00893C7D" w:rsidRPr="00A6443F" w:rsidRDefault="00893C7D" w:rsidP="00893C7D">
            <w:pPr>
              <w:keepNext/>
              <w:spacing w:before="40" w:after="40"/>
              <w:rPr>
                <w:color w:val="000000"/>
                <w:sz w:val="18"/>
              </w:rPr>
            </w:pPr>
            <w:r>
              <w:rPr>
                <w:color w:val="000000"/>
                <w:sz w:val="18"/>
              </w:rPr>
              <w:t>SOLAN_TUB</w:t>
            </w:r>
          </w:p>
        </w:tc>
      </w:tr>
      <w:tr w:rsidR="00893C7D" w:rsidRPr="00A6443F" w14:paraId="6199E673" w14:textId="77777777" w:rsidTr="00893C7D">
        <w:trPr>
          <w:cantSplit/>
        </w:trPr>
        <w:tc>
          <w:tcPr>
            <w:tcW w:w="1418" w:type="dxa"/>
            <w:tcBorders>
              <w:top w:val="single" w:sz="4" w:space="0" w:color="auto"/>
              <w:left w:val="single" w:sz="4" w:space="0" w:color="auto"/>
              <w:bottom w:val="dotted" w:sz="4" w:space="0" w:color="auto"/>
              <w:right w:val="single" w:sz="4" w:space="0" w:color="auto"/>
            </w:tcBorders>
          </w:tcPr>
          <w:p w14:paraId="7053EC4F" w14:textId="77777777" w:rsidR="00893C7D" w:rsidRPr="00A6443F" w:rsidRDefault="00893C7D" w:rsidP="00893C7D">
            <w:pPr>
              <w:keepNext/>
              <w:spacing w:before="40" w:after="40"/>
              <w:rPr>
                <w:color w:val="000000"/>
                <w:sz w:val="18"/>
              </w:rPr>
            </w:pPr>
            <w:r>
              <w:rPr>
                <w:color w:val="000000"/>
                <w:sz w:val="18"/>
              </w:rPr>
              <w:t>Clase 4.2</w:t>
            </w:r>
          </w:p>
        </w:tc>
        <w:tc>
          <w:tcPr>
            <w:tcW w:w="5670" w:type="dxa"/>
            <w:tcBorders>
              <w:top w:val="single" w:sz="4" w:space="0" w:color="auto"/>
              <w:left w:val="single" w:sz="4" w:space="0" w:color="auto"/>
              <w:bottom w:val="dotted" w:sz="4" w:space="0" w:color="auto"/>
              <w:right w:val="single" w:sz="4" w:space="0" w:color="auto"/>
            </w:tcBorders>
          </w:tcPr>
          <w:p w14:paraId="5E9D802B" w14:textId="77777777" w:rsidR="00893C7D" w:rsidRPr="00A6443F" w:rsidRDefault="00893C7D" w:rsidP="00893C7D">
            <w:pPr>
              <w:keepNext/>
              <w:spacing w:before="40" w:after="40"/>
              <w:ind w:left="227" w:hanging="227"/>
              <w:jc w:val="left"/>
              <w:rPr>
                <w:iCs/>
                <w:color w:val="000000"/>
                <w:sz w:val="18"/>
              </w:rPr>
            </w:pPr>
            <w:r>
              <w:rPr>
                <w:color w:val="000000"/>
                <w:sz w:val="18"/>
              </w:rPr>
              <w:t>Tomate y portainjertos de tomate</w:t>
            </w:r>
          </w:p>
        </w:tc>
        <w:tc>
          <w:tcPr>
            <w:tcW w:w="2551" w:type="dxa"/>
            <w:tcBorders>
              <w:top w:val="single" w:sz="4" w:space="0" w:color="auto"/>
              <w:left w:val="single" w:sz="4" w:space="0" w:color="auto"/>
              <w:bottom w:val="dotted" w:sz="4" w:space="0" w:color="auto"/>
              <w:right w:val="single" w:sz="4" w:space="0" w:color="auto"/>
            </w:tcBorders>
          </w:tcPr>
          <w:p w14:paraId="5B4AD9FF" w14:textId="77777777" w:rsidR="00893C7D" w:rsidRPr="00A6443F" w:rsidRDefault="00893C7D" w:rsidP="00893C7D">
            <w:pPr>
              <w:keepNext/>
              <w:spacing w:before="40" w:after="40"/>
              <w:rPr>
                <w:color w:val="000000"/>
                <w:sz w:val="18"/>
              </w:rPr>
            </w:pPr>
          </w:p>
        </w:tc>
      </w:tr>
      <w:tr w:rsidR="00893C7D" w:rsidRPr="00A6443F" w14:paraId="6CB7AD18"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682AA94F" w14:textId="77777777"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47AE2C3E" w14:textId="77777777" w:rsidR="00893C7D" w:rsidRPr="00A6443F" w:rsidRDefault="00893C7D" w:rsidP="00893C7D">
            <w:pPr>
              <w:keepNext/>
              <w:spacing w:before="40" w:after="40"/>
              <w:ind w:left="340" w:hanging="170"/>
              <w:jc w:val="left"/>
              <w:rPr>
                <w:iCs/>
                <w:color w:val="000000"/>
                <w:sz w:val="18"/>
              </w:rPr>
            </w:pPr>
            <w:r>
              <w:rPr>
                <w:i/>
                <w:color w:val="000000"/>
                <w:sz w:val="18"/>
              </w:rPr>
              <w:t>Solanum lycopersicum</w:t>
            </w:r>
            <w:r>
              <w:rPr>
                <w:color w:val="000000"/>
                <w:sz w:val="18"/>
              </w:rPr>
              <w:t xml:space="preserve"> L. </w:t>
            </w:r>
            <w:r>
              <w:rPr>
                <w:iCs/>
                <w:color w:val="000000"/>
                <w:sz w:val="18"/>
              </w:rPr>
              <w:br/>
            </w:r>
            <w:r>
              <w:rPr>
                <w:color w:val="000000"/>
                <w:sz w:val="18"/>
              </w:rPr>
              <w:t xml:space="preserve">(sinónimo: </w:t>
            </w:r>
            <w:r>
              <w:rPr>
                <w:i/>
                <w:color w:val="000000"/>
                <w:sz w:val="18"/>
              </w:rPr>
              <w:t>Lycopersicon esculentum</w:t>
            </w:r>
            <w:r>
              <w:rPr>
                <w:color w:val="000000"/>
                <w:sz w:val="18"/>
              </w:rPr>
              <w:t xml:space="preserve"> Mill.)</w:t>
            </w:r>
          </w:p>
        </w:tc>
        <w:tc>
          <w:tcPr>
            <w:tcW w:w="2551" w:type="dxa"/>
            <w:tcBorders>
              <w:top w:val="dotted" w:sz="4" w:space="0" w:color="auto"/>
              <w:left w:val="single" w:sz="4" w:space="0" w:color="auto"/>
              <w:bottom w:val="dotted" w:sz="4" w:space="0" w:color="auto"/>
              <w:right w:val="single" w:sz="4" w:space="0" w:color="auto"/>
            </w:tcBorders>
          </w:tcPr>
          <w:p w14:paraId="7FE4199E" w14:textId="77777777" w:rsidR="00893C7D" w:rsidRPr="00A6443F" w:rsidRDefault="00893C7D" w:rsidP="00893C7D">
            <w:pPr>
              <w:keepNext/>
              <w:spacing w:before="40" w:after="40"/>
              <w:rPr>
                <w:color w:val="000000"/>
                <w:sz w:val="18"/>
              </w:rPr>
            </w:pPr>
            <w:bookmarkStart w:id="65" w:name="OLE_LINK1"/>
            <w:bookmarkStart w:id="66" w:name="OLE_LINK2"/>
            <w:r>
              <w:rPr>
                <w:color w:val="000000"/>
                <w:sz w:val="18"/>
              </w:rPr>
              <w:t>SOLAN_</w:t>
            </w:r>
            <w:bookmarkEnd w:id="65"/>
            <w:bookmarkEnd w:id="66"/>
            <w:r>
              <w:rPr>
                <w:color w:val="000000"/>
                <w:sz w:val="18"/>
              </w:rPr>
              <w:t>LYC</w:t>
            </w:r>
          </w:p>
        </w:tc>
      </w:tr>
      <w:tr w:rsidR="00893C7D" w:rsidRPr="00A6443F" w14:paraId="61DB1B90"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5D7864BB" w14:textId="77777777"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6EBD533D" w14:textId="77777777" w:rsidR="00893C7D" w:rsidRPr="00B0234D" w:rsidRDefault="00893C7D" w:rsidP="00893C7D">
            <w:pPr>
              <w:keepNext/>
              <w:spacing w:before="40" w:after="40"/>
              <w:ind w:left="340" w:hanging="170"/>
              <w:jc w:val="left"/>
              <w:rPr>
                <w:iCs/>
                <w:color w:val="000000"/>
                <w:sz w:val="18"/>
              </w:rPr>
            </w:pPr>
            <w:r w:rsidRPr="00B0234D">
              <w:rPr>
                <w:i/>
                <w:sz w:val="18"/>
              </w:rPr>
              <w:t>Solanum cheesmaniae</w:t>
            </w:r>
            <w:r w:rsidRPr="00B0234D">
              <w:rPr>
                <w:sz w:val="18"/>
              </w:rPr>
              <w:t xml:space="preserve"> (L. Ridley) Fosberg </w:t>
            </w:r>
            <w:r w:rsidRPr="00B0234D">
              <w:rPr>
                <w:sz w:val="18"/>
              </w:rPr>
              <w:br/>
              <w:t>(</w:t>
            </w:r>
            <w:r w:rsidRPr="00B0234D">
              <w:rPr>
                <w:i/>
                <w:sz w:val="18"/>
              </w:rPr>
              <w:t>Lycopersicon cheesmaniae</w:t>
            </w:r>
            <w:r w:rsidRPr="00B0234D">
              <w:rPr>
                <w:sz w:val="18"/>
              </w:rPr>
              <w:t xml:space="preserve"> L. Riley)</w:t>
            </w:r>
          </w:p>
        </w:tc>
        <w:tc>
          <w:tcPr>
            <w:tcW w:w="2551" w:type="dxa"/>
            <w:tcBorders>
              <w:top w:val="dotted" w:sz="4" w:space="0" w:color="auto"/>
              <w:left w:val="single" w:sz="4" w:space="0" w:color="auto"/>
              <w:bottom w:val="dotted" w:sz="4" w:space="0" w:color="auto"/>
              <w:right w:val="single" w:sz="4" w:space="0" w:color="auto"/>
            </w:tcBorders>
          </w:tcPr>
          <w:p w14:paraId="702F4E48" w14:textId="77777777" w:rsidR="00893C7D" w:rsidRPr="00A6443F" w:rsidRDefault="00893C7D" w:rsidP="00893C7D">
            <w:pPr>
              <w:keepNext/>
              <w:spacing w:before="40" w:after="40"/>
              <w:rPr>
                <w:color w:val="000000"/>
                <w:sz w:val="18"/>
              </w:rPr>
            </w:pPr>
            <w:r>
              <w:rPr>
                <w:color w:val="000000"/>
                <w:sz w:val="18"/>
              </w:rPr>
              <w:t>SOLAN_CHE</w:t>
            </w:r>
          </w:p>
        </w:tc>
      </w:tr>
      <w:tr w:rsidR="00893C7D" w:rsidRPr="00A6443F" w14:paraId="62D53664"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2DBD4372" w14:textId="77777777"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50D147FA" w14:textId="77777777" w:rsidR="00893C7D" w:rsidRPr="00A6443F" w:rsidRDefault="00893C7D" w:rsidP="00893C7D">
            <w:pPr>
              <w:keepNext/>
              <w:spacing w:before="40" w:after="40"/>
              <w:ind w:left="340" w:hanging="170"/>
              <w:jc w:val="left"/>
              <w:rPr>
                <w:iCs/>
                <w:color w:val="000000"/>
                <w:sz w:val="18"/>
              </w:rPr>
            </w:pPr>
            <w:r>
              <w:rPr>
                <w:i/>
                <w:sz w:val="18"/>
              </w:rPr>
              <w:t>Solanum chilense</w:t>
            </w:r>
            <w:r>
              <w:rPr>
                <w:sz w:val="18"/>
              </w:rPr>
              <w:t xml:space="preserve"> (Dunal) Reiche </w:t>
            </w:r>
            <w:r>
              <w:rPr>
                <w:sz w:val="18"/>
              </w:rPr>
              <w:br/>
              <w:t>(</w:t>
            </w:r>
            <w:r>
              <w:rPr>
                <w:i/>
                <w:sz w:val="18"/>
              </w:rPr>
              <w:t>Lycopersicon chilense</w:t>
            </w:r>
            <w:r>
              <w:rPr>
                <w:sz w:val="18"/>
              </w:rPr>
              <w:t xml:space="preserve"> Dunal)</w:t>
            </w:r>
          </w:p>
        </w:tc>
        <w:tc>
          <w:tcPr>
            <w:tcW w:w="2551" w:type="dxa"/>
            <w:tcBorders>
              <w:top w:val="dotted" w:sz="4" w:space="0" w:color="auto"/>
              <w:left w:val="single" w:sz="4" w:space="0" w:color="auto"/>
              <w:bottom w:val="dotted" w:sz="4" w:space="0" w:color="auto"/>
              <w:right w:val="single" w:sz="4" w:space="0" w:color="auto"/>
            </w:tcBorders>
          </w:tcPr>
          <w:p w14:paraId="07C31A50" w14:textId="77777777" w:rsidR="00893C7D" w:rsidRPr="00A6443F" w:rsidRDefault="00893C7D" w:rsidP="00893C7D">
            <w:pPr>
              <w:keepNext/>
              <w:spacing w:before="40" w:after="40"/>
              <w:rPr>
                <w:color w:val="000000"/>
                <w:sz w:val="18"/>
              </w:rPr>
            </w:pPr>
            <w:r>
              <w:rPr>
                <w:color w:val="000000"/>
                <w:sz w:val="18"/>
              </w:rPr>
              <w:t>SOLAN_CHI</w:t>
            </w:r>
          </w:p>
        </w:tc>
      </w:tr>
      <w:tr w:rsidR="00893C7D" w:rsidRPr="00A6443F" w14:paraId="73F9F825"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28949789"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67862A40" w14:textId="77777777" w:rsidR="00893C7D" w:rsidRPr="00A6443F" w:rsidRDefault="00893C7D" w:rsidP="00893C7D">
            <w:pPr>
              <w:spacing w:before="40" w:after="40"/>
              <w:ind w:left="340" w:hanging="170"/>
              <w:jc w:val="left"/>
              <w:rPr>
                <w:iCs/>
                <w:color w:val="000000"/>
                <w:sz w:val="18"/>
              </w:rPr>
            </w:pPr>
            <w:r>
              <w:rPr>
                <w:i/>
                <w:sz w:val="18"/>
              </w:rPr>
              <w:t>Solanum chmielewskii</w:t>
            </w:r>
            <w:r>
              <w:rPr>
                <w:sz w:val="18"/>
              </w:rPr>
              <w:t xml:space="preserve"> (C.M. Rick </w:t>
            </w:r>
            <w:r>
              <w:rPr>
                <w:i/>
                <w:sz w:val="18"/>
              </w:rPr>
              <w:t>et al.</w:t>
            </w:r>
            <w:r>
              <w:rPr>
                <w:sz w:val="18"/>
              </w:rPr>
              <w:t xml:space="preserve">) </w:t>
            </w:r>
            <w:r w:rsidRPr="00B0234D">
              <w:rPr>
                <w:sz w:val="18"/>
                <w:lang w:val="fr-CH"/>
              </w:rPr>
              <w:t xml:space="preserve">D.M. Spooner </w:t>
            </w:r>
            <w:r w:rsidRPr="00B0234D">
              <w:rPr>
                <w:i/>
                <w:sz w:val="18"/>
                <w:lang w:val="fr-CH"/>
              </w:rPr>
              <w:t>et al.</w:t>
            </w:r>
            <w:r w:rsidRPr="00B0234D">
              <w:rPr>
                <w:sz w:val="18"/>
                <w:lang w:val="fr-CH"/>
              </w:rPr>
              <w:t xml:space="preserve"> </w:t>
            </w:r>
            <w:r w:rsidRPr="00B0234D">
              <w:rPr>
                <w:sz w:val="18"/>
                <w:lang w:val="fr-CH"/>
              </w:rPr>
              <w:br/>
            </w:r>
            <w:r>
              <w:rPr>
                <w:sz w:val="18"/>
              </w:rPr>
              <w:t>(</w:t>
            </w:r>
            <w:r>
              <w:rPr>
                <w:i/>
                <w:sz w:val="18"/>
              </w:rPr>
              <w:t>Lycopersicon chmielewskii</w:t>
            </w:r>
            <w:r>
              <w:rPr>
                <w:sz w:val="18"/>
              </w:rPr>
              <w:t xml:space="preserve"> C. M. Rick </w:t>
            </w:r>
            <w:r>
              <w:rPr>
                <w:i/>
                <w:sz w:val="18"/>
              </w:rPr>
              <w:t>et al.</w:t>
            </w:r>
            <w:r>
              <w:rPr>
                <w:sz w:val="18"/>
              </w:rPr>
              <w:t>)</w:t>
            </w:r>
          </w:p>
        </w:tc>
        <w:tc>
          <w:tcPr>
            <w:tcW w:w="2551" w:type="dxa"/>
            <w:tcBorders>
              <w:top w:val="dotted" w:sz="4" w:space="0" w:color="auto"/>
              <w:left w:val="single" w:sz="4" w:space="0" w:color="auto"/>
              <w:bottom w:val="dotted" w:sz="4" w:space="0" w:color="auto"/>
              <w:right w:val="single" w:sz="4" w:space="0" w:color="auto"/>
            </w:tcBorders>
          </w:tcPr>
          <w:p w14:paraId="210FBE08" w14:textId="77777777" w:rsidR="00893C7D" w:rsidRPr="00A6443F" w:rsidRDefault="00893C7D" w:rsidP="00893C7D">
            <w:pPr>
              <w:spacing w:before="40" w:after="40"/>
              <w:rPr>
                <w:color w:val="000000"/>
                <w:sz w:val="18"/>
              </w:rPr>
            </w:pPr>
            <w:r>
              <w:rPr>
                <w:color w:val="000000"/>
                <w:sz w:val="18"/>
              </w:rPr>
              <w:t>SOLAN_CHM</w:t>
            </w:r>
          </w:p>
        </w:tc>
      </w:tr>
      <w:tr w:rsidR="00893C7D" w:rsidRPr="00A6443F" w14:paraId="49A43787"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57B188F8"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50E070BA" w14:textId="77777777" w:rsidR="00893C7D" w:rsidRPr="00A6443F" w:rsidRDefault="00893C7D" w:rsidP="00893C7D">
            <w:pPr>
              <w:spacing w:before="40" w:after="40"/>
              <w:ind w:left="340" w:hanging="170"/>
              <w:jc w:val="left"/>
              <w:rPr>
                <w:sz w:val="18"/>
              </w:rPr>
            </w:pPr>
            <w:r>
              <w:rPr>
                <w:i/>
                <w:sz w:val="18"/>
              </w:rPr>
              <w:t>Solanum galapagense</w:t>
            </w:r>
            <w:r>
              <w:rPr>
                <w:sz w:val="18"/>
              </w:rPr>
              <w:t xml:space="preserve"> S.C. Darwin &amp; Peralta</w:t>
            </w:r>
            <w:r>
              <w:rPr>
                <w:sz w:val="18"/>
              </w:rPr>
              <w:br/>
              <w:t>(</w:t>
            </w:r>
            <w:r>
              <w:rPr>
                <w:i/>
                <w:sz w:val="18"/>
              </w:rPr>
              <w:t>Lycopersicon cheesmaniae</w:t>
            </w:r>
            <w:r>
              <w:rPr>
                <w:sz w:val="18"/>
              </w:rPr>
              <w:t xml:space="preserve"> f. </w:t>
            </w:r>
            <w:r>
              <w:rPr>
                <w:i/>
                <w:sz w:val="18"/>
              </w:rPr>
              <w:t>minor</w:t>
            </w:r>
            <w:r>
              <w:rPr>
                <w:sz w:val="18"/>
              </w:rPr>
              <w:t xml:space="preserve"> (Hook. f.) C. H. Müll.)</w:t>
            </w:r>
            <w:r>
              <w:rPr>
                <w:sz w:val="18"/>
              </w:rPr>
              <w:br/>
              <w:t>(</w:t>
            </w:r>
            <w:r>
              <w:rPr>
                <w:i/>
                <w:sz w:val="18"/>
              </w:rPr>
              <w:t>Lycopersicon cheesmaniae</w:t>
            </w:r>
            <w:r>
              <w:rPr>
                <w:sz w:val="18"/>
              </w:rPr>
              <w:t xml:space="preserve"> var. </w:t>
            </w:r>
            <w:r>
              <w:rPr>
                <w:i/>
                <w:sz w:val="18"/>
              </w:rPr>
              <w:t>minor</w:t>
            </w:r>
            <w:r>
              <w:rPr>
                <w:sz w:val="18"/>
              </w:rPr>
              <w:t xml:space="preserve"> (Hook. f.) D. M. Porter)</w:t>
            </w:r>
          </w:p>
        </w:tc>
        <w:tc>
          <w:tcPr>
            <w:tcW w:w="2551" w:type="dxa"/>
            <w:tcBorders>
              <w:top w:val="dotted" w:sz="4" w:space="0" w:color="auto"/>
              <w:left w:val="single" w:sz="4" w:space="0" w:color="auto"/>
              <w:bottom w:val="dotted" w:sz="4" w:space="0" w:color="auto"/>
              <w:right w:val="single" w:sz="4" w:space="0" w:color="auto"/>
            </w:tcBorders>
          </w:tcPr>
          <w:p w14:paraId="4D517938" w14:textId="77777777" w:rsidR="00893C7D" w:rsidRPr="00A6443F" w:rsidRDefault="00893C7D" w:rsidP="00893C7D">
            <w:pPr>
              <w:spacing w:before="40" w:after="40"/>
              <w:rPr>
                <w:color w:val="000000"/>
                <w:sz w:val="18"/>
              </w:rPr>
            </w:pPr>
            <w:r>
              <w:rPr>
                <w:color w:val="000000"/>
                <w:sz w:val="18"/>
              </w:rPr>
              <w:t>SOLAN_GAL</w:t>
            </w:r>
          </w:p>
        </w:tc>
      </w:tr>
      <w:tr w:rsidR="00893C7D" w:rsidRPr="00A6443F" w14:paraId="35CACC9F"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3BF31C3F"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788F6D6E" w14:textId="77777777" w:rsidR="00893C7D" w:rsidRPr="00A6443F" w:rsidRDefault="00893C7D" w:rsidP="00893C7D">
            <w:pPr>
              <w:spacing w:before="40" w:after="40"/>
              <w:ind w:left="340" w:hanging="170"/>
              <w:jc w:val="left"/>
              <w:rPr>
                <w:sz w:val="18"/>
              </w:rPr>
            </w:pPr>
            <w:r>
              <w:rPr>
                <w:i/>
                <w:sz w:val="18"/>
              </w:rPr>
              <w:t>Solanum habrochaites</w:t>
            </w:r>
            <w:r>
              <w:rPr>
                <w:sz w:val="18"/>
              </w:rPr>
              <w:t xml:space="preserve"> S. Knapp &amp; D.M. Spooner</w:t>
            </w:r>
            <w:r>
              <w:rPr>
                <w:sz w:val="18"/>
              </w:rPr>
              <w:br/>
              <w:t>(</w:t>
            </w:r>
            <w:r>
              <w:rPr>
                <w:i/>
                <w:sz w:val="18"/>
              </w:rPr>
              <w:t>Lycopersicon agrimoniifolium</w:t>
            </w:r>
            <w:r>
              <w:rPr>
                <w:sz w:val="18"/>
              </w:rPr>
              <w:t xml:space="preserve"> Dunal)</w:t>
            </w:r>
            <w:r>
              <w:rPr>
                <w:sz w:val="18"/>
              </w:rPr>
              <w:br/>
              <w:t>(</w:t>
            </w:r>
            <w:r>
              <w:rPr>
                <w:i/>
                <w:sz w:val="18"/>
              </w:rPr>
              <w:t>Lycopersicon hirsutum</w:t>
            </w:r>
            <w:r>
              <w:rPr>
                <w:sz w:val="18"/>
              </w:rPr>
              <w:t xml:space="preserve"> Dunal)</w:t>
            </w:r>
            <w:r>
              <w:rPr>
                <w:sz w:val="18"/>
              </w:rPr>
              <w:br/>
              <w:t>(</w:t>
            </w:r>
            <w:r>
              <w:rPr>
                <w:i/>
                <w:sz w:val="18"/>
              </w:rPr>
              <w:t>Lycopersicon hirsutum</w:t>
            </w:r>
            <w:r>
              <w:rPr>
                <w:sz w:val="18"/>
              </w:rPr>
              <w:t xml:space="preserve"> f. </w:t>
            </w:r>
            <w:r>
              <w:rPr>
                <w:i/>
                <w:sz w:val="18"/>
              </w:rPr>
              <w:t>glabratum</w:t>
            </w:r>
            <w:r>
              <w:rPr>
                <w:sz w:val="18"/>
              </w:rPr>
              <w:t xml:space="preserve"> C. H. Müll.) </w:t>
            </w:r>
          </w:p>
        </w:tc>
        <w:tc>
          <w:tcPr>
            <w:tcW w:w="2551" w:type="dxa"/>
            <w:tcBorders>
              <w:top w:val="dotted" w:sz="4" w:space="0" w:color="auto"/>
              <w:left w:val="single" w:sz="4" w:space="0" w:color="auto"/>
              <w:bottom w:val="dotted" w:sz="4" w:space="0" w:color="auto"/>
              <w:right w:val="single" w:sz="4" w:space="0" w:color="auto"/>
            </w:tcBorders>
          </w:tcPr>
          <w:p w14:paraId="31661F48" w14:textId="77777777" w:rsidR="00893C7D" w:rsidRPr="00A6443F" w:rsidRDefault="00893C7D" w:rsidP="00893C7D">
            <w:pPr>
              <w:spacing w:before="40" w:after="40"/>
              <w:rPr>
                <w:color w:val="000000"/>
                <w:sz w:val="18"/>
              </w:rPr>
            </w:pPr>
            <w:r>
              <w:rPr>
                <w:color w:val="000000"/>
                <w:sz w:val="18"/>
              </w:rPr>
              <w:t>SOLAN_HAB</w:t>
            </w:r>
          </w:p>
        </w:tc>
      </w:tr>
      <w:tr w:rsidR="00893C7D" w:rsidRPr="00A6443F" w14:paraId="58235BFE"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4018C3D5"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111D9494" w14:textId="77777777" w:rsidR="00893C7D" w:rsidRPr="00F25630" w:rsidRDefault="00893C7D" w:rsidP="00893C7D">
            <w:pPr>
              <w:spacing w:before="40" w:after="40"/>
              <w:ind w:left="340" w:hanging="170"/>
              <w:jc w:val="left"/>
              <w:rPr>
                <w:sz w:val="18"/>
                <w:lang w:val="fr-FR"/>
              </w:rPr>
            </w:pPr>
            <w:r w:rsidRPr="00F25630">
              <w:rPr>
                <w:i/>
                <w:sz w:val="18"/>
                <w:lang w:val="fr-FR"/>
              </w:rPr>
              <w:t>Solanum pennellii</w:t>
            </w:r>
            <w:r w:rsidRPr="00F25630">
              <w:rPr>
                <w:sz w:val="18"/>
                <w:lang w:val="fr-FR"/>
              </w:rPr>
              <w:t xml:space="preserve"> Correll</w:t>
            </w:r>
            <w:r w:rsidRPr="00F25630">
              <w:rPr>
                <w:sz w:val="18"/>
                <w:lang w:val="fr-FR"/>
              </w:rPr>
              <w:br/>
              <w:t>(</w:t>
            </w:r>
            <w:r w:rsidRPr="00F25630">
              <w:rPr>
                <w:i/>
                <w:sz w:val="18"/>
                <w:lang w:val="fr-FR"/>
              </w:rPr>
              <w:t>Lycopersicon pennellii</w:t>
            </w:r>
            <w:r w:rsidRPr="00F25630">
              <w:rPr>
                <w:sz w:val="18"/>
                <w:lang w:val="fr-FR"/>
              </w:rPr>
              <w:t xml:space="preserve"> (Correll) D'Arcy)</w:t>
            </w:r>
          </w:p>
        </w:tc>
        <w:tc>
          <w:tcPr>
            <w:tcW w:w="2551" w:type="dxa"/>
            <w:tcBorders>
              <w:top w:val="dotted" w:sz="4" w:space="0" w:color="auto"/>
              <w:left w:val="single" w:sz="4" w:space="0" w:color="auto"/>
              <w:bottom w:val="dotted" w:sz="4" w:space="0" w:color="auto"/>
              <w:right w:val="single" w:sz="4" w:space="0" w:color="auto"/>
            </w:tcBorders>
          </w:tcPr>
          <w:p w14:paraId="36D9AF35" w14:textId="77777777" w:rsidR="00893C7D" w:rsidRPr="00A6443F" w:rsidRDefault="00893C7D" w:rsidP="00893C7D">
            <w:pPr>
              <w:spacing w:before="40" w:after="40"/>
              <w:rPr>
                <w:color w:val="000000"/>
                <w:sz w:val="18"/>
              </w:rPr>
            </w:pPr>
            <w:r>
              <w:rPr>
                <w:color w:val="000000"/>
                <w:sz w:val="18"/>
              </w:rPr>
              <w:t>SOLAN_PEN</w:t>
            </w:r>
          </w:p>
        </w:tc>
      </w:tr>
      <w:tr w:rsidR="00893C7D" w:rsidRPr="00A6443F" w14:paraId="257839F6"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5F8D1403"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424590C7" w14:textId="77777777" w:rsidR="00893C7D" w:rsidRPr="00A6443F" w:rsidRDefault="00893C7D" w:rsidP="00893C7D">
            <w:pPr>
              <w:spacing w:before="40" w:after="40"/>
              <w:ind w:left="340" w:hanging="170"/>
              <w:jc w:val="left"/>
              <w:rPr>
                <w:sz w:val="18"/>
              </w:rPr>
            </w:pPr>
            <w:r>
              <w:rPr>
                <w:i/>
                <w:sz w:val="18"/>
              </w:rPr>
              <w:t>Solanum peruvianum</w:t>
            </w:r>
            <w:r>
              <w:rPr>
                <w:sz w:val="18"/>
              </w:rPr>
              <w:t xml:space="preserve"> L.</w:t>
            </w:r>
            <w:r>
              <w:rPr>
                <w:sz w:val="18"/>
              </w:rPr>
              <w:br/>
              <w:t>(</w:t>
            </w:r>
            <w:r>
              <w:rPr>
                <w:i/>
                <w:sz w:val="18"/>
              </w:rPr>
              <w:t>Lycopersicon dentatum</w:t>
            </w:r>
            <w:r>
              <w:rPr>
                <w:sz w:val="18"/>
              </w:rPr>
              <w:t xml:space="preserve"> Dunal)</w:t>
            </w:r>
            <w:r>
              <w:rPr>
                <w:sz w:val="18"/>
              </w:rPr>
              <w:br/>
              <w:t>(</w:t>
            </w:r>
            <w:r>
              <w:rPr>
                <w:i/>
                <w:sz w:val="18"/>
              </w:rPr>
              <w:t>Lycopersicon peruvianum</w:t>
            </w:r>
            <w:r>
              <w:rPr>
                <w:sz w:val="18"/>
              </w:rPr>
              <w:t xml:space="preserve"> (L.) Mill.)</w:t>
            </w:r>
          </w:p>
        </w:tc>
        <w:tc>
          <w:tcPr>
            <w:tcW w:w="2551" w:type="dxa"/>
            <w:tcBorders>
              <w:top w:val="dotted" w:sz="4" w:space="0" w:color="auto"/>
              <w:left w:val="single" w:sz="4" w:space="0" w:color="auto"/>
              <w:bottom w:val="dotted" w:sz="4" w:space="0" w:color="auto"/>
              <w:right w:val="single" w:sz="4" w:space="0" w:color="auto"/>
            </w:tcBorders>
          </w:tcPr>
          <w:p w14:paraId="01D00C65" w14:textId="77777777" w:rsidR="00893C7D" w:rsidRPr="00A6443F" w:rsidRDefault="00893C7D" w:rsidP="00893C7D">
            <w:pPr>
              <w:spacing w:before="40" w:after="40"/>
              <w:rPr>
                <w:color w:val="000000"/>
                <w:sz w:val="18"/>
              </w:rPr>
            </w:pPr>
            <w:r>
              <w:rPr>
                <w:color w:val="000000"/>
                <w:sz w:val="18"/>
              </w:rPr>
              <w:t>SOLAN_PER</w:t>
            </w:r>
          </w:p>
        </w:tc>
      </w:tr>
      <w:tr w:rsidR="00893C7D" w:rsidRPr="00A6443F" w14:paraId="664D0B9C" w14:textId="77777777" w:rsidTr="00893C7D">
        <w:trPr>
          <w:cantSplit/>
        </w:trPr>
        <w:tc>
          <w:tcPr>
            <w:tcW w:w="1418" w:type="dxa"/>
            <w:tcBorders>
              <w:top w:val="dotted" w:sz="4" w:space="0" w:color="auto"/>
              <w:left w:val="single" w:sz="4" w:space="0" w:color="auto"/>
              <w:bottom w:val="dotted" w:sz="4" w:space="0" w:color="auto"/>
              <w:right w:val="single" w:sz="4" w:space="0" w:color="auto"/>
            </w:tcBorders>
          </w:tcPr>
          <w:p w14:paraId="10545FD9"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14:paraId="0FEDCB45" w14:textId="77777777" w:rsidR="00893C7D" w:rsidRPr="00A6443F" w:rsidRDefault="00893C7D" w:rsidP="00893C7D">
            <w:pPr>
              <w:spacing w:before="40" w:after="40"/>
              <w:ind w:left="340" w:hanging="170"/>
              <w:jc w:val="left"/>
              <w:rPr>
                <w:sz w:val="18"/>
              </w:rPr>
            </w:pPr>
            <w:r>
              <w:rPr>
                <w:i/>
                <w:sz w:val="18"/>
              </w:rPr>
              <w:t>Solanum pimpinellifolium</w:t>
            </w:r>
            <w:r>
              <w:rPr>
                <w:sz w:val="18"/>
              </w:rPr>
              <w:t xml:space="preserve"> L.</w:t>
            </w:r>
            <w:r>
              <w:rPr>
                <w:sz w:val="18"/>
              </w:rPr>
              <w:br/>
              <w:t>(</w:t>
            </w:r>
            <w:r>
              <w:rPr>
                <w:i/>
                <w:sz w:val="18"/>
              </w:rPr>
              <w:t>Lycopersicon pimpinellifolium</w:t>
            </w:r>
            <w:r>
              <w:rPr>
                <w:sz w:val="18"/>
              </w:rPr>
              <w:t xml:space="preserve"> (L.) Mill.)</w:t>
            </w:r>
            <w:r>
              <w:rPr>
                <w:sz w:val="18"/>
              </w:rPr>
              <w:br/>
              <w:t>(</w:t>
            </w:r>
            <w:r>
              <w:rPr>
                <w:i/>
                <w:sz w:val="18"/>
              </w:rPr>
              <w:t>Lycopersicon racemigerum</w:t>
            </w:r>
            <w:r>
              <w:rPr>
                <w:sz w:val="18"/>
              </w:rPr>
              <w:t xml:space="preserve"> Lange)</w:t>
            </w:r>
          </w:p>
        </w:tc>
        <w:tc>
          <w:tcPr>
            <w:tcW w:w="2551" w:type="dxa"/>
            <w:tcBorders>
              <w:top w:val="dotted" w:sz="4" w:space="0" w:color="auto"/>
              <w:left w:val="single" w:sz="4" w:space="0" w:color="auto"/>
              <w:bottom w:val="dotted" w:sz="4" w:space="0" w:color="auto"/>
              <w:right w:val="single" w:sz="4" w:space="0" w:color="auto"/>
            </w:tcBorders>
          </w:tcPr>
          <w:p w14:paraId="309BDBD3" w14:textId="77777777" w:rsidR="00893C7D" w:rsidRPr="00A6443F" w:rsidRDefault="00893C7D" w:rsidP="00893C7D">
            <w:pPr>
              <w:spacing w:before="40" w:after="40"/>
              <w:rPr>
                <w:color w:val="000000"/>
                <w:sz w:val="18"/>
              </w:rPr>
            </w:pPr>
            <w:r>
              <w:rPr>
                <w:color w:val="000000"/>
                <w:sz w:val="18"/>
              </w:rPr>
              <w:t>SOLAN_PIM</w:t>
            </w:r>
          </w:p>
        </w:tc>
      </w:tr>
      <w:tr w:rsidR="00893C7D" w:rsidRPr="00A6443F" w14:paraId="0E8963DD" w14:textId="77777777" w:rsidTr="00893C7D">
        <w:trPr>
          <w:cantSplit/>
        </w:trPr>
        <w:tc>
          <w:tcPr>
            <w:tcW w:w="1418" w:type="dxa"/>
            <w:tcBorders>
              <w:top w:val="dotted" w:sz="4" w:space="0" w:color="auto"/>
              <w:left w:val="single" w:sz="4" w:space="0" w:color="auto"/>
              <w:bottom w:val="single" w:sz="4" w:space="0" w:color="auto"/>
              <w:right w:val="single" w:sz="4" w:space="0" w:color="auto"/>
            </w:tcBorders>
          </w:tcPr>
          <w:p w14:paraId="34C35755" w14:textId="77777777"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single" w:sz="4" w:space="0" w:color="auto"/>
              <w:right w:val="single" w:sz="4" w:space="0" w:color="auto"/>
            </w:tcBorders>
          </w:tcPr>
          <w:p w14:paraId="44FA34CA" w14:textId="77777777" w:rsidR="00893C7D" w:rsidRPr="00A6443F" w:rsidRDefault="00893C7D" w:rsidP="00893C7D">
            <w:pPr>
              <w:spacing w:before="40" w:after="40"/>
              <w:rPr>
                <w:i/>
                <w:color w:val="000000"/>
                <w:sz w:val="18"/>
              </w:rPr>
            </w:pPr>
            <w:r>
              <w:rPr>
                <w:color w:val="000000"/>
                <w:sz w:val="18"/>
              </w:rPr>
              <w:t>y los híbridos entre aquellas especies</w:t>
            </w:r>
          </w:p>
        </w:tc>
        <w:tc>
          <w:tcPr>
            <w:tcW w:w="2551" w:type="dxa"/>
            <w:tcBorders>
              <w:top w:val="dotted" w:sz="4" w:space="0" w:color="auto"/>
              <w:left w:val="single" w:sz="4" w:space="0" w:color="auto"/>
              <w:bottom w:val="single" w:sz="4" w:space="0" w:color="auto"/>
              <w:right w:val="single" w:sz="4" w:space="0" w:color="auto"/>
            </w:tcBorders>
          </w:tcPr>
          <w:p w14:paraId="4DC80C36" w14:textId="77777777" w:rsidR="00893C7D" w:rsidRPr="00A6443F" w:rsidRDefault="00893C7D" w:rsidP="00893C7D">
            <w:pPr>
              <w:spacing w:before="40" w:after="40"/>
              <w:rPr>
                <w:color w:val="000000"/>
                <w:sz w:val="18"/>
              </w:rPr>
            </w:pPr>
          </w:p>
        </w:tc>
      </w:tr>
      <w:tr w:rsidR="00893C7D" w:rsidRPr="00A6443F" w14:paraId="5B92299F" w14:textId="77777777" w:rsidTr="00893C7D">
        <w:trPr>
          <w:cantSplit/>
        </w:trPr>
        <w:tc>
          <w:tcPr>
            <w:tcW w:w="1418" w:type="dxa"/>
            <w:tcBorders>
              <w:top w:val="single" w:sz="4" w:space="0" w:color="auto"/>
              <w:left w:val="single" w:sz="4" w:space="0" w:color="auto"/>
              <w:bottom w:val="single" w:sz="4" w:space="0" w:color="auto"/>
              <w:right w:val="single" w:sz="4" w:space="0" w:color="auto"/>
            </w:tcBorders>
          </w:tcPr>
          <w:p w14:paraId="47C8CC82" w14:textId="77777777" w:rsidR="00893C7D" w:rsidRPr="00A6443F" w:rsidRDefault="00893C7D" w:rsidP="00893C7D">
            <w:pPr>
              <w:spacing w:before="40" w:after="40"/>
              <w:jc w:val="left"/>
              <w:rPr>
                <w:color w:val="000000"/>
                <w:sz w:val="18"/>
              </w:rPr>
            </w:pPr>
            <w:r>
              <w:rPr>
                <w:color w:val="000000"/>
                <w:sz w:val="18"/>
              </w:rPr>
              <w:t>Clase 4.3</w:t>
            </w:r>
          </w:p>
        </w:tc>
        <w:tc>
          <w:tcPr>
            <w:tcW w:w="5670" w:type="dxa"/>
            <w:tcBorders>
              <w:top w:val="single" w:sz="4" w:space="0" w:color="auto"/>
              <w:left w:val="single" w:sz="4" w:space="0" w:color="auto"/>
              <w:bottom w:val="single" w:sz="4" w:space="0" w:color="auto"/>
              <w:right w:val="single" w:sz="4" w:space="0" w:color="auto"/>
            </w:tcBorders>
          </w:tcPr>
          <w:p w14:paraId="7D5A6C0B" w14:textId="77777777" w:rsidR="00893C7D" w:rsidRPr="00A6443F" w:rsidRDefault="00893C7D" w:rsidP="00893C7D">
            <w:pPr>
              <w:spacing w:before="40" w:after="40"/>
              <w:jc w:val="left"/>
              <w:rPr>
                <w:color w:val="000000"/>
                <w:sz w:val="18"/>
              </w:rPr>
            </w:pPr>
            <w:r>
              <w:rPr>
                <w:i/>
                <w:color w:val="000000"/>
                <w:sz w:val="18"/>
              </w:rPr>
              <w:t>Solanum melongena</w:t>
            </w:r>
            <w:r>
              <w:rPr>
                <w:color w:val="000000"/>
                <w:sz w:val="18"/>
              </w:rPr>
              <w:t xml:space="preserve"> L.</w:t>
            </w:r>
          </w:p>
        </w:tc>
        <w:tc>
          <w:tcPr>
            <w:tcW w:w="2551" w:type="dxa"/>
            <w:tcBorders>
              <w:top w:val="single" w:sz="4" w:space="0" w:color="auto"/>
              <w:left w:val="single" w:sz="4" w:space="0" w:color="auto"/>
              <w:bottom w:val="single" w:sz="4" w:space="0" w:color="auto"/>
              <w:right w:val="single" w:sz="4" w:space="0" w:color="auto"/>
            </w:tcBorders>
          </w:tcPr>
          <w:p w14:paraId="10EFD384" w14:textId="77777777" w:rsidR="00893C7D" w:rsidRPr="00A6443F" w:rsidRDefault="00893C7D" w:rsidP="00893C7D">
            <w:pPr>
              <w:spacing w:before="40" w:after="40"/>
              <w:jc w:val="left"/>
              <w:rPr>
                <w:color w:val="000000"/>
                <w:sz w:val="18"/>
              </w:rPr>
            </w:pPr>
            <w:r>
              <w:rPr>
                <w:color w:val="000000"/>
                <w:sz w:val="18"/>
              </w:rPr>
              <w:t>SOLAN_MEL</w:t>
            </w:r>
          </w:p>
        </w:tc>
      </w:tr>
      <w:tr w:rsidR="00893C7D" w:rsidRPr="00A6443F" w14:paraId="7F8D6FEC" w14:textId="77777777" w:rsidTr="00893C7D">
        <w:trPr>
          <w:cantSplit/>
        </w:trPr>
        <w:tc>
          <w:tcPr>
            <w:tcW w:w="1418" w:type="dxa"/>
            <w:tcBorders>
              <w:top w:val="single" w:sz="4" w:space="0" w:color="auto"/>
              <w:left w:val="single" w:sz="4" w:space="0" w:color="auto"/>
              <w:bottom w:val="single" w:sz="4" w:space="0" w:color="auto"/>
              <w:right w:val="single" w:sz="4" w:space="0" w:color="auto"/>
            </w:tcBorders>
          </w:tcPr>
          <w:p w14:paraId="11539B38" w14:textId="77777777" w:rsidR="00893C7D" w:rsidRPr="00A6443F" w:rsidRDefault="00893C7D" w:rsidP="00893C7D">
            <w:pPr>
              <w:spacing w:before="40" w:after="40"/>
              <w:jc w:val="left"/>
              <w:rPr>
                <w:color w:val="000000"/>
                <w:sz w:val="18"/>
              </w:rPr>
            </w:pPr>
            <w:r>
              <w:rPr>
                <w:color w:val="000000"/>
                <w:sz w:val="18"/>
              </w:rPr>
              <w:t>Clase 4.4</w:t>
            </w:r>
          </w:p>
        </w:tc>
        <w:tc>
          <w:tcPr>
            <w:tcW w:w="5670" w:type="dxa"/>
            <w:tcBorders>
              <w:top w:val="single" w:sz="4" w:space="0" w:color="auto"/>
              <w:left w:val="single" w:sz="4" w:space="0" w:color="auto"/>
              <w:bottom w:val="single" w:sz="4" w:space="0" w:color="auto"/>
              <w:right w:val="single" w:sz="4" w:space="0" w:color="auto"/>
            </w:tcBorders>
          </w:tcPr>
          <w:p w14:paraId="4F7680BE" w14:textId="77777777" w:rsidR="00893C7D" w:rsidRPr="00A6443F" w:rsidRDefault="00893C7D" w:rsidP="00893C7D">
            <w:pPr>
              <w:spacing w:before="40" w:after="40"/>
              <w:jc w:val="left"/>
              <w:rPr>
                <w:color w:val="000000"/>
                <w:sz w:val="18"/>
              </w:rPr>
            </w:pPr>
            <w:r>
              <w:rPr>
                <w:i/>
                <w:color w:val="000000"/>
                <w:sz w:val="18"/>
              </w:rPr>
              <w:t>Solanum</w:t>
            </w:r>
            <w:r>
              <w:rPr>
                <w:color w:val="000000"/>
                <w:sz w:val="18"/>
              </w:rPr>
              <w:t>, a excepción de las clases 4.1, 4.2 y 4.3</w:t>
            </w:r>
          </w:p>
        </w:tc>
        <w:tc>
          <w:tcPr>
            <w:tcW w:w="2551" w:type="dxa"/>
            <w:tcBorders>
              <w:top w:val="single" w:sz="4" w:space="0" w:color="auto"/>
              <w:left w:val="single" w:sz="4" w:space="0" w:color="auto"/>
              <w:bottom w:val="single" w:sz="4" w:space="0" w:color="auto"/>
              <w:right w:val="single" w:sz="4" w:space="0" w:color="auto"/>
            </w:tcBorders>
          </w:tcPr>
          <w:p w14:paraId="1035EB38" w14:textId="77777777" w:rsidR="00893C7D" w:rsidRPr="00A6443F" w:rsidRDefault="00893C7D" w:rsidP="00893C7D">
            <w:pPr>
              <w:spacing w:before="40" w:after="40"/>
              <w:jc w:val="left"/>
              <w:rPr>
                <w:color w:val="000000"/>
                <w:sz w:val="18"/>
              </w:rPr>
            </w:pPr>
            <w:r>
              <w:rPr>
                <w:color w:val="000000"/>
                <w:sz w:val="18"/>
              </w:rPr>
              <w:t>distintos de las clases 4.1, 4.2 y 4.3</w:t>
            </w:r>
          </w:p>
        </w:tc>
      </w:tr>
    </w:tbl>
    <w:p w14:paraId="700BB3DB" w14:textId="77777777" w:rsidR="00893C7D" w:rsidRDefault="00893C7D" w:rsidP="00893C7D"/>
    <w:p w14:paraId="0BFFD3F8" w14:textId="77777777" w:rsidR="00893C7D" w:rsidRPr="00407B23" w:rsidRDefault="00893C7D" w:rsidP="00893C7D"/>
    <w:p w14:paraId="70738ADC" w14:textId="77777777" w:rsidR="00893C7D" w:rsidRPr="00407B23" w:rsidRDefault="00893C7D" w:rsidP="00893C7D">
      <w:pPr>
        <w:jc w:val="center"/>
      </w:pPr>
      <w:r>
        <w:br w:type="page"/>
      </w:r>
      <w:r>
        <w:lastRenderedPageBreak/>
        <w:t>LISTA DE CLASES (continuación)</w:t>
      </w:r>
    </w:p>
    <w:p w14:paraId="1BA31BDA" w14:textId="77777777" w:rsidR="00893C7D" w:rsidRPr="00407B23" w:rsidRDefault="00893C7D" w:rsidP="00893C7D"/>
    <w:p w14:paraId="5B702C79" w14:textId="77777777" w:rsidR="00893C7D" w:rsidRPr="00407B23" w:rsidRDefault="00893C7D" w:rsidP="00893C7D">
      <w:pPr>
        <w:keepNext/>
        <w:jc w:val="center"/>
        <w:rPr>
          <w:u w:val="single"/>
        </w:rPr>
      </w:pPr>
      <w:r>
        <w:rPr>
          <w:u w:val="single"/>
        </w:rPr>
        <w:t>Parte II</w:t>
      </w:r>
    </w:p>
    <w:p w14:paraId="7966F339" w14:textId="77777777" w:rsidR="00893C7D" w:rsidRPr="00407B23" w:rsidRDefault="00893C7D" w:rsidP="00893C7D"/>
    <w:p w14:paraId="7D8DC6AB" w14:textId="77777777" w:rsidR="00893C7D" w:rsidRPr="00407B23" w:rsidRDefault="00893C7D" w:rsidP="00893C7D">
      <w:pPr>
        <w:jc w:val="center"/>
        <w:rPr>
          <w:i/>
        </w:rPr>
      </w:pPr>
      <w:r>
        <w:rPr>
          <w:i/>
        </w:rPr>
        <w:t>Clases que comprenden más de un género</w:t>
      </w:r>
      <w:r>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A6443F" w14:paraId="4985F5AA" w14:textId="77777777" w:rsidTr="006F1818">
        <w:trPr>
          <w:cantSplit/>
          <w:tblHeader/>
        </w:trPr>
        <w:tc>
          <w:tcPr>
            <w:tcW w:w="1277" w:type="dxa"/>
            <w:shd w:val="clear" w:color="auto" w:fill="D9D9D9" w:themeFill="background1" w:themeFillShade="D9"/>
            <w:vAlign w:val="center"/>
          </w:tcPr>
          <w:p w14:paraId="430B7CCA" w14:textId="77777777" w:rsidR="00893C7D" w:rsidRPr="00A6443F" w:rsidRDefault="00893C7D" w:rsidP="00893C7D">
            <w:pPr>
              <w:spacing w:before="40" w:after="40"/>
              <w:jc w:val="left"/>
              <w:rPr>
                <w:sz w:val="18"/>
                <w:szCs w:val="18"/>
                <w:u w:val="single"/>
              </w:rPr>
            </w:pPr>
          </w:p>
        </w:tc>
        <w:tc>
          <w:tcPr>
            <w:tcW w:w="4473" w:type="dxa"/>
            <w:shd w:val="clear" w:color="auto" w:fill="D9D9D9" w:themeFill="background1" w:themeFillShade="D9"/>
            <w:vAlign w:val="center"/>
          </w:tcPr>
          <w:p w14:paraId="2ABF362A" w14:textId="77777777" w:rsidR="00893C7D" w:rsidRPr="00A6443F" w:rsidRDefault="00893C7D" w:rsidP="00893C7D">
            <w:pPr>
              <w:spacing w:before="40" w:after="40"/>
              <w:jc w:val="center"/>
              <w:rPr>
                <w:sz w:val="18"/>
                <w:szCs w:val="18"/>
                <w:u w:val="single"/>
              </w:rPr>
            </w:pPr>
            <w:r>
              <w:rPr>
                <w:sz w:val="18"/>
                <w:u w:val="single"/>
              </w:rPr>
              <w:t>Nombres botánicos</w:t>
            </w:r>
          </w:p>
        </w:tc>
        <w:tc>
          <w:tcPr>
            <w:tcW w:w="4034" w:type="dxa"/>
            <w:shd w:val="clear" w:color="auto" w:fill="D9D9D9" w:themeFill="background1" w:themeFillShade="D9"/>
            <w:vAlign w:val="center"/>
          </w:tcPr>
          <w:p w14:paraId="048DA880" w14:textId="77777777" w:rsidR="00893C7D" w:rsidRPr="00A6443F" w:rsidRDefault="00893C7D" w:rsidP="00893C7D">
            <w:pPr>
              <w:spacing w:before="40" w:after="40"/>
              <w:jc w:val="center"/>
              <w:rPr>
                <w:sz w:val="18"/>
                <w:szCs w:val="18"/>
                <w:u w:val="single"/>
              </w:rPr>
            </w:pPr>
            <w:r>
              <w:rPr>
                <w:sz w:val="18"/>
                <w:u w:val="single"/>
              </w:rPr>
              <w:t>Códigos UPOV</w:t>
            </w:r>
          </w:p>
        </w:tc>
      </w:tr>
      <w:tr w:rsidR="00893C7D" w:rsidRPr="00A6443F" w14:paraId="3E0F275D" w14:textId="77777777" w:rsidTr="006F1818">
        <w:trPr>
          <w:cantSplit/>
          <w:tblHeader/>
        </w:trPr>
        <w:tc>
          <w:tcPr>
            <w:tcW w:w="1277" w:type="dxa"/>
            <w:tcBorders>
              <w:top w:val="nil"/>
              <w:left w:val="nil"/>
              <w:bottom w:val="nil"/>
              <w:right w:val="nil"/>
            </w:tcBorders>
          </w:tcPr>
          <w:p w14:paraId="332E5952" w14:textId="77777777"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14:paraId="14255B1C" w14:textId="77777777"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14:paraId="7824FD1D" w14:textId="77777777" w:rsidR="00893C7D" w:rsidRPr="00A6443F" w:rsidRDefault="00893C7D" w:rsidP="00893C7D">
            <w:pPr>
              <w:keepNext/>
              <w:spacing w:before="40" w:after="40"/>
              <w:jc w:val="left"/>
              <w:rPr>
                <w:sz w:val="10"/>
                <w:szCs w:val="18"/>
              </w:rPr>
            </w:pPr>
          </w:p>
        </w:tc>
      </w:tr>
      <w:tr w:rsidR="00893C7D" w:rsidRPr="00A6443F" w14:paraId="22803364" w14:textId="77777777" w:rsidTr="006F1818">
        <w:trPr>
          <w:cantSplit/>
        </w:trPr>
        <w:tc>
          <w:tcPr>
            <w:tcW w:w="1277" w:type="dxa"/>
            <w:tcBorders>
              <w:top w:val="single" w:sz="4" w:space="0" w:color="auto"/>
            </w:tcBorders>
          </w:tcPr>
          <w:p w14:paraId="6665EEED" w14:textId="77777777" w:rsidR="00893C7D" w:rsidRPr="00A6443F" w:rsidRDefault="00893C7D" w:rsidP="00893C7D">
            <w:pPr>
              <w:spacing w:before="40" w:after="40"/>
              <w:jc w:val="left"/>
              <w:rPr>
                <w:sz w:val="18"/>
                <w:szCs w:val="18"/>
              </w:rPr>
            </w:pPr>
            <w:r>
              <w:rPr>
                <w:sz w:val="18"/>
              </w:rPr>
              <w:t>Clase 201</w:t>
            </w:r>
          </w:p>
        </w:tc>
        <w:tc>
          <w:tcPr>
            <w:tcW w:w="4473" w:type="dxa"/>
            <w:tcBorders>
              <w:top w:val="single" w:sz="4" w:space="0" w:color="auto"/>
            </w:tcBorders>
          </w:tcPr>
          <w:p w14:paraId="6F8BF99F" w14:textId="77777777" w:rsidR="00893C7D" w:rsidRPr="00A6443F" w:rsidRDefault="00893C7D" w:rsidP="00893C7D">
            <w:pPr>
              <w:keepNext/>
              <w:spacing w:before="40" w:after="40"/>
              <w:jc w:val="left"/>
              <w:rPr>
                <w:sz w:val="18"/>
                <w:szCs w:val="18"/>
              </w:rPr>
            </w:pPr>
            <w:r>
              <w:rPr>
                <w:i/>
                <w:sz w:val="18"/>
              </w:rPr>
              <w:t>Secale, Triticale, Triticum</w:t>
            </w:r>
          </w:p>
        </w:tc>
        <w:tc>
          <w:tcPr>
            <w:tcW w:w="4034" w:type="dxa"/>
            <w:tcBorders>
              <w:top w:val="single" w:sz="4" w:space="0" w:color="auto"/>
            </w:tcBorders>
          </w:tcPr>
          <w:p w14:paraId="67F44ECE" w14:textId="77777777" w:rsidR="00893C7D" w:rsidRPr="00A6443F" w:rsidRDefault="00893C7D" w:rsidP="00893C7D">
            <w:pPr>
              <w:keepNext/>
              <w:spacing w:before="40" w:after="40"/>
              <w:jc w:val="left"/>
              <w:rPr>
                <w:sz w:val="18"/>
                <w:szCs w:val="18"/>
              </w:rPr>
            </w:pPr>
            <w:r>
              <w:rPr>
                <w:sz w:val="18"/>
              </w:rPr>
              <w:t>SECAL; TRITL; TRITI</w:t>
            </w:r>
          </w:p>
        </w:tc>
      </w:tr>
      <w:tr w:rsidR="00893C7D" w:rsidRPr="00A6443F" w14:paraId="64C41FBE" w14:textId="77777777" w:rsidTr="006F1818">
        <w:trPr>
          <w:cantSplit/>
        </w:trPr>
        <w:tc>
          <w:tcPr>
            <w:tcW w:w="1277" w:type="dxa"/>
          </w:tcPr>
          <w:p w14:paraId="2B405527" w14:textId="77777777" w:rsidR="00893C7D" w:rsidRPr="00A6443F" w:rsidRDefault="00893C7D" w:rsidP="00893C7D">
            <w:pPr>
              <w:spacing w:before="40" w:after="40"/>
              <w:jc w:val="left"/>
              <w:rPr>
                <w:sz w:val="18"/>
                <w:szCs w:val="18"/>
              </w:rPr>
            </w:pPr>
            <w:r>
              <w:rPr>
                <w:sz w:val="18"/>
              </w:rPr>
              <w:t>Clase 202</w:t>
            </w:r>
          </w:p>
        </w:tc>
        <w:tc>
          <w:tcPr>
            <w:tcW w:w="4473" w:type="dxa"/>
          </w:tcPr>
          <w:p w14:paraId="5E0F7A21" w14:textId="77777777" w:rsidR="00893C7D" w:rsidRPr="00A6443F" w:rsidRDefault="00893C7D" w:rsidP="00893C7D">
            <w:pPr>
              <w:keepNext/>
              <w:spacing w:before="40" w:after="40"/>
              <w:jc w:val="left"/>
              <w:rPr>
                <w:sz w:val="18"/>
                <w:szCs w:val="18"/>
              </w:rPr>
            </w:pPr>
            <w:r>
              <w:rPr>
                <w:i/>
                <w:sz w:val="18"/>
              </w:rPr>
              <w:t>Megathyrsus, Panicum, Setaria, Steinchisma</w:t>
            </w:r>
          </w:p>
        </w:tc>
        <w:tc>
          <w:tcPr>
            <w:tcW w:w="4034" w:type="dxa"/>
          </w:tcPr>
          <w:p w14:paraId="12CD3056" w14:textId="77777777" w:rsidR="00893C7D" w:rsidRPr="00A6443F" w:rsidRDefault="00893C7D" w:rsidP="00893C7D">
            <w:pPr>
              <w:keepNext/>
              <w:spacing w:before="40" w:after="40"/>
              <w:jc w:val="left"/>
              <w:rPr>
                <w:sz w:val="18"/>
                <w:szCs w:val="18"/>
              </w:rPr>
            </w:pPr>
            <w:r>
              <w:rPr>
                <w:sz w:val="18"/>
              </w:rPr>
              <w:t>MEGAT; PANIC; SETAR; STEIN</w:t>
            </w:r>
          </w:p>
        </w:tc>
      </w:tr>
      <w:tr w:rsidR="00893C7D" w:rsidRPr="008D33A8" w14:paraId="5BEAD029" w14:textId="77777777" w:rsidTr="006F1818">
        <w:trPr>
          <w:cantSplit/>
        </w:trPr>
        <w:tc>
          <w:tcPr>
            <w:tcW w:w="1277" w:type="dxa"/>
          </w:tcPr>
          <w:p w14:paraId="5302A752" w14:textId="77777777" w:rsidR="00893C7D" w:rsidRPr="00A6443F" w:rsidRDefault="00893C7D" w:rsidP="00893C7D">
            <w:pPr>
              <w:spacing w:before="40" w:after="40"/>
              <w:jc w:val="left"/>
              <w:rPr>
                <w:sz w:val="18"/>
                <w:szCs w:val="18"/>
              </w:rPr>
            </w:pPr>
            <w:r>
              <w:rPr>
                <w:sz w:val="18"/>
              </w:rPr>
              <w:t>Clase 203</w:t>
            </w:r>
          </w:p>
        </w:tc>
        <w:tc>
          <w:tcPr>
            <w:tcW w:w="4473" w:type="dxa"/>
          </w:tcPr>
          <w:p w14:paraId="27D9D2D3" w14:textId="77777777" w:rsidR="0023004C" w:rsidRPr="00355EDE" w:rsidRDefault="00893C7D" w:rsidP="00355EDE">
            <w:pPr>
              <w:keepNext/>
              <w:spacing w:before="40" w:after="40"/>
              <w:jc w:val="left"/>
              <w:rPr>
                <w:sz w:val="18"/>
                <w:szCs w:val="18"/>
                <w:u w:val="single"/>
                <w:shd w:val="pct15" w:color="auto" w:fill="FFFFFF"/>
              </w:rPr>
            </w:pPr>
            <w:r>
              <w:rPr>
                <w:i/>
                <w:sz w:val="18"/>
              </w:rPr>
              <w:footnoteReference w:customMarkFollows="1" w:id="9"/>
              <w:t>Agrostis, Dactylis, Festuca, Festulolium, Lolium, Phalaris, Phleum</w:t>
            </w:r>
            <w:r>
              <w:rPr>
                <w:sz w:val="18"/>
              </w:rPr>
              <w:t xml:space="preserve"> y Poa, </w:t>
            </w:r>
            <w:r>
              <w:rPr>
                <w:rStyle w:val="EndnoteReference"/>
                <w:b/>
                <w:sz w:val="18"/>
              </w:rPr>
              <w:endnoteReference w:id="19"/>
            </w:r>
            <w:r>
              <w:rPr>
                <w:i/>
                <w:dstrike/>
                <w:sz w:val="18"/>
                <w:highlight w:val="yellow"/>
                <w:shd w:val="pct15" w:color="auto" w:fill="FFFFFF"/>
              </w:rPr>
              <w:t>Neotyphodium</w:t>
            </w:r>
            <w:r>
              <w:rPr>
                <w:sz w:val="18"/>
                <w:u w:val="single"/>
                <w:shd w:val="pct15" w:color="auto" w:fill="FFFFFF"/>
              </w:rPr>
              <w:t xml:space="preserve"> </w:t>
            </w:r>
            <w:r>
              <w:rPr>
                <w:i/>
                <w:sz w:val="18"/>
                <w:highlight w:val="lightGray"/>
                <w:u w:val="single"/>
                <w:shd w:val="pct15" w:color="auto" w:fill="FFFFFF"/>
              </w:rPr>
              <w:t>Epichloe</w:t>
            </w:r>
          </w:p>
        </w:tc>
        <w:tc>
          <w:tcPr>
            <w:tcW w:w="4034" w:type="dxa"/>
          </w:tcPr>
          <w:p w14:paraId="6A79C0EA" w14:textId="77777777" w:rsidR="00893C7D" w:rsidRPr="00D86C60" w:rsidRDefault="00893C7D">
            <w:pPr>
              <w:keepNext/>
              <w:spacing w:before="40" w:after="40"/>
              <w:jc w:val="left"/>
              <w:rPr>
                <w:sz w:val="18"/>
                <w:szCs w:val="18"/>
              </w:rPr>
            </w:pPr>
            <w:r>
              <w:rPr>
                <w:sz w:val="18"/>
              </w:rPr>
              <w:t>AGROS; DCTLS; FESTU; FESTL; LOLIU; PHALR; PHLEU; POAAA</w:t>
            </w:r>
            <w:r>
              <w:rPr>
                <w:sz w:val="18"/>
                <w:highlight w:val="lightGray"/>
                <w:u w:val="single"/>
                <w:shd w:val="pct15" w:color="auto" w:fill="FFFFFF"/>
              </w:rPr>
              <w:t>; EPICH;</w:t>
            </w:r>
            <w:r>
              <w:rPr>
                <w:dstrike/>
                <w:sz w:val="18"/>
                <w:highlight w:val="yellow"/>
                <w:shd w:val="pct15" w:color="auto" w:fill="FFFFFF"/>
              </w:rPr>
              <w:t xml:space="preserve"> NEOTY</w:t>
            </w:r>
            <w:r>
              <w:rPr>
                <w:dstrike/>
                <w:sz w:val="18"/>
                <w:shd w:val="clear" w:color="auto" w:fill="FFFFFF" w:themeFill="background1"/>
                <w:vertAlign w:val="superscript"/>
              </w:rPr>
              <w:t xml:space="preserve"> </w:t>
            </w:r>
          </w:p>
        </w:tc>
      </w:tr>
      <w:tr w:rsidR="00893C7D" w:rsidRPr="00A83356" w14:paraId="1A2A0EC5" w14:textId="77777777" w:rsidTr="006F1818">
        <w:trPr>
          <w:cantSplit/>
        </w:trPr>
        <w:tc>
          <w:tcPr>
            <w:tcW w:w="1277" w:type="dxa"/>
          </w:tcPr>
          <w:p w14:paraId="5A409819" w14:textId="77777777" w:rsidR="00893C7D" w:rsidRPr="00A6443F" w:rsidRDefault="00893C7D" w:rsidP="00893C7D">
            <w:pPr>
              <w:spacing w:before="40" w:after="40"/>
              <w:jc w:val="left"/>
              <w:rPr>
                <w:sz w:val="18"/>
                <w:szCs w:val="18"/>
              </w:rPr>
            </w:pPr>
            <w:r>
              <w:rPr>
                <w:sz w:val="18"/>
              </w:rPr>
              <w:t>Clase 204</w:t>
            </w:r>
            <w:r>
              <w:rPr>
                <w:sz w:val="18"/>
                <w:vertAlign w:val="superscript"/>
              </w:rPr>
              <w:t>*</w:t>
            </w:r>
          </w:p>
        </w:tc>
        <w:tc>
          <w:tcPr>
            <w:tcW w:w="4473" w:type="dxa"/>
          </w:tcPr>
          <w:p w14:paraId="7B17E3CD" w14:textId="77777777" w:rsidR="00893C7D" w:rsidRPr="00F25630" w:rsidRDefault="00893C7D" w:rsidP="00893C7D">
            <w:pPr>
              <w:keepNext/>
              <w:spacing w:before="40" w:after="40"/>
              <w:jc w:val="left"/>
              <w:rPr>
                <w:sz w:val="18"/>
                <w:szCs w:val="18"/>
                <w:lang w:val="en-GB"/>
              </w:rPr>
            </w:pPr>
            <w:r w:rsidRPr="00F25630">
              <w:rPr>
                <w:i/>
                <w:sz w:val="18"/>
                <w:lang w:val="en-GB"/>
              </w:rPr>
              <w:t>Lotus, Medicago, Ornithopus, Onobrychis, Trifolium</w:t>
            </w:r>
          </w:p>
        </w:tc>
        <w:tc>
          <w:tcPr>
            <w:tcW w:w="4034" w:type="dxa"/>
          </w:tcPr>
          <w:p w14:paraId="5E8B1ED1" w14:textId="77777777" w:rsidR="00893C7D" w:rsidRPr="00F25630" w:rsidRDefault="00893C7D" w:rsidP="00893C7D">
            <w:pPr>
              <w:keepNext/>
              <w:spacing w:before="40" w:after="40"/>
              <w:jc w:val="left"/>
              <w:rPr>
                <w:sz w:val="18"/>
                <w:szCs w:val="18"/>
                <w:lang w:val="en-GB"/>
              </w:rPr>
            </w:pPr>
            <w:r w:rsidRPr="00F25630">
              <w:rPr>
                <w:sz w:val="18"/>
                <w:lang w:val="en-GB"/>
              </w:rPr>
              <w:t>LOTUS; MEDIC; ORNTP; ONOBR; TRFOL</w:t>
            </w:r>
          </w:p>
        </w:tc>
      </w:tr>
      <w:tr w:rsidR="00893C7D" w:rsidRPr="00A6443F" w14:paraId="5B3104F4" w14:textId="77777777" w:rsidTr="006F1818">
        <w:trPr>
          <w:cantSplit/>
        </w:trPr>
        <w:tc>
          <w:tcPr>
            <w:tcW w:w="1277" w:type="dxa"/>
          </w:tcPr>
          <w:p w14:paraId="5A85630C" w14:textId="77777777" w:rsidR="00893C7D" w:rsidRPr="00A6443F" w:rsidRDefault="00893C7D" w:rsidP="00F015B9">
            <w:pPr>
              <w:spacing w:before="40" w:after="40"/>
              <w:jc w:val="left"/>
              <w:rPr>
                <w:sz w:val="18"/>
                <w:szCs w:val="18"/>
              </w:rPr>
            </w:pPr>
            <w:r>
              <w:rPr>
                <w:sz w:val="18"/>
              </w:rPr>
              <w:t>Clase 205</w:t>
            </w:r>
          </w:p>
        </w:tc>
        <w:tc>
          <w:tcPr>
            <w:tcW w:w="4473" w:type="dxa"/>
          </w:tcPr>
          <w:p w14:paraId="4A35A823" w14:textId="77777777" w:rsidR="00893C7D" w:rsidRPr="00A6443F" w:rsidRDefault="00893C7D" w:rsidP="00893C7D">
            <w:pPr>
              <w:keepNext/>
              <w:spacing w:before="40" w:after="40"/>
              <w:jc w:val="left"/>
              <w:rPr>
                <w:sz w:val="18"/>
                <w:szCs w:val="18"/>
              </w:rPr>
            </w:pPr>
            <w:r>
              <w:rPr>
                <w:i/>
                <w:sz w:val="18"/>
              </w:rPr>
              <w:t>Cichorium, Lactuca</w:t>
            </w:r>
            <w:r>
              <w:rPr>
                <w:sz w:val="18"/>
              </w:rPr>
              <w:t xml:space="preserve"> </w:t>
            </w:r>
          </w:p>
        </w:tc>
        <w:tc>
          <w:tcPr>
            <w:tcW w:w="4034" w:type="dxa"/>
          </w:tcPr>
          <w:p w14:paraId="07802C52" w14:textId="77777777" w:rsidR="00893C7D" w:rsidRPr="00A6443F" w:rsidRDefault="00893C7D" w:rsidP="00893C7D">
            <w:pPr>
              <w:keepNext/>
              <w:spacing w:before="40" w:after="40"/>
              <w:jc w:val="left"/>
              <w:rPr>
                <w:sz w:val="18"/>
                <w:szCs w:val="18"/>
              </w:rPr>
            </w:pPr>
            <w:r>
              <w:rPr>
                <w:sz w:val="18"/>
              </w:rPr>
              <w:t>CICHO; LACTU</w:t>
            </w:r>
          </w:p>
        </w:tc>
      </w:tr>
      <w:tr w:rsidR="00331A7E" w:rsidRPr="00A6443F" w14:paraId="7C1D7FC7" w14:textId="77777777" w:rsidTr="006F1818">
        <w:trPr>
          <w:cantSplit/>
        </w:trPr>
        <w:tc>
          <w:tcPr>
            <w:tcW w:w="1277" w:type="dxa"/>
          </w:tcPr>
          <w:p w14:paraId="0297E334" w14:textId="77777777" w:rsidR="00331A7E" w:rsidRPr="005D4199" w:rsidRDefault="00DB41A9" w:rsidP="0032345F">
            <w:pPr>
              <w:spacing w:before="40" w:after="40"/>
              <w:jc w:val="left"/>
              <w:rPr>
                <w:sz w:val="18"/>
                <w:szCs w:val="18"/>
                <w:highlight w:val="yellow"/>
                <w:shd w:val="pct15" w:color="auto" w:fill="FFFFFF"/>
              </w:rPr>
            </w:pPr>
            <w:r>
              <w:rPr>
                <w:rStyle w:val="EndnoteReference"/>
                <w:b/>
                <w:sz w:val="18"/>
                <w:highlight w:val="yellow"/>
                <w:shd w:val="pct15" w:color="auto" w:fill="FFFFFF"/>
              </w:rPr>
              <w:endnoteReference w:id="20"/>
            </w:r>
            <w:r>
              <w:rPr>
                <w:sz w:val="18"/>
                <w:highlight w:val="yellow"/>
                <w:shd w:val="pct15" w:color="auto" w:fill="FFFFFF"/>
              </w:rPr>
              <w:t xml:space="preserve"> </w:t>
            </w:r>
            <w:r w:rsidRPr="0010411C">
              <w:rPr>
                <w:strike/>
                <w:sz w:val="18"/>
                <w:highlight w:val="yellow"/>
                <w:u w:val="double"/>
                <w:shd w:val="pct15" w:color="auto" w:fill="FFFFFF"/>
              </w:rPr>
              <w:t>[Clase 205B</w:t>
            </w:r>
          </w:p>
        </w:tc>
        <w:tc>
          <w:tcPr>
            <w:tcW w:w="4473" w:type="dxa"/>
          </w:tcPr>
          <w:p w14:paraId="17F3FE36" w14:textId="77777777" w:rsidR="00331A7E" w:rsidRPr="00F25630" w:rsidRDefault="00331A7E" w:rsidP="00CF4207">
            <w:pPr>
              <w:keepNext/>
              <w:spacing w:before="40" w:after="40"/>
              <w:jc w:val="left"/>
              <w:rPr>
                <w:dstrike/>
                <w:sz w:val="18"/>
                <w:szCs w:val="18"/>
                <w:highlight w:val="yellow"/>
                <w:shd w:val="pct15" w:color="auto" w:fill="FFFFFF"/>
                <w:lang w:val="en-GB"/>
              </w:rPr>
            </w:pPr>
            <w:r w:rsidRPr="00F25630">
              <w:rPr>
                <w:i/>
                <w:dstrike/>
                <w:sz w:val="18"/>
                <w:highlight w:val="yellow"/>
                <w:shd w:val="pct15" w:color="auto" w:fill="FFFFFF"/>
                <w:lang w:val="en-GB"/>
              </w:rPr>
              <w:t>Cichorium intybus</w:t>
            </w:r>
            <w:r w:rsidRPr="00F25630">
              <w:rPr>
                <w:dstrike/>
                <w:sz w:val="18"/>
                <w:highlight w:val="yellow"/>
                <w:shd w:val="pct15" w:color="auto" w:fill="FFFFFF"/>
                <w:lang w:val="en-GB"/>
              </w:rPr>
              <w:t xml:space="preserve"> L. var. </w:t>
            </w:r>
            <w:r w:rsidRPr="00F25630">
              <w:rPr>
                <w:i/>
                <w:dstrike/>
                <w:sz w:val="18"/>
                <w:highlight w:val="yellow"/>
                <w:shd w:val="pct15" w:color="auto" w:fill="FFFFFF"/>
                <w:lang w:val="en-GB"/>
              </w:rPr>
              <w:t>sativum</w:t>
            </w:r>
            <w:r w:rsidRPr="00F25630">
              <w:rPr>
                <w:dstrike/>
                <w:sz w:val="18"/>
                <w:highlight w:val="yellow"/>
                <w:vertAlign w:val="superscript"/>
                <w:lang w:val="en-GB"/>
              </w:rPr>
              <w:t xml:space="preserve"> </w:t>
            </w:r>
          </w:p>
        </w:tc>
        <w:tc>
          <w:tcPr>
            <w:tcW w:w="4034" w:type="dxa"/>
          </w:tcPr>
          <w:p w14:paraId="066C1991" w14:textId="77777777" w:rsidR="00331A7E" w:rsidRPr="005D4199" w:rsidRDefault="00331A7E" w:rsidP="00CF4207">
            <w:pPr>
              <w:keepNext/>
              <w:spacing w:before="40" w:after="40"/>
              <w:jc w:val="left"/>
              <w:rPr>
                <w:dstrike/>
                <w:sz w:val="18"/>
                <w:szCs w:val="18"/>
                <w:highlight w:val="cyan"/>
                <w:shd w:val="pct15" w:color="auto" w:fill="FFFFFF"/>
              </w:rPr>
            </w:pPr>
            <w:r>
              <w:rPr>
                <w:dstrike/>
                <w:sz w:val="18"/>
                <w:highlight w:val="yellow"/>
                <w:shd w:val="pct15" w:color="auto" w:fill="FFFFFF"/>
              </w:rPr>
              <w:t>CICHO_INT_SAT]</w:t>
            </w:r>
          </w:p>
        </w:tc>
      </w:tr>
      <w:tr w:rsidR="00893C7D" w:rsidRPr="00A6443F" w14:paraId="3891A0D3" w14:textId="77777777" w:rsidTr="006F1818">
        <w:trPr>
          <w:cantSplit/>
        </w:trPr>
        <w:tc>
          <w:tcPr>
            <w:tcW w:w="1277" w:type="dxa"/>
          </w:tcPr>
          <w:p w14:paraId="12BBE6AA" w14:textId="77777777" w:rsidR="00893C7D" w:rsidRPr="00A6443F" w:rsidRDefault="00893C7D" w:rsidP="00893C7D">
            <w:pPr>
              <w:spacing w:before="40" w:after="40"/>
              <w:jc w:val="left"/>
              <w:rPr>
                <w:sz w:val="18"/>
                <w:szCs w:val="18"/>
              </w:rPr>
            </w:pPr>
            <w:r>
              <w:rPr>
                <w:sz w:val="18"/>
              </w:rPr>
              <w:t>Clase 206</w:t>
            </w:r>
          </w:p>
        </w:tc>
        <w:tc>
          <w:tcPr>
            <w:tcW w:w="4473" w:type="dxa"/>
          </w:tcPr>
          <w:p w14:paraId="4D8CB47D" w14:textId="77777777" w:rsidR="00893C7D" w:rsidRPr="00A6443F" w:rsidRDefault="00893C7D" w:rsidP="00893C7D">
            <w:pPr>
              <w:keepNext/>
              <w:spacing w:before="40" w:after="40"/>
              <w:jc w:val="left"/>
              <w:rPr>
                <w:sz w:val="18"/>
                <w:szCs w:val="18"/>
              </w:rPr>
            </w:pPr>
            <w:r>
              <w:rPr>
                <w:i/>
                <w:sz w:val="18"/>
              </w:rPr>
              <w:t>Petunia</w:t>
            </w:r>
            <w:r>
              <w:rPr>
                <w:sz w:val="18"/>
              </w:rPr>
              <w:t xml:space="preserve"> y </w:t>
            </w:r>
            <w:r>
              <w:rPr>
                <w:i/>
                <w:sz w:val="18"/>
              </w:rPr>
              <w:t>Calibrachoa</w:t>
            </w:r>
          </w:p>
        </w:tc>
        <w:tc>
          <w:tcPr>
            <w:tcW w:w="4034" w:type="dxa"/>
          </w:tcPr>
          <w:p w14:paraId="29F50A1C" w14:textId="77777777" w:rsidR="00893C7D" w:rsidRPr="00A6443F" w:rsidRDefault="00893C7D" w:rsidP="00893C7D">
            <w:pPr>
              <w:keepNext/>
              <w:spacing w:before="40" w:after="40"/>
              <w:jc w:val="left"/>
              <w:rPr>
                <w:sz w:val="18"/>
                <w:szCs w:val="18"/>
              </w:rPr>
            </w:pPr>
            <w:r>
              <w:rPr>
                <w:sz w:val="18"/>
              </w:rPr>
              <w:t>PETUN; CALIB</w:t>
            </w:r>
          </w:p>
        </w:tc>
      </w:tr>
      <w:tr w:rsidR="00893C7D" w:rsidRPr="00A6443F" w14:paraId="67928334" w14:textId="77777777" w:rsidTr="006F1818">
        <w:trPr>
          <w:cantSplit/>
        </w:trPr>
        <w:tc>
          <w:tcPr>
            <w:tcW w:w="1277" w:type="dxa"/>
          </w:tcPr>
          <w:p w14:paraId="45D39186" w14:textId="77777777" w:rsidR="00893C7D" w:rsidRPr="00A6443F" w:rsidRDefault="00893C7D" w:rsidP="00893C7D">
            <w:pPr>
              <w:spacing w:before="40" w:after="40"/>
              <w:jc w:val="left"/>
              <w:rPr>
                <w:sz w:val="18"/>
                <w:szCs w:val="18"/>
              </w:rPr>
            </w:pPr>
            <w:r>
              <w:rPr>
                <w:sz w:val="18"/>
              </w:rPr>
              <w:t>Clase 207</w:t>
            </w:r>
          </w:p>
        </w:tc>
        <w:tc>
          <w:tcPr>
            <w:tcW w:w="4473" w:type="dxa"/>
          </w:tcPr>
          <w:p w14:paraId="60829779" w14:textId="77777777" w:rsidR="00893C7D" w:rsidRPr="00A6443F" w:rsidRDefault="00893C7D" w:rsidP="00893C7D">
            <w:pPr>
              <w:keepNext/>
              <w:spacing w:before="40" w:after="40"/>
              <w:jc w:val="left"/>
              <w:rPr>
                <w:sz w:val="18"/>
                <w:szCs w:val="18"/>
              </w:rPr>
            </w:pPr>
            <w:r>
              <w:rPr>
                <w:i/>
                <w:sz w:val="18"/>
              </w:rPr>
              <w:t>Chrysanthemum</w:t>
            </w:r>
            <w:r>
              <w:rPr>
                <w:sz w:val="18"/>
              </w:rPr>
              <w:t xml:space="preserve"> y </w:t>
            </w:r>
            <w:r>
              <w:rPr>
                <w:i/>
                <w:sz w:val="18"/>
              </w:rPr>
              <w:t>Ajania</w:t>
            </w:r>
          </w:p>
        </w:tc>
        <w:tc>
          <w:tcPr>
            <w:tcW w:w="4034" w:type="dxa"/>
          </w:tcPr>
          <w:p w14:paraId="0CF9D5FA" w14:textId="77777777" w:rsidR="00893C7D" w:rsidRPr="00A6443F" w:rsidRDefault="00893C7D" w:rsidP="00893C7D">
            <w:pPr>
              <w:keepNext/>
              <w:spacing w:before="40" w:after="40"/>
              <w:jc w:val="left"/>
              <w:rPr>
                <w:sz w:val="18"/>
                <w:szCs w:val="18"/>
              </w:rPr>
            </w:pPr>
            <w:r>
              <w:rPr>
                <w:sz w:val="18"/>
              </w:rPr>
              <w:t>CHRYS; AJANI</w:t>
            </w:r>
          </w:p>
        </w:tc>
      </w:tr>
      <w:tr w:rsidR="00893C7D" w:rsidRPr="00A6443F" w14:paraId="08AB9FC4" w14:textId="77777777" w:rsidTr="006F1818">
        <w:trPr>
          <w:cantSplit/>
        </w:trPr>
        <w:tc>
          <w:tcPr>
            <w:tcW w:w="1277" w:type="dxa"/>
          </w:tcPr>
          <w:p w14:paraId="7AC0423F" w14:textId="77777777" w:rsidR="00893C7D" w:rsidRPr="00A6443F" w:rsidRDefault="00893C7D" w:rsidP="00893C7D">
            <w:pPr>
              <w:spacing w:before="40" w:after="40"/>
              <w:jc w:val="left"/>
              <w:rPr>
                <w:sz w:val="18"/>
                <w:szCs w:val="18"/>
              </w:rPr>
            </w:pPr>
            <w:r>
              <w:rPr>
                <w:sz w:val="18"/>
              </w:rPr>
              <w:t>Clase 208</w:t>
            </w:r>
          </w:p>
        </w:tc>
        <w:tc>
          <w:tcPr>
            <w:tcW w:w="4473" w:type="dxa"/>
          </w:tcPr>
          <w:p w14:paraId="3CBA5B5B" w14:textId="77777777" w:rsidR="00893C7D" w:rsidRPr="00A6443F" w:rsidRDefault="00893C7D" w:rsidP="00893C7D">
            <w:pPr>
              <w:keepNext/>
              <w:spacing w:before="40" w:after="40"/>
              <w:jc w:val="left"/>
              <w:rPr>
                <w:sz w:val="18"/>
                <w:szCs w:val="18"/>
              </w:rPr>
            </w:pPr>
            <w:r>
              <w:rPr>
                <w:sz w:val="18"/>
              </w:rPr>
              <w:t xml:space="preserve">(Statice) </w:t>
            </w:r>
            <w:r>
              <w:rPr>
                <w:i/>
                <w:sz w:val="18"/>
              </w:rPr>
              <w:t>Goniolimon, Limonium, Psylliostachys</w:t>
            </w:r>
          </w:p>
        </w:tc>
        <w:tc>
          <w:tcPr>
            <w:tcW w:w="4034" w:type="dxa"/>
          </w:tcPr>
          <w:p w14:paraId="544F7E42" w14:textId="77777777" w:rsidR="00893C7D" w:rsidRPr="00A6443F" w:rsidRDefault="00893C7D" w:rsidP="00893C7D">
            <w:pPr>
              <w:keepNext/>
              <w:spacing w:before="40" w:after="40"/>
              <w:jc w:val="left"/>
              <w:rPr>
                <w:sz w:val="18"/>
                <w:szCs w:val="18"/>
              </w:rPr>
            </w:pPr>
            <w:r>
              <w:rPr>
                <w:sz w:val="18"/>
              </w:rPr>
              <w:t>GONIO; LIMON; PSYLL</w:t>
            </w:r>
          </w:p>
        </w:tc>
      </w:tr>
      <w:tr w:rsidR="00893C7D" w:rsidRPr="00A6443F" w14:paraId="595DCFF6" w14:textId="77777777" w:rsidTr="006F1818">
        <w:trPr>
          <w:cantSplit/>
        </w:trPr>
        <w:tc>
          <w:tcPr>
            <w:tcW w:w="1277" w:type="dxa"/>
          </w:tcPr>
          <w:p w14:paraId="3B1CEA5C" w14:textId="77777777" w:rsidR="00893C7D" w:rsidRPr="00A6443F" w:rsidRDefault="00893C7D" w:rsidP="00893C7D">
            <w:pPr>
              <w:spacing w:before="40" w:after="40"/>
              <w:jc w:val="left"/>
              <w:rPr>
                <w:sz w:val="18"/>
                <w:szCs w:val="18"/>
              </w:rPr>
            </w:pPr>
            <w:r>
              <w:rPr>
                <w:sz w:val="18"/>
              </w:rPr>
              <w:t>Clase 209</w:t>
            </w:r>
          </w:p>
        </w:tc>
        <w:tc>
          <w:tcPr>
            <w:tcW w:w="4473" w:type="dxa"/>
          </w:tcPr>
          <w:p w14:paraId="5F57A230" w14:textId="77777777" w:rsidR="00893C7D" w:rsidRPr="00A6443F" w:rsidRDefault="00893C7D" w:rsidP="00893C7D">
            <w:pPr>
              <w:keepNext/>
              <w:spacing w:before="40" w:after="40"/>
              <w:jc w:val="left"/>
              <w:rPr>
                <w:sz w:val="18"/>
                <w:szCs w:val="18"/>
              </w:rPr>
            </w:pPr>
            <w:r>
              <w:rPr>
                <w:i/>
                <w:sz w:val="18"/>
              </w:rPr>
              <w:t>Chamelaucium, Verticordia</w:t>
            </w:r>
          </w:p>
        </w:tc>
        <w:tc>
          <w:tcPr>
            <w:tcW w:w="4034" w:type="dxa"/>
          </w:tcPr>
          <w:p w14:paraId="3FF5F250" w14:textId="77777777" w:rsidR="00893C7D" w:rsidRPr="00A6443F" w:rsidRDefault="00893C7D" w:rsidP="00893C7D">
            <w:pPr>
              <w:keepNext/>
              <w:spacing w:before="40" w:after="40"/>
              <w:jc w:val="left"/>
              <w:rPr>
                <w:sz w:val="18"/>
                <w:szCs w:val="18"/>
              </w:rPr>
            </w:pPr>
            <w:r>
              <w:rPr>
                <w:sz w:val="18"/>
              </w:rPr>
              <w:t>CHMLC; VERTI; VECHM</w:t>
            </w:r>
          </w:p>
        </w:tc>
      </w:tr>
      <w:tr w:rsidR="00893C7D" w:rsidRPr="00A6443F" w14:paraId="3B2A9533" w14:textId="77777777" w:rsidTr="006F1818">
        <w:trPr>
          <w:cantSplit/>
        </w:trPr>
        <w:tc>
          <w:tcPr>
            <w:tcW w:w="1277" w:type="dxa"/>
          </w:tcPr>
          <w:p w14:paraId="7EFFF597" w14:textId="77777777" w:rsidR="00893C7D" w:rsidRPr="00A6443F" w:rsidRDefault="00893C7D" w:rsidP="00893C7D">
            <w:pPr>
              <w:spacing w:before="40" w:after="40"/>
              <w:jc w:val="left"/>
              <w:rPr>
                <w:sz w:val="18"/>
                <w:szCs w:val="18"/>
              </w:rPr>
            </w:pPr>
            <w:r>
              <w:rPr>
                <w:sz w:val="18"/>
              </w:rPr>
              <w:t>Clase 210</w:t>
            </w:r>
          </w:p>
        </w:tc>
        <w:tc>
          <w:tcPr>
            <w:tcW w:w="4473" w:type="dxa"/>
          </w:tcPr>
          <w:p w14:paraId="3C7DB145" w14:textId="77777777" w:rsidR="00893C7D" w:rsidRPr="00A6443F" w:rsidRDefault="00893C7D" w:rsidP="00893C7D">
            <w:pPr>
              <w:keepNext/>
              <w:spacing w:before="40" w:after="40"/>
              <w:jc w:val="left"/>
              <w:rPr>
                <w:sz w:val="18"/>
                <w:szCs w:val="18"/>
              </w:rPr>
            </w:pPr>
            <w:r>
              <w:rPr>
                <w:i/>
                <w:sz w:val="18"/>
              </w:rPr>
              <w:t>Jamesbrittania</w:t>
            </w:r>
            <w:r>
              <w:rPr>
                <w:sz w:val="18"/>
              </w:rPr>
              <w:t xml:space="preserve"> y </w:t>
            </w:r>
            <w:r>
              <w:rPr>
                <w:i/>
                <w:sz w:val="18"/>
              </w:rPr>
              <w:t>Sutera</w:t>
            </w:r>
          </w:p>
        </w:tc>
        <w:tc>
          <w:tcPr>
            <w:tcW w:w="4034" w:type="dxa"/>
          </w:tcPr>
          <w:p w14:paraId="3D067105" w14:textId="77777777" w:rsidR="00893C7D" w:rsidRPr="00A6443F" w:rsidRDefault="00893C7D" w:rsidP="00893C7D">
            <w:pPr>
              <w:keepNext/>
              <w:spacing w:before="40" w:after="40"/>
              <w:jc w:val="left"/>
              <w:rPr>
                <w:sz w:val="18"/>
                <w:szCs w:val="18"/>
              </w:rPr>
            </w:pPr>
            <w:r>
              <w:rPr>
                <w:sz w:val="18"/>
              </w:rPr>
              <w:t>JAMES; SUTERC</w:t>
            </w:r>
          </w:p>
        </w:tc>
      </w:tr>
      <w:tr w:rsidR="00893C7D" w:rsidRPr="00A6443F" w14:paraId="77CFF0E0" w14:textId="77777777" w:rsidTr="006F1818">
        <w:trPr>
          <w:cantSplit/>
        </w:trPr>
        <w:tc>
          <w:tcPr>
            <w:tcW w:w="1277" w:type="dxa"/>
          </w:tcPr>
          <w:p w14:paraId="6BAA8AD5" w14:textId="77777777" w:rsidR="00893C7D" w:rsidRPr="00A6443F" w:rsidRDefault="00893C7D" w:rsidP="00893C7D">
            <w:pPr>
              <w:spacing w:before="40" w:after="40"/>
              <w:ind w:left="567" w:right="113" w:hanging="567"/>
              <w:jc w:val="left"/>
              <w:rPr>
                <w:sz w:val="18"/>
                <w:szCs w:val="18"/>
              </w:rPr>
            </w:pPr>
            <w:r>
              <w:rPr>
                <w:sz w:val="18"/>
              </w:rPr>
              <w:t>Clase 211</w:t>
            </w:r>
          </w:p>
        </w:tc>
        <w:tc>
          <w:tcPr>
            <w:tcW w:w="4473" w:type="dxa"/>
          </w:tcPr>
          <w:p w14:paraId="089D0E42" w14:textId="77777777" w:rsidR="00893C7D" w:rsidRPr="00A6443F" w:rsidRDefault="00893C7D" w:rsidP="00893C7D">
            <w:pPr>
              <w:tabs>
                <w:tab w:val="left" w:pos="6373"/>
                <w:tab w:val="left" w:pos="9066"/>
              </w:tabs>
              <w:spacing w:before="40" w:after="40"/>
              <w:ind w:left="298" w:right="113" w:hanging="298"/>
              <w:jc w:val="left"/>
              <w:rPr>
                <w:sz w:val="18"/>
                <w:szCs w:val="18"/>
              </w:rPr>
            </w:pPr>
            <w:r>
              <w:rPr>
                <w:sz w:val="18"/>
              </w:rPr>
              <w:t>(Hongos)</w:t>
            </w:r>
            <w:r>
              <w:rPr>
                <w:sz w:val="18"/>
                <w:szCs w:val="18"/>
              </w:rPr>
              <w:br/>
            </w:r>
            <w:r>
              <w:rPr>
                <w:i/>
                <w:snapToGrid w:val="0"/>
                <w:color w:val="000000"/>
                <w:sz w:val="18"/>
              </w:rPr>
              <w:t xml:space="preserve">Agaricus </w:t>
            </w:r>
            <w:r>
              <w:rPr>
                <w:snapToGrid w:val="0"/>
                <w:color w:val="000000"/>
                <w:sz w:val="18"/>
                <w:szCs w:val="18"/>
              </w:rPr>
              <w:br/>
            </w:r>
            <w:r>
              <w:rPr>
                <w:i/>
                <w:snapToGrid w:val="0"/>
                <w:color w:val="000000"/>
                <w:sz w:val="18"/>
              </w:rPr>
              <w:t xml:space="preserve">Agrocybe </w:t>
            </w:r>
            <w:r>
              <w:rPr>
                <w:snapToGrid w:val="0"/>
                <w:color w:val="000000"/>
                <w:sz w:val="18"/>
                <w:szCs w:val="18"/>
              </w:rPr>
              <w:br/>
            </w:r>
            <w:r>
              <w:rPr>
                <w:i/>
                <w:snapToGrid w:val="0"/>
                <w:color w:val="000000"/>
                <w:sz w:val="18"/>
              </w:rPr>
              <w:t xml:space="preserve">Auricularia </w:t>
            </w:r>
            <w:r>
              <w:rPr>
                <w:snapToGrid w:val="0"/>
                <w:color w:val="000000"/>
                <w:sz w:val="18"/>
                <w:szCs w:val="18"/>
              </w:rPr>
              <w:br/>
            </w:r>
            <w:r>
              <w:rPr>
                <w:i/>
                <w:snapToGrid w:val="0"/>
                <w:color w:val="000000"/>
                <w:sz w:val="18"/>
              </w:rPr>
              <w:t xml:space="preserve">Dictyophora </w:t>
            </w:r>
            <w:r>
              <w:rPr>
                <w:snapToGrid w:val="0"/>
                <w:color w:val="000000"/>
                <w:sz w:val="18"/>
                <w:szCs w:val="18"/>
              </w:rPr>
              <w:br/>
            </w:r>
            <w:r>
              <w:rPr>
                <w:i/>
                <w:snapToGrid w:val="0"/>
                <w:color w:val="000000"/>
                <w:sz w:val="18"/>
              </w:rPr>
              <w:t xml:space="preserve">Flammulina </w:t>
            </w:r>
            <w:r>
              <w:rPr>
                <w:snapToGrid w:val="0"/>
                <w:color w:val="000000"/>
                <w:sz w:val="18"/>
                <w:szCs w:val="18"/>
              </w:rPr>
              <w:br/>
            </w:r>
            <w:r>
              <w:rPr>
                <w:i/>
                <w:snapToGrid w:val="0"/>
                <w:color w:val="000000"/>
                <w:sz w:val="18"/>
              </w:rPr>
              <w:t xml:space="preserve">Ganoderma </w:t>
            </w:r>
            <w:r>
              <w:rPr>
                <w:snapToGrid w:val="0"/>
                <w:color w:val="000000"/>
                <w:sz w:val="18"/>
                <w:szCs w:val="18"/>
              </w:rPr>
              <w:br/>
            </w:r>
            <w:r>
              <w:rPr>
                <w:i/>
                <w:snapToGrid w:val="0"/>
                <w:color w:val="000000"/>
                <w:sz w:val="18"/>
              </w:rPr>
              <w:t xml:space="preserve">Grifola </w:t>
            </w:r>
            <w:r>
              <w:rPr>
                <w:snapToGrid w:val="0"/>
                <w:color w:val="000000"/>
                <w:sz w:val="18"/>
                <w:szCs w:val="18"/>
              </w:rPr>
              <w:br/>
            </w:r>
            <w:r>
              <w:rPr>
                <w:i/>
                <w:snapToGrid w:val="0"/>
                <w:color w:val="000000"/>
                <w:sz w:val="18"/>
              </w:rPr>
              <w:t xml:space="preserve">Hericium </w:t>
            </w:r>
            <w:r>
              <w:rPr>
                <w:snapToGrid w:val="0"/>
                <w:color w:val="000000"/>
                <w:sz w:val="18"/>
                <w:szCs w:val="18"/>
              </w:rPr>
              <w:br/>
            </w:r>
            <w:r>
              <w:rPr>
                <w:i/>
                <w:snapToGrid w:val="0"/>
                <w:color w:val="000000"/>
                <w:sz w:val="18"/>
              </w:rPr>
              <w:t xml:space="preserve">Hypsizigus </w:t>
            </w:r>
            <w:r>
              <w:rPr>
                <w:snapToGrid w:val="0"/>
                <w:color w:val="000000"/>
                <w:sz w:val="18"/>
                <w:szCs w:val="18"/>
              </w:rPr>
              <w:br/>
            </w:r>
            <w:r>
              <w:rPr>
                <w:i/>
                <w:snapToGrid w:val="0"/>
                <w:color w:val="000000"/>
                <w:sz w:val="18"/>
              </w:rPr>
              <w:t xml:space="preserve">Lentinula </w:t>
            </w:r>
            <w:r>
              <w:rPr>
                <w:snapToGrid w:val="0"/>
                <w:color w:val="000000"/>
                <w:sz w:val="18"/>
                <w:szCs w:val="18"/>
              </w:rPr>
              <w:br/>
            </w:r>
            <w:r>
              <w:rPr>
                <w:i/>
                <w:snapToGrid w:val="0"/>
                <w:color w:val="000000"/>
                <w:sz w:val="18"/>
              </w:rPr>
              <w:t xml:space="preserve">Lepista </w:t>
            </w:r>
            <w:r>
              <w:rPr>
                <w:snapToGrid w:val="0"/>
                <w:color w:val="000000"/>
                <w:sz w:val="18"/>
                <w:szCs w:val="18"/>
              </w:rPr>
              <w:br/>
            </w:r>
            <w:r>
              <w:rPr>
                <w:i/>
                <w:snapToGrid w:val="0"/>
                <w:color w:val="000000"/>
                <w:sz w:val="18"/>
              </w:rPr>
              <w:t xml:space="preserve">Lyophyllum </w:t>
            </w:r>
            <w:r>
              <w:rPr>
                <w:snapToGrid w:val="0"/>
                <w:color w:val="000000"/>
                <w:sz w:val="18"/>
                <w:szCs w:val="18"/>
              </w:rPr>
              <w:br/>
            </w:r>
            <w:r>
              <w:rPr>
                <w:i/>
                <w:snapToGrid w:val="0"/>
                <w:color w:val="000000"/>
                <w:sz w:val="18"/>
              </w:rPr>
              <w:t xml:space="preserve">Meripilus </w:t>
            </w:r>
            <w:r>
              <w:rPr>
                <w:snapToGrid w:val="0"/>
                <w:color w:val="000000"/>
                <w:sz w:val="18"/>
                <w:szCs w:val="18"/>
              </w:rPr>
              <w:br/>
            </w:r>
            <w:r>
              <w:rPr>
                <w:i/>
                <w:snapToGrid w:val="0"/>
                <w:color w:val="000000"/>
                <w:sz w:val="18"/>
              </w:rPr>
              <w:t xml:space="preserve">Mycoleptodonoides </w:t>
            </w:r>
            <w:r>
              <w:rPr>
                <w:snapToGrid w:val="0"/>
                <w:color w:val="000000"/>
                <w:sz w:val="18"/>
                <w:szCs w:val="18"/>
              </w:rPr>
              <w:br/>
            </w:r>
            <w:r>
              <w:rPr>
                <w:i/>
                <w:snapToGrid w:val="0"/>
                <w:color w:val="000000"/>
                <w:sz w:val="18"/>
              </w:rPr>
              <w:t xml:space="preserve">Naematoloma </w:t>
            </w:r>
            <w:r>
              <w:rPr>
                <w:snapToGrid w:val="0"/>
                <w:color w:val="000000"/>
                <w:sz w:val="18"/>
                <w:szCs w:val="18"/>
              </w:rPr>
              <w:br/>
            </w:r>
            <w:r>
              <w:rPr>
                <w:i/>
                <w:snapToGrid w:val="0"/>
                <w:color w:val="000000"/>
                <w:sz w:val="18"/>
              </w:rPr>
              <w:t>Panellus</w:t>
            </w:r>
            <w:r>
              <w:rPr>
                <w:snapToGrid w:val="0"/>
                <w:color w:val="000000"/>
                <w:sz w:val="18"/>
                <w:szCs w:val="18"/>
              </w:rPr>
              <w:br/>
            </w:r>
            <w:r>
              <w:rPr>
                <w:i/>
                <w:snapToGrid w:val="0"/>
                <w:color w:val="000000"/>
                <w:sz w:val="18"/>
              </w:rPr>
              <w:t xml:space="preserve">Pholiota </w:t>
            </w:r>
            <w:r>
              <w:rPr>
                <w:snapToGrid w:val="0"/>
                <w:color w:val="000000"/>
                <w:sz w:val="18"/>
                <w:szCs w:val="18"/>
              </w:rPr>
              <w:br/>
            </w:r>
            <w:r>
              <w:rPr>
                <w:i/>
                <w:snapToGrid w:val="0"/>
                <w:color w:val="000000"/>
                <w:sz w:val="18"/>
              </w:rPr>
              <w:t xml:space="preserve">Pleurotus </w:t>
            </w:r>
            <w:r>
              <w:rPr>
                <w:snapToGrid w:val="0"/>
                <w:color w:val="000000"/>
                <w:sz w:val="18"/>
                <w:szCs w:val="18"/>
              </w:rPr>
              <w:br/>
            </w:r>
            <w:r>
              <w:rPr>
                <w:i/>
                <w:snapToGrid w:val="0"/>
                <w:color w:val="000000"/>
                <w:sz w:val="18"/>
              </w:rPr>
              <w:t xml:space="preserve">Polyporus </w:t>
            </w:r>
            <w:r>
              <w:rPr>
                <w:snapToGrid w:val="0"/>
                <w:color w:val="000000"/>
                <w:sz w:val="18"/>
                <w:szCs w:val="18"/>
              </w:rPr>
              <w:br/>
            </w:r>
            <w:r>
              <w:rPr>
                <w:i/>
                <w:snapToGrid w:val="0"/>
                <w:color w:val="000000"/>
                <w:sz w:val="18"/>
              </w:rPr>
              <w:t xml:space="preserve">Sparassis </w:t>
            </w:r>
            <w:r>
              <w:rPr>
                <w:snapToGrid w:val="0"/>
                <w:color w:val="000000"/>
                <w:sz w:val="18"/>
                <w:szCs w:val="18"/>
              </w:rPr>
              <w:br/>
            </w:r>
            <w:r>
              <w:rPr>
                <w:i/>
                <w:snapToGrid w:val="0"/>
                <w:color w:val="000000"/>
                <w:sz w:val="18"/>
              </w:rPr>
              <w:t>Tricholoma</w:t>
            </w:r>
            <w:r>
              <w:rPr>
                <w:snapToGrid w:val="0"/>
                <w:color w:val="000000"/>
                <w:sz w:val="18"/>
              </w:rPr>
              <w:t xml:space="preserve"> </w:t>
            </w:r>
          </w:p>
        </w:tc>
        <w:tc>
          <w:tcPr>
            <w:tcW w:w="4034" w:type="dxa"/>
          </w:tcPr>
          <w:p w14:paraId="0C38BDA4" w14:textId="77777777" w:rsidR="00893C7D" w:rsidRPr="00A6443F" w:rsidRDefault="00893C7D" w:rsidP="00893C7D">
            <w:pPr>
              <w:spacing w:before="40" w:after="40"/>
              <w:jc w:val="left"/>
              <w:rPr>
                <w:snapToGrid w:val="0"/>
                <w:color w:val="000000"/>
                <w:sz w:val="18"/>
                <w:szCs w:val="18"/>
              </w:rPr>
            </w:pPr>
            <w:r>
              <w:rPr>
                <w:snapToGrid w:val="0"/>
                <w:color w:val="000000"/>
                <w:sz w:val="18"/>
                <w:szCs w:val="18"/>
              </w:rPr>
              <w:br/>
            </w:r>
            <w:r>
              <w:rPr>
                <w:snapToGrid w:val="0"/>
                <w:color w:val="000000"/>
                <w:sz w:val="18"/>
              </w:rPr>
              <w:t>AGARI</w:t>
            </w:r>
            <w:r>
              <w:rPr>
                <w:b/>
                <w:snapToGrid w:val="0"/>
                <w:color w:val="000000"/>
                <w:sz w:val="18"/>
                <w:szCs w:val="18"/>
              </w:rPr>
              <w:br/>
            </w:r>
            <w:r>
              <w:rPr>
                <w:snapToGrid w:val="0"/>
                <w:color w:val="000000"/>
                <w:sz w:val="18"/>
              </w:rPr>
              <w:t>AGROC</w:t>
            </w:r>
            <w:r>
              <w:rPr>
                <w:snapToGrid w:val="0"/>
                <w:color w:val="000000"/>
                <w:sz w:val="18"/>
                <w:szCs w:val="18"/>
              </w:rPr>
              <w:br/>
            </w:r>
            <w:r>
              <w:rPr>
                <w:snapToGrid w:val="0"/>
                <w:color w:val="000000"/>
                <w:sz w:val="18"/>
              </w:rPr>
              <w:t>AURIC</w:t>
            </w:r>
            <w:r>
              <w:rPr>
                <w:snapToGrid w:val="0"/>
                <w:color w:val="000000"/>
                <w:sz w:val="18"/>
                <w:szCs w:val="18"/>
              </w:rPr>
              <w:br/>
            </w:r>
            <w:r>
              <w:rPr>
                <w:snapToGrid w:val="0"/>
                <w:color w:val="000000"/>
                <w:sz w:val="18"/>
              </w:rPr>
              <w:t>DICTP</w:t>
            </w:r>
            <w:r>
              <w:rPr>
                <w:snapToGrid w:val="0"/>
                <w:color w:val="000000"/>
                <w:sz w:val="18"/>
                <w:szCs w:val="18"/>
              </w:rPr>
              <w:br/>
            </w:r>
            <w:r>
              <w:rPr>
                <w:snapToGrid w:val="0"/>
                <w:color w:val="000000"/>
                <w:sz w:val="18"/>
              </w:rPr>
              <w:t>FLAMM</w:t>
            </w:r>
            <w:r>
              <w:rPr>
                <w:snapToGrid w:val="0"/>
                <w:color w:val="000000"/>
                <w:sz w:val="18"/>
                <w:szCs w:val="18"/>
              </w:rPr>
              <w:br/>
            </w:r>
            <w:r>
              <w:rPr>
                <w:snapToGrid w:val="0"/>
                <w:color w:val="000000"/>
                <w:sz w:val="18"/>
              </w:rPr>
              <w:t>GANOD</w:t>
            </w:r>
            <w:r>
              <w:rPr>
                <w:snapToGrid w:val="0"/>
                <w:color w:val="000000"/>
                <w:sz w:val="18"/>
                <w:szCs w:val="18"/>
              </w:rPr>
              <w:br/>
            </w:r>
            <w:r>
              <w:rPr>
                <w:snapToGrid w:val="0"/>
                <w:color w:val="000000"/>
                <w:sz w:val="18"/>
              </w:rPr>
              <w:t>GRIFO</w:t>
            </w:r>
            <w:r>
              <w:rPr>
                <w:snapToGrid w:val="0"/>
                <w:color w:val="000000"/>
                <w:sz w:val="18"/>
                <w:szCs w:val="18"/>
              </w:rPr>
              <w:br/>
            </w:r>
            <w:r>
              <w:rPr>
                <w:snapToGrid w:val="0"/>
                <w:color w:val="000000"/>
                <w:sz w:val="18"/>
              </w:rPr>
              <w:t>HERIC</w:t>
            </w:r>
            <w:r>
              <w:rPr>
                <w:snapToGrid w:val="0"/>
                <w:color w:val="000000"/>
                <w:sz w:val="18"/>
                <w:szCs w:val="18"/>
              </w:rPr>
              <w:br/>
            </w:r>
            <w:r>
              <w:rPr>
                <w:snapToGrid w:val="0"/>
                <w:color w:val="000000"/>
                <w:sz w:val="18"/>
              </w:rPr>
              <w:t>HYPSI</w:t>
            </w:r>
            <w:r>
              <w:rPr>
                <w:snapToGrid w:val="0"/>
                <w:color w:val="000000"/>
                <w:sz w:val="18"/>
                <w:szCs w:val="18"/>
              </w:rPr>
              <w:br/>
            </w:r>
            <w:r>
              <w:rPr>
                <w:snapToGrid w:val="0"/>
                <w:color w:val="000000"/>
                <w:sz w:val="18"/>
              </w:rPr>
              <w:t>LENTI</w:t>
            </w:r>
            <w:r>
              <w:rPr>
                <w:snapToGrid w:val="0"/>
                <w:color w:val="000000"/>
                <w:sz w:val="18"/>
                <w:szCs w:val="18"/>
              </w:rPr>
              <w:br/>
            </w:r>
            <w:r>
              <w:rPr>
                <w:snapToGrid w:val="0"/>
                <w:color w:val="000000"/>
                <w:sz w:val="18"/>
              </w:rPr>
              <w:t>LEPIS</w:t>
            </w:r>
            <w:r>
              <w:rPr>
                <w:snapToGrid w:val="0"/>
                <w:color w:val="000000"/>
                <w:sz w:val="18"/>
                <w:szCs w:val="18"/>
              </w:rPr>
              <w:br/>
            </w:r>
            <w:r>
              <w:rPr>
                <w:snapToGrid w:val="0"/>
                <w:color w:val="000000"/>
                <w:sz w:val="18"/>
              </w:rPr>
              <w:t>LYOPH</w:t>
            </w:r>
            <w:r>
              <w:rPr>
                <w:snapToGrid w:val="0"/>
                <w:color w:val="000000"/>
                <w:sz w:val="18"/>
                <w:szCs w:val="18"/>
              </w:rPr>
              <w:br/>
            </w:r>
            <w:r>
              <w:rPr>
                <w:snapToGrid w:val="0"/>
                <w:color w:val="000000"/>
                <w:sz w:val="18"/>
              </w:rPr>
              <w:t>MERIP</w:t>
            </w:r>
            <w:r>
              <w:rPr>
                <w:snapToGrid w:val="0"/>
                <w:color w:val="000000"/>
                <w:sz w:val="18"/>
                <w:szCs w:val="18"/>
              </w:rPr>
              <w:br/>
            </w:r>
            <w:r>
              <w:rPr>
                <w:snapToGrid w:val="0"/>
                <w:color w:val="000000"/>
                <w:sz w:val="18"/>
              </w:rPr>
              <w:t>MYCOL</w:t>
            </w:r>
            <w:r>
              <w:rPr>
                <w:snapToGrid w:val="0"/>
                <w:color w:val="000000"/>
                <w:sz w:val="18"/>
                <w:szCs w:val="18"/>
              </w:rPr>
              <w:br/>
            </w:r>
            <w:r>
              <w:rPr>
                <w:snapToGrid w:val="0"/>
                <w:color w:val="000000"/>
                <w:sz w:val="18"/>
              </w:rPr>
              <w:t>NAEMA</w:t>
            </w:r>
            <w:r>
              <w:rPr>
                <w:snapToGrid w:val="0"/>
                <w:color w:val="000000"/>
                <w:sz w:val="18"/>
                <w:szCs w:val="18"/>
              </w:rPr>
              <w:br/>
            </w:r>
            <w:r>
              <w:rPr>
                <w:snapToGrid w:val="0"/>
                <w:color w:val="000000"/>
                <w:sz w:val="18"/>
              </w:rPr>
              <w:t>PANEL</w:t>
            </w:r>
            <w:r>
              <w:rPr>
                <w:snapToGrid w:val="0"/>
                <w:color w:val="000000"/>
                <w:sz w:val="18"/>
                <w:szCs w:val="18"/>
              </w:rPr>
              <w:br/>
            </w:r>
            <w:r>
              <w:rPr>
                <w:snapToGrid w:val="0"/>
                <w:color w:val="000000"/>
                <w:sz w:val="18"/>
              </w:rPr>
              <w:t>PHLIO</w:t>
            </w:r>
            <w:r>
              <w:rPr>
                <w:snapToGrid w:val="0"/>
                <w:color w:val="000000"/>
                <w:sz w:val="18"/>
                <w:szCs w:val="18"/>
              </w:rPr>
              <w:br/>
            </w:r>
            <w:r>
              <w:rPr>
                <w:snapToGrid w:val="0"/>
                <w:color w:val="000000"/>
                <w:sz w:val="18"/>
              </w:rPr>
              <w:t>PLEUR</w:t>
            </w:r>
            <w:r>
              <w:rPr>
                <w:snapToGrid w:val="0"/>
                <w:color w:val="000000"/>
                <w:sz w:val="18"/>
                <w:szCs w:val="18"/>
              </w:rPr>
              <w:br/>
            </w:r>
            <w:r>
              <w:rPr>
                <w:snapToGrid w:val="0"/>
                <w:color w:val="000000"/>
                <w:sz w:val="18"/>
              </w:rPr>
              <w:t>POLYO</w:t>
            </w:r>
            <w:r>
              <w:rPr>
                <w:snapToGrid w:val="0"/>
                <w:color w:val="000000"/>
                <w:sz w:val="18"/>
                <w:szCs w:val="18"/>
              </w:rPr>
              <w:br/>
            </w:r>
            <w:r>
              <w:rPr>
                <w:snapToGrid w:val="0"/>
                <w:color w:val="000000"/>
                <w:sz w:val="18"/>
              </w:rPr>
              <w:t>SPARA</w:t>
            </w:r>
            <w:r>
              <w:rPr>
                <w:snapToGrid w:val="0"/>
                <w:color w:val="000000"/>
                <w:sz w:val="18"/>
                <w:szCs w:val="18"/>
              </w:rPr>
              <w:br/>
            </w:r>
            <w:r>
              <w:rPr>
                <w:snapToGrid w:val="0"/>
                <w:color w:val="000000"/>
                <w:sz w:val="18"/>
              </w:rPr>
              <w:t>MACRO</w:t>
            </w:r>
          </w:p>
        </w:tc>
      </w:tr>
      <w:tr w:rsidR="00893C7D" w:rsidRPr="00A6443F" w14:paraId="2A9F76F3" w14:textId="77777777" w:rsidTr="006F1818">
        <w:trPr>
          <w:cantSplit/>
        </w:trPr>
        <w:tc>
          <w:tcPr>
            <w:tcW w:w="1277" w:type="dxa"/>
            <w:tcBorders>
              <w:bottom w:val="single" w:sz="4" w:space="0" w:color="auto"/>
            </w:tcBorders>
          </w:tcPr>
          <w:p w14:paraId="7F58B955" w14:textId="77777777" w:rsidR="00893C7D" w:rsidRPr="00A6443F" w:rsidRDefault="00893C7D" w:rsidP="00893C7D">
            <w:pPr>
              <w:spacing w:before="40" w:after="40"/>
              <w:ind w:left="567" w:right="113" w:hanging="567"/>
              <w:jc w:val="left"/>
              <w:rPr>
                <w:sz w:val="18"/>
                <w:szCs w:val="18"/>
              </w:rPr>
            </w:pPr>
            <w:r>
              <w:rPr>
                <w:snapToGrid w:val="0"/>
                <w:sz w:val="18"/>
              </w:rPr>
              <w:t>Clase 212</w:t>
            </w:r>
          </w:p>
        </w:tc>
        <w:tc>
          <w:tcPr>
            <w:tcW w:w="4473" w:type="dxa"/>
            <w:tcBorders>
              <w:bottom w:val="single" w:sz="4" w:space="0" w:color="auto"/>
            </w:tcBorders>
          </w:tcPr>
          <w:p w14:paraId="09CAEABE" w14:textId="77777777" w:rsidR="00893C7D" w:rsidRPr="00A6443F" w:rsidRDefault="00893C7D" w:rsidP="00893C7D">
            <w:pPr>
              <w:tabs>
                <w:tab w:val="left" w:pos="6373"/>
                <w:tab w:val="left" w:pos="9066"/>
              </w:tabs>
              <w:spacing w:before="40" w:after="40"/>
              <w:ind w:left="301" w:right="113" w:hanging="301"/>
              <w:jc w:val="left"/>
              <w:rPr>
                <w:sz w:val="18"/>
                <w:szCs w:val="18"/>
              </w:rPr>
            </w:pPr>
            <w:r>
              <w:rPr>
                <w:i/>
                <w:sz w:val="18"/>
              </w:rPr>
              <w:t>Verbena</w:t>
            </w:r>
            <w:r>
              <w:rPr>
                <w:sz w:val="18"/>
              </w:rPr>
              <w:t xml:space="preserve"> L. y </w:t>
            </w:r>
            <w:r>
              <w:rPr>
                <w:i/>
                <w:sz w:val="18"/>
              </w:rPr>
              <w:t>Glandularia</w:t>
            </w:r>
            <w:r>
              <w:rPr>
                <w:sz w:val="18"/>
              </w:rPr>
              <w:t xml:space="preserve"> J. F. Gmel.</w:t>
            </w:r>
          </w:p>
        </w:tc>
        <w:tc>
          <w:tcPr>
            <w:tcW w:w="4034" w:type="dxa"/>
            <w:tcBorders>
              <w:bottom w:val="single" w:sz="4" w:space="0" w:color="auto"/>
            </w:tcBorders>
          </w:tcPr>
          <w:p w14:paraId="489C2E0D" w14:textId="77777777" w:rsidR="00893C7D" w:rsidRPr="00A6443F" w:rsidRDefault="00893C7D" w:rsidP="00893C7D">
            <w:pPr>
              <w:spacing w:before="40" w:after="40"/>
              <w:jc w:val="left"/>
              <w:rPr>
                <w:snapToGrid w:val="0"/>
                <w:color w:val="000000"/>
                <w:sz w:val="18"/>
                <w:szCs w:val="18"/>
              </w:rPr>
            </w:pPr>
            <w:r>
              <w:rPr>
                <w:snapToGrid w:val="0"/>
                <w:color w:val="000000"/>
                <w:sz w:val="18"/>
              </w:rPr>
              <w:t>VERBE; GLAND</w:t>
            </w:r>
          </w:p>
        </w:tc>
      </w:tr>
      <w:tr w:rsidR="006F1818" w:rsidRPr="00A6443F" w14:paraId="30B37011" w14:textId="77777777"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14:paraId="42A31408" w14:textId="77777777" w:rsidR="006F1818" w:rsidRPr="00A6443F" w:rsidRDefault="006F1818" w:rsidP="00893C7D">
            <w:pPr>
              <w:spacing w:before="40"/>
              <w:ind w:left="301" w:right="113" w:hanging="301"/>
              <w:jc w:val="left"/>
              <w:rPr>
                <w:sz w:val="18"/>
                <w:szCs w:val="18"/>
              </w:rPr>
            </w:pPr>
            <w:r>
              <w:rPr>
                <w:sz w:val="18"/>
              </w:rPr>
              <w:t>Clase 213</w:t>
            </w:r>
          </w:p>
        </w:tc>
        <w:tc>
          <w:tcPr>
            <w:tcW w:w="4473" w:type="dxa"/>
            <w:tcBorders>
              <w:top w:val="single" w:sz="4" w:space="0" w:color="auto"/>
              <w:left w:val="single" w:sz="4" w:space="0" w:color="auto"/>
              <w:right w:val="single" w:sz="4" w:space="0" w:color="auto"/>
            </w:tcBorders>
            <w:shd w:val="clear" w:color="auto" w:fill="auto"/>
          </w:tcPr>
          <w:p w14:paraId="054442E3" w14:textId="77777777" w:rsidR="006F1818" w:rsidRPr="00F25630" w:rsidRDefault="006F1818" w:rsidP="006F1818">
            <w:pPr>
              <w:tabs>
                <w:tab w:val="left" w:pos="6373"/>
                <w:tab w:val="left" w:pos="9066"/>
              </w:tabs>
              <w:spacing w:before="40" w:after="40"/>
              <w:ind w:left="298" w:right="113" w:hanging="298"/>
              <w:jc w:val="left"/>
              <w:rPr>
                <w:color w:val="000000"/>
                <w:sz w:val="18"/>
                <w:szCs w:val="18"/>
                <w:lang w:val="en-GB"/>
              </w:rPr>
            </w:pPr>
            <w:r w:rsidRPr="00F25630">
              <w:rPr>
                <w:i/>
                <w:sz w:val="18"/>
                <w:lang w:val="en-GB"/>
              </w:rPr>
              <w:t>Eupatorium</w:t>
            </w:r>
            <w:r w:rsidRPr="00F25630">
              <w:rPr>
                <w:color w:val="000000"/>
                <w:sz w:val="18"/>
                <w:lang w:val="en-GB"/>
              </w:rPr>
              <w:t xml:space="preserve"> L.</w:t>
            </w:r>
            <w:r w:rsidRPr="00F25630">
              <w:rPr>
                <w:color w:val="000000"/>
                <w:sz w:val="18"/>
                <w:szCs w:val="18"/>
                <w:lang w:val="en-GB"/>
              </w:rPr>
              <w:br/>
            </w:r>
            <w:r w:rsidRPr="00F25630">
              <w:rPr>
                <w:i/>
                <w:color w:val="000000"/>
                <w:sz w:val="18"/>
                <w:lang w:val="en-GB"/>
              </w:rPr>
              <w:t>Acanthostyles</w:t>
            </w:r>
            <w:r w:rsidRPr="00F25630">
              <w:rPr>
                <w:color w:val="000000"/>
                <w:sz w:val="18"/>
                <w:lang w:val="en-GB"/>
              </w:rPr>
              <w:t xml:space="preserve"> R. M. King &amp; H. Rob.</w:t>
            </w:r>
            <w:r w:rsidRPr="00F25630">
              <w:rPr>
                <w:color w:val="000000"/>
                <w:sz w:val="18"/>
                <w:szCs w:val="18"/>
                <w:lang w:val="en-GB"/>
              </w:rPr>
              <w:br/>
            </w:r>
            <w:r w:rsidRPr="00F25630">
              <w:rPr>
                <w:i/>
                <w:color w:val="000000"/>
                <w:sz w:val="18"/>
                <w:lang w:val="en-GB"/>
              </w:rPr>
              <w:t>Ageratina</w:t>
            </w:r>
            <w:r w:rsidRPr="00F25630">
              <w:rPr>
                <w:color w:val="000000"/>
                <w:sz w:val="18"/>
                <w:lang w:val="en-GB"/>
              </w:rPr>
              <w:t xml:space="preserve"> Spach</w:t>
            </w:r>
            <w:r w:rsidRPr="00F25630">
              <w:rPr>
                <w:color w:val="000000"/>
                <w:sz w:val="18"/>
                <w:szCs w:val="18"/>
                <w:lang w:val="en-GB"/>
              </w:rPr>
              <w:br/>
            </w:r>
            <w:r w:rsidRPr="00F25630">
              <w:rPr>
                <w:i/>
                <w:sz w:val="18"/>
                <w:lang w:val="en-GB"/>
              </w:rPr>
              <w:t>Asplundianthus</w:t>
            </w:r>
            <w:r w:rsidRPr="00F25630">
              <w:rPr>
                <w:sz w:val="18"/>
                <w:lang w:val="en-GB"/>
              </w:rPr>
              <w:t xml:space="preserve"> R. M. King &amp; H. Rob.</w:t>
            </w:r>
            <w:r w:rsidRPr="00F25630">
              <w:rPr>
                <w:color w:val="000000"/>
                <w:sz w:val="18"/>
                <w:szCs w:val="18"/>
                <w:lang w:val="en-GB"/>
              </w:rPr>
              <w:br/>
            </w:r>
            <w:r w:rsidRPr="00F25630">
              <w:rPr>
                <w:i/>
                <w:sz w:val="18"/>
                <w:lang w:val="en-GB"/>
              </w:rPr>
              <w:t>Bartlettina</w:t>
            </w:r>
            <w:r w:rsidRPr="00F25630">
              <w:rPr>
                <w:sz w:val="18"/>
                <w:lang w:val="en-GB"/>
              </w:rPr>
              <w:t xml:space="preserve"> R. M. King &amp; H. Rob.</w:t>
            </w:r>
            <w:r w:rsidRPr="00F25630">
              <w:rPr>
                <w:color w:val="000000"/>
                <w:sz w:val="18"/>
                <w:szCs w:val="18"/>
                <w:lang w:val="en-GB"/>
              </w:rPr>
              <w:br/>
            </w:r>
            <w:r w:rsidRPr="00F25630">
              <w:rPr>
                <w:i/>
                <w:sz w:val="18"/>
                <w:lang w:val="en-GB"/>
              </w:rPr>
              <w:t>Campuloclinium</w:t>
            </w:r>
            <w:r w:rsidRPr="00F25630">
              <w:rPr>
                <w:sz w:val="18"/>
                <w:lang w:val="en-GB"/>
              </w:rPr>
              <w:t xml:space="preserve"> DC.</w:t>
            </w:r>
            <w:r w:rsidRPr="00F25630">
              <w:rPr>
                <w:color w:val="000000"/>
                <w:sz w:val="18"/>
                <w:szCs w:val="18"/>
                <w:lang w:val="en-GB"/>
              </w:rPr>
              <w:br/>
            </w:r>
            <w:r w:rsidRPr="00F25630">
              <w:rPr>
                <w:i/>
                <w:sz w:val="18"/>
                <w:lang w:val="en-GB"/>
              </w:rPr>
              <w:t>Chromolaena</w:t>
            </w:r>
            <w:r w:rsidRPr="00F25630">
              <w:rPr>
                <w:sz w:val="18"/>
                <w:lang w:val="en-GB"/>
              </w:rPr>
              <w:t xml:space="preserve"> DC.</w:t>
            </w:r>
            <w:r w:rsidRPr="00F25630">
              <w:rPr>
                <w:color w:val="000000"/>
                <w:sz w:val="18"/>
                <w:szCs w:val="18"/>
                <w:lang w:val="en-GB"/>
              </w:rPr>
              <w:br/>
            </w:r>
            <w:r w:rsidRPr="00F25630">
              <w:rPr>
                <w:i/>
                <w:sz w:val="18"/>
                <w:lang w:val="en-GB"/>
              </w:rPr>
              <w:t>Conoclinium</w:t>
            </w:r>
            <w:r w:rsidRPr="00F25630">
              <w:rPr>
                <w:sz w:val="18"/>
                <w:lang w:val="en-GB"/>
              </w:rPr>
              <w:t xml:space="preserve"> DC.</w:t>
            </w:r>
            <w:r w:rsidRPr="00F25630">
              <w:rPr>
                <w:color w:val="000000"/>
                <w:sz w:val="18"/>
                <w:szCs w:val="18"/>
                <w:lang w:val="en-GB"/>
              </w:rPr>
              <w:br/>
            </w:r>
            <w:r w:rsidRPr="00F25630">
              <w:rPr>
                <w:i/>
                <w:sz w:val="18"/>
                <w:lang w:val="en-GB"/>
              </w:rPr>
              <w:t>Cronquistianthus</w:t>
            </w:r>
            <w:r w:rsidRPr="00F25630">
              <w:rPr>
                <w:sz w:val="18"/>
                <w:lang w:val="en-GB"/>
              </w:rPr>
              <w:t xml:space="preserve"> R. M. King &amp; H. Rob.</w:t>
            </w:r>
            <w:r w:rsidRPr="00F25630">
              <w:rPr>
                <w:color w:val="000000"/>
                <w:sz w:val="18"/>
                <w:szCs w:val="18"/>
                <w:lang w:val="en-GB"/>
              </w:rPr>
              <w:br/>
            </w:r>
            <w:r w:rsidRPr="00F25630">
              <w:rPr>
                <w:i/>
                <w:color w:val="000000"/>
                <w:sz w:val="18"/>
                <w:lang w:val="en-GB"/>
              </w:rPr>
              <w:t>Eutrochium</w:t>
            </w:r>
            <w:r w:rsidRPr="00F25630">
              <w:rPr>
                <w:color w:val="000000"/>
                <w:sz w:val="18"/>
                <w:lang w:val="en-GB"/>
              </w:rPr>
              <w:t xml:space="preserve"> Raf.</w:t>
            </w:r>
            <w:r w:rsidRPr="00F25630">
              <w:rPr>
                <w:color w:val="000000"/>
                <w:sz w:val="18"/>
                <w:szCs w:val="18"/>
                <w:lang w:val="en-GB"/>
              </w:rPr>
              <w:br/>
            </w:r>
            <w:r w:rsidRPr="00F25630">
              <w:rPr>
                <w:i/>
                <w:sz w:val="18"/>
                <w:lang w:val="en-GB"/>
              </w:rPr>
              <w:t>Fleischmannia</w:t>
            </w:r>
            <w:r w:rsidRPr="00F25630">
              <w:rPr>
                <w:sz w:val="18"/>
                <w:lang w:val="en-GB"/>
              </w:rPr>
              <w:t xml:space="preserve"> Sch. Bip.</w:t>
            </w:r>
            <w:r w:rsidRPr="00F25630">
              <w:rPr>
                <w:color w:val="000000"/>
                <w:sz w:val="18"/>
                <w:szCs w:val="18"/>
                <w:lang w:val="en-GB"/>
              </w:rPr>
              <w:br/>
            </w:r>
            <w:r w:rsidRPr="00F25630">
              <w:rPr>
                <w:i/>
                <w:sz w:val="18"/>
                <w:lang w:val="en-GB"/>
              </w:rPr>
              <w:t>Praxelis</w:t>
            </w:r>
            <w:r w:rsidRPr="00F25630">
              <w:rPr>
                <w:sz w:val="18"/>
                <w:lang w:val="en-GB"/>
              </w:rPr>
              <w:t xml:space="preserve"> Cass.</w:t>
            </w:r>
            <w:r w:rsidRPr="00F25630">
              <w:rPr>
                <w:sz w:val="18"/>
                <w:szCs w:val="18"/>
                <w:lang w:val="en-GB"/>
              </w:rPr>
              <w:br/>
            </w:r>
            <w:r w:rsidRPr="00F25630">
              <w:rPr>
                <w:i/>
                <w:sz w:val="18"/>
                <w:lang w:val="en-GB"/>
              </w:rPr>
              <w:t>Viereckia</w:t>
            </w:r>
            <w:r w:rsidRPr="00F25630">
              <w:rPr>
                <w:sz w:val="18"/>
                <w:lang w:val="en-GB"/>
              </w:rPr>
              <w:t xml:space="preserve"> R. M. King &amp; H. Rob.</w:t>
            </w:r>
          </w:p>
        </w:tc>
        <w:tc>
          <w:tcPr>
            <w:tcW w:w="4034" w:type="dxa"/>
            <w:tcBorders>
              <w:top w:val="single" w:sz="4" w:space="0" w:color="auto"/>
              <w:left w:val="single" w:sz="4" w:space="0" w:color="auto"/>
              <w:right w:val="single" w:sz="4" w:space="0" w:color="auto"/>
            </w:tcBorders>
            <w:shd w:val="clear" w:color="auto" w:fill="auto"/>
          </w:tcPr>
          <w:p w14:paraId="26C6B8FC" w14:textId="77777777" w:rsidR="006F1818" w:rsidRPr="00A6443F" w:rsidRDefault="006F1818" w:rsidP="00893C7D">
            <w:pPr>
              <w:spacing w:before="10" w:after="10"/>
              <w:jc w:val="left"/>
              <w:rPr>
                <w:sz w:val="18"/>
                <w:szCs w:val="18"/>
              </w:rPr>
            </w:pPr>
            <w:r>
              <w:rPr>
                <w:sz w:val="18"/>
              </w:rPr>
              <w:t>EUPAT</w:t>
            </w:r>
            <w:r>
              <w:rPr>
                <w:sz w:val="18"/>
                <w:szCs w:val="18"/>
              </w:rPr>
              <w:br/>
            </w:r>
            <w:r>
              <w:rPr>
                <w:sz w:val="18"/>
              </w:rPr>
              <w:t>-</w:t>
            </w:r>
            <w:r>
              <w:rPr>
                <w:sz w:val="18"/>
                <w:szCs w:val="18"/>
              </w:rPr>
              <w:br/>
            </w:r>
            <w:r>
              <w:rPr>
                <w:sz w:val="18"/>
              </w:rPr>
              <w:t>AGERT</w:t>
            </w:r>
            <w:r>
              <w:rPr>
                <w:sz w:val="18"/>
                <w:szCs w:val="18"/>
              </w:rPr>
              <w:br/>
            </w:r>
            <w:r>
              <w:rPr>
                <w:sz w:val="18"/>
              </w:rPr>
              <w:t>-</w:t>
            </w:r>
            <w:r>
              <w:rPr>
                <w:sz w:val="18"/>
                <w:szCs w:val="18"/>
              </w:rPr>
              <w:br/>
            </w:r>
            <w:r>
              <w:rPr>
                <w:sz w:val="18"/>
              </w:rPr>
              <w:t>-</w:t>
            </w:r>
            <w:r>
              <w:rPr>
                <w:sz w:val="18"/>
                <w:szCs w:val="18"/>
              </w:rPr>
              <w:br/>
            </w:r>
            <w:r>
              <w:rPr>
                <w:sz w:val="18"/>
              </w:rPr>
              <w:t>-</w:t>
            </w:r>
            <w:r>
              <w:rPr>
                <w:sz w:val="18"/>
                <w:szCs w:val="18"/>
              </w:rPr>
              <w:br/>
            </w:r>
            <w:r>
              <w:rPr>
                <w:sz w:val="18"/>
              </w:rPr>
              <w:t>-</w:t>
            </w:r>
            <w:r>
              <w:rPr>
                <w:sz w:val="18"/>
                <w:szCs w:val="18"/>
              </w:rPr>
              <w:br/>
            </w:r>
            <w:r>
              <w:rPr>
                <w:sz w:val="18"/>
              </w:rPr>
              <w:t>-</w:t>
            </w:r>
            <w:r>
              <w:rPr>
                <w:sz w:val="18"/>
                <w:szCs w:val="18"/>
              </w:rPr>
              <w:br/>
            </w:r>
            <w:r>
              <w:rPr>
                <w:sz w:val="18"/>
              </w:rPr>
              <w:t>-</w:t>
            </w:r>
            <w:r>
              <w:rPr>
                <w:sz w:val="18"/>
                <w:szCs w:val="18"/>
              </w:rPr>
              <w:br/>
            </w:r>
            <w:r>
              <w:rPr>
                <w:sz w:val="18"/>
              </w:rPr>
              <w:t>EUTRO</w:t>
            </w:r>
            <w:r>
              <w:rPr>
                <w:sz w:val="18"/>
                <w:szCs w:val="18"/>
              </w:rPr>
              <w:br/>
            </w:r>
            <w:r>
              <w:rPr>
                <w:sz w:val="18"/>
              </w:rPr>
              <w:t>-</w:t>
            </w:r>
            <w:r>
              <w:rPr>
                <w:sz w:val="18"/>
                <w:szCs w:val="18"/>
              </w:rPr>
              <w:br/>
            </w:r>
            <w:r>
              <w:rPr>
                <w:sz w:val="18"/>
              </w:rPr>
              <w:t>-</w:t>
            </w:r>
            <w:r>
              <w:rPr>
                <w:sz w:val="18"/>
                <w:szCs w:val="18"/>
              </w:rPr>
              <w:br/>
            </w:r>
            <w:r>
              <w:rPr>
                <w:sz w:val="18"/>
              </w:rPr>
              <w:t>-</w:t>
            </w:r>
          </w:p>
        </w:tc>
      </w:tr>
    </w:tbl>
    <w:p w14:paraId="6EDF11D1" w14:textId="77777777" w:rsidR="00C6277E" w:rsidRDefault="00C6277E" w:rsidP="00C6277E"/>
    <w:p w14:paraId="7EBB705D" w14:textId="77777777" w:rsidR="006F1818" w:rsidRDefault="006F1818" w:rsidP="00C6277E">
      <w:r>
        <w:rPr>
          <w:rFonts w:cs="Arial"/>
          <w:noProof/>
          <w:lang w:val="en-US" w:eastAsia="en-US" w:bidi="ar-SA"/>
        </w:rPr>
        <mc:AlternateContent>
          <mc:Choice Requires="wps">
            <w:drawing>
              <wp:anchor distT="0" distB="0" distL="114300" distR="114300" simplePos="0" relativeHeight="251659264" behindDoc="0" locked="0" layoutInCell="0" allowOverlap="1" wp14:anchorId="082120A6" wp14:editId="79EE3DF8">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CCBC" w14:textId="77777777" w:rsidR="00C134CF" w:rsidRPr="009929A5" w:rsidRDefault="00C134CF">
                            <w:pPr>
                              <w:ind w:right="53"/>
                              <w:jc w:val="right"/>
                              <w:rPr>
                                <w:rFonts w:cs="Arial"/>
                              </w:rPr>
                            </w:pPr>
                            <w:r>
                              <w:t>[Sigue el Anexo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120A6"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14:paraId="483CCCBC" w14:textId="77777777" w:rsidR="00C134CF" w:rsidRPr="009929A5" w:rsidRDefault="00C134CF">
                      <w:pPr>
                        <w:ind w:right="53"/>
                        <w:jc w:val="right"/>
                        <w:rPr>
                          <w:rFonts w:cs="Arial"/>
                        </w:rPr>
                      </w:pPr>
                      <w:r>
                        <w:t>[Sigue el Anexo II]</w:t>
                      </w:r>
                    </w:p>
                  </w:txbxContent>
                </v:textbox>
              </v:shape>
            </w:pict>
          </mc:Fallback>
        </mc:AlternateContent>
      </w:r>
    </w:p>
    <w:p w14:paraId="77D2A049" w14:textId="77777777" w:rsidR="00893C7D" w:rsidRPr="00407B23" w:rsidRDefault="00893C7D" w:rsidP="00893C7D">
      <w:pPr>
        <w:jc w:val="right"/>
        <w:sectPr w:rsidR="00893C7D" w:rsidRPr="00407B23"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14:paraId="665BFE23" w14:textId="77777777" w:rsidR="00893C7D" w:rsidRPr="00407B23" w:rsidRDefault="00893C7D" w:rsidP="00893C7D">
      <w:pPr>
        <w:jc w:val="center"/>
        <w:rPr>
          <w:u w:val="single"/>
        </w:rPr>
      </w:pPr>
      <w:r>
        <w:rPr>
          <w:u w:val="single"/>
        </w:rPr>
        <w:lastRenderedPageBreak/>
        <w:t>Formulario tipo para las observaciones sobre denominaciones</w:t>
      </w:r>
    </w:p>
    <w:p w14:paraId="72317B06" w14:textId="77777777" w:rsidR="00893C7D" w:rsidRPr="00407B23" w:rsidRDefault="00893C7D" w:rsidP="00893C7D">
      <w:pPr>
        <w:jc w:val="center"/>
        <w:rPr>
          <w:u w:val="single"/>
        </w:rPr>
      </w:pPr>
      <w:r>
        <w:rPr>
          <w:u w:val="single"/>
        </w:rPr>
        <w:t>de variedades propuestas a otro miembro de la Unión</w:t>
      </w:r>
    </w:p>
    <w:p w14:paraId="6F498E1D" w14:textId="77777777" w:rsidR="00893C7D" w:rsidRPr="00407B23" w:rsidRDefault="00893C7D" w:rsidP="00893C7D"/>
    <w:p w14:paraId="73DDCEF7" w14:textId="77777777" w:rsidR="00893C7D" w:rsidRPr="00407B23" w:rsidRDefault="00893C7D" w:rsidP="00893C7D">
      <w:r>
        <w:t>De:</w:t>
      </w:r>
    </w:p>
    <w:p w14:paraId="1F59D13E" w14:textId="77777777" w:rsidR="00893C7D" w:rsidRPr="00407B23" w:rsidRDefault="00893C7D" w:rsidP="00893C7D">
      <w:pPr>
        <w:tabs>
          <w:tab w:val="right" w:leader="underscore" w:pos="9639"/>
        </w:tabs>
        <w:ind w:left="4678"/>
        <w:jc w:val="center"/>
      </w:pPr>
      <w:r>
        <w:tab/>
      </w:r>
    </w:p>
    <w:p w14:paraId="53BD0692" w14:textId="77777777" w:rsidR="00893C7D" w:rsidRPr="00407B23" w:rsidRDefault="00893C7D" w:rsidP="00893C7D">
      <w:pPr>
        <w:tabs>
          <w:tab w:val="left" w:pos="4678"/>
          <w:tab w:val="right" w:leader="underscore" w:pos="9072"/>
        </w:tabs>
        <w:ind w:left="4678"/>
        <w:jc w:val="center"/>
      </w:pPr>
      <w:r>
        <w:t>Su referencia</w:t>
      </w:r>
    </w:p>
    <w:p w14:paraId="15B20115" w14:textId="77777777" w:rsidR="00893C7D" w:rsidRPr="00407B23" w:rsidRDefault="00893C7D" w:rsidP="00893C7D">
      <w:pPr>
        <w:tabs>
          <w:tab w:val="left" w:pos="4678"/>
          <w:tab w:val="right" w:leader="underscore" w:pos="9639"/>
        </w:tabs>
        <w:ind w:left="4678"/>
        <w:jc w:val="center"/>
      </w:pPr>
      <w:r>
        <w:tab/>
      </w:r>
    </w:p>
    <w:p w14:paraId="68E047A3" w14:textId="77777777" w:rsidR="00893C7D" w:rsidRPr="00407B23" w:rsidRDefault="00893C7D" w:rsidP="00893C7D">
      <w:pPr>
        <w:tabs>
          <w:tab w:val="left" w:pos="4678"/>
          <w:tab w:val="right" w:leader="underscore" w:pos="9072"/>
        </w:tabs>
        <w:ind w:left="4678"/>
        <w:jc w:val="center"/>
      </w:pPr>
      <w:r>
        <w:t>Nuestra referencia</w:t>
      </w:r>
    </w:p>
    <w:p w14:paraId="7F291D37" w14:textId="77777777" w:rsidR="00893C7D" w:rsidRPr="00407B23" w:rsidRDefault="00893C7D" w:rsidP="00893C7D"/>
    <w:p w14:paraId="6752C17C" w14:textId="77777777" w:rsidR="00893C7D" w:rsidRPr="00407B23" w:rsidRDefault="00893C7D" w:rsidP="00893C7D"/>
    <w:p w14:paraId="6CD5B1A6" w14:textId="77777777" w:rsidR="00893C7D" w:rsidRPr="00407B23" w:rsidRDefault="00893C7D" w:rsidP="00893C7D">
      <w:pPr>
        <w:jc w:val="center"/>
        <w:rPr>
          <w:b/>
        </w:rPr>
      </w:pPr>
      <w:r>
        <w:rPr>
          <w:b/>
        </w:rPr>
        <w:t>Observaciones sobre una denominación de variedad propuesta</w:t>
      </w:r>
    </w:p>
    <w:p w14:paraId="5D0D13F4" w14:textId="77777777" w:rsidR="00893C7D" w:rsidRPr="00407B23" w:rsidRDefault="00893C7D" w:rsidP="00893C7D">
      <w:pPr>
        <w:jc w:val="center"/>
        <w:rPr>
          <w:b/>
        </w:rPr>
      </w:pPr>
    </w:p>
    <w:p w14:paraId="59C37226" w14:textId="4189F480" w:rsidR="00893C7D" w:rsidRPr="00407B23" w:rsidRDefault="00893C7D" w:rsidP="00893C7D">
      <w:r>
        <w:t>A:</w:t>
      </w:r>
      <w:r w:rsidR="0039613E">
        <w:t xml:space="preserve"> </w:t>
      </w:r>
    </w:p>
    <w:p w14:paraId="39FEF4F8" w14:textId="77777777" w:rsidR="00893C7D" w:rsidRPr="00407B23" w:rsidRDefault="00893C7D" w:rsidP="00893C7D"/>
    <w:p w14:paraId="0508ADC8" w14:textId="77777777" w:rsidR="00893C7D" w:rsidRPr="00407B23" w:rsidRDefault="00893C7D" w:rsidP="00893C7D"/>
    <w:p w14:paraId="38FF8369" w14:textId="12868A17" w:rsidR="00893C7D" w:rsidRPr="00407B23" w:rsidRDefault="00893C7D" w:rsidP="00893C7D">
      <w:pPr>
        <w:tabs>
          <w:tab w:val="right" w:leader="underscore" w:pos="9639"/>
        </w:tabs>
      </w:pPr>
      <w:r>
        <w:t>Denominación de variedad propuesta:</w:t>
      </w:r>
      <w:r w:rsidR="0039613E">
        <w:t xml:space="preserve"> </w:t>
      </w:r>
      <w:r>
        <w:tab/>
      </w:r>
    </w:p>
    <w:p w14:paraId="3D611E00" w14:textId="77777777" w:rsidR="00893C7D" w:rsidRPr="00407B23" w:rsidRDefault="00893C7D" w:rsidP="00893C7D">
      <w:pPr>
        <w:tabs>
          <w:tab w:val="right" w:leader="underscore" w:pos="9072"/>
        </w:tabs>
      </w:pPr>
    </w:p>
    <w:p w14:paraId="51C8AB15" w14:textId="5BBD0E01" w:rsidR="00893C7D" w:rsidRPr="00407B23" w:rsidRDefault="00893C7D" w:rsidP="00893C7D">
      <w:pPr>
        <w:tabs>
          <w:tab w:val="right" w:leader="underscore" w:pos="6096"/>
          <w:tab w:val="left" w:pos="6237"/>
          <w:tab w:val="right" w:leader="underscore" w:pos="9639"/>
        </w:tabs>
      </w:pPr>
      <w:r>
        <w:t>Género/especie (nombre botánico):</w:t>
      </w:r>
      <w:r w:rsidR="0039613E">
        <w:t xml:space="preserve"> </w:t>
      </w:r>
      <w:r>
        <w:tab/>
      </w:r>
      <w:r>
        <w:tab/>
        <w:t>Código de la UPOV:</w:t>
      </w:r>
      <w:r w:rsidR="0039613E">
        <w:t xml:space="preserve"> </w:t>
      </w:r>
      <w:r>
        <w:tab/>
      </w:r>
    </w:p>
    <w:p w14:paraId="1A58309A" w14:textId="77777777" w:rsidR="00893C7D" w:rsidRPr="00407B23" w:rsidRDefault="00893C7D" w:rsidP="00893C7D">
      <w:pPr>
        <w:tabs>
          <w:tab w:val="right" w:leader="underscore" w:pos="9072"/>
        </w:tabs>
      </w:pPr>
    </w:p>
    <w:p w14:paraId="444D53F8" w14:textId="6A850FB2" w:rsidR="00893C7D" w:rsidRPr="00407B23" w:rsidRDefault="00893C7D" w:rsidP="00893C7D">
      <w:pPr>
        <w:tabs>
          <w:tab w:val="right" w:leader="underscore" w:pos="9639"/>
        </w:tabs>
      </w:pPr>
      <w:r>
        <w:t>Boletín:</w:t>
      </w:r>
      <w:r w:rsidR="0039613E">
        <w:t xml:space="preserve"> </w:t>
      </w:r>
      <w:r>
        <w:tab/>
      </w:r>
    </w:p>
    <w:p w14:paraId="659B2AA2" w14:textId="77777777" w:rsidR="00893C7D" w:rsidRPr="00407B23" w:rsidRDefault="00893C7D" w:rsidP="00893C7D">
      <w:pPr>
        <w:tabs>
          <w:tab w:val="right" w:leader="underscore" w:pos="9072"/>
        </w:tabs>
        <w:jc w:val="center"/>
      </w:pPr>
      <w:r>
        <w:t>(número/año)</w:t>
      </w:r>
    </w:p>
    <w:p w14:paraId="0CBF6504" w14:textId="77777777" w:rsidR="00893C7D" w:rsidRPr="00407B23" w:rsidRDefault="00893C7D" w:rsidP="00893C7D">
      <w:pPr>
        <w:tabs>
          <w:tab w:val="right" w:leader="underscore" w:pos="9072"/>
        </w:tabs>
      </w:pPr>
    </w:p>
    <w:p w14:paraId="25930DF7" w14:textId="653BF855" w:rsidR="00893C7D" w:rsidRPr="00407B23" w:rsidRDefault="00893C7D" w:rsidP="00893C7D">
      <w:pPr>
        <w:tabs>
          <w:tab w:val="right" w:leader="underscore" w:pos="9639"/>
        </w:tabs>
      </w:pPr>
      <w:r>
        <w:t>Solicitante:</w:t>
      </w:r>
      <w:r w:rsidR="008130BA">
        <w:t xml:space="preserve"> </w:t>
      </w:r>
      <w:r>
        <w:tab/>
      </w:r>
    </w:p>
    <w:p w14:paraId="158B8976" w14:textId="77777777" w:rsidR="00893C7D" w:rsidRPr="00407B23" w:rsidRDefault="00893C7D" w:rsidP="00893C7D">
      <w:pPr>
        <w:tabs>
          <w:tab w:val="right" w:leader="underscore" w:pos="9072"/>
        </w:tabs>
      </w:pPr>
    </w:p>
    <w:p w14:paraId="25252758" w14:textId="77777777" w:rsidR="00893C7D" w:rsidRPr="00407B23" w:rsidRDefault="00893C7D" w:rsidP="00893C7D">
      <w:pPr>
        <w:tabs>
          <w:tab w:val="right" w:leader="underscore" w:pos="9639"/>
        </w:tabs>
      </w:pPr>
      <w:r>
        <w:t xml:space="preserve">Observaciones: </w:t>
      </w:r>
      <w:r>
        <w:tab/>
      </w:r>
    </w:p>
    <w:p w14:paraId="1D632CA5" w14:textId="77777777" w:rsidR="00893C7D" w:rsidRPr="00407B23" w:rsidRDefault="00893C7D" w:rsidP="00893C7D">
      <w:pPr>
        <w:tabs>
          <w:tab w:val="right" w:leader="underscore" w:pos="9072"/>
        </w:tabs>
      </w:pPr>
    </w:p>
    <w:p w14:paraId="00B468F9" w14:textId="77777777" w:rsidR="00893C7D" w:rsidRPr="00407B23" w:rsidRDefault="00893C7D" w:rsidP="00893C7D">
      <w:pPr>
        <w:tabs>
          <w:tab w:val="right" w:leader="underscore" w:pos="9639"/>
        </w:tabs>
      </w:pPr>
      <w:r>
        <w:tab/>
      </w:r>
    </w:p>
    <w:p w14:paraId="242BC052" w14:textId="77777777" w:rsidR="00893C7D" w:rsidRPr="00407B23" w:rsidRDefault="00893C7D" w:rsidP="00893C7D">
      <w:pPr>
        <w:tabs>
          <w:tab w:val="right" w:leader="underscore" w:pos="9072"/>
        </w:tabs>
      </w:pPr>
    </w:p>
    <w:p w14:paraId="3D7DD58B" w14:textId="77777777" w:rsidR="00893C7D" w:rsidRPr="00407B23" w:rsidRDefault="00893C7D" w:rsidP="00893C7D">
      <w:pPr>
        <w:tabs>
          <w:tab w:val="right" w:leader="underscore" w:pos="9639"/>
        </w:tabs>
      </w:pPr>
      <w:r>
        <w:tab/>
      </w:r>
    </w:p>
    <w:p w14:paraId="1F760CFA" w14:textId="77777777" w:rsidR="00893C7D" w:rsidRPr="00407B23" w:rsidRDefault="00893C7D" w:rsidP="00893C7D">
      <w:pPr>
        <w:tabs>
          <w:tab w:val="right" w:leader="underscore" w:pos="9072"/>
        </w:tabs>
      </w:pPr>
    </w:p>
    <w:p w14:paraId="0EDC9BF4" w14:textId="77777777" w:rsidR="00893C7D" w:rsidRPr="00407B23" w:rsidRDefault="00893C7D" w:rsidP="00893C7D">
      <w:pPr>
        <w:tabs>
          <w:tab w:val="right" w:leader="underscore" w:pos="9639"/>
        </w:tabs>
      </w:pPr>
      <w:r>
        <w:tab/>
      </w:r>
    </w:p>
    <w:p w14:paraId="40579DE8" w14:textId="77777777" w:rsidR="00893C7D" w:rsidRPr="00407B23" w:rsidRDefault="00893C7D" w:rsidP="00893C7D">
      <w:pPr>
        <w:tabs>
          <w:tab w:val="right" w:leader="underscore" w:pos="9072"/>
        </w:tabs>
      </w:pPr>
    </w:p>
    <w:p w14:paraId="7C51A4F2" w14:textId="77777777" w:rsidR="00893C7D" w:rsidRPr="00407B23" w:rsidRDefault="00893C7D" w:rsidP="00893C7D">
      <w:pPr>
        <w:pStyle w:val="BodyText"/>
        <w:tabs>
          <w:tab w:val="right" w:leader="underscore" w:pos="9072"/>
        </w:tabs>
      </w:pPr>
      <w:r>
        <w:t>Si las observaciones se refieren a una marca o a otro derecho, indique el nombre y la dirección de su titular (de ser posible):</w:t>
      </w:r>
    </w:p>
    <w:p w14:paraId="6331C5AF" w14:textId="77777777" w:rsidR="00893C7D" w:rsidRPr="00407B23" w:rsidRDefault="00893C7D" w:rsidP="00893C7D">
      <w:pPr>
        <w:tabs>
          <w:tab w:val="right" w:leader="underscore" w:pos="9639"/>
        </w:tabs>
        <w:ind w:right="-568"/>
      </w:pPr>
      <w:r>
        <w:tab/>
      </w:r>
    </w:p>
    <w:p w14:paraId="0779A877" w14:textId="77777777" w:rsidR="00893C7D" w:rsidRPr="00407B23" w:rsidRDefault="00893C7D" w:rsidP="00893C7D">
      <w:pPr>
        <w:tabs>
          <w:tab w:val="right" w:leader="underscore" w:pos="9072"/>
          <w:tab w:val="left" w:pos="10773"/>
        </w:tabs>
        <w:ind w:right="-1"/>
      </w:pPr>
    </w:p>
    <w:p w14:paraId="61408132" w14:textId="77777777" w:rsidR="00893C7D" w:rsidRPr="00407B23" w:rsidRDefault="00893C7D" w:rsidP="00893C7D">
      <w:pPr>
        <w:pStyle w:val="BodyText"/>
        <w:tabs>
          <w:tab w:val="right" w:leader="underscore" w:pos="9639"/>
        </w:tabs>
      </w:pPr>
      <w:r>
        <w:tab/>
      </w:r>
    </w:p>
    <w:p w14:paraId="02A93C33" w14:textId="77777777" w:rsidR="00893C7D" w:rsidRPr="00407B23" w:rsidRDefault="00893C7D" w:rsidP="00893C7D">
      <w:pPr>
        <w:tabs>
          <w:tab w:val="right" w:leader="underscore" w:pos="9072"/>
          <w:tab w:val="left" w:pos="10773"/>
        </w:tabs>
        <w:ind w:right="-1"/>
      </w:pPr>
    </w:p>
    <w:p w14:paraId="31772C9F" w14:textId="77777777" w:rsidR="00893C7D" w:rsidRPr="00407B23" w:rsidRDefault="00893C7D" w:rsidP="00893C7D">
      <w:pPr>
        <w:tabs>
          <w:tab w:val="right" w:leader="underscore" w:pos="9639"/>
        </w:tabs>
        <w:ind w:right="-568"/>
      </w:pPr>
      <w:r>
        <w:tab/>
      </w:r>
    </w:p>
    <w:p w14:paraId="43F79D2A" w14:textId="77777777" w:rsidR="00893C7D" w:rsidRPr="00407B23" w:rsidRDefault="00893C7D" w:rsidP="00893C7D">
      <w:pPr>
        <w:tabs>
          <w:tab w:val="right" w:leader="underscore" w:pos="9639"/>
        </w:tabs>
      </w:pPr>
    </w:p>
    <w:p w14:paraId="0D553717" w14:textId="77777777" w:rsidR="00893C7D" w:rsidRPr="00407B23" w:rsidRDefault="00893C7D" w:rsidP="00893C7D">
      <w:pPr>
        <w:tabs>
          <w:tab w:val="right" w:leader="underscore" w:pos="9072"/>
        </w:tabs>
        <w:jc w:val="center"/>
      </w:pPr>
      <w:r>
        <w:t>Se enviaron copias a las autoridades de los demás miembros de la Unión</w:t>
      </w:r>
    </w:p>
    <w:p w14:paraId="192F373D" w14:textId="77777777" w:rsidR="00893C7D" w:rsidRPr="00407B23" w:rsidRDefault="00893C7D" w:rsidP="00893C7D">
      <w:pPr>
        <w:tabs>
          <w:tab w:val="right" w:leader="underscore" w:pos="9072"/>
        </w:tabs>
      </w:pPr>
    </w:p>
    <w:p w14:paraId="4366D662" w14:textId="77777777" w:rsidR="00893C7D" w:rsidRPr="00407B23" w:rsidRDefault="00893C7D" w:rsidP="00893C7D">
      <w:pPr>
        <w:tabs>
          <w:tab w:val="right" w:leader="underscore" w:pos="9072"/>
        </w:tabs>
      </w:pPr>
    </w:p>
    <w:p w14:paraId="5B3B426B" w14:textId="77777777" w:rsidR="00893C7D" w:rsidRPr="00407B23" w:rsidRDefault="00893C7D" w:rsidP="00893C7D">
      <w:pPr>
        <w:tabs>
          <w:tab w:val="right" w:leader="underscore" w:pos="9072"/>
        </w:tabs>
      </w:pPr>
    </w:p>
    <w:p w14:paraId="0B6FF464" w14:textId="77777777" w:rsidR="00893C7D" w:rsidRPr="00407B23" w:rsidRDefault="00B713C8" w:rsidP="00893C7D">
      <w:pPr>
        <w:tabs>
          <w:tab w:val="right" w:leader="underscore" w:pos="3828"/>
          <w:tab w:val="left" w:pos="4253"/>
          <w:tab w:val="right" w:leader="underscore" w:pos="9639"/>
        </w:tabs>
      </w:pPr>
      <w:r>
        <w:t xml:space="preserve">Fecha: </w:t>
      </w:r>
      <w:r>
        <w:tab/>
      </w:r>
      <w:r>
        <w:tab/>
        <w:t>Firma:</w:t>
      </w:r>
      <w:r>
        <w:tab/>
      </w:r>
    </w:p>
    <w:p w14:paraId="60FF5AEC" w14:textId="77777777" w:rsidR="00893C7D" w:rsidRPr="00DE1471" w:rsidRDefault="00893C7D" w:rsidP="00893C7D">
      <w:pPr>
        <w:pStyle w:val="Header"/>
        <w:tabs>
          <w:tab w:val="right" w:leader="underscore" w:pos="9072"/>
        </w:tabs>
      </w:pPr>
    </w:p>
    <w:p w14:paraId="3F4FEB39" w14:textId="77777777" w:rsidR="00893C7D" w:rsidRDefault="00893C7D" w:rsidP="00893C7D">
      <w:pPr>
        <w:pStyle w:val="Header"/>
        <w:tabs>
          <w:tab w:val="right" w:leader="underscore" w:pos="9072"/>
        </w:tabs>
      </w:pPr>
    </w:p>
    <w:p w14:paraId="77FFBB3A" w14:textId="77777777" w:rsidR="00893C7D" w:rsidRPr="00DE1471" w:rsidRDefault="00893C7D" w:rsidP="00893C7D">
      <w:pPr>
        <w:pStyle w:val="Header"/>
        <w:tabs>
          <w:tab w:val="right" w:leader="underscore" w:pos="9072"/>
        </w:tabs>
      </w:pPr>
    </w:p>
    <w:p w14:paraId="28BE91E3" w14:textId="77777777" w:rsidR="00893C7D" w:rsidRPr="00407B23" w:rsidRDefault="00893C7D" w:rsidP="00893C7D">
      <w:pPr>
        <w:jc w:val="right"/>
      </w:pPr>
    </w:p>
    <w:p w14:paraId="31EF8802" w14:textId="77777777" w:rsidR="00893C7D" w:rsidRPr="00407B23" w:rsidRDefault="00893C7D" w:rsidP="00893C7D">
      <w:pPr>
        <w:jc w:val="center"/>
        <w:sectPr w:rsidR="00893C7D" w:rsidRPr="00407B23"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14:paraId="4D4186B3" w14:textId="77777777" w:rsidR="00893C7D" w:rsidRPr="00407B23" w:rsidRDefault="00893C7D" w:rsidP="00893C7D">
      <w:pPr>
        <w:jc w:val="center"/>
        <w:rPr>
          <w:u w:val="single"/>
        </w:rPr>
      </w:pPr>
      <w:r>
        <w:rPr>
          <w:u w:val="single"/>
        </w:rPr>
        <w:lastRenderedPageBreak/>
        <w:t>Respuesta tipo a las observaciones sobre denominaciones de variedades</w:t>
      </w:r>
      <w:r>
        <w:rPr>
          <w:u w:val="single"/>
        </w:rPr>
        <w:br/>
        <w:t>propuestas a otro miembro de la Unión</w:t>
      </w:r>
    </w:p>
    <w:p w14:paraId="65D94FED" w14:textId="77777777" w:rsidR="00893C7D" w:rsidRPr="00DE1471" w:rsidRDefault="00893C7D" w:rsidP="00893C7D">
      <w:pPr>
        <w:pStyle w:val="Header"/>
        <w:rPr>
          <w:u w:val="single"/>
        </w:rPr>
      </w:pPr>
    </w:p>
    <w:p w14:paraId="5CDC1B33" w14:textId="77777777" w:rsidR="00893C7D" w:rsidRPr="00407B23" w:rsidRDefault="00893C7D" w:rsidP="00893C7D">
      <w:r>
        <w:t>De:</w:t>
      </w:r>
    </w:p>
    <w:p w14:paraId="030C6725" w14:textId="77777777" w:rsidR="00893C7D" w:rsidRPr="00407B23" w:rsidRDefault="00893C7D" w:rsidP="00893C7D">
      <w:pPr>
        <w:tabs>
          <w:tab w:val="left" w:pos="4678"/>
          <w:tab w:val="right" w:leader="underscore" w:pos="9639"/>
        </w:tabs>
        <w:ind w:left="4678"/>
        <w:jc w:val="center"/>
      </w:pPr>
      <w:r>
        <w:tab/>
      </w:r>
    </w:p>
    <w:p w14:paraId="0DDDB456" w14:textId="77777777" w:rsidR="00893C7D" w:rsidRPr="00407B23" w:rsidRDefault="00893C7D" w:rsidP="00893C7D">
      <w:pPr>
        <w:tabs>
          <w:tab w:val="left" w:pos="4678"/>
          <w:tab w:val="right" w:leader="underscore" w:pos="9072"/>
        </w:tabs>
        <w:ind w:left="4678"/>
        <w:jc w:val="center"/>
      </w:pPr>
      <w:r>
        <w:t>Su referencia</w:t>
      </w:r>
    </w:p>
    <w:p w14:paraId="0D5BFC13" w14:textId="77777777" w:rsidR="00893C7D" w:rsidRPr="00407B23" w:rsidRDefault="00893C7D" w:rsidP="00893C7D">
      <w:pPr>
        <w:tabs>
          <w:tab w:val="left" w:pos="4678"/>
          <w:tab w:val="right" w:leader="underscore" w:pos="9639"/>
        </w:tabs>
        <w:ind w:left="4678"/>
        <w:jc w:val="center"/>
      </w:pPr>
      <w:r>
        <w:tab/>
      </w:r>
    </w:p>
    <w:p w14:paraId="1CE20B31" w14:textId="77777777" w:rsidR="00893C7D" w:rsidRPr="00407B23" w:rsidRDefault="00893C7D" w:rsidP="00893C7D">
      <w:pPr>
        <w:tabs>
          <w:tab w:val="left" w:pos="4678"/>
          <w:tab w:val="right" w:leader="underscore" w:pos="9639"/>
        </w:tabs>
        <w:ind w:left="4678"/>
        <w:jc w:val="center"/>
      </w:pPr>
      <w:r>
        <w:t>Nuestra referencia</w:t>
      </w:r>
    </w:p>
    <w:p w14:paraId="26D429AC" w14:textId="77777777" w:rsidR="00893C7D" w:rsidRPr="00407B23" w:rsidRDefault="00893C7D" w:rsidP="00893C7D"/>
    <w:p w14:paraId="344F8147" w14:textId="77777777" w:rsidR="00893C7D" w:rsidRPr="00407B23" w:rsidRDefault="00893C7D" w:rsidP="00893C7D"/>
    <w:p w14:paraId="691F59CE" w14:textId="77777777" w:rsidR="00893C7D" w:rsidRPr="00407B23" w:rsidRDefault="00893C7D" w:rsidP="00893C7D">
      <w:pPr>
        <w:jc w:val="center"/>
        <w:rPr>
          <w:b/>
          <w:bCs/>
        </w:rPr>
      </w:pPr>
      <w:r>
        <w:rPr>
          <w:b/>
        </w:rPr>
        <w:t>Respuesta a las observaciones sobre una denominación de variedad propuesta</w:t>
      </w:r>
    </w:p>
    <w:p w14:paraId="72C52BF1" w14:textId="77777777" w:rsidR="00893C7D" w:rsidRPr="00407B23" w:rsidRDefault="00893C7D" w:rsidP="00893C7D">
      <w:pPr>
        <w:jc w:val="center"/>
        <w:rPr>
          <w:b/>
        </w:rPr>
      </w:pPr>
    </w:p>
    <w:p w14:paraId="1133C346" w14:textId="77777777" w:rsidR="00893C7D" w:rsidRPr="00407B23" w:rsidRDefault="00893C7D" w:rsidP="00893C7D">
      <w:r>
        <w:t>A:</w:t>
      </w:r>
    </w:p>
    <w:p w14:paraId="09D71EB0" w14:textId="77777777" w:rsidR="00893C7D" w:rsidRPr="00407B23" w:rsidRDefault="00893C7D" w:rsidP="00893C7D"/>
    <w:p w14:paraId="1CC0F9A4" w14:textId="77777777" w:rsidR="00893C7D" w:rsidRPr="00407B23" w:rsidRDefault="00893C7D" w:rsidP="00893C7D">
      <w:pPr>
        <w:tabs>
          <w:tab w:val="right" w:leader="dot" w:pos="7655"/>
          <w:tab w:val="left" w:pos="7797"/>
        </w:tabs>
        <w:ind w:firstLine="567"/>
      </w:pPr>
      <w:r>
        <w:t>En respuesta a su objeción a la denominación [</w:t>
      </w:r>
      <w:r>
        <w:tab/>
        <w:t>]</w:t>
      </w:r>
      <w:r>
        <w:tab/>
        <w:t>para la variedad de [nombre botánico/código de la UPOV], deseamos informarle lo siguiente:</w:t>
      </w:r>
    </w:p>
    <w:p w14:paraId="3235C8CB" w14:textId="77777777" w:rsidR="00893C7D" w:rsidRPr="00407B23" w:rsidRDefault="00893C7D" w:rsidP="00893C7D"/>
    <w:p w14:paraId="5464E0C5" w14:textId="0DB40EAD" w:rsidR="00893C7D" w:rsidRPr="00407B23" w:rsidRDefault="00893C7D" w:rsidP="00893C7D">
      <w:pPr>
        <w:tabs>
          <w:tab w:val="left" w:pos="391"/>
          <w:tab w:val="left" w:pos="851"/>
          <w:tab w:val="right" w:leader="dot" w:pos="3686"/>
          <w:tab w:val="left" w:pos="3828"/>
          <w:tab w:val="right" w:leader="dot" w:pos="9639"/>
        </w:tabs>
        <w:ind w:left="851" w:hanging="851"/>
      </w:pPr>
      <w:r>
        <w:t>1.</w:t>
      </w:r>
      <w:r>
        <w:tab/>
      </w:r>
      <w:r>
        <w:rPr>
          <w:sz w:val="40"/>
        </w:rPr>
        <w:t>□</w:t>
      </w:r>
      <w:r>
        <w:tab/>
        <w:t xml:space="preserve">En nuestra opinión, hay una diferencia suficiente entre los nombres </w:t>
      </w:r>
      <w:r>
        <w:tab/>
      </w:r>
      <w:r>
        <w:br/>
        <w:t xml:space="preserve">y </w:t>
      </w:r>
      <w:r>
        <w:tab/>
      </w:r>
      <w:r>
        <w:tab/>
        <w:t>tanto desde el punto de vista de la escritura como de la pronunciación.</w:t>
      </w:r>
      <w:r w:rsidR="008130BA">
        <w:t xml:space="preserve"> </w:t>
      </w:r>
      <w:r>
        <w:t xml:space="preserve">Por consiguiente, la [autoridad] no ve ningún motivo de rechazo de la denominación. </w:t>
      </w:r>
    </w:p>
    <w:p w14:paraId="3D0FDB47" w14:textId="77777777" w:rsidR="00893C7D" w:rsidRPr="00407B23" w:rsidRDefault="00893C7D" w:rsidP="00893C7D">
      <w:pPr>
        <w:ind w:left="851" w:hanging="851"/>
        <w:rPr>
          <w:sz w:val="16"/>
        </w:rPr>
      </w:pPr>
    </w:p>
    <w:p w14:paraId="245C1A59" w14:textId="77777777" w:rsidR="00893C7D" w:rsidRPr="00407B23" w:rsidRDefault="00893C7D" w:rsidP="00893C7D">
      <w:pPr>
        <w:tabs>
          <w:tab w:val="left" w:pos="392"/>
        </w:tabs>
        <w:ind w:left="851" w:hanging="851"/>
      </w:pPr>
      <w:r>
        <w:t>2.</w:t>
      </w:r>
      <w:r>
        <w:tab/>
      </w:r>
      <w:r>
        <w:rPr>
          <w:sz w:val="40"/>
        </w:rPr>
        <w:t>□</w:t>
      </w:r>
      <w:r>
        <w:tab/>
        <w:t>La [autoridad] aceptó esta denominación y no se han recibido objeciones durante el período prescrito después de su publicación.</w:t>
      </w:r>
    </w:p>
    <w:p w14:paraId="7C6B7CDA" w14:textId="77777777" w:rsidR="00893C7D" w:rsidRPr="00407B23" w:rsidRDefault="00893C7D" w:rsidP="00893C7D">
      <w:pPr>
        <w:rPr>
          <w:sz w:val="16"/>
        </w:rPr>
      </w:pPr>
    </w:p>
    <w:p w14:paraId="42A1C410" w14:textId="77777777" w:rsidR="00893C7D" w:rsidRPr="00407B23" w:rsidRDefault="00893C7D" w:rsidP="00893C7D">
      <w:pPr>
        <w:tabs>
          <w:tab w:val="left" w:pos="392"/>
          <w:tab w:val="left" w:pos="851"/>
          <w:tab w:val="right" w:leader="dot" w:pos="9639"/>
        </w:tabs>
        <w:ind w:left="851" w:hanging="851"/>
      </w:pPr>
      <w:r>
        <w:t>3.</w:t>
      </w:r>
      <w:r>
        <w:tab/>
      </w:r>
      <w:r>
        <w:rPr>
          <w:sz w:val="40"/>
        </w:rPr>
        <w:t>□</w:t>
      </w:r>
      <w:r>
        <w:tab/>
        <w:t xml:space="preserve">Esta variedad ha sido registrada con el nombre de </w:t>
      </w:r>
      <w:r>
        <w:tab/>
      </w:r>
    </w:p>
    <w:p w14:paraId="52EB5FDF" w14:textId="77777777" w:rsidR="00893C7D" w:rsidRPr="00407B23" w:rsidRDefault="00893C7D" w:rsidP="00893C7D">
      <w:pPr>
        <w:rPr>
          <w:sz w:val="16"/>
        </w:rPr>
      </w:pPr>
    </w:p>
    <w:p w14:paraId="2AC9C17C" w14:textId="77777777" w:rsidR="00893C7D" w:rsidRPr="00407B23" w:rsidRDefault="00893C7D" w:rsidP="00893C7D">
      <w:pPr>
        <w:tabs>
          <w:tab w:val="left" w:pos="392"/>
          <w:tab w:val="left" w:pos="851"/>
          <w:tab w:val="right" w:leader="dot" w:pos="9639"/>
        </w:tabs>
        <w:ind w:left="851" w:hanging="851"/>
      </w:pPr>
      <w:r>
        <w:t>4.</w:t>
      </w:r>
      <w:r>
        <w:tab/>
      </w:r>
      <w:r>
        <w:rPr>
          <w:sz w:val="40"/>
        </w:rPr>
        <w:t>□</w:t>
      </w:r>
      <w:r>
        <w:tab/>
        <w:t xml:space="preserve">Primera publicación como denominación propuesta en </w:t>
      </w:r>
      <w:r>
        <w:tab/>
      </w:r>
    </w:p>
    <w:p w14:paraId="191072DD" w14:textId="77777777" w:rsidR="00893C7D" w:rsidRPr="00407B23" w:rsidRDefault="00893C7D" w:rsidP="00893C7D">
      <w:pPr>
        <w:tabs>
          <w:tab w:val="left" w:pos="851"/>
        </w:tabs>
        <w:ind w:left="851" w:hanging="851"/>
        <w:rPr>
          <w:sz w:val="16"/>
        </w:rPr>
      </w:pPr>
    </w:p>
    <w:p w14:paraId="27134055" w14:textId="77777777" w:rsidR="00893C7D" w:rsidRPr="00407B23" w:rsidRDefault="00893C7D" w:rsidP="00893C7D">
      <w:pPr>
        <w:tabs>
          <w:tab w:val="left" w:pos="392"/>
          <w:tab w:val="left" w:pos="851"/>
        </w:tabs>
        <w:ind w:left="851" w:hanging="851"/>
      </w:pPr>
      <w:r>
        <w:t>5.</w:t>
      </w:r>
      <w:r>
        <w:tab/>
      </w:r>
      <w:r>
        <w:rPr>
          <w:sz w:val="40"/>
        </w:rPr>
        <w:t>□</w:t>
      </w:r>
      <w:r>
        <w:tab/>
        <w:t xml:space="preserve">Se ha pedido al solicitante que proponga otra denominación. </w:t>
      </w:r>
    </w:p>
    <w:p w14:paraId="2897D1A0" w14:textId="77777777" w:rsidR="00893C7D" w:rsidRPr="00407B23" w:rsidRDefault="00893C7D" w:rsidP="00893C7D">
      <w:pPr>
        <w:rPr>
          <w:sz w:val="16"/>
        </w:rPr>
      </w:pPr>
    </w:p>
    <w:p w14:paraId="6351AB4F" w14:textId="77777777" w:rsidR="00893C7D" w:rsidRPr="00407B23" w:rsidRDefault="00893C7D" w:rsidP="00893C7D">
      <w:pPr>
        <w:tabs>
          <w:tab w:val="left" w:pos="392"/>
          <w:tab w:val="left" w:pos="851"/>
        </w:tabs>
        <w:ind w:left="851" w:hanging="851"/>
      </w:pPr>
      <w:r>
        <w:t>6.</w:t>
      </w:r>
      <w:r>
        <w:tab/>
      </w:r>
      <w:r>
        <w:rPr>
          <w:sz w:val="40"/>
        </w:rPr>
        <w:t>□</w:t>
      </w:r>
      <w:r>
        <w:tab/>
        <w:t xml:space="preserve">Se trata de la misma variedad. </w:t>
      </w:r>
    </w:p>
    <w:p w14:paraId="4F25DAC7" w14:textId="77777777" w:rsidR="00893C7D" w:rsidRPr="00407B23" w:rsidRDefault="00893C7D" w:rsidP="00893C7D">
      <w:pPr>
        <w:rPr>
          <w:sz w:val="16"/>
        </w:rPr>
      </w:pPr>
    </w:p>
    <w:p w14:paraId="7A46DF67" w14:textId="77777777" w:rsidR="00893C7D" w:rsidRPr="00407B23" w:rsidRDefault="00893C7D" w:rsidP="00893C7D">
      <w:pPr>
        <w:tabs>
          <w:tab w:val="left" w:pos="392"/>
          <w:tab w:val="left" w:pos="851"/>
        </w:tabs>
        <w:ind w:left="851" w:hanging="851"/>
      </w:pPr>
      <w:r>
        <w:t>7.</w:t>
      </w:r>
      <w:r>
        <w:tab/>
      </w:r>
      <w:r>
        <w:rPr>
          <w:sz w:val="40"/>
        </w:rPr>
        <w:t>□</w:t>
      </w:r>
      <w:r>
        <w:tab/>
        <w:t xml:space="preserve">Se ha retirado/rechazado la solicitud sobre la variedad. </w:t>
      </w:r>
    </w:p>
    <w:p w14:paraId="0BF56DD4" w14:textId="77777777" w:rsidR="00893C7D" w:rsidRPr="00407B23" w:rsidRDefault="00893C7D" w:rsidP="00893C7D">
      <w:pPr>
        <w:rPr>
          <w:sz w:val="16"/>
        </w:rPr>
      </w:pPr>
    </w:p>
    <w:p w14:paraId="618317C9" w14:textId="77777777" w:rsidR="00893C7D" w:rsidRPr="00407B23" w:rsidRDefault="00893C7D" w:rsidP="00893C7D">
      <w:pPr>
        <w:tabs>
          <w:tab w:val="left" w:pos="392"/>
          <w:tab w:val="left" w:pos="851"/>
        </w:tabs>
        <w:ind w:left="851" w:hanging="851"/>
      </w:pPr>
      <w:r>
        <w:t>8.</w:t>
      </w:r>
      <w:r>
        <w:tab/>
      </w:r>
      <w:r>
        <w:rPr>
          <w:sz w:val="40"/>
        </w:rPr>
        <w:t>□</w:t>
      </w:r>
      <w:r>
        <w:tab/>
        <w:t xml:space="preserve">El solicitante ha retirado la denominación propuesta para la variedad. </w:t>
      </w:r>
    </w:p>
    <w:p w14:paraId="7D345594" w14:textId="77777777" w:rsidR="00893C7D" w:rsidRPr="00407B23" w:rsidRDefault="00893C7D" w:rsidP="00893C7D">
      <w:pPr>
        <w:rPr>
          <w:sz w:val="16"/>
        </w:rPr>
      </w:pPr>
    </w:p>
    <w:p w14:paraId="5BC40D9E" w14:textId="77777777" w:rsidR="00893C7D" w:rsidRPr="00407B23" w:rsidRDefault="00893C7D" w:rsidP="00893C7D">
      <w:pPr>
        <w:tabs>
          <w:tab w:val="left" w:pos="392"/>
          <w:tab w:val="left" w:pos="851"/>
        </w:tabs>
        <w:ind w:left="851" w:hanging="851"/>
      </w:pPr>
      <w:r>
        <w:t>9.</w:t>
      </w:r>
      <w:r>
        <w:tab/>
      </w:r>
      <w:r>
        <w:rPr>
          <w:sz w:val="40"/>
        </w:rPr>
        <w:t>□</w:t>
      </w:r>
      <w:r>
        <w:tab/>
        <w:t>Otros</w:t>
      </w:r>
    </w:p>
    <w:p w14:paraId="0B4B542C" w14:textId="77777777" w:rsidR="00893C7D" w:rsidRPr="00407B23" w:rsidRDefault="00893C7D" w:rsidP="00893C7D"/>
    <w:p w14:paraId="63E8D36E" w14:textId="77777777" w:rsidR="00893C7D" w:rsidRPr="00407B23" w:rsidRDefault="00893C7D" w:rsidP="00893C7D">
      <w:pPr>
        <w:tabs>
          <w:tab w:val="right" w:leader="underscore" w:pos="9072"/>
        </w:tabs>
        <w:jc w:val="center"/>
      </w:pPr>
      <w:r>
        <w:t>Se enviaron copias a las autoridades de los demás miembros de la Unión</w:t>
      </w:r>
    </w:p>
    <w:p w14:paraId="76040CAF" w14:textId="77777777" w:rsidR="00893C7D" w:rsidRPr="00407B23" w:rsidRDefault="00893C7D" w:rsidP="00893C7D">
      <w:pPr>
        <w:tabs>
          <w:tab w:val="right" w:leader="underscore" w:pos="9072"/>
        </w:tabs>
      </w:pPr>
    </w:p>
    <w:p w14:paraId="14677ABB" w14:textId="77777777" w:rsidR="00893C7D" w:rsidRPr="00407B23" w:rsidRDefault="00893C7D" w:rsidP="00893C7D">
      <w:pPr>
        <w:tabs>
          <w:tab w:val="right" w:leader="underscore" w:pos="9072"/>
        </w:tabs>
      </w:pPr>
    </w:p>
    <w:p w14:paraId="60DC13CD" w14:textId="77777777" w:rsidR="00893C7D" w:rsidRPr="00407B23" w:rsidRDefault="00893C7D" w:rsidP="00893C7D">
      <w:pPr>
        <w:tabs>
          <w:tab w:val="right" w:leader="underscore" w:pos="9072"/>
        </w:tabs>
      </w:pPr>
    </w:p>
    <w:p w14:paraId="75F07E54" w14:textId="77777777" w:rsidR="00893C7D" w:rsidRPr="00407B23" w:rsidRDefault="00893C7D" w:rsidP="00893C7D">
      <w:pPr>
        <w:tabs>
          <w:tab w:val="right" w:leader="underscore" w:pos="3828"/>
          <w:tab w:val="left" w:pos="4253"/>
          <w:tab w:val="right" w:leader="underscore" w:pos="9072"/>
        </w:tabs>
      </w:pPr>
      <w:r>
        <w:t xml:space="preserve">Fecha: </w:t>
      </w:r>
      <w:r>
        <w:tab/>
      </w:r>
      <w:r>
        <w:tab/>
        <w:t>Firma:</w:t>
      </w:r>
      <w:r>
        <w:tab/>
      </w:r>
      <w:r>
        <w:tab/>
      </w:r>
    </w:p>
    <w:p w14:paraId="262B5B12" w14:textId="77777777" w:rsidR="00893C7D" w:rsidRPr="00DE1471" w:rsidRDefault="00893C7D" w:rsidP="00893C7D">
      <w:pPr>
        <w:pStyle w:val="Header"/>
        <w:tabs>
          <w:tab w:val="right" w:leader="underscore" w:pos="9072"/>
        </w:tabs>
      </w:pPr>
    </w:p>
    <w:p w14:paraId="6851936F" w14:textId="77777777" w:rsidR="00893C7D" w:rsidRDefault="00893C7D" w:rsidP="00893C7D">
      <w:pPr>
        <w:jc w:val="right"/>
      </w:pPr>
    </w:p>
    <w:p w14:paraId="1C91F79F" w14:textId="77777777" w:rsidR="00893C7D" w:rsidRDefault="00893C7D" w:rsidP="00893C7D">
      <w:pPr>
        <w:jc w:val="right"/>
      </w:pPr>
    </w:p>
    <w:p w14:paraId="26D550A0" w14:textId="77777777" w:rsidR="00893C7D" w:rsidRDefault="00893C7D" w:rsidP="00893C7D">
      <w:pPr>
        <w:jc w:val="right"/>
      </w:pPr>
    </w:p>
    <w:p w14:paraId="6082D700" w14:textId="77777777" w:rsidR="00893C7D" w:rsidRDefault="00554286" w:rsidP="00893C7D">
      <w:pPr>
        <w:jc w:val="right"/>
      </w:pPr>
      <w:r>
        <w:t>[Siguen las notas finales]</w:t>
      </w:r>
    </w:p>
    <w:p w14:paraId="167F02C7" w14:textId="77777777" w:rsidR="005B3CF6" w:rsidRDefault="005B3CF6" w:rsidP="005B3CF6"/>
    <w:p w14:paraId="219A55BA" w14:textId="77777777" w:rsidR="00893C7D" w:rsidRDefault="00893C7D" w:rsidP="00893C7D">
      <w:pPr>
        <w:jc w:val="right"/>
        <w:sectPr w:rsidR="00893C7D" w:rsidSect="00893C7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24" w:gutter="0"/>
          <w:cols w:space="720"/>
          <w:titlePg/>
        </w:sectPr>
      </w:pPr>
    </w:p>
    <w:p w14:paraId="38D77459" w14:textId="77777777" w:rsidR="00E3281E" w:rsidRPr="007E7836" w:rsidRDefault="00E3281E" w:rsidP="00CA143F"/>
    <w:sectPr w:rsidR="00E3281E" w:rsidRPr="007E7836" w:rsidSect="005B3CF6">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9B97" w14:textId="77777777" w:rsidR="00C134CF" w:rsidRDefault="00C134CF" w:rsidP="00893C7D">
      <w:r>
        <w:separator/>
      </w:r>
    </w:p>
  </w:endnote>
  <w:endnote w:type="continuationSeparator" w:id="0">
    <w:p w14:paraId="1A39C59C" w14:textId="77777777" w:rsidR="00C134CF" w:rsidRDefault="00C134CF" w:rsidP="00893C7D">
      <w:r>
        <w:continuationSeparator/>
      </w:r>
    </w:p>
  </w:endnote>
  <w:endnote w:id="1">
    <w:p w14:paraId="03B04C83" w14:textId="2280052F" w:rsidR="00C134CF" w:rsidRDefault="00C134CF">
      <w:pPr>
        <w:pStyle w:val="EndnoteText"/>
      </w:pPr>
      <w:r>
        <w:rPr>
          <w:rStyle w:val="EndnoteReference"/>
        </w:rPr>
        <w:endnoteRef/>
      </w:r>
      <w:r>
        <w:t xml:space="preserve"> </w:t>
      </w:r>
      <w:r>
        <w:tab/>
        <w:t>En respuesta a la Circular E-20/017, la Argentina propone evitar la repetición innecesaria de “tiene conocimiento”. En el Anexo I del documento CAJ/77/3 puede consultarse la propuesta completa formulada por la Argentina.</w:t>
      </w:r>
    </w:p>
  </w:endnote>
  <w:endnote w:id="2">
    <w:p w14:paraId="1D73EBC0" w14:textId="77777777" w:rsidR="00C134CF" w:rsidRDefault="00C134CF">
      <w:pPr>
        <w:pStyle w:val="EndnoteText"/>
      </w:pPr>
      <w:r>
        <w:rPr>
          <w:rStyle w:val="EndnoteReference"/>
        </w:rPr>
        <w:endnoteRef/>
      </w:r>
      <w:r>
        <w:t xml:space="preserve"> </w:t>
      </w:r>
      <w:r>
        <w:tab/>
        <w:t>Propuesta formulada por la Oficina de la Unión por coherencia con otros ejemplos en que no es necesaria la referencia al género o la especie.</w:t>
      </w:r>
    </w:p>
  </w:endnote>
  <w:endnote w:id="3">
    <w:p w14:paraId="0327D409" w14:textId="391233B8" w:rsidR="00C134CF" w:rsidRDefault="00C134CF">
      <w:pPr>
        <w:pStyle w:val="EndnoteText"/>
      </w:pPr>
      <w:r>
        <w:rPr>
          <w:rStyle w:val="EndnoteReference"/>
        </w:rPr>
        <w:endnoteRef/>
      </w:r>
      <w:r>
        <w:t xml:space="preserve"> </w:t>
      </w:r>
      <w:r>
        <w:tab/>
        <w:t>Propuesta de la Argentina en respuesta a la Circular E-20/017. En el Anexo I del documento CAJ/77/3 puede consultarse la propuesta completa formulada por la Argentina.</w:t>
      </w:r>
    </w:p>
  </w:endnote>
  <w:endnote w:id="4">
    <w:p w14:paraId="29FE01FC" w14:textId="40D5C007" w:rsidR="00C134CF" w:rsidRDefault="00C134CF">
      <w:pPr>
        <w:pStyle w:val="EndnoteText"/>
      </w:pPr>
      <w:r>
        <w:rPr>
          <w:rStyle w:val="EndnoteReference"/>
        </w:rPr>
        <w:endnoteRef/>
      </w:r>
      <w:r>
        <w:t xml:space="preserve"> </w:t>
      </w:r>
      <w:r>
        <w:tab/>
        <w:t>Propuesta de la Argentina en respuesta a la Circular E-20/017. En el Anexo I del documento CAJ/77/3 puede consultarse la propuesta completa formulada por la Argentina.</w:t>
      </w:r>
    </w:p>
  </w:endnote>
  <w:endnote w:id="5">
    <w:p w14:paraId="109EFA8B" w14:textId="095E76E1" w:rsidR="00C134CF" w:rsidRDefault="00C134CF">
      <w:pPr>
        <w:pStyle w:val="EndnoteText"/>
      </w:pPr>
      <w:r>
        <w:rPr>
          <w:rStyle w:val="EndnoteReference"/>
        </w:rPr>
        <w:endnoteRef/>
      </w:r>
      <w:r>
        <w:t xml:space="preserve"> </w:t>
      </w:r>
      <w:r>
        <w:tab/>
        <w:t>En respuesta a la Circular E-20/017, Nueva Zelandia propone eliminar “o contener” para evitar confusiones. Explicación de la Oficina: se considera que el texto de la sección 2.3.2 “</w:t>
      </w:r>
      <w:r>
        <w:rPr>
          <w:highlight w:val="lightGray"/>
          <w:u w:val="single"/>
        </w:rPr>
        <w:t>que sean susceptibles de inducir a error o de prestarse a confusión sobre las características o el valor de la variedad</w:t>
      </w:r>
      <w:r>
        <w:t>” aborda la observación de Nueva Zelandia. En el Anexo I del documento CAJ/77/3 puede consultarse la propuesta completa formulada por Nueva Zelandia.</w:t>
      </w:r>
    </w:p>
  </w:endnote>
  <w:endnote w:id="6">
    <w:p w14:paraId="3DFE5062" w14:textId="7F8E977F" w:rsidR="00C134CF" w:rsidRPr="00BD771E" w:rsidRDefault="00C134CF" w:rsidP="007D307A">
      <w:pPr>
        <w:pStyle w:val="EndnoteText"/>
        <w:rPr>
          <w:rFonts w:cs="Arial"/>
          <w:szCs w:val="16"/>
        </w:rPr>
      </w:pPr>
      <w:r>
        <w:rPr>
          <w:rStyle w:val="EndnoteReference"/>
        </w:rPr>
        <w:endnoteRef/>
      </w:r>
      <w:r>
        <w:t xml:space="preserve"> </w:t>
      </w:r>
      <w:r>
        <w:tab/>
        <w:t>En respuesta a la Circular E-20/017, el Canadá propone volver a insertar el texto “Como recomendación general” en el documento UPOV/INF/12/5. “El Canadá entiende que es necesario aportar más orientaciones normativas para garantizar una mayor armonización. No obstante, debería preservarse cierto margen de autonomía y discrecionalidad nacional para que cada autoridad establezca sus orientaciones sobre las denominaciones de variedades”. Con respecto a la propuesta de la OCVV de insertar una de sus dos alternativas para la sección 2.3.3.b), el Canadá acepta la inserción, siempre y cuando se mantenga el texto “Como recomendación general” en la sección 2.3.3.a). En el Anexo I del documento CAJ/77/3 puede consultarse la propuesta completa formulada por el Canadá.</w:t>
      </w:r>
      <w:r>
        <w:rPr>
          <w:color w:val="26282A"/>
        </w:rPr>
        <w:t xml:space="preserve"> </w:t>
      </w:r>
    </w:p>
  </w:endnote>
  <w:endnote w:id="7">
    <w:p w14:paraId="605E87AE" w14:textId="73076B4E" w:rsidR="00C134CF" w:rsidRDefault="00C134CF" w:rsidP="006B1FE0">
      <w:pPr>
        <w:pStyle w:val="EndnoteText"/>
      </w:pPr>
      <w:r>
        <w:rPr>
          <w:rStyle w:val="EndnoteReference"/>
        </w:rPr>
        <w:endnoteRef/>
      </w:r>
      <w:r>
        <w:t xml:space="preserve"> </w:t>
      </w:r>
      <w:r>
        <w:tab/>
        <w:t xml:space="preserve">Observación de la Argentina, en respuesta a la Circular E-20/017, para aclarar que los ejemplos facilitados no resultan taxativos. Explicación de la Oficina: la noción de “ejemplo” ya transmite el sentido de que no son taxativos. En el Anexo I del documento CAJ/77/3 puede consultarse la propuesta completa formulada por la Argentina. </w:t>
      </w:r>
    </w:p>
  </w:endnote>
  <w:endnote w:id="8">
    <w:p w14:paraId="25881460" w14:textId="4B9DA305" w:rsidR="00C134CF" w:rsidRDefault="00C134CF" w:rsidP="00CF3EC3">
      <w:pPr>
        <w:pStyle w:val="EndnoteText"/>
      </w:pPr>
      <w:r>
        <w:rPr>
          <w:rStyle w:val="EndnoteReference"/>
        </w:rPr>
        <w:endnoteRef/>
      </w:r>
      <w:r>
        <w:t xml:space="preserve"> </w:t>
      </w:r>
      <w:r>
        <w:tab/>
        <w:t>Propuesta de la Argentina en respuesta a la Circular E-20/017. Los análisis fonético y visual son independientes de la ubicación en la palabra de esa letra de diferencia. En el Anexo I del documento CAJ/77/3 puede consultarse la propuesta completa formulada por la Argentina.</w:t>
      </w:r>
    </w:p>
  </w:endnote>
  <w:endnote w:id="9">
    <w:p w14:paraId="70826B82" w14:textId="51220C1E" w:rsidR="00C134CF" w:rsidRDefault="00C134CF" w:rsidP="00E25346">
      <w:pPr>
        <w:pStyle w:val="EndnoteText"/>
      </w:pPr>
      <w:r>
        <w:rPr>
          <w:rStyle w:val="EndnoteReference"/>
        </w:rPr>
        <w:endnoteRef/>
      </w:r>
      <w:r>
        <w:t xml:space="preserve"> </w:t>
      </w:r>
      <w:r>
        <w:tab/>
        <w:t xml:space="preserve">Propuesta de la Argentina en respuesta a la Circular E-20/017. En el Anexo I del documento CAJ/77/3 puede consultarse la propuesta completa formulada por la Argentina. </w:t>
      </w:r>
    </w:p>
  </w:endnote>
  <w:endnote w:id="10">
    <w:p w14:paraId="566342C0" w14:textId="292A2B77" w:rsidR="00C134CF" w:rsidRDefault="00C134CF">
      <w:pPr>
        <w:pStyle w:val="EndnoteText"/>
      </w:pPr>
      <w:r>
        <w:rPr>
          <w:rStyle w:val="EndnoteReference"/>
        </w:rPr>
        <w:endnoteRef/>
      </w:r>
      <w:r>
        <w:tab/>
        <w:t>Ejemplos ofrecidos por la Unión Europea en el Anexo de la Circular E-20/017. Explicación de la Oficina: para evitar el uso de ejemplos que probablemente sean inaceptables para otros miembros de la UPOV, no se han incluido los siguientes: “Pict” y “Picto”, “Tetral” y “Tetrax”, “Agasi” y “Agapi”, “Alexandra” y “Alexandru”, y “Lila” y “Leila”. En respuesta a la Circular E-20/017, la Argentina propone incluir los ejemplos de la Unión Europea en la sección 2.3.3.a)i), tras eliminar el texto “si se trata de una letra al comienzo de una palabra” en la sección 2.3.3.a)i). En el Anexo I del documento CAJ/77/3 puede consultarse la propuesta completa formulada por la Argentina.</w:t>
      </w:r>
    </w:p>
  </w:endnote>
  <w:endnote w:id="11">
    <w:p w14:paraId="3904A893" w14:textId="07E24A11" w:rsidR="00C134CF" w:rsidRDefault="00C134CF" w:rsidP="00B601E3">
      <w:pPr>
        <w:pStyle w:val="EndnoteText"/>
      </w:pPr>
      <w:r>
        <w:rPr>
          <w:rStyle w:val="EndnoteReference"/>
        </w:rPr>
        <w:endnoteRef/>
      </w:r>
      <w:r>
        <w:tab/>
        <w:t xml:space="preserve">Ejemplos facilitados por Argentina en respuesta a la Circular E-20/017. En el Anexo I del documento CAJ/77/3 puede consultarse la propuesta completa formulada por la Argentina. </w:t>
      </w:r>
    </w:p>
  </w:endnote>
  <w:endnote w:id="12">
    <w:p w14:paraId="02C3EDAB" w14:textId="28D0E6EE" w:rsidR="00C134CF" w:rsidRDefault="00C134CF" w:rsidP="00B601E3">
      <w:pPr>
        <w:pStyle w:val="EndnoteText"/>
      </w:pPr>
      <w:r>
        <w:rPr>
          <w:rStyle w:val="EndnoteReference"/>
        </w:rPr>
        <w:endnoteRef/>
      </w:r>
      <w:r>
        <w:t xml:space="preserve"> </w:t>
      </w:r>
      <w:r>
        <w:tab/>
        <w:t xml:space="preserve">Propuesta de la Argentina en respuesta a la Circular E-20/017. En el Anexo I del documento CAJ/77/3 puede consultarse la propuesta completa formulada por la Argentina. </w:t>
      </w:r>
    </w:p>
  </w:endnote>
  <w:endnote w:id="13">
    <w:p w14:paraId="31815991" w14:textId="0CD2C04A" w:rsidR="00C134CF" w:rsidRPr="00354EAF" w:rsidRDefault="00C134CF" w:rsidP="00B601E3">
      <w:pPr>
        <w:pStyle w:val="EndnoteText"/>
      </w:pPr>
      <w:r>
        <w:rPr>
          <w:rStyle w:val="EndnoteReference"/>
        </w:rPr>
        <w:endnoteRef/>
      </w:r>
      <w:r>
        <w:t xml:space="preserve"> </w:t>
      </w:r>
      <w:r>
        <w:tab/>
        <w:t>Propuesta formulada por la Unión Europea en el Anexo de la Circular E-20/017 “[Alternativa 2 de la sección 2.3.3.b)]”. En respuesta a la Circular E-20/017, la Argentina, el Canadá, Francia y Nueva Zelandia manifestaron su acuerdo respecto de esta propuesta, según consta en el Anexo I del documento CAJ/77/3.</w:t>
      </w:r>
    </w:p>
  </w:endnote>
  <w:endnote w:id="14">
    <w:p w14:paraId="4A55DC1B" w14:textId="06124A91" w:rsidR="00C134CF" w:rsidRDefault="00C134CF" w:rsidP="00B601E3">
      <w:pPr>
        <w:pStyle w:val="EndnoteText"/>
      </w:pPr>
      <w:r>
        <w:rPr>
          <w:rStyle w:val="EndnoteReference"/>
        </w:rPr>
        <w:endnoteRef/>
      </w:r>
      <w:r>
        <w:t xml:space="preserve"> </w:t>
      </w:r>
      <w:r>
        <w:tab/>
        <w:t xml:space="preserve">Propuesta de Nueva Zelandia en respuesta a la Circular E-20/017: eliminar “Antelope” y “Antilop” como ejemplo, dado que existe una clara diferencia de significado. Explicación de la Oficina: mantener el ejemplo como inadecuado, dado que no existe una diferencia fonética clara. En el Anexo I del documento CAJ/77/3 puede consultarse la propuesta completa formulada por Nueva Zelandia. </w:t>
      </w:r>
    </w:p>
  </w:endnote>
  <w:endnote w:id="15">
    <w:p w14:paraId="5AE9CCC7" w14:textId="77DDA0DD" w:rsidR="00C134CF" w:rsidRDefault="00C134CF" w:rsidP="00B601E3">
      <w:pPr>
        <w:pStyle w:val="EndnoteText"/>
      </w:pPr>
      <w:r>
        <w:rPr>
          <w:rStyle w:val="EndnoteReference"/>
        </w:rPr>
        <w:endnoteRef/>
      </w:r>
      <w:r>
        <w:t xml:space="preserve"> </w:t>
      </w:r>
      <w:r>
        <w:tab/>
        <w:t xml:space="preserve">En la versión española, reemplazar “constituye” por “puede constituir”. Propuesta de la Argentina en respuesta a la Circular E-20/017. En el Anexo I del documento CAJ/77/3 puede consultarse la propuesta completa formulada por la Argentina. </w:t>
      </w:r>
    </w:p>
  </w:endnote>
  <w:endnote w:id="16">
    <w:p w14:paraId="5661C762" w14:textId="1FA5C1EB" w:rsidR="00C134CF" w:rsidRDefault="00C134CF" w:rsidP="00B601E3">
      <w:pPr>
        <w:pStyle w:val="EndnoteText"/>
      </w:pPr>
      <w:r>
        <w:rPr>
          <w:rStyle w:val="EndnoteReference"/>
        </w:rPr>
        <w:endnoteRef/>
      </w:r>
      <w:r>
        <w:tab/>
        <w:t xml:space="preserve">En la versión española, reemplazar “insta” por “invita”. Propuesta de la Argentina en respuesta a la Circular E-20/017. En el Anexo I del documento CAJ/77/3 puede consultarse la propuesta completa formulada por la Argentina. </w:t>
      </w:r>
    </w:p>
  </w:endnote>
  <w:endnote w:id="17">
    <w:p w14:paraId="002AD352" w14:textId="77777777" w:rsidR="00C134CF" w:rsidRDefault="00C134CF" w:rsidP="00B601E3">
      <w:pPr>
        <w:spacing w:before="60"/>
        <w:ind w:left="284" w:hanging="284"/>
        <w:rPr>
          <w:sz w:val="16"/>
        </w:rPr>
      </w:pPr>
      <w:r>
        <w:rPr>
          <w:rStyle w:val="EndnoteReference"/>
          <w:sz w:val="16"/>
        </w:rPr>
        <w:endnoteRef/>
      </w:r>
      <w:r>
        <w:rPr>
          <w:sz w:val="16"/>
        </w:rPr>
        <w:t xml:space="preserve"> </w:t>
      </w:r>
      <w:r>
        <w:tab/>
      </w:r>
      <w:r>
        <w:rPr>
          <w:sz w:val="16"/>
        </w:rPr>
        <w:t>En el párrafo 36 del documento CAJ/76/9 “Informe” se indica lo siguiente:</w:t>
      </w:r>
    </w:p>
    <w:p w14:paraId="05F9A6AB" w14:textId="77777777" w:rsidR="00C134CF" w:rsidRPr="004A2EC2" w:rsidRDefault="00C134CF" w:rsidP="00B601E3">
      <w:pPr>
        <w:ind w:left="426"/>
        <w:rPr>
          <w:sz w:val="14"/>
        </w:rPr>
      </w:pPr>
      <w:r>
        <w:rPr>
          <w:sz w:val="14"/>
        </w:rPr>
        <w:t>“El CAJ tomó nota de que el WG-DEN ha pedido a la Oficina de la Unión que se aclare el texto siguiente:</w:t>
      </w:r>
    </w:p>
    <w:p w14:paraId="557B923D" w14:textId="77777777" w:rsidR="00C134CF" w:rsidRPr="004A2EC2" w:rsidRDefault="00C134CF" w:rsidP="00B601E3">
      <w:pPr>
        <w:ind w:left="426"/>
        <w:rPr>
          <w:sz w:val="14"/>
        </w:rPr>
      </w:pPr>
      <w:r>
        <w:rPr>
          <w:sz w:val="14"/>
        </w:rPr>
        <w:t xml:space="preserve">‘Sección 5.3.a): </w:t>
      </w:r>
    </w:p>
    <w:p w14:paraId="00A60524" w14:textId="5F302444" w:rsidR="00C134CF" w:rsidRDefault="00C134CF" w:rsidP="00B601E3">
      <w:pPr>
        <w:ind w:left="426"/>
        <w:rPr>
          <w:sz w:val="14"/>
        </w:rPr>
      </w:pPr>
      <w:r>
        <w:rPr>
          <w:sz w:val="14"/>
        </w:rPr>
        <w:t xml:space="preserve">no está conforme con las disposiciones de los párrafos 2) (por ejemplo, la denominación propuesta no es diferente de la denominación de una variedad existente de la misma especie vegetal o de una especie vecina en su territorio) y 4) (por ejemplo, la denominación propuesta es idéntica a la marca registrada para un producto idéntico);’” </w:t>
      </w:r>
    </w:p>
    <w:p w14:paraId="7C1FF4A4" w14:textId="77777777" w:rsidR="00C134CF" w:rsidRPr="004A2EC2" w:rsidRDefault="00C134CF" w:rsidP="00B601E3">
      <w:pPr>
        <w:ind w:left="426"/>
        <w:rPr>
          <w:b/>
          <w:sz w:val="10"/>
        </w:rPr>
      </w:pPr>
      <w:r>
        <w:rPr>
          <w:sz w:val="16"/>
        </w:rPr>
        <w:t xml:space="preserve">En las respuestas a la Circular E-20/017 no hubo objeciones a la propuesta formulada por la Oficina de la Unión respecto de eliminar “en su territorio” para facilitar la comprensión del texto. </w:t>
      </w:r>
    </w:p>
  </w:endnote>
  <w:endnote w:id="18">
    <w:p w14:paraId="70F92B1E" w14:textId="63D57FC8" w:rsidR="00C134CF" w:rsidRDefault="00C134CF">
      <w:pPr>
        <w:pStyle w:val="EndnoteText"/>
      </w:pPr>
      <w:r>
        <w:rPr>
          <w:rStyle w:val="EndnoteReference"/>
        </w:rPr>
        <w:endnoteRef/>
      </w:r>
      <w:r>
        <w:t xml:space="preserve"> </w:t>
      </w:r>
      <w:r>
        <w:tab/>
        <w:t>En la versión española, reemplazar “insta” por “invita”. Propuesta de la Argentina en respuesta a la Circular E-20/017. En el Anexo I del documento CAJ/77/3 puede consultarse la propuesta completa formulada por la Argentina.</w:t>
      </w:r>
    </w:p>
  </w:endnote>
  <w:endnote w:id="19">
    <w:p w14:paraId="21F806BA" w14:textId="51A09AAD" w:rsidR="00C134CF" w:rsidRPr="00FA0051" w:rsidRDefault="00C134CF" w:rsidP="00355EDE">
      <w:pPr>
        <w:ind w:left="284" w:hanging="284"/>
        <w:rPr>
          <w:sz w:val="16"/>
        </w:rPr>
      </w:pPr>
      <w:r>
        <w:rPr>
          <w:rStyle w:val="EndnoteReference"/>
        </w:rPr>
        <w:endnoteRef/>
      </w:r>
      <w:r>
        <w:tab/>
      </w:r>
      <w:r>
        <w:rPr>
          <w:sz w:val="16"/>
        </w:rPr>
        <w:t xml:space="preserve">Conforme a la solicitud del CAJ de invitar al TC y los TWP a examinar la propuesta de añadir el “género </w:t>
      </w:r>
      <w:r>
        <w:rPr>
          <w:i/>
          <w:sz w:val="16"/>
        </w:rPr>
        <w:t>Epichloe</w:t>
      </w:r>
      <w:r>
        <w:rPr>
          <w:sz w:val="16"/>
        </w:rPr>
        <w:t xml:space="preserve"> (antes </w:t>
      </w:r>
      <w:r>
        <w:rPr>
          <w:i/>
          <w:sz w:val="16"/>
        </w:rPr>
        <w:t>Neotyphodium</w:t>
      </w:r>
      <w:r>
        <w:rPr>
          <w:sz w:val="16"/>
        </w:rPr>
        <w:t xml:space="preserve">) a la clase 203” (párrafo 43 del documento CAJ/75/14 “Informe”), en su quincuagésima quinta sesión, el TC tomó nota de las observaciones formuladas por los TWP en sus sesiones de 2019 y convino en que “se añada el género </w:t>
      </w:r>
      <w:r>
        <w:rPr>
          <w:i/>
          <w:sz w:val="16"/>
        </w:rPr>
        <w:t>Epichloe</w:t>
      </w:r>
      <w:r>
        <w:rPr>
          <w:sz w:val="16"/>
        </w:rPr>
        <w:t xml:space="preserve"> (antes </w:t>
      </w:r>
      <w:r>
        <w:rPr>
          <w:i/>
          <w:sz w:val="16"/>
        </w:rPr>
        <w:t>Neotyphodium</w:t>
      </w:r>
      <w:r>
        <w:rPr>
          <w:sz w:val="16"/>
        </w:rPr>
        <w:t>) a la clase 203 (</w:t>
      </w:r>
      <w:r>
        <w:rPr>
          <w:i/>
          <w:sz w:val="16"/>
        </w:rPr>
        <w:t>Agrostis</w:t>
      </w:r>
      <w:r>
        <w:rPr>
          <w:sz w:val="16"/>
        </w:rPr>
        <w:t>,</w:t>
      </w:r>
      <w:r>
        <w:rPr>
          <w:i/>
          <w:sz w:val="16"/>
        </w:rPr>
        <w:t xml:space="preserve"> Dactylis, Festuca, Festulolium, Lolium, Phalaris, Phleum</w:t>
      </w:r>
      <w:r>
        <w:rPr>
          <w:sz w:val="16"/>
        </w:rPr>
        <w:t xml:space="preserve"> y </w:t>
      </w:r>
      <w:r>
        <w:rPr>
          <w:i/>
          <w:sz w:val="16"/>
        </w:rPr>
        <w:t>Poa</w:t>
      </w:r>
      <w:r>
        <w:rPr>
          <w:sz w:val="16"/>
        </w:rPr>
        <w:t xml:space="preserve">)” </w:t>
      </w:r>
      <w:r w:rsidRPr="0039613E">
        <w:rPr>
          <w:sz w:val="16"/>
        </w:rPr>
        <w:t>(véase el párrafo 239 del documento TC/55/25 Corr.).</w:t>
      </w:r>
      <w:r>
        <w:rPr>
          <w:sz w:val="16"/>
        </w:rPr>
        <w:t xml:space="preserve"> Por lo tanto, se debe eliminar la referencia a “</w:t>
      </w:r>
      <w:r>
        <w:rPr>
          <w:i/>
          <w:sz w:val="16"/>
        </w:rPr>
        <w:t>Neotyphodium</w:t>
      </w:r>
      <w:r>
        <w:rPr>
          <w:sz w:val="16"/>
        </w:rPr>
        <w:t>”. También Nueva Zelandia propuso este cambio en su respuesta a la Circular E- 20/017.</w:t>
      </w:r>
    </w:p>
  </w:endnote>
  <w:endnote w:id="20">
    <w:p w14:paraId="4326C58B" w14:textId="7D1A148B" w:rsidR="00C134CF" w:rsidRDefault="00C134CF" w:rsidP="00B601E3">
      <w:pPr>
        <w:pStyle w:val="EndnoteText"/>
      </w:pPr>
      <w:r>
        <w:rPr>
          <w:rStyle w:val="EndnoteReference"/>
        </w:rPr>
        <w:endnoteRef/>
      </w:r>
      <w:r>
        <w:t xml:space="preserve"> </w:t>
      </w:r>
      <w:r>
        <w:tab/>
        <w:t xml:space="preserve">En su quincuagésima cuarta sesión, celebrada del 11 al 15 de mayo de 2020, el Grupo de Trabajo Técnico sobre Hortalizas (TWV) tomó nota de que la base de datos PLUTO </w:t>
      </w:r>
      <w:r w:rsidR="00BE7A17">
        <w:t xml:space="preserve">contiene </w:t>
      </w:r>
      <w:r>
        <w:t xml:space="preserve">unas 1.200 variedades con el código UPOV “CICHO_INT” que no es posible asignar con certeza a alguna de las dos clases (clase 205 o clase 205B) y convino en no respaldar la propuesta de dividir la clase de denominación 205 en esta etapa. Se propone que no se introduzca la clase 205B en este momento, </w:t>
      </w:r>
      <w:r w:rsidR="00BE7A17">
        <w:t>pendientes del examen de esta propuesta por el TC y el CAJ</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47D7"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61312" behindDoc="0" locked="0" layoutInCell="0" allowOverlap="1" wp14:anchorId="63E4AB6A" wp14:editId="5690F5A5">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12B80"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E4AB6A"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14:paraId="38212B80"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8887" w14:textId="77777777" w:rsidR="00C134CF" w:rsidRPr="0052466B" w:rsidRDefault="00C134CF" w:rsidP="009935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1DFE"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73600" behindDoc="0" locked="0" layoutInCell="0" allowOverlap="1" wp14:anchorId="1F3ED7D5" wp14:editId="48EAC16C">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752FA"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ED7D5" id="_x0000_t202" coordsize="21600,21600" o:spt="202" path="m,l,21600r21600,l21600,xe">
              <v:stroke joinstyle="miter"/>
              <v:path gradientshapeok="t" o:connecttype="rect"/>
            </v:shapetype>
            <v:shape id="TITUSE5footer" o:spid="_x0000_s1035"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b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GkbqgIAAGUFAAAOAAAAAAAAAAAAAAAA&#10;AC4CAABkcnMvZTJvRG9jLnhtbFBLAQItABQABgAIAAAAIQDN8vMo2gAAAAgBAAAPAAAAAAAAAAAA&#10;AAAAAAQFAABkcnMvZG93bnJldi54bWxQSwUGAAAAAAQABADzAAAACwYAAAAA&#10;" o:allowincell="f" filled="f" stroked="f" strokeweight=".5pt">
              <v:path arrowok="t"/>
              <v:textbox>
                <w:txbxContent>
                  <w:p w14:paraId="12B752FA" w14:textId="77777777" w:rsidR="00E46431" w:rsidRDefault="00E46431" w:rsidP="00A34D12">
                    <w:pPr>
                      <w:jc w:val="center"/>
                    </w:pPr>
                    <w:r>
                      <w:rPr>
                        <w:color w:val="000000"/>
                        <w:sz w:val="17"/>
                      </w:rPr>
                      <w:t>ÚNICAMENTE PARA USO OFICIAL DE LA OMPI</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3BCF"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72576" behindDoc="0" locked="0" layoutInCell="0" allowOverlap="1" wp14:anchorId="710B2B2A" wp14:editId="5483EFC7">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300A8"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B2B2A" id="_x0000_t202" coordsize="21600,21600" o:spt="202" path="m,l,21600r21600,l21600,xe">
              <v:stroke joinstyle="miter"/>
              <v:path gradientshapeok="t" o:connecttype="rect"/>
            </v:shapetype>
            <v:shape id="TITUSO5footer" o:spid="_x0000_s1036"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S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gUbSwqgIAAGUFAAAOAAAAAAAAAAAAAAAA&#10;AC4CAABkcnMvZTJvRG9jLnhtbFBLAQItABQABgAIAAAAIQDN8vMo2gAAAAgBAAAPAAAAAAAAAAAA&#10;AAAAAAQFAABkcnMvZG93bnJldi54bWxQSwUGAAAAAAQABADzAAAACwYAAAAA&#10;" o:allowincell="f" filled="f" stroked="f" strokeweight=".5pt">
              <v:path arrowok="t"/>
              <v:textbox>
                <w:txbxContent>
                  <w:p w14:paraId="256300A8" w14:textId="77777777" w:rsidR="00E46431" w:rsidRDefault="00E46431" w:rsidP="00A34D12">
                    <w:pPr>
                      <w:jc w:val="center"/>
                    </w:pPr>
                    <w:r>
                      <w:rPr>
                        <w:color w:val="000000"/>
                        <w:sz w:val="17"/>
                      </w:rPr>
                      <w:t>ÚNICAMENTE PARA USO OFICIAL DE LA OMPI</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063E" w14:textId="77777777" w:rsidR="00C134CF" w:rsidRPr="0052466B" w:rsidRDefault="00C134CF"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A44C"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64384" behindDoc="0" locked="0" layoutInCell="0" allowOverlap="1" wp14:anchorId="122CA99D" wp14:editId="5673AA60">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D3EC6"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2CA99D"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14:paraId="5B5D3EC6"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F65E"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63360" behindDoc="0" locked="0" layoutInCell="0" allowOverlap="1" wp14:anchorId="2E5C0383" wp14:editId="1AFF7BE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1A410"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5C0383"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14:paraId="22B1A410"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9A57" w14:textId="77777777" w:rsidR="00C134CF" w:rsidRPr="0052466B" w:rsidRDefault="00C134CF" w:rsidP="0099354D">
    <w:pPr>
      <w:pStyle w:val="Footer"/>
    </w:pPr>
    <w:r>
      <w:rPr>
        <w:noProof/>
        <w:lang w:val="en-US" w:eastAsia="en-US" w:bidi="ar-SA"/>
      </w:rPr>
      <mc:AlternateContent>
        <mc:Choice Requires="wps">
          <w:drawing>
            <wp:anchor distT="558800" distB="0" distL="114300" distR="114300" simplePos="0" relativeHeight="251662336" behindDoc="0" locked="0" layoutInCell="0" allowOverlap="1" wp14:anchorId="56401E8F" wp14:editId="74E13A26">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DED1E"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01E8F"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14:paraId="6E9DED1E"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861B"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67456" behindDoc="0" locked="0" layoutInCell="0" allowOverlap="1" wp14:anchorId="7F80BAB6" wp14:editId="0887E283">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4EE28"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80BAB6"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14:paraId="4E54EE28"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041E"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66432" behindDoc="0" locked="0" layoutInCell="0" allowOverlap="1" wp14:anchorId="600981F2" wp14:editId="67CB104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16FA0"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0981F2"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14:paraId="05316FA0"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C4AE" w14:textId="77777777" w:rsidR="00C134CF" w:rsidRPr="0052466B" w:rsidRDefault="00C134CF"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78A1"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70528" behindDoc="0" locked="0" layoutInCell="0" allowOverlap="1" wp14:anchorId="743B8AAA" wp14:editId="2B43A208">
              <wp:simplePos x="0" y="0"/>
              <wp:positionH relativeFrom="margin">
                <wp:align>center</wp:align>
              </wp:positionH>
              <wp:positionV relativeFrom="bottomMargin">
                <wp:posOffset>558800</wp:posOffset>
              </wp:positionV>
              <wp:extent cx="7620000" cy="317500"/>
              <wp:effectExtent l="0" t="0" r="0" b="635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0CBB2"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3B8AAA"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O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q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4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jjO0qgIAAGUFAAAOAAAAAAAAAAAAAAAA&#10;AC4CAABkcnMvZTJvRG9jLnhtbFBLAQItABQABgAIAAAAIQDN8vMo2gAAAAgBAAAPAAAAAAAAAAAA&#10;AAAAAAQFAABkcnMvZG93bnJldi54bWxQSwUGAAAAAAQABADzAAAACwYAAAAA&#10;" o:allowincell="f" filled="f" stroked="f" strokeweight=".5pt">
              <v:path arrowok="t"/>
              <v:textbox>
                <w:txbxContent>
                  <w:p w14:paraId="4C60CBB2"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797C" w14:textId="77777777" w:rsidR="00C134CF" w:rsidRDefault="00C134CF" w:rsidP="0099354D">
    <w:pPr>
      <w:pStyle w:val="Footer"/>
    </w:pPr>
    <w:r>
      <w:rPr>
        <w:noProof/>
        <w:lang w:val="en-US" w:eastAsia="en-US" w:bidi="ar-SA"/>
      </w:rPr>
      <mc:AlternateContent>
        <mc:Choice Requires="wps">
          <w:drawing>
            <wp:anchor distT="558800" distB="0" distL="114300" distR="114300" simplePos="0" relativeHeight="251669504" behindDoc="0" locked="0" layoutInCell="0" allowOverlap="1" wp14:anchorId="5CABD390" wp14:editId="46E0202A">
              <wp:simplePos x="0" y="0"/>
              <wp:positionH relativeFrom="margin">
                <wp:align>center</wp:align>
              </wp:positionH>
              <wp:positionV relativeFrom="bottomMargin">
                <wp:posOffset>558800</wp:posOffset>
              </wp:positionV>
              <wp:extent cx="7620000" cy="317500"/>
              <wp:effectExtent l="0" t="0" r="0" b="635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4D514" w14:textId="77777777" w:rsidR="00C134CF" w:rsidRDefault="00C134CF" w:rsidP="00A34D12">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BD390" id="_x0000_t202" coordsize="21600,21600" o:spt="202" path="m,l,21600r21600,l21600,xe">
              <v:stroke joinstyle="miter"/>
              <v:path gradientshapeok="t" o:connecttype="rect"/>
            </v:shapetype>
            <v:shape id="TITUSO4footer" o:spid="_x0000_s103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Y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Z+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04YRqgIAAGUFAAAOAAAAAAAAAAAAAAAA&#10;AC4CAABkcnMvZTJvRG9jLnhtbFBLAQItABQABgAIAAAAIQDN8vMo2gAAAAgBAAAPAAAAAAAAAAAA&#10;AAAAAAQFAABkcnMvZG93bnJldi54bWxQSwUGAAAAAAQABADzAAAACwYAAAAA&#10;" o:allowincell="f" filled="f" stroked="f" strokeweight=".5pt">
              <v:path arrowok="t"/>
              <v:textbox>
                <w:txbxContent>
                  <w:p w14:paraId="3974D514" w14:textId="77777777" w:rsidR="00C134CF" w:rsidRDefault="00C134CF" w:rsidP="00A34D12">
                    <w:pPr>
                      <w:jc w:val="center"/>
                    </w:pPr>
                    <w:r>
                      <w:rPr>
                        <w:color w:val="000000"/>
                        <w:sz w:val="17"/>
                      </w:rPr>
                      <w:t>ÚNICAMENTE PARA USO OFICIAL DE LA OMPI</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56F4" w14:textId="77777777" w:rsidR="00C134CF" w:rsidRDefault="00C134CF" w:rsidP="004E5448">
      <w:pPr>
        <w:spacing w:before="240"/>
      </w:pPr>
      <w:r>
        <w:separator/>
      </w:r>
    </w:p>
  </w:footnote>
  <w:footnote w:type="continuationSeparator" w:id="0">
    <w:p w14:paraId="6616DFB0" w14:textId="77777777" w:rsidR="00C134CF" w:rsidRDefault="00C134CF" w:rsidP="00893C7D">
      <w:r>
        <w:continuationSeparator/>
      </w:r>
    </w:p>
  </w:footnote>
  <w:footnote w:id="1">
    <w:p w14:paraId="64929981" w14:textId="77777777" w:rsidR="00C134CF" w:rsidRDefault="00C134CF" w:rsidP="00211C6F">
      <w:pPr>
        <w:pStyle w:val="FootnoteText"/>
      </w:pPr>
      <w:r>
        <w:rPr>
          <w:rStyle w:val="FootnoteReference"/>
        </w:rPr>
        <w:footnoteRef/>
      </w:r>
      <w:r>
        <w:tab/>
        <w:t>Por “autoridad” se entiende la autoridad encargada de conceder derechos de obtentor (Artículo 30.1)ii) del Acta de 1991 y Artículo 30.1)b) del Acta de 1978 y del Convenio de 1961).</w:t>
      </w:r>
    </w:p>
  </w:footnote>
  <w:footnote w:id="2">
    <w:p w14:paraId="6717DF80" w14:textId="77777777" w:rsidR="00C134CF" w:rsidRDefault="00C134CF" w:rsidP="004D6E45">
      <w:pPr>
        <w:pStyle w:val="FootnoteText"/>
        <w:rPr>
          <w:rStyle w:val="FootnoteTextChar"/>
        </w:rPr>
      </w:pPr>
      <w:r>
        <w:rPr>
          <w:rStyle w:val="FootnoteReference"/>
        </w:rPr>
        <w:footnoteRef/>
      </w:r>
      <w:r>
        <w:t xml:space="preserve"> </w:t>
      </w:r>
      <w:r>
        <w:tab/>
      </w:r>
      <w:r>
        <w:rPr>
          <w:rStyle w:val="FootnoteTextChar"/>
        </w:rPr>
        <w:t>Publicación de la OMPI N.º 489 “</w:t>
      </w:r>
      <w:r>
        <w:rPr>
          <w:rStyle w:val="FootnoteTextChar"/>
          <w:i/>
        </w:rPr>
        <w:t>WIPO Intellectual Property Handbook</w:t>
      </w:r>
      <w:r>
        <w:rPr>
          <w:rStyle w:val="FootnoteTextChar"/>
        </w:rPr>
        <w:t>” (solo en inglés).</w:t>
      </w:r>
    </w:p>
    <w:p w14:paraId="19E61216" w14:textId="77777777" w:rsidR="00C134CF" w:rsidRPr="00DE1471" w:rsidRDefault="00C134CF" w:rsidP="0099144C">
      <w:pPr>
        <w:pStyle w:val="FootnoteText"/>
        <w:ind w:left="567" w:hanging="283"/>
        <w:rPr>
          <w:rStyle w:val="FootnoteTextChar"/>
        </w:rPr>
      </w:pPr>
      <w:r>
        <w:rPr>
          <w:rStyle w:val="FootnoteTextChar"/>
          <w:u w:val="single"/>
        </w:rPr>
        <w:t>“Utilización adecuada de las marcas</w:t>
      </w:r>
    </w:p>
    <w:p w14:paraId="2A508EA4" w14:textId="4512A9AF" w:rsidR="00C134CF" w:rsidRPr="00DE1471" w:rsidRDefault="00C134CF" w:rsidP="0099144C">
      <w:pPr>
        <w:pStyle w:val="FootnoteText"/>
        <w:tabs>
          <w:tab w:val="left" w:pos="851"/>
        </w:tabs>
        <w:ind w:left="851" w:hanging="567"/>
      </w:pPr>
      <w:r>
        <w:t>2.397</w:t>
      </w:r>
      <w:r>
        <w:tab/>
        <w:t>La no utilización puede resultar en la pérdida de los derechos sobre la marca. Sin embargo, la utilización indebida puede tener el mismo resultado. Una marca puede llegar a ser susceptible de supresión del Registro si el titular registrado ha provocado o ha tolerado su transformación en un nombre genérico para uno o más productos o servicios respecto de los cuales la marca haya sido registrada, de tal manera que, en los círculos comerciales y para los consumidores y el público en general, su importancia como marca se ha perdido.</w:t>
      </w:r>
    </w:p>
    <w:p w14:paraId="6F7CE957" w14:textId="5EB1AA7F" w:rsidR="00C134CF" w:rsidRPr="00DE1471" w:rsidRDefault="00C134CF" w:rsidP="0099144C">
      <w:pPr>
        <w:pStyle w:val="FootnoteText"/>
        <w:tabs>
          <w:tab w:val="left" w:pos="851"/>
        </w:tabs>
        <w:ind w:left="851" w:hanging="567"/>
      </w:pPr>
      <w:r>
        <w:t>2.398</w:t>
      </w:r>
      <w:r>
        <w:tab/>
        <w:t>Fundamentalmente, son dos las causas de la transformación en lo genérico: a saber, la utilización indebida por el titular, que provoca la transformación de la marca en un término genérico, y la utilización indebida por terceros que es tolerada por el titular. […]</w:t>
      </w:r>
    </w:p>
    <w:p w14:paraId="26109E8D" w14:textId="0E97582E" w:rsidR="00C134CF" w:rsidRPr="00DE1471" w:rsidRDefault="00C134CF" w:rsidP="002F0630">
      <w:pPr>
        <w:pStyle w:val="FootnoteText"/>
        <w:tabs>
          <w:tab w:val="left" w:pos="851"/>
        </w:tabs>
        <w:ind w:left="851" w:hanging="567"/>
      </w:pPr>
      <w:r>
        <w:t>2.400</w:t>
      </w:r>
      <w:r>
        <w:tab/>
        <w:t>La regla básica es que la marca no debe ser utilizada como la designación de un producto o en lugar de esta designación. [...]</w:t>
      </w:r>
    </w:p>
    <w:p w14:paraId="669F4915" w14:textId="3476FD20" w:rsidR="00C134CF" w:rsidRPr="00DE1471" w:rsidRDefault="00C134CF" w:rsidP="0099144C">
      <w:pPr>
        <w:pStyle w:val="FootnoteText"/>
        <w:tabs>
          <w:tab w:val="left" w:pos="851"/>
        </w:tabs>
        <w:ind w:left="851" w:hanging="567"/>
      </w:pPr>
      <w:r>
        <w:t>2.404</w:t>
      </w:r>
      <w:r>
        <w:tab/>
        <w:t>No obstante, no basta con seguir estas reglas: el titular de la marca también debe asegurarse de que su marca no sea indebidamente utilizada por terceros y por el público. Es especialmente importante que la marca no se utilice como la descripción de un producto, o en lugar de esa descripción, en los diccionarios, publicaciones oficiales, publicaciones periódicas, etcétera.”</w:t>
      </w:r>
    </w:p>
  </w:footnote>
  <w:footnote w:id="3">
    <w:p w14:paraId="07C39DDF" w14:textId="77777777" w:rsidR="00C134CF" w:rsidRDefault="00C134CF" w:rsidP="0099144C">
      <w:pPr>
        <w:pStyle w:val="FootnoteText"/>
      </w:pPr>
      <w:r>
        <w:rPr>
          <w:rStyle w:val="FootnoteReference"/>
        </w:rPr>
        <w:footnoteRef/>
      </w:r>
      <w:r>
        <w:t xml:space="preserve"> </w:t>
      </w:r>
      <w:r>
        <w:tab/>
        <w:t>El Artículo 20.2) del Acta de 1991 se refiere a una “especie vegetal” y el Artículo 13.2) del Acta de 1978 y del Convenio de 1961 se refiere a una “especie botánica”; esta divergencia en la terminología no supone ninguna diferencia de fondo.</w:t>
      </w:r>
    </w:p>
  </w:footnote>
  <w:footnote w:id="4">
    <w:p w14:paraId="768C356C" w14:textId="77777777" w:rsidR="00C134CF" w:rsidRDefault="00C134CF" w:rsidP="0099144C">
      <w:pPr>
        <w:pStyle w:val="FootnoteText"/>
      </w:pPr>
      <w:r>
        <w:rPr>
          <w:rStyle w:val="FootnoteReference"/>
        </w:rPr>
        <w:footnoteRef/>
      </w:r>
      <w:r>
        <w:t xml:space="preserve"> </w:t>
      </w:r>
      <w:r>
        <w:tab/>
        <w:t>Arreglo de Niza relativo a la Clasificación Internacional de Productos y Servicios para el Registro de las Marcas, del 15 de junio de 1957, revisado en Estocolmo el 14 de julio de 1967 y en Ginebra el 13 de mayo de 1977, y enmendado el 28 de septiembre de 1979.</w:t>
      </w:r>
    </w:p>
  </w:footnote>
  <w:footnote w:id="5">
    <w:p w14:paraId="7BEA6006" w14:textId="5AA8CF02" w:rsidR="00C134CF" w:rsidRDefault="00C134CF" w:rsidP="0099144C">
      <w:pPr>
        <w:pStyle w:val="FootnoteText"/>
      </w:pPr>
      <w:r>
        <w:rPr>
          <w:rStyle w:val="FootnoteReference"/>
        </w:rPr>
        <w:footnoteRef/>
      </w:r>
      <w:r>
        <w:t xml:space="preserve"> </w:t>
      </w:r>
      <w:r>
        <w:tab/>
        <w:t>Las marcas notoriamente conocidas están protegidas por el Convenio de París para la Protección de la Propiedad Industrial (Artículo 6bis) y el Acuerdo sobre los Aspectos de los Derechos de Propiedad Intelectual relacionados con el Comercio (Artículo 16.2 y 3 del Acuerdo sobre los ADPIC). Véase también la Recomendación Conjunta de la OMPI relativa a las Disposiciones sobre la Protección de Marcas Notoriamente Conocidas, de 1999.</w:t>
      </w:r>
    </w:p>
  </w:footnote>
  <w:footnote w:id="6">
    <w:p w14:paraId="6972C6AE" w14:textId="77777777" w:rsidR="00C134CF" w:rsidRDefault="00C134CF" w:rsidP="0099144C">
      <w:pPr>
        <w:pStyle w:val="FootnoteText"/>
      </w:pPr>
      <w:r>
        <w:rPr>
          <w:rStyle w:val="FootnoteReference"/>
        </w:rPr>
        <w:footnoteRef/>
      </w:r>
      <w:r>
        <w:t xml:space="preserve"> </w:t>
      </w:r>
      <w:r>
        <w:tab/>
        <w:t>Artículo 8 del Convenio de París.</w:t>
      </w:r>
    </w:p>
  </w:footnote>
  <w:footnote w:id="7">
    <w:p w14:paraId="733CEED4" w14:textId="77777777" w:rsidR="00C134CF" w:rsidRDefault="00C134CF" w:rsidP="0099144C">
      <w:pPr>
        <w:pStyle w:val="FootnoteText"/>
      </w:pPr>
      <w:r>
        <w:rPr>
          <w:rStyle w:val="FootnoteReference"/>
        </w:rPr>
        <w:footnoteRef/>
      </w:r>
      <w:r>
        <w:t xml:space="preserve"> </w:t>
      </w:r>
      <w:r>
        <w:tab/>
        <w:t>Esta recomendación se refiere a los nombres y siglas notificados de conformidad con el Artículo 6</w:t>
      </w:r>
      <w:r>
        <w:rPr>
          <w:i/>
        </w:rPr>
        <w:t>ter</w:t>
      </w:r>
      <w:r>
        <w:t xml:space="preserve"> del Convenio de París.</w:t>
      </w:r>
    </w:p>
  </w:footnote>
  <w:footnote w:id="8">
    <w:p w14:paraId="03A33142" w14:textId="77777777" w:rsidR="00C134CF" w:rsidRDefault="00C134CF" w:rsidP="0099144C">
      <w:pPr>
        <w:pStyle w:val="FootnoteText"/>
      </w:pPr>
      <w:r>
        <w:rPr>
          <w:rStyle w:val="FootnoteReference"/>
        </w:rPr>
        <w:footnoteRef/>
      </w:r>
      <w:r>
        <w:t xml:space="preserve"> </w:t>
      </w:r>
      <w:r>
        <w:tab/>
        <w:t>Los Artículos 22 a 24 del Acuerdo sobre los ADPIC establecen una obligación para los miembros de la OMC de proteger las indicaciones geográficas; el Arreglo de Lisboa relativo a la Protección de las Denominaciones de Origen y su Registro Internacional establece procedimientos de registro internacional para las denominaciones de origen en los Estados parte en ese Arreglo.</w:t>
      </w:r>
    </w:p>
  </w:footnote>
  <w:footnote w:id="9">
    <w:p w14:paraId="26A5565E" w14:textId="77777777" w:rsidR="00C134CF" w:rsidRPr="00917B01" w:rsidRDefault="00C134CF" w:rsidP="0099144C">
      <w:pPr>
        <w:pStyle w:val="FootnoteText"/>
        <w:ind w:right="851"/>
        <w:rPr>
          <w:color w:val="000000"/>
        </w:rPr>
      </w:pPr>
      <w:r>
        <w:t xml:space="preserve">* </w:t>
      </w:r>
      <w:r>
        <w:tab/>
        <w:t>Las clases 203 y 204 no se establecen basándose únicamente en las especies vecinas.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6E8B" w14:textId="77777777" w:rsidR="00C134CF" w:rsidRPr="00B0234D" w:rsidRDefault="00C134CF" w:rsidP="00B713C8">
    <w:pPr>
      <w:jc w:val="center"/>
      <w:rPr>
        <w:b/>
        <w:lang w:val="de-DE"/>
      </w:rPr>
    </w:pPr>
    <w:r w:rsidRPr="00B0234D">
      <w:rPr>
        <w:lang w:val="de-DE"/>
      </w:rPr>
      <w:t>UPOV/EXN/DEN/1 Draft 3</w:t>
    </w:r>
  </w:p>
  <w:p w14:paraId="6A5CBDBC" w14:textId="77777777" w:rsidR="00C134CF" w:rsidRPr="00B0234D" w:rsidRDefault="00C134CF" w:rsidP="00B713C8">
    <w:pPr>
      <w:jc w:val="center"/>
      <w:rPr>
        <w:lang w:val="de-DE"/>
      </w:rPr>
    </w:pPr>
    <w:r w:rsidRPr="00B0234D">
      <w:rPr>
        <w:lang w:val="de-DE"/>
      </w:rPr>
      <w:t xml:space="preserve">página </w:t>
    </w:r>
    <w:r>
      <w:fldChar w:fldCharType="begin"/>
    </w:r>
    <w:r w:rsidRPr="00B0234D">
      <w:rPr>
        <w:lang w:val="de-DE"/>
      </w:rPr>
      <w:instrText xml:space="preserve"> PAGE  \* MERGEFORMAT </w:instrText>
    </w:r>
    <w:r>
      <w:fldChar w:fldCharType="separate"/>
    </w:r>
    <w:r w:rsidRPr="00B0234D">
      <w:rPr>
        <w:noProof/>
        <w:lang w:val="de-DE"/>
      </w:rPr>
      <w:t>2</w:t>
    </w:r>
    <w:r>
      <w:fldChar w:fldCharType="end"/>
    </w:r>
  </w:p>
  <w:p w14:paraId="02E7BD3A" w14:textId="77777777" w:rsidR="00C134CF" w:rsidRPr="00B0234D" w:rsidRDefault="00C134CF"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C42E" w14:textId="77777777" w:rsidR="00C134CF" w:rsidRPr="009929A5" w:rsidRDefault="00C134CF" w:rsidP="00893C7D">
    <w:pPr>
      <w:pStyle w:val="Header"/>
      <w:rPr>
        <w:rFonts w:cs="Arial"/>
      </w:rPr>
    </w:pPr>
    <w:r>
      <w:t>UPOV/INF/12/6 Draft 1</w:t>
    </w:r>
  </w:p>
  <w:p w14:paraId="3073E9C9" w14:textId="77777777" w:rsidR="00C134CF" w:rsidRPr="009929A5" w:rsidRDefault="00C134CF" w:rsidP="00893C7D">
    <w:pPr>
      <w:pStyle w:val="Header"/>
      <w:rPr>
        <w:rStyle w:val="PageNumber"/>
        <w:rFonts w:cs="Arial"/>
      </w:rPr>
    </w:pPr>
    <w:r>
      <w:t xml:space="preserve">página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14:paraId="69DC8C06" w14:textId="77777777" w:rsidR="00C134CF" w:rsidRPr="009929A5" w:rsidRDefault="00C134CF" w:rsidP="00893C7D">
    <w:pPr>
      <w:pStyle w:val="Head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8DF9" w14:textId="77777777" w:rsidR="00C134CF" w:rsidRPr="00B0234D" w:rsidRDefault="00C134CF" w:rsidP="00893C7D">
    <w:pPr>
      <w:jc w:val="center"/>
      <w:rPr>
        <w:lang w:val="de-DE"/>
      </w:rPr>
    </w:pPr>
    <w:r w:rsidRPr="00B0234D">
      <w:rPr>
        <w:lang w:val="de-DE"/>
      </w:rPr>
      <w:t>UPOV/EXN/DEN/1 Draft 4</w:t>
    </w:r>
  </w:p>
  <w:p w14:paraId="7F2D40C0" w14:textId="77777777" w:rsidR="00C134CF" w:rsidRPr="00B0234D" w:rsidRDefault="00C134CF">
    <w:pPr>
      <w:jc w:val="center"/>
      <w:rPr>
        <w:lang w:val="de-DE"/>
      </w:rPr>
    </w:pPr>
    <w:r w:rsidRPr="00B0234D">
      <w:rPr>
        <w:lang w:val="de-DE"/>
      </w:rPr>
      <w:t>Anexo II, página 2</w:t>
    </w:r>
  </w:p>
  <w:p w14:paraId="061A07E8" w14:textId="77777777" w:rsidR="00C134CF" w:rsidRPr="00B0234D" w:rsidRDefault="00C134CF">
    <w:pPr>
      <w:jc w:val="center"/>
      <w:rPr>
        <w:lang w:val="de-DE"/>
      </w:rPr>
    </w:pPr>
  </w:p>
  <w:p w14:paraId="2FADF007" w14:textId="77777777" w:rsidR="00C134CF" w:rsidRPr="00B0234D" w:rsidRDefault="00C134CF">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4AD6" w14:textId="77777777" w:rsidR="00C134CF" w:rsidRPr="00537C5F" w:rsidRDefault="00C134CF" w:rsidP="00B713C8">
    <w:pPr>
      <w:pStyle w:val="Header"/>
      <w:rPr>
        <w:rStyle w:val="PageNumber"/>
      </w:rPr>
    </w:pPr>
    <w:r>
      <w:rPr>
        <w:rStyle w:val="PageNumber"/>
      </w:rPr>
      <w:t>UPOV/EXN/DEN/1 Draft 1</w:t>
    </w:r>
  </w:p>
  <w:p w14:paraId="3979A3FF" w14:textId="77777777" w:rsidR="00C134CF" w:rsidRPr="00537C5F" w:rsidRDefault="00C134CF" w:rsidP="00B713C8">
    <w:pPr>
      <w:pStyle w:val="Header"/>
    </w:pPr>
    <w:r>
      <w:t xml:space="preserve">Notas finales, página </w:t>
    </w:r>
    <w:r w:rsidRPr="00C5280D">
      <w:rPr>
        <w:rStyle w:val="PageNumber"/>
      </w:rPr>
      <w:fldChar w:fldCharType="begin"/>
    </w:r>
    <w:r w:rsidRPr="00537C5F">
      <w:rPr>
        <w:rStyle w:val="PageNumber"/>
      </w:rPr>
      <w:instrText xml:space="preserve"> PAGE </w:instrText>
    </w:r>
    <w:r w:rsidRPr="00C5280D">
      <w:rPr>
        <w:rStyle w:val="PageNumber"/>
      </w:rPr>
      <w:fldChar w:fldCharType="separate"/>
    </w:r>
    <w:r>
      <w:rPr>
        <w:rStyle w:val="PageNumber"/>
        <w:noProof/>
      </w:rPr>
      <w:t>15</w:t>
    </w:r>
    <w:r w:rsidRPr="00C5280D">
      <w:rPr>
        <w:rStyle w:val="PageNumber"/>
      </w:rPr>
      <w:fldChar w:fldCharType="end"/>
    </w:r>
  </w:p>
  <w:p w14:paraId="0A954695" w14:textId="77777777" w:rsidR="00C134CF" w:rsidRPr="00537C5F" w:rsidRDefault="00C134CF" w:rsidP="00B713C8"/>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9330" w14:textId="77777777" w:rsidR="00C134CF" w:rsidRPr="00537C5F" w:rsidRDefault="00C134CF" w:rsidP="00893C7D">
    <w:pPr>
      <w:pStyle w:val="Header"/>
      <w:rPr>
        <w:rStyle w:val="PageNumber"/>
      </w:rPr>
    </w:pPr>
    <w:r>
      <w:rPr>
        <w:rStyle w:val="PageNumber"/>
      </w:rPr>
      <w:t>UPOV/EXN/DEN/1 Draft 1</w:t>
    </w:r>
  </w:p>
  <w:p w14:paraId="0CFE77D3" w14:textId="56792E60" w:rsidR="00C134CF" w:rsidRPr="00537C5F" w:rsidRDefault="00C134CF" w:rsidP="00893C7D">
    <w:pPr>
      <w:pStyle w:val="Header"/>
    </w:pPr>
    <w:r>
      <w:t xml:space="preserve">Notas finales, página </w:t>
    </w:r>
    <w:r w:rsidRPr="00C5280D">
      <w:rPr>
        <w:rStyle w:val="PageNumber"/>
      </w:rPr>
      <w:fldChar w:fldCharType="begin"/>
    </w:r>
    <w:r w:rsidRPr="00537C5F">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194795E6" w14:textId="77777777" w:rsidR="00C134CF" w:rsidRPr="00537C5F" w:rsidRDefault="00C134CF" w:rsidP="00893C7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728B" w14:textId="77777777" w:rsidR="00C134CF" w:rsidRPr="00B0234D" w:rsidRDefault="00C134CF" w:rsidP="00893C7D">
    <w:pPr>
      <w:jc w:val="center"/>
      <w:rPr>
        <w:lang w:val="de-DE"/>
      </w:rPr>
    </w:pPr>
    <w:r w:rsidRPr="00B0234D">
      <w:rPr>
        <w:lang w:val="de-DE"/>
      </w:rPr>
      <w:t>UPOV/EXN/DEN/1 Draft 4</w:t>
    </w:r>
  </w:p>
  <w:p w14:paraId="2905F81E" w14:textId="77777777" w:rsidR="00C134CF" w:rsidRPr="00B0234D" w:rsidRDefault="00C134CF" w:rsidP="00893C7D">
    <w:pPr>
      <w:jc w:val="center"/>
      <w:rPr>
        <w:lang w:val="de-DE"/>
      </w:rPr>
    </w:pPr>
  </w:p>
  <w:p w14:paraId="650C6486" w14:textId="77777777" w:rsidR="00C134CF" w:rsidRPr="00B0234D" w:rsidRDefault="00C134CF">
    <w:pPr>
      <w:jc w:val="center"/>
      <w:rPr>
        <w:lang w:val="de-DE"/>
      </w:rPr>
    </w:pPr>
    <w:r w:rsidRPr="00B0234D">
      <w:rPr>
        <w:lang w:val="de-DE"/>
      </w:rPr>
      <w:t>NOTAS FINALES</w:t>
    </w:r>
  </w:p>
  <w:p w14:paraId="2779496A" w14:textId="77777777" w:rsidR="00C134CF" w:rsidRPr="00B0234D" w:rsidRDefault="00C134CF">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A9CC" w14:textId="77777777" w:rsidR="00C134CF" w:rsidRPr="00B0234D" w:rsidRDefault="00C134CF">
    <w:pPr>
      <w:jc w:val="center"/>
      <w:rPr>
        <w:b/>
        <w:lang w:val="de-DE"/>
      </w:rPr>
    </w:pPr>
    <w:r w:rsidRPr="00B0234D">
      <w:rPr>
        <w:lang w:val="de-DE"/>
      </w:rPr>
      <w:t>UPOV/EXN/DEN/1 Draft 4</w:t>
    </w:r>
  </w:p>
  <w:p w14:paraId="4F6AFC68" w14:textId="5BA433D8" w:rsidR="00C134CF" w:rsidRPr="00B0234D" w:rsidRDefault="00C134CF">
    <w:pPr>
      <w:jc w:val="center"/>
      <w:rPr>
        <w:lang w:val="de-DE"/>
      </w:rPr>
    </w:pPr>
    <w:r w:rsidRPr="00B0234D">
      <w:rPr>
        <w:lang w:val="de-DE"/>
      </w:rPr>
      <w:t xml:space="preserve">página </w:t>
    </w:r>
    <w:r>
      <w:fldChar w:fldCharType="begin"/>
    </w:r>
    <w:r w:rsidRPr="00B0234D">
      <w:rPr>
        <w:lang w:val="de-DE"/>
      </w:rPr>
      <w:instrText xml:space="preserve"> PAGE  \* MERGEFORMAT </w:instrText>
    </w:r>
    <w:r>
      <w:fldChar w:fldCharType="separate"/>
    </w:r>
    <w:r w:rsidR="00A83356">
      <w:rPr>
        <w:noProof/>
        <w:lang w:val="de-DE"/>
      </w:rPr>
      <w:t>17</w:t>
    </w:r>
    <w:r>
      <w:fldChar w:fldCharType="end"/>
    </w:r>
  </w:p>
  <w:p w14:paraId="56620104" w14:textId="77777777" w:rsidR="00C134CF" w:rsidRPr="00B0234D" w:rsidRDefault="00C134CF">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4714" w14:textId="77777777" w:rsidR="00C134CF" w:rsidRPr="00F25630" w:rsidRDefault="00C134CF" w:rsidP="00B713C8">
    <w:pPr>
      <w:jc w:val="center"/>
      <w:rPr>
        <w:lang w:val="en-GB"/>
      </w:rPr>
    </w:pPr>
    <w:r w:rsidRPr="00F25630">
      <w:rPr>
        <w:lang w:val="en-GB"/>
      </w:rPr>
      <w:t>UPOV/EXN/DEN/1 Draft 3</w:t>
    </w:r>
  </w:p>
  <w:p w14:paraId="0CAF7C79" w14:textId="77777777" w:rsidR="00C134CF" w:rsidRPr="00F25630" w:rsidRDefault="00C134CF" w:rsidP="00B713C8">
    <w:pPr>
      <w:jc w:val="center"/>
      <w:rPr>
        <w:lang w:val="en-GB"/>
      </w:rPr>
    </w:pPr>
    <w:r w:rsidRPr="00F25630">
      <w:rPr>
        <w:lang w:val="en-GB"/>
      </w:rPr>
      <w:t xml:space="preserve">Anexo I, página </w:t>
    </w:r>
    <w:r>
      <w:fldChar w:fldCharType="begin"/>
    </w:r>
    <w:r w:rsidRPr="00F25630">
      <w:rPr>
        <w:lang w:val="en-GB"/>
      </w:rPr>
      <w:instrText xml:space="preserve"> PAGE  \* MERGEFORMAT </w:instrText>
    </w:r>
    <w:r>
      <w:fldChar w:fldCharType="separate"/>
    </w:r>
    <w:r w:rsidRPr="00F25630">
      <w:rPr>
        <w:noProof/>
        <w:lang w:val="en-GB"/>
      </w:rPr>
      <w:t>2</w:t>
    </w:r>
    <w:r>
      <w:fldChar w:fldCharType="end"/>
    </w:r>
  </w:p>
  <w:p w14:paraId="4346D5E5" w14:textId="77777777" w:rsidR="00C134CF" w:rsidRPr="00F25630" w:rsidRDefault="00C134CF" w:rsidP="00B713C8">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CCDE" w14:textId="77777777" w:rsidR="00C134CF" w:rsidRPr="00F25630" w:rsidRDefault="00C134CF" w:rsidP="00893C7D">
    <w:pPr>
      <w:jc w:val="center"/>
      <w:rPr>
        <w:lang w:val="en-GB"/>
      </w:rPr>
    </w:pPr>
    <w:r w:rsidRPr="00F25630">
      <w:rPr>
        <w:lang w:val="en-GB"/>
      </w:rPr>
      <w:t>UPOV/EXN/DEN/1 Draft 4</w:t>
    </w:r>
  </w:p>
  <w:p w14:paraId="0D431B8C" w14:textId="0D45276E" w:rsidR="00C134CF" w:rsidRPr="00F25630" w:rsidRDefault="00C134CF">
    <w:pPr>
      <w:jc w:val="center"/>
      <w:rPr>
        <w:lang w:val="en-GB"/>
      </w:rPr>
    </w:pPr>
    <w:r w:rsidRPr="00F25630">
      <w:rPr>
        <w:lang w:val="en-GB"/>
      </w:rPr>
      <w:t xml:space="preserve">Anexo I, página </w:t>
    </w:r>
    <w:r>
      <w:fldChar w:fldCharType="begin"/>
    </w:r>
    <w:r w:rsidRPr="00F25630">
      <w:rPr>
        <w:lang w:val="en-GB"/>
      </w:rPr>
      <w:instrText xml:space="preserve"> PAGE  \* MERGEFORMAT </w:instrText>
    </w:r>
    <w:r>
      <w:fldChar w:fldCharType="separate"/>
    </w:r>
    <w:r w:rsidR="00A83356">
      <w:rPr>
        <w:noProof/>
        <w:lang w:val="en-GB"/>
      </w:rPr>
      <w:t>3</w:t>
    </w:r>
    <w:r>
      <w:fldChar w:fldCharType="end"/>
    </w:r>
  </w:p>
  <w:p w14:paraId="6284747E" w14:textId="77777777" w:rsidR="00C134CF" w:rsidRPr="00F25630" w:rsidRDefault="00C134CF" w:rsidP="00893C7D">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936B" w14:textId="77777777" w:rsidR="00C134CF" w:rsidRPr="00B0234D" w:rsidRDefault="00C134CF" w:rsidP="00893C7D">
    <w:pPr>
      <w:jc w:val="center"/>
      <w:rPr>
        <w:lang w:val="de-DE"/>
      </w:rPr>
    </w:pPr>
    <w:r w:rsidRPr="00B0234D">
      <w:rPr>
        <w:lang w:val="de-DE"/>
      </w:rPr>
      <w:t>UPOV/EXN/DEN/1 Draft 4</w:t>
    </w:r>
  </w:p>
  <w:p w14:paraId="29424A89" w14:textId="77777777" w:rsidR="00C134CF" w:rsidRPr="00B0234D" w:rsidRDefault="00C134CF" w:rsidP="00893C7D">
    <w:pPr>
      <w:jc w:val="center"/>
      <w:rPr>
        <w:lang w:val="de-DE"/>
      </w:rPr>
    </w:pPr>
  </w:p>
  <w:p w14:paraId="6F323B5D" w14:textId="77777777" w:rsidR="00C134CF" w:rsidRPr="00B0234D" w:rsidRDefault="00C134CF" w:rsidP="00893C7D">
    <w:pPr>
      <w:jc w:val="center"/>
      <w:rPr>
        <w:lang w:val="de-DE"/>
      </w:rPr>
    </w:pPr>
    <w:r w:rsidRPr="00B0234D">
      <w:rPr>
        <w:lang w:val="de-DE"/>
      </w:rPr>
      <w:t>ANEXO I</w:t>
    </w:r>
  </w:p>
  <w:p w14:paraId="751C5791" w14:textId="77777777" w:rsidR="00C134CF" w:rsidRPr="00B0234D" w:rsidRDefault="00C134CF" w:rsidP="00893C7D">
    <w:pPr>
      <w:jc w:val="center"/>
      <w:rPr>
        <w:lang w:val="de-DE"/>
      </w:rPr>
    </w:pPr>
  </w:p>
  <w:p w14:paraId="5B584E62" w14:textId="77777777" w:rsidR="00C134CF" w:rsidRPr="00B0234D" w:rsidRDefault="00C134CF"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21B1" w14:textId="77777777" w:rsidR="00C134CF" w:rsidRPr="00B62109" w:rsidRDefault="00C134CF" w:rsidP="00B713C8">
    <w:pPr>
      <w:jc w:val="center"/>
      <w:rPr>
        <w:b/>
      </w:rPr>
    </w:pPr>
    <w:r>
      <w:t>UPOV/INF/12/4</w:t>
    </w:r>
  </w:p>
  <w:p w14:paraId="0BD16709" w14:textId="77777777" w:rsidR="00C134CF" w:rsidRPr="00B62109" w:rsidRDefault="00C134CF" w:rsidP="00B713C8">
    <w:pPr>
      <w:jc w:val="center"/>
    </w:pPr>
    <w:r>
      <w:t xml:space="preserve">Anexo III, página </w:t>
    </w:r>
    <w:r>
      <w:fldChar w:fldCharType="begin"/>
    </w:r>
    <w:r w:rsidRPr="00B62109">
      <w:instrText xml:space="preserve"> PAGE  \* MERGEFORMAT </w:instrText>
    </w:r>
    <w:r>
      <w:fldChar w:fldCharType="separate"/>
    </w:r>
    <w:r>
      <w:rPr>
        <w:noProof/>
      </w:rPr>
      <w:t>15</w:t>
    </w:r>
    <w:r>
      <w:fldChar w:fldCharType="end"/>
    </w:r>
  </w:p>
  <w:p w14:paraId="7B6A6EC0" w14:textId="77777777" w:rsidR="00C134CF" w:rsidRPr="00B62109" w:rsidRDefault="00C134CF" w:rsidP="00B713C8">
    <w:pPr>
      <w:jc w:val="cent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F21C" w14:textId="77777777" w:rsidR="00C134CF" w:rsidRPr="00B62109" w:rsidRDefault="00C134CF">
    <w:pPr>
      <w:jc w:val="center"/>
      <w:rPr>
        <w:b/>
      </w:rPr>
    </w:pPr>
    <w:r>
      <w:t>UPOV/INF/12/4</w:t>
    </w:r>
  </w:p>
  <w:p w14:paraId="077BF1BE" w14:textId="77777777" w:rsidR="00C134CF" w:rsidRPr="00B62109" w:rsidRDefault="00C134CF">
    <w:pPr>
      <w:jc w:val="center"/>
    </w:pPr>
    <w:r>
      <w:t xml:space="preserve">Anexo III, página </w:t>
    </w:r>
    <w:r>
      <w:fldChar w:fldCharType="begin"/>
    </w:r>
    <w:r w:rsidRPr="00B62109">
      <w:instrText xml:space="preserve"> PAGE  \* MERGEFORMAT </w:instrText>
    </w:r>
    <w:r>
      <w:fldChar w:fldCharType="separate"/>
    </w:r>
    <w:r>
      <w:rPr>
        <w:noProof/>
      </w:rPr>
      <w:t>15</w:t>
    </w:r>
    <w:r>
      <w:fldChar w:fldCharType="end"/>
    </w:r>
  </w:p>
  <w:p w14:paraId="38F5CA22" w14:textId="77777777" w:rsidR="00C134CF" w:rsidRPr="00B62109" w:rsidRDefault="00C134CF">
    <w:pPr>
      <w:jc w:val="center"/>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AF35" w14:textId="77777777" w:rsidR="00C134CF" w:rsidRPr="00B0234D" w:rsidRDefault="00C134CF" w:rsidP="00893C7D">
    <w:pPr>
      <w:jc w:val="center"/>
      <w:rPr>
        <w:lang w:val="de-DE"/>
      </w:rPr>
    </w:pPr>
    <w:r w:rsidRPr="00B0234D">
      <w:rPr>
        <w:lang w:val="de-DE"/>
      </w:rPr>
      <w:t>UPOV/EXN/DEN/1 Draft 4</w:t>
    </w:r>
  </w:p>
  <w:p w14:paraId="66BE44D7" w14:textId="77777777" w:rsidR="00C134CF" w:rsidRPr="00B0234D" w:rsidRDefault="00C134CF">
    <w:pPr>
      <w:jc w:val="center"/>
      <w:rPr>
        <w:lang w:val="de-DE"/>
      </w:rPr>
    </w:pPr>
  </w:p>
  <w:p w14:paraId="2C63DBFA" w14:textId="77777777" w:rsidR="00C134CF" w:rsidRPr="00B0234D" w:rsidRDefault="00C134CF">
    <w:pPr>
      <w:jc w:val="center"/>
      <w:rPr>
        <w:lang w:val="de-DE"/>
      </w:rPr>
    </w:pPr>
    <w:r w:rsidRPr="00B0234D">
      <w:rPr>
        <w:lang w:val="de-DE"/>
      </w:rPr>
      <w:t>ANEXO II</w:t>
    </w:r>
  </w:p>
  <w:p w14:paraId="0DFACEF4" w14:textId="77777777" w:rsidR="00C134CF" w:rsidRPr="00B0234D" w:rsidRDefault="00C134CF">
    <w:pPr>
      <w:jc w:val="center"/>
      <w:rPr>
        <w:lang w:val="de-DE"/>
      </w:rPr>
    </w:pPr>
  </w:p>
  <w:p w14:paraId="69E224E7" w14:textId="77777777" w:rsidR="00C134CF" w:rsidRPr="00B0234D" w:rsidRDefault="00C134CF">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D853" w14:textId="77777777" w:rsidR="00C134CF" w:rsidRPr="009929A5" w:rsidRDefault="00C134CF" w:rsidP="00B713C8">
    <w:pPr>
      <w:pStyle w:val="Header"/>
      <w:rPr>
        <w:rFonts w:cs="Arial"/>
      </w:rPr>
    </w:pPr>
    <w:r>
      <w:t>UPOV/INF/12/6 Draft 1</w:t>
    </w:r>
  </w:p>
  <w:p w14:paraId="06C5CD4F" w14:textId="77777777" w:rsidR="00C134CF" w:rsidRPr="009929A5" w:rsidRDefault="00C134CF" w:rsidP="00B713C8">
    <w:pPr>
      <w:pStyle w:val="Header"/>
      <w:rPr>
        <w:rStyle w:val="PageNumber"/>
        <w:rFonts w:cs="Arial"/>
      </w:rPr>
    </w:pPr>
    <w:r>
      <w:t xml:space="preserve">página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14:paraId="6D620B6A" w14:textId="77777777" w:rsidR="00C134CF" w:rsidRPr="009929A5" w:rsidRDefault="00C134CF" w:rsidP="00B713C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6" w:nlCheck="1" w:checkStyle="0"/>
  <w:activeWritingStyle w:appName="MSWord" w:lang="de-DE" w:vendorID="64" w:dllVersion="6" w:nlCheck="1" w:checkStyle="1"/>
  <w:activeWritingStyle w:appName="MSWord" w:lang="fr-CH" w:vendorID="64" w:dllVersion="6" w:nlCheck="1" w:checkStyle="0"/>
  <w:activeWritingStyle w:appName="MSWord" w:lang="en-NZ" w:vendorID="64" w:dllVersion="6" w:nlCheck="1" w:checkStyle="1"/>
  <w:activeWritingStyle w:appName="MSWord" w:lang="en-ZA" w:vendorID="64" w:dllVersion="6" w:nlCheck="1" w:checkStyle="1"/>
  <w:activeWritingStyle w:appName="MSWord" w:lang="en-CA"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n-GB" w:vendorID="64" w:dllVersion="131078" w:nlCheck="1" w:checkStyle="1"/>
  <w:activeWritingStyle w:appName="MSWord" w:lang="fr-FR"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0F7F85"/>
    <w:rsid w:val="00100AB7"/>
    <w:rsid w:val="00100D18"/>
    <w:rsid w:val="00101FD5"/>
    <w:rsid w:val="00103274"/>
    <w:rsid w:val="0010411C"/>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159F"/>
    <w:rsid w:val="0014183C"/>
    <w:rsid w:val="00142FE8"/>
    <w:rsid w:val="00145342"/>
    <w:rsid w:val="00146636"/>
    <w:rsid w:val="00150252"/>
    <w:rsid w:val="001503D6"/>
    <w:rsid w:val="00150A66"/>
    <w:rsid w:val="00150EA7"/>
    <w:rsid w:val="00151207"/>
    <w:rsid w:val="00151E6C"/>
    <w:rsid w:val="00152C1F"/>
    <w:rsid w:val="00153DB6"/>
    <w:rsid w:val="00154CD6"/>
    <w:rsid w:val="00155A9C"/>
    <w:rsid w:val="001561B9"/>
    <w:rsid w:val="0015629B"/>
    <w:rsid w:val="00157840"/>
    <w:rsid w:val="00161674"/>
    <w:rsid w:val="001619D7"/>
    <w:rsid w:val="00161C39"/>
    <w:rsid w:val="00162273"/>
    <w:rsid w:val="001623A0"/>
    <w:rsid w:val="001641C6"/>
    <w:rsid w:val="00165579"/>
    <w:rsid w:val="001667F3"/>
    <w:rsid w:val="00166A34"/>
    <w:rsid w:val="00167EC8"/>
    <w:rsid w:val="00167FFC"/>
    <w:rsid w:val="001703F3"/>
    <w:rsid w:val="001706B9"/>
    <w:rsid w:val="00170957"/>
    <w:rsid w:val="00171099"/>
    <w:rsid w:val="00172A75"/>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0F0"/>
    <w:rsid w:val="001A0105"/>
    <w:rsid w:val="001A08A2"/>
    <w:rsid w:val="001A1679"/>
    <w:rsid w:val="001A1940"/>
    <w:rsid w:val="001A29A9"/>
    <w:rsid w:val="001A3770"/>
    <w:rsid w:val="001A387A"/>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C4D"/>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BEA"/>
    <w:rsid w:val="00220C3D"/>
    <w:rsid w:val="0022130B"/>
    <w:rsid w:val="002223BF"/>
    <w:rsid w:val="00224933"/>
    <w:rsid w:val="002254B1"/>
    <w:rsid w:val="00225596"/>
    <w:rsid w:val="002256DE"/>
    <w:rsid w:val="00225B1B"/>
    <w:rsid w:val="0022607D"/>
    <w:rsid w:val="002267E5"/>
    <w:rsid w:val="00226F25"/>
    <w:rsid w:val="00226F26"/>
    <w:rsid w:val="0023004C"/>
    <w:rsid w:val="00230491"/>
    <w:rsid w:val="00230AF3"/>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EBA"/>
    <w:rsid w:val="00253EA1"/>
    <w:rsid w:val="00254893"/>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6879"/>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7213"/>
    <w:rsid w:val="002973EA"/>
    <w:rsid w:val="00297651"/>
    <w:rsid w:val="002976A3"/>
    <w:rsid w:val="00297B8D"/>
    <w:rsid w:val="002A07D0"/>
    <w:rsid w:val="002A0A33"/>
    <w:rsid w:val="002A29A5"/>
    <w:rsid w:val="002A2A4E"/>
    <w:rsid w:val="002A3501"/>
    <w:rsid w:val="002A3646"/>
    <w:rsid w:val="002A3D46"/>
    <w:rsid w:val="002A56B5"/>
    <w:rsid w:val="002A5A71"/>
    <w:rsid w:val="002A5ECE"/>
    <w:rsid w:val="002A60E6"/>
    <w:rsid w:val="002A62B2"/>
    <w:rsid w:val="002A6AD6"/>
    <w:rsid w:val="002A75E8"/>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0630"/>
    <w:rsid w:val="002F1D59"/>
    <w:rsid w:val="002F1E5B"/>
    <w:rsid w:val="002F3206"/>
    <w:rsid w:val="002F36CE"/>
    <w:rsid w:val="002F5834"/>
    <w:rsid w:val="002F6A5B"/>
    <w:rsid w:val="002F7C69"/>
    <w:rsid w:val="002F7F8A"/>
    <w:rsid w:val="00300EB9"/>
    <w:rsid w:val="003012F6"/>
    <w:rsid w:val="00301D2D"/>
    <w:rsid w:val="003024C2"/>
    <w:rsid w:val="003025F0"/>
    <w:rsid w:val="0030281F"/>
    <w:rsid w:val="00302EC5"/>
    <w:rsid w:val="0030332C"/>
    <w:rsid w:val="0030435A"/>
    <w:rsid w:val="00305903"/>
    <w:rsid w:val="00305D05"/>
    <w:rsid w:val="00306247"/>
    <w:rsid w:val="0030651D"/>
    <w:rsid w:val="003077CA"/>
    <w:rsid w:val="00307AC6"/>
    <w:rsid w:val="0031187D"/>
    <w:rsid w:val="003127A5"/>
    <w:rsid w:val="0031401B"/>
    <w:rsid w:val="0031489C"/>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362D"/>
    <w:rsid w:val="003458C7"/>
    <w:rsid w:val="00345907"/>
    <w:rsid w:val="00347FC6"/>
    <w:rsid w:val="00350C7F"/>
    <w:rsid w:val="003510E5"/>
    <w:rsid w:val="00351280"/>
    <w:rsid w:val="00352499"/>
    <w:rsid w:val="003526C7"/>
    <w:rsid w:val="003526EA"/>
    <w:rsid w:val="00354B79"/>
    <w:rsid w:val="00354EAF"/>
    <w:rsid w:val="0035506D"/>
    <w:rsid w:val="0035533A"/>
    <w:rsid w:val="00355EDE"/>
    <w:rsid w:val="003624A3"/>
    <w:rsid w:val="00362816"/>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57DF"/>
    <w:rsid w:val="0039613E"/>
    <w:rsid w:val="00396AC0"/>
    <w:rsid w:val="003A002F"/>
    <w:rsid w:val="003A1164"/>
    <w:rsid w:val="003A128B"/>
    <w:rsid w:val="003A16CD"/>
    <w:rsid w:val="003A2018"/>
    <w:rsid w:val="003A359E"/>
    <w:rsid w:val="003A3DB3"/>
    <w:rsid w:val="003A4336"/>
    <w:rsid w:val="003A465F"/>
    <w:rsid w:val="003A489B"/>
    <w:rsid w:val="003A6B1E"/>
    <w:rsid w:val="003A7078"/>
    <w:rsid w:val="003A70A0"/>
    <w:rsid w:val="003A752B"/>
    <w:rsid w:val="003A7AD9"/>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5E8"/>
    <w:rsid w:val="003F677D"/>
    <w:rsid w:val="00400202"/>
    <w:rsid w:val="004003DA"/>
    <w:rsid w:val="004017C9"/>
    <w:rsid w:val="004021C1"/>
    <w:rsid w:val="004043BA"/>
    <w:rsid w:val="00406070"/>
    <w:rsid w:val="00406878"/>
    <w:rsid w:val="00407739"/>
    <w:rsid w:val="0041053C"/>
    <w:rsid w:val="00410EC3"/>
    <w:rsid w:val="00411203"/>
    <w:rsid w:val="004126B6"/>
    <w:rsid w:val="00412E09"/>
    <w:rsid w:val="00414E05"/>
    <w:rsid w:val="00415150"/>
    <w:rsid w:val="00415C9E"/>
    <w:rsid w:val="00415EF1"/>
    <w:rsid w:val="004174EA"/>
    <w:rsid w:val="00417703"/>
    <w:rsid w:val="00420A31"/>
    <w:rsid w:val="0042110A"/>
    <w:rsid w:val="0042121D"/>
    <w:rsid w:val="004229F3"/>
    <w:rsid w:val="00422D17"/>
    <w:rsid w:val="00424137"/>
    <w:rsid w:val="004241E7"/>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401FC"/>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679EA"/>
    <w:rsid w:val="00470205"/>
    <w:rsid w:val="0047118A"/>
    <w:rsid w:val="00472A58"/>
    <w:rsid w:val="004737DF"/>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C9C"/>
    <w:rsid w:val="004B7169"/>
    <w:rsid w:val="004B7ABD"/>
    <w:rsid w:val="004C0722"/>
    <w:rsid w:val="004C0802"/>
    <w:rsid w:val="004C0A38"/>
    <w:rsid w:val="004C108E"/>
    <w:rsid w:val="004C1E9A"/>
    <w:rsid w:val="004C264D"/>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1DFC"/>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1F79"/>
    <w:rsid w:val="00512FC9"/>
    <w:rsid w:val="005131CD"/>
    <w:rsid w:val="005146C4"/>
    <w:rsid w:val="00517B9F"/>
    <w:rsid w:val="005205F9"/>
    <w:rsid w:val="005208F4"/>
    <w:rsid w:val="005209BD"/>
    <w:rsid w:val="00520A99"/>
    <w:rsid w:val="00520F91"/>
    <w:rsid w:val="00521A61"/>
    <w:rsid w:val="00521DA2"/>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13DF"/>
    <w:rsid w:val="00552A3B"/>
    <w:rsid w:val="00553312"/>
    <w:rsid w:val="00554286"/>
    <w:rsid w:val="00555C87"/>
    <w:rsid w:val="005572B4"/>
    <w:rsid w:val="005576D1"/>
    <w:rsid w:val="00560A1B"/>
    <w:rsid w:val="00560D36"/>
    <w:rsid w:val="0056302B"/>
    <w:rsid w:val="00566214"/>
    <w:rsid w:val="005665C5"/>
    <w:rsid w:val="0056728C"/>
    <w:rsid w:val="00567EC5"/>
    <w:rsid w:val="00567F47"/>
    <w:rsid w:val="005713E9"/>
    <w:rsid w:val="0057160E"/>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2559"/>
    <w:rsid w:val="005D4199"/>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EC2"/>
    <w:rsid w:val="006118A3"/>
    <w:rsid w:val="00612E96"/>
    <w:rsid w:val="00613B4F"/>
    <w:rsid w:val="00613BBF"/>
    <w:rsid w:val="00613CD6"/>
    <w:rsid w:val="00613E1A"/>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2322"/>
    <w:rsid w:val="006333EC"/>
    <w:rsid w:val="00633793"/>
    <w:rsid w:val="0063477E"/>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23"/>
    <w:rsid w:val="00663AF7"/>
    <w:rsid w:val="00664037"/>
    <w:rsid w:val="00664265"/>
    <w:rsid w:val="00665DA2"/>
    <w:rsid w:val="00665E0F"/>
    <w:rsid w:val="00665E9C"/>
    <w:rsid w:val="006665BF"/>
    <w:rsid w:val="00666A97"/>
    <w:rsid w:val="006701FD"/>
    <w:rsid w:val="006702E4"/>
    <w:rsid w:val="00671820"/>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40A"/>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A7F1F"/>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436E"/>
    <w:rsid w:val="007C4DB7"/>
    <w:rsid w:val="007C5670"/>
    <w:rsid w:val="007C5770"/>
    <w:rsid w:val="007C6495"/>
    <w:rsid w:val="007C72DC"/>
    <w:rsid w:val="007C7FF9"/>
    <w:rsid w:val="007D1805"/>
    <w:rsid w:val="007D2262"/>
    <w:rsid w:val="007D307A"/>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0BA"/>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41E7"/>
    <w:rsid w:val="008359E4"/>
    <w:rsid w:val="00835B13"/>
    <w:rsid w:val="00836860"/>
    <w:rsid w:val="00836C44"/>
    <w:rsid w:val="00836CFD"/>
    <w:rsid w:val="0083751E"/>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4AAF"/>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1876"/>
    <w:rsid w:val="008E345E"/>
    <w:rsid w:val="008E3A89"/>
    <w:rsid w:val="008E4317"/>
    <w:rsid w:val="008E47A0"/>
    <w:rsid w:val="008E52A1"/>
    <w:rsid w:val="008E563B"/>
    <w:rsid w:val="008E5C61"/>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2621"/>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1D38"/>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4392"/>
    <w:rsid w:val="009558A0"/>
    <w:rsid w:val="00955A00"/>
    <w:rsid w:val="00955E96"/>
    <w:rsid w:val="00955EDA"/>
    <w:rsid w:val="00956325"/>
    <w:rsid w:val="0095773A"/>
    <w:rsid w:val="009577A3"/>
    <w:rsid w:val="0096097B"/>
    <w:rsid w:val="00961FF5"/>
    <w:rsid w:val="009628E3"/>
    <w:rsid w:val="009629A3"/>
    <w:rsid w:val="00963E5E"/>
    <w:rsid w:val="00964C3A"/>
    <w:rsid w:val="00967341"/>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6D51"/>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3356"/>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6F3D"/>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559"/>
    <w:rsid w:val="00AC2667"/>
    <w:rsid w:val="00AC30E7"/>
    <w:rsid w:val="00AC40A2"/>
    <w:rsid w:val="00AC49C5"/>
    <w:rsid w:val="00AC4CDA"/>
    <w:rsid w:val="00AC5A29"/>
    <w:rsid w:val="00AC71D2"/>
    <w:rsid w:val="00AC7220"/>
    <w:rsid w:val="00AC7A38"/>
    <w:rsid w:val="00AC7A70"/>
    <w:rsid w:val="00AD0C63"/>
    <w:rsid w:val="00AD100B"/>
    <w:rsid w:val="00AD106E"/>
    <w:rsid w:val="00AD17A1"/>
    <w:rsid w:val="00AD1F3B"/>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34D"/>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5A45"/>
    <w:rsid w:val="00B16173"/>
    <w:rsid w:val="00B16A3E"/>
    <w:rsid w:val="00B16B53"/>
    <w:rsid w:val="00B17D1E"/>
    <w:rsid w:val="00B17D9E"/>
    <w:rsid w:val="00B211CB"/>
    <w:rsid w:val="00B21B55"/>
    <w:rsid w:val="00B21DB0"/>
    <w:rsid w:val="00B21F9F"/>
    <w:rsid w:val="00B223F1"/>
    <w:rsid w:val="00B2254F"/>
    <w:rsid w:val="00B22857"/>
    <w:rsid w:val="00B23EDC"/>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1E3"/>
    <w:rsid w:val="00B60A3C"/>
    <w:rsid w:val="00B60A6A"/>
    <w:rsid w:val="00B61005"/>
    <w:rsid w:val="00B614F6"/>
    <w:rsid w:val="00B621B6"/>
    <w:rsid w:val="00B636EF"/>
    <w:rsid w:val="00B63BCF"/>
    <w:rsid w:val="00B6440E"/>
    <w:rsid w:val="00B64818"/>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6E8"/>
    <w:rsid w:val="00B92748"/>
    <w:rsid w:val="00B93F7B"/>
    <w:rsid w:val="00B9481E"/>
    <w:rsid w:val="00B94F01"/>
    <w:rsid w:val="00B95D55"/>
    <w:rsid w:val="00B960FB"/>
    <w:rsid w:val="00B96A14"/>
    <w:rsid w:val="00B96AE2"/>
    <w:rsid w:val="00B96EC5"/>
    <w:rsid w:val="00BA15C6"/>
    <w:rsid w:val="00BA2625"/>
    <w:rsid w:val="00BA2B2D"/>
    <w:rsid w:val="00BA4641"/>
    <w:rsid w:val="00BA5252"/>
    <w:rsid w:val="00BA567B"/>
    <w:rsid w:val="00BA56E0"/>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22FC"/>
    <w:rsid w:val="00BE5096"/>
    <w:rsid w:val="00BE6025"/>
    <w:rsid w:val="00BE7A17"/>
    <w:rsid w:val="00BE7AA6"/>
    <w:rsid w:val="00BE7BB8"/>
    <w:rsid w:val="00BE7DE8"/>
    <w:rsid w:val="00BF1AB0"/>
    <w:rsid w:val="00BF2198"/>
    <w:rsid w:val="00BF234A"/>
    <w:rsid w:val="00BF2357"/>
    <w:rsid w:val="00BF3062"/>
    <w:rsid w:val="00BF374A"/>
    <w:rsid w:val="00BF38BE"/>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34CF"/>
    <w:rsid w:val="00C157D4"/>
    <w:rsid w:val="00C15EDC"/>
    <w:rsid w:val="00C15FC6"/>
    <w:rsid w:val="00C16381"/>
    <w:rsid w:val="00C17284"/>
    <w:rsid w:val="00C17C5E"/>
    <w:rsid w:val="00C209A1"/>
    <w:rsid w:val="00C217A9"/>
    <w:rsid w:val="00C22700"/>
    <w:rsid w:val="00C24935"/>
    <w:rsid w:val="00C26397"/>
    <w:rsid w:val="00C26A76"/>
    <w:rsid w:val="00C26BDF"/>
    <w:rsid w:val="00C274D4"/>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C79"/>
    <w:rsid w:val="00CD6470"/>
    <w:rsid w:val="00CD7316"/>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3EC3"/>
    <w:rsid w:val="00CF4207"/>
    <w:rsid w:val="00CF6272"/>
    <w:rsid w:val="00CF7B76"/>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6272"/>
    <w:rsid w:val="00D46775"/>
    <w:rsid w:val="00D46C27"/>
    <w:rsid w:val="00D51156"/>
    <w:rsid w:val="00D5220F"/>
    <w:rsid w:val="00D528D6"/>
    <w:rsid w:val="00D5293F"/>
    <w:rsid w:val="00D52E71"/>
    <w:rsid w:val="00D53A17"/>
    <w:rsid w:val="00D54D70"/>
    <w:rsid w:val="00D555B0"/>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1A9"/>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5E4D"/>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109B"/>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346"/>
    <w:rsid w:val="00E25E0E"/>
    <w:rsid w:val="00E306E0"/>
    <w:rsid w:val="00E30C75"/>
    <w:rsid w:val="00E31065"/>
    <w:rsid w:val="00E31E68"/>
    <w:rsid w:val="00E3281E"/>
    <w:rsid w:val="00E33A0B"/>
    <w:rsid w:val="00E33FAB"/>
    <w:rsid w:val="00E340D5"/>
    <w:rsid w:val="00E342AE"/>
    <w:rsid w:val="00E343FB"/>
    <w:rsid w:val="00E34B1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431"/>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267C"/>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047B"/>
    <w:rsid w:val="00ED1007"/>
    <w:rsid w:val="00ED15F4"/>
    <w:rsid w:val="00ED2D29"/>
    <w:rsid w:val="00ED4482"/>
    <w:rsid w:val="00ED4B87"/>
    <w:rsid w:val="00ED4FB1"/>
    <w:rsid w:val="00ED5662"/>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630"/>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4709B3"/>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s-ES" w:eastAsia="es-ES" w:bidi="es-ES"/>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926E8"/>
    <w:pPr>
      <w:tabs>
        <w:tab w:val="right" w:leader="dot" w:pos="9639"/>
      </w:tabs>
      <w:spacing w:after="60"/>
      <w:ind w:left="1134" w:right="851"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rPr>
  </w:style>
  <w:style w:type="paragraph" w:styleId="TOC5">
    <w:name w:val="toc 5"/>
    <w:next w:val="Normal"/>
    <w:autoRedefine/>
    <w:rsid w:val="004A4FEA"/>
    <w:pPr>
      <w:tabs>
        <w:tab w:val="right" w:leader="dot" w:pos="9639"/>
      </w:tabs>
      <w:ind w:left="567" w:right="851" w:firstLine="284"/>
    </w:pPr>
    <w:rPr>
      <w:sz w:val="16"/>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character" w:customStyle="1" w:styleId="BodyTextIndentChar">
    <w:name w:val="Body Text Indent Char"/>
    <w:basedOn w:val="DefaultParagraphFont"/>
    <w:link w:val="BodyTextIndent"/>
    <w:rsid w:val="006A4E70"/>
    <w:rPr>
      <w:lang w:val="es-ES"/>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6A4E70"/>
    <w:rPr>
      <w:sz w:val="22"/>
      <w:lang w:val="es-ES"/>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rPr>
  </w:style>
  <w:style w:type="character" w:customStyle="1" w:styleId="PlainTextChar">
    <w:name w:val="Plain Text Char"/>
    <w:basedOn w:val="DefaultParagraphFont"/>
    <w:link w:val="PlainText"/>
    <w:rsid w:val="00893C7D"/>
    <w:rPr>
      <w:rFonts w:ascii="Courier New" w:hAnsi="Courier New" w:cs="Courier New"/>
      <w:lang w:eastAsia="es-ES"/>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s-E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es-ES"/>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5D4199"/>
    <w:pPr>
      <w:jc w:val="left"/>
    </w:pPr>
  </w:style>
  <w:style w:type="paragraph" w:styleId="TOCHeading">
    <w:name w:val="TOC Heading"/>
    <w:basedOn w:val="Heading1"/>
    <w:next w:val="Normal"/>
    <w:uiPriority w:val="39"/>
    <w:unhideWhenUsed/>
    <w:qFormat/>
    <w:rsid w:val="00F25630"/>
    <w:pPr>
      <w:keepLines/>
      <w:spacing w:before="240" w:line="259" w:lineRule="auto"/>
      <w:outlineLvl w:val="9"/>
    </w:pPr>
    <w:rPr>
      <w:rFonts w:asciiTheme="majorHAnsi" w:eastAsiaTheme="majorEastAsia" w:hAnsiTheme="majorHAnsi" w:cstheme="majorBidi"/>
      <w:b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upov.int/pluto/es/"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6009-5B90-457D-B592-C4B85A70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7846</Words>
  <Characters>44312</Characters>
  <Application>Microsoft Office Word</Application>
  <DocSecurity>0</DocSecurity>
  <Lines>369</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52054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8</cp:revision>
  <cp:lastPrinted>2020-03-12T16:25:00Z</cp:lastPrinted>
  <dcterms:created xsi:type="dcterms:W3CDTF">2020-08-19T08:16:00Z</dcterms:created>
  <dcterms:modified xsi:type="dcterms:W3CDTF">2020-08-19T16:05:00Z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9694d910-eede-440f-94e2-95d33c610fc3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