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4E2DEF" w:rsidRDefault="00EA65D2" w:rsidP="00AC2883">
            <w:pPr>
              <w:pStyle w:val="Sessiontc"/>
              <w:spacing w:line="240" w:lineRule="auto"/>
            </w:pPr>
            <w:r w:rsidRPr="004E2DEF">
              <w:t>Consejo</w:t>
            </w:r>
          </w:p>
          <w:p w:rsidR="00EB4E9C" w:rsidRPr="004E2DEF" w:rsidRDefault="00EA65D2" w:rsidP="001A18EE">
            <w:pPr>
              <w:pStyle w:val="Sessiontcplacedate"/>
              <w:rPr>
                <w:sz w:val="22"/>
              </w:rPr>
            </w:pPr>
            <w:r w:rsidRPr="004E2DEF">
              <w:t xml:space="preserve">Quincuagésima </w:t>
            </w:r>
            <w:r w:rsidR="001A18EE" w:rsidRPr="004E2DEF">
              <w:t xml:space="preserve">cuarta </w:t>
            </w:r>
            <w:r w:rsidR="002E5944" w:rsidRPr="004E2DEF">
              <w:t>sesión</w:t>
            </w:r>
            <w:r w:rsidRPr="004E2DEF">
              <w:t xml:space="preserve"> ordinaria</w:t>
            </w:r>
            <w:r w:rsidR="00EB4E9C" w:rsidRPr="004E2DEF">
              <w:br/>
            </w:r>
            <w:r w:rsidR="002E5944" w:rsidRPr="004E2DEF">
              <w:t>Ginebra</w:t>
            </w:r>
            <w:r w:rsidR="00EB4E9C" w:rsidRPr="004E2DEF">
              <w:t xml:space="preserve">, </w:t>
            </w:r>
            <w:r w:rsidR="001A18EE" w:rsidRPr="004E2DEF">
              <w:t>30 de octubre de 2020</w:t>
            </w:r>
          </w:p>
        </w:tc>
        <w:tc>
          <w:tcPr>
            <w:tcW w:w="3127" w:type="dxa"/>
          </w:tcPr>
          <w:p w:rsidR="00EB4E9C" w:rsidRPr="004E2DEF" w:rsidRDefault="001A18EE" w:rsidP="003C7FBE">
            <w:pPr>
              <w:pStyle w:val="Doccode"/>
              <w:rPr>
                <w:lang w:val="es-ES"/>
              </w:rPr>
            </w:pPr>
            <w:r w:rsidRPr="004E2DEF">
              <w:rPr>
                <w:lang w:val="es-ES"/>
              </w:rPr>
              <w:t>C/54</w:t>
            </w:r>
            <w:r w:rsidR="00EB4E9C" w:rsidRPr="004E2DEF">
              <w:rPr>
                <w:lang w:val="es-ES"/>
              </w:rPr>
              <w:t>/</w:t>
            </w:r>
            <w:r w:rsidR="004E2DEF" w:rsidRPr="004E2DEF">
              <w:rPr>
                <w:lang w:val="es-ES"/>
              </w:rPr>
              <w:t>INF/4</w:t>
            </w:r>
          </w:p>
          <w:p w:rsidR="00EB4E9C" w:rsidRPr="004E2DEF" w:rsidRDefault="00EB4E9C" w:rsidP="003C7FBE">
            <w:pPr>
              <w:pStyle w:val="Docoriginal"/>
            </w:pPr>
            <w:r w:rsidRPr="004E2DEF">
              <w:t>Original:</w:t>
            </w:r>
            <w:r w:rsidRPr="004E2DEF">
              <w:rPr>
                <w:b w:val="0"/>
                <w:spacing w:val="0"/>
              </w:rPr>
              <w:t xml:space="preserve">  </w:t>
            </w:r>
            <w:r w:rsidR="002E5944" w:rsidRPr="004E2DEF">
              <w:rPr>
                <w:b w:val="0"/>
                <w:spacing w:val="0"/>
              </w:rPr>
              <w:t>Inglés</w:t>
            </w:r>
            <w:r w:rsidR="004E2DEF" w:rsidRPr="004E2DEF">
              <w:rPr>
                <w:b w:val="0"/>
                <w:spacing w:val="0"/>
              </w:rPr>
              <w:t>/alemán</w:t>
            </w:r>
          </w:p>
          <w:p w:rsidR="00EB4E9C" w:rsidRPr="007C1D92" w:rsidRDefault="002E5944" w:rsidP="004E2DEF">
            <w:pPr>
              <w:pStyle w:val="Docoriginal"/>
            </w:pPr>
            <w:r w:rsidRPr="004E2DEF">
              <w:t>Fecha</w:t>
            </w:r>
            <w:r w:rsidR="00EB4E9C" w:rsidRPr="004E2DEF">
              <w:t>:</w:t>
            </w:r>
            <w:r w:rsidR="00EB4E9C" w:rsidRPr="004E2DEF">
              <w:rPr>
                <w:b w:val="0"/>
                <w:spacing w:val="0"/>
              </w:rPr>
              <w:t xml:space="preserve">  </w:t>
            </w:r>
            <w:r w:rsidR="00932993" w:rsidRPr="00932993">
              <w:rPr>
                <w:b w:val="0"/>
                <w:spacing w:val="0"/>
              </w:rPr>
              <w:t>15</w:t>
            </w:r>
            <w:r w:rsidR="004E2DEF" w:rsidRPr="00932993">
              <w:rPr>
                <w:b w:val="0"/>
                <w:spacing w:val="0"/>
              </w:rPr>
              <w:t xml:space="preserve"> de octubre</w:t>
            </w:r>
            <w:r w:rsidR="00EB4E9C" w:rsidRPr="00932993">
              <w:rPr>
                <w:b w:val="0"/>
                <w:spacing w:val="0"/>
              </w:rPr>
              <w:t xml:space="preserve"> </w:t>
            </w:r>
            <w:r w:rsidRPr="00932993">
              <w:rPr>
                <w:b w:val="0"/>
                <w:spacing w:val="0"/>
              </w:rPr>
              <w:t xml:space="preserve">de </w:t>
            </w:r>
            <w:r w:rsidR="00EB4E9C" w:rsidRPr="00932993">
              <w:rPr>
                <w:b w:val="0"/>
                <w:spacing w:val="0"/>
              </w:rPr>
              <w:t>20</w:t>
            </w:r>
            <w:r w:rsidR="001A18EE" w:rsidRPr="00932993">
              <w:rPr>
                <w:b w:val="0"/>
                <w:spacing w:val="0"/>
              </w:rPr>
              <w:t>20</w:t>
            </w:r>
          </w:p>
        </w:tc>
      </w:tr>
    </w:tbl>
    <w:p w:rsidR="004E2DEF" w:rsidRPr="001F56CE" w:rsidRDefault="004E2DEF" w:rsidP="004E2DEF">
      <w:pPr>
        <w:pStyle w:val="Titleofdoc0"/>
      </w:pPr>
      <w:bookmarkStart w:id="0" w:name="TitleOfDoc"/>
      <w:bookmarkEnd w:id="0"/>
      <w:r w:rsidRPr="001F56CE">
        <w:t>INFORMES DE REPRESENTANTES DE MIEMBROS Y OBSERVADORES SOBRE LOS ÁMBITOS LEGISLATIVO, ADMINISTRATIVO Y TÉCNICO</w:t>
      </w:r>
    </w:p>
    <w:p w:rsidR="004E2DEF" w:rsidRPr="001F56CE" w:rsidRDefault="004E2DEF" w:rsidP="004E2DEF">
      <w:pPr>
        <w:pStyle w:val="preparedby1"/>
        <w:jc w:val="left"/>
      </w:pPr>
      <w:r w:rsidRPr="001F56CE">
        <w:t>Documento preparado por la Oficina de la Unión</w:t>
      </w:r>
    </w:p>
    <w:p w:rsidR="004E2DEF" w:rsidRPr="001F56CE" w:rsidRDefault="004E2DEF" w:rsidP="004E2DEF">
      <w:pPr>
        <w:pStyle w:val="Disclaimer"/>
      </w:pPr>
      <w:r w:rsidRPr="001F56CE">
        <w:t>Descargo de responsabilidad: el presente documento no constituye un documento de política u orientación de la UPOV</w:t>
      </w:r>
    </w:p>
    <w:p w:rsidR="004E2DEF" w:rsidRPr="001F56CE" w:rsidRDefault="004E2DEF" w:rsidP="004E2DEF">
      <w:r w:rsidRPr="001F56CE">
        <w:fldChar w:fldCharType="begin"/>
      </w:r>
      <w:r w:rsidRPr="001F56CE">
        <w:instrText xml:space="preserve"> AUTONUM  </w:instrText>
      </w:r>
      <w:r w:rsidRPr="001F56CE">
        <w:fldChar w:fldCharType="end"/>
      </w:r>
      <w:r w:rsidRPr="001F56CE">
        <w:tab/>
        <w:t>De conformidad con el procedimiento introducido con ocasión del vigésimo sexto período ordinario de sesiones del Consejo, se solicita que los informes de representantes de miembros y observadores sobre la situación en los ámbitos legislativo, administrativo y técnico de la protección de las obtenciones vegetales y sectores afines se presenten por escrito y con antelación a fin de permitir al Consejo desempeñar más eficazmente sus funciones.</w:t>
      </w:r>
    </w:p>
    <w:p w:rsidR="004E2DEF" w:rsidRPr="001F56CE" w:rsidRDefault="004E2DEF" w:rsidP="004E2DEF">
      <w:pPr>
        <w:widowControl w:val="0"/>
      </w:pPr>
    </w:p>
    <w:p w:rsidR="004E2DEF" w:rsidRPr="001F56CE" w:rsidRDefault="004E2DEF" w:rsidP="004E2DEF">
      <w:pPr>
        <w:widowControl w:val="0"/>
      </w:pPr>
      <w:r w:rsidRPr="001F56CE">
        <w:fldChar w:fldCharType="begin"/>
      </w:r>
      <w:r w:rsidRPr="001F56CE">
        <w:instrText xml:space="preserve"> AUTONUM  </w:instrText>
      </w:r>
      <w:r w:rsidRPr="001F56CE">
        <w:fldChar w:fldCharType="end"/>
      </w:r>
      <w:r w:rsidRPr="001F56CE">
        <w:tab/>
        <w:t>En las circulares de invitación a la presente sesión, la Oficina de la Unión ha solicitado informes escritos y ha propuesto un modelo de formato a tal efecto.  Se han presentado los informes siguientes (por orden alfabético de los nombres de los miembros y observadores en francés):</w:t>
      </w:r>
    </w:p>
    <w:p w:rsidR="004E2DEF" w:rsidRPr="001F56CE" w:rsidRDefault="004E2DEF" w:rsidP="004E2DEF">
      <w:pPr>
        <w:widowControl w:val="0"/>
      </w:pPr>
    </w:p>
    <w:p w:rsidR="004E2DEF" w:rsidRPr="001F56CE" w:rsidRDefault="004E2DEF" w:rsidP="004E2DEF">
      <w:pPr>
        <w:ind w:left="567"/>
        <w:rPr>
          <w:szCs w:val="24"/>
        </w:rPr>
      </w:pPr>
      <w:r w:rsidRPr="001F56CE">
        <w:rPr>
          <w:spacing w:val="-2"/>
          <w:szCs w:val="24"/>
          <w:u w:val="single"/>
        </w:rPr>
        <w:t>Miembros</w:t>
      </w:r>
      <w:r w:rsidRPr="001F56CE">
        <w:rPr>
          <w:spacing w:val="-2"/>
          <w:szCs w:val="24"/>
        </w:rPr>
        <w:t>:  Anexos I a XVI</w:t>
      </w:r>
      <w:r>
        <w:rPr>
          <w:spacing w:val="-2"/>
          <w:szCs w:val="24"/>
        </w:rPr>
        <w:t>I</w:t>
      </w:r>
      <w:r w:rsidRPr="001F56CE">
        <w:rPr>
          <w:spacing w:val="-2"/>
          <w:szCs w:val="24"/>
        </w:rPr>
        <w:t xml:space="preserve">:  </w:t>
      </w:r>
      <w:r w:rsidRPr="005A4794">
        <w:rPr>
          <w:szCs w:val="24"/>
        </w:rPr>
        <w:t>Sudáfrica</w:t>
      </w:r>
      <w:r>
        <w:rPr>
          <w:szCs w:val="24"/>
        </w:rPr>
        <w:t xml:space="preserve">, </w:t>
      </w:r>
      <w:r w:rsidRPr="005A4794">
        <w:rPr>
          <w:szCs w:val="24"/>
        </w:rPr>
        <w:t>Alemania</w:t>
      </w:r>
      <w:r>
        <w:rPr>
          <w:szCs w:val="24"/>
        </w:rPr>
        <w:t xml:space="preserve">, </w:t>
      </w:r>
      <w:r w:rsidRPr="005A4794">
        <w:rPr>
          <w:szCs w:val="24"/>
        </w:rPr>
        <w:t>Brasil</w:t>
      </w:r>
      <w:r>
        <w:rPr>
          <w:szCs w:val="24"/>
        </w:rPr>
        <w:t xml:space="preserve">, </w:t>
      </w:r>
      <w:r w:rsidRPr="005A4794">
        <w:rPr>
          <w:szCs w:val="24"/>
        </w:rPr>
        <w:t>China</w:t>
      </w:r>
      <w:r>
        <w:rPr>
          <w:szCs w:val="24"/>
        </w:rPr>
        <w:t xml:space="preserve">, </w:t>
      </w:r>
      <w:r w:rsidRPr="005A4794">
        <w:rPr>
          <w:szCs w:val="24"/>
        </w:rPr>
        <w:t>Dinamarca</w:t>
      </w:r>
      <w:r>
        <w:rPr>
          <w:szCs w:val="24"/>
        </w:rPr>
        <w:t xml:space="preserve">, </w:t>
      </w:r>
      <w:r w:rsidRPr="005A4794">
        <w:rPr>
          <w:szCs w:val="24"/>
        </w:rPr>
        <w:t>Hungría</w:t>
      </w:r>
      <w:r>
        <w:rPr>
          <w:szCs w:val="24"/>
        </w:rPr>
        <w:t xml:space="preserve">, </w:t>
      </w:r>
      <w:r w:rsidRPr="005A4794">
        <w:rPr>
          <w:szCs w:val="24"/>
        </w:rPr>
        <w:t>Israel</w:t>
      </w:r>
      <w:r>
        <w:rPr>
          <w:szCs w:val="24"/>
        </w:rPr>
        <w:t xml:space="preserve">, </w:t>
      </w:r>
      <w:r w:rsidRPr="005A4794">
        <w:rPr>
          <w:szCs w:val="24"/>
        </w:rPr>
        <w:t>Japón</w:t>
      </w:r>
      <w:r>
        <w:rPr>
          <w:szCs w:val="24"/>
        </w:rPr>
        <w:t xml:space="preserve">, </w:t>
      </w:r>
      <w:r w:rsidRPr="005A4794">
        <w:rPr>
          <w:szCs w:val="24"/>
        </w:rPr>
        <w:t>Lituania</w:t>
      </w:r>
      <w:r>
        <w:rPr>
          <w:szCs w:val="24"/>
        </w:rPr>
        <w:t xml:space="preserve">, </w:t>
      </w:r>
      <w:r w:rsidRPr="005A4794">
        <w:rPr>
          <w:szCs w:val="24"/>
        </w:rPr>
        <w:t>Nueva Zelandia</w:t>
      </w:r>
      <w:r>
        <w:rPr>
          <w:szCs w:val="24"/>
        </w:rPr>
        <w:t xml:space="preserve">, </w:t>
      </w:r>
      <w:r w:rsidRPr="005A4794">
        <w:rPr>
          <w:szCs w:val="24"/>
        </w:rPr>
        <w:t>Polonia</w:t>
      </w:r>
      <w:r>
        <w:rPr>
          <w:szCs w:val="24"/>
        </w:rPr>
        <w:t xml:space="preserve">, </w:t>
      </w:r>
      <w:r w:rsidRPr="005A4794">
        <w:rPr>
          <w:szCs w:val="24"/>
        </w:rPr>
        <w:t>República Checa</w:t>
      </w:r>
      <w:r>
        <w:rPr>
          <w:szCs w:val="24"/>
        </w:rPr>
        <w:t xml:space="preserve">, </w:t>
      </w:r>
      <w:r w:rsidRPr="005A4794">
        <w:rPr>
          <w:szCs w:val="24"/>
        </w:rPr>
        <w:t xml:space="preserve">República de </w:t>
      </w:r>
      <w:proofErr w:type="spellStart"/>
      <w:r w:rsidRPr="005A4794">
        <w:rPr>
          <w:szCs w:val="24"/>
        </w:rPr>
        <w:t>Moldova</w:t>
      </w:r>
      <w:proofErr w:type="spellEnd"/>
      <w:r>
        <w:rPr>
          <w:szCs w:val="24"/>
        </w:rPr>
        <w:t xml:space="preserve">, </w:t>
      </w:r>
      <w:r w:rsidRPr="005A4794">
        <w:rPr>
          <w:szCs w:val="24"/>
        </w:rPr>
        <w:t>Singapur</w:t>
      </w:r>
      <w:r>
        <w:rPr>
          <w:szCs w:val="24"/>
        </w:rPr>
        <w:t xml:space="preserve">, </w:t>
      </w:r>
      <w:r w:rsidRPr="005A4794">
        <w:rPr>
          <w:szCs w:val="24"/>
        </w:rPr>
        <w:t>Eslovenia</w:t>
      </w:r>
      <w:r>
        <w:rPr>
          <w:szCs w:val="24"/>
        </w:rPr>
        <w:t xml:space="preserve">, </w:t>
      </w:r>
      <w:r w:rsidRPr="005A4794">
        <w:rPr>
          <w:szCs w:val="24"/>
        </w:rPr>
        <w:t>Ucrania</w:t>
      </w:r>
      <w:r>
        <w:rPr>
          <w:szCs w:val="24"/>
        </w:rPr>
        <w:t xml:space="preserve"> y </w:t>
      </w:r>
      <w:r w:rsidRPr="005A4794">
        <w:rPr>
          <w:szCs w:val="24"/>
        </w:rPr>
        <w:t>Unión Europea</w:t>
      </w:r>
    </w:p>
    <w:p w:rsidR="004E2DEF" w:rsidRPr="001F56CE" w:rsidRDefault="004E2DEF" w:rsidP="004E2DEF">
      <w:pPr>
        <w:widowControl w:val="0"/>
        <w:ind w:right="567"/>
      </w:pPr>
    </w:p>
    <w:p w:rsidR="004E2DEF" w:rsidRPr="001F56CE" w:rsidRDefault="004E2DEF" w:rsidP="004E2DEF">
      <w:r w:rsidRPr="001F56CE">
        <w:fldChar w:fldCharType="begin"/>
      </w:r>
      <w:r w:rsidRPr="001F56CE">
        <w:instrText xml:space="preserve"> AUTONUM  </w:instrText>
      </w:r>
      <w:r w:rsidRPr="001F56CE">
        <w:fldChar w:fldCharType="end"/>
      </w:r>
      <w:r w:rsidRPr="001F56CE">
        <w:tab/>
        <w:t xml:space="preserve">Los informes recibidos después del </w:t>
      </w:r>
      <w:r>
        <w:t>23</w:t>
      </w:r>
      <w:r w:rsidRPr="001F56CE">
        <w:t xml:space="preserve"> de septiembre de 20</w:t>
      </w:r>
      <w:r>
        <w:t>20</w:t>
      </w:r>
      <w:r w:rsidRPr="001F56CE">
        <w:t xml:space="preserve"> se incluirán como adenda a este documento y se publicarán después de la sesión del Consejo.</w:t>
      </w:r>
    </w:p>
    <w:p w:rsidR="004E2DEF" w:rsidRPr="001F56CE" w:rsidRDefault="004E2DEF" w:rsidP="004E2DEF"/>
    <w:p w:rsidR="004E2DEF" w:rsidRPr="001F56CE" w:rsidRDefault="004E2DEF" w:rsidP="004E2DEF"/>
    <w:p w:rsidR="004E2DEF" w:rsidRPr="001F56CE" w:rsidRDefault="004E2DEF" w:rsidP="004E2DEF"/>
    <w:p w:rsidR="004E2DEF" w:rsidRPr="001F56CE" w:rsidRDefault="004E2DEF" w:rsidP="004E2DEF">
      <w:pPr>
        <w:jc w:val="right"/>
      </w:pPr>
      <w:r w:rsidRPr="001F56CE">
        <w:t>[Siguen los Anexos]</w:t>
      </w:r>
    </w:p>
    <w:p w:rsidR="008B3D8D" w:rsidRDefault="008B3D8D">
      <w:pPr>
        <w:jc w:val="left"/>
      </w:pPr>
    </w:p>
    <w:p w:rsidR="0078167F" w:rsidRDefault="0078167F" w:rsidP="0078167F">
      <w:pPr>
        <w:jc w:val="left"/>
      </w:pPr>
    </w:p>
    <w:p w:rsidR="0078167F" w:rsidRDefault="0078167F" w:rsidP="0078167F">
      <w:pPr>
        <w:sectPr w:rsidR="0078167F" w:rsidSect="00906DDC">
          <w:headerReference w:type="default" r:id="rId9"/>
          <w:pgSz w:w="11907" w:h="16840" w:code="9"/>
          <w:pgMar w:top="510" w:right="1134" w:bottom="1134" w:left="1134" w:header="510" w:footer="680" w:gutter="0"/>
          <w:cols w:space="720"/>
          <w:titlePg/>
        </w:sectPr>
      </w:pPr>
    </w:p>
    <w:p w:rsidR="0078167F" w:rsidRPr="0075031D" w:rsidRDefault="0078167F" w:rsidP="0078167F">
      <w:pPr>
        <w:jc w:val="center"/>
      </w:pPr>
      <w:r>
        <w:lastRenderedPageBreak/>
        <w:t>C/54/INF/4</w:t>
      </w:r>
    </w:p>
    <w:p w:rsidR="0078167F" w:rsidRPr="0075031D" w:rsidRDefault="0078167F" w:rsidP="0078167F">
      <w:pPr>
        <w:jc w:val="center"/>
      </w:pPr>
    </w:p>
    <w:p w:rsidR="0078167F" w:rsidRPr="0075031D" w:rsidRDefault="00E80B45" w:rsidP="0078167F">
      <w:pPr>
        <w:jc w:val="center"/>
      </w:pPr>
      <w:r>
        <w:t>ANEXO</w:t>
      </w:r>
      <w:r w:rsidR="0078167F" w:rsidRPr="0075031D">
        <w:t xml:space="preserve"> I</w:t>
      </w:r>
    </w:p>
    <w:p w:rsidR="0078167F" w:rsidRPr="0075031D" w:rsidRDefault="0078167F" w:rsidP="0078167F">
      <w:pPr>
        <w:jc w:val="center"/>
      </w:pPr>
    </w:p>
    <w:p w:rsidR="0078167F" w:rsidRDefault="0078167F" w:rsidP="0078167F">
      <w:pPr>
        <w:jc w:val="center"/>
      </w:pPr>
    </w:p>
    <w:p w:rsidR="00117ABA" w:rsidRPr="00592F7C" w:rsidRDefault="00117ABA" w:rsidP="00117ABA">
      <w:pPr>
        <w:jc w:val="center"/>
        <w:rPr>
          <w:color w:val="000000"/>
          <w:szCs w:val="24"/>
          <w:lang w:val="es-ES"/>
        </w:rPr>
      </w:pPr>
      <w:r w:rsidRPr="007376EB">
        <w:rPr>
          <w:color w:val="000000"/>
          <w:szCs w:val="24"/>
        </w:rPr>
        <w:t>SUDÁFRICA</w:t>
      </w:r>
    </w:p>
    <w:p w:rsidR="00117ABA" w:rsidRPr="00592F7C" w:rsidRDefault="00117ABA" w:rsidP="00117ABA">
      <w:pPr>
        <w:rPr>
          <w:lang w:val="es-ES"/>
        </w:rPr>
      </w:pPr>
    </w:p>
    <w:p w:rsidR="00117ABA" w:rsidRPr="00592F7C" w:rsidRDefault="00117ABA" w:rsidP="00117ABA">
      <w:pPr>
        <w:jc w:val="left"/>
        <w:rPr>
          <w:lang w:val="es-ES"/>
        </w:rPr>
      </w:pPr>
    </w:p>
    <w:p w:rsidR="00117ABA" w:rsidRPr="00592F7C" w:rsidRDefault="00117ABA" w:rsidP="00117ABA">
      <w:pPr>
        <w:rPr>
          <w:lang w:val="es-ES"/>
        </w:rPr>
      </w:pPr>
      <w:r w:rsidRPr="007376EB">
        <w:t>I.</w:t>
      </w:r>
      <w:r w:rsidRPr="00592F7C">
        <w:rPr>
          <w:lang w:val="es-ES"/>
        </w:rPr>
        <w:tab/>
      </w:r>
      <w:r w:rsidRPr="007376EB">
        <w:t>PROTECCIÓN DE LAS OBTENCIONES VEGETALES</w:t>
      </w:r>
    </w:p>
    <w:p w:rsidR="00117ABA" w:rsidRPr="00592F7C" w:rsidRDefault="00117ABA" w:rsidP="00117ABA">
      <w:pPr>
        <w:rPr>
          <w:lang w:val="es-ES"/>
        </w:rPr>
      </w:pPr>
    </w:p>
    <w:p w:rsidR="00117ABA" w:rsidRPr="00592F7C" w:rsidRDefault="00117ABA" w:rsidP="00117ABA">
      <w:pPr>
        <w:rPr>
          <w:u w:val="single"/>
          <w:lang w:val="es-ES"/>
        </w:rPr>
      </w:pPr>
      <w:r w:rsidRPr="00592F7C">
        <w:rPr>
          <w:lang w:val="es-ES"/>
        </w:rPr>
        <w:t>1.</w:t>
      </w:r>
      <w:r w:rsidRPr="00592F7C">
        <w:rPr>
          <w:lang w:val="es-ES"/>
        </w:rPr>
        <w:tab/>
      </w:r>
      <w:r w:rsidRPr="007376EB">
        <w:rPr>
          <w:u w:val="single"/>
        </w:rPr>
        <w:t>Situación en el ámbito legislativo</w:t>
      </w:r>
    </w:p>
    <w:p w:rsidR="00117ABA" w:rsidRPr="00592F7C" w:rsidRDefault="00117ABA" w:rsidP="00117ABA">
      <w:pPr>
        <w:rPr>
          <w:lang w:val="es-ES"/>
        </w:rPr>
      </w:pPr>
    </w:p>
    <w:p w:rsidR="00117ABA" w:rsidRPr="00592F7C" w:rsidRDefault="00117ABA" w:rsidP="00117ABA">
      <w:pPr>
        <w:ind w:left="567" w:hanging="567"/>
        <w:rPr>
          <w:lang w:val="es-ES"/>
        </w:rPr>
      </w:pPr>
      <w:r w:rsidRPr="00592F7C">
        <w:rPr>
          <w:lang w:val="es-ES"/>
        </w:rPr>
        <w:t>1.1</w:t>
      </w:r>
      <w:r w:rsidRPr="00592F7C">
        <w:rPr>
          <w:lang w:val="es-ES"/>
        </w:rPr>
        <w:tab/>
      </w:r>
      <w:r w:rsidRPr="007376EB">
        <w:t>Modificaciones de la ley y de los reglamentos</w:t>
      </w:r>
    </w:p>
    <w:p w:rsidR="00117ABA" w:rsidRPr="00592F7C" w:rsidRDefault="00117ABA" w:rsidP="00117ABA">
      <w:pPr>
        <w:ind w:left="567" w:hanging="567"/>
        <w:rPr>
          <w:lang w:val="es-ES"/>
        </w:rPr>
      </w:pPr>
    </w:p>
    <w:p w:rsidR="00117ABA" w:rsidRPr="00117ABA" w:rsidRDefault="00117ABA" w:rsidP="00117ABA">
      <w:pPr>
        <w:ind w:left="851" w:hanging="284"/>
      </w:pPr>
      <w:r w:rsidRPr="00592F7C">
        <w:rPr>
          <w:lang w:val="es-ES"/>
        </w:rPr>
        <w:t>-</w:t>
      </w:r>
      <w:r w:rsidRPr="00592F7C">
        <w:rPr>
          <w:lang w:val="es-ES"/>
        </w:rPr>
        <w:tab/>
      </w:r>
      <w:r w:rsidRPr="007376EB">
        <w:t>Adaptación al Acta de 1991 del Convenio:</w:t>
      </w:r>
      <w:r w:rsidRPr="00117ABA">
        <w:t xml:space="preserve"> </w:t>
      </w:r>
      <w:r w:rsidRPr="007376EB">
        <w:t>No hay novedades reseñables.</w:t>
      </w:r>
    </w:p>
    <w:p w:rsidR="00117ABA" w:rsidRPr="00117ABA" w:rsidRDefault="00117ABA" w:rsidP="00117ABA">
      <w:pPr>
        <w:ind w:left="851" w:hanging="284"/>
      </w:pPr>
    </w:p>
    <w:p w:rsidR="00117ABA" w:rsidRPr="00592F7C" w:rsidRDefault="00117ABA" w:rsidP="00117ABA">
      <w:pPr>
        <w:ind w:left="851" w:hanging="284"/>
        <w:rPr>
          <w:lang w:val="es-ES"/>
        </w:rPr>
      </w:pPr>
      <w:r w:rsidRPr="00117ABA">
        <w:t>-</w:t>
      </w:r>
      <w:r w:rsidRPr="00117ABA">
        <w:tab/>
      </w:r>
      <w:r w:rsidRPr="007376EB">
        <w:t>Otras modificaciones, incluidas las que atañen a las tasas:</w:t>
      </w:r>
    </w:p>
    <w:p w:rsidR="00117ABA" w:rsidRPr="00592F7C" w:rsidRDefault="00117ABA" w:rsidP="00117ABA">
      <w:pPr>
        <w:ind w:left="567" w:hanging="567"/>
        <w:rPr>
          <w:lang w:val="es-ES"/>
        </w:rPr>
      </w:pPr>
    </w:p>
    <w:p w:rsidR="00117ABA" w:rsidRPr="00592F7C" w:rsidRDefault="00117ABA" w:rsidP="00117ABA">
      <w:pPr>
        <w:ind w:left="567"/>
        <w:rPr>
          <w:lang w:val="es-ES"/>
        </w:rPr>
      </w:pPr>
      <w:r w:rsidRPr="00A15DA0">
        <w:t xml:space="preserve">Las tasas sobre los derechos de obtentor vigentes durante el ejercicio fiscal 2020-2021, </w:t>
      </w:r>
      <w:r>
        <w:t xml:space="preserve">que finaliza </w:t>
      </w:r>
      <w:r>
        <w:br/>
        <w:t xml:space="preserve">el </w:t>
      </w:r>
      <w:r w:rsidRPr="00A15DA0">
        <w:t xml:space="preserve">31 de marzo de 2021, se publicaron en la Gaceta Oficial del Gobierno de Sudáfrica N.º 43035, </w:t>
      </w:r>
      <w:r>
        <w:t>de 21 </w:t>
      </w:r>
      <w:r w:rsidRPr="00A15DA0">
        <w:t>de febrero de 2020.</w:t>
      </w:r>
    </w:p>
    <w:p w:rsidR="00117ABA" w:rsidRPr="00592F7C" w:rsidRDefault="00117ABA" w:rsidP="00117ABA">
      <w:pPr>
        <w:rPr>
          <w:lang w:val="es-ES"/>
        </w:rPr>
      </w:pPr>
    </w:p>
    <w:p w:rsidR="00117ABA" w:rsidRPr="00592F7C" w:rsidRDefault="00117ABA" w:rsidP="00117ABA">
      <w:pPr>
        <w:rPr>
          <w:rFonts w:cs="Arial"/>
          <w:lang w:val="es-ES"/>
        </w:rPr>
      </w:pPr>
      <w:r w:rsidRPr="00592F7C">
        <w:rPr>
          <w:lang w:val="es-ES"/>
        </w:rPr>
        <w:t>1.2</w:t>
      </w:r>
      <w:r w:rsidRPr="00592F7C">
        <w:rPr>
          <w:lang w:val="es-ES"/>
        </w:rPr>
        <w:tab/>
      </w:r>
      <w:r w:rsidRPr="00A15DA0">
        <w:t>Extensión de la protección a otros géneros y especies (realizada o prevista):</w:t>
      </w:r>
      <w:r w:rsidRPr="00592F7C">
        <w:rPr>
          <w:lang w:val="es-ES"/>
        </w:rPr>
        <w:t xml:space="preserve"> </w:t>
      </w:r>
      <w:r w:rsidRPr="00A15DA0">
        <w:t>No hay novedades reseñables.</w:t>
      </w:r>
    </w:p>
    <w:p w:rsidR="00117ABA" w:rsidRPr="00592F7C" w:rsidRDefault="00117ABA" w:rsidP="00117ABA">
      <w:pPr>
        <w:ind w:left="720" w:hanging="153"/>
        <w:rPr>
          <w:rFonts w:cs="Arial"/>
          <w:i/>
          <w:lang w:val="es-ES"/>
        </w:rPr>
      </w:pPr>
    </w:p>
    <w:p w:rsidR="00117ABA" w:rsidRPr="00592F7C" w:rsidRDefault="00117ABA" w:rsidP="00117ABA">
      <w:pPr>
        <w:rPr>
          <w:lang w:val="es-ES"/>
        </w:rPr>
      </w:pPr>
      <w:r w:rsidRPr="00592F7C">
        <w:rPr>
          <w:lang w:val="es-ES"/>
        </w:rPr>
        <w:t>1.3</w:t>
      </w:r>
      <w:r w:rsidRPr="00592F7C">
        <w:rPr>
          <w:lang w:val="es-ES"/>
        </w:rPr>
        <w:tab/>
      </w:r>
      <w:r w:rsidRPr="00A15DA0">
        <w:t>Jurisprudencia:</w:t>
      </w:r>
      <w:r w:rsidRPr="00592F7C">
        <w:rPr>
          <w:lang w:val="es-ES"/>
        </w:rPr>
        <w:t xml:space="preserve"> </w:t>
      </w:r>
      <w:r w:rsidRPr="00A15DA0">
        <w:t>No hay novedades reseñables.</w:t>
      </w:r>
    </w:p>
    <w:p w:rsidR="00117ABA" w:rsidRPr="00592F7C" w:rsidRDefault="00117ABA" w:rsidP="00117ABA">
      <w:pPr>
        <w:ind w:left="567"/>
        <w:rPr>
          <w:lang w:val="es-ES"/>
        </w:rPr>
      </w:pPr>
    </w:p>
    <w:p w:rsidR="00117ABA" w:rsidRPr="00592F7C" w:rsidRDefault="00117ABA" w:rsidP="00117ABA">
      <w:pPr>
        <w:ind w:left="567" w:hanging="567"/>
        <w:rPr>
          <w:lang w:val="es-ES"/>
        </w:rPr>
      </w:pPr>
      <w:r w:rsidRPr="00592F7C">
        <w:rPr>
          <w:lang w:val="es-ES"/>
        </w:rPr>
        <w:t>2.</w:t>
      </w:r>
      <w:r w:rsidRPr="00592F7C">
        <w:rPr>
          <w:lang w:val="es-ES"/>
        </w:rPr>
        <w:tab/>
      </w:r>
      <w:r w:rsidRPr="00A15DA0">
        <w:rPr>
          <w:u w:val="single"/>
        </w:rPr>
        <w:t>Cooperación en el examen</w:t>
      </w:r>
    </w:p>
    <w:p w:rsidR="00117ABA" w:rsidRPr="00592F7C" w:rsidRDefault="00117ABA" w:rsidP="00117ABA">
      <w:pPr>
        <w:ind w:left="567" w:hanging="567"/>
        <w:rPr>
          <w:lang w:val="es-ES"/>
        </w:rPr>
      </w:pPr>
    </w:p>
    <w:p w:rsidR="00117ABA" w:rsidRPr="00592F7C" w:rsidRDefault="00117ABA" w:rsidP="00117ABA">
      <w:pPr>
        <w:ind w:left="851" w:hanging="284"/>
        <w:rPr>
          <w:lang w:val="es-ES"/>
        </w:rPr>
      </w:pPr>
      <w:r w:rsidRPr="00592F7C">
        <w:rPr>
          <w:lang w:val="es-ES"/>
        </w:rPr>
        <w:t>-</w:t>
      </w:r>
      <w:r w:rsidRPr="00592F7C">
        <w:rPr>
          <w:lang w:val="es-ES"/>
        </w:rPr>
        <w:tab/>
      </w:r>
      <w:r w:rsidRPr="00A15DA0">
        <w:t>Conclusión de nuevos acuerdos (realizados, en curso o previstos):</w:t>
      </w:r>
      <w:r w:rsidRPr="00592F7C">
        <w:rPr>
          <w:lang w:val="es-ES"/>
        </w:rPr>
        <w:t xml:space="preserve"> </w:t>
      </w:r>
      <w:r w:rsidRPr="00A15DA0">
        <w:t>No hay novedades reseñables.</w:t>
      </w:r>
    </w:p>
    <w:p w:rsidR="00117ABA" w:rsidRPr="00592F7C" w:rsidRDefault="00117ABA" w:rsidP="00117ABA">
      <w:pPr>
        <w:ind w:left="851" w:hanging="284"/>
        <w:rPr>
          <w:lang w:val="es-ES"/>
        </w:rPr>
      </w:pPr>
    </w:p>
    <w:p w:rsidR="00117ABA" w:rsidRPr="00592F7C" w:rsidRDefault="00117ABA" w:rsidP="00117ABA">
      <w:pPr>
        <w:ind w:left="851" w:hanging="284"/>
        <w:rPr>
          <w:lang w:val="es-ES"/>
        </w:rPr>
      </w:pPr>
      <w:r w:rsidRPr="00592F7C">
        <w:rPr>
          <w:lang w:val="es-ES"/>
        </w:rPr>
        <w:t>-</w:t>
      </w:r>
      <w:r w:rsidRPr="00592F7C">
        <w:rPr>
          <w:lang w:val="es-ES"/>
        </w:rPr>
        <w:tab/>
      </w:r>
      <w:r w:rsidRPr="00A15DA0">
        <w:t>Modificación de los acuerdos existentes (realizados, en curso o previstos):</w:t>
      </w:r>
      <w:r w:rsidRPr="00592F7C">
        <w:rPr>
          <w:lang w:val="es-ES"/>
        </w:rPr>
        <w:t xml:space="preserve"> </w:t>
      </w:r>
      <w:r w:rsidRPr="00A15DA0">
        <w:t>No hay novedades reseñables.</w:t>
      </w:r>
    </w:p>
    <w:p w:rsidR="00117ABA" w:rsidRPr="00592F7C" w:rsidRDefault="00117ABA" w:rsidP="00117ABA">
      <w:pPr>
        <w:pStyle w:val="ListParagraph"/>
        <w:ind w:left="1418" w:hanging="851"/>
        <w:rPr>
          <w:lang w:val="es-ES"/>
        </w:rPr>
      </w:pPr>
    </w:p>
    <w:p w:rsidR="00117ABA" w:rsidRPr="00592F7C" w:rsidRDefault="00117ABA" w:rsidP="00117ABA">
      <w:pPr>
        <w:ind w:left="567" w:hanging="567"/>
        <w:rPr>
          <w:lang w:val="es-ES"/>
        </w:rPr>
      </w:pPr>
      <w:r w:rsidRPr="00592F7C">
        <w:rPr>
          <w:lang w:val="es-ES"/>
        </w:rPr>
        <w:t>3.</w:t>
      </w:r>
      <w:r w:rsidRPr="00592F7C">
        <w:rPr>
          <w:lang w:val="es-ES"/>
        </w:rPr>
        <w:tab/>
      </w:r>
      <w:r w:rsidRPr="00A15DA0">
        <w:rPr>
          <w:u w:val="single"/>
        </w:rPr>
        <w:t>Situación en el ámbito administrativo</w:t>
      </w:r>
      <w:r w:rsidRPr="006250EA">
        <w:t>:</w:t>
      </w:r>
      <w:r w:rsidRPr="00592F7C">
        <w:rPr>
          <w:lang w:val="es-ES"/>
        </w:rPr>
        <w:t xml:space="preserve"> </w:t>
      </w:r>
      <w:r w:rsidRPr="00A15DA0">
        <w:t>No se han producido cambios.</w:t>
      </w:r>
      <w:r w:rsidRPr="00592F7C">
        <w:rPr>
          <w:lang w:val="es-ES"/>
        </w:rPr>
        <w:t xml:space="preserve"> </w:t>
      </w:r>
    </w:p>
    <w:p w:rsidR="00117ABA" w:rsidRPr="00592F7C" w:rsidRDefault="00117ABA" w:rsidP="00117ABA">
      <w:pPr>
        <w:rPr>
          <w:lang w:val="es-ES"/>
        </w:rPr>
      </w:pPr>
    </w:p>
    <w:p w:rsidR="00117ABA" w:rsidRPr="00592F7C" w:rsidRDefault="00117ABA" w:rsidP="00117ABA">
      <w:pPr>
        <w:ind w:left="567" w:hanging="567"/>
        <w:rPr>
          <w:u w:val="single"/>
          <w:lang w:val="es-ES"/>
        </w:rPr>
      </w:pPr>
      <w:r w:rsidRPr="00592F7C">
        <w:rPr>
          <w:lang w:val="es-ES"/>
        </w:rPr>
        <w:t>4.</w:t>
      </w:r>
      <w:r w:rsidRPr="00592F7C">
        <w:rPr>
          <w:lang w:val="es-ES"/>
        </w:rPr>
        <w:tab/>
      </w:r>
      <w:r w:rsidRPr="00A15DA0">
        <w:rPr>
          <w:u w:val="single"/>
        </w:rPr>
        <w:t>Situación en el ámbito técnico</w:t>
      </w:r>
    </w:p>
    <w:p w:rsidR="00117ABA" w:rsidRPr="00592F7C" w:rsidRDefault="00117ABA" w:rsidP="00117ABA">
      <w:pPr>
        <w:pStyle w:val="ListParagraph"/>
        <w:ind w:left="709" w:hanging="709"/>
        <w:jc w:val="both"/>
        <w:rPr>
          <w:lang w:val="es-ES"/>
        </w:rPr>
      </w:pPr>
    </w:p>
    <w:p w:rsidR="00117ABA" w:rsidRPr="00592F7C" w:rsidRDefault="00117ABA" w:rsidP="00117ABA">
      <w:pPr>
        <w:pStyle w:val="ListParagraph"/>
        <w:ind w:left="709" w:hanging="709"/>
        <w:jc w:val="both"/>
        <w:rPr>
          <w:lang w:val="es-ES"/>
        </w:rPr>
      </w:pPr>
      <w:r w:rsidRPr="00592F7C">
        <w:rPr>
          <w:lang w:val="es-ES"/>
        </w:rPr>
        <w:tab/>
      </w:r>
      <w:r w:rsidRPr="00A15DA0">
        <w:rPr>
          <w:lang w:val="es-ES_tradnl"/>
        </w:rPr>
        <w:t>Los centros de evaluación se encargan del examen biológico (examen DHE).</w:t>
      </w:r>
    </w:p>
    <w:p w:rsidR="00117ABA" w:rsidRPr="00592F7C" w:rsidRDefault="00117ABA" w:rsidP="00117ABA">
      <w:pPr>
        <w:pStyle w:val="ListParagraph"/>
        <w:ind w:left="709" w:hanging="709"/>
        <w:jc w:val="both"/>
        <w:rPr>
          <w:lang w:val="es-ES"/>
        </w:rPr>
      </w:pPr>
    </w:p>
    <w:p w:rsidR="00117ABA" w:rsidRPr="00592F7C" w:rsidRDefault="00117ABA" w:rsidP="00117ABA">
      <w:pPr>
        <w:pStyle w:val="ListParagraph"/>
        <w:numPr>
          <w:ilvl w:val="0"/>
          <w:numId w:val="1"/>
        </w:numPr>
        <w:jc w:val="both"/>
        <w:rPr>
          <w:lang w:val="es-ES"/>
        </w:rPr>
      </w:pPr>
      <w:r w:rsidRPr="00A15DA0">
        <w:rPr>
          <w:lang w:val="es-ES_tradnl"/>
        </w:rPr>
        <w:t>Se recibieron 306 solicitudes de derechos de obtentor, de las cuales el 53% (161) corresponden a plantas agrícolas, el 12% (37) a plantas ornamentales, el 27% (83) a plantas frutales y el 8% (25) a plantas hortícolas.</w:t>
      </w:r>
      <w:r w:rsidRPr="00592F7C">
        <w:rPr>
          <w:lang w:val="es-ES"/>
        </w:rPr>
        <w:t xml:space="preserve"> </w:t>
      </w:r>
    </w:p>
    <w:p w:rsidR="00117ABA" w:rsidRPr="00592F7C" w:rsidRDefault="00117ABA" w:rsidP="00117ABA">
      <w:pPr>
        <w:rPr>
          <w:lang w:val="es-ES"/>
        </w:rPr>
      </w:pPr>
    </w:p>
    <w:p w:rsidR="00117ABA" w:rsidRPr="00592F7C" w:rsidRDefault="00117ABA" w:rsidP="00117ABA">
      <w:pPr>
        <w:pStyle w:val="ListParagraph"/>
        <w:numPr>
          <w:ilvl w:val="0"/>
          <w:numId w:val="1"/>
        </w:numPr>
        <w:jc w:val="both"/>
        <w:rPr>
          <w:lang w:val="es-ES"/>
        </w:rPr>
      </w:pPr>
      <w:r w:rsidRPr="00A15DA0">
        <w:rPr>
          <w:lang w:val="es-ES_tradnl"/>
        </w:rPr>
        <w:t>A diciembre de 2019, un total de 3.108 variedades ostentan un título de obtentor en vigor en Sudáfrica, de las que el 23% (724) corresponden a plantas ornamentales, el 40% (1260) a plantas agrícolas, el 29% (889) a plantas frutales y el 8% (235) a plantas hortícolas.</w:t>
      </w:r>
      <w:r w:rsidRPr="00592F7C">
        <w:rPr>
          <w:lang w:val="es-ES"/>
        </w:rPr>
        <w:t xml:space="preserve"> </w:t>
      </w:r>
    </w:p>
    <w:p w:rsidR="00117ABA" w:rsidRPr="00592F7C" w:rsidRDefault="00117ABA" w:rsidP="00117ABA">
      <w:pPr>
        <w:pStyle w:val="ListParagraph"/>
        <w:ind w:left="709"/>
        <w:jc w:val="both"/>
        <w:rPr>
          <w:lang w:val="es-ES"/>
        </w:rPr>
      </w:pPr>
    </w:p>
    <w:p w:rsidR="00117ABA" w:rsidRPr="00592F7C" w:rsidRDefault="00117ABA" w:rsidP="00117ABA">
      <w:pPr>
        <w:ind w:left="567" w:hanging="567"/>
        <w:rPr>
          <w:lang w:val="es-ES"/>
        </w:rPr>
      </w:pPr>
      <w:r w:rsidRPr="00592F7C">
        <w:rPr>
          <w:lang w:val="es-ES"/>
        </w:rPr>
        <w:t>5.</w:t>
      </w:r>
      <w:r w:rsidRPr="00592F7C">
        <w:rPr>
          <w:lang w:val="es-ES"/>
        </w:rPr>
        <w:tab/>
      </w:r>
      <w:r w:rsidRPr="00A15DA0">
        <w:rPr>
          <w:u w:val="single"/>
        </w:rPr>
        <w:t>Actividades para la promoción de las variedades vegetales</w:t>
      </w:r>
    </w:p>
    <w:p w:rsidR="00117ABA" w:rsidRPr="00592F7C" w:rsidRDefault="00117ABA" w:rsidP="00117ABA">
      <w:pPr>
        <w:pStyle w:val="ListParagraph"/>
        <w:ind w:left="709" w:hanging="709"/>
        <w:jc w:val="both"/>
        <w:rPr>
          <w:lang w:val="es-ES"/>
        </w:rPr>
      </w:pPr>
    </w:p>
    <w:tbl>
      <w:tblPr>
        <w:tblStyle w:val="TableGrid"/>
        <w:tblW w:w="9243" w:type="dxa"/>
        <w:tblInd w:w="108" w:type="dxa"/>
        <w:tblLayout w:type="fixed"/>
        <w:tblCellMar>
          <w:left w:w="57" w:type="dxa"/>
          <w:right w:w="57" w:type="dxa"/>
        </w:tblCellMar>
        <w:tblLook w:val="04A0" w:firstRow="1" w:lastRow="0" w:firstColumn="1" w:lastColumn="0" w:noHBand="0" w:noVBand="1"/>
      </w:tblPr>
      <w:tblGrid>
        <w:gridCol w:w="1588"/>
        <w:gridCol w:w="1418"/>
        <w:gridCol w:w="1247"/>
        <w:gridCol w:w="1417"/>
        <w:gridCol w:w="1560"/>
        <w:gridCol w:w="2013"/>
      </w:tblGrid>
      <w:tr w:rsidR="00117ABA" w:rsidRPr="00592F7C" w:rsidTr="000540A6">
        <w:tc>
          <w:tcPr>
            <w:tcW w:w="1588" w:type="dxa"/>
          </w:tcPr>
          <w:p w:rsidR="00117ABA" w:rsidRPr="001E33A4" w:rsidRDefault="00117ABA" w:rsidP="002D1696">
            <w:pPr>
              <w:pStyle w:val="ListParagraph"/>
              <w:ind w:left="0" w:firstLine="0"/>
              <w:rPr>
                <w:sz w:val="16"/>
                <w:szCs w:val="20"/>
              </w:rPr>
            </w:pPr>
            <w:r w:rsidRPr="00A15DA0">
              <w:rPr>
                <w:sz w:val="16"/>
                <w:szCs w:val="20"/>
                <w:lang w:val="es-ES_tradnl"/>
              </w:rPr>
              <w:t>Título de la actividad</w:t>
            </w:r>
          </w:p>
        </w:tc>
        <w:tc>
          <w:tcPr>
            <w:tcW w:w="1418" w:type="dxa"/>
          </w:tcPr>
          <w:p w:rsidR="00117ABA" w:rsidRPr="001E33A4" w:rsidRDefault="00117ABA" w:rsidP="002D1696">
            <w:pPr>
              <w:pStyle w:val="ListParagraph"/>
              <w:ind w:left="0" w:firstLine="0"/>
              <w:rPr>
                <w:sz w:val="16"/>
                <w:szCs w:val="20"/>
              </w:rPr>
            </w:pPr>
            <w:r w:rsidRPr="00A15DA0">
              <w:rPr>
                <w:sz w:val="16"/>
                <w:szCs w:val="20"/>
                <w:lang w:val="es-ES_tradnl"/>
              </w:rPr>
              <w:t>Fecha</w:t>
            </w:r>
          </w:p>
        </w:tc>
        <w:tc>
          <w:tcPr>
            <w:tcW w:w="1247" w:type="dxa"/>
          </w:tcPr>
          <w:p w:rsidR="00117ABA" w:rsidRPr="001E33A4" w:rsidRDefault="00117ABA" w:rsidP="002D1696">
            <w:pPr>
              <w:pStyle w:val="ListParagraph"/>
              <w:ind w:left="0" w:firstLine="0"/>
              <w:rPr>
                <w:sz w:val="16"/>
                <w:szCs w:val="20"/>
              </w:rPr>
            </w:pPr>
            <w:r w:rsidRPr="00A15DA0">
              <w:rPr>
                <w:sz w:val="16"/>
                <w:szCs w:val="20"/>
                <w:lang w:val="es-ES_tradnl"/>
              </w:rPr>
              <w:t>Lugar</w:t>
            </w:r>
          </w:p>
        </w:tc>
        <w:tc>
          <w:tcPr>
            <w:tcW w:w="1417" w:type="dxa"/>
          </w:tcPr>
          <w:p w:rsidR="00117ABA" w:rsidRPr="001E33A4" w:rsidRDefault="00117ABA" w:rsidP="002D1696">
            <w:pPr>
              <w:pStyle w:val="ListParagraph"/>
              <w:ind w:left="0" w:firstLine="0"/>
              <w:rPr>
                <w:sz w:val="16"/>
                <w:szCs w:val="20"/>
              </w:rPr>
            </w:pPr>
            <w:r w:rsidRPr="00A15DA0">
              <w:rPr>
                <w:sz w:val="16"/>
                <w:szCs w:val="20"/>
                <w:lang w:val="es-ES_tradnl"/>
              </w:rPr>
              <w:t>Organizador(es)</w:t>
            </w:r>
          </w:p>
        </w:tc>
        <w:tc>
          <w:tcPr>
            <w:tcW w:w="1560" w:type="dxa"/>
          </w:tcPr>
          <w:p w:rsidR="00117ABA" w:rsidRPr="001E33A4" w:rsidRDefault="00117ABA" w:rsidP="002D1696">
            <w:pPr>
              <w:pStyle w:val="ListParagraph"/>
              <w:ind w:left="0" w:firstLine="0"/>
              <w:rPr>
                <w:sz w:val="16"/>
                <w:szCs w:val="20"/>
              </w:rPr>
            </w:pPr>
            <w:r w:rsidRPr="00A15DA0">
              <w:rPr>
                <w:sz w:val="16"/>
                <w:szCs w:val="20"/>
                <w:lang w:val="es-ES_tradnl"/>
              </w:rPr>
              <w:t>Finalidad de la actividad</w:t>
            </w:r>
          </w:p>
        </w:tc>
        <w:tc>
          <w:tcPr>
            <w:tcW w:w="2013" w:type="dxa"/>
          </w:tcPr>
          <w:p w:rsidR="00117ABA" w:rsidRPr="00592F7C" w:rsidRDefault="00117ABA" w:rsidP="002D1696">
            <w:pPr>
              <w:pStyle w:val="ListParagraph"/>
              <w:ind w:left="0" w:firstLine="0"/>
              <w:rPr>
                <w:sz w:val="16"/>
                <w:szCs w:val="20"/>
                <w:lang w:val="es-ES"/>
              </w:rPr>
            </w:pPr>
            <w:r w:rsidRPr="00A15DA0">
              <w:rPr>
                <w:sz w:val="16"/>
                <w:szCs w:val="20"/>
                <w:lang w:val="es-ES_tradnl"/>
              </w:rPr>
              <w:t>Países/organizaciones participantes (número de participantes en cada caso)</w:t>
            </w:r>
          </w:p>
        </w:tc>
      </w:tr>
      <w:tr w:rsidR="00117ABA" w:rsidRPr="00592F7C" w:rsidTr="000540A6">
        <w:tc>
          <w:tcPr>
            <w:tcW w:w="1588" w:type="dxa"/>
          </w:tcPr>
          <w:p w:rsidR="00117ABA" w:rsidRPr="00592F7C" w:rsidRDefault="00117ABA" w:rsidP="002D1696">
            <w:pPr>
              <w:pStyle w:val="ListParagraph"/>
              <w:ind w:left="0" w:firstLine="0"/>
              <w:rPr>
                <w:sz w:val="16"/>
                <w:lang w:val="es-ES"/>
              </w:rPr>
            </w:pPr>
            <w:r w:rsidRPr="00A15DA0">
              <w:rPr>
                <w:sz w:val="16"/>
                <w:lang w:val="es-ES_tradnl"/>
              </w:rPr>
              <w:t>Introducción a la Ley de Derechos de Obtentor y la Ley de Fitomejoramiento</w:t>
            </w:r>
          </w:p>
        </w:tc>
        <w:tc>
          <w:tcPr>
            <w:tcW w:w="1418" w:type="dxa"/>
          </w:tcPr>
          <w:p w:rsidR="00117ABA" w:rsidRPr="001E33A4" w:rsidRDefault="00117ABA" w:rsidP="002D1696">
            <w:pPr>
              <w:pStyle w:val="ListParagraph"/>
              <w:ind w:left="0" w:firstLine="0"/>
              <w:rPr>
                <w:sz w:val="16"/>
              </w:rPr>
            </w:pPr>
            <w:r w:rsidRPr="00A15DA0">
              <w:rPr>
                <w:sz w:val="16"/>
                <w:lang w:val="es-ES_tradnl"/>
              </w:rPr>
              <w:t>19 de septiembre de 2019</w:t>
            </w:r>
          </w:p>
        </w:tc>
        <w:tc>
          <w:tcPr>
            <w:tcW w:w="1247" w:type="dxa"/>
          </w:tcPr>
          <w:p w:rsidR="00117ABA" w:rsidRPr="00592F7C" w:rsidRDefault="00117ABA" w:rsidP="002D1696">
            <w:pPr>
              <w:pStyle w:val="ListParagraph"/>
              <w:ind w:left="0" w:firstLine="0"/>
              <w:rPr>
                <w:sz w:val="16"/>
                <w:lang w:val="es-ES"/>
              </w:rPr>
            </w:pPr>
            <w:r w:rsidRPr="00A15DA0">
              <w:rPr>
                <w:sz w:val="16"/>
                <w:lang w:val="es-ES_tradnl"/>
              </w:rPr>
              <w:t xml:space="preserve">Estación de ensayo de semillas de </w:t>
            </w:r>
            <w:proofErr w:type="spellStart"/>
            <w:r w:rsidRPr="00A15DA0">
              <w:rPr>
                <w:sz w:val="16"/>
                <w:lang w:val="es-ES_tradnl"/>
              </w:rPr>
              <w:t>Roodeplaat</w:t>
            </w:r>
            <w:proofErr w:type="spellEnd"/>
          </w:p>
        </w:tc>
        <w:tc>
          <w:tcPr>
            <w:tcW w:w="1417" w:type="dxa"/>
          </w:tcPr>
          <w:p w:rsidR="00117ABA" w:rsidRPr="00592F7C" w:rsidRDefault="00117ABA" w:rsidP="002D1696">
            <w:pPr>
              <w:pStyle w:val="ListParagraph"/>
              <w:ind w:left="0" w:firstLine="0"/>
              <w:rPr>
                <w:sz w:val="16"/>
                <w:lang w:val="es-ES"/>
              </w:rPr>
            </w:pPr>
            <w:r w:rsidRPr="00A15DA0">
              <w:rPr>
                <w:sz w:val="16"/>
                <w:lang w:val="es-ES_tradnl"/>
              </w:rPr>
              <w:t>Sr. </w:t>
            </w:r>
            <w:proofErr w:type="spellStart"/>
            <w:r w:rsidRPr="00A15DA0">
              <w:rPr>
                <w:sz w:val="16"/>
                <w:lang w:val="es-ES_tradnl"/>
              </w:rPr>
              <w:t>Khetani</w:t>
            </w:r>
            <w:proofErr w:type="spellEnd"/>
            <w:r w:rsidRPr="00A15DA0">
              <w:rPr>
                <w:sz w:val="16"/>
                <w:lang w:val="es-ES_tradnl"/>
              </w:rPr>
              <w:t xml:space="preserve"> </w:t>
            </w:r>
            <w:proofErr w:type="spellStart"/>
            <w:r w:rsidRPr="00A15DA0">
              <w:rPr>
                <w:sz w:val="16"/>
                <w:lang w:val="es-ES_tradnl"/>
              </w:rPr>
              <w:t>Mhlembe</w:t>
            </w:r>
            <w:proofErr w:type="spellEnd"/>
            <w:r w:rsidRPr="00A15DA0">
              <w:rPr>
                <w:sz w:val="16"/>
                <w:lang w:val="es-ES_tradnl"/>
              </w:rPr>
              <w:t>, de la Universidad de Limpopo</w:t>
            </w:r>
          </w:p>
        </w:tc>
        <w:tc>
          <w:tcPr>
            <w:tcW w:w="1560" w:type="dxa"/>
          </w:tcPr>
          <w:p w:rsidR="00117ABA" w:rsidRPr="00592F7C" w:rsidRDefault="00117ABA" w:rsidP="002D1696">
            <w:pPr>
              <w:pStyle w:val="ListParagraph"/>
              <w:ind w:left="0" w:firstLine="0"/>
              <w:rPr>
                <w:sz w:val="16"/>
                <w:lang w:val="es-ES"/>
              </w:rPr>
            </w:pPr>
            <w:r w:rsidRPr="00A15DA0">
              <w:rPr>
                <w:sz w:val="16"/>
                <w:lang w:val="es-ES_tradnl"/>
              </w:rPr>
              <w:t>Ofrecer un panorama general de los derechos de obtentor, las listas de variedades y la certificación y el ensayo de semillas</w:t>
            </w:r>
            <w:r w:rsidRPr="00592F7C">
              <w:rPr>
                <w:sz w:val="16"/>
                <w:lang w:val="es-ES"/>
              </w:rPr>
              <w:t xml:space="preserve"> </w:t>
            </w:r>
          </w:p>
        </w:tc>
        <w:tc>
          <w:tcPr>
            <w:tcW w:w="2013" w:type="dxa"/>
          </w:tcPr>
          <w:p w:rsidR="00117ABA" w:rsidRPr="00592F7C" w:rsidRDefault="00117ABA" w:rsidP="002D1696">
            <w:pPr>
              <w:pStyle w:val="ListParagraph"/>
              <w:ind w:left="0" w:firstLine="0"/>
              <w:rPr>
                <w:sz w:val="16"/>
                <w:lang w:val="es-ES"/>
              </w:rPr>
            </w:pPr>
            <w:r w:rsidRPr="00A15DA0">
              <w:rPr>
                <w:sz w:val="16"/>
                <w:lang w:val="es-ES_tradnl"/>
              </w:rPr>
              <w:t>Unos 40 estudiantes de fitomejoramiento de la Universidad de Limpopo</w:t>
            </w:r>
          </w:p>
        </w:tc>
      </w:tr>
    </w:tbl>
    <w:p w:rsidR="00117ABA" w:rsidRPr="00592F7C" w:rsidRDefault="00117ABA" w:rsidP="00117ABA">
      <w:pPr>
        <w:pStyle w:val="ListParagraph"/>
        <w:ind w:left="709" w:hanging="709"/>
        <w:jc w:val="both"/>
        <w:rPr>
          <w:lang w:val="es-ES"/>
        </w:rPr>
      </w:pPr>
    </w:p>
    <w:p w:rsidR="00117ABA" w:rsidRPr="00592F7C" w:rsidRDefault="00117ABA" w:rsidP="00117ABA">
      <w:pPr>
        <w:pStyle w:val="ListParagraph"/>
        <w:ind w:left="709" w:hanging="709"/>
        <w:jc w:val="both"/>
        <w:rPr>
          <w:lang w:val="es-ES"/>
        </w:rPr>
      </w:pPr>
    </w:p>
    <w:p w:rsidR="00117ABA" w:rsidRPr="00592F7C" w:rsidRDefault="00117ABA" w:rsidP="00117ABA">
      <w:pPr>
        <w:rPr>
          <w:lang w:val="es-ES"/>
        </w:rPr>
      </w:pPr>
      <w:r w:rsidRPr="00A15DA0">
        <w:t>II.</w:t>
      </w:r>
      <w:r w:rsidRPr="00592F7C">
        <w:rPr>
          <w:lang w:val="es-ES"/>
        </w:rPr>
        <w:tab/>
      </w:r>
      <w:r w:rsidRPr="00A15DA0">
        <w:t>OTRAS NOVEDADES DE INTERÉS PARA LA UPOV</w:t>
      </w:r>
    </w:p>
    <w:p w:rsidR="00117ABA" w:rsidRPr="00592F7C" w:rsidRDefault="00117ABA" w:rsidP="00117ABA">
      <w:pPr>
        <w:pStyle w:val="ListParagraph"/>
        <w:ind w:left="709" w:hanging="709"/>
        <w:jc w:val="both"/>
        <w:rPr>
          <w:b/>
          <w:lang w:val="es-ES"/>
        </w:rPr>
      </w:pPr>
    </w:p>
    <w:p w:rsidR="00117ABA" w:rsidRPr="00592F7C" w:rsidRDefault="00117ABA" w:rsidP="00117ABA">
      <w:pPr>
        <w:pStyle w:val="ListParagraph"/>
        <w:ind w:left="709" w:hanging="709"/>
        <w:jc w:val="both"/>
        <w:rPr>
          <w:lang w:val="es-ES"/>
        </w:rPr>
      </w:pPr>
      <w:r w:rsidRPr="00A15DA0">
        <w:rPr>
          <w:lang w:val="es-ES_tradnl"/>
        </w:rPr>
        <w:t>Ninguna reseñable.</w:t>
      </w:r>
    </w:p>
    <w:p w:rsidR="00117ABA" w:rsidRPr="00592F7C" w:rsidRDefault="00117ABA" w:rsidP="00117ABA">
      <w:pPr>
        <w:rPr>
          <w:lang w:val="es-ES"/>
        </w:rPr>
      </w:pPr>
    </w:p>
    <w:p w:rsidR="0078167F" w:rsidRDefault="0078167F" w:rsidP="0078167F">
      <w:pPr>
        <w:jc w:val="left"/>
      </w:pPr>
    </w:p>
    <w:p w:rsidR="0078167F" w:rsidRDefault="00E80B45" w:rsidP="00117ABA">
      <w:pPr>
        <w:jc w:val="right"/>
      </w:pPr>
      <w:r>
        <w:t>[Sigue el Anexo</w:t>
      </w:r>
      <w:r w:rsidR="0078167F">
        <w:t xml:space="preserve"> II</w:t>
      </w:r>
      <w:r>
        <w:t>]</w:t>
      </w:r>
    </w:p>
    <w:p w:rsidR="0078167F" w:rsidRDefault="0078167F" w:rsidP="0078167F">
      <w:pPr>
        <w:jc w:val="left"/>
        <w:sectPr w:rsidR="0078167F" w:rsidSect="00117ABA">
          <w:headerReference w:type="default" r:id="rId10"/>
          <w:pgSz w:w="11907" w:h="16840" w:code="9"/>
          <w:pgMar w:top="510" w:right="1134" w:bottom="709" w:left="1134" w:header="510" w:footer="680" w:gutter="0"/>
          <w:pgNumType w:start="1"/>
          <w:cols w:space="720"/>
          <w:titlePg/>
        </w:sectPr>
      </w:pPr>
    </w:p>
    <w:p w:rsidR="0078167F" w:rsidRPr="0075031D" w:rsidRDefault="0078167F" w:rsidP="0078167F">
      <w:pPr>
        <w:jc w:val="center"/>
      </w:pPr>
      <w:r>
        <w:lastRenderedPageBreak/>
        <w:t>C/54/INF/4</w:t>
      </w:r>
    </w:p>
    <w:p w:rsidR="0078167F" w:rsidRPr="0075031D" w:rsidRDefault="0078167F" w:rsidP="0078167F">
      <w:pPr>
        <w:jc w:val="center"/>
      </w:pPr>
    </w:p>
    <w:p w:rsidR="0078167F" w:rsidRPr="0075031D" w:rsidRDefault="00E80B45" w:rsidP="0078167F">
      <w:pPr>
        <w:jc w:val="center"/>
      </w:pPr>
      <w:r>
        <w:t>ANEXO</w:t>
      </w:r>
      <w:r w:rsidR="0078167F" w:rsidRPr="0075031D">
        <w:t xml:space="preserve"> I</w:t>
      </w:r>
      <w:r w:rsidR="0078167F">
        <w:t>I</w:t>
      </w:r>
    </w:p>
    <w:p w:rsidR="0078167F" w:rsidRPr="0075031D" w:rsidRDefault="0078167F" w:rsidP="0078167F">
      <w:pPr>
        <w:jc w:val="center"/>
      </w:pPr>
    </w:p>
    <w:p w:rsidR="0078167F" w:rsidRDefault="0078167F" w:rsidP="0078167F">
      <w:pPr>
        <w:jc w:val="center"/>
      </w:pPr>
    </w:p>
    <w:p w:rsidR="006F2E7F" w:rsidRPr="00A067BD" w:rsidRDefault="006F2E7F" w:rsidP="006F2E7F">
      <w:pPr>
        <w:jc w:val="center"/>
        <w:rPr>
          <w:lang w:val="es-ES"/>
        </w:rPr>
      </w:pPr>
      <w:r w:rsidRPr="00265233">
        <w:t>ALEMANIA</w:t>
      </w:r>
    </w:p>
    <w:p w:rsidR="006F2E7F" w:rsidRPr="00A067BD" w:rsidRDefault="006F2E7F" w:rsidP="006F2E7F">
      <w:pPr>
        <w:rPr>
          <w:lang w:val="es-ES"/>
        </w:rPr>
      </w:pPr>
    </w:p>
    <w:p w:rsidR="006F2E7F" w:rsidRPr="00A067BD" w:rsidRDefault="006F2E7F" w:rsidP="006F2E7F">
      <w:pPr>
        <w:rPr>
          <w:lang w:val="es-ES"/>
        </w:rPr>
      </w:pPr>
    </w:p>
    <w:p w:rsidR="006F2E7F" w:rsidRPr="00A067BD" w:rsidRDefault="006F2E7F" w:rsidP="006F2E7F">
      <w:pPr>
        <w:rPr>
          <w:lang w:val="es-ES"/>
        </w:rPr>
      </w:pPr>
      <w:r w:rsidRPr="00A067BD">
        <w:rPr>
          <w:lang w:val="es-ES"/>
        </w:rPr>
        <w:t>I.</w:t>
      </w:r>
      <w:r w:rsidRPr="00A067BD">
        <w:rPr>
          <w:lang w:val="es-ES"/>
        </w:rPr>
        <w:tab/>
      </w:r>
      <w:r w:rsidRPr="00265233">
        <w:t>PROTECCIÓN DE LAS OBTENCIONES VEGETALES</w:t>
      </w:r>
    </w:p>
    <w:p w:rsidR="006F2E7F" w:rsidRPr="00A067BD" w:rsidRDefault="006F2E7F" w:rsidP="006F2E7F">
      <w:pPr>
        <w:rPr>
          <w:lang w:val="es-ES"/>
        </w:rPr>
      </w:pPr>
    </w:p>
    <w:p w:rsidR="006F2E7F" w:rsidRPr="00A067BD" w:rsidRDefault="006F2E7F" w:rsidP="006F2E7F">
      <w:pPr>
        <w:rPr>
          <w:lang w:val="es-ES"/>
        </w:rPr>
      </w:pPr>
      <w:r w:rsidRPr="00A067BD">
        <w:rPr>
          <w:lang w:val="es-ES"/>
        </w:rPr>
        <w:t>1.</w:t>
      </w:r>
      <w:r w:rsidRPr="00A067BD">
        <w:rPr>
          <w:lang w:val="es-ES"/>
        </w:rPr>
        <w:tab/>
      </w:r>
      <w:r w:rsidRPr="00265233">
        <w:rPr>
          <w:u w:val="single"/>
        </w:rPr>
        <w:t>Situación en el ámbito legislativo</w:t>
      </w:r>
    </w:p>
    <w:p w:rsidR="006F2E7F" w:rsidRPr="00A067BD" w:rsidRDefault="006F2E7F" w:rsidP="006F2E7F">
      <w:pPr>
        <w:rPr>
          <w:lang w:val="es-ES"/>
        </w:rPr>
      </w:pPr>
    </w:p>
    <w:p w:rsidR="006F2E7F" w:rsidRPr="00A067BD" w:rsidRDefault="006F2E7F" w:rsidP="006F2E7F">
      <w:pPr>
        <w:rPr>
          <w:lang w:val="es-ES"/>
        </w:rPr>
      </w:pPr>
      <w:r w:rsidRPr="00265233">
        <w:t>No hay novedades reseñables.</w:t>
      </w:r>
    </w:p>
    <w:p w:rsidR="006F2E7F" w:rsidRPr="00A067BD" w:rsidRDefault="006F2E7F" w:rsidP="006F2E7F">
      <w:pPr>
        <w:rPr>
          <w:lang w:val="es-ES"/>
        </w:rPr>
      </w:pPr>
    </w:p>
    <w:p w:rsidR="006F2E7F" w:rsidRPr="00A067BD" w:rsidRDefault="006F2E7F" w:rsidP="006F2E7F">
      <w:pPr>
        <w:rPr>
          <w:lang w:val="es-ES"/>
        </w:rPr>
      </w:pPr>
    </w:p>
    <w:p w:rsidR="006F2E7F" w:rsidRPr="0068282C" w:rsidRDefault="006F2E7F" w:rsidP="006F2E7F">
      <w:pPr>
        <w:rPr>
          <w:u w:val="single"/>
          <w:lang w:val="en-US"/>
        </w:rPr>
      </w:pPr>
      <w:r w:rsidRPr="0068282C">
        <w:rPr>
          <w:lang w:val="en-US"/>
        </w:rPr>
        <w:t>2.</w:t>
      </w:r>
      <w:r w:rsidRPr="0068282C">
        <w:rPr>
          <w:lang w:val="en-US"/>
        </w:rPr>
        <w:tab/>
      </w:r>
      <w:r w:rsidRPr="00265233">
        <w:rPr>
          <w:u w:val="single"/>
        </w:rPr>
        <w:t>Cooperación en el examen</w:t>
      </w:r>
    </w:p>
    <w:p w:rsidR="006F2E7F" w:rsidRPr="0068282C" w:rsidRDefault="006F2E7F" w:rsidP="006F2E7F">
      <w:pPr>
        <w:rPr>
          <w:lang w:val="en-US"/>
        </w:rPr>
      </w:pPr>
    </w:p>
    <w:p w:rsidR="006F2E7F" w:rsidRPr="00A067BD" w:rsidRDefault="006F2E7F" w:rsidP="006F2E7F">
      <w:pPr>
        <w:pStyle w:val="ListParagraph"/>
        <w:numPr>
          <w:ilvl w:val="0"/>
          <w:numId w:val="2"/>
        </w:numPr>
        <w:ind w:left="1134" w:hanging="567"/>
        <w:jc w:val="both"/>
        <w:rPr>
          <w:lang w:val="es-ES"/>
        </w:rPr>
      </w:pPr>
      <w:r w:rsidRPr="00265233">
        <w:rPr>
          <w:lang w:val="es-ES_tradnl"/>
        </w:rPr>
        <w:t>Agosto de 2019:</w:t>
      </w:r>
      <w:r w:rsidRPr="00A067BD">
        <w:rPr>
          <w:lang w:val="es-ES"/>
        </w:rPr>
        <w:t xml:space="preserve"> </w:t>
      </w:r>
      <w:r w:rsidRPr="00265233">
        <w:rPr>
          <w:lang w:val="es-ES_tradnl"/>
        </w:rPr>
        <w:t xml:space="preserve">Intercambio de experiencias y debate sobre las directrices de la UPOV para el frambueso en </w:t>
      </w:r>
      <w:proofErr w:type="spellStart"/>
      <w:r w:rsidRPr="00AB535F">
        <w:rPr>
          <w:lang w:val="es-ES_tradnl"/>
        </w:rPr>
        <w:t>Masłowice</w:t>
      </w:r>
      <w:proofErr w:type="spellEnd"/>
      <w:r w:rsidRPr="00265233">
        <w:rPr>
          <w:lang w:val="es-ES_tradnl"/>
        </w:rPr>
        <w:t xml:space="preserve"> (Polonia) (cooperación bilateral).</w:t>
      </w:r>
    </w:p>
    <w:p w:rsidR="006F2E7F" w:rsidRPr="00A067BD" w:rsidRDefault="006F2E7F" w:rsidP="006F2E7F">
      <w:pPr>
        <w:rPr>
          <w:lang w:val="es-ES"/>
        </w:rPr>
      </w:pPr>
    </w:p>
    <w:p w:rsidR="006F2E7F" w:rsidRPr="00A067BD" w:rsidRDefault="006F2E7F" w:rsidP="006F2E7F">
      <w:pPr>
        <w:pStyle w:val="ListParagraph"/>
        <w:numPr>
          <w:ilvl w:val="0"/>
          <w:numId w:val="2"/>
        </w:numPr>
        <w:ind w:left="1134" w:hanging="567"/>
        <w:jc w:val="both"/>
        <w:rPr>
          <w:lang w:val="es-ES"/>
        </w:rPr>
      </w:pPr>
      <w:r w:rsidRPr="00265233">
        <w:rPr>
          <w:lang w:val="es-ES_tradnl"/>
        </w:rPr>
        <w:t>Septiembre de 2019:</w:t>
      </w:r>
      <w:r w:rsidRPr="00A067BD">
        <w:rPr>
          <w:lang w:val="es-ES"/>
        </w:rPr>
        <w:t xml:space="preserve"> </w:t>
      </w:r>
      <w:r w:rsidRPr="00265233">
        <w:rPr>
          <w:lang w:val="es-ES_tradnl"/>
        </w:rPr>
        <w:t xml:space="preserve">Intercambio de información respecto del examen DHE de las plantas hortícolas y las gramíneas en Brion y </w:t>
      </w:r>
      <w:proofErr w:type="spellStart"/>
      <w:r w:rsidRPr="00265233">
        <w:rPr>
          <w:lang w:val="es-ES_tradnl"/>
        </w:rPr>
        <w:t>Anjouère</w:t>
      </w:r>
      <w:proofErr w:type="spellEnd"/>
      <w:r w:rsidRPr="00265233">
        <w:rPr>
          <w:lang w:val="es-ES_tradnl"/>
        </w:rPr>
        <w:t xml:space="preserve"> (Francia) (cooperación bilateral).</w:t>
      </w:r>
    </w:p>
    <w:p w:rsidR="006F2E7F" w:rsidRPr="00A067BD" w:rsidRDefault="006F2E7F" w:rsidP="006F2E7F">
      <w:pPr>
        <w:rPr>
          <w:lang w:val="es-ES"/>
        </w:rPr>
      </w:pPr>
    </w:p>
    <w:p w:rsidR="006F2E7F" w:rsidRPr="00A067BD" w:rsidRDefault="006F2E7F" w:rsidP="006F2E7F">
      <w:pPr>
        <w:rPr>
          <w:lang w:val="es-ES"/>
        </w:rPr>
      </w:pPr>
    </w:p>
    <w:p w:rsidR="006F2E7F" w:rsidRPr="00A067BD" w:rsidRDefault="006F2E7F" w:rsidP="006F2E7F">
      <w:pPr>
        <w:rPr>
          <w:u w:val="single"/>
          <w:lang w:val="es-ES"/>
        </w:rPr>
      </w:pPr>
      <w:r w:rsidRPr="00A067BD">
        <w:rPr>
          <w:lang w:val="es-ES"/>
        </w:rPr>
        <w:t>3.</w:t>
      </w:r>
      <w:r w:rsidRPr="00A067BD">
        <w:rPr>
          <w:lang w:val="es-ES"/>
        </w:rPr>
        <w:tab/>
      </w:r>
      <w:r w:rsidRPr="00265233">
        <w:rPr>
          <w:u w:val="single"/>
        </w:rPr>
        <w:t>Situación en el ámbito administrativo</w:t>
      </w:r>
    </w:p>
    <w:p w:rsidR="006F2E7F" w:rsidRPr="00A067BD" w:rsidRDefault="006F2E7F" w:rsidP="006F2E7F">
      <w:pPr>
        <w:rPr>
          <w:lang w:val="es-ES"/>
        </w:rPr>
      </w:pPr>
    </w:p>
    <w:p w:rsidR="006F2E7F" w:rsidRPr="00A067BD" w:rsidRDefault="006F2E7F" w:rsidP="006F2E7F">
      <w:pPr>
        <w:rPr>
          <w:lang w:val="es-ES"/>
        </w:rPr>
      </w:pPr>
      <w:r w:rsidRPr="00265233">
        <w:t>A partir de octubre de 2021, la Oficina Federal de Variedades Vegetales cobrará tasas por todas las actividades de examen de variedades, cuyo importe será equivalente a los gastos ocasionados.</w:t>
      </w:r>
      <w:r w:rsidRPr="00A067BD">
        <w:rPr>
          <w:lang w:val="es-ES"/>
        </w:rPr>
        <w:t xml:space="preserve"> </w:t>
      </w:r>
      <w:r w:rsidRPr="00265233">
        <w:t>Las excepciones a la plena recuperación de los costos deberán estar debidamente fundamentadas y justificadas.</w:t>
      </w:r>
    </w:p>
    <w:p w:rsidR="006F2E7F" w:rsidRPr="00A067BD" w:rsidRDefault="006F2E7F" w:rsidP="006F2E7F">
      <w:pPr>
        <w:rPr>
          <w:lang w:val="es-ES"/>
        </w:rPr>
      </w:pPr>
    </w:p>
    <w:p w:rsidR="006F2E7F" w:rsidRPr="00A067BD" w:rsidRDefault="006F2E7F" w:rsidP="006F2E7F">
      <w:pPr>
        <w:rPr>
          <w:lang w:val="es-ES"/>
        </w:rPr>
      </w:pPr>
    </w:p>
    <w:p w:rsidR="006F2E7F" w:rsidRPr="00A067BD" w:rsidRDefault="006F2E7F" w:rsidP="006F2E7F">
      <w:pPr>
        <w:rPr>
          <w:u w:val="single"/>
          <w:lang w:val="es-ES"/>
        </w:rPr>
      </w:pPr>
      <w:r w:rsidRPr="00A067BD">
        <w:rPr>
          <w:lang w:val="es-ES"/>
        </w:rPr>
        <w:t>4.</w:t>
      </w:r>
      <w:r w:rsidRPr="00A067BD">
        <w:rPr>
          <w:lang w:val="es-ES"/>
        </w:rPr>
        <w:tab/>
      </w:r>
      <w:r w:rsidRPr="00265233">
        <w:rPr>
          <w:u w:val="single"/>
        </w:rPr>
        <w:t>Situación en el ámbito técnico</w:t>
      </w:r>
    </w:p>
    <w:p w:rsidR="006F2E7F" w:rsidRPr="00A067BD" w:rsidRDefault="006F2E7F" w:rsidP="006F2E7F">
      <w:pPr>
        <w:rPr>
          <w:lang w:val="es-ES"/>
        </w:rPr>
      </w:pPr>
    </w:p>
    <w:p w:rsidR="006F2E7F" w:rsidRPr="00A067BD" w:rsidRDefault="006F2E7F" w:rsidP="006F2E7F">
      <w:pPr>
        <w:rPr>
          <w:lang w:val="es-ES"/>
        </w:rPr>
      </w:pPr>
      <w:r w:rsidRPr="00265233">
        <w:t>La Oficina Federal de Variedades Vegetales está participando en proyectos de investigación que tienen por objeto mejorar o facilitar la observación de los caracteres.</w:t>
      </w:r>
    </w:p>
    <w:p w:rsidR="006F2E7F" w:rsidRPr="00A067BD" w:rsidRDefault="006F2E7F" w:rsidP="006F2E7F">
      <w:pPr>
        <w:rPr>
          <w:lang w:val="es-ES"/>
        </w:rPr>
      </w:pPr>
    </w:p>
    <w:p w:rsidR="006F2E7F" w:rsidRPr="00A067BD" w:rsidRDefault="006F2E7F" w:rsidP="006F2E7F">
      <w:pPr>
        <w:rPr>
          <w:lang w:val="es-ES"/>
        </w:rPr>
      </w:pPr>
      <w:r w:rsidRPr="00265233">
        <w:t>El uso cada vez más extendido de maquinaria en el examen ha permitido aumentar la precisión y reducir la carga de trabajo gracias al apoyo por satélite, los sensores de control y el diseño optimizado de instrumentos.</w:t>
      </w:r>
    </w:p>
    <w:p w:rsidR="006F2E7F" w:rsidRPr="00A067BD" w:rsidRDefault="006F2E7F" w:rsidP="006F2E7F">
      <w:pPr>
        <w:rPr>
          <w:lang w:val="es-ES"/>
        </w:rPr>
      </w:pPr>
    </w:p>
    <w:p w:rsidR="006F2E7F" w:rsidRPr="00A067BD" w:rsidRDefault="006F2E7F" w:rsidP="006F2E7F">
      <w:pPr>
        <w:rPr>
          <w:lang w:val="es-ES"/>
        </w:rPr>
      </w:pPr>
    </w:p>
    <w:p w:rsidR="006F2E7F" w:rsidRPr="00A067BD" w:rsidRDefault="006F2E7F" w:rsidP="006F2E7F">
      <w:pPr>
        <w:rPr>
          <w:u w:val="single"/>
          <w:lang w:val="es-ES"/>
        </w:rPr>
      </w:pPr>
      <w:r w:rsidRPr="00A067BD">
        <w:rPr>
          <w:lang w:val="es-ES"/>
        </w:rPr>
        <w:t>5.</w:t>
      </w:r>
      <w:r w:rsidRPr="00A067BD">
        <w:rPr>
          <w:lang w:val="es-ES"/>
        </w:rPr>
        <w:tab/>
      </w:r>
      <w:r w:rsidRPr="00265233">
        <w:rPr>
          <w:u w:val="single"/>
        </w:rPr>
        <w:t>Actividades para la promoción de las variedades vegetales</w:t>
      </w:r>
    </w:p>
    <w:p w:rsidR="006F2E7F" w:rsidRPr="00A067BD" w:rsidRDefault="006F2E7F" w:rsidP="006F2E7F">
      <w:pPr>
        <w:rPr>
          <w:lang w:val="es-ES"/>
        </w:rPr>
      </w:pPr>
    </w:p>
    <w:p w:rsidR="006F2E7F" w:rsidRPr="00A067BD" w:rsidRDefault="006F2E7F" w:rsidP="006F2E7F">
      <w:pPr>
        <w:pStyle w:val="ListParagraph"/>
        <w:numPr>
          <w:ilvl w:val="0"/>
          <w:numId w:val="2"/>
        </w:numPr>
        <w:spacing w:after="120"/>
        <w:ind w:left="1134" w:hanging="567"/>
        <w:jc w:val="both"/>
        <w:rPr>
          <w:lang w:val="es-ES"/>
        </w:rPr>
      </w:pPr>
      <w:r w:rsidRPr="00265233">
        <w:rPr>
          <w:lang w:val="es-ES_tradnl"/>
        </w:rPr>
        <w:t>Octubre de 2019:</w:t>
      </w:r>
      <w:r w:rsidRPr="00A067BD">
        <w:rPr>
          <w:lang w:val="es-ES"/>
        </w:rPr>
        <w:t xml:space="preserve"> </w:t>
      </w:r>
      <w:r w:rsidRPr="00265233">
        <w:rPr>
          <w:lang w:val="es-ES_tradnl"/>
        </w:rPr>
        <w:t>Participación de la Oficina Federal de Variedades Vegetales en la visita de una delegación del Ministerio Federal de Alimentación y Agricultura a Etiopía.</w:t>
      </w:r>
    </w:p>
    <w:p w:rsidR="006F2E7F" w:rsidRPr="00A067BD" w:rsidRDefault="006F2E7F" w:rsidP="006F2E7F">
      <w:pPr>
        <w:pStyle w:val="ListParagraph"/>
        <w:numPr>
          <w:ilvl w:val="0"/>
          <w:numId w:val="2"/>
        </w:numPr>
        <w:spacing w:after="120"/>
        <w:ind w:left="1134" w:hanging="567"/>
        <w:jc w:val="both"/>
        <w:rPr>
          <w:lang w:val="es-ES"/>
        </w:rPr>
      </w:pPr>
      <w:r w:rsidRPr="00265233">
        <w:rPr>
          <w:lang w:val="es-ES_tradnl"/>
        </w:rPr>
        <w:t>Diciembre de 2019:</w:t>
      </w:r>
      <w:r w:rsidRPr="00A067BD">
        <w:rPr>
          <w:lang w:val="es-ES"/>
        </w:rPr>
        <w:t xml:space="preserve"> </w:t>
      </w:r>
      <w:r w:rsidRPr="00265233">
        <w:rPr>
          <w:lang w:val="es-ES_tradnl"/>
        </w:rPr>
        <w:t>“Taller sobre el control de las variedades vegetales registradas tras la concesión del título de protección y la aplicación de los derechos de obtentor” en Nueva Delhi (India).</w:t>
      </w:r>
    </w:p>
    <w:p w:rsidR="006F2E7F" w:rsidRPr="00A067BD" w:rsidRDefault="006F2E7F" w:rsidP="006F2E7F">
      <w:pPr>
        <w:pStyle w:val="ListParagraph"/>
        <w:numPr>
          <w:ilvl w:val="0"/>
          <w:numId w:val="2"/>
        </w:numPr>
        <w:spacing w:after="120"/>
        <w:ind w:left="1134" w:hanging="567"/>
        <w:jc w:val="both"/>
        <w:rPr>
          <w:lang w:val="es-ES"/>
        </w:rPr>
      </w:pPr>
      <w:r w:rsidRPr="00265233">
        <w:rPr>
          <w:lang w:val="es-ES_tradnl"/>
        </w:rPr>
        <w:t>Febrero de 2020:</w:t>
      </w:r>
      <w:r w:rsidRPr="00A067BD">
        <w:rPr>
          <w:lang w:val="es-ES"/>
        </w:rPr>
        <w:t xml:space="preserve"> </w:t>
      </w:r>
      <w:r w:rsidRPr="00265233">
        <w:rPr>
          <w:lang w:val="es-ES_tradnl"/>
        </w:rPr>
        <w:t xml:space="preserve">Taller sobre el examen DHE de la colza y la mostaza en </w:t>
      </w:r>
      <w:proofErr w:type="spellStart"/>
      <w:r w:rsidRPr="00265233">
        <w:rPr>
          <w:lang w:val="es-ES_tradnl"/>
        </w:rPr>
        <w:t>Bharatpur</w:t>
      </w:r>
      <w:proofErr w:type="spellEnd"/>
      <w:r w:rsidRPr="00265233">
        <w:rPr>
          <w:lang w:val="es-ES_tradnl"/>
        </w:rPr>
        <w:t xml:space="preserve"> (India).</w:t>
      </w:r>
    </w:p>
    <w:p w:rsidR="006F2E7F" w:rsidRPr="00A067BD" w:rsidRDefault="006F2E7F" w:rsidP="006F2E7F">
      <w:pPr>
        <w:pStyle w:val="ListParagraph"/>
        <w:numPr>
          <w:ilvl w:val="0"/>
          <w:numId w:val="2"/>
        </w:numPr>
        <w:spacing w:after="120"/>
        <w:ind w:left="1134" w:hanging="567"/>
        <w:jc w:val="both"/>
        <w:rPr>
          <w:lang w:val="es-ES"/>
        </w:rPr>
      </w:pPr>
      <w:r w:rsidRPr="00265233">
        <w:rPr>
          <w:lang w:val="es-ES_tradnl"/>
        </w:rPr>
        <w:t>Febrero de 2020:</w:t>
      </w:r>
      <w:r w:rsidRPr="00A067BD">
        <w:rPr>
          <w:lang w:val="es-ES"/>
        </w:rPr>
        <w:t xml:space="preserve"> </w:t>
      </w:r>
      <w:r w:rsidRPr="00265233">
        <w:rPr>
          <w:lang w:val="es-ES_tradnl"/>
        </w:rPr>
        <w:t xml:space="preserve">Taller sobre el examen DHE del trigo y la cebada en </w:t>
      </w:r>
      <w:proofErr w:type="spellStart"/>
      <w:r w:rsidRPr="00265233">
        <w:rPr>
          <w:lang w:val="es-ES_tradnl"/>
        </w:rPr>
        <w:t>Karnal</w:t>
      </w:r>
      <w:proofErr w:type="spellEnd"/>
      <w:r w:rsidRPr="00265233">
        <w:rPr>
          <w:lang w:val="es-ES_tradnl"/>
        </w:rPr>
        <w:t xml:space="preserve"> (</w:t>
      </w:r>
      <w:proofErr w:type="spellStart"/>
      <w:r w:rsidRPr="00265233">
        <w:rPr>
          <w:lang w:val="es-ES_tradnl"/>
        </w:rPr>
        <w:t>Haryana</w:t>
      </w:r>
      <w:proofErr w:type="spellEnd"/>
      <w:r w:rsidRPr="00265233">
        <w:rPr>
          <w:lang w:val="es-ES_tradnl"/>
        </w:rPr>
        <w:t>, India).</w:t>
      </w:r>
    </w:p>
    <w:p w:rsidR="006F2E7F" w:rsidRPr="00A067BD" w:rsidRDefault="006F2E7F" w:rsidP="006F2E7F">
      <w:pPr>
        <w:pStyle w:val="ListParagraph"/>
        <w:numPr>
          <w:ilvl w:val="0"/>
          <w:numId w:val="2"/>
        </w:numPr>
        <w:ind w:left="1134" w:hanging="567"/>
        <w:jc w:val="both"/>
        <w:rPr>
          <w:lang w:val="es-ES"/>
        </w:rPr>
      </w:pPr>
      <w:r w:rsidRPr="00265233">
        <w:rPr>
          <w:lang w:val="es-ES_tradnl"/>
        </w:rPr>
        <w:t>Otras actividades programadas, la mayor parte de ellas en el marco del proyecto de cooperación entre la India y Alemania para el desarrollo del sector de las semillas, no pudieron celebrarse debido a la pandemia por coronavirus de 2019.</w:t>
      </w:r>
    </w:p>
    <w:p w:rsidR="006F2E7F" w:rsidRPr="00A067BD" w:rsidRDefault="006F2E7F" w:rsidP="006F2E7F">
      <w:pPr>
        <w:rPr>
          <w:lang w:val="es-ES"/>
        </w:rPr>
      </w:pPr>
    </w:p>
    <w:p w:rsidR="006F2E7F" w:rsidRPr="00A067BD" w:rsidRDefault="006F2E7F" w:rsidP="006F2E7F">
      <w:pPr>
        <w:rPr>
          <w:lang w:val="es-ES"/>
        </w:rPr>
      </w:pPr>
    </w:p>
    <w:p w:rsidR="006F2E7F" w:rsidRPr="00A067BD" w:rsidRDefault="006F2E7F" w:rsidP="006F2E7F">
      <w:pPr>
        <w:rPr>
          <w:lang w:val="es-ES"/>
        </w:rPr>
      </w:pPr>
      <w:r w:rsidRPr="00A067BD">
        <w:rPr>
          <w:lang w:val="es-ES"/>
        </w:rPr>
        <w:t>II.</w:t>
      </w:r>
      <w:r w:rsidRPr="00A067BD">
        <w:rPr>
          <w:lang w:val="es-ES"/>
        </w:rPr>
        <w:tab/>
      </w:r>
      <w:r w:rsidRPr="00265233">
        <w:t>OTRAS NOVEDADES DE INTERÉS PARA LA UPOV</w:t>
      </w:r>
    </w:p>
    <w:p w:rsidR="006F2E7F" w:rsidRPr="00A067BD" w:rsidRDefault="006F2E7F" w:rsidP="006F2E7F">
      <w:pPr>
        <w:rPr>
          <w:lang w:val="es-ES"/>
        </w:rPr>
      </w:pPr>
    </w:p>
    <w:p w:rsidR="006F2E7F" w:rsidRPr="00A067BD" w:rsidRDefault="006F2E7F" w:rsidP="006F2E7F">
      <w:pPr>
        <w:rPr>
          <w:lang w:val="es-ES"/>
        </w:rPr>
      </w:pPr>
      <w:r w:rsidRPr="00265233">
        <w:t>Las condiciones generales para la producción agrícola y hortícola se van complicando progresivamente a consecuencia de los períodos de clima extremo, hoy en día más frecuentes, tempranos y prolongados, a lo que se suma el menor uso de plaguicidas y fertilizantes.</w:t>
      </w:r>
      <w:r w:rsidRPr="00A067BD">
        <w:rPr>
          <w:lang w:val="es-ES"/>
        </w:rPr>
        <w:t xml:space="preserve"> </w:t>
      </w:r>
      <w:r w:rsidRPr="00265233">
        <w:t>Cada vez se concede mayor importancia a las propiedades de resistencia y a la utilización eficiente de los recursos mediante las nuevas variedades.</w:t>
      </w:r>
    </w:p>
    <w:p w:rsidR="006F2E7F" w:rsidRPr="00A067BD" w:rsidRDefault="006F2E7F" w:rsidP="006F2E7F">
      <w:pPr>
        <w:rPr>
          <w:lang w:val="es-ES"/>
        </w:rPr>
      </w:pPr>
    </w:p>
    <w:p w:rsidR="006F2E7F" w:rsidRPr="00A067BD" w:rsidRDefault="006F2E7F" w:rsidP="006F2E7F">
      <w:pPr>
        <w:rPr>
          <w:lang w:val="es-ES"/>
        </w:rPr>
      </w:pPr>
    </w:p>
    <w:p w:rsidR="0078167F" w:rsidRDefault="00E80B45" w:rsidP="006F2E7F">
      <w:pPr>
        <w:jc w:val="right"/>
      </w:pPr>
      <w:r>
        <w:t>[Sigue el Anexo</w:t>
      </w:r>
      <w:r w:rsidR="0078167F">
        <w:t xml:space="preserve"> III</w:t>
      </w:r>
      <w:r>
        <w:t>]</w:t>
      </w:r>
    </w:p>
    <w:p w:rsidR="0078167F" w:rsidRDefault="0078167F" w:rsidP="0078167F">
      <w:pPr>
        <w:jc w:val="left"/>
        <w:sectPr w:rsidR="0078167F" w:rsidSect="002D1696">
          <w:headerReference w:type="default" r:id="rId11"/>
          <w:pgSz w:w="11907" w:h="16840" w:code="9"/>
          <w:pgMar w:top="510" w:right="1134" w:bottom="1134" w:left="1134" w:header="510" w:footer="680" w:gutter="0"/>
          <w:pgNumType w:start="1"/>
          <w:cols w:space="720"/>
          <w:titlePg/>
        </w:sectPr>
      </w:pPr>
    </w:p>
    <w:p w:rsidR="0078167F" w:rsidRPr="0075031D" w:rsidRDefault="0078167F" w:rsidP="0078167F">
      <w:pPr>
        <w:jc w:val="center"/>
      </w:pPr>
      <w:r>
        <w:lastRenderedPageBreak/>
        <w:t>C/54/INF/4</w:t>
      </w:r>
    </w:p>
    <w:p w:rsidR="0078167F" w:rsidRPr="0075031D" w:rsidRDefault="0078167F" w:rsidP="0078167F">
      <w:pPr>
        <w:jc w:val="center"/>
      </w:pPr>
    </w:p>
    <w:p w:rsidR="0078167F" w:rsidRPr="0075031D" w:rsidRDefault="00E80B45" w:rsidP="0078167F">
      <w:pPr>
        <w:jc w:val="center"/>
      </w:pPr>
      <w:r>
        <w:t>ANEXO</w:t>
      </w:r>
      <w:r w:rsidR="0078167F" w:rsidRPr="0075031D">
        <w:t xml:space="preserve"> I</w:t>
      </w:r>
      <w:r w:rsidR="0078167F">
        <w:t>II</w:t>
      </w:r>
    </w:p>
    <w:p w:rsidR="0078167F" w:rsidRPr="0075031D" w:rsidRDefault="0078167F" w:rsidP="0078167F">
      <w:pPr>
        <w:jc w:val="center"/>
      </w:pPr>
    </w:p>
    <w:p w:rsidR="0078167F" w:rsidRDefault="0078167F" w:rsidP="0078167F">
      <w:pPr>
        <w:jc w:val="center"/>
      </w:pPr>
    </w:p>
    <w:p w:rsidR="00785B6C" w:rsidRPr="00592F7C" w:rsidRDefault="00785B6C" w:rsidP="00785B6C">
      <w:pPr>
        <w:jc w:val="center"/>
        <w:rPr>
          <w:lang w:val="es-ES"/>
        </w:rPr>
      </w:pPr>
      <w:r w:rsidRPr="00E10B6C">
        <w:t>BRASIL</w:t>
      </w:r>
    </w:p>
    <w:p w:rsidR="00785B6C" w:rsidRPr="00592F7C" w:rsidRDefault="00785B6C" w:rsidP="00785B6C">
      <w:pPr>
        <w:jc w:val="left"/>
        <w:rPr>
          <w:lang w:val="es-ES"/>
        </w:rPr>
      </w:pPr>
    </w:p>
    <w:p w:rsidR="00785B6C" w:rsidRPr="00592F7C" w:rsidRDefault="00785B6C" w:rsidP="00785B6C">
      <w:pPr>
        <w:jc w:val="left"/>
        <w:rPr>
          <w:lang w:val="es-ES"/>
        </w:rPr>
      </w:pPr>
    </w:p>
    <w:p w:rsidR="00785B6C" w:rsidRPr="00592F7C" w:rsidRDefault="00785B6C" w:rsidP="00785B6C">
      <w:pPr>
        <w:rPr>
          <w:rFonts w:cs="Arial"/>
          <w:lang w:val="es-ES"/>
        </w:rPr>
      </w:pPr>
      <w:r w:rsidRPr="00E10B6C">
        <w:rPr>
          <w:rFonts w:cs="Arial"/>
        </w:rPr>
        <w:t>I.</w:t>
      </w:r>
      <w:r w:rsidRPr="00592F7C">
        <w:rPr>
          <w:rFonts w:cs="Arial"/>
          <w:lang w:val="es-ES"/>
        </w:rPr>
        <w:tab/>
      </w:r>
      <w:r w:rsidRPr="00E10B6C">
        <w:rPr>
          <w:rFonts w:cs="Arial"/>
        </w:rPr>
        <w:t>PROTECCIÓN DE LAS OBTENCIONES VEGETALES</w:t>
      </w:r>
    </w:p>
    <w:p w:rsidR="00785B6C" w:rsidRPr="00592F7C" w:rsidRDefault="00785B6C" w:rsidP="00785B6C">
      <w:pPr>
        <w:rPr>
          <w:rFonts w:cs="Arial"/>
          <w:lang w:val="es-ES"/>
        </w:rPr>
      </w:pPr>
    </w:p>
    <w:p w:rsidR="00785B6C" w:rsidRPr="00A67586" w:rsidRDefault="00785B6C" w:rsidP="00785B6C">
      <w:pPr>
        <w:tabs>
          <w:tab w:val="left" w:pos="426"/>
          <w:tab w:val="left" w:pos="1276"/>
        </w:tabs>
      </w:pPr>
      <w:r w:rsidRPr="00A67586">
        <w:t xml:space="preserve">1. </w:t>
      </w:r>
      <w:r w:rsidRPr="00A67586">
        <w:tab/>
      </w:r>
      <w:r w:rsidRPr="00E10B6C">
        <w:rPr>
          <w:u w:val="single"/>
        </w:rPr>
        <w:t>Situación en el ámbito legislativo</w:t>
      </w:r>
    </w:p>
    <w:p w:rsidR="00785B6C" w:rsidRPr="00A67586" w:rsidRDefault="00785B6C" w:rsidP="00785B6C"/>
    <w:p w:rsidR="00785B6C" w:rsidRPr="00592F7C" w:rsidRDefault="00785B6C" w:rsidP="00785B6C">
      <w:pPr>
        <w:rPr>
          <w:lang w:val="es-ES"/>
        </w:rPr>
      </w:pPr>
      <w:r w:rsidRPr="00A67586">
        <w:tab/>
      </w:r>
      <w:r w:rsidRPr="00592F7C">
        <w:rPr>
          <w:lang w:val="es-ES"/>
        </w:rPr>
        <w:t>1.1</w:t>
      </w:r>
      <w:r w:rsidRPr="00592F7C">
        <w:rPr>
          <w:lang w:val="es-ES"/>
        </w:rPr>
        <w:tab/>
      </w:r>
      <w:r w:rsidRPr="00E10B6C">
        <w:t>Modificaciones de la ley y de los reglamentos</w:t>
      </w:r>
    </w:p>
    <w:p w:rsidR="00785B6C" w:rsidRPr="00592F7C" w:rsidRDefault="00785B6C" w:rsidP="00785B6C">
      <w:pPr>
        <w:rPr>
          <w:lang w:val="es-ES"/>
        </w:rPr>
      </w:pPr>
    </w:p>
    <w:p w:rsidR="00785B6C" w:rsidRPr="00592F7C" w:rsidRDefault="00785B6C" w:rsidP="00785B6C">
      <w:pPr>
        <w:ind w:left="1134"/>
        <w:rPr>
          <w:lang w:val="es-ES"/>
        </w:rPr>
      </w:pPr>
      <w:proofErr w:type="spellStart"/>
      <w:r w:rsidRPr="00E10B6C">
        <w:rPr>
          <w:i/>
        </w:rPr>
        <w:t>Instrução</w:t>
      </w:r>
      <w:proofErr w:type="spellEnd"/>
      <w:r w:rsidRPr="00E10B6C">
        <w:rPr>
          <w:i/>
        </w:rPr>
        <w:t xml:space="preserve"> Normativa </w:t>
      </w:r>
      <w:r w:rsidRPr="00E10B6C">
        <w:t>N.º 13, de 27 de mayo de 2019, mediante la cual se actualizan las tasas de protección de las obtenciones vegetales, que entraron en vigor el 2 de enero de 2020.</w:t>
      </w:r>
    </w:p>
    <w:p w:rsidR="00785B6C" w:rsidRPr="00592F7C" w:rsidRDefault="00785B6C" w:rsidP="00785B6C">
      <w:pPr>
        <w:rPr>
          <w:lang w:val="es-ES"/>
        </w:rPr>
      </w:pPr>
    </w:p>
    <w:p w:rsidR="00785B6C" w:rsidRPr="00592F7C" w:rsidRDefault="00785B6C" w:rsidP="00785B6C">
      <w:pPr>
        <w:rPr>
          <w:lang w:val="es-ES"/>
        </w:rPr>
      </w:pPr>
      <w:r w:rsidRPr="00592F7C">
        <w:rPr>
          <w:lang w:val="es-ES"/>
        </w:rPr>
        <w:tab/>
        <w:t>1.2</w:t>
      </w:r>
      <w:r w:rsidRPr="00592F7C">
        <w:rPr>
          <w:lang w:val="es-ES"/>
        </w:rPr>
        <w:tab/>
      </w:r>
      <w:r w:rsidRPr="00E10B6C">
        <w:t>Extensión de la protección a otros géneros y especies (realizada o prevista)</w:t>
      </w:r>
    </w:p>
    <w:p w:rsidR="00785B6C" w:rsidRPr="00592F7C" w:rsidRDefault="00785B6C" w:rsidP="00785B6C">
      <w:pPr>
        <w:rPr>
          <w:lang w:val="es-ES"/>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6"/>
        <w:gridCol w:w="2126"/>
      </w:tblGrid>
      <w:tr w:rsidR="00785B6C" w:rsidRPr="00D404AB" w:rsidTr="002D1696">
        <w:trPr>
          <w:trHeight w:val="315"/>
        </w:trPr>
        <w:tc>
          <w:tcPr>
            <w:tcW w:w="6516" w:type="dxa"/>
            <w:shd w:val="clear" w:color="auto" w:fill="auto"/>
          </w:tcPr>
          <w:p w:rsidR="00785B6C" w:rsidRPr="00B30EE0" w:rsidRDefault="00785B6C" w:rsidP="002D1696">
            <w:pPr>
              <w:jc w:val="center"/>
              <w:rPr>
                <w:rFonts w:cs="Arial"/>
                <w:b/>
                <w:color w:val="000000"/>
                <w:szCs w:val="18"/>
                <w:lang w:val="pt-BR" w:eastAsia="pt-BR"/>
              </w:rPr>
            </w:pPr>
            <w:r w:rsidRPr="00E10B6C">
              <w:rPr>
                <w:rFonts w:cs="Arial"/>
                <w:b/>
                <w:color w:val="000000"/>
                <w:szCs w:val="18"/>
                <w:lang w:eastAsia="pt-BR"/>
              </w:rPr>
              <w:t>Especies</w:t>
            </w:r>
          </w:p>
        </w:tc>
        <w:tc>
          <w:tcPr>
            <w:tcW w:w="2126" w:type="dxa"/>
            <w:shd w:val="clear" w:color="auto" w:fill="auto"/>
          </w:tcPr>
          <w:p w:rsidR="00785B6C" w:rsidRPr="00B30EE0" w:rsidRDefault="00785B6C" w:rsidP="002D1696">
            <w:pPr>
              <w:jc w:val="center"/>
              <w:rPr>
                <w:rFonts w:cs="Arial"/>
                <w:b/>
                <w:color w:val="000000"/>
                <w:szCs w:val="18"/>
                <w:lang w:val="pt-BR" w:eastAsia="pt-BR"/>
              </w:rPr>
            </w:pPr>
            <w:r w:rsidRPr="00E10B6C">
              <w:rPr>
                <w:rFonts w:cs="Arial"/>
                <w:b/>
                <w:color w:val="000000"/>
                <w:szCs w:val="18"/>
                <w:lang w:eastAsia="pt-BR"/>
              </w:rPr>
              <w:t>Código UPOV</w:t>
            </w:r>
          </w:p>
        </w:tc>
      </w:tr>
      <w:tr w:rsidR="00785B6C" w:rsidRPr="00D404AB" w:rsidTr="002D1696">
        <w:trPr>
          <w:trHeight w:val="315"/>
        </w:trPr>
        <w:tc>
          <w:tcPr>
            <w:tcW w:w="6516" w:type="dxa"/>
            <w:shd w:val="clear" w:color="auto" w:fill="auto"/>
          </w:tcPr>
          <w:p w:rsidR="00785B6C" w:rsidRPr="0051125E" w:rsidRDefault="00785B6C" w:rsidP="002D1696">
            <w:pPr>
              <w:jc w:val="left"/>
              <w:rPr>
                <w:rFonts w:cs="Arial"/>
                <w:dstrike/>
                <w:noProof/>
                <w:color w:val="000000"/>
                <w:szCs w:val="18"/>
                <w:lang w:eastAsia="pt-BR"/>
              </w:rPr>
            </w:pPr>
            <w:r w:rsidRPr="0078099D">
              <w:rPr>
                <w:rFonts w:cs="Arial"/>
                <w:i/>
                <w:noProof/>
                <w:color w:val="000000"/>
                <w:szCs w:val="18"/>
                <w:lang w:eastAsia="pt-BR"/>
              </w:rPr>
              <w:t>Acacia mearnsii</w:t>
            </w:r>
            <w:r w:rsidRPr="0078099D">
              <w:rPr>
                <w:rFonts w:cs="Arial"/>
                <w:noProof/>
                <w:color w:val="000000"/>
                <w:szCs w:val="18"/>
                <w:lang w:eastAsia="pt-BR"/>
              </w:rPr>
              <w:t xml:space="preserve"> De Wild.</w:t>
            </w:r>
          </w:p>
        </w:tc>
        <w:tc>
          <w:tcPr>
            <w:tcW w:w="2126" w:type="dxa"/>
            <w:shd w:val="clear" w:color="auto" w:fill="auto"/>
          </w:tcPr>
          <w:p w:rsidR="00785B6C" w:rsidRPr="0078099D" w:rsidRDefault="00785B6C" w:rsidP="002D1696">
            <w:pPr>
              <w:jc w:val="left"/>
              <w:rPr>
                <w:rFonts w:cs="Arial"/>
                <w:noProof/>
                <w:color w:val="000000"/>
                <w:szCs w:val="18"/>
                <w:lang w:eastAsia="pt-BR"/>
              </w:rPr>
            </w:pPr>
            <w:r w:rsidRPr="0078099D">
              <w:rPr>
                <w:rFonts w:cs="Arial"/>
                <w:noProof/>
                <w:color w:val="000000"/>
                <w:szCs w:val="18"/>
                <w:lang w:eastAsia="pt-BR"/>
              </w:rPr>
              <w:t>ACACI_MEA</w:t>
            </w:r>
          </w:p>
        </w:tc>
      </w:tr>
      <w:tr w:rsidR="00785B6C" w:rsidRPr="00D404AB" w:rsidTr="002D1696">
        <w:trPr>
          <w:trHeight w:val="315"/>
        </w:trPr>
        <w:tc>
          <w:tcPr>
            <w:tcW w:w="6516" w:type="dxa"/>
            <w:shd w:val="clear" w:color="auto" w:fill="auto"/>
            <w:hideMark/>
          </w:tcPr>
          <w:p w:rsidR="00785B6C" w:rsidRPr="0051125E" w:rsidRDefault="00785B6C" w:rsidP="002D1696">
            <w:pPr>
              <w:jc w:val="left"/>
              <w:rPr>
                <w:rFonts w:cs="Arial"/>
                <w:dstrike/>
                <w:noProof/>
                <w:color w:val="000000"/>
                <w:szCs w:val="18"/>
                <w:lang w:eastAsia="pt-BR"/>
              </w:rPr>
            </w:pPr>
            <w:r w:rsidRPr="00932993">
              <w:rPr>
                <w:rFonts w:cs="Arial"/>
                <w:i/>
                <w:noProof/>
                <w:color w:val="000000"/>
                <w:szCs w:val="18"/>
                <w:lang w:val="pt-PT" w:eastAsia="pt-BR"/>
              </w:rPr>
              <w:t>Brassica oleracea</w:t>
            </w:r>
            <w:r w:rsidRPr="00932993">
              <w:rPr>
                <w:rFonts w:cs="Arial"/>
                <w:noProof/>
                <w:color w:val="000000"/>
                <w:szCs w:val="18"/>
                <w:lang w:val="pt-PT" w:eastAsia="pt-BR"/>
              </w:rPr>
              <w:t xml:space="preserve"> L. convar. </w:t>
            </w:r>
            <w:r w:rsidRPr="00932993">
              <w:rPr>
                <w:rFonts w:cs="Arial"/>
                <w:i/>
                <w:noProof/>
                <w:color w:val="000000"/>
                <w:szCs w:val="18"/>
                <w:lang w:val="pt-PT" w:eastAsia="pt-BR"/>
              </w:rPr>
              <w:t>capitata</w:t>
            </w:r>
            <w:r w:rsidRPr="00932993">
              <w:rPr>
                <w:rFonts w:cs="Arial"/>
                <w:noProof/>
                <w:color w:val="000000"/>
                <w:szCs w:val="18"/>
                <w:lang w:val="pt-PT" w:eastAsia="pt-BR"/>
              </w:rPr>
              <w:t xml:space="preserve"> (L.) </w:t>
            </w:r>
            <w:r w:rsidRPr="0078099D">
              <w:rPr>
                <w:rFonts w:cs="Arial"/>
                <w:noProof/>
                <w:color w:val="000000"/>
                <w:szCs w:val="18"/>
                <w:lang w:eastAsia="pt-BR"/>
              </w:rPr>
              <w:t xml:space="preserve">Alef. var. </w:t>
            </w:r>
            <w:r w:rsidRPr="0078099D">
              <w:rPr>
                <w:rFonts w:cs="Arial"/>
                <w:i/>
                <w:noProof/>
                <w:color w:val="000000"/>
                <w:szCs w:val="18"/>
                <w:lang w:eastAsia="pt-BR"/>
              </w:rPr>
              <w:t>alba</w:t>
            </w:r>
            <w:r w:rsidRPr="0078099D">
              <w:rPr>
                <w:rFonts w:cs="Arial"/>
                <w:noProof/>
                <w:color w:val="000000"/>
                <w:szCs w:val="18"/>
                <w:lang w:eastAsia="pt-BR"/>
              </w:rPr>
              <w:t xml:space="preserve"> DC.</w:t>
            </w:r>
          </w:p>
        </w:tc>
        <w:tc>
          <w:tcPr>
            <w:tcW w:w="2126" w:type="dxa"/>
            <w:shd w:val="clear" w:color="auto" w:fill="auto"/>
            <w:hideMark/>
          </w:tcPr>
          <w:p w:rsidR="00785B6C" w:rsidRPr="0078099D" w:rsidRDefault="00785B6C" w:rsidP="002D1696">
            <w:pPr>
              <w:jc w:val="left"/>
              <w:rPr>
                <w:rFonts w:cs="Arial"/>
                <w:noProof/>
                <w:color w:val="000000"/>
                <w:szCs w:val="18"/>
                <w:lang w:eastAsia="pt-BR"/>
              </w:rPr>
            </w:pPr>
            <w:r w:rsidRPr="0078099D">
              <w:rPr>
                <w:rFonts w:cs="Arial"/>
                <w:noProof/>
                <w:color w:val="000000"/>
                <w:szCs w:val="18"/>
                <w:lang w:eastAsia="pt-BR"/>
              </w:rPr>
              <w:t>BRASS_OLE_GCA</w:t>
            </w:r>
          </w:p>
        </w:tc>
      </w:tr>
      <w:tr w:rsidR="00785B6C" w:rsidRPr="00D404AB" w:rsidTr="002D1696">
        <w:trPr>
          <w:trHeight w:val="315"/>
        </w:trPr>
        <w:tc>
          <w:tcPr>
            <w:tcW w:w="6516" w:type="dxa"/>
            <w:shd w:val="clear" w:color="auto" w:fill="auto"/>
            <w:hideMark/>
          </w:tcPr>
          <w:p w:rsidR="00785B6C" w:rsidRPr="00932993" w:rsidRDefault="00785B6C" w:rsidP="002D1696">
            <w:pPr>
              <w:jc w:val="left"/>
              <w:rPr>
                <w:rFonts w:cs="Arial"/>
                <w:dstrike/>
                <w:noProof/>
                <w:color w:val="000000"/>
                <w:szCs w:val="18"/>
                <w:lang w:val="en-US" w:eastAsia="pt-BR"/>
              </w:rPr>
            </w:pPr>
            <w:r w:rsidRPr="00932993">
              <w:rPr>
                <w:rFonts w:cs="Arial"/>
                <w:i/>
                <w:noProof/>
                <w:color w:val="000000"/>
                <w:szCs w:val="18"/>
                <w:lang w:val="pt-PT" w:eastAsia="pt-BR"/>
              </w:rPr>
              <w:t>Brassica oleracea</w:t>
            </w:r>
            <w:r w:rsidRPr="00932993">
              <w:rPr>
                <w:rFonts w:cs="Arial"/>
                <w:noProof/>
                <w:color w:val="000000"/>
                <w:szCs w:val="18"/>
                <w:lang w:val="pt-PT" w:eastAsia="pt-BR"/>
              </w:rPr>
              <w:t xml:space="preserve"> L. convar. </w:t>
            </w:r>
            <w:r w:rsidRPr="00932993">
              <w:rPr>
                <w:rFonts w:cs="Arial"/>
                <w:i/>
                <w:noProof/>
                <w:color w:val="000000"/>
                <w:szCs w:val="18"/>
                <w:lang w:val="pt-PT" w:eastAsia="pt-BR"/>
              </w:rPr>
              <w:t>capitata</w:t>
            </w:r>
            <w:r w:rsidRPr="00932993">
              <w:rPr>
                <w:rFonts w:cs="Arial"/>
                <w:noProof/>
                <w:color w:val="000000"/>
                <w:szCs w:val="18"/>
                <w:lang w:val="pt-PT" w:eastAsia="pt-BR"/>
              </w:rPr>
              <w:t xml:space="preserve"> (L.) </w:t>
            </w:r>
            <w:r w:rsidRPr="00932993">
              <w:rPr>
                <w:rFonts w:cs="Arial"/>
                <w:noProof/>
                <w:color w:val="000000"/>
                <w:szCs w:val="18"/>
                <w:lang w:val="en-US" w:eastAsia="pt-BR"/>
              </w:rPr>
              <w:t xml:space="preserve">Alef. var. </w:t>
            </w:r>
            <w:r w:rsidRPr="00932993">
              <w:rPr>
                <w:rFonts w:cs="Arial"/>
                <w:i/>
                <w:noProof/>
                <w:color w:val="000000"/>
                <w:szCs w:val="18"/>
                <w:lang w:val="en-US" w:eastAsia="pt-BR"/>
              </w:rPr>
              <w:t>rubra</w:t>
            </w:r>
            <w:r w:rsidRPr="00932993">
              <w:rPr>
                <w:rFonts w:cs="Arial"/>
                <w:noProof/>
                <w:color w:val="000000"/>
                <w:szCs w:val="18"/>
                <w:lang w:val="en-US" w:eastAsia="pt-BR"/>
              </w:rPr>
              <w:t xml:space="preserve"> (L.) Thell.</w:t>
            </w:r>
          </w:p>
        </w:tc>
        <w:tc>
          <w:tcPr>
            <w:tcW w:w="2126" w:type="dxa"/>
            <w:shd w:val="clear" w:color="auto" w:fill="auto"/>
            <w:hideMark/>
          </w:tcPr>
          <w:p w:rsidR="00785B6C" w:rsidRPr="0078099D" w:rsidRDefault="00785B6C" w:rsidP="002D1696">
            <w:pPr>
              <w:jc w:val="left"/>
              <w:rPr>
                <w:rFonts w:cs="Arial"/>
                <w:noProof/>
                <w:color w:val="000000"/>
                <w:szCs w:val="18"/>
                <w:lang w:eastAsia="pt-BR"/>
              </w:rPr>
            </w:pPr>
            <w:r w:rsidRPr="0078099D">
              <w:rPr>
                <w:rFonts w:cs="Arial"/>
                <w:noProof/>
                <w:color w:val="000000"/>
                <w:szCs w:val="18"/>
                <w:lang w:eastAsia="pt-BR"/>
              </w:rPr>
              <w:t>BRASS_OLE_GCR</w:t>
            </w:r>
          </w:p>
        </w:tc>
      </w:tr>
      <w:tr w:rsidR="00785B6C" w:rsidRPr="00D404AB" w:rsidTr="002D1696">
        <w:trPr>
          <w:trHeight w:val="315"/>
        </w:trPr>
        <w:tc>
          <w:tcPr>
            <w:tcW w:w="6516" w:type="dxa"/>
            <w:shd w:val="clear" w:color="auto" w:fill="auto"/>
            <w:hideMark/>
          </w:tcPr>
          <w:p w:rsidR="00785B6C" w:rsidRPr="0051125E" w:rsidRDefault="00785B6C" w:rsidP="002D1696">
            <w:pPr>
              <w:jc w:val="left"/>
              <w:rPr>
                <w:rFonts w:cs="Arial"/>
                <w:dstrike/>
                <w:noProof/>
                <w:color w:val="000000"/>
                <w:szCs w:val="18"/>
                <w:lang w:eastAsia="pt-BR"/>
              </w:rPr>
            </w:pPr>
            <w:r w:rsidRPr="00932993">
              <w:rPr>
                <w:rFonts w:cs="Arial"/>
                <w:i/>
                <w:noProof/>
                <w:color w:val="000000"/>
                <w:szCs w:val="18"/>
                <w:lang w:val="pt-PT" w:eastAsia="pt-BR"/>
              </w:rPr>
              <w:t>Brassica oleracea</w:t>
            </w:r>
            <w:r w:rsidRPr="00932993">
              <w:rPr>
                <w:rFonts w:cs="Arial"/>
                <w:noProof/>
                <w:color w:val="000000"/>
                <w:szCs w:val="18"/>
                <w:lang w:val="pt-PT" w:eastAsia="pt-BR"/>
              </w:rPr>
              <w:t xml:space="preserve"> L. convar. </w:t>
            </w:r>
            <w:r w:rsidRPr="00932993">
              <w:rPr>
                <w:rFonts w:cs="Arial"/>
                <w:i/>
                <w:noProof/>
                <w:color w:val="000000"/>
                <w:szCs w:val="18"/>
                <w:lang w:val="pt-PT" w:eastAsia="pt-BR"/>
              </w:rPr>
              <w:t>capitata</w:t>
            </w:r>
            <w:r w:rsidRPr="00932993">
              <w:rPr>
                <w:rFonts w:cs="Arial"/>
                <w:noProof/>
                <w:color w:val="000000"/>
                <w:szCs w:val="18"/>
                <w:lang w:val="pt-PT" w:eastAsia="pt-BR"/>
              </w:rPr>
              <w:t xml:space="preserve"> (L.) </w:t>
            </w:r>
            <w:r w:rsidRPr="0078099D">
              <w:rPr>
                <w:rFonts w:cs="Arial"/>
                <w:noProof/>
                <w:color w:val="000000"/>
                <w:szCs w:val="18"/>
                <w:lang w:eastAsia="pt-BR"/>
              </w:rPr>
              <w:t xml:space="preserve">Alef. var. </w:t>
            </w:r>
            <w:r w:rsidRPr="0078099D">
              <w:rPr>
                <w:rFonts w:cs="Arial"/>
                <w:i/>
                <w:noProof/>
                <w:color w:val="000000"/>
                <w:szCs w:val="18"/>
                <w:lang w:eastAsia="pt-BR"/>
              </w:rPr>
              <w:t>sabauda</w:t>
            </w:r>
            <w:r w:rsidRPr="0078099D">
              <w:rPr>
                <w:rFonts w:cs="Arial"/>
                <w:noProof/>
                <w:color w:val="000000"/>
                <w:szCs w:val="18"/>
                <w:lang w:eastAsia="pt-BR"/>
              </w:rPr>
              <w:t xml:space="preserve"> L.</w:t>
            </w:r>
          </w:p>
        </w:tc>
        <w:tc>
          <w:tcPr>
            <w:tcW w:w="2126" w:type="dxa"/>
            <w:shd w:val="clear" w:color="auto" w:fill="auto"/>
            <w:hideMark/>
          </w:tcPr>
          <w:p w:rsidR="00785B6C" w:rsidRPr="0078099D" w:rsidRDefault="00785B6C" w:rsidP="002D1696">
            <w:pPr>
              <w:jc w:val="left"/>
              <w:rPr>
                <w:rFonts w:cs="Arial"/>
                <w:noProof/>
                <w:color w:val="000000"/>
                <w:szCs w:val="18"/>
                <w:lang w:eastAsia="pt-BR"/>
              </w:rPr>
            </w:pPr>
            <w:r w:rsidRPr="0078099D">
              <w:rPr>
                <w:rFonts w:cs="Arial"/>
                <w:noProof/>
                <w:color w:val="000000"/>
                <w:szCs w:val="18"/>
                <w:lang w:eastAsia="pt-BR"/>
              </w:rPr>
              <w:t>BRASS_OLE_GCS</w:t>
            </w:r>
          </w:p>
        </w:tc>
      </w:tr>
      <w:tr w:rsidR="00785B6C" w:rsidRPr="00D404AB" w:rsidTr="002D1696">
        <w:trPr>
          <w:trHeight w:val="315"/>
        </w:trPr>
        <w:tc>
          <w:tcPr>
            <w:tcW w:w="6516" w:type="dxa"/>
            <w:shd w:val="clear" w:color="auto" w:fill="auto"/>
            <w:hideMark/>
          </w:tcPr>
          <w:p w:rsidR="00785B6C" w:rsidRPr="00592F7C" w:rsidRDefault="00785B6C" w:rsidP="002D1696">
            <w:pPr>
              <w:jc w:val="left"/>
              <w:rPr>
                <w:rFonts w:cs="Arial"/>
                <w:dstrike/>
                <w:noProof/>
                <w:color w:val="000000"/>
                <w:szCs w:val="18"/>
                <w:lang w:val="es-ES" w:eastAsia="pt-BR"/>
              </w:rPr>
            </w:pPr>
            <w:r w:rsidRPr="00592F7C">
              <w:rPr>
                <w:rFonts w:cs="Arial"/>
                <w:i/>
                <w:noProof/>
                <w:color w:val="000000"/>
                <w:szCs w:val="18"/>
                <w:lang w:val="es-ES" w:eastAsia="pt-BR"/>
              </w:rPr>
              <w:t>Calibrachoa</w:t>
            </w:r>
            <w:r w:rsidRPr="00592F7C">
              <w:rPr>
                <w:rFonts w:cs="Arial"/>
                <w:noProof/>
                <w:color w:val="000000"/>
                <w:szCs w:val="18"/>
                <w:lang w:val="es-ES" w:eastAsia="pt-BR"/>
              </w:rPr>
              <w:t xml:space="preserve"> Cerv; </w:t>
            </w:r>
            <w:r w:rsidRPr="00592F7C">
              <w:rPr>
                <w:rFonts w:cs="Arial"/>
                <w:i/>
                <w:noProof/>
                <w:color w:val="000000"/>
                <w:szCs w:val="18"/>
                <w:lang w:val="es-ES" w:eastAsia="pt-BR"/>
              </w:rPr>
              <w:t>Calibrachoa</w:t>
            </w:r>
            <w:r w:rsidRPr="00592F7C">
              <w:rPr>
                <w:rFonts w:cs="Arial"/>
                <w:noProof/>
                <w:color w:val="000000"/>
                <w:szCs w:val="18"/>
                <w:lang w:val="es-ES" w:eastAsia="pt-BR"/>
              </w:rPr>
              <w:t xml:space="preserve"> Lave &amp; Lex.</w:t>
            </w:r>
          </w:p>
        </w:tc>
        <w:tc>
          <w:tcPr>
            <w:tcW w:w="2126" w:type="dxa"/>
            <w:shd w:val="clear" w:color="auto" w:fill="auto"/>
            <w:hideMark/>
          </w:tcPr>
          <w:p w:rsidR="00785B6C" w:rsidRPr="0078099D" w:rsidRDefault="00785B6C" w:rsidP="002D1696">
            <w:pPr>
              <w:jc w:val="left"/>
              <w:rPr>
                <w:rFonts w:cs="Arial"/>
                <w:noProof/>
                <w:color w:val="000000"/>
                <w:szCs w:val="18"/>
                <w:lang w:eastAsia="pt-BR"/>
              </w:rPr>
            </w:pPr>
            <w:r w:rsidRPr="0078099D">
              <w:rPr>
                <w:rFonts w:cs="Arial"/>
                <w:noProof/>
                <w:color w:val="000000"/>
                <w:szCs w:val="18"/>
                <w:lang w:eastAsia="pt-BR"/>
              </w:rPr>
              <w:t>CALIB</w:t>
            </w:r>
          </w:p>
        </w:tc>
      </w:tr>
      <w:tr w:rsidR="00785B6C" w:rsidRPr="00D404AB" w:rsidTr="002D1696">
        <w:trPr>
          <w:trHeight w:val="315"/>
        </w:trPr>
        <w:tc>
          <w:tcPr>
            <w:tcW w:w="6516" w:type="dxa"/>
            <w:shd w:val="clear" w:color="auto" w:fill="auto"/>
            <w:noWrap/>
            <w:hideMark/>
          </w:tcPr>
          <w:p w:rsidR="00785B6C" w:rsidRPr="0051125E" w:rsidRDefault="00785B6C" w:rsidP="002D1696">
            <w:pPr>
              <w:jc w:val="left"/>
              <w:rPr>
                <w:rFonts w:cs="Arial"/>
                <w:dstrike/>
                <w:noProof/>
                <w:color w:val="000000"/>
                <w:szCs w:val="18"/>
                <w:lang w:eastAsia="pt-BR"/>
              </w:rPr>
            </w:pPr>
            <w:r w:rsidRPr="0078099D">
              <w:rPr>
                <w:rFonts w:cs="Arial"/>
                <w:i/>
                <w:noProof/>
                <w:color w:val="000000"/>
                <w:szCs w:val="18"/>
                <w:lang w:eastAsia="pt-BR"/>
              </w:rPr>
              <w:t>Chamelaucium</w:t>
            </w:r>
            <w:r w:rsidRPr="0078099D">
              <w:rPr>
                <w:rFonts w:cs="Arial"/>
                <w:noProof/>
                <w:color w:val="000000"/>
                <w:szCs w:val="18"/>
                <w:lang w:eastAsia="pt-BR"/>
              </w:rPr>
              <w:t xml:space="preserve"> Desf. </w:t>
            </w:r>
          </w:p>
        </w:tc>
        <w:tc>
          <w:tcPr>
            <w:tcW w:w="2126" w:type="dxa"/>
            <w:shd w:val="clear" w:color="auto" w:fill="auto"/>
            <w:noWrap/>
            <w:hideMark/>
          </w:tcPr>
          <w:p w:rsidR="00785B6C" w:rsidRPr="0078099D" w:rsidRDefault="00785B6C" w:rsidP="002D1696">
            <w:pPr>
              <w:jc w:val="left"/>
              <w:rPr>
                <w:rFonts w:cs="Arial"/>
                <w:noProof/>
                <w:color w:val="000000"/>
                <w:szCs w:val="18"/>
                <w:lang w:eastAsia="pt-BR"/>
              </w:rPr>
            </w:pPr>
            <w:r w:rsidRPr="0078099D">
              <w:rPr>
                <w:rFonts w:cs="Arial"/>
                <w:noProof/>
                <w:color w:val="000000"/>
                <w:szCs w:val="18"/>
                <w:lang w:eastAsia="pt-BR"/>
              </w:rPr>
              <w:t>CHMLC</w:t>
            </w:r>
          </w:p>
        </w:tc>
      </w:tr>
      <w:tr w:rsidR="00785B6C" w:rsidRPr="00D404AB" w:rsidTr="002D1696">
        <w:trPr>
          <w:trHeight w:val="315"/>
        </w:trPr>
        <w:tc>
          <w:tcPr>
            <w:tcW w:w="6516" w:type="dxa"/>
            <w:shd w:val="clear" w:color="auto" w:fill="auto"/>
            <w:noWrap/>
            <w:hideMark/>
          </w:tcPr>
          <w:p w:rsidR="00785B6C" w:rsidRPr="0051125E" w:rsidRDefault="00785B6C" w:rsidP="002D1696">
            <w:pPr>
              <w:jc w:val="left"/>
              <w:rPr>
                <w:rFonts w:cs="Arial"/>
                <w:dstrike/>
                <w:noProof/>
                <w:color w:val="000000"/>
                <w:szCs w:val="18"/>
                <w:lang w:eastAsia="pt-BR"/>
              </w:rPr>
            </w:pPr>
            <w:r w:rsidRPr="00932993">
              <w:rPr>
                <w:rFonts w:cs="Arial"/>
                <w:i/>
                <w:noProof/>
                <w:color w:val="000000"/>
                <w:szCs w:val="18"/>
                <w:lang w:val="pt-PT" w:eastAsia="pt-BR"/>
              </w:rPr>
              <w:t>Chamelaucium</w:t>
            </w:r>
            <w:r w:rsidRPr="00932993">
              <w:rPr>
                <w:rFonts w:cs="Arial"/>
                <w:noProof/>
                <w:color w:val="000000"/>
                <w:szCs w:val="18"/>
                <w:lang w:val="pt-PT" w:eastAsia="pt-BR"/>
              </w:rPr>
              <w:t xml:space="preserve"> Desf. × </w:t>
            </w:r>
            <w:r w:rsidRPr="00932993">
              <w:rPr>
                <w:rFonts w:cs="Arial"/>
                <w:i/>
                <w:noProof/>
                <w:color w:val="000000"/>
                <w:szCs w:val="18"/>
                <w:lang w:val="pt-PT" w:eastAsia="pt-BR"/>
              </w:rPr>
              <w:t>Verticordia plumosa</w:t>
            </w:r>
            <w:r w:rsidRPr="00932993">
              <w:rPr>
                <w:rFonts w:cs="Arial"/>
                <w:noProof/>
                <w:color w:val="000000"/>
                <w:szCs w:val="18"/>
                <w:lang w:val="pt-PT" w:eastAsia="pt-BR"/>
              </w:rPr>
              <w:t xml:space="preserve"> Desf. </w:t>
            </w:r>
            <w:r w:rsidRPr="0078099D">
              <w:rPr>
                <w:rFonts w:cs="Arial"/>
                <w:noProof/>
                <w:color w:val="000000"/>
                <w:szCs w:val="18"/>
                <w:lang w:eastAsia="pt-BR"/>
              </w:rPr>
              <w:t>(Druce)</w:t>
            </w:r>
          </w:p>
        </w:tc>
        <w:tc>
          <w:tcPr>
            <w:tcW w:w="2126" w:type="dxa"/>
            <w:shd w:val="clear" w:color="auto" w:fill="auto"/>
            <w:noWrap/>
            <w:hideMark/>
          </w:tcPr>
          <w:p w:rsidR="00785B6C" w:rsidRPr="0078099D" w:rsidRDefault="00785B6C" w:rsidP="002D1696">
            <w:pPr>
              <w:jc w:val="left"/>
              <w:rPr>
                <w:rFonts w:cs="Arial"/>
                <w:noProof/>
                <w:color w:val="000000"/>
                <w:szCs w:val="18"/>
                <w:lang w:eastAsia="pt-BR"/>
              </w:rPr>
            </w:pPr>
            <w:r w:rsidRPr="0078099D">
              <w:rPr>
                <w:rFonts w:cs="Arial"/>
                <w:noProof/>
                <w:color w:val="000000"/>
                <w:szCs w:val="18"/>
                <w:lang w:eastAsia="pt-BR"/>
              </w:rPr>
              <w:t>VECHM</w:t>
            </w:r>
          </w:p>
        </w:tc>
      </w:tr>
      <w:tr w:rsidR="00785B6C" w:rsidRPr="00D404AB" w:rsidTr="002D1696">
        <w:trPr>
          <w:trHeight w:val="315"/>
        </w:trPr>
        <w:tc>
          <w:tcPr>
            <w:tcW w:w="6516" w:type="dxa"/>
            <w:shd w:val="clear" w:color="auto" w:fill="auto"/>
            <w:hideMark/>
          </w:tcPr>
          <w:p w:rsidR="00785B6C" w:rsidRPr="0051125E" w:rsidRDefault="00785B6C" w:rsidP="002D1696">
            <w:pPr>
              <w:jc w:val="left"/>
              <w:rPr>
                <w:rFonts w:cs="Arial"/>
                <w:dstrike/>
                <w:noProof/>
                <w:color w:val="000000"/>
                <w:szCs w:val="18"/>
                <w:lang w:eastAsia="pt-BR"/>
              </w:rPr>
            </w:pPr>
            <w:r w:rsidRPr="0078099D">
              <w:rPr>
                <w:rFonts w:cs="Arial"/>
                <w:i/>
                <w:noProof/>
                <w:color w:val="000000"/>
                <w:szCs w:val="18"/>
                <w:lang w:eastAsia="pt-BR"/>
              </w:rPr>
              <w:t>Ipomoea batatas</w:t>
            </w:r>
            <w:r w:rsidRPr="0078099D">
              <w:rPr>
                <w:rFonts w:cs="Arial"/>
                <w:noProof/>
                <w:color w:val="000000"/>
                <w:szCs w:val="18"/>
                <w:lang w:eastAsia="pt-BR"/>
              </w:rPr>
              <w:t xml:space="preserve"> (L.) Lam.</w:t>
            </w:r>
          </w:p>
        </w:tc>
        <w:tc>
          <w:tcPr>
            <w:tcW w:w="2126" w:type="dxa"/>
            <w:shd w:val="clear" w:color="auto" w:fill="auto"/>
            <w:hideMark/>
          </w:tcPr>
          <w:p w:rsidR="00785B6C" w:rsidRPr="0078099D" w:rsidRDefault="00785B6C" w:rsidP="002D1696">
            <w:pPr>
              <w:jc w:val="left"/>
              <w:rPr>
                <w:rFonts w:cs="Arial"/>
                <w:noProof/>
                <w:color w:val="000000"/>
                <w:szCs w:val="18"/>
                <w:lang w:eastAsia="pt-BR"/>
              </w:rPr>
            </w:pPr>
            <w:r w:rsidRPr="0078099D">
              <w:rPr>
                <w:rFonts w:cs="Arial"/>
                <w:noProof/>
                <w:color w:val="000000"/>
                <w:szCs w:val="18"/>
                <w:lang w:eastAsia="pt-BR"/>
              </w:rPr>
              <w:t>IPOMO_BAT</w:t>
            </w:r>
          </w:p>
        </w:tc>
      </w:tr>
      <w:tr w:rsidR="00785B6C" w:rsidRPr="00D404AB" w:rsidTr="002D1696">
        <w:trPr>
          <w:trHeight w:val="315"/>
        </w:trPr>
        <w:tc>
          <w:tcPr>
            <w:tcW w:w="6516" w:type="dxa"/>
            <w:shd w:val="clear" w:color="auto" w:fill="auto"/>
            <w:noWrap/>
            <w:hideMark/>
          </w:tcPr>
          <w:p w:rsidR="00785B6C" w:rsidRPr="0051125E" w:rsidRDefault="00785B6C" w:rsidP="002D1696">
            <w:pPr>
              <w:jc w:val="left"/>
              <w:rPr>
                <w:rFonts w:cs="Arial"/>
                <w:dstrike/>
                <w:noProof/>
                <w:color w:val="000000"/>
                <w:szCs w:val="18"/>
                <w:lang w:eastAsia="pt-BR"/>
              </w:rPr>
            </w:pPr>
            <w:r w:rsidRPr="0078099D">
              <w:rPr>
                <w:rFonts w:cs="Arial"/>
                <w:i/>
                <w:noProof/>
                <w:color w:val="000000"/>
                <w:szCs w:val="18"/>
                <w:lang w:eastAsia="pt-BR"/>
              </w:rPr>
              <w:t>Lens culinaris</w:t>
            </w:r>
            <w:r w:rsidRPr="0078099D">
              <w:rPr>
                <w:rFonts w:cs="Arial"/>
                <w:noProof/>
                <w:color w:val="000000"/>
                <w:szCs w:val="18"/>
                <w:lang w:eastAsia="pt-BR"/>
              </w:rPr>
              <w:t xml:space="preserve"> Medik.</w:t>
            </w:r>
          </w:p>
        </w:tc>
        <w:tc>
          <w:tcPr>
            <w:tcW w:w="2126" w:type="dxa"/>
            <w:shd w:val="clear" w:color="auto" w:fill="auto"/>
            <w:noWrap/>
            <w:hideMark/>
          </w:tcPr>
          <w:p w:rsidR="00785B6C" w:rsidRPr="0078099D" w:rsidRDefault="00785B6C" w:rsidP="002D1696">
            <w:pPr>
              <w:jc w:val="left"/>
              <w:rPr>
                <w:rFonts w:cs="Arial"/>
                <w:noProof/>
                <w:color w:val="000000"/>
                <w:szCs w:val="18"/>
                <w:lang w:eastAsia="pt-BR"/>
              </w:rPr>
            </w:pPr>
            <w:r w:rsidRPr="0078099D">
              <w:rPr>
                <w:rFonts w:cs="Arial"/>
                <w:noProof/>
                <w:color w:val="000000"/>
                <w:szCs w:val="18"/>
                <w:lang w:eastAsia="pt-BR"/>
              </w:rPr>
              <w:t>LENSS_CUL</w:t>
            </w:r>
          </w:p>
        </w:tc>
      </w:tr>
      <w:tr w:rsidR="00785B6C" w:rsidRPr="00D404AB" w:rsidTr="002D1696">
        <w:trPr>
          <w:trHeight w:val="315"/>
        </w:trPr>
        <w:tc>
          <w:tcPr>
            <w:tcW w:w="6516" w:type="dxa"/>
            <w:shd w:val="clear" w:color="auto" w:fill="auto"/>
            <w:hideMark/>
          </w:tcPr>
          <w:p w:rsidR="00785B6C" w:rsidRPr="0051125E" w:rsidRDefault="00785B6C" w:rsidP="002D1696">
            <w:pPr>
              <w:jc w:val="left"/>
              <w:rPr>
                <w:rFonts w:cs="Arial"/>
                <w:dstrike/>
                <w:noProof/>
                <w:color w:val="000000"/>
                <w:szCs w:val="18"/>
                <w:lang w:eastAsia="pt-BR"/>
              </w:rPr>
            </w:pPr>
            <w:r w:rsidRPr="0078099D">
              <w:rPr>
                <w:rFonts w:cs="Arial"/>
                <w:i/>
                <w:noProof/>
                <w:color w:val="000000"/>
                <w:szCs w:val="18"/>
                <w:lang w:eastAsia="pt-BR"/>
              </w:rPr>
              <w:t>Lobelia alsinoides</w:t>
            </w:r>
            <w:r w:rsidRPr="0078099D">
              <w:rPr>
                <w:rFonts w:cs="Arial"/>
                <w:noProof/>
                <w:color w:val="000000"/>
                <w:szCs w:val="18"/>
                <w:lang w:eastAsia="pt-BR"/>
              </w:rPr>
              <w:t xml:space="preserve"> Lam.</w:t>
            </w:r>
          </w:p>
        </w:tc>
        <w:tc>
          <w:tcPr>
            <w:tcW w:w="2126" w:type="dxa"/>
            <w:shd w:val="clear" w:color="auto" w:fill="auto"/>
            <w:hideMark/>
          </w:tcPr>
          <w:p w:rsidR="00785B6C" w:rsidRPr="0078099D" w:rsidRDefault="00785B6C" w:rsidP="002D1696">
            <w:pPr>
              <w:jc w:val="left"/>
              <w:rPr>
                <w:rFonts w:cs="Arial"/>
                <w:noProof/>
                <w:color w:val="000000"/>
                <w:szCs w:val="18"/>
                <w:lang w:eastAsia="pt-BR"/>
              </w:rPr>
            </w:pPr>
            <w:r w:rsidRPr="0078099D">
              <w:rPr>
                <w:rFonts w:cs="Arial"/>
                <w:noProof/>
                <w:color w:val="000000"/>
                <w:szCs w:val="18"/>
                <w:lang w:eastAsia="pt-BR"/>
              </w:rPr>
              <w:t>LOBEL_ALS</w:t>
            </w:r>
          </w:p>
        </w:tc>
      </w:tr>
      <w:tr w:rsidR="00785B6C" w:rsidRPr="00D404AB" w:rsidTr="002D1696">
        <w:trPr>
          <w:trHeight w:val="315"/>
        </w:trPr>
        <w:tc>
          <w:tcPr>
            <w:tcW w:w="6516" w:type="dxa"/>
            <w:shd w:val="clear" w:color="auto" w:fill="auto"/>
            <w:hideMark/>
          </w:tcPr>
          <w:p w:rsidR="00785B6C" w:rsidRPr="0051125E" w:rsidRDefault="00785B6C" w:rsidP="002D1696">
            <w:pPr>
              <w:jc w:val="left"/>
              <w:rPr>
                <w:rFonts w:cs="Arial"/>
                <w:dstrike/>
                <w:noProof/>
                <w:color w:val="000000"/>
                <w:szCs w:val="18"/>
                <w:lang w:eastAsia="pt-BR"/>
              </w:rPr>
            </w:pPr>
            <w:r w:rsidRPr="0078099D">
              <w:rPr>
                <w:rFonts w:cs="Arial"/>
                <w:i/>
                <w:noProof/>
                <w:color w:val="000000"/>
                <w:szCs w:val="18"/>
                <w:lang w:eastAsia="pt-BR"/>
              </w:rPr>
              <w:t>Lobelia erinus</w:t>
            </w:r>
            <w:r w:rsidRPr="0078099D">
              <w:rPr>
                <w:rFonts w:cs="Arial"/>
                <w:noProof/>
                <w:color w:val="000000"/>
                <w:szCs w:val="18"/>
                <w:lang w:eastAsia="pt-BR"/>
              </w:rPr>
              <w:t xml:space="preserve"> L.</w:t>
            </w:r>
          </w:p>
        </w:tc>
        <w:tc>
          <w:tcPr>
            <w:tcW w:w="2126" w:type="dxa"/>
            <w:shd w:val="clear" w:color="auto" w:fill="auto"/>
            <w:hideMark/>
          </w:tcPr>
          <w:p w:rsidR="00785B6C" w:rsidRPr="0078099D" w:rsidRDefault="00785B6C" w:rsidP="002D1696">
            <w:pPr>
              <w:jc w:val="left"/>
              <w:rPr>
                <w:rFonts w:cs="Arial"/>
                <w:noProof/>
                <w:color w:val="000000"/>
                <w:szCs w:val="18"/>
                <w:lang w:eastAsia="pt-BR"/>
              </w:rPr>
            </w:pPr>
            <w:r w:rsidRPr="0078099D">
              <w:rPr>
                <w:rFonts w:cs="Arial"/>
                <w:noProof/>
                <w:color w:val="000000"/>
                <w:szCs w:val="18"/>
                <w:lang w:eastAsia="pt-BR"/>
              </w:rPr>
              <w:t>LOBEL_ERI</w:t>
            </w:r>
          </w:p>
        </w:tc>
      </w:tr>
      <w:tr w:rsidR="00785B6C" w:rsidRPr="00D404AB" w:rsidTr="002D1696">
        <w:trPr>
          <w:trHeight w:val="315"/>
        </w:trPr>
        <w:tc>
          <w:tcPr>
            <w:tcW w:w="6516" w:type="dxa"/>
            <w:shd w:val="clear" w:color="auto" w:fill="auto"/>
            <w:hideMark/>
          </w:tcPr>
          <w:p w:rsidR="00785B6C" w:rsidRPr="0051125E" w:rsidRDefault="00785B6C" w:rsidP="002D1696">
            <w:pPr>
              <w:jc w:val="left"/>
              <w:rPr>
                <w:rFonts w:cs="Arial"/>
                <w:dstrike/>
                <w:noProof/>
                <w:color w:val="000000"/>
                <w:szCs w:val="18"/>
                <w:lang w:eastAsia="pt-BR"/>
              </w:rPr>
            </w:pPr>
            <w:r w:rsidRPr="0078099D">
              <w:rPr>
                <w:rFonts w:cs="Arial"/>
                <w:i/>
                <w:noProof/>
                <w:color w:val="000000"/>
                <w:szCs w:val="18"/>
                <w:lang w:eastAsia="pt-BR"/>
              </w:rPr>
              <w:t>Lobelia valida</w:t>
            </w:r>
            <w:r w:rsidRPr="0078099D">
              <w:rPr>
                <w:rFonts w:cs="Arial"/>
                <w:noProof/>
                <w:color w:val="000000"/>
                <w:szCs w:val="18"/>
                <w:lang w:eastAsia="pt-BR"/>
              </w:rPr>
              <w:t xml:space="preserve"> L. Bolus</w:t>
            </w:r>
          </w:p>
        </w:tc>
        <w:tc>
          <w:tcPr>
            <w:tcW w:w="2126" w:type="dxa"/>
            <w:shd w:val="clear" w:color="auto" w:fill="auto"/>
            <w:hideMark/>
          </w:tcPr>
          <w:p w:rsidR="00785B6C" w:rsidRPr="0078099D" w:rsidRDefault="00785B6C" w:rsidP="002D1696">
            <w:pPr>
              <w:jc w:val="left"/>
              <w:rPr>
                <w:rFonts w:cs="Arial"/>
                <w:noProof/>
                <w:color w:val="000000"/>
                <w:szCs w:val="18"/>
                <w:lang w:eastAsia="pt-BR"/>
              </w:rPr>
            </w:pPr>
            <w:r w:rsidRPr="0078099D">
              <w:rPr>
                <w:rFonts w:cs="Arial"/>
                <w:noProof/>
                <w:color w:val="000000"/>
                <w:szCs w:val="18"/>
                <w:lang w:eastAsia="pt-BR"/>
              </w:rPr>
              <w:t>LOBEL_VAL</w:t>
            </w:r>
          </w:p>
        </w:tc>
      </w:tr>
      <w:tr w:rsidR="00785B6C" w:rsidRPr="00D404AB" w:rsidTr="002D1696">
        <w:trPr>
          <w:trHeight w:val="315"/>
        </w:trPr>
        <w:tc>
          <w:tcPr>
            <w:tcW w:w="6516" w:type="dxa"/>
            <w:shd w:val="clear" w:color="auto" w:fill="auto"/>
            <w:hideMark/>
          </w:tcPr>
          <w:p w:rsidR="00785B6C" w:rsidRPr="00932993" w:rsidRDefault="00785B6C" w:rsidP="002D1696">
            <w:pPr>
              <w:jc w:val="left"/>
              <w:rPr>
                <w:rFonts w:cs="Arial"/>
                <w:dstrike/>
                <w:noProof/>
                <w:color w:val="000000"/>
                <w:szCs w:val="18"/>
                <w:lang w:val="pt-PT" w:eastAsia="pt-BR"/>
              </w:rPr>
            </w:pPr>
            <w:r w:rsidRPr="00932993">
              <w:rPr>
                <w:rFonts w:cs="Arial"/>
                <w:i/>
                <w:noProof/>
                <w:color w:val="000000"/>
                <w:szCs w:val="18"/>
                <w:lang w:val="pt-PT" w:eastAsia="pt-BR"/>
              </w:rPr>
              <w:t>Lobelia erinus</w:t>
            </w:r>
            <w:r w:rsidRPr="00932993">
              <w:rPr>
                <w:rFonts w:cs="Arial"/>
                <w:noProof/>
                <w:color w:val="000000"/>
                <w:szCs w:val="18"/>
                <w:lang w:val="pt-PT" w:eastAsia="pt-BR"/>
              </w:rPr>
              <w:t xml:space="preserve"> L. × </w:t>
            </w:r>
            <w:r w:rsidRPr="00932993">
              <w:rPr>
                <w:rFonts w:cs="Arial"/>
                <w:i/>
                <w:noProof/>
                <w:color w:val="000000"/>
                <w:szCs w:val="18"/>
                <w:lang w:val="pt-PT" w:eastAsia="pt-BR"/>
              </w:rPr>
              <w:t>Lobelia alsinoides</w:t>
            </w:r>
            <w:r w:rsidRPr="00932993">
              <w:rPr>
                <w:rFonts w:cs="Arial"/>
                <w:noProof/>
                <w:color w:val="000000"/>
                <w:szCs w:val="18"/>
                <w:lang w:val="pt-PT" w:eastAsia="pt-BR"/>
              </w:rPr>
              <w:t xml:space="preserve"> Lam.</w:t>
            </w:r>
          </w:p>
        </w:tc>
        <w:tc>
          <w:tcPr>
            <w:tcW w:w="2126" w:type="dxa"/>
            <w:shd w:val="clear" w:color="auto" w:fill="auto"/>
            <w:hideMark/>
          </w:tcPr>
          <w:p w:rsidR="00785B6C" w:rsidRPr="0078099D" w:rsidRDefault="00785B6C" w:rsidP="002D1696">
            <w:pPr>
              <w:jc w:val="left"/>
              <w:rPr>
                <w:rFonts w:cs="Arial"/>
                <w:noProof/>
                <w:color w:val="000000"/>
                <w:szCs w:val="18"/>
                <w:lang w:eastAsia="pt-BR"/>
              </w:rPr>
            </w:pPr>
            <w:r w:rsidRPr="0078099D">
              <w:rPr>
                <w:rFonts w:cs="Arial"/>
                <w:noProof/>
                <w:color w:val="000000"/>
                <w:szCs w:val="18"/>
                <w:lang w:eastAsia="pt-BR"/>
              </w:rPr>
              <w:t>LOBEL_AER</w:t>
            </w:r>
          </w:p>
        </w:tc>
      </w:tr>
      <w:tr w:rsidR="00785B6C" w:rsidRPr="00D404AB" w:rsidTr="002D1696">
        <w:trPr>
          <w:trHeight w:val="315"/>
        </w:trPr>
        <w:tc>
          <w:tcPr>
            <w:tcW w:w="6516" w:type="dxa"/>
            <w:shd w:val="clear" w:color="auto" w:fill="auto"/>
            <w:hideMark/>
          </w:tcPr>
          <w:p w:rsidR="00785B6C" w:rsidRPr="00932993" w:rsidRDefault="00785B6C" w:rsidP="002D1696">
            <w:pPr>
              <w:jc w:val="left"/>
              <w:rPr>
                <w:rFonts w:cs="Arial"/>
                <w:dstrike/>
                <w:noProof/>
                <w:color w:val="000000"/>
                <w:szCs w:val="18"/>
                <w:lang w:val="pt-PT" w:eastAsia="pt-BR"/>
              </w:rPr>
            </w:pPr>
            <w:r w:rsidRPr="00932993">
              <w:rPr>
                <w:rFonts w:cs="Arial"/>
                <w:i/>
                <w:noProof/>
                <w:color w:val="000000"/>
                <w:szCs w:val="18"/>
                <w:lang w:val="pt-PT" w:eastAsia="pt-BR"/>
              </w:rPr>
              <w:t>Lobelia erinus</w:t>
            </w:r>
            <w:r w:rsidRPr="00932993">
              <w:rPr>
                <w:rFonts w:cs="Arial"/>
                <w:noProof/>
                <w:color w:val="000000"/>
                <w:szCs w:val="18"/>
                <w:lang w:val="pt-PT" w:eastAsia="pt-BR"/>
              </w:rPr>
              <w:t xml:space="preserve"> L. × </w:t>
            </w:r>
            <w:r w:rsidRPr="00932993">
              <w:rPr>
                <w:rFonts w:cs="Arial"/>
                <w:i/>
                <w:noProof/>
                <w:color w:val="000000"/>
                <w:szCs w:val="18"/>
                <w:lang w:val="pt-PT" w:eastAsia="pt-BR"/>
              </w:rPr>
              <w:t>Lobelia valida</w:t>
            </w:r>
            <w:r w:rsidRPr="00932993">
              <w:rPr>
                <w:rFonts w:cs="Arial"/>
                <w:noProof/>
                <w:color w:val="000000"/>
                <w:szCs w:val="18"/>
                <w:lang w:val="pt-PT" w:eastAsia="pt-BR"/>
              </w:rPr>
              <w:t xml:space="preserve"> L.</w:t>
            </w:r>
          </w:p>
        </w:tc>
        <w:tc>
          <w:tcPr>
            <w:tcW w:w="2126" w:type="dxa"/>
            <w:shd w:val="clear" w:color="auto" w:fill="auto"/>
            <w:hideMark/>
          </w:tcPr>
          <w:p w:rsidR="00785B6C" w:rsidRPr="0078099D" w:rsidRDefault="00785B6C" w:rsidP="002D1696">
            <w:pPr>
              <w:jc w:val="left"/>
              <w:rPr>
                <w:rFonts w:cs="Arial"/>
                <w:noProof/>
                <w:color w:val="000000"/>
                <w:szCs w:val="18"/>
                <w:lang w:eastAsia="pt-BR"/>
              </w:rPr>
            </w:pPr>
            <w:r w:rsidRPr="0078099D">
              <w:rPr>
                <w:rFonts w:cs="Arial"/>
                <w:noProof/>
                <w:color w:val="000000"/>
                <w:szCs w:val="18"/>
                <w:lang w:eastAsia="pt-BR"/>
              </w:rPr>
              <w:t>LOBEL_EVA</w:t>
            </w:r>
          </w:p>
        </w:tc>
      </w:tr>
      <w:tr w:rsidR="00785B6C" w:rsidRPr="00D404AB" w:rsidTr="002D1696">
        <w:trPr>
          <w:trHeight w:val="315"/>
        </w:trPr>
        <w:tc>
          <w:tcPr>
            <w:tcW w:w="6516" w:type="dxa"/>
            <w:shd w:val="clear" w:color="auto" w:fill="auto"/>
            <w:hideMark/>
          </w:tcPr>
          <w:p w:rsidR="00785B6C" w:rsidRPr="0051125E" w:rsidRDefault="00785B6C" w:rsidP="002D1696">
            <w:pPr>
              <w:jc w:val="left"/>
              <w:rPr>
                <w:rFonts w:cs="Arial"/>
                <w:dstrike/>
                <w:noProof/>
                <w:color w:val="000000"/>
                <w:szCs w:val="18"/>
                <w:lang w:eastAsia="pt-BR"/>
              </w:rPr>
            </w:pPr>
            <w:r w:rsidRPr="0078099D">
              <w:rPr>
                <w:rFonts w:cs="Arial"/>
                <w:i/>
                <w:noProof/>
                <w:color w:val="000000"/>
                <w:szCs w:val="18"/>
                <w:lang w:eastAsia="pt-BR"/>
              </w:rPr>
              <w:t>Paspalum guenoarum</w:t>
            </w:r>
            <w:r w:rsidRPr="0078099D">
              <w:rPr>
                <w:rFonts w:cs="Arial"/>
                <w:noProof/>
                <w:color w:val="000000"/>
                <w:szCs w:val="18"/>
                <w:lang w:eastAsia="pt-BR"/>
              </w:rPr>
              <w:t xml:space="preserve"> Arechav.</w:t>
            </w:r>
          </w:p>
        </w:tc>
        <w:tc>
          <w:tcPr>
            <w:tcW w:w="2126" w:type="dxa"/>
            <w:shd w:val="clear" w:color="auto" w:fill="auto"/>
            <w:hideMark/>
          </w:tcPr>
          <w:p w:rsidR="00785B6C" w:rsidRPr="0078099D" w:rsidRDefault="00785B6C" w:rsidP="002D1696">
            <w:pPr>
              <w:jc w:val="left"/>
              <w:rPr>
                <w:rFonts w:cs="Arial"/>
                <w:noProof/>
                <w:color w:val="000000"/>
                <w:szCs w:val="18"/>
                <w:lang w:eastAsia="pt-BR"/>
              </w:rPr>
            </w:pPr>
            <w:r w:rsidRPr="0078099D">
              <w:rPr>
                <w:rFonts w:cs="Arial"/>
                <w:noProof/>
                <w:color w:val="000000"/>
                <w:szCs w:val="18"/>
                <w:lang w:eastAsia="pt-BR"/>
              </w:rPr>
              <w:t>PASPA_GUE</w:t>
            </w:r>
          </w:p>
        </w:tc>
      </w:tr>
      <w:tr w:rsidR="00785B6C" w:rsidRPr="00D404AB" w:rsidTr="002D1696">
        <w:trPr>
          <w:trHeight w:val="315"/>
        </w:trPr>
        <w:tc>
          <w:tcPr>
            <w:tcW w:w="6516" w:type="dxa"/>
            <w:shd w:val="clear" w:color="auto" w:fill="auto"/>
            <w:hideMark/>
          </w:tcPr>
          <w:p w:rsidR="00785B6C" w:rsidRPr="0051125E" w:rsidRDefault="00785B6C" w:rsidP="002D1696">
            <w:pPr>
              <w:jc w:val="left"/>
              <w:rPr>
                <w:rFonts w:cs="Arial"/>
                <w:dstrike/>
                <w:noProof/>
                <w:color w:val="000000"/>
                <w:szCs w:val="18"/>
                <w:lang w:eastAsia="pt-BR"/>
              </w:rPr>
            </w:pPr>
            <w:r w:rsidRPr="0078099D">
              <w:rPr>
                <w:rFonts w:cs="Arial"/>
                <w:i/>
                <w:noProof/>
                <w:color w:val="000000"/>
                <w:szCs w:val="18"/>
                <w:lang w:eastAsia="pt-BR"/>
              </w:rPr>
              <w:t>Paspalum notatum</w:t>
            </w:r>
            <w:r w:rsidRPr="0078099D">
              <w:rPr>
                <w:rFonts w:cs="Arial"/>
                <w:noProof/>
                <w:color w:val="000000"/>
                <w:szCs w:val="18"/>
                <w:lang w:eastAsia="pt-BR"/>
              </w:rPr>
              <w:t xml:space="preserve"> Flüggé</w:t>
            </w:r>
          </w:p>
        </w:tc>
        <w:tc>
          <w:tcPr>
            <w:tcW w:w="2126" w:type="dxa"/>
            <w:shd w:val="clear" w:color="auto" w:fill="auto"/>
            <w:hideMark/>
          </w:tcPr>
          <w:p w:rsidR="00785B6C" w:rsidRPr="0078099D" w:rsidRDefault="00785B6C" w:rsidP="002D1696">
            <w:pPr>
              <w:jc w:val="left"/>
              <w:rPr>
                <w:rFonts w:cs="Arial"/>
                <w:noProof/>
                <w:color w:val="000000"/>
                <w:szCs w:val="18"/>
                <w:lang w:eastAsia="pt-BR"/>
              </w:rPr>
            </w:pPr>
            <w:r w:rsidRPr="0078099D">
              <w:rPr>
                <w:rFonts w:cs="Arial"/>
                <w:noProof/>
                <w:color w:val="000000"/>
                <w:szCs w:val="18"/>
                <w:lang w:eastAsia="pt-BR"/>
              </w:rPr>
              <w:t>PASPA_NOT</w:t>
            </w:r>
          </w:p>
        </w:tc>
      </w:tr>
      <w:tr w:rsidR="00785B6C" w:rsidRPr="00D404AB" w:rsidTr="002D1696">
        <w:trPr>
          <w:trHeight w:val="315"/>
        </w:trPr>
        <w:tc>
          <w:tcPr>
            <w:tcW w:w="6516" w:type="dxa"/>
            <w:shd w:val="clear" w:color="auto" w:fill="auto"/>
            <w:hideMark/>
          </w:tcPr>
          <w:p w:rsidR="00785B6C" w:rsidRPr="0051125E" w:rsidRDefault="00785B6C" w:rsidP="002D1696">
            <w:pPr>
              <w:jc w:val="left"/>
              <w:rPr>
                <w:rFonts w:cs="Arial"/>
                <w:dstrike/>
                <w:noProof/>
                <w:color w:val="000000"/>
                <w:szCs w:val="18"/>
                <w:lang w:eastAsia="pt-BR"/>
              </w:rPr>
            </w:pPr>
            <w:r w:rsidRPr="0078099D">
              <w:rPr>
                <w:rFonts w:cs="Arial"/>
                <w:i/>
                <w:noProof/>
                <w:color w:val="000000"/>
                <w:szCs w:val="18"/>
                <w:lang w:eastAsia="pt-BR"/>
              </w:rPr>
              <w:t>Paspalum plicatulum</w:t>
            </w:r>
            <w:r w:rsidRPr="0078099D">
              <w:rPr>
                <w:rFonts w:cs="Arial"/>
                <w:noProof/>
                <w:color w:val="000000"/>
                <w:szCs w:val="18"/>
                <w:lang w:eastAsia="pt-BR"/>
              </w:rPr>
              <w:t xml:space="preserve"> Michx. </w:t>
            </w:r>
          </w:p>
        </w:tc>
        <w:tc>
          <w:tcPr>
            <w:tcW w:w="2126" w:type="dxa"/>
            <w:shd w:val="clear" w:color="auto" w:fill="auto"/>
            <w:hideMark/>
          </w:tcPr>
          <w:p w:rsidR="00785B6C" w:rsidRPr="0078099D" w:rsidRDefault="00785B6C" w:rsidP="002D1696">
            <w:pPr>
              <w:jc w:val="left"/>
              <w:rPr>
                <w:rFonts w:cs="Arial"/>
                <w:noProof/>
                <w:color w:val="000000"/>
                <w:szCs w:val="18"/>
                <w:lang w:eastAsia="pt-BR"/>
              </w:rPr>
            </w:pPr>
            <w:r w:rsidRPr="0078099D">
              <w:rPr>
                <w:rFonts w:cs="Arial"/>
                <w:noProof/>
                <w:color w:val="000000"/>
                <w:szCs w:val="18"/>
                <w:lang w:eastAsia="pt-BR"/>
              </w:rPr>
              <w:t>PASPA_PLI</w:t>
            </w:r>
          </w:p>
        </w:tc>
      </w:tr>
      <w:tr w:rsidR="00785B6C" w:rsidRPr="00D404AB" w:rsidTr="002D1696">
        <w:trPr>
          <w:trHeight w:val="315"/>
        </w:trPr>
        <w:tc>
          <w:tcPr>
            <w:tcW w:w="6516" w:type="dxa"/>
            <w:shd w:val="clear" w:color="auto" w:fill="auto"/>
            <w:hideMark/>
          </w:tcPr>
          <w:p w:rsidR="00785B6C" w:rsidRPr="00592F7C" w:rsidRDefault="00785B6C" w:rsidP="002D1696">
            <w:pPr>
              <w:jc w:val="left"/>
              <w:rPr>
                <w:rFonts w:cs="Arial"/>
                <w:dstrike/>
                <w:noProof/>
                <w:color w:val="000000"/>
                <w:szCs w:val="18"/>
                <w:lang w:val="fr-CH" w:eastAsia="pt-BR"/>
              </w:rPr>
            </w:pPr>
            <w:r w:rsidRPr="00592F7C">
              <w:rPr>
                <w:rFonts w:cs="Arial"/>
                <w:i/>
                <w:noProof/>
                <w:color w:val="000000"/>
                <w:szCs w:val="18"/>
                <w:lang w:val="fr-CH" w:eastAsia="pt-BR"/>
              </w:rPr>
              <w:t>Raphanus sativus</w:t>
            </w:r>
            <w:r w:rsidRPr="00592F7C">
              <w:rPr>
                <w:rFonts w:cs="Arial"/>
                <w:noProof/>
                <w:color w:val="000000"/>
                <w:szCs w:val="18"/>
                <w:lang w:val="fr-CH" w:eastAsia="pt-BR"/>
              </w:rPr>
              <w:t xml:space="preserve"> var. </w:t>
            </w:r>
            <w:r w:rsidRPr="00592F7C">
              <w:rPr>
                <w:rFonts w:cs="Arial"/>
                <w:i/>
                <w:noProof/>
                <w:color w:val="000000"/>
                <w:szCs w:val="18"/>
                <w:lang w:val="fr-CH" w:eastAsia="pt-BR"/>
              </w:rPr>
              <w:t>oleiformis</w:t>
            </w:r>
            <w:r w:rsidRPr="00592F7C">
              <w:rPr>
                <w:rFonts w:cs="Arial"/>
                <w:noProof/>
                <w:color w:val="000000"/>
                <w:szCs w:val="18"/>
                <w:lang w:val="fr-CH" w:eastAsia="pt-BR"/>
              </w:rPr>
              <w:t xml:space="preserve"> Pers. </w:t>
            </w:r>
          </w:p>
        </w:tc>
        <w:tc>
          <w:tcPr>
            <w:tcW w:w="2126" w:type="dxa"/>
            <w:shd w:val="clear" w:color="auto" w:fill="auto"/>
            <w:hideMark/>
          </w:tcPr>
          <w:p w:rsidR="00785B6C" w:rsidRPr="0078099D" w:rsidRDefault="00785B6C" w:rsidP="002D1696">
            <w:pPr>
              <w:jc w:val="left"/>
              <w:rPr>
                <w:rFonts w:cs="Arial"/>
                <w:noProof/>
                <w:color w:val="000000"/>
                <w:szCs w:val="18"/>
                <w:lang w:eastAsia="pt-BR"/>
              </w:rPr>
            </w:pPr>
            <w:r w:rsidRPr="0078099D">
              <w:rPr>
                <w:rFonts w:cs="Arial"/>
                <w:noProof/>
                <w:color w:val="000000"/>
                <w:szCs w:val="18"/>
                <w:lang w:eastAsia="pt-BR"/>
              </w:rPr>
              <w:t>RAPHA_SAT_OLE</w:t>
            </w:r>
          </w:p>
        </w:tc>
      </w:tr>
      <w:tr w:rsidR="00785B6C" w:rsidRPr="00D404AB" w:rsidTr="002D1696">
        <w:trPr>
          <w:trHeight w:val="315"/>
        </w:trPr>
        <w:tc>
          <w:tcPr>
            <w:tcW w:w="6516" w:type="dxa"/>
            <w:shd w:val="clear" w:color="auto" w:fill="auto"/>
          </w:tcPr>
          <w:p w:rsidR="00785B6C" w:rsidRPr="0051125E" w:rsidRDefault="00785B6C" w:rsidP="002D1696">
            <w:pPr>
              <w:jc w:val="left"/>
              <w:rPr>
                <w:rFonts w:cs="Arial"/>
                <w:dstrike/>
                <w:noProof/>
                <w:color w:val="000000"/>
                <w:szCs w:val="18"/>
                <w:lang w:eastAsia="pt-BR"/>
              </w:rPr>
            </w:pPr>
            <w:r w:rsidRPr="0078099D">
              <w:rPr>
                <w:rFonts w:cs="Arial"/>
                <w:i/>
                <w:noProof/>
                <w:color w:val="000000"/>
                <w:szCs w:val="18"/>
                <w:lang w:eastAsia="pt-BR"/>
              </w:rPr>
              <w:t>Stylosanthes guianensis</w:t>
            </w:r>
            <w:r w:rsidRPr="0078099D">
              <w:rPr>
                <w:rFonts w:cs="Arial"/>
                <w:noProof/>
                <w:color w:val="000000"/>
                <w:szCs w:val="18"/>
                <w:lang w:eastAsia="pt-BR"/>
              </w:rPr>
              <w:t xml:space="preserve"> (Aubl.) Sw., </w:t>
            </w:r>
            <w:r w:rsidRPr="0078099D">
              <w:rPr>
                <w:rFonts w:cs="Arial"/>
                <w:i/>
                <w:noProof/>
                <w:color w:val="000000"/>
                <w:szCs w:val="18"/>
                <w:lang w:eastAsia="pt-BR"/>
              </w:rPr>
              <w:t>Stylosanthes capitata</w:t>
            </w:r>
            <w:r w:rsidRPr="0078099D">
              <w:rPr>
                <w:rFonts w:cs="Arial"/>
                <w:noProof/>
                <w:color w:val="000000"/>
                <w:szCs w:val="18"/>
                <w:lang w:eastAsia="pt-BR"/>
              </w:rPr>
              <w:t xml:space="preserve"> Vogel, </w:t>
            </w:r>
            <w:r w:rsidRPr="0078099D">
              <w:rPr>
                <w:rFonts w:cs="Arial"/>
                <w:i/>
                <w:noProof/>
                <w:color w:val="000000"/>
                <w:szCs w:val="18"/>
                <w:lang w:eastAsia="pt-BR"/>
              </w:rPr>
              <w:t>Stylosanthes macrocephala</w:t>
            </w:r>
            <w:r w:rsidRPr="0078099D">
              <w:rPr>
                <w:rFonts w:cs="Arial"/>
                <w:noProof/>
                <w:color w:val="000000"/>
                <w:szCs w:val="18"/>
                <w:lang w:eastAsia="pt-BR"/>
              </w:rPr>
              <w:t xml:space="preserve"> M.B. Ferreira &amp; N.M. Sousa Costa</w:t>
            </w:r>
          </w:p>
        </w:tc>
        <w:tc>
          <w:tcPr>
            <w:tcW w:w="2126" w:type="dxa"/>
            <w:shd w:val="clear" w:color="auto" w:fill="auto"/>
          </w:tcPr>
          <w:p w:rsidR="00785B6C" w:rsidRPr="0078099D" w:rsidRDefault="00785B6C" w:rsidP="002D1696">
            <w:pPr>
              <w:jc w:val="left"/>
              <w:rPr>
                <w:rFonts w:cs="Arial"/>
                <w:noProof/>
                <w:color w:val="000000"/>
                <w:szCs w:val="18"/>
                <w:lang w:eastAsia="pt-BR"/>
              </w:rPr>
            </w:pPr>
            <w:r w:rsidRPr="0078099D">
              <w:rPr>
                <w:rFonts w:cs="Arial"/>
                <w:noProof/>
                <w:color w:val="000000"/>
                <w:szCs w:val="18"/>
                <w:lang w:eastAsia="pt-BR"/>
              </w:rPr>
              <w:t>STYLO</w:t>
            </w:r>
          </w:p>
        </w:tc>
      </w:tr>
      <w:tr w:rsidR="00785B6C" w:rsidRPr="00D404AB" w:rsidTr="002D1696">
        <w:trPr>
          <w:trHeight w:val="315"/>
        </w:trPr>
        <w:tc>
          <w:tcPr>
            <w:tcW w:w="6516" w:type="dxa"/>
            <w:shd w:val="clear" w:color="auto" w:fill="auto"/>
            <w:noWrap/>
            <w:hideMark/>
          </w:tcPr>
          <w:p w:rsidR="00785B6C" w:rsidRPr="0051125E" w:rsidRDefault="00785B6C" w:rsidP="002D1696">
            <w:pPr>
              <w:jc w:val="left"/>
              <w:rPr>
                <w:rFonts w:cs="Arial"/>
                <w:i/>
                <w:iCs/>
                <w:dstrike/>
                <w:noProof/>
                <w:color w:val="000000"/>
                <w:szCs w:val="18"/>
                <w:lang w:eastAsia="pt-BR"/>
              </w:rPr>
            </w:pPr>
            <w:r w:rsidRPr="0078099D">
              <w:rPr>
                <w:rFonts w:cs="Arial"/>
                <w:i/>
                <w:iCs/>
                <w:noProof/>
                <w:color w:val="000000"/>
                <w:szCs w:val="18"/>
                <w:lang w:eastAsia="pt-BR"/>
              </w:rPr>
              <w:t xml:space="preserve">Tectona grandis </w:t>
            </w:r>
            <w:r w:rsidRPr="0078099D">
              <w:rPr>
                <w:rFonts w:cs="Arial"/>
                <w:noProof/>
                <w:color w:val="000000"/>
                <w:szCs w:val="18"/>
                <w:lang w:eastAsia="pt-BR"/>
              </w:rPr>
              <w:t>L.</w:t>
            </w:r>
          </w:p>
        </w:tc>
        <w:tc>
          <w:tcPr>
            <w:tcW w:w="2126" w:type="dxa"/>
            <w:shd w:val="clear" w:color="auto" w:fill="auto"/>
            <w:hideMark/>
          </w:tcPr>
          <w:p w:rsidR="00785B6C" w:rsidRPr="0078099D" w:rsidRDefault="00785B6C" w:rsidP="002D1696">
            <w:pPr>
              <w:jc w:val="left"/>
              <w:rPr>
                <w:rFonts w:cs="Arial"/>
                <w:noProof/>
                <w:color w:val="000000"/>
                <w:szCs w:val="18"/>
                <w:lang w:eastAsia="pt-BR"/>
              </w:rPr>
            </w:pPr>
            <w:r w:rsidRPr="0078099D">
              <w:rPr>
                <w:rFonts w:cs="Arial"/>
                <w:noProof/>
                <w:color w:val="000000"/>
                <w:szCs w:val="18"/>
                <w:lang w:eastAsia="pt-BR"/>
              </w:rPr>
              <w:t>TECTO_GRA</w:t>
            </w:r>
          </w:p>
        </w:tc>
      </w:tr>
      <w:tr w:rsidR="00785B6C" w:rsidRPr="00D404AB" w:rsidTr="002D1696">
        <w:trPr>
          <w:trHeight w:val="315"/>
        </w:trPr>
        <w:tc>
          <w:tcPr>
            <w:tcW w:w="6516" w:type="dxa"/>
            <w:shd w:val="clear" w:color="auto" w:fill="auto"/>
            <w:hideMark/>
          </w:tcPr>
          <w:p w:rsidR="00785B6C" w:rsidRPr="0051125E" w:rsidRDefault="00785B6C" w:rsidP="002D1696">
            <w:pPr>
              <w:jc w:val="left"/>
              <w:rPr>
                <w:rFonts w:cs="Arial"/>
                <w:dstrike/>
                <w:noProof/>
                <w:color w:val="000000"/>
                <w:szCs w:val="18"/>
                <w:lang w:eastAsia="pt-BR"/>
              </w:rPr>
            </w:pPr>
            <w:r w:rsidRPr="0078099D">
              <w:rPr>
                <w:rFonts w:cs="Arial"/>
                <w:i/>
                <w:noProof/>
                <w:color w:val="000000"/>
                <w:szCs w:val="18"/>
                <w:lang w:eastAsia="pt-BR"/>
              </w:rPr>
              <w:t>Veronica</w:t>
            </w:r>
            <w:r w:rsidRPr="0078099D">
              <w:rPr>
                <w:rFonts w:cs="Arial"/>
                <w:noProof/>
                <w:color w:val="000000"/>
                <w:szCs w:val="18"/>
                <w:lang w:eastAsia="pt-BR"/>
              </w:rPr>
              <w:t xml:space="preserve"> L.</w:t>
            </w:r>
          </w:p>
        </w:tc>
        <w:tc>
          <w:tcPr>
            <w:tcW w:w="2126" w:type="dxa"/>
            <w:shd w:val="clear" w:color="auto" w:fill="auto"/>
            <w:hideMark/>
          </w:tcPr>
          <w:p w:rsidR="00785B6C" w:rsidRPr="0078099D" w:rsidRDefault="00785B6C" w:rsidP="002D1696">
            <w:pPr>
              <w:jc w:val="left"/>
              <w:rPr>
                <w:rFonts w:cs="Arial"/>
                <w:noProof/>
                <w:color w:val="000000"/>
                <w:szCs w:val="18"/>
                <w:lang w:eastAsia="pt-BR"/>
              </w:rPr>
            </w:pPr>
            <w:r w:rsidRPr="0078099D">
              <w:rPr>
                <w:rFonts w:cs="Arial"/>
                <w:noProof/>
                <w:color w:val="000000"/>
                <w:szCs w:val="18"/>
                <w:lang w:eastAsia="pt-BR"/>
              </w:rPr>
              <w:t>VERON</w:t>
            </w:r>
          </w:p>
        </w:tc>
      </w:tr>
      <w:tr w:rsidR="00785B6C" w:rsidRPr="00D404AB" w:rsidTr="002D1696">
        <w:trPr>
          <w:trHeight w:val="315"/>
        </w:trPr>
        <w:tc>
          <w:tcPr>
            <w:tcW w:w="6516" w:type="dxa"/>
            <w:shd w:val="clear" w:color="auto" w:fill="auto"/>
            <w:hideMark/>
          </w:tcPr>
          <w:p w:rsidR="00785B6C" w:rsidRPr="0051125E" w:rsidRDefault="00785B6C" w:rsidP="002D1696">
            <w:pPr>
              <w:jc w:val="left"/>
              <w:rPr>
                <w:rFonts w:cs="Arial"/>
                <w:dstrike/>
                <w:noProof/>
                <w:color w:val="000000"/>
                <w:szCs w:val="18"/>
                <w:lang w:eastAsia="pt-BR"/>
              </w:rPr>
            </w:pPr>
            <w:r w:rsidRPr="00592F7C">
              <w:rPr>
                <w:rFonts w:cs="Arial"/>
                <w:i/>
                <w:noProof/>
                <w:color w:val="000000"/>
                <w:szCs w:val="18"/>
                <w:lang w:val="es-ES" w:eastAsia="pt-BR"/>
              </w:rPr>
              <w:t>Zamioculcas zamiifolia</w:t>
            </w:r>
            <w:r w:rsidRPr="00592F7C">
              <w:rPr>
                <w:rFonts w:cs="Arial"/>
                <w:noProof/>
                <w:color w:val="000000"/>
                <w:szCs w:val="18"/>
                <w:lang w:val="es-ES" w:eastAsia="pt-BR"/>
              </w:rPr>
              <w:t xml:space="preserve"> (Lodd. et al.) </w:t>
            </w:r>
            <w:r w:rsidRPr="0078099D">
              <w:rPr>
                <w:rFonts w:cs="Arial"/>
                <w:noProof/>
                <w:color w:val="000000"/>
                <w:szCs w:val="18"/>
                <w:lang w:eastAsia="pt-BR"/>
              </w:rPr>
              <w:t>Engl</w:t>
            </w:r>
          </w:p>
        </w:tc>
        <w:tc>
          <w:tcPr>
            <w:tcW w:w="2126" w:type="dxa"/>
            <w:shd w:val="clear" w:color="auto" w:fill="auto"/>
            <w:hideMark/>
          </w:tcPr>
          <w:p w:rsidR="00785B6C" w:rsidRPr="0078099D" w:rsidRDefault="00785B6C" w:rsidP="002D1696">
            <w:pPr>
              <w:jc w:val="left"/>
              <w:rPr>
                <w:rFonts w:cs="Arial"/>
                <w:noProof/>
                <w:color w:val="000000"/>
                <w:szCs w:val="18"/>
                <w:lang w:eastAsia="pt-BR"/>
              </w:rPr>
            </w:pPr>
            <w:r w:rsidRPr="0078099D">
              <w:rPr>
                <w:rFonts w:cs="Arial"/>
                <w:noProof/>
                <w:color w:val="000000"/>
                <w:szCs w:val="18"/>
                <w:lang w:eastAsia="pt-BR"/>
              </w:rPr>
              <w:t>ZAMIO_ZAM</w:t>
            </w:r>
          </w:p>
        </w:tc>
      </w:tr>
    </w:tbl>
    <w:p w:rsidR="00785B6C" w:rsidRPr="004E4E82" w:rsidRDefault="00785B6C" w:rsidP="00785B6C"/>
    <w:p w:rsidR="00785B6C" w:rsidRPr="004E4E82" w:rsidRDefault="00785B6C" w:rsidP="00785B6C"/>
    <w:p w:rsidR="00785B6C" w:rsidRPr="004E4E82" w:rsidRDefault="00785B6C" w:rsidP="00785B6C">
      <w:r w:rsidRPr="004E4E82">
        <w:t>1.3</w:t>
      </w:r>
      <w:r w:rsidRPr="004E4E82">
        <w:tab/>
      </w:r>
      <w:r w:rsidRPr="00E10B6C">
        <w:t>Jurisprudencia</w:t>
      </w:r>
    </w:p>
    <w:p w:rsidR="00785B6C" w:rsidRPr="004E4E82" w:rsidRDefault="00785B6C" w:rsidP="00785B6C"/>
    <w:p w:rsidR="00785B6C" w:rsidRPr="004E4E82" w:rsidRDefault="00785B6C" w:rsidP="00785B6C">
      <w:pPr>
        <w:ind w:left="1134" w:hanging="709"/>
      </w:pPr>
      <w:r w:rsidRPr="00E10B6C">
        <w:t>No hay novedades reseñables.</w:t>
      </w:r>
    </w:p>
    <w:p w:rsidR="00785B6C" w:rsidRPr="00A67586" w:rsidRDefault="00785B6C" w:rsidP="00785B6C"/>
    <w:p w:rsidR="00785B6C" w:rsidRDefault="00785B6C" w:rsidP="00785B6C">
      <w:pPr>
        <w:jc w:val="left"/>
      </w:pPr>
      <w:r>
        <w:br w:type="page"/>
      </w:r>
    </w:p>
    <w:p w:rsidR="00785B6C" w:rsidRDefault="00785B6C" w:rsidP="00785B6C">
      <w:pPr>
        <w:rPr>
          <w:u w:val="single"/>
        </w:rPr>
      </w:pPr>
      <w:r w:rsidRPr="00A67586">
        <w:lastRenderedPageBreak/>
        <w:t>2.</w:t>
      </w:r>
      <w:r w:rsidRPr="00A67586">
        <w:tab/>
      </w:r>
      <w:r w:rsidRPr="00E10B6C">
        <w:rPr>
          <w:u w:val="single"/>
        </w:rPr>
        <w:t>Cooperación en el examen</w:t>
      </w:r>
    </w:p>
    <w:p w:rsidR="00785B6C" w:rsidRPr="00A67586" w:rsidRDefault="00785B6C" w:rsidP="00785B6C"/>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3"/>
        <w:gridCol w:w="1519"/>
        <w:gridCol w:w="2881"/>
      </w:tblGrid>
      <w:tr w:rsidR="00785B6C" w:rsidRPr="00592F7C" w:rsidTr="00785B6C">
        <w:trPr>
          <w:trHeight w:val="612"/>
        </w:trPr>
        <w:tc>
          <w:tcPr>
            <w:tcW w:w="5093" w:type="dxa"/>
            <w:shd w:val="clear" w:color="auto" w:fill="auto"/>
            <w:vAlign w:val="center"/>
            <w:hideMark/>
          </w:tcPr>
          <w:p w:rsidR="00785B6C" w:rsidRPr="00D404AB" w:rsidRDefault="00785B6C" w:rsidP="002D1696">
            <w:pPr>
              <w:jc w:val="center"/>
              <w:rPr>
                <w:rFonts w:cs="Arial"/>
                <w:b/>
                <w:bCs/>
                <w:lang w:val="pt-BR" w:eastAsia="pt-BR"/>
              </w:rPr>
            </w:pPr>
            <w:r w:rsidRPr="00E10B6C">
              <w:rPr>
                <w:rFonts w:cs="Arial"/>
                <w:b/>
                <w:bCs/>
                <w:lang w:eastAsia="pt-BR"/>
              </w:rPr>
              <w:t>Nombre botánico</w:t>
            </w:r>
          </w:p>
        </w:tc>
        <w:tc>
          <w:tcPr>
            <w:tcW w:w="1519" w:type="dxa"/>
            <w:shd w:val="clear" w:color="auto" w:fill="auto"/>
            <w:vAlign w:val="center"/>
            <w:hideMark/>
          </w:tcPr>
          <w:p w:rsidR="00785B6C" w:rsidRPr="00D404AB" w:rsidRDefault="00785B6C" w:rsidP="002D1696">
            <w:pPr>
              <w:jc w:val="center"/>
              <w:rPr>
                <w:rFonts w:cs="Arial"/>
                <w:b/>
                <w:bCs/>
                <w:lang w:val="pt-BR" w:eastAsia="pt-BR"/>
              </w:rPr>
            </w:pPr>
            <w:r w:rsidRPr="00E10B6C">
              <w:rPr>
                <w:rFonts w:cs="Arial"/>
                <w:b/>
                <w:bCs/>
                <w:lang w:eastAsia="pt-BR"/>
              </w:rPr>
              <w:t>Código UPOV</w:t>
            </w:r>
          </w:p>
        </w:tc>
        <w:tc>
          <w:tcPr>
            <w:tcW w:w="2881" w:type="dxa"/>
            <w:shd w:val="clear" w:color="auto" w:fill="auto"/>
            <w:vAlign w:val="center"/>
            <w:hideMark/>
          </w:tcPr>
          <w:p w:rsidR="00785B6C" w:rsidRPr="00932993" w:rsidRDefault="00785B6C" w:rsidP="002D1696">
            <w:pPr>
              <w:jc w:val="center"/>
              <w:rPr>
                <w:rFonts w:cs="Arial"/>
                <w:b/>
                <w:bCs/>
                <w:lang w:val="es-ES" w:eastAsia="pt-BR"/>
              </w:rPr>
            </w:pPr>
            <w:r w:rsidRPr="00E10B6C">
              <w:rPr>
                <w:rFonts w:cs="Arial"/>
                <w:b/>
                <w:bCs/>
                <w:lang w:eastAsia="pt-BR"/>
              </w:rPr>
              <w:t>Autoridad/oficina de examen que ofrece informes DHE</w:t>
            </w:r>
          </w:p>
        </w:tc>
      </w:tr>
      <w:tr w:rsidR="00785B6C" w:rsidRPr="00D404AB" w:rsidTr="00785B6C">
        <w:trPr>
          <w:trHeight w:val="285"/>
        </w:trPr>
        <w:tc>
          <w:tcPr>
            <w:tcW w:w="5093" w:type="dxa"/>
            <w:shd w:val="clear" w:color="auto" w:fill="D6E3BC" w:themeFill="accent3" w:themeFillTint="66"/>
            <w:hideMark/>
          </w:tcPr>
          <w:p w:rsidR="00785B6C" w:rsidRPr="0001032D" w:rsidRDefault="00785B6C" w:rsidP="002D1696">
            <w:pPr>
              <w:jc w:val="left"/>
              <w:rPr>
                <w:rFonts w:cs="Arial"/>
                <w:dstrike/>
                <w:lang w:val="pt-BR" w:eastAsia="pt-BR"/>
              </w:rPr>
            </w:pPr>
            <w:proofErr w:type="spellStart"/>
            <w:r w:rsidRPr="00932993">
              <w:rPr>
                <w:rFonts w:cs="Arial"/>
                <w:i/>
                <w:lang w:eastAsia="pt-BR"/>
              </w:rPr>
              <w:t>Chrysanthemum</w:t>
            </w:r>
            <w:proofErr w:type="spellEnd"/>
            <w:r w:rsidRPr="00932993">
              <w:rPr>
                <w:rFonts w:cs="Arial"/>
                <w:lang w:eastAsia="pt-BR"/>
              </w:rPr>
              <w:t xml:space="preserve"> L. </w:t>
            </w:r>
            <w:proofErr w:type="spellStart"/>
            <w:r w:rsidRPr="00932993">
              <w:rPr>
                <w:rFonts w:cs="Arial"/>
                <w:i/>
                <w:lang w:eastAsia="pt-BR"/>
              </w:rPr>
              <w:t>Chrysanthemum</w:t>
            </w:r>
            <w:proofErr w:type="spellEnd"/>
            <w:r w:rsidRPr="00932993">
              <w:rPr>
                <w:rFonts w:cs="Arial"/>
                <w:i/>
                <w:lang w:eastAsia="pt-BR"/>
              </w:rPr>
              <w:t xml:space="preserve"> </w:t>
            </w:r>
            <w:proofErr w:type="spellStart"/>
            <w:r w:rsidRPr="00932993">
              <w:rPr>
                <w:rFonts w:cs="Arial"/>
                <w:i/>
                <w:lang w:eastAsia="pt-BR"/>
              </w:rPr>
              <w:t>dendranthema</w:t>
            </w:r>
            <w:proofErr w:type="spellEnd"/>
            <w:r w:rsidRPr="00932993">
              <w:rPr>
                <w:rFonts w:cs="Arial"/>
                <w:lang w:eastAsia="pt-BR"/>
              </w:rPr>
              <w:t xml:space="preserve"> </w:t>
            </w:r>
            <w:proofErr w:type="spellStart"/>
            <w:r w:rsidRPr="00932993">
              <w:rPr>
                <w:rFonts w:cs="Arial"/>
                <w:i/>
                <w:lang w:eastAsia="pt-BR"/>
              </w:rPr>
              <w:t>Dendranthema</w:t>
            </w:r>
            <w:proofErr w:type="spellEnd"/>
            <w:r w:rsidRPr="00932993">
              <w:rPr>
                <w:rFonts w:cs="Arial"/>
                <w:lang w:eastAsia="pt-BR"/>
              </w:rPr>
              <w:t xml:space="preserve"> (DC.) </w:t>
            </w:r>
            <w:r w:rsidRPr="0078099D">
              <w:rPr>
                <w:rFonts w:cs="Arial"/>
                <w:lang w:val="pt-BR" w:eastAsia="pt-BR"/>
              </w:rPr>
              <w:t>Desmoul.</w:t>
            </w:r>
          </w:p>
        </w:tc>
        <w:tc>
          <w:tcPr>
            <w:tcW w:w="1519" w:type="dxa"/>
            <w:shd w:val="clear" w:color="auto" w:fill="D6E3BC" w:themeFill="accent3" w:themeFillTint="66"/>
            <w:hideMark/>
          </w:tcPr>
          <w:p w:rsidR="00785B6C" w:rsidRPr="0078099D" w:rsidRDefault="00785B6C" w:rsidP="002D1696">
            <w:pPr>
              <w:jc w:val="left"/>
              <w:rPr>
                <w:rFonts w:cs="Arial"/>
                <w:lang w:val="pt-BR" w:eastAsia="pt-BR"/>
              </w:rPr>
            </w:pPr>
            <w:r w:rsidRPr="0078099D">
              <w:rPr>
                <w:rFonts w:cs="Arial"/>
                <w:lang w:val="pt-BR" w:eastAsia="pt-BR"/>
              </w:rPr>
              <w:t>CHRYS</w:t>
            </w:r>
          </w:p>
        </w:tc>
        <w:tc>
          <w:tcPr>
            <w:tcW w:w="2881" w:type="dxa"/>
            <w:shd w:val="clear" w:color="auto" w:fill="D6E3BC" w:themeFill="accent3" w:themeFillTint="66"/>
            <w:hideMark/>
          </w:tcPr>
          <w:p w:rsidR="00785B6C" w:rsidRPr="00D404AB" w:rsidRDefault="00785B6C" w:rsidP="002D1696">
            <w:pPr>
              <w:jc w:val="left"/>
              <w:rPr>
                <w:rFonts w:cs="Arial"/>
                <w:lang w:val="pt-BR" w:eastAsia="pt-BR"/>
              </w:rPr>
            </w:pPr>
            <w:r w:rsidRPr="00E10B6C">
              <w:rPr>
                <w:rFonts w:cs="Arial"/>
                <w:lang w:eastAsia="pt-BR"/>
              </w:rPr>
              <w:t>Países Bajos</w:t>
            </w:r>
          </w:p>
        </w:tc>
      </w:tr>
      <w:tr w:rsidR="00785B6C" w:rsidRPr="00D404AB" w:rsidTr="00785B6C">
        <w:trPr>
          <w:trHeight w:val="270"/>
        </w:trPr>
        <w:tc>
          <w:tcPr>
            <w:tcW w:w="5093" w:type="dxa"/>
            <w:shd w:val="clear" w:color="auto" w:fill="D6E3BC" w:themeFill="accent3" w:themeFillTint="66"/>
            <w:hideMark/>
          </w:tcPr>
          <w:p w:rsidR="00785B6C" w:rsidRPr="0001032D" w:rsidRDefault="00785B6C" w:rsidP="002D1696">
            <w:pPr>
              <w:jc w:val="left"/>
              <w:rPr>
                <w:rFonts w:cs="Arial"/>
                <w:dstrike/>
                <w:lang w:val="pt-BR" w:eastAsia="pt-BR"/>
              </w:rPr>
            </w:pPr>
            <w:proofErr w:type="spellStart"/>
            <w:r w:rsidRPr="00932993">
              <w:rPr>
                <w:rFonts w:cs="Arial"/>
                <w:i/>
                <w:lang w:eastAsia="pt-BR"/>
              </w:rPr>
              <w:t>Chrysanthemum</w:t>
            </w:r>
            <w:proofErr w:type="spellEnd"/>
            <w:r w:rsidRPr="00932993">
              <w:rPr>
                <w:rFonts w:cs="Arial"/>
                <w:lang w:eastAsia="pt-BR"/>
              </w:rPr>
              <w:t xml:space="preserve"> L. </w:t>
            </w:r>
            <w:proofErr w:type="spellStart"/>
            <w:r w:rsidRPr="00932993">
              <w:rPr>
                <w:rFonts w:cs="Arial"/>
                <w:i/>
                <w:lang w:eastAsia="pt-BR"/>
              </w:rPr>
              <w:t>Chrysanthemum</w:t>
            </w:r>
            <w:proofErr w:type="spellEnd"/>
            <w:r w:rsidRPr="00932993">
              <w:rPr>
                <w:rFonts w:cs="Arial"/>
                <w:i/>
                <w:lang w:eastAsia="pt-BR"/>
              </w:rPr>
              <w:t xml:space="preserve"> </w:t>
            </w:r>
            <w:proofErr w:type="spellStart"/>
            <w:r w:rsidRPr="00932993">
              <w:rPr>
                <w:rFonts w:cs="Arial"/>
                <w:i/>
                <w:lang w:eastAsia="pt-BR"/>
              </w:rPr>
              <w:t>dendranthema</w:t>
            </w:r>
            <w:proofErr w:type="spellEnd"/>
            <w:r w:rsidRPr="00932993">
              <w:rPr>
                <w:rFonts w:cs="Arial"/>
                <w:i/>
                <w:lang w:eastAsia="pt-BR"/>
              </w:rPr>
              <w:t xml:space="preserve"> </w:t>
            </w:r>
            <w:proofErr w:type="spellStart"/>
            <w:r w:rsidRPr="00932993">
              <w:rPr>
                <w:rFonts w:cs="Arial"/>
                <w:i/>
                <w:lang w:eastAsia="pt-BR"/>
              </w:rPr>
              <w:t>Dendranthema</w:t>
            </w:r>
            <w:proofErr w:type="spellEnd"/>
            <w:r w:rsidRPr="00932993">
              <w:rPr>
                <w:rFonts w:cs="Arial"/>
                <w:lang w:eastAsia="pt-BR"/>
              </w:rPr>
              <w:t xml:space="preserve"> (DC.) </w:t>
            </w:r>
            <w:r w:rsidRPr="0078099D">
              <w:rPr>
                <w:rFonts w:cs="Arial"/>
                <w:lang w:val="pt-BR" w:eastAsia="pt-BR"/>
              </w:rPr>
              <w:t>Desmoul.</w:t>
            </w:r>
          </w:p>
        </w:tc>
        <w:tc>
          <w:tcPr>
            <w:tcW w:w="1519" w:type="dxa"/>
            <w:shd w:val="clear" w:color="auto" w:fill="D6E3BC" w:themeFill="accent3" w:themeFillTint="66"/>
            <w:hideMark/>
          </w:tcPr>
          <w:p w:rsidR="00785B6C" w:rsidRPr="0078099D" w:rsidRDefault="00785B6C" w:rsidP="002D1696">
            <w:pPr>
              <w:jc w:val="left"/>
              <w:rPr>
                <w:rFonts w:cs="Arial"/>
                <w:lang w:val="pt-BR" w:eastAsia="pt-BR"/>
              </w:rPr>
            </w:pPr>
            <w:r w:rsidRPr="0078099D">
              <w:rPr>
                <w:rFonts w:cs="Arial"/>
                <w:lang w:val="pt-BR" w:eastAsia="pt-BR"/>
              </w:rPr>
              <w:t>CHRYS</w:t>
            </w:r>
          </w:p>
        </w:tc>
        <w:tc>
          <w:tcPr>
            <w:tcW w:w="2881" w:type="dxa"/>
            <w:shd w:val="clear" w:color="auto" w:fill="D6E3BC" w:themeFill="accent3" w:themeFillTint="66"/>
            <w:hideMark/>
          </w:tcPr>
          <w:p w:rsidR="00785B6C" w:rsidRPr="00D404AB" w:rsidRDefault="00785B6C" w:rsidP="002D1696">
            <w:pPr>
              <w:jc w:val="left"/>
              <w:rPr>
                <w:rFonts w:cs="Arial"/>
                <w:lang w:val="pt-BR" w:eastAsia="pt-BR"/>
              </w:rPr>
            </w:pPr>
            <w:r w:rsidRPr="00E10B6C">
              <w:rPr>
                <w:rFonts w:cs="Arial"/>
                <w:lang w:eastAsia="pt-BR"/>
              </w:rPr>
              <w:t>Polonia</w:t>
            </w:r>
            <w:r w:rsidRPr="00D404AB">
              <w:rPr>
                <w:rFonts w:cs="Arial"/>
                <w:lang w:val="pt-BR" w:eastAsia="pt-BR"/>
              </w:rPr>
              <w:t xml:space="preserve"> </w:t>
            </w:r>
          </w:p>
        </w:tc>
      </w:tr>
      <w:tr w:rsidR="00785B6C" w:rsidRPr="00D404AB" w:rsidTr="00785B6C">
        <w:trPr>
          <w:trHeight w:val="255"/>
        </w:trPr>
        <w:tc>
          <w:tcPr>
            <w:tcW w:w="5093" w:type="dxa"/>
            <w:shd w:val="clear" w:color="auto" w:fill="E5B8B7" w:themeFill="accent2" w:themeFillTint="66"/>
            <w:hideMark/>
          </w:tcPr>
          <w:p w:rsidR="00785B6C" w:rsidRPr="0001032D" w:rsidRDefault="00785B6C" w:rsidP="002D1696">
            <w:pPr>
              <w:jc w:val="left"/>
              <w:rPr>
                <w:rFonts w:cs="Arial"/>
                <w:dstrike/>
                <w:lang w:val="pt-BR" w:eastAsia="pt-BR"/>
              </w:rPr>
            </w:pPr>
            <w:r w:rsidRPr="0078099D">
              <w:rPr>
                <w:rFonts w:cs="Arial"/>
                <w:i/>
                <w:lang w:val="pt-BR" w:eastAsia="pt-BR"/>
              </w:rPr>
              <w:t>Petunia</w:t>
            </w:r>
            <w:r w:rsidRPr="0078099D">
              <w:rPr>
                <w:rFonts w:cs="Arial"/>
                <w:lang w:val="pt-BR" w:eastAsia="pt-BR"/>
              </w:rPr>
              <w:t xml:space="preserve"> Juss.</w:t>
            </w:r>
          </w:p>
        </w:tc>
        <w:tc>
          <w:tcPr>
            <w:tcW w:w="1519" w:type="dxa"/>
            <w:shd w:val="clear" w:color="auto" w:fill="E5B8B7" w:themeFill="accent2" w:themeFillTint="66"/>
            <w:hideMark/>
          </w:tcPr>
          <w:p w:rsidR="00785B6C" w:rsidRPr="0078099D" w:rsidRDefault="00785B6C" w:rsidP="002D1696">
            <w:pPr>
              <w:jc w:val="left"/>
              <w:rPr>
                <w:rFonts w:cs="Arial"/>
                <w:lang w:val="pt-BR" w:eastAsia="pt-BR"/>
              </w:rPr>
            </w:pPr>
            <w:r w:rsidRPr="0078099D">
              <w:rPr>
                <w:rFonts w:cs="Arial"/>
                <w:lang w:val="pt-BR" w:eastAsia="pt-BR"/>
              </w:rPr>
              <w:t>PETUN</w:t>
            </w:r>
          </w:p>
        </w:tc>
        <w:tc>
          <w:tcPr>
            <w:tcW w:w="2881" w:type="dxa"/>
            <w:shd w:val="clear" w:color="auto" w:fill="E5B8B7" w:themeFill="accent2" w:themeFillTint="66"/>
            <w:hideMark/>
          </w:tcPr>
          <w:p w:rsidR="00785B6C" w:rsidRPr="00D404AB" w:rsidRDefault="00785B6C" w:rsidP="002D1696">
            <w:pPr>
              <w:jc w:val="left"/>
              <w:rPr>
                <w:rFonts w:cs="Arial"/>
                <w:lang w:val="pt-BR" w:eastAsia="pt-BR"/>
              </w:rPr>
            </w:pPr>
            <w:r w:rsidRPr="00E10B6C">
              <w:rPr>
                <w:rFonts w:cs="Arial"/>
                <w:lang w:eastAsia="pt-BR"/>
              </w:rPr>
              <w:t>Alemania</w:t>
            </w:r>
          </w:p>
        </w:tc>
      </w:tr>
      <w:tr w:rsidR="00785B6C" w:rsidRPr="00D404AB" w:rsidTr="00785B6C">
        <w:trPr>
          <w:trHeight w:val="255"/>
        </w:trPr>
        <w:tc>
          <w:tcPr>
            <w:tcW w:w="5093" w:type="dxa"/>
            <w:shd w:val="clear" w:color="auto" w:fill="E5B8B7" w:themeFill="accent2" w:themeFillTint="66"/>
            <w:hideMark/>
          </w:tcPr>
          <w:p w:rsidR="00785B6C" w:rsidRPr="0001032D" w:rsidRDefault="00785B6C" w:rsidP="002D1696">
            <w:pPr>
              <w:jc w:val="left"/>
              <w:rPr>
                <w:rFonts w:cs="Arial"/>
                <w:dstrike/>
                <w:lang w:val="pt-BR" w:eastAsia="pt-BR"/>
              </w:rPr>
            </w:pPr>
            <w:r w:rsidRPr="0078099D">
              <w:rPr>
                <w:rFonts w:cs="Arial"/>
                <w:i/>
                <w:lang w:val="pt-BR" w:eastAsia="pt-BR"/>
              </w:rPr>
              <w:t>Urochloa ruziziensis</w:t>
            </w:r>
            <w:r w:rsidRPr="0078099D">
              <w:rPr>
                <w:rFonts w:cs="Arial"/>
                <w:lang w:val="pt-BR" w:eastAsia="pt-BR"/>
              </w:rPr>
              <w:t xml:space="preserve"> × </w:t>
            </w:r>
            <w:r w:rsidRPr="0078099D">
              <w:rPr>
                <w:rFonts w:cs="Arial"/>
                <w:i/>
                <w:lang w:val="pt-BR" w:eastAsia="pt-BR"/>
              </w:rPr>
              <w:t>U. decumbens</w:t>
            </w:r>
            <w:r w:rsidRPr="0078099D">
              <w:rPr>
                <w:rFonts w:cs="Arial"/>
                <w:lang w:val="pt-BR" w:eastAsia="pt-BR"/>
              </w:rPr>
              <w:t xml:space="preserve"> × </w:t>
            </w:r>
            <w:r w:rsidRPr="0078099D">
              <w:rPr>
                <w:rFonts w:cs="Arial"/>
                <w:i/>
                <w:lang w:val="pt-BR" w:eastAsia="pt-BR"/>
              </w:rPr>
              <w:t>U. brizantha</w:t>
            </w:r>
          </w:p>
        </w:tc>
        <w:tc>
          <w:tcPr>
            <w:tcW w:w="1519" w:type="dxa"/>
            <w:shd w:val="clear" w:color="auto" w:fill="E5B8B7" w:themeFill="accent2" w:themeFillTint="66"/>
            <w:hideMark/>
          </w:tcPr>
          <w:p w:rsidR="00785B6C" w:rsidRPr="0078099D" w:rsidRDefault="00785B6C" w:rsidP="002D1696">
            <w:pPr>
              <w:jc w:val="left"/>
              <w:rPr>
                <w:rFonts w:cs="Arial"/>
                <w:lang w:val="pt-BR" w:eastAsia="pt-BR"/>
              </w:rPr>
            </w:pPr>
            <w:r w:rsidRPr="0078099D">
              <w:rPr>
                <w:rFonts w:cs="Arial"/>
                <w:lang w:val="pt-BR" w:eastAsia="pt-BR"/>
              </w:rPr>
              <w:t>UROCH_RDB</w:t>
            </w:r>
          </w:p>
        </w:tc>
        <w:tc>
          <w:tcPr>
            <w:tcW w:w="2881" w:type="dxa"/>
            <w:shd w:val="clear" w:color="auto" w:fill="E5B8B7" w:themeFill="accent2" w:themeFillTint="66"/>
            <w:hideMark/>
          </w:tcPr>
          <w:p w:rsidR="00785B6C" w:rsidRPr="00D404AB" w:rsidRDefault="00785B6C" w:rsidP="002D1696">
            <w:pPr>
              <w:jc w:val="left"/>
              <w:rPr>
                <w:rFonts w:cs="Arial"/>
                <w:lang w:val="pt-BR" w:eastAsia="pt-BR"/>
              </w:rPr>
            </w:pPr>
            <w:r w:rsidRPr="00E10B6C">
              <w:rPr>
                <w:rFonts w:cs="Arial"/>
                <w:lang w:eastAsia="pt-BR"/>
              </w:rPr>
              <w:t>México</w:t>
            </w:r>
          </w:p>
        </w:tc>
      </w:tr>
      <w:tr w:rsidR="00785B6C" w:rsidRPr="00D404AB" w:rsidTr="00785B6C">
        <w:trPr>
          <w:trHeight w:val="255"/>
        </w:trPr>
        <w:tc>
          <w:tcPr>
            <w:tcW w:w="5093" w:type="dxa"/>
            <w:shd w:val="clear" w:color="auto" w:fill="E5B8B7" w:themeFill="accent2" w:themeFillTint="66"/>
            <w:hideMark/>
          </w:tcPr>
          <w:p w:rsidR="00785B6C" w:rsidRPr="0001032D" w:rsidRDefault="00785B6C" w:rsidP="002D1696">
            <w:pPr>
              <w:jc w:val="left"/>
              <w:rPr>
                <w:rFonts w:cs="Arial"/>
                <w:dstrike/>
                <w:lang w:val="pt-BR" w:eastAsia="pt-BR"/>
              </w:rPr>
            </w:pPr>
            <w:r w:rsidRPr="0078099D">
              <w:rPr>
                <w:rFonts w:cs="Arial"/>
                <w:i/>
                <w:lang w:val="pt-BR" w:eastAsia="pt-BR"/>
              </w:rPr>
              <w:t>Vitis</w:t>
            </w:r>
            <w:r w:rsidRPr="0078099D">
              <w:rPr>
                <w:rFonts w:cs="Arial"/>
                <w:lang w:val="pt-BR" w:eastAsia="pt-BR"/>
              </w:rPr>
              <w:t xml:space="preserve"> L.</w:t>
            </w:r>
          </w:p>
        </w:tc>
        <w:tc>
          <w:tcPr>
            <w:tcW w:w="1519" w:type="dxa"/>
            <w:shd w:val="clear" w:color="auto" w:fill="E5B8B7" w:themeFill="accent2" w:themeFillTint="66"/>
            <w:hideMark/>
          </w:tcPr>
          <w:p w:rsidR="00785B6C" w:rsidRPr="0078099D" w:rsidRDefault="00785B6C" w:rsidP="002D1696">
            <w:pPr>
              <w:jc w:val="left"/>
              <w:rPr>
                <w:rFonts w:cs="Arial"/>
                <w:lang w:val="pt-BR" w:eastAsia="pt-BR"/>
              </w:rPr>
            </w:pPr>
            <w:r w:rsidRPr="0078099D">
              <w:rPr>
                <w:rFonts w:cs="Arial"/>
                <w:lang w:val="pt-BR" w:eastAsia="pt-BR"/>
              </w:rPr>
              <w:t>VITIS</w:t>
            </w:r>
          </w:p>
        </w:tc>
        <w:tc>
          <w:tcPr>
            <w:tcW w:w="2881" w:type="dxa"/>
            <w:shd w:val="clear" w:color="auto" w:fill="E5B8B7" w:themeFill="accent2" w:themeFillTint="66"/>
            <w:hideMark/>
          </w:tcPr>
          <w:p w:rsidR="00785B6C" w:rsidRPr="00D404AB" w:rsidRDefault="00785B6C" w:rsidP="002D1696">
            <w:pPr>
              <w:jc w:val="left"/>
              <w:rPr>
                <w:rFonts w:cs="Arial"/>
                <w:lang w:val="pt-BR" w:eastAsia="pt-BR"/>
              </w:rPr>
            </w:pPr>
            <w:r w:rsidRPr="00E10B6C">
              <w:rPr>
                <w:rFonts w:cs="Arial"/>
                <w:lang w:eastAsia="pt-BR"/>
              </w:rPr>
              <w:t>Israel</w:t>
            </w:r>
          </w:p>
        </w:tc>
      </w:tr>
    </w:tbl>
    <w:p w:rsidR="00785B6C" w:rsidRDefault="00785B6C" w:rsidP="00785B6C"/>
    <w:tbl>
      <w:tblPr>
        <w:tblStyle w:val="TableGrid"/>
        <w:tblW w:w="0" w:type="auto"/>
        <w:tblLook w:val="04A0" w:firstRow="1" w:lastRow="0" w:firstColumn="1" w:lastColumn="0" w:noHBand="0" w:noVBand="1"/>
      </w:tblPr>
      <w:tblGrid>
        <w:gridCol w:w="4928"/>
      </w:tblGrid>
      <w:tr w:rsidR="00785B6C" w:rsidRPr="00592F7C" w:rsidTr="002D1696">
        <w:tc>
          <w:tcPr>
            <w:tcW w:w="4928" w:type="dxa"/>
            <w:shd w:val="clear" w:color="auto" w:fill="D6E3BC" w:themeFill="accent3" w:themeFillTint="66"/>
          </w:tcPr>
          <w:p w:rsidR="00785B6C" w:rsidRPr="00592F7C" w:rsidRDefault="00785B6C" w:rsidP="002D1696">
            <w:pPr>
              <w:rPr>
                <w:lang w:val="es-ES"/>
              </w:rPr>
            </w:pPr>
            <w:r w:rsidRPr="00E10B6C">
              <w:t>Acuerdos de cooperación en materia de examen</w:t>
            </w:r>
          </w:p>
        </w:tc>
      </w:tr>
      <w:tr w:rsidR="00785B6C" w:rsidRPr="00592F7C" w:rsidTr="002D1696">
        <w:tc>
          <w:tcPr>
            <w:tcW w:w="4928" w:type="dxa"/>
            <w:shd w:val="clear" w:color="auto" w:fill="E5B8B7" w:themeFill="accent2" w:themeFillTint="66"/>
          </w:tcPr>
          <w:p w:rsidR="00785B6C" w:rsidRPr="00592F7C" w:rsidRDefault="00785B6C" w:rsidP="002D1696">
            <w:pPr>
              <w:rPr>
                <w:lang w:val="es-ES"/>
              </w:rPr>
            </w:pPr>
            <w:r w:rsidRPr="00E10B6C">
              <w:t>Utilización de informes de examen DHE existentes</w:t>
            </w:r>
          </w:p>
        </w:tc>
      </w:tr>
    </w:tbl>
    <w:p w:rsidR="00785B6C" w:rsidRPr="00592F7C" w:rsidRDefault="00785B6C" w:rsidP="00785B6C">
      <w:pPr>
        <w:rPr>
          <w:lang w:val="es-ES"/>
        </w:rPr>
      </w:pPr>
    </w:p>
    <w:p w:rsidR="00785B6C" w:rsidRPr="00592F7C" w:rsidRDefault="00785B6C" w:rsidP="00785B6C">
      <w:pPr>
        <w:rPr>
          <w:lang w:val="es-ES"/>
        </w:rPr>
      </w:pPr>
    </w:p>
    <w:p w:rsidR="00785B6C" w:rsidRPr="00592F7C" w:rsidRDefault="00785B6C" w:rsidP="00785B6C">
      <w:pPr>
        <w:rPr>
          <w:lang w:val="es-ES"/>
        </w:rPr>
      </w:pPr>
      <w:r w:rsidRPr="00592F7C">
        <w:rPr>
          <w:lang w:val="es-ES"/>
        </w:rPr>
        <w:t>3.</w:t>
      </w:r>
      <w:r w:rsidRPr="00592F7C">
        <w:rPr>
          <w:lang w:val="es-ES"/>
        </w:rPr>
        <w:tab/>
      </w:r>
      <w:r w:rsidRPr="00E10B6C">
        <w:rPr>
          <w:u w:val="single"/>
        </w:rPr>
        <w:t>Situación en el ámbito administrativo</w:t>
      </w:r>
      <w:r w:rsidRPr="00E10B6C">
        <w:t>:</w:t>
      </w:r>
      <w:r w:rsidRPr="00592F7C">
        <w:rPr>
          <w:lang w:val="es-ES"/>
        </w:rPr>
        <w:t xml:space="preserve"> </w:t>
      </w:r>
      <w:r w:rsidRPr="00E10B6C">
        <w:t>No hay novedades reseñables.</w:t>
      </w:r>
    </w:p>
    <w:p w:rsidR="00785B6C" w:rsidRPr="00592F7C" w:rsidRDefault="00785B6C" w:rsidP="00785B6C">
      <w:pPr>
        <w:rPr>
          <w:lang w:val="es-ES"/>
        </w:rPr>
      </w:pPr>
    </w:p>
    <w:p w:rsidR="00785B6C" w:rsidRPr="00592F7C" w:rsidRDefault="00785B6C" w:rsidP="00785B6C">
      <w:pPr>
        <w:rPr>
          <w:lang w:val="es-ES"/>
        </w:rPr>
      </w:pPr>
    </w:p>
    <w:p w:rsidR="00785B6C" w:rsidRPr="00592F7C" w:rsidRDefault="00785B6C" w:rsidP="00785B6C">
      <w:pPr>
        <w:rPr>
          <w:lang w:val="es-ES"/>
        </w:rPr>
      </w:pPr>
      <w:r w:rsidRPr="00592F7C">
        <w:rPr>
          <w:lang w:val="es-ES"/>
        </w:rPr>
        <w:t>4.</w:t>
      </w:r>
      <w:r w:rsidRPr="00592F7C">
        <w:rPr>
          <w:lang w:val="es-ES"/>
        </w:rPr>
        <w:tab/>
      </w:r>
      <w:r w:rsidRPr="00E10B6C">
        <w:rPr>
          <w:u w:val="single"/>
        </w:rPr>
        <w:t>Situación en el ámbito técnico</w:t>
      </w:r>
      <w:r w:rsidRPr="00E10B6C">
        <w:t>:</w:t>
      </w:r>
      <w:r w:rsidRPr="00592F7C">
        <w:rPr>
          <w:lang w:val="es-ES"/>
        </w:rPr>
        <w:t xml:space="preserve"> </w:t>
      </w:r>
      <w:r w:rsidRPr="00E10B6C">
        <w:t>No hay novedades reseñables.</w:t>
      </w:r>
    </w:p>
    <w:p w:rsidR="00785B6C" w:rsidRPr="00592F7C" w:rsidRDefault="00785B6C" w:rsidP="00785B6C">
      <w:pPr>
        <w:rPr>
          <w:lang w:val="es-ES"/>
        </w:rPr>
      </w:pPr>
    </w:p>
    <w:p w:rsidR="00785B6C" w:rsidRPr="00592F7C" w:rsidRDefault="00785B6C" w:rsidP="00785B6C">
      <w:pPr>
        <w:rPr>
          <w:lang w:val="es-ES"/>
        </w:rPr>
      </w:pPr>
    </w:p>
    <w:p w:rsidR="00785B6C" w:rsidRPr="00592F7C" w:rsidRDefault="00785B6C" w:rsidP="00785B6C">
      <w:pPr>
        <w:rPr>
          <w:u w:val="single"/>
          <w:lang w:val="es-ES"/>
        </w:rPr>
      </w:pPr>
      <w:r w:rsidRPr="00592F7C">
        <w:rPr>
          <w:lang w:val="es-ES"/>
        </w:rPr>
        <w:t>5.</w:t>
      </w:r>
      <w:r w:rsidRPr="00592F7C">
        <w:rPr>
          <w:lang w:val="es-ES"/>
        </w:rPr>
        <w:tab/>
      </w:r>
      <w:r w:rsidRPr="00E10B6C">
        <w:rPr>
          <w:u w:val="single"/>
        </w:rPr>
        <w:t>Actividades para la promoción de las variedades vegetales</w:t>
      </w:r>
    </w:p>
    <w:p w:rsidR="00785B6C" w:rsidRPr="00592F7C" w:rsidRDefault="00785B6C" w:rsidP="00785B6C">
      <w:pPr>
        <w:rPr>
          <w:lang w:val="es-ES"/>
        </w:rPr>
      </w:pPr>
    </w:p>
    <w:tbl>
      <w:tblPr>
        <w:tblStyle w:val="TableGrid"/>
        <w:tblW w:w="9891" w:type="dxa"/>
        <w:tblLayout w:type="fixed"/>
        <w:tblLook w:val="01E0" w:firstRow="1" w:lastRow="1" w:firstColumn="1" w:lastColumn="1" w:noHBand="0" w:noVBand="0"/>
      </w:tblPr>
      <w:tblGrid>
        <w:gridCol w:w="1413"/>
        <w:gridCol w:w="1134"/>
        <w:gridCol w:w="1022"/>
        <w:gridCol w:w="1246"/>
        <w:gridCol w:w="1531"/>
        <w:gridCol w:w="2098"/>
        <w:gridCol w:w="1447"/>
      </w:tblGrid>
      <w:tr w:rsidR="00785B6C" w:rsidRPr="00A67586" w:rsidTr="00785B6C">
        <w:tc>
          <w:tcPr>
            <w:tcW w:w="1413" w:type="dxa"/>
            <w:tcMar>
              <w:left w:w="57" w:type="dxa"/>
              <w:right w:w="57" w:type="dxa"/>
            </w:tcMar>
          </w:tcPr>
          <w:p w:rsidR="00785B6C" w:rsidRPr="00B30EE0" w:rsidRDefault="00785B6C" w:rsidP="00785B6C">
            <w:pPr>
              <w:jc w:val="left"/>
              <w:rPr>
                <w:sz w:val="16"/>
                <w:szCs w:val="16"/>
              </w:rPr>
            </w:pPr>
            <w:r w:rsidRPr="00E10B6C">
              <w:rPr>
                <w:sz w:val="16"/>
                <w:szCs w:val="16"/>
              </w:rPr>
              <w:t>Título de la actividad</w:t>
            </w:r>
          </w:p>
        </w:tc>
        <w:tc>
          <w:tcPr>
            <w:tcW w:w="1134" w:type="dxa"/>
            <w:tcMar>
              <w:left w:w="57" w:type="dxa"/>
              <w:right w:w="57" w:type="dxa"/>
            </w:tcMar>
          </w:tcPr>
          <w:p w:rsidR="00785B6C" w:rsidRPr="00B30EE0" w:rsidRDefault="00785B6C" w:rsidP="00785B6C">
            <w:pPr>
              <w:jc w:val="left"/>
              <w:rPr>
                <w:sz w:val="16"/>
                <w:szCs w:val="16"/>
              </w:rPr>
            </w:pPr>
            <w:r w:rsidRPr="00E10B6C">
              <w:rPr>
                <w:sz w:val="16"/>
                <w:szCs w:val="16"/>
              </w:rPr>
              <w:t>Fecha</w:t>
            </w:r>
          </w:p>
        </w:tc>
        <w:tc>
          <w:tcPr>
            <w:tcW w:w="1022" w:type="dxa"/>
            <w:tcMar>
              <w:left w:w="57" w:type="dxa"/>
              <w:right w:w="57" w:type="dxa"/>
            </w:tcMar>
          </w:tcPr>
          <w:p w:rsidR="00785B6C" w:rsidRPr="00B30EE0" w:rsidRDefault="00785B6C" w:rsidP="00785B6C">
            <w:pPr>
              <w:jc w:val="left"/>
              <w:rPr>
                <w:sz w:val="16"/>
                <w:szCs w:val="16"/>
              </w:rPr>
            </w:pPr>
            <w:r w:rsidRPr="00E10B6C">
              <w:rPr>
                <w:sz w:val="16"/>
                <w:szCs w:val="16"/>
              </w:rPr>
              <w:t>Lugar</w:t>
            </w:r>
          </w:p>
        </w:tc>
        <w:tc>
          <w:tcPr>
            <w:tcW w:w="1246" w:type="dxa"/>
            <w:tcMar>
              <w:left w:w="57" w:type="dxa"/>
              <w:right w:w="57" w:type="dxa"/>
            </w:tcMar>
          </w:tcPr>
          <w:p w:rsidR="00785B6C" w:rsidRPr="00B30EE0" w:rsidRDefault="00785B6C" w:rsidP="00785B6C">
            <w:pPr>
              <w:jc w:val="left"/>
              <w:rPr>
                <w:sz w:val="16"/>
                <w:szCs w:val="16"/>
              </w:rPr>
            </w:pPr>
            <w:r w:rsidRPr="00E10B6C">
              <w:rPr>
                <w:sz w:val="16"/>
                <w:szCs w:val="16"/>
              </w:rPr>
              <w:t>Organizador(es)</w:t>
            </w:r>
          </w:p>
        </w:tc>
        <w:tc>
          <w:tcPr>
            <w:tcW w:w="1531" w:type="dxa"/>
            <w:tcMar>
              <w:left w:w="57" w:type="dxa"/>
              <w:right w:w="57" w:type="dxa"/>
            </w:tcMar>
          </w:tcPr>
          <w:p w:rsidR="00785B6C" w:rsidRPr="00B30EE0" w:rsidRDefault="00785B6C" w:rsidP="00785B6C">
            <w:pPr>
              <w:jc w:val="left"/>
              <w:rPr>
                <w:sz w:val="16"/>
                <w:szCs w:val="16"/>
              </w:rPr>
            </w:pPr>
            <w:r w:rsidRPr="00E10B6C">
              <w:rPr>
                <w:sz w:val="16"/>
                <w:szCs w:val="16"/>
              </w:rPr>
              <w:t>Finalidad de la actividad</w:t>
            </w:r>
          </w:p>
        </w:tc>
        <w:tc>
          <w:tcPr>
            <w:tcW w:w="2098" w:type="dxa"/>
            <w:tcMar>
              <w:left w:w="57" w:type="dxa"/>
              <w:right w:w="57" w:type="dxa"/>
            </w:tcMar>
          </w:tcPr>
          <w:p w:rsidR="00785B6C" w:rsidRPr="00592F7C" w:rsidRDefault="00785B6C" w:rsidP="00785B6C">
            <w:pPr>
              <w:jc w:val="left"/>
              <w:rPr>
                <w:sz w:val="16"/>
                <w:szCs w:val="16"/>
                <w:lang w:val="es-ES"/>
              </w:rPr>
            </w:pPr>
            <w:r w:rsidRPr="00E10B6C">
              <w:rPr>
                <w:sz w:val="16"/>
                <w:szCs w:val="16"/>
              </w:rPr>
              <w:t>Países/organizaciones participantes (número de participantes en cada caso)</w:t>
            </w:r>
          </w:p>
        </w:tc>
        <w:tc>
          <w:tcPr>
            <w:tcW w:w="1447" w:type="dxa"/>
            <w:tcMar>
              <w:left w:w="57" w:type="dxa"/>
              <w:right w:w="57" w:type="dxa"/>
            </w:tcMar>
          </w:tcPr>
          <w:p w:rsidR="00785B6C" w:rsidRPr="00B30EE0" w:rsidRDefault="00785B6C" w:rsidP="00785B6C">
            <w:pPr>
              <w:jc w:val="left"/>
              <w:rPr>
                <w:sz w:val="16"/>
                <w:szCs w:val="16"/>
              </w:rPr>
            </w:pPr>
            <w:r w:rsidRPr="00E10B6C">
              <w:rPr>
                <w:sz w:val="16"/>
                <w:szCs w:val="16"/>
              </w:rPr>
              <w:t>Observaciones</w:t>
            </w:r>
          </w:p>
        </w:tc>
      </w:tr>
      <w:tr w:rsidR="00785B6C" w:rsidRPr="00592F7C" w:rsidTr="00785B6C">
        <w:tc>
          <w:tcPr>
            <w:tcW w:w="1413" w:type="dxa"/>
            <w:tcMar>
              <w:left w:w="57" w:type="dxa"/>
              <w:right w:w="57" w:type="dxa"/>
            </w:tcMar>
          </w:tcPr>
          <w:p w:rsidR="00785B6C" w:rsidRPr="00592F7C" w:rsidRDefault="00785B6C" w:rsidP="00785B6C">
            <w:pPr>
              <w:jc w:val="left"/>
              <w:rPr>
                <w:rFonts w:cs="Arial"/>
                <w:sz w:val="16"/>
                <w:szCs w:val="16"/>
                <w:lang w:val="es-ES"/>
              </w:rPr>
            </w:pPr>
            <w:r w:rsidRPr="00592F7C">
              <w:rPr>
                <w:rFonts w:cs="Arial"/>
                <w:sz w:val="16"/>
                <w:szCs w:val="16"/>
                <w:lang w:val="es-ES"/>
              </w:rPr>
              <w:t xml:space="preserve">1. </w:t>
            </w:r>
            <w:r w:rsidRPr="00E10B6C">
              <w:rPr>
                <w:rFonts w:cs="Arial"/>
                <w:sz w:val="16"/>
                <w:szCs w:val="16"/>
              </w:rPr>
              <w:t>Curso general sobre propiedad intelectual</w:t>
            </w:r>
          </w:p>
        </w:tc>
        <w:tc>
          <w:tcPr>
            <w:tcW w:w="1134" w:type="dxa"/>
            <w:tcMar>
              <w:left w:w="57" w:type="dxa"/>
              <w:right w:w="57" w:type="dxa"/>
            </w:tcMar>
          </w:tcPr>
          <w:p w:rsidR="00785B6C" w:rsidRPr="00592F7C" w:rsidRDefault="00785B6C" w:rsidP="00785B6C">
            <w:pPr>
              <w:jc w:val="left"/>
              <w:rPr>
                <w:rFonts w:cs="Arial"/>
                <w:sz w:val="16"/>
                <w:szCs w:val="16"/>
                <w:lang w:val="es-ES"/>
              </w:rPr>
            </w:pPr>
            <w:r w:rsidRPr="00E10B6C">
              <w:rPr>
                <w:rFonts w:cs="Arial"/>
                <w:sz w:val="16"/>
                <w:szCs w:val="16"/>
              </w:rPr>
              <w:t>4 de febrero a 3 de abril de 2020</w:t>
            </w:r>
          </w:p>
        </w:tc>
        <w:tc>
          <w:tcPr>
            <w:tcW w:w="1022" w:type="dxa"/>
            <w:tcMar>
              <w:left w:w="57" w:type="dxa"/>
              <w:right w:w="57" w:type="dxa"/>
            </w:tcMar>
          </w:tcPr>
          <w:p w:rsidR="00785B6C" w:rsidRPr="00592F7C" w:rsidRDefault="00785B6C" w:rsidP="00785B6C">
            <w:pPr>
              <w:jc w:val="left"/>
              <w:rPr>
                <w:rFonts w:cs="Arial"/>
                <w:sz w:val="16"/>
                <w:szCs w:val="16"/>
                <w:lang w:val="es-ES"/>
              </w:rPr>
            </w:pPr>
            <w:r w:rsidRPr="00E10B6C">
              <w:rPr>
                <w:rFonts w:cs="Arial"/>
                <w:sz w:val="16"/>
                <w:szCs w:val="16"/>
              </w:rPr>
              <w:t>Curso de enseñanza a distancia</w:t>
            </w:r>
          </w:p>
        </w:tc>
        <w:tc>
          <w:tcPr>
            <w:tcW w:w="1246" w:type="dxa"/>
            <w:tcMar>
              <w:left w:w="57" w:type="dxa"/>
              <w:right w:w="57" w:type="dxa"/>
            </w:tcMar>
          </w:tcPr>
          <w:p w:rsidR="00785B6C" w:rsidRPr="00592F7C" w:rsidRDefault="00785B6C" w:rsidP="00785B6C">
            <w:pPr>
              <w:jc w:val="left"/>
              <w:rPr>
                <w:rFonts w:cs="Arial"/>
                <w:sz w:val="16"/>
                <w:szCs w:val="16"/>
                <w:lang w:val="es-ES"/>
              </w:rPr>
            </w:pPr>
            <w:r w:rsidRPr="00E10B6C">
              <w:rPr>
                <w:rFonts w:cs="Arial"/>
                <w:sz w:val="16"/>
                <w:szCs w:val="16"/>
              </w:rPr>
              <w:t>INPI (Instituto Nacional de la Propiedad Industrial del Brasil)</w:t>
            </w:r>
            <w:r w:rsidRPr="00592F7C">
              <w:rPr>
                <w:rFonts w:cs="Arial"/>
                <w:sz w:val="16"/>
                <w:szCs w:val="16"/>
                <w:lang w:val="es-ES"/>
              </w:rPr>
              <w:t xml:space="preserve"> </w:t>
            </w:r>
          </w:p>
          <w:p w:rsidR="00785B6C" w:rsidRPr="00B30EE0" w:rsidRDefault="00785B6C" w:rsidP="00785B6C">
            <w:pPr>
              <w:jc w:val="left"/>
              <w:rPr>
                <w:rFonts w:cs="Arial"/>
                <w:sz w:val="16"/>
                <w:szCs w:val="16"/>
              </w:rPr>
            </w:pPr>
            <w:r w:rsidRPr="00E10B6C">
              <w:rPr>
                <w:rFonts w:cs="Arial"/>
                <w:sz w:val="16"/>
                <w:szCs w:val="16"/>
              </w:rPr>
              <w:t>OMPI</w:t>
            </w:r>
          </w:p>
        </w:tc>
        <w:tc>
          <w:tcPr>
            <w:tcW w:w="1531" w:type="dxa"/>
            <w:tcMar>
              <w:left w:w="57" w:type="dxa"/>
              <w:right w:w="57" w:type="dxa"/>
            </w:tcMar>
          </w:tcPr>
          <w:p w:rsidR="00785B6C" w:rsidRPr="00592F7C" w:rsidRDefault="00785B6C" w:rsidP="00785B6C">
            <w:pPr>
              <w:jc w:val="left"/>
              <w:rPr>
                <w:rFonts w:cs="Arial"/>
                <w:sz w:val="16"/>
                <w:szCs w:val="16"/>
                <w:lang w:val="es-ES"/>
              </w:rPr>
            </w:pPr>
            <w:r w:rsidRPr="00E10B6C">
              <w:rPr>
                <w:rFonts w:cs="Arial"/>
                <w:sz w:val="16"/>
                <w:szCs w:val="16"/>
              </w:rPr>
              <w:t>Curso general sobre propiedad intelectual con un capítulo dedicado a la protección de las obtenciones vegetales</w:t>
            </w:r>
            <w:r w:rsidRPr="00592F7C">
              <w:rPr>
                <w:rFonts w:cs="Arial"/>
                <w:sz w:val="16"/>
                <w:szCs w:val="16"/>
                <w:lang w:val="es-ES"/>
              </w:rPr>
              <w:t xml:space="preserve"> </w:t>
            </w:r>
          </w:p>
        </w:tc>
        <w:tc>
          <w:tcPr>
            <w:tcW w:w="2098" w:type="dxa"/>
            <w:tcMar>
              <w:left w:w="57" w:type="dxa"/>
              <w:right w:w="57" w:type="dxa"/>
            </w:tcMar>
          </w:tcPr>
          <w:p w:rsidR="00785B6C" w:rsidRPr="00592F7C" w:rsidRDefault="00785B6C" w:rsidP="00785B6C">
            <w:pPr>
              <w:jc w:val="left"/>
              <w:rPr>
                <w:rFonts w:cs="Arial"/>
                <w:sz w:val="16"/>
                <w:szCs w:val="16"/>
                <w:lang w:val="es-ES"/>
              </w:rPr>
            </w:pPr>
            <w:r w:rsidRPr="00E10B6C">
              <w:rPr>
                <w:rFonts w:cs="Arial"/>
                <w:sz w:val="16"/>
                <w:szCs w:val="16"/>
              </w:rPr>
              <w:t>Alrededor de 2.000 participantes (todos ellos del Brasil) de distintos ámbitos (estudiantes, abogados, representantes legales, funcionarios públicos, investigadores, etc.)</w:t>
            </w:r>
          </w:p>
        </w:tc>
        <w:tc>
          <w:tcPr>
            <w:tcW w:w="1447" w:type="dxa"/>
            <w:tcMar>
              <w:left w:w="57" w:type="dxa"/>
              <w:right w:w="57" w:type="dxa"/>
            </w:tcMar>
          </w:tcPr>
          <w:p w:rsidR="00785B6C" w:rsidRPr="00592F7C" w:rsidRDefault="00785B6C" w:rsidP="00785B6C">
            <w:pPr>
              <w:jc w:val="left"/>
              <w:rPr>
                <w:rFonts w:cs="Arial"/>
                <w:sz w:val="16"/>
                <w:szCs w:val="16"/>
                <w:lang w:val="es-ES"/>
              </w:rPr>
            </w:pPr>
            <w:r w:rsidRPr="00E10B6C">
              <w:rPr>
                <w:rFonts w:cs="Arial"/>
                <w:sz w:val="16"/>
                <w:szCs w:val="16"/>
              </w:rPr>
              <w:t>Los examinadores del SNPC (la oficina de protección de las obtenciones vegetales del Brasil) actuaron de tutores en los debates sobre protección de las obtenciones vegetales</w:t>
            </w:r>
            <w:r w:rsidRPr="00592F7C">
              <w:rPr>
                <w:rFonts w:cs="Arial"/>
                <w:sz w:val="16"/>
                <w:szCs w:val="16"/>
                <w:lang w:val="es-ES"/>
              </w:rPr>
              <w:t xml:space="preserve"> </w:t>
            </w:r>
          </w:p>
        </w:tc>
      </w:tr>
      <w:tr w:rsidR="00785B6C" w:rsidRPr="00592F7C" w:rsidTr="00785B6C">
        <w:tc>
          <w:tcPr>
            <w:tcW w:w="1413" w:type="dxa"/>
            <w:tcMar>
              <w:left w:w="57" w:type="dxa"/>
              <w:right w:w="57" w:type="dxa"/>
            </w:tcMar>
          </w:tcPr>
          <w:p w:rsidR="00785B6C" w:rsidRPr="00592F7C" w:rsidRDefault="00785B6C" w:rsidP="00785B6C">
            <w:pPr>
              <w:jc w:val="left"/>
              <w:rPr>
                <w:rFonts w:cs="Arial"/>
                <w:sz w:val="16"/>
                <w:szCs w:val="16"/>
                <w:lang w:val="es-ES"/>
              </w:rPr>
            </w:pPr>
            <w:r w:rsidRPr="00592F7C">
              <w:rPr>
                <w:rFonts w:cs="Arial"/>
                <w:sz w:val="16"/>
                <w:szCs w:val="16"/>
                <w:lang w:val="es-ES"/>
              </w:rPr>
              <w:t xml:space="preserve">2. </w:t>
            </w:r>
            <w:r w:rsidRPr="00E10B6C">
              <w:rPr>
                <w:rFonts w:cs="Arial"/>
                <w:sz w:val="16"/>
                <w:szCs w:val="16"/>
              </w:rPr>
              <w:t>Curso general sobre propiedad intelectual</w:t>
            </w:r>
          </w:p>
        </w:tc>
        <w:tc>
          <w:tcPr>
            <w:tcW w:w="1134" w:type="dxa"/>
            <w:tcMar>
              <w:left w:w="57" w:type="dxa"/>
              <w:right w:w="57" w:type="dxa"/>
            </w:tcMar>
          </w:tcPr>
          <w:p w:rsidR="00785B6C" w:rsidRPr="00592F7C" w:rsidRDefault="00785B6C" w:rsidP="00785B6C">
            <w:pPr>
              <w:jc w:val="left"/>
              <w:rPr>
                <w:rFonts w:cs="Arial"/>
                <w:sz w:val="16"/>
                <w:szCs w:val="16"/>
                <w:lang w:val="es-ES"/>
              </w:rPr>
            </w:pPr>
            <w:r w:rsidRPr="00E10B6C">
              <w:rPr>
                <w:rFonts w:cs="Arial"/>
                <w:sz w:val="16"/>
                <w:szCs w:val="16"/>
              </w:rPr>
              <w:t>28 de abril a 26 de junio de 2020</w:t>
            </w:r>
          </w:p>
        </w:tc>
        <w:tc>
          <w:tcPr>
            <w:tcW w:w="1022" w:type="dxa"/>
            <w:tcMar>
              <w:left w:w="57" w:type="dxa"/>
              <w:right w:w="57" w:type="dxa"/>
            </w:tcMar>
          </w:tcPr>
          <w:p w:rsidR="00785B6C" w:rsidRPr="00592F7C" w:rsidRDefault="00785B6C" w:rsidP="00785B6C">
            <w:pPr>
              <w:jc w:val="left"/>
              <w:rPr>
                <w:rFonts w:cs="Arial"/>
                <w:sz w:val="16"/>
                <w:szCs w:val="16"/>
                <w:lang w:val="es-ES"/>
              </w:rPr>
            </w:pPr>
            <w:r w:rsidRPr="00E10B6C">
              <w:rPr>
                <w:rFonts w:cs="Arial"/>
                <w:sz w:val="16"/>
                <w:szCs w:val="16"/>
              </w:rPr>
              <w:t>Curso de enseñanza a distancia</w:t>
            </w:r>
          </w:p>
        </w:tc>
        <w:tc>
          <w:tcPr>
            <w:tcW w:w="1246" w:type="dxa"/>
            <w:tcMar>
              <w:left w:w="57" w:type="dxa"/>
              <w:right w:w="57" w:type="dxa"/>
            </w:tcMar>
          </w:tcPr>
          <w:p w:rsidR="00785B6C" w:rsidRPr="00592F7C" w:rsidRDefault="00785B6C" w:rsidP="00785B6C">
            <w:pPr>
              <w:jc w:val="left"/>
              <w:rPr>
                <w:rFonts w:cs="Arial"/>
                <w:sz w:val="16"/>
                <w:szCs w:val="16"/>
                <w:lang w:val="es-ES"/>
              </w:rPr>
            </w:pPr>
            <w:r w:rsidRPr="00E10B6C">
              <w:rPr>
                <w:rFonts w:cs="Arial"/>
                <w:sz w:val="16"/>
                <w:szCs w:val="16"/>
              </w:rPr>
              <w:t>INPI (Instituto Nacional de la Propiedad Industrial del Brasil)</w:t>
            </w:r>
            <w:r w:rsidRPr="00592F7C">
              <w:rPr>
                <w:rFonts w:cs="Arial"/>
                <w:sz w:val="16"/>
                <w:szCs w:val="16"/>
                <w:lang w:val="es-ES"/>
              </w:rPr>
              <w:t xml:space="preserve"> </w:t>
            </w:r>
          </w:p>
          <w:p w:rsidR="00785B6C" w:rsidRPr="00B30EE0" w:rsidRDefault="00785B6C" w:rsidP="00785B6C">
            <w:pPr>
              <w:jc w:val="left"/>
              <w:rPr>
                <w:rFonts w:cs="Arial"/>
                <w:sz w:val="16"/>
                <w:szCs w:val="16"/>
              </w:rPr>
            </w:pPr>
            <w:r w:rsidRPr="00E10B6C">
              <w:rPr>
                <w:rFonts w:cs="Arial"/>
                <w:sz w:val="16"/>
                <w:szCs w:val="16"/>
              </w:rPr>
              <w:t>OMPI</w:t>
            </w:r>
          </w:p>
        </w:tc>
        <w:tc>
          <w:tcPr>
            <w:tcW w:w="1531" w:type="dxa"/>
            <w:tcMar>
              <w:left w:w="57" w:type="dxa"/>
              <w:right w:w="57" w:type="dxa"/>
            </w:tcMar>
          </w:tcPr>
          <w:p w:rsidR="00785B6C" w:rsidRPr="00592F7C" w:rsidRDefault="00785B6C" w:rsidP="00785B6C">
            <w:pPr>
              <w:jc w:val="left"/>
              <w:rPr>
                <w:rFonts w:cs="Arial"/>
                <w:sz w:val="16"/>
                <w:szCs w:val="16"/>
                <w:lang w:val="es-ES"/>
              </w:rPr>
            </w:pPr>
            <w:r w:rsidRPr="00E10B6C">
              <w:rPr>
                <w:rFonts w:cs="Arial"/>
                <w:sz w:val="16"/>
                <w:szCs w:val="16"/>
              </w:rPr>
              <w:t>Curso general sobre propiedad intelectual con un capítulo dedicado a la protección de las obtenciones vegetales</w:t>
            </w:r>
            <w:r w:rsidRPr="00592F7C">
              <w:rPr>
                <w:rFonts w:cs="Arial"/>
                <w:sz w:val="16"/>
                <w:szCs w:val="16"/>
                <w:lang w:val="es-ES"/>
              </w:rPr>
              <w:t xml:space="preserve"> </w:t>
            </w:r>
          </w:p>
        </w:tc>
        <w:tc>
          <w:tcPr>
            <w:tcW w:w="2098" w:type="dxa"/>
            <w:tcMar>
              <w:left w:w="57" w:type="dxa"/>
              <w:right w:w="57" w:type="dxa"/>
            </w:tcMar>
          </w:tcPr>
          <w:p w:rsidR="00785B6C" w:rsidRPr="00592F7C" w:rsidRDefault="00785B6C" w:rsidP="00785B6C">
            <w:pPr>
              <w:jc w:val="left"/>
              <w:rPr>
                <w:rFonts w:cs="Arial"/>
                <w:sz w:val="16"/>
                <w:szCs w:val="16"/>
                <w:lang w:val="es-ES"/>
              </w:rPr>
            </w:pPr>
            <w:r w:rsidRPr="00E10B6C">
              <w:rPr>
                <w:rFonts w:cs="Arial"/>
                <w:sz w:val="16"/>
                <w:szCs w:val="16"/>
              </w:rPr>
              <w:t>Alrededor de 2.000 participantes (todos ellos del Brasil) de distintos ámbitos (estudiantes, abogados, representantes legales, funcionarios públicos, investigadores, etc.)</w:t>
            </w:r>
          </w:p>
        </w:tc>
        <w:tc>
          <w:tcPr>
            <w:tcW w:w="1447" w:type="dxa"/>
            <w:tcMar>
              <w:left w:w="57" w:type="dxa"/>
              <w:right w:w="57" w:type="dxa"/>
            </w:tcMar>
          </w:tcPr>
          <w:p w:rsidR="00785B6C" w:rsidRPr="00592F7C" w:rsidRDefault="00785B6C" w:rsidP="00785B6C">
            <w:pPr>
              <w:jc w:val="left"/>
              <w:rPr>
                <w:rFonts w:cs="Arial"/>
                <w:sz w:val="16"/>
                <w:szCs w:val="16"/>
                <w:lang w:val="es-ES"/>
              </w:rPr>
            </w:pPr>
            <w:r w:rsidRPr="00E10B6C">
              <w:rPr>
                <w:rFonts w:cs="Arial"/>
                <w:sz w:val="16"/>
                <w:szCs w:val="16"/>
              </w:rPr>
              <w:t>Los examinadores del SNPC actuaron de tutores en los debates sobre protección de las obtenciones vegetales</w:t>
            </w:r>
            <w:r w:rsidRPr="00592F7C">
              <w:rPr>
                <w:rFonts w:cs="Arial"/>
                <w:sz w:val="16"/>
                <w:szCs w:val="16"/>
                <w:lang w:val="es-ES"/>
              </w:rPr>
              <w:t xml:space="preserve"> </w:t>
            </w:r>
          </w:p>
        </w:tc>
      </w:tr>
      <w:tr w:rsidR="00785B6C" w:rsidRPr="00592F7C" w:rsidTr="00785B6C">
        <w:tc>
          <w:tcPr>
            <w:tcW w:w="1413" w:type="dxa"/>
            <w:tcMar>
              <w:left w:w="57" w:type="dxa"/>
              <w:right w:w="57" w:type="dxa"/>
            </w:tcMar>
          </w:tcPr>
          <w:p w:rsidR="00785B6C" w:rsidRPr="00592F7C" w:rsidRDefault="00785B6C" w:rsidP="00785B6C">
            <w:pPr>
              <w:jc w:val="left"/>
              <w:rPr>
                <w:rFonts w:cs="Arial"/>
                <w:sz w:val="16"/>
                <w:szCs w:val="16"/>
                <w:lang w:val="es-ES"/>
              </w:rPr>
            </w:pPr>
            <w:r w:rsidRPr="00592F7C">
              <w:rPr>
                <w:rFonts w:cs="Arial"/>
                <w:sz w:val="16"/>
                <w:szCs w:val="16"/>
                <w:lang w:val="es-ES"/>
              </w:rPr>
              <w:t xml:space="preserve">3. </w:t>
            </w:r>
            <w:r w:rsidRPr="00E10B6C">
              <w:rPr>
                <w:rFonts w:cs="Arial"/>
                <w:sz w:val="16"/>
                <w:szCs w:val="16"/>
              </w:rPr>
              <w:t>Curso general sobre propiedad intelectual</w:t>
            </w:r>
          </w:p>
        </w:tc>
        <w:tc>
          <w:tcPr>
            <w:tcW w:w="1134" w:type="dxa"/>
            <w:tcMar>
              <w:left w:w="57" w:type="dxa"/>
              <w:right w:w="57" w:type="dxa"/>
            </w:tcMar>
          </w:tcPr>
          <w:p w:rsidR="00785B6C" w:rsidRPr="00592F7C" w:rsidRDefault="00785B6C" w:rsidP="00785B6C">
            <w:pPr>
              <w:jc w:val="left"/>
              <w:rPr>
                <w:rFonts w:cs="Arial"/>
                <w:sz w:val="16"/>
                <w:szCs w:val="16"/>
                <w:lang w:val="es-ES"/>
              </w:rPr>
            </w:pPr>
            <w:r w:rsidRPr="00E10B6C">
              <w:rPr>
                <w:rFonts w:cs="Arial"/>
                <w:sz w:val="16"/>
                <w:szCs w:val="16"/>
              </w:rPr>
              <w:t>28 de julio a 25 de septiembre de 2020 (no ha finalizado aún)</w:t>
            </w:r>
          </w:p>
        </w:tc>
        <w:tc>
          <w:tcPr>
            <w:tcW w:w="1022" w:type="dxa"/>
            <w:tcMar>
              <w:left w:w="57" w:type="dxa"/>
              <w:right w:w="57" w:type="dxa"/>
            </w:tcMar>
          </w:tcPr>
          <w:p w:rsidR="00785B6C" w:rsidRPr="00592F7C" w:rsidRDefault="00785B6C" w:rsidP="00785B6C">
            <w:pPr>
              <w:jc w:val="left"/>
              <w:rPr>
                <w:rFonts w:cs="Arial"/>
                <w:sz w:val="16"/>
                <w:szCs w:val="16"/>
                <w:lang w:val="es-ES"/>
              </w:rPr>
            </w:pPr>
            <w:r w:rsidRPr="00E10B6C">
              <w:rPr>
                <w:rFonts w:cs="Arial"/>
                <w:sz w:val="16"/>
                <w:szCs w:val="16"/>
              </w:rPr>
              <w:t>Curso de enseñanza a distancia</w:t>
            </w:r>
          </w:p>
        </w:tc>
        <w:tc>
          <w:tcPr>
            <w:tcW w:w="1246" w:type="dxa"/>
            <w:tcMar>
              <w:left w:w="57" w:type="dxa"/>
              <w:right w:w="57" w:type="dxa"/>
            </w:tcMar>
          </w:tcPr>
          <w:p w:rsidR="00785B6C" w:rsidRPr="00592F7C" w:rsidRDefault="00785B6C" w:rsidP="00785B6C">
            <w:pPr>
              <w:jc w:val="left"/>
              <w:rPr>
                <w:rFonts w:cs="Arial"/>
                <w:sz w:val="16"/>
                <w:szCs w:val="16"/>
                <w:lang w:val="es-ES"/>
              </w:rPr>
            </w:pPr>
            <w:r w:rsidRPr="00E10B6C">
              <w:rPr>
                <w:rFonts w:cs="Arial"/>
                <w:sz w:val="16"/>
                <w:szCs w:val="16"/>
              </w:rPr>
              <w:t>INPI (Instituto Nacional de la Propiedad Industrial del Brasil)</w:t>
            </w:r>
            <w:r w:rsidRPr="00592F7C">
              <w:rPr>
                <w:rFonts w:cs="Arial"/>
                <w:sz w:val="16"/>
                <w:szCs w:val="16"/>
                <w:lang w:val="es-ES"/>
              </w:rPr>
              <w:t xml:space="preserve"> </w:t>
            </w:r>
          </w:p>
          <w:p w:rsidR="00785B6C" w:rsidRPr="00B30EE0" w:rsidRDefault="00785B6C" w:rsidP="00785B6C">
            <w:pPr>
              <w:jc w:val="left"/>
              <w:rPr>
                <w:rFonts w:cs="Arial"/>
                <w:sz w:val="16"/>
                <w:szCs w:val="16"/>
              </w:rPr>
            </w:pPr>
            <w:r w:rsidRPr="00E10B6C">
              <w:rPr>
                <w:rFonts w:cs="Arial"/>
                <w:sz w:val="16"/>
                <w:szCs w:val="16"/>
              </w:rPr>
              <w:t>OMPI</w:t>
            </w:r>
          </w:p>
        </w:tc>
        <w:tc>
          <w:tcPr>
            <w:tcW w:w="1531" w:type="dxa"/>
            <w:tcMar>
              <w:left w:w="57" w:type="dxa"/>
              <w:right w:w="57" w:type="dxa"/>
            </w:tcMar>
          </w:tcPr>
          <w:p w:rsidR="00785B6C" w:rsidRPr="00592F7C" w:rsidRDefault="00785B6C" w:rsidP="00785B6C">
            <w:pPr>
              <w:jc w:val="left"/>
              <w:rPr>
                <w:rFonts w:cs="Arial"/>
                <w:sz w:val="16"/>
                <w:szCs w:val="16"/>
                <w:lang w:val="es-ES"/>
              </w:rPr>
            </w:pPr>
            <w:r w:rsidRPr="00E10B6C">
              <w:rPr>
                <w:rFonts w:cs="Arial"/>
                <w:sz w:val="16"/>
                <w:szCs w:val="16"/>
              </w:rPr>
              <w:t>Curso general sobre propiedad intelectual con un capítulo dedicado a la protección de las obtenciones vegetales</w:t>
            </w:r>
            <w:r w:rsidRPr="00592F7C">
              <w:rPr>
                <w:rFonts w:cs="Arial"/>
                <w:sz w:val="16"/>
                <w:szCs w:val="16"/>
                <w:lang w:val="es-ES"/>
              </w:rPr>
              <w:t xml:space="preserve"> </w:t>
            </w:r>
          </w:p>
        </w:tc>
        <w:tc>
          <w:tcPr>
            <w:tcW w:w="2098" w:type="dxa"/>
            <w:tcMar>
              <w:left w:w="57" w:type="dxa"/>
              <w:right w:w="57" w:type="dxa"/>
            </w:tcMar>
          </w:tcPr>
          <w:p w:rsidR="00785B6C" w:rsidRPr="00592F7C" w:rsidRDefault="00785B6C" w:rsidP="00785B6C">
            <w:pPr>
              <w:jc w:val="left"/>
              <w:rPr>
                <w:rFonts w:cs="Arial"/>
                <w:sz w:val="16"/>
                <w:szCs w:val="16"/>
                <w:lang w:val="es-ES"/>
              </w:rPr>
            </w:pPr>
            <w:r w:rsidRPr="00E10B6C">
              <w:rPr>
                <w:rFonts w:cs="Arial"/>
                <w:sz w:val="16"/>
                <w:szCs w:val="16"/>
              </w:rPr>
              <w:t>Alrededor de 2.000 participantes (todos ellos del Brasil) de distintos ámbitos (estudiantes, abogados, representantes legales, funcionarios públicos, investigadores, etc.)</w:t>
            </w:r>
          </w:p>
        </w:tc>
        <w:tc>
          <w:tcPr>
            <w:tcW w:w="1447" w:type="dxa"/>
            <w:tcMar>
              <w:left w:w="57" w:type="dxa"/>
              <w:right w:w="57" w:type="dxa"/>
            </w:tcMar>
          </w:tcPr>
          <w:p w:rsidR="00785B6C" w:rsidRPr="00592F7C" w:rsidRDefault="00785B6C" w:rsidP="00785B6C">
            <w:pPr>
              <w:jc w:val="left"/>
              <w:rPr>
                <w:rFonts w:cs="Arial"/>
                <w:sz w:val="16"/>
                <w:szCs w:val="16"/>
                <w:lang w:val="es-ES"/>
              </w:rPr>
            </w:pPr>
            <w:r w:rsidRPr="00E10B6C">
              <w:rPr>
                <w:rFonts w:cs="Arial"/>
                <w:sz w:val="16"/>
                <w:szCs w:val="16"/>
              </w:rPr>
              <w:t>Los examinadores del SNPC actuaron de tutores en los debates sobre protección de las obtenciones vegetales</w:t>
            </w:r>
            <w:r w:rsidRPr="00592F7C">
              <w:rPr>
                <w:rFonts w:cs="Arial"/>
                <w:sz w:val="16"/>
                <w:szCs w:val="16"/>
                <w:lang w:val="es-ES"/>
              </w:rPr>
              <w:t xml:space="preserve"> </w:t>
            </w:r>
          </w:p>
        </w:tc>
      </w:tr>
      <w:tr w:rsidR="00785B6C" w:rsidRPr="00592F7C" w:rsidTr="00785B6C">
        <w:tc>
          <w:tcPr>
            <w:tcW w:w="1413" w:type="dxa"/>
            <w:tcMar>
              <w:left w:w="57" w:type="dxa"/>
              <w:right w:w="57" w:type="dxa"/>
            </w:tcMar>
          </w:tcPr>
          <w:p w:rsidR="00785B6C" w:rsidRPr="00592F7C" w:rsidRDefault="00785B6C" w:rsidP="00785B6C">
            <w:pPr>
              <w:jc w:val="left"/>
              <w:rPr>
                <w:rFonts w:cs="Arial"/>
                <w:sz w:val="16"/>
                <w:szCs w:val="16"/>
                <w:lang w:val="es-ES"/>
              </w:rPr>
            </w:pPr>
            <w:r w:rsidRPr="00592F7C">
              <w:rPr>
                <w:rFonts w:cs="Arial"/>
                <w:sz w:val="16"/>
                <w:szCs w:val="16"/>
                <w:lang w:val="es-ES"/>
              </w:rPr>
              <w:t xml:space="preserve">5. </w:t>
            </w:r>
            <w:r w:rsidRPr="00E10B6C">
              <w:rPr>
                <w:rFonts w:cs="Arial"/>
                <w:sz w:val="16"/>
                <w:szCs w:val="16"/>
              </w:rPr>
              <w:t>La Ley de Protección de las Obtenciones Vegetales:</w:t>
            </w:r>
            <w:r w:rsidRPr="00592F7C">
              <w:rPr>
                <w:rFonts w:cs="Arial"/>
                <w:sz w:val="16"/>
                <w:szCs w:val="16"/>
                <w:lang w:val="es-ES"/>
              </w:rPr>
              <w:t xml:space="preserve"> </w:t>
            </w:r>
            <w:r w:rsidRPr="00E10B6C">
              <w:rPr>
                <w:rFonts w:cs="Arial"/>
                <w:sz w:val="16"/>
                <w:szCs w:val="16"/>
              </w:rPr>
              <w:t>retos y oportunidades</w:t>
            </w:r>
          </w:p>
        </w:tc>
        <w:tc>
          <w:tcPr>
            <w:tcW w:w="1134" w:type="dxa"/>
            <w:tcMar>
              <w:left w:w="57" w:type="dxa"/>
              <w:right w:w="57" w:type="dxa"/>
            </w:tcMar>
          </w:tcPr>
          <w:p w:rsidR="00785B6C" w:rsidRPr="00B30EE0" w:rsidRDefault="00785B6C" w:rsidP="00785B6C">
            <w:pPr>
              <w:jc w:val="left"/>
              <w:rPr>
                <w:rFonts w:cs="Arial"/>
                <w:sz w:val="16"/>
                <w:szCs w:val="16"/>
              </w:rPr>
            </w:pPr>
            <w:r w:rsidRPr="00E10B6C">
              <w:rPr>
                <w:rFonts w:cs="Arial"/>
                <w:sz w:val="16"/>
                <w:szCs w:val="16"/>
              </w:rPr>
              <w:t>2 de julio de 2020</w:t>
            </w:r>
          </w:p>
        </w:tc>
        <w:tc>
          <w:tcPr>
            <w:tcW w:w="1022" w:type="dxa"/>
            <w:tcMar>
              <w:left w:w="57" w:type="dxa"/>
              <w:right w:w="57" w:type="dxa"/>
            </w:tcMar>
          </w:tcPr>
          <w:p w:rsidR="00785B6C" w:rsidRPr="00B30EE0" w:rsidRDefault="00785B6C" w:rsidP="00785B6C">
            <w:pPr>
              <w:jc w:val="left"/>
              <w:rPr>
                <w:rFonts w:cs="Arial"/>
                <w:sz w:val="16"/>
                <w:szCs w:val="16"/>
              </w:rPr>
            </w:pPr>
            <w:r w:rsidRPr="00E10B6C">
              <w:rPr>
                <w:rFonts w:cs="Arial"/>
                <w:sz w:val="16"/>
                <w:szCs w:val="16"/>
              </w:rPr>
              <w:t>Por Internet</w:t>
            </w:r>
          </w:p>
        </w:tc>
        <w:tc>
          <w:tcPr>
            <w:tcW w:w="1246" w:type="dxa"/>
            <w:tcMar>
              <w:left w:w="57" w:type="dxa"/>
              <w:right w:w="57" w:type="dxa"/>
            </w:tcMar>
          </w:tcPr>
          <w:p w:rsidR="00785B6C" w:rsidRPr="00B30EE0" w:rsidRDefault="00785B6C" w:rsidP="00785B6C">
            <w:pPr>
              <w:jc w:val="left"/>
              <w:rPr>
                <w:rFonts w:cs="Arial"/>
                <w:sz w:val="16"/>
                <w:szCs w:val="16"/>
              </w:rPr>
            </w:pPr>
            <w:proofErr w:type="spellStart"/>
            <w:r w:rsidRPr="00E10B6C">
              <w:rPr>
                <w:rFonts w:cs="Arial"/>
                <w:sz w:val="16"/>
                <w:szCs w:val="16"/>
              </w:rPr>
              <w:t>CropLife</w:t>
            </w:r>
            <w:proofErr w:type="spellEnd"/>
            <w:r w:rsidRPr="00E10B6C">
              <w:rPr>
                <w:rFonts w:cs="Arial"/>
                <w:sz w:val="16"/>
                <w:szCs w:val="16"/>
              </w:rPr>
              <w:t xml:space="preserve"> Brasil y </w:t>
            </w:r>
            <w:proofErr w:type="spellStart"/>
            <w:r w:rsidRPr="00E10B6C">
              <w:rPr>
                <w:rFonts w:cs="Arial"/>
                <w:sz w:val="16"/>
                <w:szCs w:val="16"/>
              </w:rPr>
              <w:t>Braspov</w:t>
            </w:r>
            <w:proofErr w:type="spellEnd"/>
          </w:p>
        </w:tc>
        <w:tc>
          <w:tcPr>
            <w:tcW w:w="1531" w:type="dxa"/>
            <w:tcMar>
              <w:left w:w="57" w:type="dxa"/>
              <w:right w:w="57" w:type="dxa"/>
            </w:tcMar>
          </w:tcPr>
          <w:p w:rsidR="00785B6C" w:rsidRPr="00592F7C" w:rsidRDefault="00785B6C" w:rsidP="00785B6C">
            <w:pPr>
              <w:jc w:val="left"/>
              <w:rPr>
                <w:rFonts w:cs="Arial"/>
                <w:sz w:val="16"/>
                <w:szCs w:val="16"/>
                <w:lang w:val="es-ES"/>
              </w:rPr>
            </w:pPr>
            <w:r w:rsidRPr="00E10B6C">
              <w:rPr>
                <w:rFonts w:cs="Arial"/>
                <w:sz w:val="16"/>
                <w:szCs w:val="16"/>
              </w:rPr>
              <w:t>Participación de la oficina de protección de las obtenciones vegetales para explicar sus demandas ante una eventual nueva Ley de Protección de las Obtenciones Vegetales</w:t>
            </w:r>
          </w:p>
        </w:tc>
        <w:tc>
          <w:tcPr>
            <w:tcW w:w="2098" w:type="dxa"/>
            <w:tcMar>
              <w:left w:w="57" w:type="dxa"/>
              <w:right w:w="57" w:type="dxa"/>
            </w:tcMar>
          </w:tcPr>
          <w:p w:rsidR="00785B6C" w:rsidRPr="00592F7C" w:rsidRDefault="00785B6C" w:rsidP="00785B6C">
            <w:pPr>
              <w:jc w:val="left"/>
              <w:rPr>
                <w:rFonts w:cs="Arial"/>
                <w:sz w:val="16"/>
                <w:szCs w:val="16"/>
                <w:lang w:val="es-ES"/>
              </w:rPr>
            </w:pPr>
            <w:r w:rsidRPr="00E10B6C">
              <w:rPr>
                <w:rFonts w:cs="Arial"/>
                <w:sz w:val="16"/>
                <w:szCs w:val="16"/>
              </w:rPr>
              <w:t>Alrededor de 50 participantes (todos ellos del Brasil) de distintos ámbitos (abogados, representantes legales, funcionarios públicos, investigadores, etc.)</w:t>
            </w:r>
          </w:p>
        </w:tc>
        <w:tc>
          <w:tcPr>
            <w:tcW w:w="1447" w:type="dxa"/>
            <w:tcMar>
              <w:left w:w="57" w:type="dxa"/>
              <w:right w:w="57" w:type="dxa"/>
            </w:tcMar>
          </w:tcPr>
          <w:p w:rsidR="00785B6C" w:rsidRPr="00592F7C" w:rsidRDefault="00785B6C" w:rsidP="00785B6C">
            <w:pPr>
              <w:jc w:val="left"/>
              <w:rPr>
                <w:rFonts w:cs="Arial"/>
                <w:sz w:val="16"/>
                <w:szCs w:val="16"/>
                <w:lang w:val="es-ES"/>
              </w:rPr>
            </w:pPr>
            <w:r w:rsidRPr="00E10B6C">
              <w:rPr>
                <w:rFonts w:cs="Arial"/>
                <w:sz w:val="16"/>
                <w:szCs w:val="16"/>
              </w:rPr>
              <w:t>Alrededor de 100 asistentes (representantes de empresas de fitomejoramiento, representantes legales, abogados, etc.)</w:t>
            </w:r>
          </w:p>
        </w:tc>
      </w:tr>
      <w:tr w:rsidR="00785B6C" w:rsidRPr="00F349B2" w:rsidTr="00785B6C">
        <w:tc>
          <w:tcPr>
            <w:tcW w:w="1413" w:type="dxa"/>
            <w:tcMar>
              <w:left w:w="57" w:type="dxa"/>
              <w:right w:w="57" w:type="dxa"/>
            </w:tcMar>
          </w:tcPr>
          <w:p w:rsidR="00785B6C" w:rsidRPr="00592F7C" w:rsidRDefault="00785B6C" w:rsidP="00785B6C">
            <w:pPr>
              <w:jc w:val="left"/>
              <w:rPr>
                <w:rFonts w:cs="Arial"/>
                <w:sz w:val="16"/>
                <w:szCs w:val="16"/>
                <w:lang w:val="es-ES"/>
              </w:rPr>
            </w:pPr>
            <w:r w:rsidRPr="00592F7C">
              <w:rPr>
                <w:rFonts w:cs="Arial"/>
                <w:sz w:val="16"/>
                <w:szCs w:val="16"/>
                <w:lang w:val="es-ES"/>
              </w:rPr>
              <w:t xml:space="preserve">6. </w:t>
            </w:r>
            <w:r w:rsidRPr="00E10B6C">
              <w:rPr>
                <w:rFonts w:cs="Arial"/>
                <w:sz w:val="16"/>
                <w:szCs w:val="16"/>
              </w:rPr>
              <w:t>La protección de las obtenciones vegetales en el Brasil</w:t>
            </w:r>
            <w:r w:rsidRPr="00592F7C">
              <w:rPr>
                <w:rFonts w:cs="Arial"/>
                <w:sz w:val="16"/>
                <w:szCs w:val="16"/>
                <w:lang w:val="es-ES"/>
              </w:rPr>
              <w:t xml:space="preserve"> </w:t>
            </w:r>
          </w:p>
        </w:tc>
        <w:tc>
          <w:tcPr>
            <w:tcW w:w="1134" w:type="dxa"/>
            <w:tcMar>
              <w:left w:w="57" w:type="dxa"/>
              <w:right w:w="57" w:type="dxa"/>
            </w:tcMar>
          </w:tcPr>
          <w:p w:rsidR="00785B6C" w:rsidRPr="00B30EE0" w:rsidRDefault="00785B6C" w:rsidP="00785B6C">
            <w:pPr>
              <w:jc w:val="left"/>
              <w:rPr>
                <w:rFonts w:cs="Arial"/>
                <w:sz w:val="16"/>
                <w:szCs w:val="16"/>
              </w:rPr>
            </w:pPr>
            <w:r w:rsidRPr="00E10B6C">
              <w:rPr>
                <w:rFonts w:cs="Arial"/>
                <w:sz w:val="16"/>
                <w:szCs w:val="16"/>
              </w:rPr>
              <w:t>26 de agosto de 2020</w:t>
            </w:r>
          </w:p>
        </w:tc>
        <w:tc>
          <w:tcPr>
            <w:tcW w:w="1022" w:type="dxa"/>
            <w:tcMar>
              <w:left w:w="57" w:type="dxa"/>
              <w:right w:w="57" w:type="dxa"/>
            </w:tcMar>
          </w:tcPr>
          <w:p w:rsidR="00785B6C" w:rsidRPr="00B30EE0" w:rsidRDefault="00785B6C" w:rsidP="00785B6C">
            <w:pPr>
              <w:jc w:val="left"/>
              <w:rPr>
                <w:rFonts w:cs="Arial"/>
                <w:sz w:val="16"/>
                <w:szCs w:val="16"/>
              </w:rPr>
            </w:pPr>
            <w:r w:rsidRPr="00E10B6C">
              <w:rPr>
                <w:rFonts w:cs="Arial"/>
                <w:sz w:val="16"/>
                <w:szCs w:val="16"/>
              </w:rPr>
              <w:t>Por Internet</w:t>
            </w:r>
          </w:p>
        </w:tc>
        <w:tc>
          <w:tcPr>
            <w:tcW w:w="1246" w:type="dxa"/>
            <w:tcMar>
              <w:left w:w="57" w:type="dxa"/>
              <w:right w:w="57" w:type="dxa"/>
            </w:tcMar>
          </w:tcPr>
          <w:p w:rsidR="00785B6C" w:rsidRPr="00B30EE0" w:rsidRDefault="00785B6C" w:rsidP="00785B6C">
            <w:pPr>
              <w:jc w:val="left"/>
              <w:rPr>
                <w:rFonts w:cs="Arial"/>
                <w:sz w:val="16"/>
                <w:szCs w:val="16"/>
              </w:rPr>
            </w:pPr>
            <w:r w:rsidRPr="00E10B6C">
              <w:rPr>
                <w:rFonts w:cs="Arial"/>
                <w:sz w:val="16"/>
                <w:szCs w:val="16"/>
              </w:rPr>
              <w:t>Universidad de Goiás</w:t>
            </w:r>
          </w:p>
        </w:tc>
        <w:tc>
          <w:tcPr>
            <w:tcW w:w="1531" w:type="dxa"/>
            <w:tcMar>
              <w:left w:w="57" w:type="dxa"/>
              <w:right w:w="57" w:type="dxa"/>
            </w:tcMar>
          </w:tcPr>
          <w:p w:rsidR="00785B6C" w:rsidRPr="00592F7C" w:rsidRDefault="00785B6C" w:rsidP="00785B6C">
            <w:pPr>
              <w:jc w:val="left"/>
              <w:rPr>
                <w:rFonts w:cs="Arial"/>
                <w:sz w:val="16"/>
                <w:szCs w:val="16"/>
                <w:lang w:val="es-ES"/>
              </w:rPr>
            </w:pPr>
            <w:r w:rsidRPr="00E10B6C">
              <w:rPr>
                <w:rFonts w:cs="Arial"/>
                <w:sz w:val="16"/>
                <w:szCs w:val="16"/>
              </w:rPr>
              <w:t>II Simposio de Genética y Fitomejoramiento</w:t>
            </w:r>
          </w:p>
        </w:tc>
        <w:tc>
          <w:tcPr>
            <w:tcW w:w="2098" w:type="dxa"/>
            <w:tcMar>
              <w:left w:w="57" w:type="dxa"/>
              <w:right w:w="57" w:type="dxa"/>
            </w:tcMar>
          </w:tcPr>
          <w:p w:rsidR="00785B6C" w:rsidRPr="00592F7C" w:rsidRDefault="00785B6C" w:rsidP="00785B6C">
            <w:pPr>
              <w:jc w:val="left"/>
              <w:rPr>
                <w:rFonts w:cs="Arial"/>
                <w:sz w:val="16"/>
                <w:szCs w:val="16"/>
                <w:lang w:val="es-ES"/>
              </w:rPr>
            </w:pPr>
            <w:r w:rsidRPr="00E10B6C">
              <w:rPr>
                <w:rFonts w:cs="Arial"/>
                <w:sz w:val="16"/>
                <w:szCs w:val="16"/>
              </w:rPr>
              <w:t>Alrededor de 1.000 participantes (estudiantes, profesores, científicos, investigadores, etc.)</w:t>
            </w:r>
          </w:p>
        </w:tc>
        <w:tc>
          <w:tcPr>
            <w:tcW w:w="1447" w:type="dxa"/>
            <w:tcMar>
              <w:left w:w="57" w:type="dxa"/>
              <w:right w:w="57" w:type="dxa"/>
            </w:tcMar>
          </w:tcPr>
          <w:p w:rsidR="00785B6C" w:rsidRPr="00B30EE0" w:rsidRDefault="00785B6C" w:rsidP="00785B6C">
            <w:pPr>
              <w:jc w:val="left"/>
              <w:rPr>
                <w:rFonts w:cs="Arial"/>
                <w:sz w:val="16"/>
                <w:szCs w:val="16"/>
              </w:rPr>
            </w:pPr>
            <w:r w:rsidRPr="00E10B6C">
              <w:rPr>
                <w:rFonts w:cs="Arial"/>
                <w:sz w:val="16"/>
                <w:szCs w:val="16"/>
              </w:rPr>
              <w:t>100 estudiantes y profesionales</w:t>
            </w:r>
            <w:r w:rsidRPr="00B30EE0">
              <w:rPr>
                <w:rFonts w:cs="Arial"/>
                <w:sz w:val="16"/>
                <w:szCs w:val="16"/>
              </w:rPr>
              <w:t xml:space="preserve"> </w:t>
            </w:r>
          </w:p>
        </w:tc>
      </w:tr>
    </w:tbl>
    <w:p w:rsidR="00785B6C" w:rsidRDefault="00785B6C" w:rsidP="00785B6C"/>
    <w:p w:rsidR="00785B6C" w:rsidRPr="00592F7C" w:rsidRDefault="00785B6C" w:rsidP="00B26739">
      <w:pPr>
        <w:keepNext/>
        <w:rPr>
          <w:lang w:val="es-ES"/>
        </w:rPr>
      </w:pPr>
      <w:r w:rsidRPr="00E10B6C">
        <w:lastRenderedPageBreak/>
        <w:t>II.</w:t>
      </w:r>
      <w:r w:rsidRPr="00592F7C">
        <w:rPr>
          <w:lang w:val="es-ES"/>
        </w:rPr>
        <w:tab/>
      </w:r>
      <w:r w:rsidRPr="00E10B6C">
        <w:t>OTRAS NOVEDADES DE INTERÉS PARA LA UPOV</w:t>
      </w:r>
    </w:p>
    <w:p w:rsidR="00785B6C" w:rsidRPr="00592F7C" w:rsidRDefault="00785B6C" w:rsidP="00B26739">
      <w:pPr>
        <w:keepNext/>
        <w:rPr>
          <w:lang w:val="es-ES"/>
        </w:rPr>
      </w:pPr>
    </w:p>
    <w:p w:rsidR="00785B6C" w:rsidRPr="00592F7C" w:rsidRDefault="00785B6C" w:rsidP="00B26739">
      <w:pPr>
        <w:keepNext/>
        <w:ind w:left="1134" w:hanging="709"/>
        <w:rPr>
          <w:lang w:val="es-ES"/>
        </w:rPr>
      </w:pPr>
      <w:r w:rsidRPr="00E10B6C">
        <w:t>No hay novedades reseñables.</w:t>
      </w:r>
    </w:p>
    <w:p w:rsidR="00785B6C" w:rsidRPr="00592F7C" w:rsidRDefault="00785B6C" w:rsidP="00B26739">
      <w:pPr>
        <w:keepNext/>
        <w:rPr>
          <w:lang w:val="es-ES"/>
        </w:rPr>
      </w:pPr>
    </w:p>
    <w:p w:rsidR="00785B6C" w:rsidRPr="00592F7C" w:rsidRDefault="00785B6C" w:rsidP="00B26739">
      <w:pPr>
        <w:keepNext/>
        <w:rPr>
          <w:rFonts w:cs="Arial"/>
          <w:lang w:val="es-ES"/>
        </w:rPr>
      </w:pPr>
    </w:p>
    <w:p w:rsidR="0078167F" w:rsidRDefault="0078167F" w:rsidP="00B26739">
      <w:pPr>
        <w:keepNext/>
        <w:jc w:val="left"/>
      </w:pPr>
    </w:p>
    <w:p w:rsidR="0078167F" w:rsidRDefault="00E80B45" w:rsidP="0078167F">
      <w:pPr>
        <w:jc w:val="right"/>
      </w:pPr>
      <w:r>
        <w:t>[Sigue el Anexo</w:t>
      </w:r>
      <w:r w:rsidR="0078167F">
        <w:t xml:space="preserve"> IV</w:t>
      </w:r>
      <w:r>
        <w:t>]</w:t>
      </w:r>
    </w:p>
    <w:p w:rsidR="0078167F" w:rsidRDefault="0078167F" w:rsidP="0078167F"/>
    <w:p w:rsidR="0078167F" w:rsidRDefault="0078167F" w:rsidP="0078167F">
      <w:pPr>
        <w:jc w:val="left"/>
        <w:sectPr w:rsidR="0078167F" w:rsidSect="00785B6C">
          <w:headerReference w:type="default" r:id="rId12"/>
          <w:pgSz w:w="11907" w:h="16840" w:code="9"/>
          <w:pgMar w:top="510" w:right="1134" w:bottom="709" w:left="1134" w:header="510" w:footer="680" w:gutter="0"/>
          <w:pgNumType w:start="1"/>
          <w:cols w:space="720"/>
          <w:titlePg/>
        </w:sectPr>
      </w:pPr>
    </w:p>
    <w:p w:rsidR="0078167F" w:rsidRPr="0075031D" w:rsidRDefault="0078167F" w:rsidP="0078167F">
      <w:pPr>
        <w:jc w:val="center"/>
      </w:pPr>
      <w:r>
        <w:lastRenderedPageBreak/>
        <w:t>C/54/INF/4</w:t>
      </w:r>
    </w:p>
    <w:p w:rsidR="0078167F" w:rsidRPr="0075031D" w:rsidRDefault="0078167F" w:rsidP="0078167F">
      <w:pPr>
        <w:jc w:val="center"/>
      </w:pPr>
    </w:p>
    <w:p w:rsidR="0078167F" w:rsidRPr="0075031D" w:rsidRDefault="00E80B45" w:rsidP="0078167F">
      <w:pPr>
        <w:jc w:val="center"/>
      </w:pPr>
      <w:r>
        <w:t>ANEXO</w:t>
      </w:r>
      <w:r w:rsidR="0078167F" w:rsidRPr="0075031D">
        <w:t xml:space="preserve"> I</w:t>
      </w:r>
      <w:r w:rsidR="0078167F">
        <w:t>V</w:t>
      </w:r>
    </w:p>
    <w:p w:rsidR="0078167F" w:rsidRPr="0075031D" w:rsidRDefault="0078167F" w:rsidP="0078167F">
      <w:pPr>
        <w:jc w:val="center"/>
      </w:pPr>
    </w:p>
    <w:p w:rsidR="0078167F" w:rsidRDefault="0078167F" w:rsidP="0078167F">
      <w:pPr>
        <w:jc w:val="center"/>
      </w:pPr>
    </w:p>
    <w:p w:rsidR="0078167F" w:rsidRDefault="0078167F" w:rsidP="0078167F">
      <w:pPr>
        <w:jc w:val="center"/>
      </w:pPr>
      <w:r>
        <w:t>CHINA</w:t>
      </w:r>
    </w:p>
    <w:p w:rsidR="0078167F" w:rsidRDefault="0078167F" w:rsidP="0078167F"/>
    <w:p w:rsidR="0078167F" w:rsidRDefault="0078167F" w:rsidP="0078167F"/>
    <w:p w:rsidR="00462911" w:rsidRPr="00592F7C" w:rsidRDefault="00462911" w:rsidP="00462911">
      <w:pPr>
        <w:rPr>
          <w:lang w:val="es-ES"/>
        </w:rPr>
      </w:pPr>
      <w:r w:rsidRPr="00E10B6C">
        <w:t>OTRAS NOVEDADES DE INTERÉS PARA LA UPOV</w:t>
      </w:r>
    </w:p>
    <w:p w:rsidR="00462911" w:rsidRPr="00592F7C" w:rsidRDefault="00462911" w:rsidP="00462911">
      <w:pPr>
        <w:rPr>
          <w:lang w:val="es-ES"/>
        </w:rPr>
      </w:pPr>
    </w:p>
    <w:p w:rsidR="00462911" w:rsidRPr="00592F7C" w:rsidRDefault="00462911" w:rsidP="00462911">
      <w:pPr>
        <w:rPr>
          <w:lang w:val="es-ES"/>
        </w:rPr>
      </w:pPr>
      <w:r w:rsidRPr="00E10B6C">
        <w:t xml:space="preserve">China aumentó su contribución anual a la UPOV de 0,5 unidades (26.820 francos suizos) a 2,0 unidades (107.282 francos suizos) a partir del ejercicio 2020 y efectuó una aportación </w:t>
      </w:r>
      <w:r>
        <w:t>al fondo de operaciones (12.499 </w:t>
      </w:r>
      <w:r w:rsidRPr="00E10B6C">
        <w:t>francos suizos) en consonancia.</w:t>
      </w:r>
    </w:p>
    <w:p w:rsidR="0078167F" w:rsidRDefault="0078167F" w:rsidP="0078167F">
      <w:pPr>
        <w:jc w:val="left"/>
      </w:pPr>
    </w:p>
    <w:p w:rsidR="00462911" w:rsidRDefault="00462911" w:rsidP="0078167F">
      <w:pPr>
        <w:jc w:val="left"/>
      </w:pPr>
    </w:p>
    <w:p w:rsidR="00462911" w:rsidRDefault="00462911" w:rsidP="0078167F">
      <w:pPr>
        <w:jc w:val="left"/>
      </w:pPr>
    </w:p>
    <w:p w:rsidR="0078167F" w:rsidRDefault="00E80B45" w:rsidP="0078167F">
      <w:pPr>
        <w:jc w:val="right"/>
      </w:pPr>
      <w:r>
        <w:t>[Sigue el Anexo</w:t>
      </w:r>
      <w:r w:rsidR="0078167F">
        <w:t xml:space="preserve"> V</w:t>
      </w:r>
      <w:r>
        <w:t>]</w:t>
      </w:r>
    </w:p>
    <w:p w:rsidR="0078167F" w:rsidRDefault="0078167F" w:rsidP="0078167F"/>
    <w:p w:rsidR="0078167F" w:rsidRDefault="0078167F" w:rsidP="0078167F">
      <w:pPr>
        <w:jc w:val="left"/>
        <w:sectPr w:rsidR="0078167F" w:rsidSect="002D1696">
          <w:headerReference w:type="default" r:id="rId13"/>
          <w:pgSz w:w="11907" w:h="16840" w:code="9"/>
          <w:pgMar w:top="510" w:right="1134" w:bottom="1134" w:left="1134" w:header="510" w:footer="680" w:gutter="0"/>
          <w:pgNumType w:start="1"/>
          <w:cols w:space="720"/>
          <w:titlePg/>
        </w:sectPr>
      </w:pPr>
    </w:p>
    <w:p w:rsidR="0078167F" w:rsidRPr="0075031D" w:rsidRDefault="0078167F" w:rsidP="0078167F">
      <w:pPr>
        <w:jc w:val="center"/>
      </w:pPr>
      <w:r>
        <w:lastRenderedPageBreak/>
        <w:t>C/54/INF/4</w:t>
      </w:r>
    </w:p>
    <w:p w:rsidR="0078167F" w:rsidRPr="0075031D" w:rsidRDefault="0078167F" w:rsidP="0078167F">
      <w:pPr>
        <w:jc w:val="center"/>
      </w:pPr>
    </w:p>
    <w:p w:rsidR="0078167F" w:rsidRPr="0075031D" w:rsidRDefault="00E80B45" w:rsidP="0078167F">
      <w:pPr>
        <w:jc w:val="center"/>
      </w:pPr>
      <w:r>
        <w:t>ANEXO</w:t>
      </w:r>
      <w:r w:rsidR="0078167F" w:rsidRPr="0075031D">
        <w:t xml:space="preserve"> </w:t>
      </w:r>
      <w:r w:rsidR="0078167F">
        <w:t>V</w:t>
      </w:r>
    </w:p>
    <w:p w:rsidR="0078167F" w:rsidRPr="0075031D" w:rsidRDefault="0078167F" w:rsidP="0078167F">
      <w:pPr>
        <w:jc w:val="center"/>
      </w:pPr>
    </w:p>
    <w:p w:rsidR="0078167F" w:rsidRDefault="0078167F" w:rsidP="0078167F">
      <w:pPr>
        <w:jc w:val="center"/>
      </w:pPr>
    </w:p>
    <w:p w:rsidR="00C36D01" w:rsidRPr="00592F7C" w:rsidRDefault="00C36D01" w:rsidP="00C36D01">
      <w:pPr>
        <w:jc w:val="center"/>
        <w:rPr>
          <w:lang w:val="es-ES"/>
        </w:rPr>
      </w:pPr>
      <w:r w:rsidRPr="00E10B6C">
        <w:t>DINAMARCA</w:t>
      </w:r>
    </w:p>
    <w:p w:rsidR="00C36D01" w:rsidRPr="00592F7C" w:rsidRDefault="00C36D01" w:rsidP="00C36D01">
      <w:pPr>
        <w:jc w:val="center"/>
        <w:rPr>
          <w:lang w:val="es-ES"/>
        </w:rPr>
      </w:pPr>
    </w:p>
    <w:p w:rsidR="00C36D01" w:rsidRPr="00592F7C" w:rsidRDefault="00C36D01" w:rsidP="00C36D01">
      <w:pPr>
        <w:jc w:val="center"/>
        <w:rPr>
          <w:lang w:val="es-ES"/>
        </w:rPr>
      </w:pPr>
    </w:p>
    <w:p w:rsidR="00C36D01" w:rsidRPr="00592F7C" w:rsidRDefault="00C36D01" w:rsidP="00C36D01">
      <w:pPr>
        <w:rPr>
          <w:lang w:val="es-ES"/>
        </w:rPr>
      </w:pPr>
      <w:r w:rsidRPr="00E10B6C">
        <w:t>I.</w:t>
      </w:r>
      <w:r w:rsidRPr="00592F7C">
        <w:rPr>
          <w:lang w:val="es-ES"/>
        </w:rPr>
        <w:tab/>
      </w:r>
      <w:r w:rsidRPr="00E10B6C">
        <w:t>PROTECCIÓN DE LAS OBTENCIONES VEGETALES</w:t>
      </w:r>
    </w:p>
    <w:p w:rsidR="00C36D01" w:rsidRPr="00592F7C" w:rsidRDefault="00C36D01" w:rsidP="00C36D01">
      <w:pPr>
        <w:rPr>
          <w:lang w:val="es-ES"/>
        </w:rPr>
      </w:pPr>
    </w:p>
    <w:p w:rsidR="00C36D01" w:rsidRPr="00A67586" w:rsidRDefault="00C36D01" w:rsidP="00C36D01">
      <w:r w:rsidRPr="00A67586">
        <w:t xml:space="preserve">1. </w:t>
      </w:r>
      <w:r w:rsidRPr="00A67586">
        <w:tab/>
      </w:r>
      <w:r w:rsidRPr="00E10B6C">
        <w:rPr>
          <w:u w:val="single"/>
        </w:rPr>
        <w:t>Situación en el ámbito legislativo</w:t>
      </w:r>
    </w:p>
    <w:p w:rsidR="00C36D01" w:rsidRPr="00A67586" w:rsidRDefault="00C36D01" w:rsidP="00C36D01"/>
    <w:p w:rsidR="00C36D01" w:rsidRPr="00592F7C" w:rsidRDefault="00C36D01" w:rsidP="00C36D01">
      <w:pPr>
        <w:rPr>
          <w:lang w:val="es-ES"/>
        </w:rPr>
      </w:pPr>
      <w:r w:rsidRPr="00E10B6C">
        <w:t>El 15 de junio de 2020, se modificaron ciertos apartados de la Ley de Protección de las Obtenciones Vegetales de Dinamarca.</w:t>
      </w:r>
      <w:r w:rsidRPr="00592F7C">
        <w:rPr>
          <w:lang w:val="es-ES"/>
        </w:rPr>
        <w:t xml:space="preserve"> </w:t>
      </w:r>
      <w:r w:rsidRPr="00E10B6C">
        <w:t>Las modificaciones se orientan principalmente a permitir que más empresas se encarguen de realizar los exámenes DHE (véase más adelante).</w:t>
      </w:r>
      <w:r w:rsidRPr="00592F7C">
        <w:rPr>
          <w:lang w:val="es-ES"/>
        </w:rPr>
        <w:t xml:space="preserve"> </w:t>
      </w:r>
    </w:p>
    <w:p w:rsidR="00C36D01" w:rsidRPr="00592F7C" w:rsidRDefault="00C36D01" w:rsidP="00C36D01">
      <w:pPr>
        <w:rPr>
          <w:lang w:val="es-ES"/>
        </w:rPr>
      </w:pPr>
    </w:p>
    <w:p w:rsidR="00C36D01" w:rsidRPr="00592F7C" w:rsidRDefault="00C36D01" w:rsidP="00C36D01">
      <w:pPr>
        <w:rPr>
          <w:lang w:val="es-ES"/>
        </w:rPr>
      </w:pPr>
      <w:r w:rsidRPr="00E10B6C">
        <w:t>Las modificaciones no afectan a las condiciones para la concesión de títulos de protección de las obtenciones vegetales.</w:t>
      </w:r>
    </w:p>
    <w:p w:rsidR="00C36D01" w:rsidRPr="00592F7C" w:rsidRDefault="00C36D01" w:rsidP="00C36D01">
      <w:pPr>
        <w:rPr>
          <w:lang w:val="es-ES"/>
        </w:rPr>
      </w:pPr>
    </w:p>
    <w:p w:rsidR="00C36D01" w:rsidRPr="00592F7C" w:rsidRDefault="00C36D01" w:rsidP="00C36D01">
      <w:pPr>
        <w:rPr>
          <w:lang w:val="es-ES"/>
        </w:rPr>
      </w:pPr>
      <w:r w:rsidRPr="00E10B6C">
        <w:t>Dinamarca está tramitando actualmente la traducción al inglés de la nueva ley unificada.</w:t>
      </w:r>
      <w:r w:rsidRPr="00592F7C">
        <w:rPr>
          <w:lang w:val="es-ES"/>
        </w:rPr>
        <w:t xml:space="preserve"> </w:t>
      </w:r>
      <w:r w:rsidRPr="00E10B6C">
        <w:t>La traducción de la ley se enviará a la UPOV lo antes posible.</w:t>
      </w:r>
    </w:p>
    <w:p w:rsidR="00C36D01" w:rsidRPr="00592F7C" w:rsidRDefault="00C36D01" w:rsidP="00C36D01">
      <w:pPr>
        <w:rPr>
          <w:lang w:val="es-ES"/>
        </w:rPr>
      </w:pPr>
    </w:p>
    <w:p w:rsidR="00C36D01" w:rsidRPr="00592F7C" w:rsidRDefault="00C36D01" w:rsidP="00C36D01">
      <w:pPr>
        <w:rPr>
          <w:lang w:val="es-ES"/>
        </w:rPr>
      </w:pPr>
    </w:p>
    <w:p w:rsidR="00C36D01" w:rsidRPr="00592F7C" w:rsidRDefault="00C36D01" w:rsidP="00C36D01">
      <w:pPr>
        <w:rPr>
          <w:lang w:val="es-ES"/>
        </w:rPr>
      </w:pPr>
      <w:r w:rsidRPr="00592F7C">
        <w:rPr>
          <w:lang w:val="es-ES"/>
        </w:rPr>
        <w:t>2.</w:t>
      </w:r>
      <w:r w:rsidRPr="00592F7C">
        <w:rPr>
          <w:lang w:val="es-ES"/>
        </w:rPr>
        <w:tab/>
      </w:r>
      <w:r w:rsidRPr="00E10B6C">
        <w:rPr>
          <w:u w:val="single"/>
        </w:rPr>
        <w:t>Cooperación en el examen</w:t>
      </w:r>
      <w:r w:rsidRPr="00E10B6C">
        <w:t>:</w:t>
      </w:r>
      <w:r w:rsidRPr="00592F7C">
        <w:rPr>
          <w:lang w:val="es-ES"/>
        </w:rPr>
        <w:t xml:space="preserve"> </w:t>
      </w:r>
      <w:r w:rsidRPr="00E10B6C">
        <w:t>No hay novedades reseñables.</w:t>
      </w:r>
    </w:p>
    <w:p w:rsidR="00C36D01" w:rsidRPr="00592F7C" w:rsidRDefault="00C36D01" w:rsidP="00C36D01">
      <w:pPr>
        <w:tabs>
          <w:tab w:val="left" w:pos="426"/>
          <w:tab w:val="left" w:pos="851"/>
        </w:tabs>
        <w:rPr>
          <w:lang w:val="es-ES"/>
        </w:rPr>
      </w:pPr>
    </w:p>
    <w:p w:rsidR="00C36D01" w:rsidRPr="00592F7C" w:rsidRDefault="00C36D01" w:rsidP="00C36D01">
      <w:pPr>
        <w:rPr>
          <w:lang w:val="es-ES"/>
        </w:rPr>
      </w:pPr>
    </w:p>
    <w:p w:rsidR="00C36D01" w:rsidRPr="00592F7C" w:rsidRDefault="00C36D01" w:rsidP="00C36D01">
      <w:pPr>
        <w:rPr>
          <w:u w:val="single"/>
          <w:lang w:val="es-ES"/>
        </w:rPr>
      </w:pPr>
      <w:r w:rsidRPr="00592F7C">
        <w:rPr>
          <w:lang w:val="es-ES"/>
        </w:rPr>
        <w:t>3.</w:t>
      </w:r>
      <w:r w:rsidRPr="00592F7C">
        <w:rPr>
          <w:lang w:val="es-ES"/>
        </w:rPr>
        <w:tab/>
      </w:r>
      <w:r w:rsidRPr="00E10B6C">
        <w:rPr>
          <w:u w:val="single"/>
        </w:rPr>
        <w:t>Situación en el ámbito administrativo</w:t>
      </w:r>
    </w:p>
    <w:p w:rsidR="00C36D01" w:rsidRPr="00592F7C" w:rsidRDefault="00C36D01" w:rsidP="00C36D01">
      <w:pPr>
        <w:rPr>
          <w:lang w:val="es-ES"/>
        </w:rPr>
      </w:pPr>
    </w:p>
    <w:p w:rsidR="00C36D01" w:rsidRPr="00592F7C" w:rsidRDefault="00C36D01" w:rsidP="00C36D01">
      <w:pPr>
        <w:rPr>
          <w:lang w:val="es-ES"/>
        </w:rPr>
      </w:pPr>
      <w:r w:rsidRPr="00E10B6C">
        <w:t>Mediante esta modificación de la Ley de Protección de las Obtenciones Vegetales de Dinamarca, la Agencia Nacional de Agricultura podrá encargar la realización de los exámenes DHE, a efectos de las solicitudes de protección de obtenciones vegetales en el país, a todas las empresas que posean experiencia al respecto.</w:t>
      </w:r>
      <w:r w:rsidRPr="00592F7C">
        <w:rPr>
          <w:lang w:val="es-ES"/>
        </w:rPr>
        <w:t xml:space="preserve"> </w:t>
      </w:r>
    </w:p>
    <w:p w:rsidR="00C36D01" w:rsidRPr="00592F7C" w:rsidRDefault="00C36D01" w:rsidP="00C36D01">
      <w:pPr>
        <w:rPr>
          <w:lang w:val="es-ES"/>
        </w:rPr>
      </w:pPr>
    </w:p>
    <w:p w:rsidR="00C36D01" w:rsidRPr="00592F7C" w:rsidRDefault="00C36D01" w:rsidP="00C36D01">
      <w:pPr>
        <w:rPr>
          <w:lang w:val="es-ES"/>
        </w:rPr>
      </w:pPr>
      <w:r w:rsidRPr="00E10B6C">
        <w:t xml:space="preserve">Antes de la modificación de la ley, la Fundación </w:t>
      </w:r>
      <w:proofErr w:type="spellStart"/>
      <w:r w:rsidRPr="00E10B6C">
        <w:t>Tystofte</w:t>
      </w:r>
      <w:proofErr w:type="spellEnd"/>
      <w:r w:rsidRPr="00E10B6C">
        <w:t xml:space="preserve"> era la única empresa que podía realizar exámenes DHE en Dinamarca por delegación del Ministerio de Medio Ambiente y Agricultura.</w:t>
      </w:r>
      <w:r w:rsidRPr="00592F7C">
        <w:rPr>
          <w:lang w:val="es-ES"/>
        </w:rPr>
        <w:t xml:space="preserve"> </w:t>
      </w:r>
      <w:r w:rsidRPr="00670202">
        <w:t>A partir de ahora, ya no será así.</w:t>
      </w:r>
    </w:p>
    <w:p w:rsidR="00C36D01" w:rsidRPr="00592F7C" w:rsidRDefault="00C36D01" w:rsidP="00C36D01">
      <w:pPr>
        <w:rPr>
          <w:lang w:val="es-ES"/>
        </w:rPr>
      </w:pPr>
    </w:p>
    <w:p w:rsidR="00C36D01" w:rsidRPr="00592F7C" w:rsidRDefault="00C36D01" w:rsidP="00C36D01">
      <w:pPr>
        <w:rPr>
          <w:lang w:val="es-ES"/>
        </w:rPr>
      </w:pPr>
      <w:r w:rsidRPr="009B3CA5">
        <w:t>Las empresas que deseen realizar exámenes DHE deberán solicitarlo a la Agencia de Agricultura de Dinamarca, siempre y cuando cumplan las condiciones estipuladas en una orden nacional, por ejemplo, estar autorizadas por la OCVV y poseer suficiente experiencia.</w:t>
      </w:r>
      <w:r w:rsidRPr="00592F7C">
        <w:rPr>
          <w:lang w:val="es-ES"/>
        </w:rPr>
        <w:t xml:space="preserve"> </w:t>
      </w:r>
      <w:r w:rsidRPr="009B3CA5">
        <w:t>La Agencia de Agricultura de Dinamarca concederá la autorización a las empresas que satisfagan todas las condiciones.</w:t>
      </w:r>
      <w:r w:rsidRPr="00592F7C">
        <w:rPr>
          <w:lang w:val="es-ES"/>
        </w:rPr>
        <w:t xml:space="preserve"> </w:t>
      </w:r>
      <w:r w:rsidRPr="009B3CA5">
        <w:t>Además, efectuará controles continuos de las empresas para comprobar que siguen cumpliendo las condiciones de autorización.</w:t>
      </w:r>
      <w:r w:rsidRPr="00592F7C">
        <w:rPr>
          <w:lang w:val="es-ES"/>
        </w:rPr>
        <w:t xml:space="preserve"> </w:t>
      </w:r>
    </w:p>
    <w:p w:rsidR="00C36D01" w:rsidRPr="00592F7C" w:rsidRDefault="00C36D01" w:rsidP="00C36D01">
      <w:pPr>
        <w:rPr>
          <w:lang w:val="es-ES"/>
        </w:rPr>
      </w:pPr>
    </w:p>
    <w:p w:rsidR="00C36D01" w:rsidRPr="00592F7C" w:rsidRDefault="00C36D01" w:rsidP="00C36D01">
      <w:pPr>
        <w:rPr>
          <w:lang w:val="es-ES"/>
        </w:rPr>
      </w:pPr>
      <w:r w:rsidRPr="009B3CA5">
        <w:t>El proceso de toma de decisiones se mantiene sin cambios.</w:t>
      </w:r>
    </w:p>
    <w:p w:rsidR="00C36D01" w:rsidRPr="00592F7C" w:rsidRDefault="00C36D01" w:rsidP="00C36D01">
      <w:pPr>
        <w:rPr>
          <w:lang w:val="es-ES"/>
        </w:rPr>
      </w:pPr>
    </w:p>
    <w:p w:rsidR="00C36D01" w:rsidRPr="00592F7C" w:rsidRDefault="00C36D01" w:rsidP="00C36D01">
      <w:pPr>
        <w:rPr>
          <w:lang w:val="es-ES"/>
        </w:rPr>
      </w:pPr>
    </w:p>
    <w:p w:rsidR="00C36D01" w:rsidRPr="00592F7C" w:rsidRDefault="00C36D01" w:rsidP="00C36D01">
      <w:pPr>
        <w:rPr>
          <w:lang w:val="es-ES"/>
        </w:rPr>
      </w:pPr>
      <w:r w:rsidRPr="00592F7C">
        <w:rPr>
          <w:lang w:val="es-ES"/>
        </w:rPr>
        <w:t>4.</w:t>
      </w:r>
      <w:r w:rsidRPr="00592F7C">
        <w:rPr>
          <w:lang w:val="es-ES"/>
        </w:rPr>
        <w:tab/>
      </w:r>
      <w:r w:rsidRPr="009B3CA5">
        <w:rPr>
          <w:u w:val="single"/>
        </w:rPr>
        <w:t>Situación en el ámbito técnico</w:t>
      </w:r>
    </w:p>
    <w:p w:rsidR="00C36D01" w:rsidRPr="00592F7C" w:rsidRDefault="00C36D01" w:rsidP="00C36D01">
      <w:pPr>
        <w:rPr>
          <w:lang w:val="es-ES"/>
        </w:rPr>
      </w:pPr>
    </w:p>
    <w:p w:rsidR="00C36D01" w:rsidRPr="00592F7C" w:rsidRDefault="00C36D01" w:rsidP="00C36D01">
      <w:pPr>
        <w:rPr>
          <w:lang w:val="es-ES"/>
        </w:rPr>
      </w:pPr>
      <w:r w:rsidRPr="009B3CA5">
        <w:t>Dinamarca ha empezado a realizar exámenes DHE del centeno (</w:t>
      </w:r>
      <w:proofErr w:type="spellStart"/>
      <w:r w:rsidRPr="009B3CA5">
        <w:rPr>
          <w:i/>
        </w:rPr>
        <w:t>Secale</w:t>
      </w:r>
      <w:proofErr w:type="spellEnd"/>
      <w:r w:rsidRPr="009B3CA5">
        <w:rPr>
          <w:i/>
        </w:rPr>
        <w:t xml:space="preserve"> </w:t>
      </w:r>
      <w:proofErr w:type="spellStart"/>
      <w:r w:rsidRPr="009B3CA5">
        <w:rPr>
          <w:i/>
        </w:rPr>
        <w:t>cereale</w:t>
      </w:r>
      <w:proofErr w:type="spellEnd"/>
      <w:r w:rsidRPr="009B3CA5">
        <w:t>).</w:t>
      </w:r>
    </w:p>
    <w:p w:rsidR="00C36D01" w:rsidRPr="00592F7C" w:rsidRDefault="00C36D01" w:rsidP="00C36D01">
      <w:pPr>
        <w:rPr>
          <w:lang w:val="es-ES"/>
        </w:rPr>
      </w:pPr>
    </w:p>
    <w:p w:rsidR="00C36D01" w:rsidRPr="00592F7C" w:rsidRDefault="00C36D01" w:rsidP="00C36D01">
      <w:pPr>
        <w:rPr>
          <w:lang w:val="es-ES"/>
        </w:rPr>
      </w:pPr>
      <w:r w:rsidRPr="00592F7C">
        <w:rPr>
          <w:lang w:val="es-ES"/>
        </w:rPr>
        <w:t>5.</w:t>
      </w:r>
      <w:r w:rsidRPr="00592F7C">
        <w:rPr>
          <w:lang w:val="es-ES"/>
        </w:rPr>
        <w:tab/>
      </w:r>
      <w:r w:rsidRPr="009B3CA5">
        <w:rPr>
          <w:u w:val="single"/>
        </w:rPr>
        <w:t>Actividades para la promoción de la protección de las obtenciones vegetales</w:t>
      </w:r>
      <w:r w:rsidRPr="009B3CA5">
        <w:t>:</w:t>
      </w:r>
      <w:r w:rsidRPr="00592F7C">
        <w:rPr>
          <w:lang w:val="es-ES"/>
        </w:rPr>
        <w:t xml:space="preserve"> </w:t>
      </w:r>
      <w:r w:rsidRPr="009B3CA5">
        <w:t>No hay novedades reseñables.</w:t>
      </w:r>
    </w:p>
    <w:p w:rsidR="00C36D01" w:rsidRPr="00592F7C" w:rsidRDefault="00C36D01" w:rsidP="00C36D01">
      <w:pPr>
        <w:rPr>
          <w:lang w:val="es-ES"/>
        </w:rPr>
      </w:pPr>
    </w:p>
    <w:p w:rsidR="00C36D01" w:rsidRPr="00592F7C" w:rsidRDefault="00C36D01" w:rsidP="00C36D01">
      <w:pPr>
        <w:rPr>
          <w:lang w:val="es-ES"/>
        </w:rPr>
      </w:pPr>
    </w:p>
    <w:p w:rsidR="00C36D01" w:rsidRPr="00592F7C" w:rsidRDefault="00C36D01" w:rsidP="00C36D01">
      <w:pPr>
        <w:rPr>
          <w:lang w:val="es-ES"/>
        </w:rPr>
      </w:pPr>
      <w:r w:rsidRPr="009B3CA5">
        <w:t>II.</w:t>
      </w:r>
      <w:r w:rsidRPr="00592F7C">
        <w:rPr>
          <w:lang w:val="es-ES"/>
        </w:rPr>
        <w:tab/>
      </w:r>
      <w:r w:rsidRPr="009B3CA5">
        <w:t>OTRAS NOVEDADES DE INTERÉS PARA LA UPOV</w:t>
      </w:r>
    </w:p>
    <w:p w:rsidR="00C36D01" w:rsidRPr="00592F7C" w:rsidRDefault="00C36D01" w:rsidP="00C36D01">
      <w:pPr>
        <w:rPr>
          <w:lang w:val="es-ES"/>
        </w:rPr>
      </w:pPr>
    </w:p>
    <w:p w:rsidR="00C36D01" w:rsidRPr="00592F7C" w:rsidRDefault="00C36D01" w:rsidP="00C36D01">
      <w:pPr>
        <w:rPr>
          <w:lang w:val="es-ES"/>
        </w:rPr>
      </w:pPr>
      <w:r w:rsidRPr="009B3CA5">
        <w:t>No hay novedades reseñables.</w:t>
      </w:r>
    </w:p>
    <w:p w:rsidR="00C36D01" w:rsidRPr="00592F7C" w:rsidRDefault="00C36D01" w:rsidP="00C36D01">
      <w:pPr>
        <w:rPr>
          <w:lang w:val="es-ES"/>
        </w:rPr>
      </w:pPr>
    </w:p>
    <w:p w:rsidR="00C36D01" w:rsidRPr="00592F7C" w:rsidRDefault="00C36D01" w:rsidP="00C36D01">
      <w:pPr>
        <w:rPr>
          <w:lang w:val="es-ES"/>
        </w:rPr>
      </w:pPr>
    </w:p>
    <w:p w:rsidR="0078167F" w:rsidRDefault="0078167F" w:rsidP="0078167F">
      <w:pPr>
        <w:jc w:val="left"/>
      </w:pPr>
    </w:p>
    <w:p w:rsidR="0078167F" w:rsidRDefault="00E80B45" w:rsidP="0078167F">
      <w:pPr>
        <w:jc w:val="right"/>
      </w:pPr>
      <w:r>
        <w:t>[Sigue el Anexo</w:t>
      </w:r>
      <w:r w:rsidR="0078167F">
        <w:t xml:space="preserve"> VI</w:t>
      </w:r>
      <w:r>
        <w:t>]</w:t>
      </w:r>
    </w:p>
    <w:p w:rsidR="0078167F" w:rsidRDefault="0078167F" w:rsidP="0078167F"/>
    <w:p w:rsidR="0078167F" w:rsidRDefault="0078167F" w:rsidP="0078167F">
      <w:pPr>
        <w:jc w:val="left"/>
        <w:sectPr w:rsidR="0078167F" w:rsidSect="002D1696">
          <w:headerReference w:type="default" r:id="rId14"/>
          <w:pgSz w:w="11907" w:h="16840" w:code="9"/>
          <w:pgMar w:top="510" w:right="1134" w:bottom="1134" w:left="1134" w:header="510" w:footer="680" w:gutter="0"/>
          <w:pgNumType w:start="1"/>
          <w:cols w:space="720"/>
          <w:titlePg/>
        </w:sectPr>
      </w:pPr>
    </w:p>
    <w:p w:rsidR="0078167F" w:rsidRPr="0075031D" w:rsidRDefault="0078167F" w:rsidP="0078167F">
      <w:pPr>
        <w:jc w:val="center"/>
      </w:pPr>
      <w:r>
        <w:lastRenderedPageBreak/>
        <w:t>C/54/INF/4</w:t>
      </w:r>
    </w:p>
    <w:p w:rsidR="0078167F" w:rsidRPr="0075031D" w:rsidRDefault="0078167F" w:rsidP="0078167F">
      <w:pPr>
        <w:jc w:val="center"/>
      </w:pPr>
    </w:p>
    <w:p w:rsidR="0078167F" w:rsidRPr="0075031D" w:rsidRDefault="00E80B45" w:rsidP="0078167F">
      <w:pPr>
        <w:jc w:val="center"/>
      </w:pPr>
      <w:r>
        <w:t>ANEXO</w:t>
      </w:r>
      <w:r w:rsidR="0078167F" w:rsidRPr="0075031D">
        <w:t xml:space="preserve"> </w:t>
      </w:r>
      <w:r w:rsidR="0078167F">
        <w:t>V</w:t>
      </w:r>
      <w:r w:rsidR="0078167F" w:rsidRPr="0075031D">
        <w:t>I</w:t>
      </w:r>
    </w:p>
    <w:p w:rsidR="0078167F" w:rsidRPr="0075031D" w:rsidRDefault="0078167F" w:rsidP="0078167F">
      <w:pPr>
        <w:jc w:val="center"/>
      </w:pPr>
    </w:p>
    <w:p w:rsidR="0078167F" w:rsidRDefault="0078167F" w:rsidP="0078167F">
      <w:pPr>
        <w:jc w:val="center"/>
      </w:pPr>
    </w:p>
    <w:p w:rsidR="00C36D01" w:rsidRPr="00592F7C" w:rsidRDefault="00C36D01" w:rsidP="00C36D01">
      <w:pPr>
        <w:jc w:val="center"/>
        <w:rPr>
          <w:lang w:val="es-ES"/>
        </w:rPr>
      </w:pPr>
      <w:r w:rsidRPr="009B3CA5">
        <w:t>HUNGRÍA</w:t>
      </w:r>
    </w:p>
    <w:p w:rsidR="00C36D01" w:rsidRPr="00592F7C" w:rsidRDefault="00C36D01" w:rsidP="00C36D01">
      <w:pPr>
        <w:rPr>
          <w:lang w:val="es-ES"/>
        </w:rPr>
      </w:pPr>
    </w:p>
    <w:p w:rsidR="00C36D01" w:rsidRPr="00592F7C" w:rsidRDefault="00C36D01" w:rsidP="00C36D01">
      <w:pPr>
        <w:rPr>
          <w:lang w:val="es-ES"/>
        </w:rPr>
      </w:pPr>
    </w:p>
    <w:p w:rsidR="00C36D01" w:rsidRPr="00592F7C" w:rsidRDefault="00C36D01" w:rsidP="00C36D01">
      <w:pPr>
        <w:rPr>
          <w:lang w:val="es-ES"/>
        </w:rPr>
      </w:pPr>
      <w:r w:rsidRPr="009B3CA5">
        <w:t>I.</w:t>
      </w:r>
      <w:r w:rsidRPr="00592F7C">
        <w:rPr>
          <w:lang w:val="es-ES"/>
        </w:rPr>
        <w:tab/>
      </w:r>
      <w:r w:rsidRPr="009B3CA5">
        <w:t>PROTECCIÓN DE LAS OBTENCIONES VEGETALES</w:t>
      </w:r>
    </w:p>
    <w:p w:rsidR="00C36D01" w:rsidRPr="00592F7C" w:rsidRDefault="00C36D01" w:rsidP="00C36D01">
      <w:pPr>
        <w:rPr>
          <w:lang w:val="es-ES"/>
        </w:rPr>
      </w:pPr>
    </w:p>
    <w:p w:rsidR="00C36D01" w:rsidRPr="00E57ECB" w:rsidRDefault="00C36D01" w:rsidP="00C36D01">
      <w:r w:rsidRPr="00A67586">
        <w:t xml:space="preserve">1. </w:t>
      </w:r>
      <w:r w:rsidRPr="00A67586">
        <w:tab/>
      </w:r>
      <w:r w:rsidRPr="009B3CA5">
        <w:rPr>
          <w:u w:val="single"/>
        </w:rPr>
        <w:t>Situación en el ámbito legislativo</w:t>
      </w:r>
      <w:r w:rsidRPr="009B3CA5">
        <w:t>:</w:t>
      </w:r>
      <w:r>
        <w:t xml:space="preserve"> </w:t>
      </w:r>
    </w:p>
    <w:p w:rsidR="00C36D01" w:rsidRPr="00A67586" w:rsidRDefault="00C36D01" w:rsidP="00C36D01"/>
    <w:p w:rsidR="00C36D01" w:rsidRPr="00592F7C" w:rsidRDefault="00C36D01" w:rsidP="00C36D01">
      <w:pPr>
        <w:rPr>
          <w:lang w:val="es-ES"/>
        </w:rPr>
      </w:pPr>
      <w:r w:rsidRPr="009B3CA5">
        <w:t>No se han producido cambios.</w:t>
      </w:r>
      <w:r w:rsidRPr="00592F7C">
        <w:rPr>
          <w:lang w:val="es-ES"/>
        </w:rPr>
        <w:t xml:space="preserve"> </w:t>
      </w:r>
      <w:r w:rsidRPr="009B3CA5">
        <w:t>Conforme a las normas en vigor, la protección de las variedades vegetales se extiende a todos los géneros y especies.</w:t>
      </w:r>
    </w:p>
    <w:p w:rsidR="00C36D01" w:rsidRPr="00592F7C" w:rsidRDefault="00C36D01" w:rsidP="00C36D01">
      <w:pPr>
        <w:rPr>
          <w:lang w:val="es-ES"/>
        </w:rPr>
      </w:pPr>
    </w:p>
    <w:p w:rsidR="00C36D01" w:rsidRPr="00592F7C" w:rsidRDefault="00C36D01" w:rsidP="00C36D01">
      <w:pPr>
        <w:rPr>
          <w:lang w:val="es-ES"/>
        </w:rPr>
      </w:pPr>
    </w:p>
    <w:p w:rsidR="00C36D01" w:rsidRPr="00592F7C" w:rsidRDefault="00C36D01" w:rsidP="00C36D01">
      <w:pPr>
        <w:rPr>
          <w:lang w:val="es-ES"/>
        </w:rPr>
      </w:pPr>
      <w:r w:rsidRPr="00592F7C">
        <w:rPr>
          <w:lang w:val="es-ES"/>
        </w:rPr>
        <w:t>2.</w:t>
      </w:r>
      <w:r w:rsidRPr="00592F7C">
        <w:rPr>
          <w:lang w:val="es-ES"/>
        </w:rPr>
        <w:tab/>
      </w:r>
      <w:r w:rsidRPr="009B3CA5">
        <w:rPr>
          <w:u w:val="single"/>
        </w:rPr>
        <w:t>Cooperación en el examen</w:t>
      </w:r>
    </w:p>
    <w:p w:rsidR="00C36D01" w:rsidRPr="00592F7C" w:rsidRDefault="00C36D01" w:rsidP="00C36D01">
      <w:pPr>
        <w:tabs>
          <w:tab w:val="left" w:pos="426"/>
          <w:tab w:val="left" w:pos="851"/>
        </w:tabs>
        <w:rPr>
          <w:lang w:val="es-ES"/>
        </w:rPr>
      </w:pPr>
    </w:p>
    <w:p w:rsidR="00C36D01" w:rsidRPr="00592F7C" w:rsidRDefault="00C36D01" w:rsidP="00C36D01">
      <w:pPr>
        <w:rPr>
          <w:lang w:val="es-ES"/>
        </w:rPr>
      </w:pPr>
      <w:r w:rsidRPr="009B3CA5">
        <w:t>No se han producido cambios.</w:t>
      </w:r>
      <w:r w:rsidRPr="00592F7C">
        <w:rPr>
          <w:lang w:val="es-ES"/>
        </w:rPr>
        <w:t xml:space="preserve"> </w:t>
      </w:r>
      <w:r w:rsidRPr="009B3CA5">
        <w:t>Con arreglo a los párrafos 3) y 4) del artículo 114/R de la Ley de Patentes, los resultados de los ensayos experimentales (informe de examen DHE) llevados a cabo por una autoridad extranjera competente podrán tomarse en consideración con el consentimiento de esa autoridad.</w:t>
      </w:r>
      <w:r w:rsidRPr="00592F7C">
        <w:rPr>
          <w:lang w:val="es-ES"/>
        </w:rPr>
        <w:t xml:space="preserve"> </w:t>
      </w:r>
      <w:r w:rsidRPr="009B3CA5">
        <w:t>Los costos de los ensayos experimentales correrán por cuenta del solicitante.</w:t>
      </w:r>
      <w:r w:rsidRPr="00592F7C">
        <w:rPr>
          <w:lang w:val="es-ES"/>
        </w:rPr>
        <w:t xml:space="preserve"> </w:t>
      </w:r>
      <w:r w:rsidRPr="009B3CA5">
        <w:t>En consecuencia, la Oficina de Propiedad Intelectual de Hungría (HIPO) ha optado por concertar acuerdos con las oficinas nacionales y regionales para que las oficinas pertinentes le envíen informes de examen DHE.</w:t>
      </w:r>
    </w:p>
    <w:p w:rsidR="00C36D01" w:rsidRPr="00592F7C" w:rsidRDefault="00C36D01" w:rsidP="00C36D01">
      <w:pPr>
        <w:rPr>
          <w:lang w:val="es-ES"/>
        </w:rPr>
      </w:pPr>
    </w:p>
    <w:p w:rsidR="00C36D01" w:rsidRPr="00592F7C" w:rsidRDefault="00C36D01" w:rsidP="00C36D01">
      <w:pPr>
        <w:rPr>
          <w:lang w:val="es-ES"/>
        </w:rPr>
      </w:pPr>
      <w:r w:rsidRPr="009B3CA5">
        <w:t xml:space="preserve">La HIPO ha concertado acuerdos de esa índole con la Oficina Comunitaria de Variedades Vegetales de la Unión Europea (OCVV), con la </w:t>
      </w:r>
      <w:proofErr w:type="spellStart"/>
      <w:r w:rsidRPr="009B3CA5">
        <w:rPr>
          <w:i/>
        </w:rPr>
        <w:t>Bundessortenamt</w:t>
      </w:r>
      <w:proofErr w:type="spellEnd"/>
      <w:r w:rsidRPr="009B3CA5">
        <w:t xml:space="preserve"> (Alemania) y con el Consejo de Derechos de Obtentor del Ministerio de Agricultura, Naturaleza y Calidad Alimentaria de los Países Bajos.</w:t>
      </w:r>
    </w:p>
    <w:p w:rsidR="00C36D01" w:rsidRPr="00592F7C" w:rsidRDefault="00C36D01" w:rsidP="00C36D01">
      <w:pPr>
        <w:rPr>
          <w:lang w:val="es-ES"/>
        </w:rPr>
      </w:pPr>
    </w:p>
    <w:p w:rsidR="00C36D01" w:rsidRPr="00592F7C" w:rsidRDefault="00C36D01" w:rsidP="00C36D01">
      <w:pPr>
        <w:rPr>
          <w:lang w:val="es-ES"/>
        </w:rPr>
      </w:pPr>
    </w:p>
    <w:p w:rsidR="00C36D01" w:rsidRPr="00592F7C" w:rsidRDefault="00C36D01" w:rsidP="00C36D01">
      <w:pPr>
        <w:rPr>
          <w:u w:val="single"/>
          <w:lang w:val="es-ES"/>
        </w:rPr>
      </w:pPr>
      <w:r w:rsidRPr="00592F7C">
        <w:rPr>
          <w:lang w:val="es-ES"/>
        </w:rPr>
        <w:t>3.</w:t>
      </w:r>
      <w:r w:rsidRPr="00592F7C">
        <w:rPr>
          <w:lang w:val="es-ES"/>
        </w:rPr>
        <w:tab/>
      </w:r>
      <w:r w:rsidRPr="009B3CA5">
        <w:rPr>
          <w:u w:val="single"/>
        </w:rPr>
        <w:t>Situación en el ámbito administrativo</w:t>
      </w:r>
    </w:p>
    <w:p w:rsidR="00C36D01" w:rsidRPr="00592F7C" w:rsidRDefault="00C36D01" w:rsidP="00C36D01">
      <w:pPr>
        <w:rPr>
          <w:lang w:val="es-ES"/>
        </w:rPr>
      </w:pPr>
    </w:p>
    <w:p w:rsidR="00C36D01" w:rsidRPr="00592F7C" w:rsidRDefault="00C36D01" w:rsidP="00C36D01">
      <w:pPr>
        <w:rPr>
          <w:lang w:val="es-ES"/>
        </w:rPr>
      </w:pPr>
      <w:r w:rsidRPr="009B3CA5">
        <w:t>No se han producido cambios.</w:t>
      </w:r>
      <w:r w:rsidRPr="00592F7C">
        <w:rPr>
          <w:lang w:val="es-ES"/>
        </w:rPr>
        <w:t xml:space="preserve"> </w:t>
      </w:r>
      <w:r w:rsidRPr="009B3CA5">
        <w:t>La Oficina de Propiedad Intelectual de Hungría está facultada para conceder protección a las variedades vegetales.</w:t>
      </w:r>
      <w:r w:rsidRPr="00592F7C">
        <w:rPr>
          <w:lang w:val="es-ES"/>
        </w:rPr>
        <w:t xml:space="preserve"> </w:t>
      </w:r>
      <w:r w:rsidRPr="009B3CA5">
        <w:t>En el sistema nacional, la HIPO es responsable del examen de la novedad, la denominación y la homogeneidad, así como del registro de las variedades vegetales,</w:t>
      </w:r>
      <w:r w:rsidRPr="00592F7C">
        <w:rPr>
          <w:lang w:val="es-ES"/>
        </w:rPr>
        <w:t xml:space="preserve"> </w:t>
      </w:r>
      <w:r w:rsidRPr="009B3CA5">
        <w:t>y la Oficina Nacional de Seguridad de la Cadena Alimentaria se encarga del examen biológico (examen DHE).</w:t>
      </w:r>
    </w:p>
    <w:p w:rsidR="00C36D01" w:rsidRPr="00592F7C" w:rsidRDefault="00C36D01" w:rsidP="00C36D01">
      <w:pPr>
        <w:rPr>
          <w:lang w:val="es-ES"/>
        </w:rPr>
      </w:pPr>
    </w:p>
    <w:p w:rsidR="00C36D01" w:rsidRPr="00592F7C" w:rsidRDefault="00C36D01" w:rsidP="00C36D01">
      <w:pPr>
        <w:rPr>
          <w:lang w:val="es-ES"/>
        </w:rPr>
      </w:pPr>
    </w:p>
    <w:p w:rsidR="00C36D01" w:rsidRPr="00592F7C" w:rsidRDefault="00C36D01" w:rsidP="00C36D01">
      <w:pPr>
        <w:rPr>
          <w:u w:val="single"/>
          <w:lang w:val="es-ES"/>
        </w:rPr>
      </w:pPr>
      <w:r w:rsidRPr="00592F7C">
        <w:rPr>
          <w:lang w:val="es-ES"/>
        </w:rPr>
        <w:t>4.</w:t>
      </w:r>
      <w:r w:rsidRPr="00592F7C">
        <w:rPr>
          <w:lang w:val="es-ES"/>
        </w:rPr>
        <w:tab/>
      </w:r>
      <w:r w:rsidRPr="009B3CA5">
        <w:rPr>
          <w:u w:val="single"/>
        </w:rPr>
        <w:t>Situación en el ámbito técnico</w:t>
      </w:r>
    </w:p>
    <w:p w:rsidR="00C36D01" w:rsidRPr="00592F7C" w:rsidRDefault="00C36D01" w:rsidP="00C36D01">
      <w:pPr>
        <w:rPr>
          <w:lang w:val="es-ES"/>
        </w:rPr>
      </w:pPr>
    </w:p>
    <w:p w:rsidR="00C36D01" w:rsidRPr="00592F7C" w:rsidRDefault="00C36D01" w:rsidP="00C36D01">
      <w:pPr>
        <w:rPr>
          <w:lang w:val="es-ES"/>
        </w:rPr>
      </w:pPr>
      <w:r w:rsidRPr="009B3CA5">
        <w:t>La Oficina Nacional de Seguridad de la Cadena Alimentaria se encarga de realizar el examen técnico.</w:t>
      </w:r>
    </w:p>
    <w:p w:rsidR="00C36D01" w:rsidRPr="00592F7C" w:rsidRDefault="00C36D01" w:rsidP="00C36D01">
      <w:pPr>
        <w:rPr>
          <w:lang w:val="es-ES"/>
        </w:rPr>
      </w:pPr>
    </w:p>
    <w:p w:rsidR="00C36D01" w:rsidRPr="00592F7C" w:rsidRDefault="00C36D01" w:rsidP="00C36D01">
      <w:pPr>
        <w:rPr>
          <w:lang w:val="es-ES"/>
        </w:rPr>
      </w:pPr>
    </w:p>
    <w:p w:rsidR="0078167F" w:rsidRDefault="0078167F" w:rsidP="0078167F">
      <w:pPr>
        <w:jc w:val="left"/>
      </w:pPr>
    </w:p>
    <w:p w:rsidR="0078167F" w:rsidRDefault="00E80B45" w:rsidP="0078167F">
      <w:pPr>
        <w:jc w:val="right"/>
      </w:pPr>
      <w:r>
        <w:t>[Sigue el Anexo</w:t>
      </w:r>
      <w:r w:rsidR="0078167F">
        <w:t xml:space="preserve"> VII</w:t>
      </w:r>
      <w:r>
        <w:t>]</w:t>
      </w:r>
    </w:p>
    <w:p w:rsidR="0078167F" w:rsidRDefault="0078167F" w:rsidP="0078167F"/>
    <w:p w:rsidR="0078167F" w:rsidRDefault="0078167F" w:rsidP="0078167F">
      <w:pPr>
        <w:jc w:val="left"/>
        <w:sectPr w:rsidR="0078167F" w:rsidSect="002D1696">
          <w:headerReference w:type="default" r:id="rId15"/>
          <w:pgSz w:w="11907" w:h="16840" w:code="9"/>
          <w:pgMar w:top="510" w:right="1134" w:bottom="1134" w:left="1134" w:header="510" w:footer="680" w:gutter="0"/>
          <w:pgNumType w:start="1"/>
          <w:cols w:space="720"/>
          <w:titlePg/>
        </w:sectPr>
      </w:pPr>
    </w:p>
    <w:p w:rsidR="0078167F" w:rsidRPr="0075031D" w:rsidRDefault="0078167F" w:rsidP="0078167F">
      <w:pPr>
        <w:jc w:val="center"/>
      </w:pPr>
      <w:r>
        <w:lastRenderedPageBreak/>
        <w:t>C/54/INF/4</w:t>
      </w:r>
    </w:p>
    <w:p w:rsidR="0078167F" w:rsidRPr="0075031D" w:rsidRDefault="0078167F" w:rsidP="0078167F">
      <w:pPr>
        <w:jc w:val="center"/>
      </w:pPr>
    </w:p>
    <w:p w:rsidR="0078167F" w:rsidRPr="0075031D" w:rsidRDefault="00E80B45" w:rsidP="0078167F">
      <w:pPr>
        <w:jc w:val="center"/>
      </w:pPr>
      <w:r>
        <w:t>ANEXO</w:t>
      </w:r>
      <w:r w:rsidR="0078167F" w:rsidRPr="0075031D">
        <w:t xml:space="preserve"> </w:t>
      </w:r>
      <w:r w:rsidR="0078167F">
        <w:t>VII</w:t>
      </w:r>
    </w:p>
    <w:p w:rsidR="0078167F" w:rsidRPr="0075031D" w:rsidRDefault="0078167F" w:rsidP="0078167F">
      <w:pPr>
        <w:jc w:val="center"/>
      </w:pPr>
    </w:p>
    <w:p w:rsidR="0078167F" w:rsidRDefault="0078167F" w:rsidP="0078167F">
      <w:pPr>
        <w:jc w:val="center"/>
      </w:pPr>
    </w:p>
    <w:p w:rsidR="0078167F" w:rsidRDefault="0078167F" w:rsidP="0078167F">
      <w:pPr>
        <w:jc w:val="center"/>
      </w:pPr>
      <w:r>
        <w:t>ISRAEL</w:t>
      </w:r>
    </w:p>
    <w:p w:rsidR="0078167F" w:rsidRDefault="0078167F" w:rsidP="0078167F"/>
    <w:p w:rsidR="0078167F" w:rsidRDefault="0078167F" w:rsidP="0078167F"/>
    <w:p w:rsidR="00C36D01" w:rsidRPr="00592F7C" w:rsidRDefault="00C36D01" w:rsidP="00C36D01">
      <w:pPr>
        <w:rPr>
          <w:lang w:val="es-ES"/>
        </w:rPr>
      </w:pPr>
      <w:r w:rsidRPr="00592F7C">
        <w:rPr>
          <w:lang w:val="es-ES"/>
        </w:rPr>
        <w:t>I.</w:t>
      </w:r>
      <w:r w:rsidRPr="00592F7C">
        <w:rPr>
          <w:lang w:val="es-ES"/>
        </w:rPr>
        <w:tab/>
      </w:r>
      <w:r w:rsidRPr="009B3CA5">
        <w:t>PROTECCIÓN DE LAS OBTENCIONES VEGETALES</w:t>
      </w:r>
    </w:p>
    <w:p w:rsidR="00C36D01" w:rsidRPr="00592F7C" w:rsidRDefault="00C36D01" w:rsidP="00C36D01">
      <w:pPr>
        <w:rPr>
          <w:lang w:val="es-ES"/>
        </w:rPr>
      </w:pPr>
    </w:p>
    <w:p w:rsidR="00C36D01" w:rsidRPr="003D3D26" w:rsidRDefault="00C36D01" w:rsidP="00C36D01">
      <w:r w:rsidRPr="00A67586">
        <w:t xml:space="preserve">1. </w:t>
      </w:r>
      <w:r w:rsidRPr="00A67586">
        <w:tab/>
      </w:r>
      <w:r w:rsidRPr="009B3CA5">
        <w:rPr>
          <w:u w:val="single"/>
        </w:rPr>
        <w:t>Situación en el ámbito legislativo</w:t>
      </w:r>
      <w:r w:rsidRPr="009B3CA5">
        <w:t>:</w:t>
      </w:r>
      <w:r>
        <w:t xml:space="preserve"> </w:t>
      </w:r>
      <w:r w:rsidRPr="009B3CA5">
        <w:t>No hay novedades reseñables.</w:t>
      </w:r>
    </w:p>
    <w:p w:rsidR="00C36D01" w:rsidRPr="00A67586" w:rsidRDefault="00C36D01" w:rsidP="00C36D01"/>
    <w:p w:rsidR="00C36D01" w:rsidRPr="00A67586" w:rsidRDefault="00C36D01" w:rsidP="00C36D01"/>
    <w:p w:rsidR="00C36D01" w:rsidRPr="00592F7C" w:rsidRDefault="00C36D01" w:rsidP="00C36D01">
      <w:pPr>
        <w:rPr>
          <w:lang w:val="es-ES"/>
        </w:rPr>
      </w:pPr>
      <w:r w:rsidRPr="00592F7C">
        <w:rPr>
          <w:lang w:val="es-ES"/>
        </w:rPr>
        <w:t>2.</w:t>
      </w:r>
      <w:r w:rsidRPr="00592F7C">
        <w:rPr>
          <w:lang w:val="es-ES"/>
        </w:rPr>
        <w:tab/>
      </w:r>
      <w:r w:rsidRPr="009B3CA5">
        <w:rPr>
          <w:u w:val="single"/>
        </w:rPr>
        <w:t>Cooperación en el examen</w:t>
      </w:r>
      <w:r w:rsidRPr="009B3CA5">
        <w:t>:</w:t>
      </w:r>
      <w:r w:rsidRPr="00592F7C">
        <w:rPr>
          <w:lang w:val="es-ES"/>
        </w:rPr>
        <w:t xml:space="preserve"> </w:t>
      </w:r>
      <w:r w:rsidRPr="009B3CA5">
        <w:t>No hay novedades reseñables.</w:t>
      </w:r>
    </w:p>
    <w:p w:rsidR="00C36D01" w:rsidRPr="00592F7C" w:rsidRDefault="00C36D01" w:rsidP="00C36D01">
      <w:pPr>
        <w:tabs>
          <w:tab w:val="left" w:pos="426"/>
          <w:tab w:val="left" w:pos="851"/>
        </w:tabs>
        <w:rPr>
          <w:lang w:val="es-ES"/>
        </w:rPr>
      </w:pPr>
    </w:p>
    <w:p w:rsidR="00C36D01" w:rsidRPr="00592F7C" w:rsidRDefault="00C36D01" w:rsidP="00C36D01">
      <w:pPr>
        <w:tabs>
          <w:tab w:val="left" w:pos="426"/>
          <w:tab w:val="left" w:pos="851"/>
        </w:tabs>
        <w:rPr>
          <w:lang w:val="es-ES"/>
        </w:rPr>
      </w:pPr>
    </w:p>
    <w:p w:rsidR="00C36D01" w:rsidRPr="00592F7C" w:rsidRDefault="00C36D01" w:rsidP="00C36D01">
      <w:pPr>
        <w:rPr>
          <w:u w:val="single"/>
          <w:lang w:val="es-ES"/>
        </w:rPr>
      </w:pPr>
      <w:r w:rsidRPr="00592F7C">
        <w:rPr>
          <w:lang w:val="es-ES"/>
        </w:rPr>
        <w:t>3.</w:t>
      </w:r>
      <w:r w:rsidRPr="00592F7C">
        <w:rPr>
          <w:lang w:val="es-ES"/>
        </w:rPr>
        <w:tab/>
      </w:r>
      <w:r w:rsidRPr="009B3CA5">
        <w:rPr>
          <w:u w:val="single"/>
        </w:rPr>
        <w:t>Situación en el ámbito administrativo</w:t>
      </w:r>
    </w:p>
    <w:p w:rsidR="00C36D01" w:rsidRPr="00592F7C" w:rsidRDefault="00C36D01" w:rsidP="00C36D01">
      <w:pPr>
        <w:rPr>
          <w:lang w:val="es-ES"/>
        </w:rPr>
      </w:pPr>
    </w:p>
    <w:p w:rsidR="00C36D01" w:rsidRPr="00592F7C" w:rsidRDefault="00C36D01" w:rsidP="00C36D01">
      <w:pPr>
        <w:ind w:left="851" w:hanging="284"/>
        <w:rPr>
          <w:lang w:val="es-ES"/>
        </w:rPr>
      </w:pPr>
      <w:r w:rsidRPr="00592F7C">
        <w:rPr>
          <w:lang w:val="es-ES"/>
        </w:rPr>
        <w:t>-</w:t>
      </w:r>
      <w:r w:rsidRPr="00592F7C">
        <w:rPr>
          <w:lang w:val="es-ES"/>
        </w:rPr>
        <w:tab/>
      </w:r>
      <w:r w:rsidRPr="009B3CA5">
        <w:t>Cambios en la estructura administrativa:</w:t>
      </w:r>
      <w:r w:rsidRPr="00592F7C">
        <w:rPr>
          <w:lang w:val="es-ES"/>
        </w:rPr>
        <w:t xml:space="preserve"> </w:t>
      </w:r>
      <w:r w:rsidRPr="0068497A">
        <w:t>Un miembro del Consejo de Derechos de Obtentor fue sustituido el 12 de mayo de 2020 por jubilación.</w:t>
      </w:r>
      <w:r w:rsidRPr="00592F7C">
        <w:rPr>
          <w:lang w:val="es-ES"/>
        </w:rPr>
        <w:t xml:space="preserve"> </w:t>
      </w:r>
    </w:p>
    <w:p w:rsidR="00C36D01" w:rsidRPr="00592F7C" w:rsidRDefault="00C36D01" w:rsidP="00C36D01">
      <w:pPr>
        <w:ind w:left="851" w:hanging="425"/>
        <w:rPr>
          <w:lang w:val="es-ES"/>
        </w:rPr>
      </w:pPr>
    </w:p>
    <w:p w:rsidR="00C36D01" w:rsidRPr="00592F7C" w:rsidRDefault="00C36D01" w:rsidP="00C36D01">
      <w:pPr>
        <w:ind w:left="851" w:hanging="284"/>
        <w:rPr>
          <w:lang w:val="es-ES"/>
        </w:rPr>
      </w:pPr>
      <w:r w:rsidRPr="00592F7C">
        <w:rPr>
          <w:lang w:val="es-ES"/>
        </w:rPr>
        <w:t>-</w:t>
      </w:r>
      <w:r w:rsidRPr="00592F7C">
        <w:rPr>
          <w:lang w:val="es-ES"/>
        </w:rPr>
        <w:tab/>
      </w:r>
      <w:r w:rsidRPr="0068497A">
        <w:t>Cambios en los procedimientos y sistemas administrativos:</w:t>
      </w:r>
      <w:r w:rsidRPr="00592F7C">
        <w:rPr>
          <w:lang w:val="es-ES"/>
        </w:rPr>
        <w:t xml:space="preserve"> </w:t>
      </w:r>
      <w:r w:rsidRPr="0068497A">
        <w:t>No se han producido cambios.</w:t>
      </w:r>
    </w:p>
    <w:p w:rsidR="00C36D01" w:rsidRPr="00592F7C" w:rsidRDefault="00C36D01" w:rsidP="00C36D01">
      <w:pPr>
        <w:ind w:left="851" w:hanging="425"/>
        <w:rPr>
          <w:lang w:val="es-ES"/>
        </w:rPr>
      </w:pPr>
    </w:p>
    <w:p w:rsidR="00C36D01" w:rsidRPr="00592F7C" w:rsidRDefault="00C36D01" w:rsidP="00C36D01">
      <w:pPr>
        <w:ind w:left="851" w:hanging="425"/>
        <w:rPr>
          <w:lang w:val="es-ES"/>
        </w:rPr>
      </w:pPr>
    </w:p>
    <w:p w:rsidR="00C36D01" w:rsidRPr="003060D0" w:rsidRDefault="00C36D01" w:rsidP="00C36D01">
      <w:pPr>
        <w:rPr>
          <w:rFonts w:cstheme="minorBidi"/>
          <w:rtl/>
          <w:lang w:bidi="he-IL"/>
        </w:rPr>
      </w:pPr>
      <w:r w:rsidRPr="00592F7C">
        <w:rPr>
          <w:lang w:val="es-ES"/>
        </w:rPr>
        <w:t>4.</w:t>
      </w:r>
      <w:r w:rsidRPr="00592F7C">
        <w:rPr>
          <w:lang w:val="es-ES"/>
        </w:rPr>
        <w:tab/>
      </w:r>
      <w:r w:rsidRPr="0068497A">
        <w:rPr>
          <w:u w:val="single"/>
        </w:rPr>
        <w:t>Situación en el ámbito técnico</w:t>
      </w:r>
      <w:r w:rsidRPr="0068497A">
        <w:t>:</w:t>
      </w:r>
      <w:r w:rsidRPr="00592F7C">
        <w:rPr>
          <w:lang w:val="es-ES"/>
        </w:rPr>
        <w:t xml:space="preserve"> </w:t>
      </w:r>
      <w:r w:rsidRPr="0068497A">
        <w:t>No hay novedades reseñables.</w:t>
      </w:r>
    </w:p>
    <w:p w:rsidR="00C36D01" w:rsidRPr="00592F7C" w:rsidRDefault="00C36D01" w:rsidP="00C36D01">
      <w:pPr>
        <w:ind w:left="851" w:hanging="425"/>
        <w:rPr>
          <w:lang w:val="es-ES"/>
        </w:rPr>
      </w:pPr>
    </w:p>
    <w:p w:rsidR="00C36D01" w:rsidRPr="00592F7C" w:rsidRDefault="00C36D01" w:rsidP="00C36D01">
      <w:pPr>
        <w:ind w:left="851" w:hanging="425"/>
        <w:rPr>
          <w:lang w:val="es-ES"/>
        </w:rPr>
      </w:pPr>
    </w:p>
    <w:p w:rsidR="00C36D01" w:rsidRPr="00592F7C" w:rsidRDefault="00C36D01" w:rsidP="00C36D01">
      <w:pPr>
        <w:rPr>
          <w:u w:val="single"/>
          <w:lang w:val="es-ES"/>
        </w:rPr>
      </w:pPr>
      <w:r w:rsidRPr="00592F7C">
        <w:rPr>
          <w:lang w:val="es-ES"/>
        </w:rPr>
        <w:t>5.</w:t>
      </w:r>
      <w:r w:rsidRPr="00592F7C">
        <w:rPr>
          <w:lang w:val="es-ES"/>
        </w:rPr>
        <w:tab/>
      </w:r>
      <w:r w:rsidRPr="0068497A">
        <w:rPr>
          <w:u w:val="single"/>
        </w:rPr>
        <w:t>Actividades para la promoción de las variedades vegetales</w:t>
      </w:r>
    </w:p>
    <w:p w:rsidR="00C36D01" w:rsidRPr="00592F7C" w:rsidRDefault="00C36D01" w:rsidP="00C36D01">
      <w:pPr>
        <w:rPr>
          <w:u w:val="single"/>
          <w:lang w:val="es-ES"/>
        </w:rPr>
      </w:pPr>
    </w:p>
    <w:tbl>
      <w:tblPr>
        <w:tblStyle w:val="TableGrid"/>
        <w:tblW w:w="9781" w:type="dxa"/>
        <w:tblInd w:w="-5" w:type="dxa"/>
        <w:tblLayout w:type="fixed"/>
        <w:tblCellMar>
          <w:left w:w="28" w:type="dxa"/>
          <w:right w:w="28" w:type="dxa"/>
        </w:tblCellMar>
        <w:tblLook w:val="01E0" w:firstRow="1" w:lastRow="1" w:firstColumn="1" w:lastColumn="1" w:noHBand="0" w:noVBand="0"/>
      </w:tblPr>
      <w:tblGrid>
        <w:gridCol w:w="1418"/>
        <w:gridCol w:w="1134"/>
        <w:gridCol w:w="1247"/>
        <w:gridCol w:w="1417"/>
        <w:gridCol w:w="1447"/>
        <w:gridCol w:w="1843"/>
        <w:gridCol w:w="1275"/>
      </w:tblGrid>
      <w:tr w:rsidR="00C36D01" w:rsidRPr="00A67586" w:rsidTr="00C36D01">
        <w:trPr>
          <w:trHeight w:val="843"/>
        </w:trPr>
        <w:tc>
          <w:tcPr>
            <w:tcW w:w="1418" w:type="dxa"/>
          </w:tcPr>
          <w:p w:rsidR="00C36D01" w:rsidRPr="003D3D26" w:rsidRDefault="00C36D01" w:rsidP="00C36D01">
            <w:pPr>
              <w:jc w:val="left"/>
              <w:rPr>
                <w:bCs/>
                <w:sz w:val="16"/>
              </w:rPr>
            </w:pPr>
            <w:r w:rsidRPr="0068497A">
              <w:rPr>
                <w:bCs/>
                <w:sz w:val="16"/>
              </w:rPr>
              <w:t>Título de la actividad</w:t>
            </w:r>
          </w:p>
        </w:tc>
        <w:tc>
          <w:tcPr>
            <w:tcW w:w="1134" w:type="dxa"/>
          </w:tcPr>
          <w:p w:rsidR="00C36D01" w:rsidRPr="003D3D26" w:rsidRDefault="00C36D01" w:rsidP="00C36D01">
            <w:pPr>
              <w:jc w:val="left"/>
              <w:rPr>
                <w:bCs/>
                <w:sz w:val="16"/>
              </w:rPr>
            </w:pPr>
            <w:r w:rsidRPr="0068497A">
              <w:rPr>
                <w:bCs/>
                <w:sz w:val="16"/>
              </w:rPr>
              <w:t>Fecha</w:t>
            </w:r>
          </w:p>
        </w:tc>
        <w:tc>
          <w:tcPr>
            <w:tcW w:w="1247" w:type="dxa"/>
          </w:tcPr>
          <w:p w:rsidR="00C36D01" w:rsidRPr="003D3D26" w:rsidRDefault="00C36D01" w:rsidP="00C36D01">
            <w:pPr>
              <w:jc w:val="left"/>
              <w:rPr>
                <w:bCs/>
                <w:sz w:val="16"/>
              </w:rPr>
            </w:pPr>
            <w:r w:rsidRPr="0068497A">
              <w:rPr>
                <w:bCs/>
                <w:sz w:val="16"/>
              </w:rPr>
              <w:t>Lugar</w:t>
            </w:r>
          </w:p>
        </w:tc>
        <w:tc>
          <w:tcPr>
            <w:tcW w:w="1417" w:type="dxa"/>
          </w:tcPr>
          <w:p w:rsidR="00C36D01" w:rsidRPr="003D3D26" w:rsidRDefault="00C36D01" w:rsidP="00C36D01">
            <w:pPr>
              <w:jc w:val="left"/>
              <w:rPr>
                <w:bCs/>
                <w:sz w:val="16"/>
              </w:rPr>
            </w:pPr>
            <w:r w:rsidRPr="0068497A">
              <w:rPr>
                <w:bCs/>
                <w:sz w:val="16"/>
              </w:rPr>
              <w:t>Organizador(es)</w:t>
            </w:r>
          </w:p>
        </w:tc>
        <w:tc>
          <w:tcPr>
            <w:tcW w:w="1447" w:type="dxa"/>
          </w:tcPr>
          <w:p w:rsidR="00C36D01" w:rsidRPr="003D3D26" w:rsidRDefault="00C36D01" w:rsidP="00C36D01">
            <w:pPr>
              <w:jc w:val="left"/>
              <w:rPr>
                <w:bCs/>
                <w:sz w:val="16"/>
              </w:rPr>
            </w:pPr>
            <w:r w:rsidRPr="0068497A">
              <w:rPr>
                <w:bCs/>
                <w:sz w:val="16"/>
              </w:rPr>
              <w:t>Finalidad de la actividad</w:t>
            </w:r>
          </w:p>
        </w:tc>
        <w:tc>
          <w:tcPr>
            <w:tcW w:w="1843" w:type="dxa"/>
          </w:tcPr>
          <w:p w:rsidR="00C36D01" w:rsidRPr="00592F7C" w:rsidRDefault="00C36D01" w:rsidP="00C36D01">
            <w:pPr>
              <w:jc w:val="left"/>
              <w:rPr>
                <w:bCs/>
                <w:sz w:val="16"/>
                <w:lang w:val="es-ES"/>
              </w:rPr>
            </w:pPr>
            <w:r w:rsidRPr="0068497A">
              <w:rPr>
                <w:bCs/>
                <w:sz w:val="16"/>
              </w:rPr>
              <w:t>Países/organizaciones participantes (número de participantes en cada caso)</w:t>
            </w:r>
          </w:p>
        </w:tc>
        <w:tc>
          <w:tcPr>
            <w:tcW w:w="1275" w:type="dxa"/>
          </w:tcPr>
          <w:p w:rsidR="00C36D01" w:rsidRPr="003D3D26" w:rsidRDefault="00C36D01" w:rsidP="00C36D01">
            <w:pPr>
              <w:jc w:val="left"/>
              <w:rPr>
                <w:bCs/>
                <w:sz w:val="16"/>
              </w:rPr>
            </w:pPr>
            <w:r w:rsidRPr="0068497A">
              <w:rPr>
                <w:bCs/>
                <w:sz w:val="16"/>
              </w:rPr>
              <w:t>Observaciones</w:t>
            </w:r>
          </w:p>
        </w:tc>
      </w:tr>
      <w:tr w:rsidR="00C36D01" w:rsidRPr="00592F7C" w:rsidTr="00C36D01">
        <w:tc>
          <w:tcPr>
            <w:tcW w:w="1418" w:type="dxa"/>
          </w:tcPr>
          <w:p w:rsidR="00C36D01" w:rsidRPr="00592F7C" w:rsidRDefault="00C36D01" w:rsidP="00C36D01">
            <w:pPr>
              <w:jc w:val="left"/>
              <w:rPr>
                <w:rFonts w:cstheme="minorBidi"/>
                <w:sz w:val="16"/>
                <w:lang w:val="es-ES" w:bidi="he-IL"/>
              </w:rPr>
            </w:pPr>
            <w:r w:rsidRPr="0068497A">
              <w:rPr>
                <w:rFonts w:cstheme="minorBidi"/>
                <w:sz w:val="16"/>
                <w:lang w:bidi="he-IL"/>
              </w:rPr>
              <w:t xml:space="preserve">Jornada de puertas abiertas en </w:t>
            </w:r>
            <w:proofErr w:type="spellStart"/>
            <w:r w:rsidRPr="0068497A">
              <w:rPr>
                <w:rFonts w:cstheme="minorBidi"/>
                <w:sz w:val="16"/>
                <w:lang w:bidi="he-IL"/>
              </w:rPr>
              <w:t>Ha'Arava</w:t>
            </w:r>
            <w:proofErr w:type="spellEnd"/>
            <w:r w:rsidRPr="0068497A">
              <w:rPr>
                <w:rFonts w:cstheme="minorBidi"/>
                <w:sz w:val="16"/>
                <w:lang w:bidi="he-IL"/>
              </w:rPr>
              <w:t>, la mayor exposición de Israel</w:t>
            </w:r>
          </w:p>
        </w:tc>
        <w:tc>
          <w:tcPr>
            <w:tcW w:w="1134" w:type="dxa"/>
          </w:tcPr>
          <w:p w:rsidR="00C36D01" w:rsidRPr="0078099D" w:rsidRDefault="00C36D01" w:rsidP="00C36D01">
            <w:pPr>
              <w:jc w:val="left"/>
              <w:rPr>
                <w:rFonts w:cs="Arial Unicode MS"/>
                <w:sz w:val="16"/>
                <w:cs/>
              </w:rPr>
            </w:pPr>
            <w:r w:rsidRPr="0078099D">
              <w:rPr>
                <w:rFonts w:cs="Arial Unicode MS"/>
                <w:sz w:val="16"/>
              </w:rPr>
              <w:t>12 y 13 de febrero de 2020</w:t>
            </w:r>
          </w:p>
        </w:tc>
        <w:tc>
          <w:tcPr>
            <w:tcW w:w="1247" w:type="dxa"/>
          </w:tcPr>
          <w:p w:rsidR="00C36D01" w:rsidRPr="003D3D26" w:rsidRDefault="00C36D01" w:rsidP="00C36D01">
            <w:pPr>
              <w:jc w:val="left"/>
              <w:rPr>
                <w:sz w:val="16"/>
              </w:rPr>
            </w:pPr>
            <w:r w:rsidRPr="0068497A">
              <w:rPr>
                <w:sz w:val="16"/>
              </w:rPr>
              <w:t xml:space="preserve">Estación de Yair, </w:t>
            </w:r>
            <w:proofErr w:type="spellStart"/>
            <w:r w:rsidRPr="0068497A">
              <w:rPr>
                <w:sz w:val="16"/>
              </w:rPr>
              <w:t>Tamar</w:t>
            </w:r>
            <w:proofErr w:type="spellEnd"/>
          </w:p>
        </w:tc>
        <w:tc>
          <w:tcPr>
            <w:tcW w:w="1417" w:type="dxa"/>
          </w:tcPr>
          <w:p w:rsidR="00C36D01" w:rsidRPr="00592F7C" w:rsidRDefault="00C36D01" w:rsidP="00C36D01">
            <w:pPr>
              <w:jc w:val="left"/>
              <w:rPr>
                <w:sz w:val="16"/>
                <w:lang w:val="es-ES"/>
              </w:rPr>
            </w:pPr>
            <w:r w:rsidRPr="0068497A">
              <w:rPr>
                <w:sz w:val="16"/>
              </w:rPr>
              <w:t xml:space="preserve">MOP </w:t>
            </w:r>
            <w:proofErr w:type="spellStart"/>
            <w:r w:rsidRPr="0068497A">
              <w:rPr>
                <w:sz w:val="16"/>
              </w:rPr>
              <w:t>Arava</w:t>
            </w:r>
            <w:proofErr w:type="spellEnd"/>
            <w:r w:rsidRPr="0068497A">
              <w:rPr>
                <w:sz w:val="16"/>
              </w:rPr>
              <w:t xml:space="preserve"> Norte y Centro, </w:t>
            </w:r>
            <w:proofErr w:type="spellStart"/>
            <w:r w:rsidRPr="0068497A">
              <w:rPr>
                <w:sz w:val="16"/>
              </w:rPr>
              <w:t>Tamar</w:t>
            </w:r>
            <w:proofErr w:type="spellEnd"/>
          </w:p>
        </w:tc>
        <w:tc>
          <w:tcPr>
            <w:tcW w:w="1447" w:type="dxa"/>
          </w:tcPr>
          <w:p w:rsidR="00C36D01" w:rsidRPr="00592F7C" w:rsidRDefault="00C36D01" w:rsidP="00C36D01">
            <w:pPr>
              <w:jc w:val="left"/>
              <w:rPr>
                <w:sz w:val="16"/>
                <w:lang w:val="es-ES"/>
              </w:rPr>
            </w:pPr>
            <w:r w:rsidRPr="0068497A">
              <w:rPr>
                <w:sz w:val="16"/>
              </w:rPr>
              <w:t>Promoción de los derechos de obtentor y participación</w:t>
            </w:r>
          </w:p>
        </w:tc>
        <w:tc>
          <w:tcPr>
            <w:tcW w:w="1843" w:type="dxa"/>
          </w:tcPr>
          <w:p w:rsidR="00C36D01" w:rsidRPr="00592F7C" w:rsidRDefault="00C36D01" w:rsidP="00C36D01">
            <w:pPr>
              <w:jc w:val="left"/>
              <w:rPr>
                <w:sz w:val="16"/>
                <w:lang w:val="es-ES"/>
              </w:rPr>
            </w:pPr>
            <w:r w:rsidRPr="0068497A">
              <w:rPr>
                <w:sz w:val="16"/>
              </w:rPr>
              <w:t>Empresas y productores agrícolas locales, etc.</w:t>
            </w:r>
          </w:p>
        </w:tc>
        <w:tc>
          <w:tcPr>
            <w:tcW w:w="1275" w:type="dxa"/>
          </w:tcPr>
          <w:p w:rsidR="00C36D01" w:rsidRPr="00592F7C" w:rsidRDefault="00C36D01" w:rsidP="00C36D01">
            <w:pPr>
              <w:jc w:val="left"/>
              <w:rPr>
                <w:sz w:val="16"/>
                <w:lang w:val="es-ES"/>
              </w:rPr>
            </w:pPr>
            <w:r w:rsidRPr="0068497A">
              <w:rPr>
                <w:sz w:val="16"/>
              </w:rPr>
              <w:t>Puesto y representación en el pabellón del Ministerio</w:t>
            </w:r>
          </w:p>
        </w:tc>
      </w:tr>
      <w:tr w:rsidR="00C36D01" w:rsidRPr="00592F7C" w:rsidTr="00C36D01">
        <w:tc>
          <w:tcPr>
            <w:tcW w:w="1418" w:type="dxa"/>
          </w:tcPr>
          <w:p w:rsidR="00C36D01" w:rsidRPr="003D3D26" w:rsidRDefault="00C36D01" w:rsidP="00C36D01">
            <w:pPr>
              <w:jc w:val="left"/>
              <w:rPr>
                <w:rFonts w:cstheme="minorBidi"/>
                <w:sz w:val="16"/>
                <w:lang w:bidi="he-IL"/>
              </w:rPr>
            </w:pPr>
            <w:r w:rsidRPr="0068497A">
              <w:rPr>
                <w:rFonts w:cstheme="minorBidi"/>
                <w:sz w:val="16"/>
                <w:lang w:bidi="he-IL"/>
              </w:rPr>
              <w:t xml:space="preserve">Exposición </w:t>
            </w:r>
            <w:proofErr w:type="spellStart"/>
            <w:r w:rsidRPr="0068497A">
              <w:rPr>
                <w:rFonts w:cstheme="minorBidi"/>
                <w:sz w:val="16"/>
                <w:lang w:bidi="he-IL"/>
              </w:rPr>
              <w:t>Fresh</w:t>
            </w:r>
            <w:proofErr w:type="spellEnd"/>
            <w:r w:rsidRPr="0068497A">
              <w:rPr>
                <w:rFonts w:cstheme="minorBidi"/>
                <w:sz w:val="16"/>
                <w:lang w:bidi="he-IL"/>
              </w:rPr>
              <w:t xml:space="preserve"> Agro-</w:t>
            </w:r>
            <w:proofErr w:type="spellStart"/>
            <w:r w:rsidRPr="0068497A">
              <w:rPr>
                <w:rFonts w:cstheme="minorBidi"/>
                <w:sz w:val="16"/>
                <w:lang w:bidi="he-IL"/>
              </w:rPr>
              <w:t>Mashov</w:t>
            </w:r>
            <w:proofErr w:type="spellEnd"/>
          </w:p>
        </w:tc>
        <w:tc>
          <w:tcPr>
            <w:tcW w:w="1134" w:type="dxa"/>
          </w:tcPr>
          <w:p w:rsidR="00C36D01" w:rsidRPr="00592F7C" w:rsidRDefault="00C36D01" w:rsidP="00C36D01">
            <w:pPr>
              <w:jc w:val="left"/>
              <w:rPr>
                <w:rFonts w:cs="Arial Unicode MS"/>
                <w:sz w:val="16"/>
                <w:lang w:val="es-ES" w:bidi="he-IL"/>
              </w:rPr>
            </w:pPr>
            <w:r w:rsidRPr="0068497A">
              <w:rPr>
                <w:rFonts w:cs="Arial Unicode MS"/>
                <w:bCs/>
                <w:sz w:val="16"/>
                <w:lang w:bidi="he-IL"/>
              </w:rPr>
              <w:t>Cancelada</w:t>
            </w:r>
            <w:r w:rsidRPr="0068497A">
              <w:rPr>
                <w:rFonts w:cs="Arial Unicode MS"/>
                <w:sz w:val="16"/>
                <w:lang w:bidi="he-IL"/>
              </w:rPr>
              <w:t xml:space="preserve"> este año a causa de la COVID-19</w:t>
            </w:r>
          </w:p>
        </w:tc>
        <w:tc>
          <w:tcPr>
            <w:tcW w:w="1247" w:type="dxa"/>
          </w:tcPr>
          <w:p w:rsidR="00C36D01" w:rsidRPr="00592F7C" w:rsidRDefault="00C36D01" w:rsidP="00C36D01">
            <w:pPr>
              <w:jc w:val="left"/>
              <w:rPr>
                <w:sz w:val="16"/>
                <w:lang w:val="es-ES"/>
              </w:rPr>
            </w:pPr>
            <w:r w:rsidRPr="0068497A">
              <w:rPr>
                <w:sz w:val="16"/>
              </w:rPr>
              <w:t>Centro de Convenciones TLV, Tel Aviv</w:t>
            </w:r>
          </w:p>
        </w:tc>
        <w:tc>
          <w:tcPr>
            <w:tcW w:w="1417" w:type="dxa"/>
          </w:tcPr>
          <w:p w:rsidR="00C36D01" w:rsidRPr="003D3D26" w:rsidRDefault="00C36D01" w:rsidP="00C36D01">
            <w:pPr>
              <w:jc w:val="left"/>
              <w:rPr>
                <w:sz w:val="16"/>
              </w:rPr>
            </w:pPr>
            <w:r w:rsidRPr="0068497A">
              <w:rPr>
                <w:sz w:val="16"/>
              </w:rPr>
              <w:t xml:space="preserve">Grupo </w:t>
            </w:r>
            <w:proofErr w:type="spellStart"/>
            <w:r w:rsidRPr="0068497A">
              <w:rPr>
                <w:sz w:val="16"/>
              </w:rPr>
              <w:t>Mashov</w:t>
            </w:r>
            <w:proofErr w:type="spellEnd"/>
          </w:p>
        </w:tc>
        <w:tc>
          <w:tcPr>
            <w:tcW w:w="1447" w:type="dxa"/>
          </w:tcPr>
          <w:p w:rsidR="00C36D01" w:rsidRPr="00592F7C" w:rsidRDefault="00C36D01" w:rsidP="00C36D01">
            <w:pPr>
              <w:jc w:val="left"/>
              <w:rPr>
                <w:sz w:val="16"/>
                <w:lang w:val="es-ES"/>
              </w:rPr>
            </w:pPr>
            <w:r w:rsidRPr="0068497A">
              <w:rPr>
                <w:sz w:val="16"/>
              </w:rPr>
              <w:t>Promoción de los derechos de obtentor y participación</w:t>
            </w:r>
          </w:p>
        </w:tc>
        <w:tc>
          <w:tcPr>
            <w:tcW w:w="1843" w:type="dxa"/>
          </w:tcPr>
          <w:p w:rsidR="00C36D01" w:rsidRPr="00592F7C" w:rsidRDefault="00C36D01" w:rsidP="00C36D01">
            <w:pPr>
              <w:jc w:val="left"/>
              <w:rPr>
                <w:sz w:val="16"/>
                <w:lang w:val="es-ES"/>
              </w:rPr>
            </w:pPr>
            <w:r w:rsidRPr="0068497A">
              <w:rPr>
                <w:sz w:val="16"/>
              </w:rPr>
              <w:t>Empresas y productores agrícolas locales, etc.</w:t>
            </w:r>
          </w:p>
        </w:tc>
        <w:tc>
          <w:tcPr>
            <w:tcW w:w="1275" w:type="dxa"/>
          </w:tcPr>
          <w:p w:rsidR="00C36D01" w:rsidRPr="00592F7C" w:rsidRDefault="00C36D01" w:rsidP="00C36D01">
            <w:pPr>
              <w:jc w:val="left"/>
              <w:rPr>
                <w:sz w:val="16"/>
                <w:lang w:val="es-ES"/>
              </w:rPr>
            </w:pPr>
            <w:r w:rsidRPr="0068497A">
              <w:rPr>
                <w:sz w:val="16"/>
              </w:rPr>
              <w:t>Puesto y representación en el pabellón del Ministerio</w:t>
            </w:r>
          </w:p>
        </w:tc>
      </w:tr>
    </w:tbl>
    <w:p w:rsidR="00C36D01" w:rsidRPr="00592F7C" w:rsidRDefault="00C36D01" w:rsidP="00C36D01">
      <w:pPr>
        <w:rPr>
          <w:lang w:val="es-ES"/>
        </w:rPr>
      </w:pPr>
    </w:p>
    <w:p w:rsidR="00C36D01" w:rsidRPr="00592F7C" w:rsidRDefault="00C36D01" w:rsidP="00C36D01">
      <w:pPr>
        <w:rPr>
          <w:lang w:val="es-ES"/>
        </w:rPr>
      </w:pPr>
    </w:p>
    <w:p w:rsidR="0078167F" w:rsidRDefault="0078167F" w:rsidP="0078167F">
      <w:pPr>
        <w:jc w:val="left"/>
      </w:pPr>
    </w:p>
    <w:p w:rsidR="0078167F" w:rsidRDefault="00E80B45" w:rsidP="0078167F">
      <w:pPr>
        <w:jc w:val="right"/>
      </w:pPr>
      <w:r>
        <w:t>[Sigue el Anexo</w:t>
      </w:r>
      <w:r w:rsidR="0078167F">
        <w:t xml:space="preserve"> VIII</w:t>
      </w:r>
      <w:r>
        <w:t>]</w:t>
      </w:r>
    </w:p>
    <w:p w:rsidR="0078167F" w:rsidRDefault="0078167F" w:rsidP="0078167F"/>
    <w:p w:rsidR="0078167F" w:rsidRDefault="0078167F" w:rsidP="0078167F">
      <w:pPr>
        <w:jc w:val="left"/>
        <w:sectPr w:rsidR="0078167F" w:rsidSect="002D1696">
          <w:headerReference w:type="default" r:id="rId16"/>
          <w:pgSz w:w="11907" w:h="16840" w:code="9"/>
          <w:pgMar w:top="510" w:right="1134" w:bottom="1134" w:left="1134" w:header="510" w:footer="680" w:gutter="0"/>
          <w:pgNumType w:start="1"/>
          <w:cols w:space="720"/>
          <w:titlePg/>
        </w:sectPr>
      </w:pPr>
    </w:p>
    <w:p w:rsidR="0078167F" w:rsidRPr="0075031D" w:rsidRDefault="0078167F" w:rsidP="0078167F">
      <w:pPr>
        <w:jc w:val="center"/>
      </w:pPr>
      <w:r>
        <w:lastRenderedPageBreak/>
        <w:t>C/54/INF/4</w:t>
      </w:r>
    </w:p>
    <w:p w:rsidR="0078167F" w:rsidRPr="0075031D" w:rsidRDefault="0078167F" w:rsidP="0078167F">
      <w:pPr>
        <w:jc w:val="center"/>
      </w:pPr>
    </w:p>
    <w:p w:rsidR="0078167F" w:rsidRPr="0075031D" w:rsidRDefault="00E80B45" w:rsidP="0078167F">
      <w:pPr>
        <w:jc w:val="center"/>
      </w:pPr>
      <w:r>
        <w:t>ANEXO</w:t>
      </w:r>
      <w:r w:rsidR="0078167F">
        <w:t xml:space="preserve"> VIII</w:t>
      </w:r>
    </w:p>
    <w:p w:rsidR="0078167F" w:rsidRPr="0075031D" w:rsidRDefault="0078167F" w:rsidP="0078167F">
      <w:pPr>
        <w:jc w:val="center"/>
      </w:pPr>
    </w:p>
    <w:p w:rsidR="0078167F" w:rsidRDefault="0078167F" w:rsidP="0078167F">
      <w:pPr>
        <w:jc w:val="center"/>
      </w:pPr>
    </w:p>
    <w:p w:rsidR="009A51BC" w:rsidRPr="00592F7C" w:rsidRDefault="009A51BC" w:rsidP="009A51BC">
      <w:pPr>
        <w:jc w:val="center"/>
        <w:rPr>
          <w:lang w:val="es-ES"/>
        </w:rPr>
      </w:pPr>
      <w:r w:rsidRPr="0068497A">
        <w:t>JAPÓN</w:t>
      </w:r>
    </w:p>
    <w:p w:rsidR="009A51BC" w:rsidRPr="00592F7C" w:rsidRDefault="009A51BC" w:rsidP="009A51BC">
      <w:pPr>
        <w:jc w:val="center"/>
        <w:rPr>
          <w:lang w:val="es-ES"/>
        </w:rPr>
      </w:pPr>
    </w:p>
    <w:p w:rsidR="009A51BC" w:rsidRPr="00592F7C" w:rsidRDefault="009A51BC" w:rsidP="009A51BC">
      <w:pPr>
        <w:jc w:val="center"/>
        <w:rPr>
          <w:lang w:val="es-ES"/>
        </w:rPr>
      </w:pPr>
    </w:p>
    <w:p w:rsidR="009A51BC" w:rsidRPr="00592F7C" w:rsidRDefault="009A51BC" w:rsidP="009A51BC">
      <w:pPr>
        <w:rPr>
          <w:lang w:val="es-ES" w:eastAsia="ja-JP"/>
        </w:rPr>
      </w:pPr>
      <w:r w:rsidRPr="00592F7C">
        <w:rPr>
          <w:lang w:val="es-ES"/>
        </w:rPr>
        <w:t>I.</w:t>
      </w:r>
      <w:r w:rsidRPr="00592F7C">
        <w:rPr>
          <w:lang w:val="es-ES"/>
        </w:rPr>
        <w:tab/>
      </w:r>
      <w:r w:rsidRPr="0068497A">
        <w:rPr>
          <w:lang w:eastAsia="ja-JP"/>
        </w:rPr>
        <w:t>CONTRIBUCIÓN FINANCIERA</w:t>
      </w:r>
    </w:p>
    <w:p w:rsidR="009A51BC" w:rsidRPr="00592F7C" w:rsidRDefault="009A51BC" w:rsidP="009A51BC">
      <w:pPr>
        <w:rPr>
          <w:lang w:val="es-ES"/>
        </w:rPr>
      </w:pPr>
    </w:p>
    <w:p w:rsidR="009A51BC" w:rsidRPr="00592F7C" w:rsidRDefault="009A51BC" w:rsidP="009A51BC">
      <w:pPr>
        <w:rPr>
          <w:i/>
          <w:lang w:val="es-ES"/>
        </w:rPr>
      </w:pPr>
      <w:r w:rsidRPr="0068497A">
        <w:rPr>
          <w:i/>
        </w:rPr>
        <w:t>Fondos fiduciarios del Gobierno del Japón (JP-FIT)</w:t>
      </w:r>
    </w:p>
    <w:p w:rsidR="009A51BC" w:rsidRPr="00592F7C" w:rsidRDefault="009A51BC" w:rsidP="009A51BC">
      <w:pPr>
        <w:rPr>
          <w:u w:val="single"/>
          <w:lang w:val="es-ES"/>
        </w:rPr>
      </w:pPr>
    </w:p>
    <w:p w:rsidR="009A51BC" w:rsidRPr="00592F7C" w:rsidRDefault="009A51BC" w:rsidP="009A51BC">
      <w:pPr>
        <w:rPr>
          <w:lang w:val="es-ES"/>
        </w:rPr>
      </w:pPr>
      <w:r w:rsidRPr="00E55C48">
        <w:t>En 2019, el Japón efectuó una aportación de 353.982 francos suizos en forma de fondos fiduciarios, con objeto de apoyar las actividades de la Secretaría de la UPOV encaminadas al establecimiento y la aplicación del sistema de protección de las obtenciones vegetales en la región asiática, como las siguientes:</w:t>
      </w:r>
      <w:r w:rsidRPr="00592F7C">
        <w:rPr>
          <w:lang w:val="es-ES"/>
        </w:rPr>
        <w:t xml:space="preserve"> </w:t>
      </w:r>
    </w:p>
    <w:p w:rsidR="009A51BC" w:rsidRPr="00592F7C" w:rsidRDefault="009A51BC" w:rsidP="009A51BC">
      <w:pPr>
        <w:rPr>
          <w:lang w:val="es-ES"/>
        </w:rPr>
      </w:pPr>
    </w:p>
    <w:p w:rsidR="009A51BC" w:rsidRPr="00592F7C" w:rsidRDefault="009A51BC" w:rsidP="009A51BC">
      <w:pPr>
        <w:ind w:left="1134" w:hanging="567"/>
        <w:rPr>
          <w:lang w:val="es-ES" w:eastAsia="ja-JP"/>
        </w:rPr>
      </w:pPr>
      <w:r w:rsidRPr="00592F7C">
        <w:rPr>
          <w:bCs/>
          <w:lang w:val="es-ES" w:eastAsia="ja-JP"/>
        </w:rPr>
        <w:t>i.</w:t>
      </w:r>
      <w:r w:rsidRPr="00592F7C">
        <w:rPr>
          <w:bCs/>
          <w:lang w:val="es-ES" w:eastAsia="ja-JP"/>
        </w:rPr>
        <w:tab/>
      </w:r>
      <w:r w:rsidRPr="00E55C48">
        <w:rPr>
          <w:bCs/>
          <w:lang w:eastAsia="ja-JP"/>
        </w:rPr>
        <w:t>reuniones de consulta con funcionarios judiciales o técnicos de los países pertinentes</w:t>
      </w:r>
      <w:r w:rsidRPr="00E55C48">
        <w:rPr>
          <w:lang w:eastAsia="ja-JP"/>
        </w:rPr>
        <w:t>;</w:t>
      </w:r>
    </w:p>
    <w:p w:rsidR="009A51BC" w:rsidRPr="00592F7C" w:rsidRDefault="009A51BC" w:rsidP="009A51BC">
      <w:pPr>
        <w:ind w:left="1134" w:hanging="567"/>
        <w:rPr>
          <w:lang w:val="es-ES" w:eastAsia="ja-JP"/>
        </w:rPr>
      </w:pPr>
      <w:r w:rsidRPr="00592F7C">
        <w:rPr>
          <w:lang w:val="es-ES" w:eastAsia="ja-JP"/>
        </w:rPr>
        <w:t>ii.</w:t>
      </w:r>
      <w:r w:rsidRPr="00592F7C">
        <w:rPr>
          <w:lang w:val="es-ES" w:eastAsia="ja-JP"/>
        </w:rPr>
        <w:tab/>
      </w:r>
      <w:r w:rsidRPr="00E55C48">
        <w:rPr>
          <w:lang w:eastAsia="ja-JP"/>
        </w:rPr>
        <w:t>talleres jurídicos internacionales organizados por la Oficina de la Unión (por ejemplo, el Taller sobre la elaboración de legislación de conformidad con el Convenio de la UPOV);</w:t>
      </w:r>
    </w:p>
    <w:p w:rsidR="009A51BC" w:rsidRPr="00592F7C" w:rsidRDefault="009A51BC" w:rsidP="009A51BC">
      <w:pPr>
        <w:ind w:left="1134" w:hanging="567"/>
        <w:rPr>
          <w:lang w:val="es-ES" w:eastAsia="ja-JP"/>
        </w:rPr>
      </w:pPr>
      <w:r w:rsidRPr="00592F7C">
        <w:rPr>
          <w:lang w:val="es-ES" w:eastAsia="ja-JP"/>
        </w:rPr>
        <w:t>iii.</w:t>
      </w:r>
      <w:r w:rsidRPr="00592F7C">
        <w:rPr>
          <w:lang w:val="es-ES" w:eastAsia="ja-JP"/>
        </w:rPr>
        <w:tab/>
      </w:r>
      <w:r w:rsidRPr="00E55C48">
        <w:rPr>
          <w:lang w:eastAsia="ja-JP"/>
        </w:rPr>
        <w:t>viajes de estudio sobre la protección de las obtenciones vegetales para funcionarios de alto nivel de países asiáticos;</w:t>
      </w:r>
    </w:p>
    <w:p w:rsidR="009A51BC" w:rsidRPr="00592F7C" w:rsidRDefault="009A51BC" w:rsidP="009A51BC">
      <w:pPr>
        <w:ind w:left="1134" w:hanging="567"/>
        <w:rPr>
          <w:lang w:val="es-ES" w:eastAsia="ja-JP"/>
        </w:rPr>
      </w:pPr>
      <w:r w:rsidRPr="00592F7C">
        <w:rPr>
          <w:lang w:val="es-ES" w:eastAsia="ja-JP"/>
        </w:rPr>
        <w:t>iv.</w:t>
      </w:r>
      <w:r w:rsidRPr="00592F7C">
        <w:rPr>
          <w:lang w:val="es-ES" w:eastAsia="ja-JP"/>
        </w:rPr>
        <w:tab/>
      </w:r>
      <w:r w:rsidRPr="00E55C48">
        <w:rPr>
          <w:lang w:eastAsia="ja-JP"/>
        </w:rPr>
        <w:t>talleres nacionales de sensibilización sobre la protección de las obtenciones vegetales en países asiáticos;</w:t>
      </w:r>
    </w:p>
    <w:p w:rsidR="009A51BC" w:rsidRPr="00592F7C" w:rsidRDefault="009A51BC" w:rsidP="009A51BC">
      <w:pPr>
        <w:ind w:left="1134" w:hanging="567"/>
        <w:rPr>
          <w:lang w:val="es-ES" w:eastAsia="ja-JP"/>
        </w:rPr>
      </w:pPr>
      <w:r w:rsidRPr="00592F7C">
        <w:rPr>
          <w:lang w:val="es-ES" w:eastAsia="ja-JP"/>
        </w:rPr>
        <w:t>v.</w:t>
      </w:r>
      <w:r w:rsidRPr="00592F7C">
        <w:rPr>
          <w:lang w:val="es-ES" w:eastAsia="ja-JP"/>
        </w:rPr>
        <w:tab/>
      </w:r>
      <w:r w:rsidRPr="00E55C48">
        <w:rPr>
          <w:lang w:eastAsia="ja-JP"/>
        </w:rPr>
        <w:t>talleres internacionales sobre la protección de las obtenciones vegetales con arreglo al Convenio de la UPOV;</w:t>
      </w:r>
    </w:p>
    <w:p w:rsidR="009A51BC" w:rsidRPr="00592F7C" w:rsidRDefault="009A51BC" w:rsidP="009A51BC">
      <w:pPr>
        <w:ind w:left="1134" w:hanging="567"/>
        <w:rPr>
          <w:lang w:val="es-ES" w:eastAsia="ja-JP"/>
        </w:rPr>
      </w:pPr>
      <w:r w:rsidRPr="00592F7C">
        <w:rPr>
          <w:lang w:val="es-ES" w:eastAsia="ja-JP"/>
        </w:rPr>
        <w:t>vi.</w:t>
      </w:r>
      <w:r w:rsidRPr="00592F7C">
        <w:rPr>
          <w:lang w:val="es-ES" w:eastAsia="ja-JP"/>
        </w:rPr>
        <w:tab/>
      </w:r>
      <w:r w:rsidRPr="00E55C48">
        <w:rPr>
          <w:lang w:eastAsia="ja-JP"/>
        </w:rPr>
        <w:t>reuniones anuales del Foro de Asia Oriental para la Protección de las Obtenciones Vegetales (EAPVP); y</w:t>
      </w:r>
    </w:p>
    <w:p w:rsidR="009A51BC" w:rsidRPr="00592F7C" w:rsidRDefault="009A51BC" w:rsidP="009A51BC">
      <w:pPr>
        <w:ind w:left="1134" w:hanging="567"/>
        <w:rPr>
          <w:lang w:val="es-ES" w:eastAsia="ja-JP"/>
        </w:rPr>
      </w:pPr>
      <w:r w:rsidRPr="00592F7C">
        <w:rPr>
          <w:lang w:val="es-ES" w:eastAsia="ja-JP"/>
        </w:rPr>
        <w:t>vii.</w:t>
      </w:r>
      <w:r w:rsidRPr="00592F7C">
        <w:rPr>
          <w:lang w:val="es-ES" w:eastAsia="ja-JP"/>
        </w:rPr>
        <w:tab/>
      </w:r>
      <w:r w:rsidRPr="00E55C48">
        <w:rPr>
          <w:lang w:eastAsia="ja-JP"/>
        </w:rPr>
        <w:t>proyecto piloto del Foro EAPVP para facilitar la armonización de los procedimientos de solicitud y examen y potenciar la cooperación eficiente en materia de protección de las obtenciones vegetales en la región asiática.</w:t>
      </w:r>
    </w:p>
    <w:p w:rsidR="009A51BC" w:rsidRPr="00592F7C" w:rsidRDefault="009A51BC" w:rsidP="009A51BC">
      <w:pPr>
        <w:rPr>
          <w:lang w:val="es-ES" w:eastAsia="ja-JP"/>
        </w:rPr>
      </w:pPr>
    </w:p>
    <w:p w:rsidR="009A51BC" w:rsidRPr="00592F7C" w:rsidRDefault="009A51BC" w:rsidP="009A51BC">
      <w:pPr>
        <w:rPr>
          <w:lang w:val="es-ES" w:eastAsia="ja-JP"/>
        </w:rPr>
      </w:pPr>
    </w:p>
    <w:p w:rsidR="009A51BC" w:rsidRPr="00592F7C" w:rsidRDefault="009A51BC" w:rsidP="009A51BC">
      <w:pPr>
        <w:rPr>
          <w:lang w:val="es-ES"/>
        </w:rPr>
      </w:pPr>
      <w:r w:rsidRPr="00592F7C">
        <w:rPr>
          <w:lang w:val="es-ES"/>
        </w:rPr>
        <w:t>II.</w:t>
      </w:r>
      <w:r w:rsidRPr="00592F7C">
        <w:rPr>
          <w:lang w:val="es-ES"/>
        </w:rPr>
        <w:tab/>
      </w:r>
      <w:r w:rsidRPr="00E55C48">
        <w:t>PROTECCIÓN DE LAS OBTENCIONES VEGETALES</w:t>
      </w:r>
    </w:p>
    <w:p w:rsidR="009A51BC" w:rsidRPr="00592F7C" w:rsidRDefault="009A51BC" w:rsidP="009A51BC">
      <w:pPr>
        <w:rPr>
          <w:lang w:val="es-ES"/>
        </w:rPr>
      </w:pPr>
    </w:p>
    <w:p w:rsidR="009A51BC" w:rsidRPr="00D82439" w:rsidRDefault="009A51BC" w:rsidP="009A51BC">
      <w:r w:rsidRPr="00D82439">
        <w:t xml:space="preserve">1. </w:t>
      </w:r>
      <w:r w:rsidRPr="00D82439">
        <w:tab/>
      </w:r>
      <w:r w:rsidRPr="00E55C48">
        <w:rPr>
          <w:u w:val="single"/>
        </w:rPr>
        <w:t>Situación en el ámbito legislativo</w:t>
      </w:r>
    </w:p>
    <w:p w:rsidR="009A51BC" w:rsidRPr="00613BAF" w:rsidRDefault="009A51BC" w:rsidP="009A51BC">
      <w:pPr>
        <w:tabs>
          <w:tab w:val="left" w:pos="426"/>
          <w:tab w:val="left" w:pos="1276"/>
        </w:tabs>
        <w:rPr>
          <w:bCs/>
          <w:lang w:eastAsia="ja-JP"/>
        </w:rPr>
      </w:pPr>
    </w:p>
    <w:p w:rsidR="009A51BC" w:rsidRPr="00592F7C" w:rsidRDefault="009A51BC" w:rsidP="009A51BC">
      <w:pPr>
        <w:rPr>
          <w:i/>
          <w:lang w:val="es-ES"/>
        </w:rPr>
      </w:pPr>
      <w:r w:rsidRPr="00E55C48">
        <w:rPr>
          <w:i/>
        </w:rPr>
        <w:t>Modificaciones de la ley y de los reglamentos</w:t>
      </w:r>
    </w:p>
    <w:p w:rsidR="009A51BC" w:rsidRPr="00592F7C" w:rsidRDefault="009A51BC" w:rsidP="009A51BC">
      <w:pPr>
        <w:rPr>
          <w:lang w:val="es-ES"/>
        </w:rPr>
      </w:pPr>
    </w:p>
    <w:p w:rsidR="009A51BC" w:rsidRPr="00592F7C" w:rsidRDefault="009A51BC" w:rsidP="009A51BC">
      <w:pPr>
        <w:rPr>
          <w:lang w:val="es-ES"/>
        </w:rPr>
      </w:pPr>
      <w:r w:rsidRPr="00E55C48">
        <w:t>Se ha modificado el Decreto de ejecución de la Ley de Protección de las Obtenciones Vegetales y de Semillas del Japón (Decreto N.º 83 del Ministerio de Agricultura, Silvicultura y Pesca (MAFF), de 3 de diciembre de 1998); la enmienda entró en vigor el 16 de marzo de 2020.</w:t>
      </w:r>
      <w:r w:rsidRPr="00592F7C">
        <w:rPr>
          <w:rFonts w:hint="eastAsia"/>
          <w:lang w:val="es-ES"/>
        </w:rPr>
        <w:t xml:space="preserve"> </w:t>
      </w:r>
      <w:r w:rsidRPr="00E55C48">
        <w:t>Mediante dicha enmienda se añaden géneros y especies vegetales a los que se extiende el derecho de obtentor respecto de la utilización de las semillas obtenidas por los agricultores en sus propias explotaciones, de conformidad con el artículo 21.3 de la Ley de Protección de las Obtenciones Vegetales y de Semillas.</w:t>
      </w:r>
    </w:p>
    <w:p w:rsidR="009A51BC" w:rsidRPr="00592F7C" w:rsidRDefault="009A51BC" w:rsidP="009A51BC">
      <w:pPr>
        <w:rPr>
          <w:lang w:val="es-ES"/>
        </w:rPr>
      </w:pPr>
    </w:p>
    <w:p w:rsidR="009A51BC" w:rsidRPr="00592F7C" w:rsidRDefault="009A51BC" w:rsidP="009A51BC">
      <w:pPr>
        <w:rPr>
          <w:lang w:val="es-ES"/>
        </w:rPr>
      </w:pPr>
      <w:r w:rsidRPr="00E55C48">
        <w:t>La enmienda de la Ley de Protección de las Obtenciones Vegetales y de Semillas ha sido remitida al Parlamento.</w:t>
      </w:r>
    </w:p>
    <w:p w:rsidR="009A51BC" w:rsidRPr="00592F7C" w:rsidRDefault="009A51BC" w:rsidP="009A51BC">
      <w:pPr>
        <w:rPr>
          <w:lang w:val="es-ES" w:eastAsia="ja-JP"/>
        </w:rPr>
      </w:pPr>
    </w:p>
    <w:p w:rsidR="009A51BC" w:rsidRPr="00592F7C" w:rsidRDefault="009A51BC" w:rsidP="009A51BC">
      <w:pPr>
        <w:rPr>
          <w:lang w:val="es-ES" w:eastAsia="ja-JP"/>
        </w:rPr>
      </w:pPr>
    </w:p>
    <w:p w:rsidR="009A51BC" w:rsidRPr="00592F7C" w:rsidRDefault="009A51BC" w:rsidP="009A51BC">
      <w:pPr>
        <w:rPr>
          <w:lang w:val="es-ES"/>
        </w:rPr>
      </w:pPr>
      <w:r w:rsidRPr="00592F7C">
        <w:rPr>
          <w:lang w:val="es-ES"/>
        </w:rPr>
        <w:t>2.</w:t>
      </w:r>
      <w:r w:rsidRPr="00592F7C">
        <w:rPr>
          <w:lang w:val="es-ES"/>
        </w:rPr>
        <w:tab/>
      </w:r>
      <w:r w:rsidRPr="00E55C48">
        <w:rPr>
          <w:u w:val="single"/>
        </w:rPr>
        <w:t>Cooperación en el examen</w:t>
      </w:r>
    </w:p>
    <w:p w:rsidR="009A51BC" w:rsidRPr="00592F7C" w:rsidRDefault="009A51BC" w:rsidP="009A51BC">
      <w:pPr>
        <w:rPr>
          <w:bCs/>
          <w:lang w:val="es-ES"/>
        </w:rPr>
      </w:pPr>
    </w:p>
    <w:p w:rsidR="009A51BC" w:rsidRPr="00592F7C" w:rsidRDefault="009A51BC" w:rsidP="009A51BC">
      <w:pPr>
        <w:rPr>
          <w:lang w:val="es-ES" w:eastAsia="ja-JP"/>
        </w:rPr>
      </w:pPr>
      <w:r w:rsidRPr="00434539">
        <w:rPr>
          <w:lang w:eastAsia="ja-JP"/>
        </w:rPr>
        <w:t>El Japón ha suscrito con otros 15 miembros de la UPOV memorandos de cooperación respecto del intercambio de informes de examen DHE existentes para el registro efectivo de títulos de obtentor.</w:t>
      </w:r>
      <w:r w:rsidRPr="00592F7C">
        <w:rPr>
          <w:lang w:val="es-ES" w:eastAsia="ja-JP"/>
        </w:rPr>
        <w:t xml:space="preserve"> </w:t>
      </w:r>
      <w:r w:rsidRPr="00434539">
        <w:rPr>
          <w:lang w:eastAsia="ja-JP"/>
        </w:rPr>
        <w:t xml:space="preserve">En 2019, el Japón suministró un total de 27 informes de examen DHE a </w:t>
      </w:r>
      <w:r w:rsidRPr="00434539">
        <w:t xml:space="preserve">Australia, el Brasil, China, Colombia, la Federación de Rusia, </w:t>
      </w:r>
      <w:proofErr w:type="spellStart"/>
      <w:r w:rsidRPr="00434539">
        <w:t>Kenya</w:t>
      </w:r>
      <w:proofErr w:type="spellEnd"/>
      <w:r w:rsidRPr="00434539">
        <w:t xml:space="preserve">, Nueva Zelandia y </w:t>
      </w:r>
      <w:proofErr w:type="spellStart"/>
      <w:r w:rsidRPr="00434539">
        <w:t>Viet</w:t>
      </w:r>
      <w:proofErr w:type="spellEnd"/>
      <w:r w:rsidRPr="00434539">
        <w:t> </w:t>
      </w:r>
      <w:proofErr w:type="spellStart"/>
      <w:r w:rsidRPr="00434539">
        <w:t>Nam</w:t>
      </w:r>
      <w:proofErr w:type="spellEnd"/>
      <w:r w:rsidRPr="00434539">
        <w:rPr>
          <w:lang w:eastAsia="ja-JP"/>
        </w:rPr>
        <w:t>.</w:t>
      </w:r>
      <w:r w:rsidRPr="00592F7C">
        <w:rPr>
          <w:lang w:val="es-ES" w:eastAsia="ja-JP"/>
        </w:rPr>
        <w:t xml:space="preserve"> </w:t>
      </w:r>
      <w:r w:rsidRPr="00434539">
        <w:rPr>
          <w:lang w:eastAsia="ja-JP"/>
        </w:rPr>
        <w:t xml:space="preserve">El Japón adquirió cuatro informes de examen DHE (a la </w:t>
      </w:r>
      <w:r w:rsidRPr="00434539">
        <w:t xml:space="preserve">Unión Europea </w:t>
      </w:r>
      <w:r w:rsidRPr="00434539">
        <w:rPr>
          <w:lang w:eastAsia="ja-JP"/>
        </w:rPr>
        <w:t xml:space="preserve">y a </w:t>
      </w:r>
      <w:r w:rsidRPr="00434539">
        <w:t>la República de Corea)</w:t>
      </w:r>
      <w:r w:rsidRPr="00434539">
        <w:rPr>
          <w:lang w:eastAsia="ja-JP"/>
        </w:rPr>
        <w:t>.</w:t>
      </w:r>
      <w:r w:rsidRPr="00592F7C">
        <w:rPr>
          <w:lang w:val="es-ES" w:eastAsia="ja-JP"/>
        </w:rPr>
        <w:t xml:space="preserve"> </w:t>
      </w:r>
    </w:p>
    <w:p w:rsidR="009A51BC" w:rsidRPr="00592F7C" w:rsidRDefault="009A51BC" w:rsidP="009A51BC">
      <w:pPr>
        <w:rPr>
          <w:lang w:val="es-ES" w:eastAsia="ja-JP"/>
        </w:rPr>
      </w:pPr>
    </w:p>
    <w:p w:rsidR="009A51BC" w:rsidRPr="00592F7C" w:rsidRDefault="009A51BC" w:rsidP="009A51BC">
      <w:pPr>
        <w:rPr>
          <w:lang w:val="es-ES" w:eastAsia="ja-JP"/>
        </w:rPr>
      </w:pPr>
    </w:p>
    <w:p w:rsidR="009A51BC" w:rsidRPr="00592F7C" w:rsidRDefault="009A51BC" w:rsidP="009A51BC">
      <w:pPr>
        <w:rPr>
          <w:bCs/>
          <w:u w:val="single"/>
          <w:lang w:val="es-ES"/>
        </w:rPr>
      </w:pPr>
      <w:r w:rsidRPr="00592F7C">
        <w:rPr>
          <w:bCs/>
          <w:lang w:val="es-ES"/>
        </w:rPr>
        <w:t>3.</w:t>
      </w:r>
      <w:r w:rsidRPr="00592F7C">
        <w:rPr>
          <w:bCs/>
          <w:lang w:val="es-ES"/>
        </w:rPr>
        <w:tab/>
      </w:r>
      <w:r w:rsidRPr="00434539">
        <w:rPr>
          <w:bCs/>
          <w:u w:val="single"/>
        </w:rPr>
        <w:t>Situación en el ámbito administrativo</w:t>
      </w:r>
    </w:p>
    <w:p w:rsidR="009A51BC" w:rsidRPr="00592F7C" w:rsidRDefault="009A51BC" w:rsidP="009A51BC">
      <w:pPr>
        <w:rPr>
          <w:bCs/>
          <w:u w:val="single"/>
          <w:lang w:val="es-ES"/>
        </w:rPr>
      </w:pPr>
    </w:p>
    <w:p w:rsidR="009A51BC" w:rsidRPr="00592F7C" w:rsidRDefault="009A51BC" w:rsidP="009A51BC">
      <w:pPr>
        <w:rPr>
          <w:i/>
          <w:lang w:val="es-ES"/>
        </w:rPr>
      </w:pPr>
      <w:r w:rsidRPr="00434539">
        <w:rPr>
          <w:i/>
        </w:rPr>
        <w:t>Sistema de presentación electrónica de solicitudes</w:t>
      </w:r>
      <w:r w:rsidRPr="00592F7C">
        <w:rPr>
          <w:i/>
          <w:lang w:val="es-ES"/>
        </w:rPr>
        <w:t xml:space="preserve"> </w:t>
      </w:r>
    </w:p>
    <w:p w:rsidR="009A51BC" w:rsidRPr="00592F7C" w:rsidRDefault="009A51BC" w:rsidP="009A51BC">
      <w:pPr>
        <w:rPr>
          <w:lang w:val="es-ES"/>
        </w:rPr>
      </w:pPr>
    </w:p>
    <w:p w:rsidR="009A51BC" w:rsidRPr="00592F7C" w:rsidRDefault="009A51BC" w:rsidP="009A51BC">
      <w:pPr>
        <w:rPr>
          <w:lang w:val="es-ES"/>
        </w:rPr>
      </w:pPr>
      <w:r w:rsidRPr="00434539">
        <w:t>El 26 de marzo de 2018, el MAFF puso en funcionamiento un sistema nacional de presentación electrónica de solicitudes (EAS) de protección de las obtenciones vegetales, para mayor comodidad de los solicitantes.</w:t>
      </w:r>
      <w:r w:rsidRPr="00592F7C">
        <w:rPr>
          <w:lang w:val="es-ES"/>
        </w:rPr>
        <w:t xml:space="preserve"> </w:t>
      </w:r>
      <w:r w:rsidRPr="00434539">
        <w:t>Estos pueden presentar sus solicitudes mediante este sistema, así como efectuar el pago de las tasas de solicitud y registro por vía electrónica, en el sitio web.</w:t>
      </w:r>
      <w:r w:rsidRPr="00592F7C">
        <w:rPr>
          <w:lang w:val="es-ES"/>
        </w:rPr>
        <w:t xml:space="preserve"> </w:t>
      </w:r>
      <w:r w:rsidRPr="00434539">
        <w:t>Hasta el 31 marzo de 2020, se han presentado</w:t>
      </w:r>
      <w:r>
        <w:t xml:space="preserve"> </w:t>
      </w:r>
      <w:r w:rsidRPr="00434539">
        <w:lastRenderedPageBreak/>
        <w:t>321</w:t>
      </w:r>
      <w:r>
        <w:t> </w:t>
      </w:r>
      <w:r w:rsidRPr="00434539">
        <w:t>solicitudes por medio del EAS.</w:t>
      </w:r>
      <w:r w:rsidRPr="00592F7C">
        <w:rPr>
          <w:lang w:val="es-ES"/>
        </w:rPr>
        <w:t xml:space="preserve"> </w:t>
      </w:r>
      <w:r w:rsidRPr="00434539">
        <w:t>En cuanto a las actividades relacionadas con UPOV PRISMA, el MAFF se mantiene en comunicación con la Oficina de la UPOV para actualizar el sistema de navegación en japonés a fin de preparar el intercambio de datos entre los dos sistemas.</w:t>
      </w:r>
    </w:p>
    <w:p w:rsidR="009A51BC" w:rsidRPr="00592F7C" w:rsidRDefault="009A51BC" w:rsidP="009A51BC">
      <w:pPr>
        <w:rPr>
          <w:lang w:val="es-ES" w:eastAsia="ja-JP"/>
        </w:rPr>
      </w:pPr>
    </w:p>
    <w:p w:rsidR="009A51BC" w:rsidRPr="00592F7C" w:rsidRDefault="009A51BC" w:rsidP="009A51BC">
      <w:pPr>
        <w:rPr>
          <w:lang w:val="es-ES" w:eastAsia="ja-JP"/>
        </w:rPr>
      </w:pPr>
    </w:p>
    <w:p w:rsidR="009A51BC" w:rsidRPr="00592F7C" w:rsidRDefault="009A51BC" w:rsidP="009A51BC">
      <w:pPr>
        <w:rPr>
          <w:bCs/>
          <w:u w:val="single"/>
          <w:lang w:val="es-ES" w:eastAsia="ja-JP"/>
        </w:rPr>
      </w:pPr>
      <w:r w:rsidRPr="00592F7C">
        <w:rPr>
          <w:bCs/>
          <w:lang w:val="es-ES" w:eastAsia="ja-JP"/>
        </w:rPr>
        <w:t>4.</w:t>
      </w:r>
      <w:r w:rsidRPr="00592F7C">
        <w:rPr>
          <w:bCs/>
          <w:lang w:val="es-ES" w:eastAsia="ja-JP"/>
        </w:rPr>
        <w:tab/>
      </w:r>
      <w:r w:rsidRPr="00434539">
        <w:rPr>
          <w:bCs/>
          <w:u w:val="single"/>
          <w:lang w:eastAsia="ja-JP"/>
        </w:rPr>
        <w:t>Situación en el ámbito técnico</w:t>
      </w:r>
    </w:p>
    <w:p w:rsidR="009A51BC" w:rsidRPr="00592F7C" w:rsidRDefault="009A51BC" w:rsidP="009A51BC">
      <w:pPr>
        <w:rPr>
          <w:bCs/>
          <w:u w:val="single"/>
          <w:lang w:val="es-ES" w:eastAsia="ja-JP"/>
        </w:rPr>
      </w:pPr>
    </w:p>
    <w:p w:rsidR="009A51BC" w:rsidRPr="00592F7C" w:rsidRDefault="009A51BC" w:rsidP="009A51BC">
      <w:pPr>
        <w:rPr>
          <w:lang w:val="es-ES"/>
        </w:rPr>
      </w:pPr>
      <w:r w:rsidRPr="00434539">
        <w:t>En 2019 se elaboraron nuevas directrices nacionales de examen correspondientes a 14 géneros y especies.</w:t>
      </w:r>
      <w:r w:rsidRPr="00592F7C">
        <w:rPr>
          <w:lang w:val="es-ES"/>
        </w:rPr>
        <w:t xml:space="preserve"> </w:t>
      </w:r>
    </w:p>
    <w:p w:rsidR="009A51BC" w:rsidRPr="00592F7C" w:rsidRDefault="009A51BC" w:rsidP="009A51BC">
      <w:pPr>
        <w:rPr>
          <w:lang w:val="es-ES"/>
        </w:rPr>
      </w:pPr>
    </w:p>
    <w:p w:rsidR="009A51BC" w:rsidRPr="00592F7C" w:rsidRDefault="009A51BC" w:rsidP="009A51BC">
      <w:pPr>
        <w:rPr>
          <w:lang w:val="es-ES"/>
        </w:rPr>
      </w:pPr>
      <w:r w:rsidRPr="00434539">
        <w:t xml:space="preserve">El Centro Nacional de Semillas y Plántulas (NCSS) —el instituto de ensayos DHE en cultivo del Japón, adscrito a la Organización Nacional de Investigación Agrícola y Alimentaria— está trabajando conjuntamente con el </w:t>
      </w:r>
      <w:proofErr w:type="spellStart"/>
      <w:r w:rsidRPr="00434539">
        <w:t>Naktuinbouw</w:t>
      </w:r>
      <w:proofErr w:type="spellEnd"/>
      <w:r w:rsidRPr="00434539">
        <w:t xml:space="preserve"> a fin de establecer manuales de calibración para el examen DHE que faciliten la armonización de los ensayos DHE.</w:t>
      </w:r>
      <w:r w:rsidRPr="00592F7C">
        <w:rPr>
          <w:lang w:val="es-ES"/>
        </w:rPr>
        <w:t xml:space="preserve"> </w:t>
      </w:r>
      <w:r w:rsidRPr="00434539">
        <w:t>Los manuales de calibración están concebidos como un material de referencia de fácil comprensión para los usuarios, e incluyen fotografías informativas para explicar cómo se observan y se miden los caracteres de las variedades candidatas.</w:t>
      </w:r>
      <w:r w:rsidRPr="00592F7C">
        <w:rPr>
          <w:lang w:val="es-ES"/>
        </w:rPr>
        <w:t xml:space="preserve"> </w:t>
      </w:r>
      <w:r w:rsidRPr="00434539">
        <w:t>Esta actividad conjunta se centra en las</w:t>
      </w:r>
      <w:r>
        <w:t xml:space="preserve"> </w:t>
      </w:r>
      <w:r w:rsidRPr="00434539">
        <w:t>1</w:t>
      </w:r>
      <w:r>
        <w:t>0 </w:t>
      </w:r>
      <w:r w:rsidRPr="00434539">
        <w:t xml:space="preserve">plantas siguientes: </w:t>
      </w:r>
      <w:proofErr w:type="spellStart"/>
      <w:r w:rsidRPr="00434539">
        <w:rPr>
          <w:i/>
        </w:rPr>
        <w:t>Anthurium</w:t>
      </w:r>
      <w:proofErr w:type="spellEnd"/>
      <w:r w:rsidRPr="00434539">
        <w:t xml:space="preserve">, berenjena, crisantemo, </w:t>
      </w:r>
      <w:proofErr w:type="spellStart"/>
      <w:r w:rsidRPr="00434539">
        <w:t>gerbera</w:t>
      </w:r>
      <w:proofErr w:type="spellEnd"/>
      <w:r w:rsidRPr="00434539">
        <w:t>, tomate, tulipán, rosal, lechuga, clavel y sandía.</w:t>
      </w:r>
      <w:r w:rsidRPr="00592F7C">
        <w:rPr>
          <w:lang w:val="es-ES"/>
        </w:rPr>
        <w:t xml:space="preserve"> </w:t>
      </w:r>
      <w:r w:rsidRPr="00434539">
        <w:t xml:space="preserve">Ya se han elaborado ocho manuales (para el rosal (flor cortada), el clavel, </w:t>
      </w:r>
      <w:proofErr w:type="spellStart"/>
      <w:r w:rsidRPr="00434539">
        <w:rPr>
          <w:i/>
        </w:rPr>
        <w:t>Anthurium</w:t>
      </w:r>
      <w:proofErr w:type="spellEnd"/>
      <w:r w:rsidRPr="00434539">
        <w:t xml:space="preserve">, la lechuga, la sandía, la berenjena, la </w:t>
      </w:r>
      <w:proofErr w:type="spellStart"/>
      <w:r w:rsidRPr="00434539">
        <w:t>gerbera</w:t>
      </w:r>
      <w:proofErr w:type="spellEnd"/>
      <w:r w:rsidRPr="00434539">
        <w:t xml:space="preserve"> y el tomate), que están disponibles en el sitio web del NCSS (</w:t>
      </w:r>
      <w:hyperlink r:id="rId17" w:history="1">
        <w:r w:rsidRPr="00592F7C">
          <w:rPr>
            <w:rStyle w:val="Hyperlink"/>
            <w:lang w:val="es-ES"/>
          </w:rPr>
          <w:t>http://www.naro.affrc.go.jp/english/laboratory/ncss/dus_growing_test/index.html</w:t>
        </w:r>
      </w:hyperlink>
      <w:r w:rsidRPr="00434539">
        <w:t>)</w:t>
      </w:r>
      <w:r>
        <w:t xml:space="preserve"> </w:t>
      </w:r>
      <w:r w:rsidRPr="00434539">
        <w:t xml:space="preserve">y en el del </w:t>
      </w:r>
      <w:proofErr w:type="spellStart"/>
      <w:r w:rsidRPr="00434539">
        <w:t>Naktuinbouw</w:t>
      </w:r>
      <w:proofErr w:type="spellEnd"/>
      <w:r>
        <w:t>.</w:t>
      </w:r>
    </w:p>
    <w:p w:rsidR="009A51BC" w:rsidRPr="00592F7C" w:rsidRDefault="009A51BC" w:rsidP="009A51BC">
      <w:pPr>
        <w:rPr>
          <w:lang w:val="es-ES" w:eastAsia="ja-JP"/>
        </w:rPr>
      </w:pPr>
    </w:p>
    <w:p w:rsidR="009A51BC" w:rsidRPr="00592F7C" w:rsidRDefault="009A51BC" w:rsidP="009A51BC">
      <w:pPr>
        <w:rPr>
          <w:lang w:val="es-ES" w:eastAsia="ja-JP"/>
        </w:rPr>
      </w:pPr>
    </w:p>
    <w:p w:rsidR="009A51BC" w:rsidRPr="00592F7C" w:rsidRDefault="009A51BC" w:rsidP="009A51BC">
      <w:pPr>
        <w:jc w:val="left"/>
        <w:rPr>
          <w:bCs/>
          <w:u w:val="single"/>
          <w:lang w:val="es-ES"/>
        </w:rPr>
      </w:pPr>
      <w:r w:rsidRPr="00592F7C">
        <w:rPr>
          <w:bCs/>
          <w:lang w:val="es-ES"/>
        </w:rPr>
        <w:t>5.</w:t>
      </w:r>
      <w:r w:rsidRPr="00592F7C">
        <w:rPr>
          <w:bCs/>
          <w:lang w:val="es-ES"/>
        </w:rPr>
        <w:tab/>
      </w:r>
      <w:r w:rsidRPr="00434539">
        <w:rPr>
          <w:bCs/>
          <w:u w:val="single"/>
        </w:rPr>
        <w:t>Actividades para la promoción de las variedades vegetales</w:t>
      </w:r>
    </w:p>
    <w:p w:rsidR="009A51BC" w:rsidRPr="00592F7C" w:rsidRDefault="009A51BC" w:rsidP="009A51BC">
      <w:pPr>
        <w:jc w:val="left"/>
        <w:rPr>
          <w:bCs/>
          <w:u w:val="single"/>
          <w:lang w:val="es-ES"/>
        </w:rPr>
      </w:pPr>
    </w:p>
    <w:p w:rsidR="009A51BC" w:rsidRPr="00592F7C" w:rsidRDefault="009A51BC" w:rsidP="009A51BC">
      <w:pPr>
        <w:rPr>
          <w:i/>
          <w:lang w:val="es-ES"/>
        </w:rPr>
      </w:pPr>
      <w:r w:rsidRPr="00592F7C">
        <w:rPr>
          <w:i/>
          <w:lang w:val="es-ES"/>
        </w:rPr>
        <w:t>5.1</w:t>
      </w:r>
      <w:r w:rsidRPr="00592F7C">
        <w:rPr>
          <w:i/>
          <w:lang w:val="es-ES"/>
        </w:rPr>
        <w:tab/>
      </w:r>
      <w:r w:rsidRPr="00434539">
        <w:rPr>
          <w:i/>
        </w:rPr>
        <w:t>Foro de Asia Oriental para la Protección de las Obtenciones Vegetales (Foro EAPVP)</w:t>
      </w:r>
    </w:p>
    <w:p w:rsidR="009A51BC" w:rsidRPr="00592F7C" w:rsidRDefault="009A51BC" w:rsidP="009A51BC">
      <w:pPr>
        <w:rPr>
          <w:lang w:val="es-ES"/>
        </w:rPr>
      </w:pPr>
    </w:p>
    <w:p w:rsidR="009A51BC" w:rsidRPr="00592F7C" w:rsidRDefault="009A51BC" w:rsidP="009A51BC">
      <w:pPr>
        <w:rPr>
          <w:lang w:val="es-ES"/>
        </w:rPr>
      </w:pPr>
      <w:r w:rsidRPr="00434539">
        <w:t>De conformidad con el “Plan estratégico del Foro EAPVP para los diez próximos años (2018-2027)”, aprobado en la undécima reunión anual del Foro, que se celebró en 2018, cada país miembro del Foro está promoviendo actividades nacionales o regionales relacionadas con la protección de las obtenciones vegetales.</w:t>
      </w:r>
    </w:p>
    <w:p w:rsidR="009A51BC" w:rsidRPr="00592F7C" w:rsidRDefault="009A51BC" w:rsidP="009A51BC">
      <w:pPr>
        <w:rPr>
          <w:lang w:val="es-ES"/>
        </w:rPr>
      </w:pPr>
    </w:p>
    <w:p w:rsidR="009A51BC" w:rsidRPr="00592F7C" w:rsidRDefault="009A51BC" w:rsidP="009A51BC">
      <w:pPr>
        <w:rPr>
          <w:lang w:val="es-ES"/>
        </w:rPr>
      </w:pPr>
      <w:r w:rsidRPr="00434539">
        <w:t>La decimotercera reunión anual se celebrará en noviembre 2020 (por determinar) y en ella se aprobarán actividades de cooperación y se informará del avance del proyecto piloto del Foro EAPVP</w:t>
      </w:r>
      <w:r w:rsidRPr="00592F7C">
        <w:rPr>
          <w:lang w:val="es-ES"/>
        </w:rPr>
        <w:t xml:space="preserve"> </w:t>
      </w:r>
      <w:r w:rsidRPr="00434539">
        <w:t>(debido al impacto de la COVID-19, la reunión anual ha sido aplazada de julio a noviembre).</w:t>
      </w:r>
    </w:p>
    <w:p w:rsidR="009A51BC" w:rsidRPr="00592F7C" w:rsidRDefault="009A51BC" w:rsidP="009A51BC">
      <w:pPr>
        <w:rPr>
          <w:lang w:val="es-ES"/>
        </w:rPr>
      </w:pPr>
    </w:p>
    <w:p w:rsidR="009A51BC" w:rsidRPr="00592F7C" w:rsidRDefault="009A51BC" w:rsidP="009A51BC">
      <w:pPr>
        <w:rPr>
          <w:lang w:val="es-ES"/>
        </w:rPr>
      </w:pPr>
      <w:r w:rsidRPr="00592F7C">
        <w:rPr>
          <w:lang w:val="es-ES"/>
        </w:rPr>
        <w:t>5.1.1</w:t>
      </w:r>
      <w:r w:rsidRPr="00592F7C">
        <w:rPr>
          <w:lang w:val="es-ES"/>
        </w:rPr>
        <w:tab/>
      </w:r>
      <w:r w:rsidRPr="00434539">
        <w:t>Proyecto piloto del Foro EAPVP</w:t>
      </w:r>
    </w:p>
    <w:p w:rsidR="009A51BC" w:rsidRPr="00592F7C" w:rsidRDefault="009A51BC" w:rsidP="009A51BC">
      <w:pPr>
        <w:rPr>
          <w:lang w:val="es-ES"/>
        </w:rPr>
      </w:pPr>
    </w:p>
    <w:p w:rsidR="009A51BC" w:rsidRPr="00592F7C" w:rsidRDefault="009A51BC" w:rsidP="009A51BC">
      <w:pPr>
        <w:rPr>
          <w:lang w:val="es-ES"/>
        </w:rPr>
      </w:pPr>
      <w:r w:rsidRPr="002827D8">
        <w:t xml:space="preserve">En la undécima reunión anual del Foro se acordó emprender, como actividad de cooperación regional, el proyecto piloto propuesto por el Japón y </w:t>
      </w:r>
      <w:proofErr w:type="spellStart"/>
      <w:r w:rsidRPr="002827D8">
        <w:t>Viet</w:t>
      </w:r>
      <w:proofErr w:type="spellEnd"/>
      <w:r w:rsidRPr="002827D8">
        <w:t> </w:t>
      </w:r>
      <w:proofErr w:type="spellStart"/>
      <w:r w:rsidRPr="002827D8">
        <w:t>Nam</w:t>
      </w:r>
      <w:proofErr w:type="spellEnd"/>
      <w:r w:rsidRPr="002827D8">
        <w:t>.</w:t>
      </w:r>
      <w:r w:rsidRPr="00592F7C">
        <w:rPr>
          <w:lang w:val="es-ES"/>
        </w:rPr>
        <w:t xml:space="preserve"> </w:t>
      </w:r>
      <w:r w:rsidRPr="002827D8">
        <w:t>Dicho proyecto consta de dos fases: una primera fase de desarrollo y puesta a prueba (2018-2021) y una segunda fase de funcionamiento (2022-2023).</w:t>
      </w:r>
      <w:r w:rsidRPr="00592F7C">
        <w:rPr>
          <w:lang w:val="es-ES"/>
        </w:rPr>
        <w:t xml:space="preserve"> </w:t>
      </w:r>
      <w:r w:rsidRPr="002827D8">
        <w:t xml:space="preserve">Desde octubre de 2018 se han celebrado cuatro reuniones del proyecto piloto, que tuvieron lugar en </w:t>
      </w:r>
      <w:proofErr w:type="spellStart"/>
      <w:r w:rsidRPr="002827D8">
        <w:t>Viet</w:t>
      </w:r>
      <w:proofErr w:type="spellEnd"/>
      <w:r w:rsidRPr="002827D8">
        <w:t> </w:t>
      </w:r>
      <w:proofErr w:type="spellStart"/>
      <w:r w:rsidRPr="002827D8">
        <w:t>Nam</w:t>
      </w:r>
      <w:proofErr w:type="spellEnd"/>
      <w:r w:rsidRPr="002827D8">
        <w:t>.</w:t>
      </w:r>
    </w:p>
    <w:p w:rsidR="009A51BC" w:rsidRPr="00592F7C" w:rsidRDefault="009A51BC" w:rsidP="009A51BC">
      <w:pPr>
        <w:rPr>
          <w:lang w:val="es-ES"/>
        </w:rPr>
      </w:pPr>
    </w:p>
    <w:p w:rsidR="009A51BC" w:rsidRPr="00592F7C" w:rsidRDefault="009A51BC" w:rsidP="009A51BC">
      <w:pPr>
        <w:rPr>
          <w:lang w:val="es-ES"/>
        </w:rPr>
      </w:pPr>
      <w:r w:rsidRPr="00592F7C">
        <w:rPr>
          <w:lang w:val="es-ES"/>
        </w:rPr>
        <w:t>i.</w:t>
      </w:r>
      <w:r w:rsidRPr="00592F7C">
        <w:rPr>
          <w:lang w:val="es-ES"/>
        </w:rPr>
        <w:tab/>
      </w:r>
      <w:r w:rsidRPr="002827D8">
        <w:t>Países participantes</w:t>
      </w:r>
    </w:p>
    <w:p w:rsidR="009A51BC" w:rsidRPr="00592F7C" w:rsidRDefault="009A51BC" w:rsidP="009A51BC">
      <w:pPr>
        <w:rPr>
          <w:lang w:val="es-ES"/>
        </w:rPr>
      </w:pPr>
    </w:p>
    <w:p w:rsidR="009A51BC" w:rsidRPr="00592F7C" w:rsidRDefault="009A51BC" w:rsidP="009A51BC">
      <w:pPr>
        <w:rPr>
          <w:lang w:val="es-ES"/>
        </w:rPr>
      </w:pPr>
      <w:r w:rsidRPr="002827D8">
        <w:t xml:space="preserve">En la actualidad, los países participantes son el Japón y </w:t>
      </w:r>
      <w:proofErr w:type="spellStart"/>
      <w:r w:rsidRPr="002827D8">
        <w:t>Viet</w:t>
      </w:r>
      <w:proofErr w:type="spellEnd"/>
      <w:r w:rsidRPr="002827D8">
        <w:t> </w:t>
      </w:r>
      <w:proofErr w:type="spellStart"/>
      <w:r w:rsidRPr="002827D8">
        <w:t>Nam</w:t>
      </w:r>
      <w:proofErr w:type="spellEnd"/>
      <w:r w:rsidRPr="002827D8">
        <w:t>.</w:t>
      </w:r>
      <w:r w:rsidRPr="00592F7C">
        <w:rPr>
          <w:lang w:val="es-ES"/>
        </w:rPr>
        <w:t xml:space="preserve"> </w:t>
      </w:r>
      <w:r w:rsidRPr="002827D8">
        <w:t>Brunei Darussalam, Malasia y Myanmar son participantes provisionales,</w:t>
      </w:r>
      <w:r w:rsidRPr="00592F7C">
        <w:rPr>
          <w:lang w:val="es-ES"/>
        </w:rPr>
        <w:t xml:space="preserve"> </w:t>
      </w:r>
      <w:r w:rsidRPr="002827D8">
        <w:t>y la Oficina de la UPOV aporta recursos al proyecto.</w:t>
      </w:r>
      <w:r w:rsidRPr="00592F7C">
        <w:rPr>
          <w:lang w:val="es-ES"/>
        </w:rPr>
        <w:t xml:space="preserve"> </w:t>
      </w:r>
      <w:r w:rsidRPr="002827D8">
        <w:t>Todos aquellos países miembros de la UPOV que pertenezcan al Foro EAPVP pueden participar en el proyecto piloto si así lo desean.</w:t>
      </w:r>
      <w:r w:rsidRPr="00592F7C">
        <w:rPr>
          <w:lang w:val="es-ES"/>
        </w:rPr>
        <w:t xml:space="preserve"> </w:t>
      </w:r>
      <w:r w:rsidRPr="00735DD1">
        <w:t>Los países miembros del Foro EAPVP que se han comprometido oficialmente a ingresar en la UPOV pueden, previa petición, ser seleccionados como participantes provisionales durante la primera fase.</w:t>
      </w:r>
      <w:r w:rsidRPr="00592F7C">
        <w:rPr>
          <w:lang w:val="es-ES"/>
        </w:rPr>
        <w:t xml:space="preserve"> </w:t>
      </w:r>
      <w:r w:rsidRPr="00735DD1">
        <w:t>Todos los países miembros del Foro EAPVP pueden asistir a las reuniones del proyecto piloto.</w:t>
      </w:r>
    </w:p>
    <w:p w:rsidR="009A51BC" w:rsidRPr="00592F7C" w:rsidRDefault="009A51BC" w:rsidP="009A51BC">
      <w:pPr>
        <w:rPr>
          <w:lang w:val="es-ES"/>
        </w:rPr>
      </w:pPr>
    </w:p>
    <w:p w:rsidR="009A51BC" w:rsidRPr="00592F7C" w:rsidRDefault="009A51BC" w:rsidP="009A51BC">
      <w:pPr>
        <w:rPr>
          <w:lang w:val="es-ES"/>
        </w:rPr>
      </w:pPr>
      <w:r w:rsidRPr="00592F7C">
        <w:rPr>
          <w:lang w:val="es-ES"/>
        </w:rPr>
        <w:t>ii.</w:t>
      </w:r>
      <w:r w:rsidRPr="00592F7C">
        <w:rPr>
          <w:lang w:val="es-ES"/>
        </w:rPr>
        <w:tab/>
      </w:r>
      <w:r w:rsidRPr="00735DD1">
        <w:t>Ventajas del proyecto piloto del Foro EAPVP</w:t>
      </w:r>
    </w:p>
    <w:p w:rsidR="009A51BC" w:rsidRPr="00592F7C" w:rsidRDefault="009A51BC" w:rsidP="009A51BC">
      <w:pPr>
        <w:rPr>
          <w:lang w:val="es-ES"/>
        </w:rPr>
      </w:pPr>
    </w:p>
    <w:p w:rsidR="009A51BC" w:rsidRPr="00592F7C" w:rsidRDefault="009A51BC" w:rsidP="009A51BC">
      <w:pPr>
        <w:rPr>
          <w:lang w:val="es-ES"/>
        </w:rPr>
      </w:pPr>
      <w:r w:rsidRPr="00735DD1">
        <w:t>Para los obtentores y los agentes, el proyecto piloto (plataforma para la protección de las obtenciones vegetales):</w:t>
      </w:r>
    </w:p>
    <w:p w:rsidR="009A51BC" w:rsidRPr="00592F7C" w:rsidRDefault="009A51BC" w:rsidP="009A51BC">
      <w:pPr>
        <w:rPr>
          <w:lang w:val="es-ES"/>
        </w:rPr>
      </w:pPr>
    </w:p>
    <w:p w:rsidR="009A51BC" w:rsidRPr="00592F7C" w:rsidRDefault="009A51BC" w:rsidP="009A51BC">
      <w:pPr>
        <w:pStyle w:val="ListParagraph"/>
        <w:numPr>
          <w:ilvl w:val="0"/>
          <w:numId w:val="3"/>
        </w:numPr>
        <w:jc w:val="both"/>
        <w:rPr>
          <w:lang w:val="es-ES"/>
        </w:rPr>
      </w:pPr>
      <w:r w:rsidRPr="00735DD1">
        <w:rPr>
          <w:lang w:val="es-ES_tradnl"/>
        </w:rPr>
        <w:t>aportará una herramienta única en línea para transmitir los datos de las solicitudes a las oficinas de protección de las obtenciones vegetales de los países participantes; y</w:t>
      </w:r>
    </w:p>
    <w:p w:rsidR="009A51BC" w:rsidRPr="00592F7C" w:rsidRDefault="009A51BC" w:rsidP="009A51BC">
      <w:pPr>
        <w:pStyle w:val="ListParagraph"/>
        <w:numPr>
          <w:ilvl w:val="0"/>
          <w:numId w:val="3"/>
        </w:numPr>
        <w:jc w:val="both"/>
        <w:rPr>
          <w:lang w:val="es-ES"/>
        </w:rPr>
      </w:pPr>
      <w:r w:rsidRPr="00735DD1">
        <w:rPr>
          <w:lang w:val="es-ES_tradnl"/>
        </w:rPr>
        <w:t>constituirá una plataforma para potenciar la cooperación en materia de examen DHE entre los países participantes, lo que contribuirá a ahorrar tiempo y dinero al reducir el número de exámenes DHE.</w:t>
      </w:r>
      <w:r w:rsidRPr="00592F7C">
        <w:rPr>
          <w:lang w:val="es-ES"/>
        </w:rPr>
        <w:t xml:space="preserve"> </w:t>
      </w:r>
    </w:p>
    <w:p w:rsidR="009A51BC" w:rsidRPr="00592F7C" w:rsidRDefault="009A51BC" w:rsidP="009A51BC">
      <w:pPr>
        <w:rPr>
          <w:lang w:val="es-ES"/>
        </w:rPr>
      </w:pPr>
    </w:p>
    <w:p w:rsidR="009A51BC" w:rsidRPr="00592F7C" w:rsidRDefault="009A51BC" w:rsidP="009A51BC">
      <w:pPr>
        <w:rPr>
          <w:lang w:val="es-ES"/>
        </w:rPr>
      </w:pPr>
      <w:r w:rsidRPr="00735DD1">
        <w:t>Para las oficinas de protección de las obtenciones vegetales participantes, el proyecto piloto (plataforma para la protección de las obtenciones vegetales):</w:t>
      </w:r>
    </w:p>
    <w:p w:rsidR="009A51BC" w:rsidRPr="00592F7C" w:rsidRDefault="009A51BC" w:rsidP="009A51BC">
      <w:pPr>
        <w:rPr>
          <w:lang w:val="es-ES"/>
        </w:rPr>
      </w:pPr>
    </w:p>
    <w:p w:rsidR="009A51BC" w:rsidRPr="00592F7C" w:rsidRDefault="009A51BC" w:rsidP="009A51BC">
      <w:pPr>
        <w:pStyle w:val="ListParagraph"/>
        <w:numPr>
          <w:ilvl w:val="0"/>
          <w:numId w:val="4"/>
        </w:numPr>
        <w:jc w:val="both"/>
        <w:rPr>
          <w:lang w:val="es-ES"/>
        </w:rPr>
      </w:pPr>
      <w:r w:rsidRPr="00735DD1">
        <w:rPr>
          <w:lang w:val="es-ES_tradnl"/>
        </w:rPr>
        <w:lastRenderedPageBreak/>
        <w:t>potenciará la cooperación en materia de examen DHE entre las oficinas de protección de las obtenciones vegetales de los países participantes y contribuirá a atenuar las diferencias de capacidad en cuanto a recursos humanos, infraestructura y condiciones naturales para los ensayos en cultivo; y</w:t>
      </w:r>
      <w:r w:rsidRPr="00592F7C">
        <w:rPr>
          <w:lang w:val="es-ES"/>
        </w:rPr>
        <w:t xml:space="preserve"> </w:t>
      </w:r>
    </w:p>
    <w:p w:rsidR="009A51BC" w:rsidRPr="00592F7C" w:rsidRDefault="009A51BC" w:rsidP="009A51BC">
      <w:pPr>
        <w:pStyle w:val="ListParagraph"/>
        <w:numPr>
          <w:ilvl w:val="0"/>
          <w:numId w:val="4"/>
        </w:numPr>
        <w:jc w:val="both"/>
        <w:rPr>
          <w:lang w:val="es-ES"/>
        </w:rPr>
      </w:pPr>
      <w:r w:rsidRPr="00735DD1">
        <w:rPr>
          <w:lang w:val="es-ES_tradnl"/>
        </w:rPr>
        <w:t>facilitará a los nuevos miembros de la UPOV el cumplimiento de la obligación, establecida en el Acta de 1991 del Convenio de la UPOV, de aplicar la protección del derecho de obtentor a todos los géneros y especies vegetales en un plazo de diez años a partir de su adhesión, merced al aumento de la cooperación en materia de examen DHE entre los países participantes.</w:t>
      </w:r>
    </w:p>
    <w:p w:rsidR="009A51BC" w:rsidRPr="00592F7C" w:rsidRDefault="009A51BC" w:rsidP="009A51BC">
      <w:pPr>
        <w:rPr>
          <w:lang w:val="es-ES"/>
        </w:rPr>
      </w:pPr>
    </w:p>
    <w:p w:rsidR="009A51BC" w:rsidRPr="00592F7C" w:rsidRDefault="009A51BC" w:rsidP="009A51BC">
      <w:pPr>
        <w:rPr>
          <w:lang w:val="es-ES"/>
        </w:rPr>
      </w:pPr>
      <w:r w:rsidRPr="00592F7C">
        <w:rPr>
          <w:lang w:val="es-ES"/>
        </w:rPr>
        <w:t>iii.</w:t>
      </w:r>
      <w:r w:rsidRPr="00592F7C">
        <w:rPr>
          <w:lang w:val="es-ES"/>
        </w:rPr>
        <w:tab/>
      </w:r>
      <w:r w:rsidRPr="00735DD1">
        <w:t>Avance del proyecto piloto</w:t>
      </w:r>
    </w:p>
    <w:p w:rsidR="009A51BC" w:rsidRPr="00592F7C" w:rsidRDefault="009A51BC" w:rsidP="009A51BC">
      <w:pPr>
        <w:rPr>
          <w:lang w:val="es-ES"/>
        </w:rPr>
      </w:pPr>
    </w:p>
    <w:p w:rsidR="009A51BC" w:rsidRPr="00592F7C" w:rsidRDefault="009A51BC" w:rsidP="009A51BC">
      <w:pPr>
        <w:rPr>
          <w:lang w:val="es-ES"/>
        </w:rPr>
      </w:pPr>
      <w:r w:rsidRPr="00735DD1">
        <w:t>En la cuarta reunión del proyecto piloto, celebrada por correspondencia en julio de 2020, se acordó el esquema del proyecto y se presentaron las pantallas de usuario del proyecto piloto del Foro EAPVP.</w:t>
      </w:r>
      <w:r w:rsidRPr="00592F7C">
        <w:rPr>
          <w:lang w:val="es-ES"/>
        </w:rPr>
        <w:t xml:space="preserve"> </w:t>
      </w:r>
      <w:r w:rsidRPr="00735DD1">
        <w:t>Los países que participan en el proyecto piloto han distribuido el esquema del proyecto a todos los miembros del Foro y los han invitado a formular comentarios.</w:t>
      </w:r>
      <w:r w:rsidRPr="00592F7C">
        <w:rPr>
          <w:lang w:val="es-ES"/>
        </w:rPr>
        <w:t xml:space="preserve"> </w:t>
      </w:r>
      <w:r w:rsidRPr="00735DD1">
        <w:t>Se informará del desarrollo del proyecto en la decimotercera reunión anual del Foro EAPVP.</w:t>
      </w:r>
    </w:p>
    <w:p w:rsidR="009A51BC" w:rsidRPr="00592F7C" w:rsidRDefault="009A51BC" w:rsidP="009A51BC">
      <w:pPr>
        <w:rPr>
          <w:lang w:val="es-ES" w:eastAsia="ja-JP"/>
        </w:rPr>
      </w:pPr>
    </w:p>
    <w:p w:rsidR="009A51BC" w:rsidRPr="00592F7C" w:rsidRDefault="009A51BC" w:rsidP="009A51BC">
      <w:pPr>
        <w:rPr>
          <w:lang w:val="es-ES" w:eastAsia="ja-JP"/>
        </w:rPr>
      </w:pPr>
      <w:r w:rsidRPr="00592F7C">
        <w:rPr>
          <w:rFonts w:hint="eastAsia"/>
          <w:lang w:val="es-ES" w:eastAsia="ja-JP"/>
        </w:rPr>
        <w:t>5.</w:t>
      </w:r>
      <w:r w:rsidRPr="00592F7C">
        <w:rPr>
          <w:lang w:val="es-ES" w:eastAsia="ja-JP"/>
        </w:rPr>
        <w:t>1.</w:t>
      </w:r>
      <w:r w:rsidRPr="00592F7C">
        <w:rPr>
          <w:rFonts w:hint="eastAsia"/>
          <w:lang w:val="es-ES" w:eastAsia="ja-JP"/>
        </w:rPr>
        <w:t>2</w:t>
      </w:r>
      <w:r w:rsidRPr="00592F7C">
        <w:rPr>
          <w:rFonts w:hint="eastAsia"/>
          <w:lang w:val="es-ES" w:eastAsia="ja-JP"/>
        </w:rPr>
        <w:tab/>
      </w:r>
      <w:r w:rsidRPr="00735DD1">
        <w:rPr>
          <w:lang w:eastAsia="ja-JP"/>
        </w:rPr>
        <w:t>Actividades de cooperación del Foro EAPVP (de abril de 2019 a marzo de 2020)</w:t>
      </w:r>
    </w:p>
    <w:p w:rsidR="009A51BC" w:rsidRPr="00592F7C" w:rsidRDefault="009A51BC" w:rsidP="009A51BC">
      <w:pPr>
        <w:rPr>
          <w:lang w:val="es-ES" w:eastAsia="ja-JP"/>
        </w:rPr>
      </w:pPr>
    </w:p>
    <w:tbl>
      <w:tblPr>
        <w:tblStyle w:val="TableGrid"/>
        <w:tblW w:w="9923" w:type="dxa"/>
        <w:tblInd w:w="-5" w:type="dxa"/>
        <w:tblLayout w:type="fixed"/>
        <w:tblLook w:val="04A0" w:firstRow="1" w:lastRow="0" w:firstColumn="1" w:lastColumn="0" w:noHBand="0" w:noVBand="1"/>
      </w:tblPr>
      <w:tblGrid>
        <w:gridCol w:w="2127"/>
        <w:gridCol w:w="1370"/>
        <w:gridCol w:w="1370"/>
        <w:gridCol w:w="2788"/>
        <w:gridCol w:w="2268"/>
      </w:tblGrid>
      <w:tr w:rsidR="009A51BC" w:rsidRPr="00592F7C" w:rsidTr="002D1696">
        <w:tc>
          <w:tcPr>
            <w:tcW w:w="2127" w:type="dxa"/>
            <w:tcMar>
              <w:top w:w="28" w:type="dxa"/>
              <w:left w:w="57" w:type="dxa"/>
              <w:bottom w:w="28" w:type="dxa"/>
              <w:right w:w="57" w:type="dxa"/>
            </w:tcMar>
          </w:tcPr>
          <w:p w:rsidR="009A51BC" w:rsidRPr="00D82439" w:rsidRDefault="009A51BC" w:rsidP="002D1696">
            <w:pPr>
              <w:jc w:val="left"/>
              <w:rPr>
                <w:bCs/>
                <w:sz w:val="16"/>
              </w:rPr>
            </w:pPr>
            <w:r w:rsidRPr="00735DD1">
              <w:rPr>
                <w:bCs/>
                <w:sz w:val="16"/>
              </w:rPr>
              <w:t>Título de la actividad</w:t>
            </w:r>
          </w:p>
        </w:tc>
        <w:tc>
          <w:tcPr>
            <w:tcW w:w="1370" w:type="dxa"/>
            <w:tcMar>
              <w:top w:w="28" w:type="dxa"/>
              <w:left w:w="57" w:type="dxa"/>
              <w:bottom w:w="28" w:type="dxa"/>
              <w:right w:w="57" w:type="dxa"/>
            </w:tcMar>
          </w:tcPr>
          <w:p w:rsidR="009A51BC" w:rsidRPr="00D82439" w:rsidRDefault="009A51BC" w:rsidP="002D1696">
            <w:pPr>
              <w:jc w:val="left"/>
              <w:rPr>
                <w:bCs/>
                <w:sz w:val="16"/>
              </w:rPr>
            </w:pPr>
            <w:r w:rsidRPr="00735DD1">
              <w:rPr>
                <w:bCs/>
                <w:sz w:val="16"/>
              </w:rPr>
              <w:t>Fecha</w:t>
            </w:r>
          </w:p>
        </w:tc>
        <w:tc>
          <w:tcPr>
            <w:tcW w:w="1370" w:type="dxa"/>
            <w:tcMar>
              <w:top w:w="28" w:type="dxa"/>
              <w:left w:w="57" w:type="dxa"/>
              <w:bottom w:w="28" w:type="dxa"/>
              <w:right w:w="57" w:type="dxa"/>
            </w:tcMar>
          </w:tcPr>
          <w:p w:rsidR="009A51BC" w:rsidRPr="00D82439" w:rsidRDefault="009A51BC" w:rsidP="002D1696">
            <w:pPr>
              <w:jc w:val="left"/>
              <w:rPr>
                <w:bCs/>
                <w:sz w:val="16"/>
                <w:lang w:eastAsia="ja-JP"/>
              </w:rPr>
            </w:pPr>
            <w:r w:rsidRPr="00735DD1">
              <w:rPr>
                <w:bCs/>
                <w:sz w:val="16"/>
                <w:lang w:eastAsia="ja-JP"/>
              </w:rPr>
              <w:t>Lugar</w:t>
            </w:r>
          </w:p>
        </w:tc>
        <w:tc>
          <w:tcPr>
            <w:tcW w:w="2788" w:type="dxa"/>
            <w:tcMar>
              <w:top w:w="28" w:type="dxa"/>
              <w:left w:w="57" w:type="dxa"/>
              <w:bottom w:w="28" w:type="dxa"/>
              <w:right w:w="57" w:type="dxa"/>
            </w:tcMar>
          </w:tcPr>
          <w:p w:rsidR="009A51BC" w:rsidRPr="00D82439" w:rsidRDefault="009A51BC" w:rsidP="002D1696">
            <w:pPr>
              <w:jc w:val="left"/>
              <w:rPr>
                <w:bCs/>
                <w:sz w:val="16"/>
              </w:rPr>
            </w:pPr>
            <w:r w:rsidRPr="00735DD1">
              <w:rPr>
                <w:bCs/>
                <w:sz w:val="16"/>
              </w:rPr>
              <w:t>Finalidad de la actividad</w:t>
            </w:r>
          </w:p>
        </w:tc>
        <w:tc>
          <w:tcPr>
            <w:tcW w:w="2268" w:type="dxa"/>
            <w:tcMar>
              <w:top w:w="28" w:type="dxa"/>
              <w:left w:w="57" w:type="dxa"/>
              <w:bottom w:w="28" w:type="dxa"/>
              <w:right w:w="57" w:type="dxa"/>
            </w:tcMar>
          </w:tcPr>
          <w:p w:rsidR="009A51BC" w:rsidRPr="00592F7C" w:rsidRDefault="009A51BC" w:rsidP="002D1696">
            <w:pPr>
              <w:jc w:val="left"/>
              <w:rPr>
                <w:bCs/>
                <w:sz w:val="16"/>
                <w:lang w:val="es-ES"/>
              </w:rPr>
            </w:pPr>
            <w:r w:rsidRPr="00735DD1">
              <w:rPr>
                <w:bCs/>
                <w:sz w:val="16"/>
              </w:rPr>
              <w:t>Países/organizaciones participantes (número de participantes)</w:t>
            </w:r>
          </w:p>
        </w:tc>
      </w:tr>
      <w:tr w:rsidR="009A51BC" w:rsidRPr="00592F7C" w:rsidTr="002D1696">
        <w:tc>
          <w:tcPr>
            <w:tcW w:w="2127" w:type="dxa"/>
            <w:tcMar>
              <w:top w:w="28" w:type="dxa"/>
              <w:left w:w="57" w:type="dxa"/>
              <w:bottom w:w="28" w:type="dxa"/>
              <w:right w:w="57" w:type="dxa"/>
            </w:tcMar>
          </w:tcPr>
          <w:p w:rsidR="009A51BC" w:rsidRPr="00592F7C" w:rsidRDefault="009A51BC" w:rsidP="002D1696">
            <w:pPr>
              <w:jc w:val="left"/>
              <w:rPr>
                <w:b/>
                <w:color w:val="000000" w:themeColor="text1"/>
                <w:sz w:val="16"/>
                <w:lang w:val="es-ES"/>
              </w:rPr>
            </w:pPr>
            <w:r w:rsidRPr="00592F7C">
              <w:rPr>
                <w:color w:val="000000" w:themeColor="text1"/>
                <w:sz w:val="16"/>
                <w:lang w:val="es-ES"/>
              </w:rPr>
              <w:t xml:space="preserve">1. </w:t>
            </w:r>
            <w:r w:rsidRPr="00735DD1">
              <w:rPr>
                <w:color w:val="000000" w:themeColor="text1"/>
                <w:sz w:val="16"/>
              </w:rPr>
              <w:t>Seminario internacional sobre la protección de las obtenciones vegetales</w:t>
            </w:r>
          </w:p>
        </w:tc>
        <w:tc>
          <w:tcPr>
            <w:tcW w:w="1370" w:type="dxa"/>
            <w:tcMar>
              <w:top w:w="28" w:type="dxa"/>
              <w:left w:w="57" w:type="dxa"/>
              <w:bottom w:w="28" w:type="dxa"/>
              <w:right w:w="57" w:type="dxa"/>
            </w:tcMar>
          </w:tcPr>
          <w:p w:rsidR="009A51BC" w:rsidRPr="00D82439" w:rsidRDefault="009A51BC" w:rsidP="002D1696">
            <w:pPr>
              <w:jc w:val="left"/>
              <w:rPr>
                <w:b/>
                <w:color w:val="000000" w:themeColor="text1"/>
                <w:sz w:val="16"/>
              </w:rPr>
            </w:pPr>
            <w:r w:rsidRPr="00735DD1">
              <w:rPr>
                <w:rFonts w:hint="eastAsia"/>
                <w:color w:val="000000" w:themeColor="text1"/>
                <w:sz w:val="16"/>
                <w:lang w:eastAsia="ja-JP"/>
              </w:rPr>
              <w:t>2</w:t>
            </w:r>
            <w:r w:rsidRPr="00735DD1">
              <w:rPr>
                <w:color w:val="000000" w:themeColor="text1"/>
                <w:sz w:val="16"/>
                <w:lang w:eastAsia="ja-JP"/>
              </w:rPr>
              <w:t>3 de abril de 2019</w:t>
            </w:r>
          </w:p>
        </w:tc>
        <w:tc>
          <w:tcPr>
            <w:tcW w:w="1370" w:type="dxa"/>
            <w:tcMar>
              <w:top w:w="28" w:type="dxa"/>
              <w:left w:w="57" w:type="dxa"/>
              <w:bottom w:w="28" w:type="dxa"/>
              <w:right w:w="57" w:type="dxa"/>
            </w:tcMar>
          </w:tcPr>
          <w:p w:rsidR="009A51BC" w:rsidRPr="00D82439" w:rsidRDefault="009A51BC" w:rsidP="002D1696">
            <w:pPr>
              <w:jc w:val="left"/>
              <w:rPr>
                <w:b/>
                <w:color w:val="000000" w:themeColor="text1"/>
                <w:sz w:val="16"/>
                <w:lang w:eastAsia="ja-JP"/>
              </w:rPr>
            </w:pPr>
            <w:r w:rsidRPr="00735DD1">
              <w:rPr>
                <w:color w:val="000000" w:themeColor="text1"/>
                <w:sz w:val="16"/>
                <w:lang w:eastAsia="ja-JP"/>
              </w:rPr>
              <w:t>Beijing (China)</w:t>
            </w:r>
          </w:p>
        </w:tc>
        <w:tc>
          <w:tcPr>
            <w:tcW w:w="2788" w:type="dxa"/>
            <w:tcMar>
              <w:top w:w="28" w:type="dxa"/>
              <w:left w:w="57" w:type="dxa"/>
              <w:bottom w:w="28" w:type="dxa"/>
              <w:right w:w="57" w:type="dxa"/>
            </w:tcMar>
          </w:tcPr>
          <w:p w:rsidR="009A51BC" w:rsidRPr="00592F7C" w:rsidRDefault="009A51BC" w:rsidP="002D1696">
            <w:pPr>
              <w:jc w:val="left"/>
              <w:rPr>
                <w:b/>
                <w:color w:val="000000" w:themeColor="text1"/>
                <w:sz w:val="16"/>
                <w:lang w:val="es-ES"/>
              </w:rPr>
            </w:pPr>
            <w:r w:rsidRPr="00735DD1">
              <w:rPr>
                <w:color w:val="000000" w:themeColor="text1"/>
                <w:sz w:val="16"/>
              </w:rPr>
              <w:t>Fomento de la sensibilización sobre el sistema de protección de las obtenciones vegetales con arreglo al Convenio de la UPOV</w:t>
            </w:r>
          </w:p>
        </w:tc>
        <w:tc>
          <w:tcPr>
            <w:tcW w:w="2268" w:type="dxa"/>
            <w:tcMar>
              <w:top w:w="28" w:type="dxa"/>
              <w:left w:w="57" w:type="dxa"/>
              <w:bottom w:w="28" w:type="dxa"/>
              <w:right w:w="57" w:type="dxa"/>
            </w:tcMar>
          </w:tcPr>
          <w:p w:rsidR="009A51BC" w:rsidRPr="00592F7C" w:rsidRDefault="009A51BC" w:rsidP="002D1696">
            <w:pPr>
              <w:jc w:val="left"/>
              <w:rPr>
                <w:b/>
                <w:color w:val="000000" w:themeColor="text1"/>
                <w:sz w:val="16"/>
                <w:lang w:val="es-ES"/>
              </w:rPr>
            </w:pPr>
            <w:r w:rsidRPr="00735DD1">
              <w:rPr>
                <w:color w:val="000000" w:themeColor="text1"/>
                <w:sz w:val="16"/>
                <w:lang w:eastAsia="ja-JP"/>
              </w:rPr>
              <w:t>Miembros del Foro EAPVP, UPOV, OCVV, USPTO</w:t>
            </w:r>
          </w:p>
        </w:tc>
      </w:tr>
      <w:tr w:rsidR="009A51BC" w:rsidRPr="00592F7C" w:rsidTr="002D1696">
        <w:tc>
          <w:tcPr>
            <w:tcW w:w="2127" w:type="dxa"/>
            <w:tcMar>
              <w:top w:w="28" w:type="dxa"/>
              <w:left w:w="57" w:type="dxa"/>
              <w:bottom w:w="28" w:type="dxa"/>
              <w:right w:w="57" w:type="dxa"/>
            </w:tcMar>
          </w:tcPr>
          <w:p w:rsidR="009A51BC" w:rsidRPr="00592F7C" w:rsidRDefault="009A51BC" w:rsidP="002D1696">
            <w:pPr>
              <w:jc w:val="left"/>
              <w:rPr>
                <w:b/>
                <w:color w:val="000000" w:themeColor="text1"/>
                <w:sz w:val="16"/>
                <w:lang w:val="es-ES"/>
              </w:rPr>
            </w:pPr>
            <w:r w:rsidRPr="00592F7C">
              <w:rPr>
                <w:color w:val="000000" w:themeColor="text1"/>
                <w:sz w:val="16"/>
                <w:lang w:val="es-ES"/>
              </w:rPr>
              <w:t xml:space="preserve">2. </w:t>
            </w:r>
            <w:r w:rsidRPr="00735DD1">
              <w:rPr>
                <w:color w:val="000000" w:themeColor="text1"/>
                <w:sz w:val="16"/>
              </w:rPr>
              <w:t xml:space="preserve">Viaje de estudio </w:t>
            </w:r>
            <w:r w:rsidRPr="00735DD1">
              <w:rPr>
                <w:color w:val="000000" w:themeColor="text1"/>
                <w:sz w:val="16"/>
                <w:lang w:eastAsia="ja-JP"/>
              </w:rPr>
              <w:t xml:space="preserve">a </w:t>
            </w:r>
            <w:proofErr w:type="spellStart"/>
            <w:r w:rsidRPr="00735DD1">
              <w:rPr>
                <w:color w:val="000000" w:themeColor="text1"/>
                <w:sz w:val="16"/>
                <w:lang w:eastAsia="ja-JP"/>
              </w:rPr>
              <w:t>Viet</w:t>
            </w:r>
            <w:proofErr w:type="spellEnd"/>
            <w:r w:rsidRPr="00735DD1">
              <w:rPr>
                <w:color w:val="000000" w:themeColor="text1"/>
                <w:sz w:val="16"/>
                <w:lang w:eastAsia="ja-JP"/>
              </w:rPr>
              <w:t> </w:t>
            </w:r>
            <w:proofErr w:type="spellStart"/>
            <w:r w:rsidRPr="00735DD1">
              <w:rPr>
                <w:color w:val="000000" w:themeColor="text1"/>
                <w:sz w:val="16"/>
                <w:lang w:eastAsia="ja-JP"/>
              </w:rPr>
              <w:t>Nam</w:t>
            </w:r>
            <w:proofErr w:type="spellEnd"/>
            <w:r w:rsidRPr="00735DD1">
              <w:rPr>
                <w:color w:val="000000" w:themeColor="text1"/>
                <w:sz w:val="16"/>
              </w:rPr>
              <w:t xml:space="preserve"> </w:t>
            </w:r>
            <w:r w:rsidRPr="00735DD1">
              <w:rPr>
                <w:color w:val="000000" w:themeColor="text1"/>
                <w:sz w:val="16"/>
                <w:lang w:eastAsia="ja-JP"/>
              </w:rPr>
              <w:t>para funcionarios de alto nivel</w:t>
            </w:r>
          </w:p>
        </w:tc>
        <w:tc>
          <w:tcPr>
            <w:tcW w:w="1370" w:type="dxa"/>
            <w:tcMar>
              <w:top w:w="28" w:type="dxa"/>
              <w:left w:w="57" w:type="dxa"/>
              <w:bottom w:w="28" w:type="dxa"/>
              <w:right w:w="57" w:type="dxa"/>
            </w:tcMar>
          </w:tcPr>
          <w:p w:rsidR="009A51BC" w:rsidRPr="00D82439" w:rsidRDefault="009A51BC" w:rsidP="002D1696">
            <w:pPr>
              <w:jc w:val="left"/>
              <w:rPr>
                <w:b/>
                <w:color w:val="000000" w:themeColor="text1"/>
                <w:sz w:val="16"/>
              </w:rPr>
            </w:pPr>
            <w:r w:rsidRPr="00735DD1">
              <w:rPr>
                <w:color w:val="000000" w:themeColor="text1"/>
                <w:sz w:val="16"/>
                <w:lang w:eastAsia="ja-JP"/>
              </w:rPr>
              <w:t>9 a 11 de julio de 2019</w:t>
            </w:r>
          </w:p>
        </w:tc>
        <w:tc>
          <w:tcPr>
            <w:tcW w:w="1370" w:type="dxa"/>
            <w:tcMar>
              <w:top w:w="28" w:type="dxa"/>
              <w:left w:w="57" w:type="dxa"/>
              <w:bottom w:w="28" w:type="dxa"/>
              <w:right w:w="57" w:type="dxa"/>
            </w:tcMar>
          </w:tcPr>
          <w:p w:rsidR="009A51BC" w:rsidRPr="00D82439" w:rsidRDefault="009A51BC" w:rsidP="002D1696">
            <w:pPr>
              <w:jc w:val="left"/>
              <w:rPr>
                <w:b/>
                <w:color w:val="000000" w:themeColor="text1"/>
                <w:sz w:val="16"/>
                <w:lang w:eastAsia="ja-JP"/>
              </w:rPr>
            </w:pPr>
            <w:proofErr w:type="spellStart"/>
            <w:r w:rsidRPr="00735DD1">
              <w:rPr>
                <w:color w:val="000000" w:themeColor="text1"/>
                <w:sz w:val="16"/>
                <w:lang w:eastAsia="ja-JP"/>
              </w:rPr>
              <w:t>Viet</w:t>
            </w:r>
            <w:proofErr w:type="spellEnd"/>
            <w:r w:rsidRPr="00735DD1">
              <w:rPr>
                <w:color w:val="000000" w:themeColor="text1"/>
                <w:sz w:val="16"/>
                <w:lang w:eastAsia="ja-JP"/>
              </w:rPr>
              <w:t> </w:t>
            </w:r>
            <w:proofErr w:type="spellStart"/>
            <w:r w:rsidRPr="00735DD1">
              <w:rPr>
                <w:color w:val="000000" w:themeColor="text1"/>
                <w:sz w:val="16"/>
                <w:lang w:eastAsia="ja-JP"/>
              </w:rPr>
              <w:t>Nam</w:t>
            </w:r>
            <w:proofErr w:type="spellEnd"/>
          </w:p>
        </w:tc>
        <w:tc>
          <w:tcPr>
            <w:tcW w:w="2788" w:type="dxa"/>
            <w:tcMar>
              <w:top w:w="28" w:type="dxa"/>
              <w:left w:w="57" w:type="dxa"/>
              <w:bottom w:w="28" w:type="dxa"/>
              <w:right w:w="57" w:type="dxa"/>
            </w:tcMar>
          </w:tcPr>
          <w:p w:rsidR="009A51BC" w:rsidRPr="00592F7C" w:rsidRDefault="009A51BC" w:rsidP="002D1696">
            <w:pPr>
              <w:jc w:val="left"/>
              <w:rPr>
                <w:b/>
                <w:color w:val="000000" w:themeColor="text1"/>
                <w:sz w:val="16"/>
                <w:lang w:val="es-ES"/>
              </w:rPr>
            </w:pPr>
            <w:r w:rsidRPr="00735DD1">
              <w:rPr>
                <w:color w:val="000000" w:themeColor="text1"/>
                <w:sz w:val="16"/>
                <w:lang w:eastAsia="ja-JP"/>
              </w:rPr>
              <w:t>Concienciar a los funcionarios de alto nivel sobre las ventajas del sistema de protección de las obtenciones vegetales con arreglo al Convenio de la UPOV</w:t>
            </w:r>
          </w:p>
        </w:tc>
        <w:tc>
          <w:tcPr>
            <w:tcW w:w="2268" w:type="dxa"/>
            <w:tcMar>
              <w:top w:w="28" w:type="dxa"/>
              <w:left w:w="57" w:type="dxa"/>
              <w:bottom w:w="28" w:type="dxa"/>
              <w:right w:w="57" w:type="dxa"/>
            </w:tcMar>
          </w:tcPr>
          <w:p w:rsidR="009A51BC" w:rsidRPr="00592F7C" w:rsidRDefault="009A51BC" w:rsidP="002D1696">
            <w:pPr>
              <w:jc w:val="left"/>
              <w:rPr>
                <w:b/>
                <w:color w:val="000000" w:themeColor="text1"/>
                <w:sz w:val="16"/>
                <w:lang w:val="es-ES"/>
              </w:rPr>
            </w:pPr>
            <w:r w:rsidRPr="00735DD1">
              <w:rPr>
                <w:color w:val="000000" w:themeColor="text1"/>
                <w:sz w:val="16"/>
                <w:lang w:eastAsia="ja-JP"/>
              </w:rPr>
              <w:t>Myanmar (4), Malasia (2), República Democrática Popular Lao (2)</w:t>
            </w:r>
          </w:p>
        </w:tc>
      </w:tr>
      <w:tr w:rsidR="009A51BC" w:rsidRPr="00A67586" w:rsidTr="002D1696">
        <w:tc>
          <w:tcPr>
            <w:tcW w:w="2127" w:type="dxa"/>
            <w:tcMar>
              <w:top w:w="28" w:type="dxa"/>
              <w:left w:w="57" w:type="dxa"/>
              <w:bottom w:w="28" w:type="dxa"/>
              <w:right w:w="57" w:type="dxa"/>
            </w:tcMar>
          </w:tcPr>
          <w:p w:rsidR="009A51BC" w:rsidRPr="00592F7C" w:rsidRDefault="009A51BC" w:rsidP="002D1696">
            <w:pPr>
              <w:jc w:val="left"/>
              <w:rPr>
                <w:b/>
                <w:color w:val="000000" w:themeColor="text1"/>
                <w:sz w:val="16"/>
                <w:lang w:val="es-ES"/>
              </w:rPr>
            </w:pPr>
            <w:r w:rsidRPr="00592F7C">
              <w:rPr>
                <w:color w:val="000000" w:themeColor="text1"/>
                <w:sz w:val="16"/>
                <w:lang w:val="es-ES"/>
              </w:rPr>
              <w:t xml:space="preserve">3. </w:t>
            </w:r>
            <w:r w:rsidRPr="00735DD1">
              <w:rPr>
                <w:color w:val="000000" w:themeColor="text1"/>
                <w:sz w:val="16"/>
              </w:rPr>
              <w:t>Tercera reunión del proyecto piloto</w:t>
            </w:r>
          </w:p>
        </w:tc>
        <w:tc>
          <w:tcPr>
            <w:tcW w:w="1370" w:type="dxa"/>
            <w:tcMar>
              <w:top w:w="28" w:type="dxa"/>
              <w:left w:w="57" w:type="dxa"/>
              <w:bottom w:w="28" w:type="dxa"/>
              <w:right w:w="57" w:type="dxa"/>
            </w:tcMar>
          </w:tcPr>
          <w:p w:rsidR="009A51BC" w:rsidRPr="00D82439" w:rsidRDefault="009A51BC" w:rsidP="002D1696">
            <w:pPr>
              <w:jc w:val="left"/>
              <w:rPr>
                <w:b/>
                <w:color w:val="000000" w:themeColor="text1"/>
                <w:sz w:val="16"/>
              </w:rPr>
            </w:pPr>
            <w:r w:rsidRPr="00735DD1">
              <w:rPr>
                <w:color w:val="000000" w:themeColor="text1"/>
                <w:sz w:val="16"/>
                <w:lang w:eastAsia="ja-JP"/>
              </w:rPr>
              <w:t>3 y 4 de septiembre de 2019</w:t>
            </w:r>
          </w:p>
        </w:tc>
        <w:tc>
          <w:tcPr>
            <w:tcW w:w="1370" w:type="dxa"/>
            <w:tcMar>
              <w:top w:w="28" w:type="dxa"/>
              <w:left w:w="57" w:type="dxa"/>
              <w:bottom w:w="28" w:type="dxa"/>
              <w:right w:w="57" w:type="dxa"/>
            </w:tcMar>
          </w:tcPr>
          <w:p w:rsidR="009A51BC" w:rsidRPr="00D82439" w:rsidRDefault="009A51BC" w:rsidP="002D1696">
            <w:pPr>
              <w:jc w:val="left"/>
              <w:rPr>
                <w:b/>
                <w:color w:val="000000" w:themeColor="text1"/>
                <w:sz w:val="16"/>
                <w:lang w:eastAsia="ja-JP"/>
              </w:rPr>
            </w:pPr>
            <w:r w:rsidRPr="00735DD1">
              <w:rPr>
                <w:color w:val="000000" w:themeColor="text1"/>
                <w:sz w:val="16"/>
                <w:lang w:eastAsia="ja-JP"/>
              </w:rPr>
              <w:t>Hanói (</w:t>
            </w:r>
            <w:proofErr w:type="spellStart"/>
            <w:r w:rsidRPr="00735DD1">
              <w:rPr>
                <w:color w:val="000000" w:themeColor="text1"/>
                <w:sz w:val="16"/>
                <w:lang w:eastAsia="ja-JP"/>
              </w:rPr>
              <w:t>Viet</w:t>
            </w:r>
            <w:proofErr w:type="spellEnd"/>
            <w:r w:rsidRPr="00735DD1">
              <w:rPr>
                <w:color w:val="000000" w:themeColor="text1"/>
                <w:sz w:val="16"/>
                <w:lang w:eastAsia="ja-JP"/>
              </w:rPr>
              <w:t> </w:t>
            </w:r>
            <w:proofErr w:type="spellStart"/>
            <w:r w:rsidRPr="00735DD1">
              <w:rPr>
                <w:color w:val="000000" w:themeColor="text1"/>
                <w:sz w:val="16"/>
                <w:lang w:eastAsia="ja-JP"/>
              </w:rPr>
              <w:t>Nam</w:t>
            </w:r>
            <w:proofErr w:type="spellEnd"/>
            <w:r w:rsidRPr="00735DD1">
              <w:rPr>
                <w:color w:val="000000" w:themeColor="text1"/>
                <w:sz w:val="16"/>
                <w:lang w:eastAsia="ja-JP"/>
              </w:rPr>
              <w:t>)</w:t>
            </w:r>
          </w:p>
        </w:tc>
        <w:tc>
          <w:tcPr>
            <w:tcW w:w="2788" w:type="dxa"/>
            <w:tcMar>
              <w:top w:w="28" w:type="dxa"/>
              <w:left w:w="57" w:type="dxa"/>
              <w:bottom w:w="28" w:type="dxa"/>
              <w:right w:w="57" w:type="dxa"/>
            </w:tcMar>
          </w:tcPr>
          <w:p w:rsidR="009A51BC" w:rsidRPr="00592F7C" w:rsidRDefault="009A51BC" w:rsidP="002D1696">
            <w:pPr>
              <w:jc w:val="left"/>
              <w:rPr>
                <w:b/>
                <w:color w:val="000000" w:themeColor="text1"/>
                <w:sz w:val="16"/>
                <w:lang w:val="es-ES"/>
              </w:rPr>
            </w:pPr>
            <w:r w:rsidRPr="00735DD1">
              <w:rPr>
                <w:color w:val="000000" w:themeColor="text1"/>
                <w:sz w:val="16"/>
              </w:rPr>
              <w:t>Armonización de los procedimientos de solicitud y examen y fomento de una cooperación eficiente respecto de la protección de las obtenciones vegetales en la región</w:t>
            </w:r>
          </w:p>
        </w:tc>
        <w:tc>
          <w:tcPr>
            <w:tcW w:w="2268" w:type="dxa"/>
            <w:tcMar>
              <w:top w:w="28" w:type="dxa"/>
              <w:left w:w="57" w:type="dxa"/>
              <w:bottom w:w="28" w:type="dxa"/>
              <w:right w:w="57" w:type="dxa"/>
            </w:tcMar>
          </w:tcPr>
          <w:p w:rsidR="009A51BC" w:rsidRPr="00D82439" w:rsidRDefault="009A51BC" w:rsidP="002D1696">
            <w:pPr>
              <w:jc w:val="left"/>
              <w:rPr>
                <w:b/>
                <w:color w:val="000000" w:themeColor="text1"/>
                <w:sz w:val="16"/>
              </w:rPr>
            </w:pPr>
            <w:proofErr w:type="spellStart"/>
            <w:r w:rsidRPr="00735DD1">
              <w:rPr>
                <w:color w:val="000000" w:themeColor="text1"/>
                <w:sz w:val="16"/>
                <w:lang w:eastAsia="ja-JP"/>
              </w:rPr>
              <w:t>Viet</w:t>
            </w:r>
            <w:proofErr w:type="spellEnd"/>
            <w:r w:rsidRPr="00735DD1">
              <w:rPr>
                <w:color w:val="000000" w:themeColor="text1"/>
                <w:sz w:val="16"/>
                <w:lang w:eastAsia="ja-JP"/>
              </w:rPr>
              <w:t> </w:t>
            </w:r>
            <w:proofErr w:type="spellStart"/>
            <w:r w:rsidRPr="00735DD1">
              <w:rPr>
                <w:color w:val="000000" w:themeColor="text1"/>
                <w:sz w:val="16"/>
                <w:lang w:eastAsia="ja-JP"/>
              </w:rPr>
              <w:t>Nam</w:t>
            </w:r>
            <w:proofErr w:type="spellEnd"/>
            <w:r w:rsidRPr="00735DD1">
              <w:rPr>
                <w:rFonts w:hint="eastAsia"/>
                <w:color w:val="000000" w:themeColor="text1"/>
                <w:sz w:val="16"/>
                <w:lang w:eastAsia="ja-JP"/>
              </w:rPr>
              <w:t xml:space="preserve"> (5), </w:t>
            </w:r>
            <w:r w:rsidRPr="00735DD1">
              <w:rPr>
                <w:color w:val="000000" w:themeColor="text1"/>
                <w:sz w:val="16"/>
                <w:lang w:eastAsia="ja-JP"/>
              </w:rPr>
              <w:t>Malasia</w:t>
            </w:r>
            <w:r w:rsidRPr="00735DD1">
              <w:rPr>
                <w:rFonts w:hint="eastAsia"/>
                <w:color w:val="000000" w:themeColor="text1"/>
                <w:sz w:val="16"/>
                <w:lang w:eastAsia="ja-JP"/>
              </w:rPr>
              <w:t xml:space="preserve"> (2), </w:t>
            </w:r>
            <w:r w:rsidRPr="00735DD1">
              <w:rPr>
                <w:color w:val="000000" w:themeColor="text1"/>
                <w:sz w:val="16"/>
                <w:lang w:eastAsia="ja-JP"/>
              </w:rPr>
              <w:t>Myanmar</w:t>
            </w:r>
            <w:r w:rsidRPr="00735DD1">
              <w:rPr>
                <w:rFonts w:hint="eastAsia"/>
                <w:color w:val="000000" w:themeColor="text1"/>
                <w:sz w:val="16"/>
                <w:lang w:eastAsia="ja-JP"/>
              </w:rPr>
              <w:t xml:space="preserve"> (2), </w:t>
            </w:r>
            <w:r w:rsidRPr="00735DD1">
              <w:rPr>
                <w:color w:val="000000" w:themeColor="text1"/>
                <w:sz w:val="16"/>
                <w:lang w:eastAsia="ja-JP"/>
              </w:rPr>
              <w:t>Japón </w:t>
            </w:r>
            <w:r w:rsidRPr="00735DD1">
              <w:rPr>
                <w:rFonts w:hint="eastAsia"/>
                <w:color w:val="000000" w:themeColor="text1"/>
                <w:sz w:val="16"/>
                <w:lang w:eastAsia="ja-JP"/>
              </w:rPr>
              <w:t xml:space="preserve">(4), </w:t>
            </w:r>
            <w:r w:rsidRPr="00735DD1">
              <w:rPr>
                <w:color w:val="000000" w:themeColor="text1"/>
                <w:sz w:val="16"/>
                <w:lang w:eastAsia="ja-JP"/>
              </w:rPr>
              <w:t xml:space="preserve">Filipinas (1), Tailandia (1), </w:t>
            </w:r>
            <w:r w:rsidRPr="00735DD1">
              <w:rPr>
                <w:rFonts w:hint="eastAsia"/>
                <w:color w:val="000000" w:themeColor="text1"/>
                <w:sz w:val="16"/>
                <w:lang w:eastAsia="ja-JP"/>
              </w:rPr>
              <w:t>UPOV (3)</w:t>
            </w:r>
          </w:p>
        </w:tc>
      </w:tr>
      <w:tr w:rsidR="009A51BC" w:rsidRPr="00A67586" w:rsidTr="002D1696">
        <w:tc>
          <w:tcPr>
            <w:tcW w:w="2127" w:type="dxa"/>
            <w:tcMar>
              <w:top w:w="28" w:type="dxa"/>
              <w:left w:w="57" w:type="dxa"/>
              <w:bottom w:w="28" w:type="dxa"/>
              <w:right w:w="57" w:type="dxa"/>
            </w:tcMar>
          </w:tcPr>
          <w:p w:rsidR="009A51BC" w:rsidRPr="00592F7C" w:rsidRDefault="009A51BC" w:rsidP="002D1696">
            <w:pPr>
              <w:jc w:val="left"/>
              <w:rPr>
                <w:b/>
                <w:color w:val="000000" w:themeColor="text1"/>
                <w:sz w:val="16"/>
                <w:lang w:val="es-ES"/>
              </w:rPr>
            </w:pPr>
            <w:r w:rsidRPr="00592F7C">
              <w:rPr>
                <w:color w:val="000000" w:themeColor="text1"/>
                <w:sz w:val="16"/>
                <w:lang w:val="es-ES"/>
              </w:rPr>
              <w:t xml:space="preserve">4. </w:t>
            </w:r>
            <w:r w:rsidRPr="00735DD1">
              <w:rPr>
                <w:color w:val="000000" w:themeColor="text1"/>
                <w:sz w:val="16"/>
              </w:rPr>
              <w:t>Seminario sobre la protección de las obtenciones vegetales en la región de la Costa Central del Sur</w:t>
            </w:r>
            <w:r w:rsidRPr="00592F7C">
              <w:rPr>
                <w:color w:val="000000" w:themeColor="text1"/>
                <w:sz w:val="16"/>
                <w:lang w:val="es-ES"/>
              </w:rPr>
              <w:t xml:space="preserve"> </w:t>
            </w:r>
          </w:p>
        </w:tc>
        <w:tc>
          <w:tcPr>
            <w:tcW w:w="1370" w:type="dxa"/>
            <w:tcMar>
              <w:top w:w="28" w:type="dxa"/>
              <w:left w:w="57" w:type="dxa"/>
              <w:bottom w:w="28" w:type="dxa"/>
              <w:right w:w="57" w:type="dxa"/>
            </w:tcMar>
          </w:tcPr>
          <w:p w:rsidR="009A51BC" w:rsidRPr="00D82439" w:rsidRDefault="009A51BC" w:rsidP="002D1696">
            <w:pPr>
              <w:jc w:val="left"/>
              <w:rPr>
                <w:b/>
                <w:color w:val="000000" w:themeColor="text1"/>
                <w:sz w:val="16"/>
              </w:rPr>
            </w:pPr>
            <w:r w:rsidRPr="00735DD1">
              <w:rPr>
                <w:color w:val="000000" w:themeColor="text1"/>
                <w:sz w:val="16"/>
                <w:lang w:eastAsia="ja-JP"/>
              </w:rPr>
              <w:t>6 de septiembre de 2019</w:t>
            </w:r>
          </w:p>
        </w:tc>
        <w:tc>
          <w:tcPr>
            <w:tcW w:w="1370" w:type="dxa"/>
            <w:tcMar>
              <w:top w:w="28" w:type="dxa"/>
              <w:left w:w="57" w:type="dxa"/>
              <w:bottom w:w="28" w:type="dxa"/>
              <w:right w:w="57" w:type="dxa"/>
            </w:tcMar>
          </w:tcPr>
          <w:p w:rsidR="009A51BC" w:rsidRPr="00D82439" w:rsidRDefault="009A51BC" w:rsidP="002D1696">
            <w:pPr>
              <w:jc w:val="left"/>
              <w:rPr>
                <w:b/>
                <w:color w:val="000000" w:themeColor="text1"/>
                <w:sz w:val="16"/>
                <w:lang w:eastAsia="ja-JP"/>
              </w:rPr>
            </w:pPr>
            <w:proofErr w:type="spellStart"/>
            <w:r w:rsidRPr="00735DD1">
              <w:rPr>
                <w:color w:val="000000" w:themeColor="text1"/>
                <w:sz w:val="16"/>
              </w:rPr>
              <w:t>Danang</w:t>
            </w:r>
            <w:proofErr w:type="spellEnd"/>
            <w:r w:rsidRPr="00735DD1">
              <w:rPr>
                <w:color w:val="000000" w:themeColor="text1"/>
                <w:sz w:val="16"/>
              </w:rPr>
              <w:t xml:space="preserve"> (</w:t>
            </w:r>
            <w:proofErr w:type="spellStart"/>
            <w:r w:rsidRPr="00735DD1">
              <w:rPr>
                <w:color w:val="000000" w:themeColor="text1"/>
                <w:sz w:val="16"/>
              </w:rPr>
              <w:t>Viet</w:t>
            </w:r>
            <w:proofErr w:type="spellEnd"/>
            <w:r w:rsidRPr="00735DD1">
              <w:rPr>
                <w:color w:val="000000" w:themeColor="text1"/>
                <w:sz w:val="16"/>
              </w:rPr>
              <w:t> </w:t>
            </w:r>
            <w:proofErr w:type="spellStart"/>
            <w:r w:rsidRPr="00735DD1">
              <w:rPr>
                <w:color w:val="000000" w:themeColor="text1"/>
                <w:sz w:val="16"/>
              </w:rPr>
              <w:t>Nam</w:t>
            </w:r>
            <w:proofErr w:type="spellEnd"/>
            <w:r w:rsidRPr="00735DD1">
              <w:rPr>
                <w:color w:val="000000" w:themeColor="text1"/>
                <w:sz w:val="16"/>
              </w:rPr>
              <w:t>)</w:t>
            </w:r>
          </w:p>
        </w:tc>
        <w:tc>
          <w:tcPr>
            <w:tcW w:w="2788" w:type="dxa"/>
            <w:tcMar>
              <w:top w:w="28" w:type="dxa"/>
              <w:left w:w="57" w:type="dxa"/>
              <w:bottom w:w="28" w:type="dxa"/>
              <w:right w:w="57" w:type="dxa"/>
            </w:tcMar>
          </w:tcPr>
          <w:p w:rsidR="009A51BC" w:rsidRPr="00592F7C" w:rsidRDefault="009A51BC" w:rsidP="002D1696">
            <w:pPr>
              <w:jc w:val="left"/>
              <w:rPr>
                <w:b/>
                <w:color w:val="000000" w:themeColor="text1"/>
                <w:sz w:val="16"/>
                <w:lang w:val="es-ES"/>
              </w:rPr>
            </w:pPr>
            <w:r w:rsidRPr="00735DD1">
              <w:rPr>
                <w:color w:val="000000" w:themeColor="text1"/>
                <w:sz w:val="16"/>
              </w:rPr>
              <w:t>Fomento de la sensibilización sobre el sistema de protección de las obtenciones vegetales con arreglo al Convenio de la UPOV</w:t>
            </w:r>
          </w:p>
        </w:tc>
        <w:tc>
          <w:tcPr>
            <w:tcW w:w="2268" w:type="dxa"/>
            <w:tcMar>
              <w:top w:w="28" w:type="dxa"/>
              <w:left w:w="57" w:type="dxa"/>
              <w:bottom w:w="28" w:type="dxa"/>
              <w:right w:w="57" w:type="dxa"/>
            </w:tcMar>
          </w:tcPr>
          <w:p w:rsidR="009A51BC" w:rsidRPr="00D82439" w:rsidRDefault="009A51BC" w:rsidP="002D1696">
            <w:pPr>
              <w:jc w:val="left"/>
              <w:rPr>
                <w:b/>
                <w:color w:val="000000" w:themeColor="text1"/>
                <w:sz w:val="16"/>
              </w:rPr>
            </w:pPr>
            <w:proofErr w:type="spellStart"/>
            <w:r w:rsidRPr="00735DD1">
              <w:rPr>
                <w:color w:val="000000" w:themeColor="text1"/>
                <w:sz w:val="16"/>
                <w:lang w:eastAsia="ja-JP"/>
              </w:rPr>
              <w:t>Viet</w:t>
            </w:r>
            <w:proofErr w:type="spellEnd"/>
            <w:r w:rsidRPr="00735DD1">
              <w:rPr>
                <w:color w:val="000000" w:themeColor="text1"/>
                <w:sz w:val="16"/>
                <w:lang w:eastAsia="ja-JP"/>
              </w:rPr>
              <w:t xml:space="preserve"> </w:t>
            </w:r>
            <w:proofErr w:type="spellStart"/>
            <w:r w:rsidRPr="00735DD1">
              <w:rPr>
                <w:color w:val="000000" w:themeColor="text1"/>
                <w:sz w:val="16"/>
                <w:lang w:eastAsia="ja-JP"/>
              </w:rPr>
              <w:t>Nam</w:t>
            </w:r>
            <w:proofErr w:type="spellEnd"/>
            <w:r w:rsidRPr="00735DD1">
              <w:rPr>
                <w:color w:val="000000" w:themeColor="text1"/>
                <w:sz w:val="16"/>
                <w:lang w:eastAsia="ja-JP"/>
              </w:rPr>
              <w:t xml:space="preserve"> (28)</w:t>
            </w:r>
            <w:r w:rsidRPr="00735DD1">
              <w:rPr>
                <w:rFonts w:hint="eastAsia"/>
                <w:color w:val="000000" w:themeColor="text1"/>
                <w:sz w:val="16"/>
                <w:lang w:eastAsia="ja-JP"/>
              </w:rPr>
              <w:t xml:space="preserve">, </w:t>
            </w:r>
            <w:r w:rsidRPr="00735DD1">
              <w:rPr>
                <w:color w:val="000000" w:themeColor="text1"/>
                <w:sz w:val="16"/>
                <w:lang w:eastAsia="ja-JP"/>
              </w:rPr>
              <w:t>Japón (2), UPOV (1)</w:t>
            </w:r>
          </w:p>
        </w:tc>
      </w:tr>
      <w:tr w:rsidR="009A51BC" w:rsidRPr="00A67586" w:rsidTr="002D1696">
        <w:tc>
          <w:tcPr>
            <w:tcW w:w="2127" w:type="dxa"/>
            <w:tcMar>
              <w:top w:w="28" w:type="dxa"/>
              <w:left w:w="57" w:type="dxa"/>
              <w:bottom w:w="28" w:type="dxa"/>
              <w:right w:w="57" w:type="dxa"/>
            </w:tcMar>
          </w:tcPr>
          <w:p w:rsidR="009A51BC" w:rsidRPr="00592F7C" w:rsidRDefault="009A51BC" w:rsidP="002D1696">
            <w:pPr>
              <w:jc w:val="left"/>
              <w:rPr>
                <w:b/>
                <w:color w:val="000000" w:themeColor="text1"/>
                <w:sz w:val="16"/>
                <w:lang w:val="es-ES"/>
              </w:rPr>
            </w:pPr>
            <w:r w:rsidRPr="00592F7C">
              <w:rPr>
                <w:color w:val="000000" w:themeColor="text1"/>
                <w:sz w:val="16"/>
                <w:lang w:val="es-ES"/>
              </w:rPr>
              <w:t xml:space="preserve">5. </w:t>
            </w:r>
            <w:r w:rsidRPr="00735DD1">
              <w:rPr>
                <w:color w:val="000000" w:themeColor="text1"/>
                <w:sz w:val="16"/>
              </w:rPr>
              <w:t>Taller de formación en el examen DHE del tomate</w:t>
            </w:r>
            <w:r w:rsidRPr="00592F7C">
              <w:rPr>
                <w:color w:val="000000" w:themeColor="text1"/>
                <w:sz w:val="16"/>
                <w:lang w:val="es-ES"/>
              </w:rPr>
              <w:t xml:space="preserve"> </w:t>
            </w:r>
          </w:p>
        </w:tc>
        <w:tc>
          <w:tcPr>
            <w:tcW w:w="1370" w:type="dxa"/>
            <w:tcMar>
              <w:top w:w="28" w:type="dxa"/>
              <w:left w:w="57" w:type="dxa"/>
              <w:bottom w:w="28" w:type="dxa"/>
              <w:right w:w="57" w:type="dxa"/>
            </w:tcMar>
          </w:tcPr>
          <w:p w:rsidR="009A51BC" w:rsidRPr="00592F7C" w:rsidRDefault="009A51BC" w:rsidP="002D1696">
            <w:pPr>
              <w:jc w:val="left"/>
              <w:rPr>
                <w:b/>
                <w:color w:val="000000" w:themeColor="text1"/>
                <w:sz w:val="16"/>
                <w:lang w:val="es-ES"/>
              </w:rPr>
            </w:pPr>
            <w:r w:rsidRPr="00735DD1">
              <w:rPr>
                <w:color w:val="000000" w:themeColor="text1"/>
                <w:sz w:val="16"/>
                <w:lang w:eastAsia="ja-JP"/>
              </w:rPr>
              <w:t>30 de septiembre a 4 de octubre de 2019</w:t>
            </w:r>
          </w:p>
        </w:tc>
        <w:tc>
          <w:tcPr>
            <w:tcW w:w="1370" w:type="dxa"/>
            <w:tcMar>
              <w:top w:w="28" w:type="dxa"/>
              <w:left w:w="57" w:type="dxa"/>
              <w:bottom w:w="28" w:type="dxa"/>
              <w:right w:w="57" w:type="dxa"/>
            </w:tcMar>
          </w:tcPr>
          <w:p w:rsidR="009A51BC" w:rsidRPr="00D82439" w:rsidRDefault="009A51BC" w:rsidP="002D1696">
            <w:pPr>
              <w:jc w:val="left"/>
              <w:rPr>
                <w:b/>
                <w:color w:val="000000" w:themeColor="text1"/>
                <w:sz w:val="16"/>
                <w:lang w:eastAsia="ja-JP"/>
              </w:rPr>
            </w:pPr>
            <w:proofErr w:type="spellStart"/>
            <w:r w:rsidRPr="00735DD1">
              <w:rPr>
                <w:color w:val="000000" w:themeColor="text1"/>
                <w:sz w:val="16"/>
                <w:lang w:eastAsia="ja-JP"/>
              </w:rPr>
              <w:t>Nay</w:t>
            </w:r>
            <w:proofErr w:type="spellEnd"/>
            <w:r w:rsidRPr="00735DD1">
              <w:rPr>
                <w:color w:val="000000" w:themeColor="text1"/>
                <w:sz w:val="16"/>
                <w:lang w:eastAsia="ja-JP"/>
              </w:rPr>
              <w:t> </w:t>
            </w:r>
            <w:proofErr w:type="spellStart"/>
            <w:r w:rsidRPr="00735DD1">
              <w:rPr>
                <w:color w:val="000000" w:themeColor="text1"/>
                <w:sz w:val="16"/>
                <w:lang w:eastAsia="ja-JP"/>
              </w:rPr>
              <w:t>Pyi</w:t>
            </w:r>
            <w:proofErr w:type="spellEnd"/>
            <w:r w:rsidRPr="00735DD1">
              <w:rPr>
                <w:color w:val="000000" w:themeColor="text1"/>
                <w:sz w:val="16"/>
                <w:lang w:eastAsia="ja-JP"/>
              </w:rPr>
              <w:t> </w:t>
            </w:r>
            <w:proofErr w:type="spellStart"/>
            <w:r w:rsidRPr="00735DD1">
              <w:rPr>
                <w:color w:val="000000" w:themeColor="text1"/>
                <w:sz w:val="16"/>
                <w:lang w:eastAsia="ja-JP"/>
              </w:rPr>
              <w:t>Taw</w:t>
            </w:r>
            <w:proofErr w:type="spellEnd"/>
            <w:r w:rsidRPr="00735DD1">
              <w:rPr>
                <w:color w:val="000000" w:themeColor="text1"/>
                <w:sz w:val="16"/>
                <w:lang w:eastAsia="ja-JP"/>
              </w:rPr>
              <w:t xml:space="preserve"> (Myanmar)</w:t>
            </w:r>
          </w:p>
        </w:tc>
        <w:tc>
          <w:tcPr>
            <w:tcW w:w="2788" w:type="dxa"/>
            <w:tcMar>
              <w:top w:w="28" w:type="dxa"/>
              <w:left w:w="57" w:type="dxa"/>
              <w:bottom w:w="28" w:type="dxa"/>
              <w:right w:w="57" w:type="dxa"/>
            </w:tcMar>
          </w:tcPr>
          <w:p w:rsidR="009A51BC" w:rsidRPr="00592F7C" w:rsidRDefault="009A51BC" w:rsidP="002D1696">
            <w:pPr>
              <w:jc w:val="left"/>
              <w:rPr>
                <w:b/>
                <w:color w:val="000000" w:themeColor="text1"/>
                <w:sz w:val="16"/>
                <w:lang w:val="es-ES"/>
              </w:rPr>
            </w:pPr>
            <w:r w:rsidRPr="00735DD1">
              <w:rPr>
                <w:color w:val="000000" w:themeColor="text1"/>
                <w:sz w:val="16"/>
                <w:lang w:eastAsia="ja-JP"/>
              </w:rPr>
              <w:t>Formación sobre el examen DHE del tomate</w:t>
            </w:r>
          </w:p>
        </w:tc>
        <w:tc>
          <w:tcPr>
            <w:tcW w:w="2268" w:type="dxa"/>
            <w:tcMar>
              <w:top w:w="28" w:type="dxa"/>
              <w:left w:w="57" w:type="dxa"/>
              <w:bottom w:w="28" w:type="dxa"/>
              <w:right w:w="57" w:type="dxa"/>
            </w:tcMar>
          </w:tcPr>
          <w:p w:rsidR="009A51BC" w:rsidRPr="00D82439" w:rsidRDefault="009A51BC" w:rsidP="002D1696">
            <w:pPr>
              <w:jc w:val="left"/>
              <w:rPr>
                <w:b/>
                <w:color w:val="000000" w:themeColor="text1"/>
                <w:sz w:val="16"/>
              </w:rPr>
            </w:pPr>
            <w:r w:rsidRPr="00735DD1">
              <w:rPr>
                <w:color w:val="000000" w:themeColor="text1"/>
                <w:sz w:val="16"/>
                <w:lang w:eastAsia="ja-JP"/>
              </w:rPr>
              <w:t xml:space="preserve">Myanmar (22), </w:t>
            </w:r>
            <w:proofErr w:type="spellStart"/>
            <w:r w:rsidRPr="00735DD1">
              <w:rPr>
                <w:color w:val="000000" w:themeColor="text1"/>
                <w:sz w:val="16"/>
                <w:lang w:eastAsia="ja-JP"/>
              </w:rPr>
              <w:t>Viet</w:t>
            </w:r>
            <w:proofErr w:type="spellEnd"/>
            <w:r w:rsidRPr="00735DD1">
              <w:rPr>
                <w:color w:val="000000" w:themeColor="text1"/>
                <w:sz w:val="16"/>
                <w:lang w:eastAsia="ja-JP"/>
              </w:rPr>
              <w:t> </w:t>
            </w:r>
            <w:proofErr w:type="spellStart"/>
            <w:r w:rsidRPr="00735DD1">
              <w:rPr>
                <w:color w:val="000000" w:themeColor="text1"/>
                <w:sz w:val="16"/>
                <w:lang w:eastAsia="ja-JP"/>
              </w:rPr>
              <w:t>Nam</w:t>
            </w:r>
            <w:proofErr w:type="spellEnd"/>
            <w:r w:rsidRPr="00735DD1">
              <w:rPr>
                <w:color w:val="000000" w:themeColor="text1"/>
                <w:sz w:val="16"/>
                <w:lang w:eastAsia="ja-JP"/>
              </w:rPr>
              <w:t xml:space="preserve"> (2), Japón (1)</w:t>
            </w:r>
          </w:p>
        </w:tc>
      </w:tr>
      <w:tr w:rsidR="009A51BC" w:rsidRPr="00A67586" w:rsidTr="002D1696">
        <w:tc>
          <w:tcPr>
            <w:tcW w:w="2127" w:type="dxa"/>
            <w:tcMar>
              <w:top w:w="28" w:type="dxa"/>
              <w:left w:w="57" w:type="dxa"/>
              <w:bottom w:w="28" w:type="dxa"/>
              <w:right w:w="57" w:type="dxa"/>
            </w:tcMar>
          </w:tcPr>
          <w:p w:rsidR="009A51BC" w:rsidRPr="00592F7C" w:rsidRDefault="009A51BC" w:rsidP="002D1696">
            <w:pPr>
              <w:jc w:val="left"/>
              <w:rPr>
                <w:b/>
                <w:color w:val="000000" w:themeColor="text1"/>
                <w:sz w:val="16"/>
                <w:lang w:val="es-ES"/>
              </w:rPr>
            </w:pPr>
            <w:r w:rsidRPr="00592F7C">
              <w:rPr>
                <w:color w:val="000000" w:themeColor="text1"/>
                <w:sz w:val="16"/>
                <w:lang w:val="es-ES"/>
              </w:rPr>
              <w:t xml:space="preserve">6. </w:t>
            </w:r>
            <w:r w:rsidRPr="00735DD1">
              <w:rPr>
                <w:color w:val="000000" w:themeColor="text1"/>
                <w:sz w:val="16"/>
              </w:rPr>
              <w:t>Seminario sobre la protección de las obtenciones vegetales en las tierras altas centrales</w:t>
            </w:r>
            <w:r w:rsidRPr="00592F7C">
              <w:rPr>
                <w:color w:val="000000" w:themeColor="text1"/>
                <w:sz w:val="16"/>
                <w:lang w:val="es-ES"/>
              </w:rPr>
              <w:t xml:space="preserve"> </w:t>
            </w:r>
          </w:p>
        </w:tc>
        <w:tc>
          <w:tcPr>
            <w:tcW w:w="1370" w:type="dxa"/>
            <w:tcMar>
              <w:top w:w="28" w:type="dxa"/>
              <w:left w:w="57" w:type="dxa"/>
              <w:bottom w:w="28" w:type="dxa"/>
              <w:right w:w="57" w:type="dxa"/>
            </w:tcMar>
          </w:tcPr>
          <w:p w:rsidR="009A51BC" w:rsidRPr="00D82439" w:rsidRDefault="009A51BC" w:rsidP="002D1696">
            <w:pPr>
              <w:jc w:val="left"/>
              <w:rPr>
                <w:b/>
                <w:color w:val="000000" w:themeColor="text1"/>
                <w:sz w:val="16"/>
              </w:rPr>
            </w:pPr>
            <w:r w:rsidRPr="00735DD1">
              <w:rPr>
                <w:rFonts w:hint="eastAsia"/>
                <w:color w:val="000000" w:themeColor="text1"/>
                <w:sz w:val="16"/>
                <w:lang w:eastAsia="ja-JP"/>
              </w:rPr>
              <w:t>2</w:t>
            </w:r>
            <w:r w:rsidRPr="00735DD1">
              <w:rPr>
                <w:color w:val="000000" w:themeColor="text1"/>
                <w:sz w:val="16"/>
                <w:lang w:eastAsia="ja-JP"/>
              </w:rPr>
              <w:t>1 de noviembre de 2019</w:t>
            </w:r>
          </w:p>
        </w:tc>
        <w:tc>
          <w:tcPr>
            <w:tcW w:w="1370" w:type="dxa"/>
            <w:tcMar>
              <w:top w:w="28" w:type="dxa"/>
              <w:left w:w="57" w:type="dxa"/>
              <w:bottom w:w="28" w:type="dxa"/>
              <w:right w:w="57" w:type="dxa"/>
            </w:tcMar>
          </w:tcPr>
          <w:p w:rsidR="009A51BC" w:rsidRPr="00D82439" w:rsidRDefault="009A51BC" w:rsidP="002D1696">
            <w:pPr>
              <w:jc w:val="left"/>
              <w:rPr>
                <w:b/>
                <w:color w:val="000000" w:themeColor="text1"/>
                <w:sz w:val="16"/>
                <w:lang w:eastAsia="ja-JP"/>
              </w:rPr>
            </w:pPr>
            <w:r w:rsidRPr="00735DD1">
              <w:rPr>
                <w:color w:val="000000" w:themeColor="text1"/>
                <w:sz w:val="16"/>
              </w:rPr>
              <w:t>Da </w:t>
            </w:r>
            <w:proofErr w:type="spellStart"/>
            <w:r w:rsidRPr="00735DD1">
              <w:rPr>
                <w:color w:val="000000" w:themeColor="text1"/>
                <w:sz w:val="16"/>
              </w:rPr>
              <w:t>Lat</w:t>
            </w:r>
            <w:proofErr w:type="spellEnd"/>
            <w:r w:rsidRPr="00735DD1">
              <w:rPr>
                <w:color w:val="000000" w:themeColor="text1"/>
                <w:sz w:val="16"/>
              </w:rPr>
              <w:t xml:space="preserve"> (</w:t>
            </w:r>
            <w:proofErr w:type="spellStart"/>
            <w:r w:rsidRPr="00735DD1">
              <w:rPr>
                <w:color w:val="000000" w:themeColor="text1"/>
                <w:sz w:val="16"/>
              </w:rPr>
              <w:t>Viet</w:t>
            </w:r>
            <w:proofErr w:type="spellEnd"/>
            <w:r w:rsidRPr="00735DD1">
              <w:rPr>
                <w:color w:val="000000" w:themeColor="text1"/>
                <w:sz w:val="16"/>
              </w:rPr>
              <w:t> </w:t>
            </w:r>
            <w:proofErr w:type="spellStart"/>
            <w:r w:rsidRPr="00735DD1">
              <w:rPr>
                <w:color w:val="000000" w:themeColor="text1"/>
                <w:sz w:val="16"/>
              </w:rPr>
              <w:t>Nam</w:t>
            </w:r>
            <w:proofErr w:type="spellEnd"/>
            <w:r w:rsidRPr="00735DD1">
              <w:rPr>
                <w:color w:val="000000" w:themeColor="text1"/>
                <w:sz w:val="16"/>
              </w:rPr>
              <w:t>)</w:t>
            </w:r>
          </w:p>
        </w:tc>
        <w:tc>
          <w:tcPr>
            <w:tcW w:w="2788" w:type="dxa"/>
            <w:tcMar>
              <w:top w:w="28" w:type="dxa"/>
              <w:left w:w="57" w:type="dxa"/>
              <w:bottom w:w="28" w:type="dxa"/>
              <w:right w:w="57" w:type="dxa"/>
            </w:tcMar>
          </w:tcPr>
          <w:p w:rsidR="009A51BC" w:rsidRPr="00592F7C" w:rsidRDefault="009A51BC" w:rsidP="002D1696">
            <w:pPr>
              <w:jc w:val="left"/>
              <w:rPr>
                <w:b/>
                <w:color w:val="000000" w:themeColor="text1"/>
                <w:sz w:val="16"/>
                <w:lang w:val="es-ES"/>
              </w:rPr>
            </w:pPr>
            <w:r w:rsidRPr="00735DD1">
              <w:rPr>
                <w:color w:val="000000" w:themeColor="text1"/>
                <w:sz w:val="16"/>
              </w:rPr>
              <w:t>Fomento de la sensibilización sobre el sistema de protección de las obtenciones vegetales con arreglo al Convenio de la UPOV</w:t>
            </w:r>
          </w:p>
        </w:tc>
        <w:tc>
          <w:tcPr>
            <w:tcW w:w="2268" w:type="dxa"/>
            <w:tcMar>
              <w:top w:w="28" w:type="dxa"/>
              <w:left w:w="57" w:type="dxa"/>
              <w:bottom w:w="28" w:type="dxa"/>
              <w:right w:w="57" w:type="dxa"/>
            </w:tcMar>
          </w:tcPr>
          <w:p w:rsidR="009A51BC" w:rsidRPr="00D82439" w:rsidRDefault="009A51BC" w:rsidP="002D1696">
            <w:pPr>
              <w:jc w:val="left"/>
              <w:rPr>
                <w:b/>
                <w:color w:val="000000" w:themeColor="text1"/>
                <w:sz w:val="16"/>
              </w:rPr>
            </w:pPr>
            <w:proofErr w:type="spellStart"/>
            <w:r w:rsidRPr="00735DD1">
              <w:rPr>
                <w:color w:val="000000" w:themeColor="text1"/>
                <w:sz w:val="16"/>
                <w:lang w:eastAsia="ja-JP"/>
              </w:rPr>
              <w:t>Viet</w:t>
            </w:r>
            <w:proofErr w:type="spellEnd"/>
            <w:r w:rsidRPr="00735DD1">
              <w:rPr>
                <w:color w:val="000000" w:themeColor="text1"/>
                <w:sz w:val="16"/>
                <w:lang w:eastAsia="ja-JP"/>
              </w:rPr>
              <w:t> </w:t>
            </w:r>
            <w:proofErr w:type="spellStart"/>
            <w:r w:rsidRPr="00735DD1">
              <w:rPr>
                <w:color w:val="000000" w:themeColor="text1"/>
                <w:sz w:val="16"/>
                <w:lang w:eastAsia="ja-JP"/>
              </w:rPr>
              <w:t>Nam</w:t>
            </w:r>
            <w:proofErr w:type="spellEnd"/>
            <w:r w:rsidRPr="00735DD1">
              <w:rPr>
                <w:color w:val="000000" w:themeColor="text1"/>
                <w:sz w:val="16"/>
                <w:lang w:eastAsia="ja-JP"/>
              </w:rPr>
              <w:t xml:space="preserve"> (80), Japón (1), UPOV (1), GNIS (1)</w:t>
            </w:r>
          </w:p>
        </w:tc>
      </w:tr>
      <w:tr w:rsidR="009A51BC" w:rsidRPr="00A67586" w:rsidTr="002D1696">
        <w:tc>
          <w:tcPr>
            <w:tcW w:w="2127" w:type="dxa"/>
            <w:tcMar>
              <w:top w:w="28" w:type="dxa"/>
              <w:left w:w="57" w:type="dxa"/>
              <w:bottom w:w="28" w:type="dxa"/>
              <w:right w:w="57" w:type="dxa"/>
            </w:tcMar>
          </w:tcPr>
          <w:p w:rsidR="009A51BC" w:rsidRPr="00592F7C" w:rsidRDefault="009A51BC" w:rsidP="002D1696">
            <w:pPr>
              <w:jc w:val="left"/>
              <w:rPr>
                <w:b/>
                <w:color w:val="000000" w:themeColor="text1"/>
                <w:sz w:val="16"/>
                <w:lang w:val="es-ES"/>
              </w:rPr>
            </w:pPr>
            <w:r w:rsidRPr="00592F7C">
              <w:rPr>
                <w:color w:val="000000" w:themeColor="text1"/>
                <w:sz w:val="16"/>
                <w:lang w:val="es-ES"/>
              </w:rPr>
              <w:t xml:space="preserve">7. </w:t>
            </w:r>
            <w:r w:rsidRPr="00735DD1">
              <w:rPr>
                <w:color w:val="000000" w:themeColor="text1"/>
                <w:sz w:val="16"/>
              </w:rPr>
              <w:t>Taller de formación en el examen DHE del maíz</w:t>
            </w:r>
            <w:r w:rsidRPr="00592F7C">
              <w:rPr>
                <w:color w:val="000000" w:themeColor="text1"/>
                <w:sz w:val="16"/>
                <w:lang w:val="es-ES"/>
              </w:rPr>
              <w:t xml:space="preserve"> </w:t>
            </w:r>
          </w:p>
        </w:tc>
        <w:tc>
          <w:tcPr>
            <w:tcW w:w="1370" w:type="dxa"/>
            <w:tcMar>
              <w:top w:w="28" w:type="dxa"/>
              <w:left w:w="57" w:type="dxa"/>
              <w:bottom w:w="28" w:type="dxa"/>
              <w:right w:w="57" w:type="dxa"/>
            </w:tcMar>
          </w:tcPr>
          <w:p w:rsidR="009A51BC" w:rsidRPr="00D82439" w:rsidRDefault="009A51BC" w:rsidP="002D1696">
            <w:pPr>
              <w:jc w:val="left"/>
              <w:rPr>
                <w:b/>
                <w:color w:val="000000" w:themeColor="text1"/>
                <w:sz w:val="16"/>
              </w:rPr>
            </w:pPr>
            <w:r w:rsidRPr="00735DD1">
              <w:rPr>
                <w:color w:val="000000" w:themeColor="text1"/>
                <w:sz w:val="16"/>
                <w:lang w:eastAsia="ja-JP"/>
              </w:rPr>
              <w:t>17 a 20 de diciembre de 2019</w:t>
            </w:r>
          </w:p>
        </w:tc>
        <w:tc>
          <w:tcPr>
            <w:tcW w:w="1370" w:type="dxa"/>
            <w:tcMar>
              <w:top w:w="28" w:type="dxa"/>
              <w:left w:w="57" w:type="dxa"/>
              <w:bottom w:w="28" w:type="dxa"/>
              <w:right w:w="57" w:type="dxa"/>
            </w:tcMar>
          </w:tcPr>
          <w:p w:rsidR="009A51BC" w:rsidRPr="00D82439" w:rsidRDefault="009A51BC" w:rsidP="002D1696">
            <w:pPr>
              <w:jc w:val="left"/>
              <w:rPr>
                <w:b/>
                <w:color w:val="000000" w:themeColor="text1"/>
                <w:sz w:val="16"/>
                <w:lang w:eastAsia="ja-JP"/>
              </w:rPr>
            </w:pPr>
            <w:r w:rsidRPr="00735DD1">
              <w:rPr>
                <w:color w:val="000000" w:themeColor="text1"/>
                <w:sz w:val="16"/>
                <w:lang w:eastAsia="ja-JP"/>
              </w:rPr>
              <w:t>Phnom Penh (Camboya)</w:t>
            </w:r>
          </w:p>
        </w:tc>
        <w:tc>
          <w:tcPr>
            <w:tcW w:w="2788" w:type="dxa"/>
            <w:tcMar>
              <w:top w:w="28" w:type="dxa"/>
              <w:left w:w="57" w:type="dxa"/>
              <w:bottom w:w="28" w:type="dxa"/>
              <w:right w:w="57" w:type="dxa"/>
            </w:tcMar>
          </w:tcPr>
          <w:p w:rsidR="009A51BC" w:rsidRPr="00592F7C" w:rsidRDefault="009A51BC" w:rsidP="002D1696">
            <w:pPr>
              <w:jc w:val="left"/>
              <w:rPr>
                <w:b/>
                <w:color w:val="000000" w:themeColor="text1"/>
                <w:sz w:val="16"/>
                <w:lang w:val="es-ES"/>
              </w:rPr>
            </w:pPr>
            <w:r w:rsidRPr="00735DD1">
              <w:rPr>
                <w:color w:val="000000" w:themeColor="text1"/>
                <w:sz w:val="16"/>
                <w:lang w:eastAsia="ja-JP"/>
              </w:rPr>
              <w:t>Formación sobre el examen DHE del maíz</w:t>
            </w:r>
          </w:p>
        </w:tc>
        <w:tc>
          <w:tcPr>
            <w:tcW w:w="2268" w:type="dxa"/>
            <w:tcMar>
              <w:top w:w="28" w:type="dxa"/>
              <w:left w:w="57" w:type="dxa"/>
              <w:bottom w:w="28" w:type="dxa"/>
              <w:right w:w="57" w:type="dxa"/>
            </w:tcMar>
          </w:tcPr>
          <w:p w:rsidR="009A51BC" w:rsidRPr="00D82439" w:rsidRDefault="009A51BC" w:rsidP="002D1696">
            <w:pPr>
              <w:jc w:val="left"/>
              <w:rPr>
                <w:b/>
                <w:color w:val="000000" w:themeColor="text1"/>
                <w:sz w:val="16"/>
              </w:rPr>
            </w:pPr>
            <w:r w:rsidRPr="00735DD1">
              <w:rPr>
                <w:color w:val="000000" w:themeColor="text1"/>
                <w:sz w:val="16"/>
                <w:lang w:eastAsia="ja-JP"/>
              </w:rPr>
              <w:t xml:space="preserve">Camboya (13), Myanmar (2), </w:t>
            </w:r>
            <w:proofErr w:type="spellStart"/>
            <w:r w:rsidRPr="00735DD1">
              <w:rPr>
                <w:color w:val="000000" w:themeColor="text1"/>
                <w:sz w:val="16"/>
                <w:lang w:eastAsia="ja-JP"/>
              </w:rPr>
              <w:t>Viet</w:t>
            </w:r>
            <w:proofErr w:type="spellEnd"/>
            <w:r w:rsidRPr="00735DD1">
              <w:rPr>
                <w:color w:val="000000" w:themeColor="text1"/>
                <w:sz w:val="16"/>
                <w:lang w:eastAsia="ja-JP"/>
              </w:rPr>
              <w:t> </w:t>
            </w:r>
            <w:proofErr w:type="spellStart"/>
            <w:r w:rsidRPr="00735DD1">
              <w:rPr>
                <w:color w:val="000000" w:themeColor="text1"/>
                <w:sz w:val="16"/>
                <w:lang w:eastAsia="ja-JP"/>
              </w:rPr>
              <w:t>Nam</w:t>
            </w:r>
            <w:proofErr w:type="spellEnd"/>
            <w:r w:rsidRPr="00735DD1">
              <w:rPr>
                <w:color w:val="000000" w:themeColor="text1"/>
                <w:sz w:val="16"/>
                <w:lang w:eastAsia="ja-JP"/>
              </w:rPr>
              <w:t xml:space="preserve"> (1), Japón (1)</w:t>
            </w:r>
          </w:p>
        </w:tc>
      </w:tr>
    </w:tbl>
    <w:p w:rsidR="009A51BC" w:rsidRPr="00A67586" w:rsidRDefault="009A51BC" w:rsidP="009A51BC">
      <w:pPr>
        <w:rPr>
          <w:lang w:eastAsia="ja-JP"/>
        </w:rPr>
      </w:pPr>
    </w:p>
    <w:p w:rsidR="009A51BC" w:rsidRPr="00592F7C" w:rsidRDefault="009A51BC" w:rsidP="009A51BC">
      <w:pPr>
        <w:rPr>
          <w:lang w:val="es-ES"/>
        </w:rPr>
      </w:pPr>
      <w:r w:rsidRPr="00592F7C">
        <w:rPr>
          <w:lang w:val="es-ES"/>
        </w:rPr>
        <w:t>5.2</w:t>
      </w:r>
      <w:r w:rsidRPr="00592F7C">
        <w:rPr>
          <w:rFonts w:hint="eastAsia"/>
          <w:lang w:val="es-ES"/>
        </w:rPr>
        <w:tab/>
      </w:r>
      <w:r w:rsidRPr="00735DD1">
        <w:t>Curso internacional de formación organizado por la Agencia Japonesa de Cooperación Internacional (JICA)</w:t>
      </w:r>
    </w:p>
    <w:p w:rsidR="009A51BC" w:rsidRPr="00592F7C" w:rsidRDefault="009A51BC" w:rsidP="009A51BC">
      <w:pPr>
        <w:rPr>
          <w:lang w:val="es-ES"/>
        </w:rPr>
      </w:pPr>
    </w:p>
    <w:p w:rsidR="009A51BC" w:rsidRPr="00592F7C" w:rsidRDefault="009A51BC" w:rsidP="009A51BC">
      <w:pPr>
        <w:rPr>
          <w:lang w:val="es-ES"/>
        </w:rPr>
      </w:pPr>
      <w:r w:rsidRPr="00735DD1">
        <w:t>En 2020 debía celebrarse un curso internacional de formación de tres meses de duración, titulado “La protección de las obtenciones vegetales y el sistema de control de la calidad de las semillas para facilitar la distribución de semillas de alta calidad”, organizado por la JICA en colaboración con la Secretaría de la Oficina de la UPOV, pero ha sido aplazado hasta el año próximo debido al impacto de la COVID-19.</w:t>
      </w:r>
      <w:r w:rsidRPr="00592F7C">
        <w:rPr>
          <w:lang w:val="es-ES"/>
        </w:rPr>
        <w:t xml:space="preserve"> </w:t>
      </w:r>
    </w:p>
    <w:p w:rsidR="009A51BC" w:rsidRPr="00592F7C" w:rsidRDefault="009A51BC" w:rsidP="009A51BC">
      <w:pPr>
        <w:rPr>
          <w:lang w:val="es-ES"/>
        </w:rPr>
      </w:pPr>
    </w:p>
    <w:p w:rsidR="009A51BC" w:rsidRPr="00592F7C" w:rsidRDefault="009A51BC" w:rsidP="009A51BC">
      <w:pPr>
        <w:rPr>
          <w:lang w:val="es-ES"/>
        </w:rPr>
      </w:pPr>
    </w:p>
    <w:p w:rsidR="0078167F" w:rsidRDefault="0078167F" w:rsidP="0078167F">
      <w:pPr>
        <w:jc w:val="left"/>
      </w:pPr>
    </w:p>
    <w:p w:rsidR="0078167F" w:rsidRDefault="00E80B45" w:rsidP="0078167F">
      <w:pPr>
        <w:jc w:val="right"/>
      </w:pPr>
      <w:r>
        <w:t>[Sigue el Anexo</w:t>
      </w:r>
      <w:r w:rsidR="0078167F">
        <w:t xml:space="preserve"> IX</w:t>
      </w:r>
      <w:r>
        <w:t>]</w:t>
      </w:r>
    </w:p>
    <w:p w:rsidR="0078167F" w:rsidRDefault="0078167F" w:rsidP="0078167F"/>
    <w:p w:rsidR="0078167F" w:rsidRDefault="0078167F" w:rsidP="0078167F">
      <w:pPr>
        <w:jc w:val="left"/>
        <w:sectPr w:rsidR="0078167F" w:rsidSect="002D1696">
          <w:headerReference w:type="default" r:id="rId18"/>
          <w:pgSz w:w="11907" w:h="16840" w:code="9"/>
          <w:pgMar w:top="510" w:right="1134" w:bottom="1134" w:left="1134" w:header="510" w:footer="680" w:gutter="0"/>
          <w:pgNumType w:start="1"/>
          <w:cols w:space="720"/>
          <w:titlePg/>
        </w:sectPr>
      </w:pPr>
    </w:p>
    <w:p w:rsidR="0078167F" w:rsidRPr="0075031D" w:rsidRDefault="0078167F" w:rsidP="0078167F">
      <w:pPr>
        <w:jc w:val="center"/>
      </w:pPr>
      <w:r>
        <w:lastRenderedPageBreak/>
        <w:t>C/54/INF/4</w:t>
      </w:r>
    </w:p>
    <w:p w:rsidR="0078167F" w:rsidRPr="0075031D" w:rsidRDefault="0078167F" w:rsidP="0078167F">
      <w:pPr>
        <w:jc w:val="center"/>
      </w:pPr>
    </w:p>
    <w:p w:rsidR="0078167F" w:rsidRPr="0075031D" w:rsidRDefault="00E80B45" w:rsidP="0078167F">
      <w:pPr>
        <w:jc w:val="center"/>
      </w:pPr>
      <w:r>
        <w:t>ANEXO</w:t>
      </w:r>
      <w:r w:rsidR="0078167F" w:rsidRPr="0075031D">
        <w:t xml:space="preserve"> I</w:t>
      </w:r>
      <w:r w:rsidR="0078167F">
        <w:t>X</w:t>
      </w:r>
    </w:p>
    <w:p w:rsidR="0078167F" w:rsidRPr="0075031D" w:rsidRDefault="0078167F" w:rsidP="0078167F">
      <w:pPr>
        <w:jc w:val="center"/>
      </w:pPr>
    </w:p>
    <w:p w:rsidR="0078167F" w:rsidRDefault="0078167F" w:rsidP="0078167F">
      <w:pPr>
        <w:jc w:val="center"/>
      </w:pPr>
    </w:p>
    <w:p w:rsidR="00EA1CBD" w:rsidRPr="00592F7C" w:rsidRDefault="00EA1CBD" w:rsidP="00EA1CBD">
      <w:pPr>
        <w:jc w:val="center"/>
        <w:rPr>
          <w:lang w:val="es-ES"/>
        </w:rPr>
      </w:pPr>
      <w:r w:rsidRPr="00CE2877">
        <w:t>LITUANIA</w:t>
      </w:r>
    </w:p>
    <w:p w:rsidR="00EA1CBD" w:rsidRPr="00592F7C" w:rsidRDefault="00EA1CBD" w:rsidP="00EA1CBD">
      <w:pPr>
        <w:rPr>
          <w:lang w:val="es-ES"/>
        </w:rPr>
      </w:pPr>
    </w:p>
    <w:p w:rsidR="00EA1CBD" w:rsidRPr="00592F7C" w:rsidRDefault="00EA1CBD" w:rsidP="00EA1CBD">
      <w:pPr>
        <w:rPr>
          <w:lang w:val="es-ES"/>
        </w:rPr>
      </w:pPr>
    </w:p>
    <w:p w:rsidR="00EA1CBD" w:rsidRPr="00592F7C" w:rsidRDefault="00EA1CBD" w:rsidP="00EA1CBD">
      <w:pPr>
        <w:rPr>
          <w:lang w:val="es-ES"/>
        </w:rPr>
      </w:pPr>
      <w:r w:rsidRPr="00592F7C">
        <w:rPr>
          <w:lang w:val="es-ES"/>
        </w:rPr>
        <w:t>I.</w:t>
      </w:r>
      <w:r w:rsidRPr="00592F7C">
        <w:rPr>
          <w:lang w:val="es-ES"/>
        </w:rPr>
        <w:tab/>
      </w:r>
      <w:r w:rsidRPr="00CE2877">
        <w:t>PROTECCIÓN DE LAS OBTENCIONES VEGETALES</w:t>
      </w:r>
    </w:p>
    <w:p w:rsidR="00EA1CBD" w:rsidRPr="00592F7C" w:rsidRDefault="00EA1CBD" w:rsidP="00EA1CBD">
      <w:pPr>
        <w:rPr>
          <w:lang w:val="es-ES"/>
        </w:rPr>
      </w:pPr>
    </w:p>
    <w:p w:rsidR="00EA1CBD" w:rsidRPr="00592F7C" w:rsidRDefault="00EA1CBD" w:rsidP="00EA1CBD">
      <w:pPr>
        <w:rPr>
          <w:rFonts w:cs="Arial"/>
          <w:lang w:val="es-ES"/>
        </w:rPr>
      </w:pPr>
      <w:r w:rsidRPr="00592F7C">
        <w:rPr>
          <w:rFonts w:cs="Arial"/>
          <w:lang w:val="es-ES"/>
        </w:rPr>
        <w:t>1.</w:t>
      </w:r>
      <w:r w:rsidRPr="00592F7C">
        <w:rPr>
          <w:rFonts w:cs="Arial"/>
          <w:lang w:val="es-ES"/>
        </w:rPr>
        <w:tab/>
      </w:r>
      <w:r w:rsidRPr="00CE2877">
        <w:rPr>
          <w:rFonts w:cs="Arial"/>
          <w:u w:val="single"/>
        </w:rPr>
        <w:t>Situación en el ámbito legislativo</w:t>
      </w:r>
    </w:p>
    <w:p w:rsidR="00EA1CBD" w:rsidRPr="00592F7C" w:rsidRDefault="00EA1CBD" w:rsidP="00EA1CBD">
      <w:pPr>
        <w:rPr>
          <w:rFonts w:cs="Arial"/>
          <w:lang w:val="es-ES"/>
        </w:rPr>
      </w:pPr>
    </w:p>
    <w:p w:rsidR="00EA1CBD" w:rsidRPr="00592F7C" w:rsidRDefault="00EA1CBD" w:rsidP="00EA1CBD">
      <w:pPr>
        <w:rPr>
          <w:rFonts w:cs="Arial"/>
          <w:lang w:val="es-ES"/>
        </w:rPr>
      </w:pPr>
      <w:r w:rsidRPr="00592F7C">
        <w:rPr>
          <w:rFonts w:cs="Arial"/>
          <w:lang w:val="es-ES"/>
        </w:rPr>
        <w:t>1.1</w:t>
      </w:r>
      <w:r w:rsidRPr="00592F7C">
        <w:rPr>
          <w:rFonts w:cs="Arial"/>
          <w:lang w:val="es-ES"/>
        </w:rPr>
        <w:tab/>
      </w:r>
      <w:r w:rsidRPr="00CE2877">
        <w:rPr>
          <w:rFonts w:cs="Arial"/>
        </w:rPr>
        <w:t>Modificaciones de la ley y de los reglamentos:</w:t>
      </w:r>
    </w:p>
    <w:p w:rsidR="00EA1CBD" w:rsidRPr="00592F7C" w:rsidRDefault="00EA1CBD" w:rsidP="00EA1CBD">
      <w:pPr>
        <w:rPr>
          <w:rFonts w:cs="Arial"/>
          <w:lang w:val="es-ES"/>
        </w:rPr>
      </w:pPr>
    </w:p>
    <w:p w:rsidR="00EA1CBD" w:rsidRPr="00592F7C" w:rsidRDefault="00EA1CBD" w:rsidP="00EA1CBD">
      <w:pPr>
        <w:ind w:left="567" w:hanging="567"/>
        <w:rPr>
          <w:lang w:val="es-ES"/>
        </w:rPr>
      </w:pPr>
      <w:r w:rsidRPr="00592F7C">
        <w:rPr>
          <w:lang w:val="es-ES"/>
        </w:rPr>
        <w:t>–</w:t>
      </w:r>
      <w:r w:rsidRPr="00592F7C">
        <w:rPr>
          <w:lang w:val="es-ES"/>
        </w:rPr>
        <w:tab/>
      </w:r>
      <w:r w:rsidRPr="00CE2877">
        <w:t>Ley de Protección de las Obtenciones Vegetales de la República de Lituania, modificada el 19 de octubre de 2006 y modificada por última vez el 26 de abril de 2012;</w:t>
      </w:r>
      <w:r w:rsidRPr="00592F7C">
        <w:rPr>
          <w:lang w:val="es-ES"/>
        </w:rPr>
        <w:t xml:space="preserve"> </w:t>
      </w:r>
    </w:p>
    <w:p w:rsidR="00EA1CBD" w:rsidRPr="00592F7C" w:rsidRDefault="00EA1CBD" w:rsidP="00EA1CBD">
      <w:pPr>
        <w:ind w:left="567" w:hanging="567"/>
        <w:rPr>
          <w:lang w:val="es-ES"/>
        </w:rPr>
      </w:pPr>
    </w:p>
    <w:p w:rsidR="00EA1CBD" w:rsidRPr="00592F7C" w:rsidRDefault="00EA1CBD" w:rsidP="00EA1CBD">
      <w:pPr>
        <w:ind w:left="567" w:hanging="567"/>
        <w:rPr>
          <w:lang w:val="es-ES"/>
        </w:rPr>
      </w:pPr>
      <w:r w:rsidRPr="00592F7C">
        <w:rPr>
          <w:lang w:val="es-ES"/>
        </w:rPr>
        <w:t>–</w:t>
      </w:r>
      <w:r w:rsidRPr="00592F7C">
        <w:rPr>
          <w:lang w:val="es-ES"/>
        </w:rPr>
        <w:tab/>
      </w:r>
      <w:r w:rsidRPr="00CE2877">
        <w:t>Reglamento N.º 1458 del Gobierno de la República de Lituania, de 15 de diciembre de 2000, relativo a las tasas;</w:t>
      </w:r>
    </w:p>
    <w:p w:rsidR="00EA1CBD" w:rsidRPr="00592F7C" w:rsidRDefault="00EA1CBD" w:rsidP="00EA1CBD">
      <w:pPr>
        <w:ind w:left="567" w:hanging="567"/>
        <w:rPr>
          <w:lang w:val="es-ES"/>
        </w:rPr>
      </w:pPr>
    </w:p>
    <w:p w:rsidR="00EA1CBD" w:rsidRPr="00592F7C" w:rsidRDefault="00EA1CBD" w:rsidP="00EA1CBD">
      <w:pPr>
        <w:ind w:left="567" w:hanging="567"/>
        <w:rPr>
          <w:lang w:val="es-ES"/>
        </w:rPr>
      </w:pPr>
      <w:r w:rsidRPr="00592F7C">
        <w:rPr>
          <w:lang w:val="es-ES"/>
        </w:rPr>
        <w:t>–</w:t>
      </w:r>
      <w:r w:rsidRPr="00592F7C">
        <w:rPr>
          <w:lang w:val="es-ES"/>
        </w:rPr>
        <w:tab/>
      </w:r>
      <w:r w:rsidRPr="00CE2877">
        <w:t>Orden N.º A1-50 del director del Servicio Estatal de Plantas del Ministerio de Agricultura, de 8 de agosto de 2010, relativa a la aprobación de los formularios de solicitud de protección de las obtenciones vegetales;</w:t>
      </w:r>
    </w:p>
    <w:p w:rsidR="00EA1CBD" w:rsidRPr="00592F7C" w:rsidRDefault="00EA1CBD" w:rsidP="00EA1CBD">
      <w:pPr>
        <w:ind w:left="567" w:hanging="567"/>
        <w:rPr>
          <w:lang w:val="es-ES"/>
        </w:rPr>
      </w:pPr>
    </w:p>
    <w:p w:rsidR="00EA1CBD" w:rsidRPr="00592F7C" w:rsidRDefault="00EA1CBD" w:rsidP="00EA1CBD">
      <w:pPr>
        <w:ind w:left="567" w:hanging="567"/>
        <w:rPr>
          <w:lang w:val="es-ES"/>
        </w:rPr>
      </w:pPr>
      <w:r w:rsidRPr="00592F7C">
        <w:rPr>
          <w:lang w:val="es-ES"/>
        </w:rPr>
        <w:t>–</w:t>
      </w:r>
      <w:r w:rsidRPr="00592F7C">
        <w:rPr>
          <w:lang w:val="es-ES"/>
        </w:rPr>
        <w:tab/>
      </w:r>
      <w:r w:rsidRPr="00CE2877">
        <w:t>Orden N.º 3 D-371 del Ministro de Agricultura de la República de Lituania, de 23 de junio de 2004, relativa a la remuneración.</w:t>
      </w:r>
    </w:p>
    <w:p w:rsidR="00EA1CBD" w:rsidRPr="00592F7C" w:rsidRDefault="00EA1CBD" w:rsidP="00EA1CBD">
      <w:pPr>
        <w:rPr>
          <w:rFonts w:cs="Arial"/>
          <w:lang w:val="es-ES"/>
        </w:rPr>
      </w:pPr>
    </w:p>
    <w:p w:rsidR="00EA1CBD" w:rsidRPr="00592F7C" w:rsidRDefault="00EA1CBD" w:rsidP="00EA1CBD">
      <w:pPr>
        <w:rPr>
          <w:rFonts w:cs="Arial"/>
          <w:lang w:val="es-ES"/>
        </w:rPr>
      </w:pPr>
      <w:r w:rsidRPr="00592F7C">
        <w:rPr>
          <w:rFonts w:cs="Arial"/>
          <w:lang w:val="es-ES"/>
        </w:rPr>
        <w:t>1.2</w:t>
      </w:r>
      <w:r w:rsidRPr="00592F7C">
        <w:rPr>
          <w:rFonts w:cs="Arial"/>
          <w:lang w:val="es-ES"/>
        </w:rPr>
        <w:tab/>
      </w:r>
      <w:r w:rsidRPr="00CE2877">
        <w:rPr>
          <w:rFonts w:cs="Arial"/>
        </w:rPr>
        <w:t>Extensión de la protección a otros géneros y especies (realizada o prevista):</w:t>
      </w:r>
    </w:p>
    <w:p w:rsidR="00EA1CBD" w:rsidRPr="00592F7C" w:rsidRDefault="00EA1CBD" w:rsidP="00EA1CBD">
      <w:pPr>
        <w:rPr>
          <w:rFonts w:cs="Arial"/>
          <w:lang w:val="es-ES"/>
        </w:rPr>
      </w:pPr>
    </w:p>
    <w:p w:rsidR="00EA1CBD" w:rsidRPr="00592F7C" w:rsidRDefault="00EA1CBD" w:rsidP="00EA1CBD">
      <w:pPr>
        <w:ind w:left="567" w:hanging="567"/>
        <w:rPr>
          <w:rFonts w:cs="Arial"/>
          <w:lang w:val="es-ES"/>
        </w:rPr>
      </w:pPr>
      <w:r w:rsidRPr="00592F7C">
        <w:rPr>
          <w:rFonts w:cs="Arial"/>
          <w:lang w:val="es-ES"/>
        </w:rPr>
        <w:t>–</w:t>
      </w:r>
      <w:r w:rsidRPr="00592F7C">
        <w:rPr>
          <w:rFonts w:cs="Arial"/>
          <w:lang w:val="es-ES"/>
        </w:rPr>
        <w:tab/>
      </w:r>
      <w:r w:rsidRPr="00CE2877">
        <w:rPr>
          <w:rFonts w:cs="Arial"/>
        </w:rPr>
        <w:t>Según las modificaciones a la Ley de Protección de las Obtenciones Vegetales de la República de Lituania adoptadas el 26 de abril de 2012, en la República de Lituania se pueden proteger las obtenciones de todos los géneros y especies vegetales.</w:t>
      </w:r>
      <w:r w:rsidRPr="00592F7C">
        <w:rPr>
          <w:rFonts w:cs="Arial"/>
          <w:lang w:val="es-ES"/>
        </w:rPr>
        <w:t xml:space="preserve"> </w:t>
      </w:r>
    </w:p>
    <w:p w:rsidR="00EA1CBD" w:rsidRPr="00592F7C" w:rsidRDefault="00EA1CBD" w:rsidP="00EA1CBD">
      <w:pPr>
        <w:ind w:left="567" w:hanging="567"/>
        <w:rPr>
          <w:rFonts w:cs="Arial"/>
          <w:lang w:val="es-ES"/>
        </w:rPr>
      </w:pPr>
    </w:p>
    <w:p w:rsidR="00EA1CBD" w:rsidRPr="00592F7C" w:rsidRDefault="00EA1CBD" w:rsidP="00EA1CBD">
      <w:pPr>
        <w:rPr>
          <w:rFonts w:cs="Arial"/>
          <w:lang w:val="es-ES"/>
        </w:rPr>
      </w:pPr>
      <w:r w:rsidRPr="00592F7C">
        <w:rPr>
          <w:rFonts w:cs="Arial"/>
          <w:lang w:val="es-ES"/>
        </w:rPr>
        <w:t>1.3</w:t>
      </w:r>
      <w:r w:rsidRPr="00592F7C">
        <w:rPr>
          <w:rFonts w:cs="Arial"/>
          <w:lang w:val="es-ES"/>
        </w:rPr>
        <w:tab/>
      </w:r>
      <w:r w:rsidRPr="00CE2877">
        <w:rPr>
          <w:rFonts w:cs="Arial"/>
        </w:rPr>
        <w:t>Jurisprudencia</w:t>
      </w:r>
    </w:p>
    <w:p w:rsidR="00EA1CBD" w:rsidRPr="00592F7C" w:rsidRDefault="00EA1CBD" w:rsidP="00EA1CBD">
      <w:pPr>
        <w:rPr>
          <w:rFonts w:cs="Arial"/>
          <w:lang w:val="es-ES"/>
        </w:rPr>
      </w:pPr>
    </w:p>
    <w:p w:rsidR="00EA1CBD" w:rsidRPr="00592F7C" w:rsidRDefault="00EA1CBD" w:rsidP="00EA1CBD">
      <w:pPr>
        <w:ind w:left="567" w:hanging="567"/>
        <w:rPr>
          <w:rFonts w:cs="Arial"/>
          <w:lang w:val="es-ES"/>
        </w:rPr>
      </w:pPr>
      <w:r w:rsidRPr="00592F7C">
        <w:rPr>
          <w:rFonts w:cs="Arial"/>
          <w:lang w:val="es-ES"/>
        </w:rPr>
        <w:t>–</w:t>
      </w:r>
      <w:r w:rsidRPr="00592F7C">
        <w:rPr>
          <w:rFonts w:cs="Arial"/>
          <w:lang w:val="es-ES"/>
        </w:rPr>
        <w:tab/>
      </w:r>
      <w:r w:rsidRPr="00CE2877">
        <w:rPr>
          <w:rFonts w:cs="Arial"/>
        </w:rPr>
        <w:t>En 2019 no se ha producido en Lituania jurisprudencia relativa a la protección de las obtenciones vegetales.</w:t>
      </w:r>
    </w:p>
    <w:p w:rsidR="00EA1CBD" w:rsidRDefault="00EA1CBD" w:rsidP="00EA1CBD">
      <w:pPr>
        <w:ind w:left="567" w:hanging="567"/>
        <w:rPr>
          <w:rFonts w:cs="Arial"/>
          <w:lang w:val="es-ES"/>
        </w:rPr>
      </w:pPr>
    </w:p>
    <w:p w:rsidR="00EA1CBD" w:rsidRPr="00592F7C" w:rsidRDefault="00EA1CBD" w:rsidP="00EA1CBD">
      <w:pPr>
        <w:ind w:left="567" w:hanging="567"/>
        <w:rPr>
          <w:rFonts w:cs="Arial"/>
          <w:lang w:val="es-ES"/>
        </w:rPr>
      </w:pPr>
    </w:p>
    <w:p w:rsidR="00EA1CBD" w:rsidRPr="00592F7C" w:rsidRDefault="00EA1CBD" w:rsidP="00EA1CBD">
      <w:pPr>
        <w:rPr>
          <w:rFonts w:cs="Arial"/>
          <w:u w:val="single"/>
          <w:lang w:val="es-ES"/>
        </w:rPr>
      </w:pPr>
      <w:r w:rsidRPr="00592F7C">
        <w:rPr>
          <w:rFonts w:cs="Arial"/>
          <w:lang w:val="es-ES"/>
        </w:rPr>
        <w:t>2.</w:t>
      </w:r>
      <w:r w:rsidRPr="00592F7C">
        <w:rPr>
          <w:rFonts w:cs="Arial"/>
          <w:lang w:val="es-ES"/>
        </w:rPr>
        <w:tab/>
      </w:r>
      <w:r w:rsidRPr="00CE2877">
        <w:rPr>
          <w:rFonts w:cs="Arial"/>
          <w:u w:val="single"/>
        </w:rPr>
        <w:t>Cooperación en el examen</w:t>
      </w:r>
    </w:p>
    <w:p w:rsidR="00EA1CBD" w:rsidRPr="00592F7C" w:rsidRDefault="00EA1CBD" w:rsidP="00EA1CBD">
      <w:pPr>
        <w:rPr>
          <w:rFonts w:cs="Arial"/>
          <w:lang w:val="es-ES"/>
        </w:rPr>
      </w:pPr>
    </w:p>
    <w:p w:rsidR="00EA1CBD" w:rsidRPr="00592F7C" w:rsidRDefault="00EA1CBD" w:rsidP="00EA1CBD">
      <w:pPr>
        <w:rPr>
          <w:rFonts w:cs="Arial"/>
          <w:lang w:val="es-ES"/>
        </w:rPr>
      </w:pPr>
      <w:r w:rsidRPr="00CE2877">
        <w:rPr>
          <w:rFonts w:cs="Arial"/>
        </w:rPr>
        <w:t>Hay dos acuerdos firmados en materia de cooperación en el examen en Lituania:</w:t>
      </w:r>
    </w:p>
    <w:p w:rsidR="00EA1CBD" w:rsidRPr="00592F7C" w:rsidRDefault="00EA1CBD" w:rsidP="00EA1CBD">
      <w:pPr>
        <w:rPr>
          <w:rFonts w:cs="Arial"/>
          <w:lang w:val="es-ES"/>
        </w:rPr>
      </w:pPr>
    </w:p>
    <w:p w:rsidR="00EA1CBD" w:rsidRPr="00592F7C" w:rsidRDefault="00EA1CBD" w:rsidP="00EA1CBD">
      <w:pPr>
        <w:ind w:left="567" w:hanging="567"/>
        <w:rPr>
          <w:lang w:val="es-ES"/>
        </w:rPr>
      </w:pPr>
      <w:r w:rsidRPr="00592F7C">
        <w:rPr>
          <w:lang w:val="es-ES"/>
        </w:rPr>
        <w:t>–</w:t>
      </w:r>
      <w:r w:rsidRPr="00592F7C">
        <w:rPr>
          <w:lang w:val="es-ES"/>
        </w:rPr>
        <w:tab/>
      </w:r>
      <w:r w:rsidRPr="00CE2877">
        <w:t>El acuerdo bilateral para la realización de exámenes DHE concertado el 11 de agosto de 2000 con el Centro Polaco de Investigación para el Examen de Cultivares (COBORU) se modificó el 14 de noviembre de 2012 mediante el Acuerdo de administración N.º 1/2012/19T-247;</w:t>
      </w:r>
    </w:p>
    <w:p w:rsidR="00EA1CBD" w:rsidRPr="00592F7C" w:rsidRDefault="00EA1CBD" w:rsidP="00EA1CBD">
      <w:pPr>
        <w:ind w:left="567" w:hanging="567"/>
        <w:rPr>
          <w:lang w:val="es-ES"/>
        </w:rPr>
      </w:pPr>
    </w:p>
    <w:p w:rsidR="00EA1CBD" w:rsidRPr="00592F7C" w:rsidRDefault="00EA1CBD" w:rsidP="00EA1CBD">
      <w:pPr>
        <w:ind w:left="567" w:hanging="567"/>
        <w:rPr>
          <w:lang w:val="es-ES"/>
        </w:rPr>
      </w:pPr>
      <w:r w:rsidRPr="00592F7C">
        <w:rPr>
          <w:lang w:val="es-ES"/>
        </w:rPr>
        <w:t>–</w:t>
      </w:r>
      <w:r w:rsidRPr="00592F7C">
        <w:rPr>
          <w:lang w:val="es-ES"/>
        </w:rPr>
        <w:tab/>
      </w:r>
      <w:r w:rsidRPr="00652C06">
        <w:t>El acuerdo N.º 10 relativo a la transmisión de los resultados del examen técnico para los exámenes DHE, concertado el 30 de junio de 2006 con la Oficina Federal de Variedades Vegetales de Alemania (</w:t>
      </w:r>
      <w:proofErr w:type="spellStart"/>
      <w:r w:rsidRPr="00652C06">
        <w:rPr>
          <w:i/>
        </w:rPr>
        <w:t>Bundessortenamt</w:t>
      </w:r>
      <w:proofErr w:type="spellEnd"/>
      <w:r w:rsidRPr="00652C06">
        <w:t>), se modificó el 18 de octubre de 2010 en virtud del acuerdo N.º 19T-98.</w:t>
      </w:r>
    </w:p>
    <w:p w:rsidR="00EA1CBD" w:rsidRDefault="00EA1CBD" w:rsidP="00EA1CBD">
      <w:pPr>
        <w:ind w:left="567" w:hanging="567"/>
        <w:rPr>
          <w:lang w:val="es-ES"/>
        </w:rPr>
      </w:pPr>
    </w:p>
    <w:p w:rsidR="00EA1CBD" w:rsidRPr="00592F7C" w:rsidRDefault="00EA1CBD" w:rsidP="00EA1CBD">
      <w:pPr>
        <w:ind w:left="567" w:hanging="567"/>
        <w:rPr>
          <w:lang w:val="es-ES"/>
        </w:rPr>
      </w:pPr>
    </w:p>
    <w:p w:rsidR="00EA1CBD" w:rsidRPr="00592F7C" w:rsidRDefault="00EA1CBD" w:rsidP="00EA1CBD">
      <w:pPr>
        <w:rPr>
          <w:rFonts w:cs="Arial"/>
          <w:u w:val="single"/>
          <w:lang w:val="es-ES"/>
        </w:rPr>
      </w:pPr>
      <w:r w:rsidRPr="00592F7C">
        <w:rPr>
          <w:rFonts w:cs="Arial"/>
          <w:lang w:val="es-ES"/>
        </w:rPr>
        <w:t xml:space="preserve">3. </w:t>
      </w:r>
      <w:r w:rsidRPr="00652C06">
        <w:rPr>
          <w:rFonts w:cs="Arial"/>
          <w:u w:val="single"/>
        </w:rPr>
        <w:t>Situación en el ámbito administrativo</w:t>
      </w:r>
    </w:p>
    <w:p w:rsidR="00EA1CBD" w:rsidRPr="00592F7C" w:rsidRDefault="00EA1CBD" w:rsidP="00EA1CBD">
      <w:pPr>
        <w:rPr>
          <w:rFonts w:cs="Arial"/>
          <w:lang w:val="es-ES"/>
        </w:rPr>
      </w:pPr>
    </w:p>
    <w:p w:rsidR="00EA1CBD" w:rsidRPr="00592F7C" w:rsidRDefault="00EA1CBD" w:rsidP="00EA1CBD">
      <w:pPr>
        <w:ind w:left="567" w:hanging="567"/>
        <w:rPr>
          <w:rFonts w:cs="Arial"/>
          <w:lang w:val="es-ES"/>
        </w:rPr>
      </w:pPr>
      <w:r w:rsidRPr="00592F7C">
        <w:rPr>
          <w:rFonts w:cs="Arial"/>
          <w:lang w:val="es-ES"/>
        </w:rPr>
        <w:t>–</w:t>
      </w:r>
      <w:r w:rsidRPr="00592F7C">
        <w:rPr>
          <w:rFonts w:cs="Arial"/>
          <w:lang w:val="es-ES"/>
        </w:rPr>
        <w:tab/>
      </w:r>
      <w:r w:rsidRPr="00652C06">
        <w:rPr>
          <w:rFonts w:cs="Arial"/>
        </w:rPr>
        <w:t>La División de Variedades Vegetales del Servicio Estatal de Plantas, bajo los auspicios del Ministerio de Agricultura de la República de Lituania, es responsable del examen de las variedades vegetales, la elaboración de listas y la protección jurídica;</w:t>
      </w:r>
      <w:r w:rsidRPr="00592F7C">
        <w:rPr>
          <w:rFonts w:cs="Arial"/>
          <w:lang w:val="es-ES"/>
        </w:rPr>
        <w:t xml:space="preserve"> </w:t>
      </w:r>
    </w:p>
    <w:p w:rsidR="00EA1CBD" w:rsidRPr="00592F7C" w:rsidRDefault="00EA1CBD" w:rsidP="00EA1CBD">
      <w:pPr>
        <w:ind w:left="567" w:hanging="567"/>
        <w:rPr>
          <w:rFonts w:cs="Arial"/>
          <w:lang w:val="es-ES"/>
        </w:rPr>
      </w:pPr>
    </w:p>
    <w:p w:rsidR="00EA1CBD" w:rsidRPr="00592F7C" w:rsidRDefault="00EA1CBD" w:rsidP="00EA1CBD">
      <w:pPr>
        <w:ind w:left="567" w:hanging="567"/>
        <w:rPr>
          <w:rFonts w:cs="Arial"/>
          <w:lang w:val="es-ES"/>
        </w:rPr>
      </w:pPr>
      <w:r w:rsidRPr="00592F7C">
        <w:rPr>
          <w:rFonts w:cs="Arial"/>
          <w:lang w:val="es-ES"/>
        </w:rPr>
        <w:t>–</w:t>
      </w:r>
      <w:r w:rsidRPr="00592F7C">
        <w:rPr>
          <w:rFonts w:cs="Arial"/>
          <w:lang w:val="es-ES"/>
        </w:rPr>
        <w:tab/>
      </w:r>
      <w:r w:rsidRPr="00652C06">
        <w:rPr>
          <w:rFonts w:cs="Arial"/>
        </w:rPr>
        <w:t>La Comisión de Evaluación de las solicitudes de protección de obtenciones vegetales, cuya creación se aprobó el 6 de mayo de 2011 mediante la Orden N.º A1-141 del director del Servicio Estatal de Plantas del Ministerio de Agricultura de la República de Lituania, se modificó el 14 de marzo de 2019 mediante la Orden N.º A1-148 del director del Servicio Estatal de Plantas del Ministerio de Agricultura de la República de Lituania;</w:t>
      </w:r>
    </w:p>
    <w:p w:rsidR="00EA1CBD" w:rsidRPr="00592F7C" w:rsidRDefault="00EA1CBD" w:rsidP="00EA1CBD">
      <w:pPr>
        <w:ind w:left="567" w:hanging="567"/>
        <w:rPr>
          <w:rFonts w:cs="Arial"/>
          <w:lang w:val="es-ES"/>
        </w:rPr>
      </w:pPr>
    </w:p>
    <w:p w:rsidR="00EA1CBD" w:rsidRPr="00592F7C" w:rsidRDefault="00EA1CBD" w:rsidP="00EA1CBD">
      <w:pPr>
        <w:ind w:left="567" w:hanging="567"/>
        <w:rPr>
          <w:rFonts w:cs="Arial"/>
          <w:lang w:val="es-ES"/>
        </w:rPr>
      </w:pPr>
      <w:r w:rsidRPr="00592F7C">
        <w:rPr>
          <w:rFonts w:cs="Arial"/>
          <w:lang w:val="es-ES"/>
        </w:rPr>
        <w:t>–</w:t>
      </w:r>
      <w:r w:rsidRPr="00592F7C">
        <w:rPr>
          <w:rFonts w:cs="Arial"/>
          <w:lang w:val="es-ES"/>
        </w:rPr>
        <w:tab/>
      </w:r>
      <w:r w:rsidRPr="00652C06">
        <w:rPr>
          <w:rFonts w:cs="Arial"/>
        </w:rPr>
        <w:t>La concesión de títulos de protección de las obtenciones vegetales deberá ser aprobada por decisión del director del Servicio Estatal de Plantas del Ministerio de Agricultura de la República de Lituania;</w:t>
      </w:r>
    </w:p>
    <w:p w:rsidR="00EA1CBD" w:rsidRPr="00592F7C" w:rsidRDefault="00EA1CBD" w:rsidP="00EA1CBD">
      <w:pPr>
        <w:ind w:left="567" w:hanging="567"/>
        <w:rPr>
          <w:rFonts w:cs="Arial"/>
          <w:lang w:val="es-ES"/>
        </w:rPr>
      </w:pPr>
    </w:p>
    <w:p w:rsidR="00EA1CBD" w:rsidRPr="00592F7C" w:rsidRDefault="00EA1CBD" w:rsidP="00EA1CBD">
      <w:pPr>
        <w:ind w:left="567" w:hanging="567"/>
        <w:rPr>
          <w:rFonts w:cs="Arial"/>
          <w:lang w:val="es-ES"/>
        </w:rPr>
      </w:pPr>
      <w:r w:rsidRPr="00592F7C">
        <w:rPr>
          <w:rFonts w:cs="Arial"/>
          <w:lang w:val="es-ES"/>
        </w:rPr>
        <w:t>–</w:t>
      </w:r>
      <w:r w:rsidRPr="00592F7C">
        <w:rPr>
          <w:rFonts w:cs="Arial"/>
          <w:lang w:val="es-ES"/>
        </w:rPr>
        <w:tab/>
      </w:r>
      <w:r w:rsidRPr="00652C06">
        <w:rPr>
          <w:rFonts w:cs="Arial"/>
        </w:rPr>
        <w:t>Los procedimientos y el sistema de protección de las obtenciones vegetales están estipulados en la Ley de Protección de las Obtenciones Vegetales de la República de Lituania.</w:t>
      </w:r>
    </w:p>
    <w:p w:rsidR="00EA1CBD" w:rsidRDefault="00EA1CBD" w:rsidP="00EA1CBD">
      <w:pPr>
        <w:ind w:left="567" w:hanging="567"/>
        <w:rPr>
          <w:rFonts w:cs="Arial"/>
          <w:lang w:val="es-ES"/>
        </w:rPr>
      </w:pPr>
    </w:p>
    <w:p w:rsidR="00EA1CBD" w:rsidRPr="00592F7C" w:rsidRDefault="00EA1CBD" w:rsidP="00EA1CBD">
      <w:pPr>
        <w:ind w:left="567" w:hanging="567"/>
        <w:rPr>
          <w:rFonts w:cs="Arial"/>
          <w:lang w:val="es-ES"/>
        </w:rPr>
      </w:pPr>
    </w:p>
    <w:p w:rsidR="00EA1CBD" w:rsidRPr="00592F7C" w:rsidRDefault="00EA1CBD" w:rsidP="00EA1CBD">
      <w:pPr>
        <w:keepNext/>
        <w:rPr>
          <w:rFonts w:cs="Arial"/>
          <w:lang w:val="es-ES"/>
        </w:rPr>
      </w:pPr>
      <w:r w:rsidRPr="00592F7C">
        <w:rPr>
          <w:rFonts w:cs="Arial"/>
          <w:lang w:val="es-ES"/>
        </w:rPr>
        <w:t>4.</w:t>
      </w:r>
      <w:r w:rsidRPr="00592F7C">
        <w:rPr>
          <w:rFonts w:cs="Arial"/>
          <w:lang w:val="es-ES"/>
        </w:rPr>
        <w:tab/>
      </w:r>
      <w:r w:rsidRPr="00652C06">
        <w:rPr>
          <w:rFonts w:cs="Arial"/>
          <w:u w:val="single"/>
        </w:rPr>
        <w:t>Situación en el ámbito técnico</w:t>
      </w:r>
    </w:p>
    <w:p w:rsidR="00EA1CBD" w:rsidRPr="00592F7C" w:rsidRDefault="00EA1CBD" w:rsidP="00EA1CBD">
      <w:pPr>
        <w:keepNext/>
        <w:rPr>
          <w:rFonts w:cs="Arial"/>
          <w:lang w:val="es-ES"/>
        </w:rPr>
      </w:pPr>
    </w:p>
    <w:p w:rsidR="00EA1CBD" w:rsidRPr="00592F7C" w:rsidRDefault="00EA1CBD" w:rsidP="00EA1CBD">
      <w:pPr>
        <w:ind w:left="567" w:hanging="567"/>
        <w:rPr>
          <w:rFonts w:cs="Arial"/>
          <w:lang w:val="es-ES"/>
        </w:rPr>
      </w:pPr>
      <w:r w:rsidRPr="00592F7C">
        <w:rPr>
          <w:rFonts w:cs="Arial"/>
          <w:lang w:val="es-ES"/>
        </w:rPr>
        <w:t>–</w:t>
      </w:r>
      <w:r w:rsidRPr="00592F7C">
        <w:rPr>
          <w:rFonts w:cs="Arial"/>
          <w:lang w:val="es-ES"/>
        </w:rPr>
        <w:tab/>
      </w:r>
      <w:r w:rsidRPr="006E5EB4">
        <w:rPr>
          <w:rFonts w:cs="Arial"/>
        </w:rPr>
        <w:t>Los exámenes DHE son efectuados por el Centro Polaco de Investigación para el Examen de Cultivares (COBORU) en virtud del Acuerdo de administración Nº 1/2012/19T-247, modificado el 14 de noviembre de 2012, o por otro órgano competente de la Unión Europea si así lo solicita el obtentor.</w:t>
      </w:r>
      <w:r w:rsidRPr="00592F7C">
        <w:rPr>
          <w:rFonts w:cs="Arial"/>
          <w:lang w:val="es-ES"/>
        </w:rPr>
        <w:t xml:space="preserve"> </w:t>
      </w:r>
    </w:p>
    <w:p w:rsidR="00EA1CBD" w:rsidRDefault="00EA1CBD" w:rsidP="00EA1CBD">
      <w:pPr>
        <w:ind w:left="567" w:hanging="567"/>
        <w:rPr>
          <w:rFonts w:cs="Arial"/>
          <w:lang w:val="es-ES"/>
        </w:rPr>
      </w:pPr>
    </w:p>
    <w:p w:rsidR="00EA1CBD" w:rsidRPr="00592F7C" w:rsidRDefault="00EA1CBD" w:rsidP="00EA1CBD">
      <w:pPr>
        <w:ind w:left="567" w:hanging="567"/>
        <w:rPr>
          <w:rFonts w:cs="Arial"/>
          <w:lang w:val="es-ES"/>
        </w:rPr>
      </w:pPr>
    </w:p>
    <w:p w:rsidR="00EA1CBD" w:rsidRPr="00592F7C" w:rsidRDefault="00EA1CBD" w:rsidP="00EA1CBD">
      <w:pPr>
        <w:rPr>
          <w:rFonts w:cs="Arial"/>
          <w:u w:val="single"/>
          <w:lang w:val="es-ES"/>
        </w:rPr>
      </w:pPr>
      <w:r w:rsidRPr="00592F7C">
        <w:rPr>
          <w:rFonts w:cs="Arial"/>
          <w:lang w:val="es-ES"/>
        </w:rPr>
        <w:t xml:space="preserve">5. </w:t>
      </w:r>
      <w:r w:rsidRPr="006E5EB4">
        <w:rPr>
          <w:rFonts w:cs="Arial"/>
          <w:u w:val="single"/>
        </w:rPr>
        <w:t>Actividades para la promoción de las variedades vegetales</w:t>
      </w:r>
    </w:p>
    <w:p w:rsidR="00EA1CBD" w:rsidRPr="00592F7C" w:rsidRDefault="00EA1CBD" w:rsidP="00EA1CBD">
      <w:pPr>
        <w:rPr>
          <w:rFonts w:cs="Arial"/>
          <w:lang w:val="es-E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447"/>
        <w:gridCol w:w="1247"/>
        <w:gridCol w:w="1275"/>
        <w:gridCol w:w="1418"/>
        <w:gridCol w:w="2580"/>
      </w:tblGrid>
      <w:tr w:rsidR="00EA1CBD" w:rsidRPr="00592F7C" w:rsidTr="002D1696">
        <w:tc>
          <w:tcPr>
            <w:tcW w:w="1809" w:type="dxa"/>
            <w:shd w:val="clear" w:color="auto" w:fill="auto"/>
            <w:tcMar>
              <w:top w:w="28" w:type="dxa"/>
              <w:left w:w="57" w:type="dxa"/>
              <w:bottom w:w="28" w:type="dxa"/>
              <w:right w:w="57" w:type="dxa"/>
            </w:tcMar>
          </w:tcPr>
          <w:p w:rsidR="00EA1CBD" w:rsidRPr="00412FE7" w:rsidRDefault="00EA1CBD" w:rsidP="002D1696">
            <w:pPr>
              <w:jc w:val="left"/>
              <w:rPr>
                <w:rFonts w:cs="Arial"/>
                <w:sz w:val="16"/>
              </w:rPr>
            </w:pPr>
            <w:r w:rsidRPr="006E5EB4">
              <w:rPr>
                <w:rFonts w:cs="Arial"/>
                <w:sz w:val="16"/>
              </w:rPr>
              <w:t>Título de la actividad</w:t>
            </w:r>
          </w:p>
        </w:tc>
        <w:tc>
          <w:tcPr>
            <w:tcW w:w="1447" w:type="dxa"/>
            <w:shd w:val="clear" w:color="auto" w:fill="auto"/>
            <w:tcMar>
              <w:top w:w="28" w:type="dxa"/>
              <w:left w:w="57" w:type="dxa"/>
              <w:bottom w:w="28" w:type="dxa"/>
              <w:right w:w="57" w:type="dxa"/>
            </w:tcMar>
          </w:tcPr>
          <w:p w:rsidR="00EA1CBD" w:rsidRPr="00412FE7" w:rsidRDefault="00EA1CBD" w:rsidP="002D1696">
            <w:pPr>
              <w:jc w:val="left"/>
              <w:rPr>
                <w:rFonts w:cs="Arial"/>
                <w:sz w:val="16"/>
              </w:rPr>
            </w:pPr>
            <w:r w:rsidRPr="006E5EB4">
              <w:rPr>
                <w:rFonts w:cs="Arial"/>
                <w:sz w:val="16"/>
              </w:rPr>
              <w:t>Fecha</w:t>
            </w:r>
          </w:p>
        </w:tc>
        <w:tc>
          <w:tcPr>
            <w:tcW w:w="1247" w:type="dxa"/>
            <w:shd w:val="clear" w:color="auto" w:fill="auto"/>
            <w:tcMar>
              <w:top w:w="28" w:type="dxa"/>
              <w:left w:w="57" w:type="dxa"/>
              <w:bottom w:w="28" w:type="dxa"/>
              <w:right w:w="57" w:type="dxa"/>
            </w:tcMar>
          </w:tcPr>
          <w:p w:rsidR="00EA1CBD" w:rsidRPr="00412FE7" w:rsidRDefault="00EA1CBD" w:rsidP="002D1696">
            <w:pPr>
              <w:jc w:val="left"/>
              <w:rPr>
                <w:rFonts w:cs="Arial"/>
                <w:sz w:val="16"/>
              </w:rPr>
            </w:pPr>
            <w:r w:rsidRPr="006E5EB4">
              <w:rPr>
                <w:rFonts w:cs="Arial"/>
                <w:sz w:val="16"/>
              </w:rPr>
              <w:t>Lugar</w:t>
            </w:r>
          </w:p>
        </w:tc>
        <w:tc>
          <w:tcPr>
            <w:tcW w:w="1275" w:type="dxa"/>
            <w:shd w:val="clear" w:color="auto" w:fill="auto"/>
            <w:tcMar>
              <w:top w:w="28" w:type="dxa"/>
              <w:left w:w="57" w:type="dxa"/>
              <w:bottom w:w="28" w:type="dxa"/>
              <w:right w:w="57" w:type="dxa"/>
            </w:tcMar>
          </w:tcPr>
          <w:p w:rsidR="00EA1CBD" w:rsidRPr="00412FE7" w:rsidRDefault="00EA1CBD" w:rsidP="002D1696">
            <w:pPr>
              <w:jc w:val="left"/>
              <w:rPr>
                <w:rFonts w:cs="Arial"/>
                <w:sz w:val="16"/>
              </w:rPr>
            </w:pPr>
            <w:r w:rsidRPr="006E5EB4">
              <w:rPr>
                <w:rFonts w:cs="Arial"/>
                <w:sz w:val="16"/>
              </w:rPr>
              <w:t>Organizadores</w:t>
            </w:r>
          </w:p>
        </w:tc>
        <w:tc>
          <w:tcPr>
            <w:tcW w:w="1418" w:type="dxa"/>
            <w:shd w:val="clear" w:color="auto" w:fill="auto"/>
            <w:tcMar>
              <w:top w:w="28" w:type="dxa"/>
              <w:left w:w="57" w:type="dxa"/>
              <w:bottom w:w="28" w:type="dxa"/>
              <w:right w:w="57" w:type="dxa"/>
            </w:tcMar>
          </w:tcPr>
          <w:p w:rsidR="00EA1CBD" w:rsidRPr="00412FE7" w:rsidRDefault="00EA1CBD" w:rsidP="002D1696">
            <w:pPr>
              <w:jc w:val="left"/>
              <w:rPr>
                <w:rFonts w:cs="Arial"/>
                <w:sz w:val="16"/>
              </w:rPr>
            </w:pPr>
            <w:r w:rsidRPr="006E5EB4">
              <w:rPr>
                <w:rFonts w:cs="Arial"/>
                <w:sz w:val="16"/>
              </w:rPr>
              <w:t>Finalidad de la actividad</w:t>
            </w:r>
          </w:p>
        </w:tc>
        <w:tc>
          <w:tcPr>
            <w:tcW w:w="2580" w:type="dxa"/>
            <w:shd w:val="clear" w:color="auto" w:fill="auto"/>
            <w:tcMar>
              <w:top w:w="28" w:type="dxa"/>
              <w:left w:w="57" w:type="dxa"/>
              <w:bottom w:w="28" w:type="dxa"/>
              <w:right w:w="57" w:type="dxa"/>
            </w:tcMar>
          </w:tcPr>
          <w:p w:rsidR="00EA1CBD" w:rsidRPr="00592F7C" w:rsidRDefault="00EA1CBD" w:rsidP="002D1696">
            <w:pPr>
              <w:jc w:val="left"/>
              <w:rPr>
                <w:rFonts w:cs="Arial"/>
                <w:sz w:val="16"/>
                <w:lang w:val="es-ES"/>
              </w:rPr>
            </w:pPr>
            <w:r w:rsidRPr="006E5EB4">
              <w:rPr>
                <w:rFonts w:cs="Arial"/>
                <w:sz w:val="16"/>
              </w:rPr>
              <w:t>Países/organizaciones participantes (número de participantes en cada caso)</w:t>
            </w:r>
          </w:p>
        </w:tc>
      </w:tr>
      <w:tr w:rsidR="00EA1CBD" w:rsidRPr="00592F7C" w:rsidTr="002D1696">
        <w:tc>
          <w:tcPr>
            <w:tcW w:w="1809" w:type="dxa"/>
            <w:shd w:val="clear" w:color="auto" w:fill="auto"/>
            <w:tcMar>
              <w:top w:w="28" w:type="dxa"/>
              <w:left w:w="57" w:type="dxa"/>
              <w:bottom w:w="28" w:type="dxa"/>
              <w:right w:w="57" w:type="dxa"/>
            </w:tcMar>
          </w:tcPr>
          <w:p w:rsidR="00EA1CBD" w:rsidRPr="00592F7C" w:rsidRDefault="00EA1CBD" w:rsidP="002D1696">
            <w:pPr>
              <w:jc w:val="left"/>
              <w:rPr>
                <w:rFonts w:cs="Arial"/>
                <w:sz w:val="16"/>
                <w:lang w:val="es-ES"/>
              </w:rPr>
            </w:pPr>
            <w:r w:rsidRPr="00592F7C">
              <w:rPr>
                <w:rFonts w:cs="Arial"/>
                <w:sz w:val="16"/>
                <w:lang w:val="es-ES"/>
              </w:rPr>
              <w:t xml:space="preserve">1. </w:t>
            </w:r>
            <w:r w:rsidRPr="006E5EB4">
              <w:rPr>
                <w:rFonts w:cs="Arial"/>
                <w:sz w:val="16"/>
              </w:rPr>
              <w:t>Reunión del Consejo de Administración de la OCVV</w:t>
            </w:r>
            <w:r w:rsidRPr="00592F7C">
              <w:rPr>
                <w:rFonts w:cs="Arial"/>
                <w:sz w:val="16"/>
                <w:lang w:val="es-ES"/>
              </w:rPr>
              <w:t xml:space="preserve"> </w:t>
            </w:r>
          </w:p>
        </w:tc>
        <w:tc>
          <w:tcPr>
            <w:tcW w:w="1447" w:type="dxa"/>
            <w:shd w:val="clear" w:color="auto" w:fill="auto"/>
            <w:tcMar>
              <w:top w:w="28" w:type="dxa"/>
              <w:left w:w="57" w:type="dxa"/>
              <w:bottom w:w="28" w:type="dxa"/>
              <w:right w:w="57" w:type="dxa"/>
            </w:tcMar>
          </w:tcPr>
          <w:p w:rsidR="00EA1CBD" w:rsidRPr="00412FE7" w:rsidRDefault="00EA1CBD" w:rsidP="002D1696">
            <w:pPr>
              <w:jc w:val="left"/>
              <w:rPr>
                <w:rFonts w:cs="Arial"/>
                <w:sz w:val="16"/>
              </w:rPr>
            </w:pPr>
            <w:r w:rsidRPr="006E5EB4">
              <w:rPr>
                <w:rFonts w:cs="Arial"/>
                <w:sz w:val="16"/>
              </w:rPr>
              <w:t>19 de marzo de 2019</w:t>
            </w:r>
          </w:p>
        </w:tc>
        <w:tc>
          <w:tcPr>
            <w:tcW w:w="1247" w:type="dxa"/>
            <w:shd w:val="clear" w:color="auto" w:fill="auto"/>
            <w:tcMar>
              <w:top w:w="28" w:type="dxa"/>
              <w:left w:w="57" w:type="dxa"/>
              <w:bottom w:w="28" w:type="dxa"/>
              <w:right w:w="57" w:type="dxa"/>
            </w:tcMar>
          </w:tcPr>
          <w:p w:rsidR="00EA1CBD" w:rsidRPr="00412FE7" w:rsidRDefault="00EA1CBD" w:rsidP="002D1696">
            <w:pPr>
              <w:jc w:val="left"/>
              <w:rPr>
                <w:rFonts w:cs="Arial"/>
                <w:sz w:val="16"/>
              </w:rPr>
            </w:pPr>
            <w:r w:rsidRPr="006E5EB4">
              <w:rPr>
                <w:rFonts w:cs="Arial"/>
                <w:sz w:val="16"/>
              </w:rPr>
              <w:t>Angers (Francia)</w:t>
            </w:r>
          </w:p>
        </w:tc>
        <w:tc>
          <w:tcPr>
            <w:tcW w:w="1275" w:type="dxa"/>
            <w:shd w:val="clear" w:color="auto" w:fill="auto"/>
            <w:tcMar>
              <w:top w:w="28" w:type="dxa"/>
              <w:left w:w="57" w:type="dxa"/>
              <w:bottom w:w="28" w:type="dxa"/>
              <w:right w:w="57" w:type="dxa"/>
            </w:tcMar>
          </w:tcPr>
          <w:p w:rsidR="00EA1CBD" w:rsidRPr="00412FE7" w:rsidRDefault="00EA1CBD" w:rsidP="002D1696">
            <w:pPr>
              <w:jc w:val="left"/>
              <w:rPr>
                <w:rFonts w:cs="Arial"/>
                <w:sz w:val="16"/>
              </w:rPr>
            </w:pPr>
            <w:r w:rsidRPr="006E5EB4">
              <w:rPr>
                <w:rFonts w:cs="Arial"/>
                <w:sz w:val="16"/>
              </w:rPr>
              <w:t>OCVV</w:t>
            </w:r>
          </w:p>
        </w:tc>
        <w:tc>
          <w:tcPr>
            <w:tcW w:w="1418" w:type="dxa"/>
            <w:shd w:val="clear" w:color="auto" w:fill="auto"/>
            <w:tcMar>
              <w:top w:w="28" w:type="dxa"/>
              <w:left w:w="57" w:type="dxa"/>
              <w:bottom w:w="28" w:type="dxa"/>
              <w:right w:w="57" w:type="dxa"/>
            </w:tcMar>
          </w:tcPr>
          <w:p w:rsidR="00EA1CBD" w:rsidRPr="00592F7C" w:rsidRDefault="00EA1CBD" w:rsidP="002D1696">
            <w:pPr>
              <w:jc w:val="left"/>
              <w:rPr>
                <w:rFonts w:cs="Arial"/>
                <w:sz w:val="16"/>
                <w:lang w:val="es-ES"/>
              </w:rPr>
            </w:pPr>
            <w:r w:rsidRPr="006E5EB4">
              <w:rPr>
                <w:rFonts w:cs="Arial"/>
                <w:sz w:val="16"/>
              </w:rPr>
              <w:t>Debatir cuestiones relevantes sobre la protección de las obtenciones vegetales</w:t>
            </w:r>
          </w:p>
        </w:tc>
        <w:tc>
          <w:tcPr>
            <w:tcW w:w="2580" w:type="dxa"/>
            <w:shd w:val="clear" w:color="auto" w:fill="auto"/>
            <w:tcMar>
              <w:top w:w="28" w:type="dxa"/>
              <w:left w:w="57" w:type="dxa"/>
              <w:bottom w:w="28" w:type="dxa"/>
              <w:right w:w="57" w:type="dxa"/>
            </w:tcMar>
          </w:tcPr>
          <w:p w:rsidR="00EA1CBD" w:rsidRPr="00592F7C" w:rsidRDefault="00EA1CBD" w:rsidP="002D1696">
            <w:pPr>
              <w:jc w:val="left"/>
              <w:rPr>
                <w:rFonts w:cs="Arial"/>
                <w:sz w:val="16"/>
                <w:lang w:val="es-ES"/>
              </w:rPr>
            </w:pPr>
            <w:r w:rsidRPr="006E5EB4">
              <w:rPr>
                <w:rFonts w:cs="Arial"/>
                <w:sz w:val="16"/>
              </w:rPr>
              <w:t>Comisión Europea, OCVV, UPOV, observadores y Estados miembros (43 en total)</w:t>
            </w:r>
          </w:p>
        </w:tc>
      </w:tr>
      <w:tr w:rsidR="00EA1CBD" w:rsidRPr="00592F7C" w:rsidTr="002D1696">
        <w:trPr>
          <w:trHeight w:val="1656"/>
        </w:trPr>
        <w:tc>
          <w:tcPr>
            <w:tcW w:w="1809" w:type="dxa"/>
            <w:shd w:val="clear" w:color="auto" w:fill="auto"/>
            <w:tcMar>
              <w:top w:w="28" w:type="dxa"/>
              <w:left w:w="57" w:type="dxa"/>
              <w:bottom w:w="28" w:type="dxa"/>
              <w:right w:w="57" w:type="dxa"/>
            </w:tcMar>
          </w:tcPr>
          <w:p w:rsidR="00EA1CBD" w:rsidRPr="00592F7C" w:rsidRDefault="00EA1CBD" w:rsidP="002D1696">
            <w:pPr>
              <w:jc w:val="left"/>
              <w:rPr>
                <w:rFonts w:cs="Arial"/>
                <w:sz w:val="16"/>
                <w:lang w:val="es-ES"/>
              </w:rPr>
            </w:pPr>
            <w:r w:rsidRPr="00592F7C">
              <w:rPr>
                <w:rFonts w:cs="Arial"/>
                <w:sz w:val="16"/>
                <w:lang w:val="es-ES"/>
              </w:rPr>
              <w:t xml:space="preserve">2. </w:t>
            </w:r>
            <w:r w:rsidRPr="006E5EB4">
              <w:rPr>
                <w:rFonts w:cs="Arial"/>
                <w:sz w:val="16"/>
              </w:rPr>
              <w:t>Reunión del Consejo de Administración de la OCVV</w:t>
            </w:r>
          </w:p>
        </w:tc>
        <w:tc>
          <w:tcPr>
            <w:tcW w:w="1447" w:type="dxa"/>
            <w:shd w:val="clear" w:color="auto" w:fill="auto"/>
            <w:tcMar>
              <w:top w:w="28" w:type="dxa"/>
              <w:left w:w="57" w:type="dxa"/>
              <w:bottom w:w="28" w:type="dxa"/>
              <w:right w:w="57" w:type="dxa"/>
            </w:tcMar>
          </w:tcPr>
          <w:p w:rsidR="00EA1CBD" w:rsidRPr="00412FE7" w:rsidRDefault="00EA1CBD" w:rsidP="002D1696">
            <w:pPr>
              <w:jc w:val="left"/>
              <w:rPr>
                <w:rFonts w:cs="Arial"/>
                <w:sz w:val="16"/>
              </w:rPr>
            </w:pPr>
            <w:r w:rsidRPr="006E5EB4">
              <w:rPr>
                <w:rFonts w:cs="Arial"/>
                <w:sz w:val="16"/>
              </w:rPr>
              <w:t>19 de septiembre de 2019</w:t>
            </w:r>
          </w:p>
        </w:tc>
        <w:tc>
          <w:tcPr>
            <w:tcW w:w="1247" w:type="dxa"/>
            <w:shd w:val="clear" w:color="auto" w:fill="auto"/>
            <w:tcMar>
              <w:top w:w="28" w:type="dxa"/>
              <w:left w:w="57" w:type="dxa"/>
              <w:bottom w:w="28" w:type="dxa"/>
              <w:right w:w="57" w:type="dxa"/>
            </w:tcMar>
          </w:tcPr>
          <w:p w:rsidR="00EA1CBD" w:rsidRPr="00412FE7" w:rsidRDefault="00EA1CBD" w:rsidP="002D1696">
            <w:pPr>
              <w:jc w:val="left"/>
              <w:rPr>
                <w:rFonts w:cs="Arial"/>
                <w:sz w:val="16"/>
              </w:rPr>
            </w:pPr>
            <w:r w:rsidRPr="006E5EB4">
              <w:rPr>
                <w:rFonts w:cs="Arial"/>
                <w:sz w:val="16"/>
              </w:rPr>
              <w:t>Bruselas (Bélgica)</w:t>
            </w:r>
          </w:p>
        </w:tc>
        <w:tc>
          <w:tcPr>
            <w:tcW w:w="1275" w:type="dxa"/>
            <w:shd w:val="clear" w:color="auto" w:fill="auto"/>
            <w:tcMar>
              <w:top w:w="28" w:type="dxa"/>
              <w:left w:w="57" w:type="dxa"/>
              <w:bottom w:w="28" w:type="dxa"/>
              <w:right w:w="57" w:type="dxa"/>
            </w:tcMar>
          </w:tcPr>
          <w:p w:rsidR="00EA1CBD" w:rsidRPr="00412FE7" w:rsidRDefault="00EA1CBD" w:rsidP="002D1696">
            <w:pPr>
              <w:jc w:val="left"/>
              <w:rPr>
                <w:rFonts w:cs="Arial"/>
                <w:sz w:val="16"/>
              </w:rPr>
            </w:pPr>
            <w:r w:rsidRPr="006E5EB4">
              <w:rPr>
                <w:rFonts w:cs="Arial"/>
                <w:sz w:val="16"/>
              </w:rPr>
              <w:t>OCVV</w:t>
            </w:r>
          </w:p>
        </w:tc>
        <w:tc>
          <w:tcPr>
            <w:tcW w:w="1418" w:type="dxa"/>
            <w:shd w:val="clear" w:color="auto" w:fill="auto"/>
            <w:tcMar>
              <w:top w:w="28" w:type="dxa"/>
              <w:left w:w="57" w:type="dxa"/>
              <w:bottom w:w="28" w:type="dxa"/>
              <w:right w:w="57" w:type="dxa"/>
            </w:tcMar>
          </w:tcPr>
          <w:p w:rsidR="00EA1CBD" w:rsidRPr="00592F7C" w:rsidRDefault="00EA1CBD" w:rsidP="002D1696">
            <w:pPr>
              <w:jc w:val="left"/>
              <w:rPr>
                <w:rFonts w:cs="Arial"/>
                <w:sz w:val="16"/>
                <w:lang w:val="es-ES"/>
              </w:rPr>
            </w:pPr>
            <w:r w:rsidRPr="006E5EB4">
              <w:rPr>
                <w:rFonts w:cs="Arial"/>
                <w:sz w:val="16"/>
              </w:rPr>
              <w:t>Debatir cuestiones relevantes sobre la protección de las obtenciones vegetales</w:t>
            </w:r>
          </w:p>
        </w:tc>
        <w:tc>
          <w:tcPr>
            <w:tcW w:w="2580" w:type="dxa"/>
            <w:shd w:val="clear" w:color="auto" w:fill="auto"/>
            <w:tcMar>
              <w:top w:w="28" w:type="dxa"/>
              <w:left w:w="57" w:type="dxa"/>
              <w:bottom w:w="28" w:type="dxa"/>
              <w:right w:w="57" w:type="dxa"/>
            </w:tcMar>
          </w:tcPr>
          <w:p w:rsidR="00EA1CBD" w:rsidRPr="00592F7C" w:rsidRDefault="00EA1CBD" w:rsidP="002D1696">
            <w:pPr>
              <w:jc w:val="left"/>
              <w:rPr>
                <w:rFonts w:cs="Arial"/>
                <w:sz w:val="16"/>
                <w:lang w:val="es-ES"/>
              </w:rPr>
            </w:pPr>
            <w:r w:rsidRPr="006E5EB4">
              <w:rPr>
                <w:rFonts w:cs="Arial"/>
                <w:sz w:val="16"/>
              </w:rPr>
              <w:t>Comisión Europea, OCVV, UPOV, observadores y Estados miembros (47 en total)</w:t>
            </w:r>
          </w:p>
        </w:tc>
      </w:tr>
    </w:tbl>
    <w:p w:rsidR="00EA1CBD" w:rsidRPr="00592F7C" w:rsidRDefault="00EA1CBD" w:rsidP="00EA1CBD">
      <w:pPr>
        <w:rPr>
          <w:rFonts w:cs="Arial"/>
          <w:lang w:val="es-ES"/>
        </w:rPr>
      </w:pPr>
    </w:p>
    <w:p w:rsidR="00EA1CBD" w:rsidRPr="00592F7C" w:rsidRDefault="00EA1CBD" w:rsidP="00EA1CBD">
      <w:pPr>
        <w:ind w:left="567" w:hanging="567"/>
        <w:rPr>
          <w:rFonts w:cs="Arial"/>
          <w:lang w:val="es-ES"/>
        </w:rPr>
      </w:pPr>
      <w:r w:rsidRPr="00592F7C">
        <w:rPr>
          <w:rFonts w:cs="Arial"/>
          <w:lang w:val="es-ES"/>
        </w:rPr>
        <w:t>–</w:t>
      </w:r>
      <w:r w:rsidRPr="00592F7C">
        <w:rPr>
          <w:rFonts w:cs="Arial"/>
          <w:lang w:val="es-ES"/>
        </w:rPr>
        <w:tab/>
      </w:r>
      <w:r w:rsidRPr="004D3D21">
        <w:rPr>
          <w:rFonts w:cs="Arial"/>
        </w:rPr>
        <w:t>El N.º 1 (31) del Boletín de información sobre los derechos de obtentor y la lista nacional de variedades vegetales, del Servicio Estatal de Plantas del Ministerio de Agricultura de la República de Lituania, se publicó el 8 de enero de 2019, y el N.º 2 (32), el 7 de junio de 2019.</w:t>
      </w:r>
    </w:p>
    <w:p w:rsidR="00EA1CBD" w:rsidRPr="00592F7C" w:rsidRDefault="00EA1CBD" w:rsidP="00EA1CBD">
      <w:pPr>
        <w:rPr>
          <w:lang w:val="es-ES"/>
        </w:rPr>
      </w:pPr>
    </w:p>
    <w:p w:rsidR="00EA1CBD" w:rsidRPr="00592F7C" w:rsidRDefault="00EA1CBD" w:rsidP="00EA1CBD">
      <w:pPr>
        <w:rPr>
          <w:lang w:val="es-ES"/>
        </w:rPr>
      </w:pPr>
    </w:p>
    <w:p w:rsidR="00EA1CBD" w:rsidRPr="00592F7C" w:rsidRDefault="00EA1CBD" w:rsidP="00EA1CBD">
      <w:pPr>
        <w:rPr>
          <w:lang w:val="es-ES"/>
        </w:rPr>
      </w:pPr>
      <w:r>
        <w:rPr>
          <w:lang w:val="es-ES"/>
        </w:rPr>
        <w:t>II.</w:t>
      </w:r>
      <w:r>
        <w:rPr>
          <w:lang w:val="es-ES"/>
        </w:rPr>
        <w:tab/>
      </w:r>
      <w:r w:rsidRPr="004D3D21">
        <w:t>OTRAS NOVEDADES DE INTERÉS PARA LA UPOV</w:t>
      </w:r>
    </w:p>
    <w:p w:rsidR="00EA1CBD" w:rsidRPr="00592F7C" w:rsidRDefault="00EA1CBD" w:rsidP="00EA1CBD">
      <w:pPr>
        <w:rPr>
          <w:lang w:val="es-ES"/>
        </w:rPr>
      </w:pPr>
    </w:p>
    <w:p w:rsidR="00EA1CBD" w:rsidRPr="00592F7C" w:rsidRDefault="00EA1CBD" w:rsidP="00EA1CBD">
      <w:pPr>
        <w:ind w:left="567" w:hanging="567"/>
        <w:rPr>
          <w:rFonts w:cs="Arial"/>
          <w:lang w:val="es-ES"/>
        </w:rPr>
      </w:pPr>
      <w:r w:rsidRPr="00592F7C">
        <w:rPr>
          <w:rFonts w:cs="Arial"/>
          <w:lang w:val="es-ES"/>
        </w:rPr>
        <w:t>–</w:t>
      </w:r>
      <w:r w:rsidRPr="00592F7C">
        <w:rPr>
          <w:rFonts w:cs="Arial"/>
          <w:lang w:val="es-ES"/>
        </w:rPr>
        <w:tab/>
      </w:r>
      <w:r w:rsidRPr="004D3D21">
        <w:rPr>
          <w:rFonts w:cs="Arial"/>
        </w:rPr>
        <w:t>La Lista Nacional de Variedades Vegetales de Lituania de 2019 fue aprobada el 27 de febrero de 2019 en virtud de la Orden Nº A1-112 del director del Servicio Estatal de Plantas del Ministerio de Agricultura de la República de Lituania, de 27 de febrero de 2019.</w:t>
      </w:r>
      <w:r w:rsidRPr="00592F7C">
        <w:rPr>
          <w:rFonts w:cs="Arial"/>
          <w:lang w:val="es-ES"/>
        </w:rPr>
        <w:t xml:space="preserve"> </w:t>
      </w:r>
      <w:r w:rsidRPr="004D3D21">
        <w:rPr>
          <w:rFonts w:cs="Arial"/>
        </w:rPr>
        <w:t>El material de reproducción o multiplicación vegetativa de cada una de las variedades registradas de las distintas especies vegetales puede ser objeto de certificación con arreglo a los requisitos obligatorios elaborados de conformidad con las directivas correspondientes de la Unión Europea.</w:t>
      </w:r>
    </w:p>
    <w:p w:rsidR="00EA1CBD" w:rsidRPr="00592F7C" w:rsidRDefault="00EA1CBD" w:rsidP="00EA1CBD">
      <w:pPr>
        <w:rPr>
          <w:rFonts w:cs="Arial"/>
          <w:lang w:val="es-ES"/>
        </w:rPr>
      </w:pPr>
    </w:p>
    <w:p w:rsidR="00EA1CBD" w:rsidRPr="00592F7C" w:rsidRDefault="00EA1CBD" w:rsidP="00EA1CBD">
      <w:pPr>
        <w:rPr>
          <w:lang w:val="es-ES"/>
        </w:rPr>
      </w:pPr>
    </w:p>
    <w:p w:rsidR="0078167F" w:rsidRDefault="0078167F" w:rsidP="0078167F">
      <w:pPr>
        <w:jc w:val="left"/>
      </w:pPr>
    </w:p>
    <w:p w:rsidR="0078167F" w:rsidRDefault="00E80B45" w:rsidP="0078167F">
      <w:pPr>
        <w:jc w:val="right"/>
      </w:pPr>
      <w:r>
        <w:t>[Sigue el Anexo</w:t>
      </w:r>
      <w:r w:rsidR="0078167F">
        <w:t xml:space="preserve"> X</w:t>
      </w:r>
      <w:r>
        <w:t>]</w:t>
      </w:r>
    </w:p>
    <w:p w:rsidR="0078167F" w:rsidRDefault="0078167F" w:rsidP="0078167F"/>
    <w:p w:rsidR="0078167F" w:rsidRDefault="0078167F" w:rsidP="0078167F">
      <w:pPr>
        <w:jc w:val="left"/>
        <w:sectPr w:rsidR="0078167F" w:rsidSect="002D1696">
          <w:headerReference w:type="default" r:id="rId19"/>
          <w:pgSz w:w="11907" w:h="16840" w:code="9"/>
          <w:pgMar w:top="510" w:right="1134" w:bottom="1134" w:left="1134" w:header="510" w:footer="680" w:gutter="0"/>
          <w:pgNumType w:start="1"/>
          <w:cols w:space="720"/>
          <w:titlePg/>
        </w:sectPr>
      </w:pPr>
    </w:p>
    <w:p w:rsidR="0078167F" w:rsidRPr="0075031D" w:rsidRDefault="0078167F" w:rsidP="0078167F">
      <w:pPr>
        <w:jc w:val="center"/>
      </w:pPr>
      <w:r>
        <w:lastRenderedPageBreak/>
        <w:t>C/54/INF/4</w:t>
      </w:r>
    </w:p>
    <w:p w:rsidR="0078167F" w:rsidRPr="0075031D" w:rsidRDefault="0078167F" w:rsidP="0078167F">
      <w:pPr>
        <w:jc w:val="center"/>
      </w:pPr>
    </w:p>
    <w:p w:rsidR="0078167F" w:rsidRPr="0075031D" w:rsidRDefault="00E80B45" w:rsidP="0078167F">
      <w:pPr>
        <w:jc w:val="center"/>
      </w:pPr>
      <w:r>
        <w:t>ANEXO</w:t>
      </w:r>
      <w:r w:rsidR="0078167F">
        <w:t xml:space="preserve"> X</w:t>
      </w:r>
    </w:p>
    <w:p w:rsidR="0078167F" w:rsidRPr="0075031D" w:rsidRDefault="0078167F" w:rsidP="0078167F">
      <w:pPr>
        <w:jc w:val="center"/>
      </w:pPr>
    </w:p>
    <w:p w:rsidR="0078167F" w:rsidRDefault="0078167F" w:rsidP="0078167F">
      <w:pPr>
        <w:jc w:val="center"/>
      </w:pPr>
    </w:p>
    <w:p w:rsidR="008627A5" w:rsidRPr="00592F7C" w:rsidRDefault="008627A5" w:rsidP="008627A5">
      <w:pPr>
        <w:jc w:val="center"/>
        <w:rPr>
          <w:lang w:val="es-ES"/>
        </w:rPr>
      </w:pPr>
      <w:r w:rsidRPr="004D3D21">
        <w:t>NUEVA ZELANDIA</w:t>
      </w:r>
    </w:p>
    <w:p w:rsidR="008627A5" w:rsidRPr="00592F7C" w:rsidRDefault="008627A5" w:rsidP="008627A5">
      <w:pPr>
        <w:rPr>
          <w:lang w:val="es-ES"/>
        </w:rPr>
      </w:pPr>
    </w:p>
    <w:p w:rsidR="008627A5" w:rsidRPr="00592F7C" w:rsidRDefault="008627A5" w:rsidP="008627A5">
      <w:pPr>
        <w:rPr>
          <w:lang w:val="es-ES"/>
        </w:rPr>
      </w:pPr>
    </w:p>
    <w:p w:rsidR="008627A5" w:rsidRPr="00592F7C" w:rsidRDefault="008627A5" w:rsidP="008627A5">
      <w:pPr>
        <w:rPr>
          <w:lang w:val="es-ES"/>
        </w:rPr>
      </w:pPr>
      <w:r w:rsidRPr="004D3D21">
        <w:t>PROTECCIÓN DE LAS OBTENCIONES VEGETALES</w:t>
      </w:r>
    </w:p>
    <w:p w:rsidR="008627A5" w:rsidRPr="00592F7C" w:rsidRDefault="008627A5" w:rsidP="008627A5">
      <w:pPr>
        <w:rPr>
          <w:lang w:val="es-ES"/>
        </w:rPr>
      </w:pPr>
    </w:p>
    <w:p w:rsidR="008627A5" w:rsidRPr="00592F7C" w:rsidRDefault="008627A5" w:rsidP="008627A5">
      <w:pPr>
        <w:rPr>
          <w:lang w:val="es-ES"/>
        </w:rPr>
      </w:pPr>
      <w:r w:rsidRPr="00592F7C">
        <w:rPr>
          <w:lang w:val="es-ES"/>
        </w:rPr>
        <w:t>1.</w:t>
      </w:r>
      <w:r w:rsidRPr="00592F7C">
        <w:rPr>
          <w:lang w:val="es-ES"/>
        </w:rPr>
        <w:tab/>
      </w:r>
      <w:r w:rsidRPr="004D3D21">
        <w:rPr>
          <w:u w:val="single"/>
        </w:rPr>
        <w:t>Situación en el ámbito legislativo</w:t>
      </w:r>
    </w:p>
    <w:p w:rsidR="008627A5" w:rsidRPr="00592F7C" w:rsidRDefault="008627A5" w:rsidP="008627A5">
      <w:pPr>
        <w:rPr>
          <w:lang w:val="es-ES"/>
        </w:rPr>
      </w:pPr>
    </w:p>
    <w:p w:rsidR="008627A5" w:rsidRPr="00592F7C" w:rsidRDefault="008627A5" w:rsidP="008627A5">
      <w:pPr>
        <w:rPr>
          <w:lang w:val="es-ES"/>
        </w:rPr>
      </w:pPr>
      <w:r w:rsidRPr="004D3D21">
        <w:t>Sigue en vigor la Ley de Derechos sobre las Obtenciones Vegetales de 1987, que se halla en conformidad con el Acta de 1978 del Convenio.</w:t>
      </w:r>
    </w:p>
    <w:p w:rsidR="008627A5" w:rsidRPr="00592F7C" w:rsidRDefault="008627A5" w:rsidP="008627A5">
      <w:pPr>
        <w:rPr>
          <w:lang w:val="es-ES"/>
        </w:rPr>
      </w:pPr>
    </w:p>
    <w:p w:rsidR="008627A5" w:rsidRPr="00592F7C" w:rsidRDefault="008627A5" w:rsidP="008627A5">
      <w:pPr>
        <w:rPr>
          <w:lang w:val="es-ES"/>
        </w:rPr>
      </w:pPr>
      <w:r w:rsidRPr="001F7750">
        <w:t>El Gobierno de Nueva Zelandia continúa el proceso de examen de la Ley de Derechos sobre las Obtenciones Vegetales de 1987.</w:t>
      </w:r>
      <w:r w:rsidRPr="00592F7C">
        <w:rPr>
          <w:lang w:val="es-ES"/>
        </w:rPr>
        <w:t xml:space="preserve"> </w:t>
      </w:r>
      <w:r w:rsidRPr="001F7750">
        <w:t>En julio de 2019 se sometió a consulta pública el documento de exposición de opciones, basado en las consultas efectuadas en la fase de exposición de cuestiones que tuvo lugar en 2018.</w:t>
      </w:r>
      <w:r w:rsidRPr="00592F7C">
        <w:rPr>
          <w:lang w:val="es-ES"/>
        </w:rPr>
        <w:t xml:space="preserve"> </w:t>
      </w:r>
      <w:r w:rsidRPr="001F7750">
        <w:t>Durante la fase de exposición de opciones se llevaron a cabo nuevas consultas con la industria, la comunidad maorí y el público.</w:t>
      </w:r>
      <w:r w:rsidRPr="00592F7C">
        <w:rPr>
          <w:lang w:val="es-ES"/>
        </w:rPr>
        <w:t xml:space="preserve"> </w:t>
      </w:r>
      <w:r w:rsidRPr="001F7750">
        <w:t>En noviembre de 2019, el Gabinete acordó introducir modificaciones en la Ley de Derechos sobre las Obtenciones Vegetales y ya se ha iniciado la redacción del proyecto de Ley.</w:t>
      </w:r>
      <w:r w:rsidRPr="00592F7C">
        <w:rPr>
          <w:lang w:val="es-ES"/>
        </w:rPr>
        <w:t xml:space="preserve"> </w:t>
      </w:r>
      <w:r w:rsidRPr="001F7750">
        <w:t>El objetivo es que el proyecto de Ley se presente en el Parlamento a finales de 2020 y que el nuevo régimen entre en vigor a finales de 2021.</w:t>
      </w:r>
      <w:r w:rsidRPr="00592F7C">
        <w:rPr>
          <w:lang w:val="es-ES"/>
        </w:rPr>
        <w:t xml:space="preserve"> </w:t>
      </w:r>
    </w:p>
    <w:p w:rsidR="008627A5" w:rsidRPr="00592F7C" w:rsidRDefault="008627A5" w:rsidP="008627A5">
      <w:pPr>
        <w:rPr>
          <w:lang w:val="es-ES"/>
        </w:rPr>
      </w:pPr>
    </w:p>
    <w:p w:rsidR="008627A5" w:rsidRPr="00592F7C" w:rsidRDefault="008627A5" w:rsidP="008627A5">
      <w:pPr>
        <w:rPr>
          <w:lang w:val="es-ES"/>
        </w:rPr>
      </w:pPr>
      <w:r w:rsidRPr="001F7750">
        <w:t>Aún quedan pendientes algunas cuestiones relativas a la política, que requieren nuevas consultas y un examen más detenido.</w:t>
      </w:r>
      <w:r w:rsidRPr="00592F7C">
        <w:rPr>
          <w:lang w:val="es-ES"/>
        </w:rPr>
        <w:t xml:space="preserve"> </w:t>
      </w:r>
      <w:r w:rsidRPr="001F7750">
        <w:t xml:space="preserve">Se trata de cuestiones concernientes al cumplimiento del Tratado de </w:t>
      </w:r>
      <w:proofErr w:type="spellStart"/>
      <w:r w:rsidRPr="001F7750">
        <w:t>Waitangi</w:t>
      </w:r>
      <w:proofErr w:type="spellEnd"/>
      <w:r w:rsidRPr="001F7750">
        <w:t xml:space="preserve"> y al funcionamiento de la Oficina de Derechos de Obtentor,</w:t>
      </w:r>
      <w:r w:rsidRPr="00592F7C">
        <w:rPr>
          <w:lang w:val="es-ES"/>
        </w:rPr>
        <w:t xml:space="preserve"> </w:t>
      </w:r>
      <w:r w:rsidRPr="001F7750">
        <w:t>y se están estudiando en la actualidad.</w:t>
      </w:r>
    </w:p>
    <w:p w:rsidR="008627A5" w:rsidRPr="00592F7C" w:rsidRDefault="008627A5" w:rsidP="008627A5">
      <w:pPr>
        <w:rPr>
          <w:vanish/>
          <w:lang w:val="es-ES"/>
        </w:rPr>
      </w:pPr>
      <w:r w:rsidRPr="00592F7C">
        <w:rPr>
          <w:vanish/>
          <w:lang w:val="es-ES"/>
        </w:rPr>
        <w:t xml:space="preserve"> </w:t>
      </w:r>
    </w:p>
    <w:p w:rsidR="008627A5" w:rsidRPr="00592F7C" w:rsidRDefault="008627A5" w:rsidP="008627A5">
      <w:pPr>
        <w:rPr>
          <w:lang w:val="es-ES"/>
        </w:rPr>
      </w:pPr>
      <w:r w:rsidRPr="001F7750">
        <w:t>Puede encontrarse información detallada sobre el examen de la Ley de Derechos sobre las Obtenciones Vegetales en la siguiente dirección:</w:t>
      </w:r>
    </w:p>
    <w:p w:rsidR="008627A5" w:rsidRPr="00592F7C" w:rsidRDefault="00FE0BB4" w:rsidP="008627A5">
      <w:pPr>
        <w:rPr>
          <w:lang w:val="es-ES"/>
        </w:rPr>
      </w:pPr>
      <w:hyperlink r:id="rId20" w:history="1">
        <w:r w:rsidR="008627A5" w:rsidRPr="00592F7C">
          <w:rPr>
            <w:rStyle w:val="Hyperlink"/>
            <w:lang w:val="es-ES"/>
          </w:rPr>
          <w:t>https://www.mbie.govt.nz/business-and-employment/business/intellectual-property/plant-variety-rights/plant-variety-rights-act-review/</w:t>
        </w:r>
      </w:hyperlink>
    </w:p>
    <w:p w:rsidR="008627A5" w:rsidRPr="00592F7C" w:rsidRDefault="008627A5" w:rsidP="008627A5">
      <w:pPr>
        <w:rPr>
          <w:lang w:val="es-ES"/>
        </w:rPr>
      </w:pPr>
    </w:p>
    <w:p w:rsidR="008627A5" w:rsidRPr="00592F7C" w:rsidRDefault="008627A5" w:rsidP="008627A5">
      <w:pPr>
        <w:rPr>
          <w:lang w:val="es-ES"/>
        </w:rPr>
      </w:pPr>
    </w:p>
    <w:p w:rsidR="008627A5" w:rsidRPr="00592F7C" w:rsidRDefault="008627A5" w:rsidP="008627A5">
      <w:pPr>
        <w:rPr>
          <w:u w:val="single"/>
          <w:lang w:val="es-ES"/>
        </w:rPr>
      </w:pPr>
      <w:r w:rsidRPr="00592F7C">
        <w:rPr>
          <w:lang w:val="es-ES"/>
        </w:rPr>
        <w:t>2.</w:t>
      </w:r>
      <w:r w:rsidRPr="00592F7C">
        <w:rPr>
          <w:lang w:val="es-ES"/>
        </w:rPr>
        <w:tab/>
      </w:r>
      <w:r w:rsidRPr="001F7750">
        <w:rPr>
          <w:u w:val="single"/>
        </w:rPr>
        <w:t>Cooperación en el examen</w:t>
      </w:r>
    </w:p>
    <w:p w:rsidR="008627A5" w:rsidRPr="00592F7C" w:rsidRDefault="008627A5" w:rsidP="008627A5">
      <w:pPr>
        <w:rPr>
          <w:u w:val="single"/>
          <w:lang w:val="es-ES"/>
        </w:rPr>
      </w:pPr>
    </w:p>
    <w:p w:rsidR="008627A5" w:rsidRPr="00592F7C" w:rsidRDefault="008627A5" w:rsidP="008627A5">
      <w:pPr>
        <w:rPr>
          <w:lang w:val="es-ES"/>
        </w:rPr>
      </w:pPr>
      <w:r w:rsidRPr="001F7750">
        <w:t>Nueva Zelandia continúa comprando a los Estados miembros, por encargo, informes de ensayos correspondientes a determinadas especies, en el marco de las disposiciones generales del Convenio.</w:t>
      </w:r>
      <w:r w:rsidRPr="00592F7C">
        <w:rPr>
          <w:lang w:val="es-ES"/>
        </w:rPr>
        <w:t xml:space="preserve"> </w:t>
      </w:r>
      <w:r w:rsidRPr="001F7750">
        <w:t>Nueva Zelandia sigue proporcionando gratuitamente informes de examen a las autoridades interesadas.</w:t>
      </w:r>
    </w:p>
    <w:p w:rsidR="008627A5" w:rsidRPr="00592F7C" w:rsidRDefault="008627A5" w:rsidP="008627A5">
      <w:pPr>
        <w:rPr>
          <w:lang w:val="es-ES"/>
        </w:rPr>
      </w:pPr>
    </w:p>
    <w:p w:rsidR="008627A5" w:rsidRPr="00592F7C" w:rsidRDefault="008627A5" w:rsidP="008627A5">
      <w:pPr>
        <w:rPr>
          <w:lang w:val="es-ES"/>
        </w:rPr>
      </w:pPr>
    </w:p>
    <w:p w:rsidR="008627A5" w:rsidRPr="00592F7C" w:rsidRDefault="008627A5" w:rsidP="008627A5">
      <w:pPr>
        <w:rPr>
          <w:u w:val="single"/>
          <w:lang w:val="es-ES"/>
        </w:rPr>
      </w:pPr>
      <w:r w:rsidRPr="00592F7C">
        <w:rPr>
          <w:lang w:val="es-ES"/>
        </w:rPr>
        <w:t>3.</w:t>
      </w:r>
      <w:r w:rsidRPr="00592F7C">
        <w:rPr>
          <w:lang w:val="es-ES"/>
        </w:rPr>
        <w:tab/>
      </w:r>
      <w:r w:rsidRPr="001F7750">
        <w:rPr>
          <w:u w:val="single"/>
        </w:rPr>
        <w:t>Situación en el ámbito administrativo</w:t>
      </w:r>
    </w:p>
    <w:p w:rsidR="008627A5" w:rsidRPr="00592F7C" w:rsidRDefault="008627A5" w:rsidP="008627A5">
      <w:pPr>
        <w:rPr>
          <w:b/>
          <w:lang w:val="es-ES"/>
        </w:rPr>
      </w:pPr>
    </w:p>
    <w:p w:rsidR="008627A5" w:rsidRPr="00592F7C" w:rsidRDefault="008627A5" w:rsidP="008627A5">
      <w:pPr>
        <w:rPr>
          <w:lang w:val="es-ES"/>
        </w:rPr>
      </w:pPr>
      <w:r w:rsidRPr="001F7750">
        <w:t>Durante el ejercicio fiscal finalizado el 30 de junio de 2020, se aceptaron 87 solicitudes de derechos de obtentor (un 22% menos que el año anterior), se concedieron 98 títulos (un 12% más que el año anterior) y caducaron 100 títulos (un 24% más que el año anterior).</w:t>
      </w:r>
      <w:r w:rsidRPr="00592F7C">
        <w:rPr>
          <w:lang w:val="es-ES"/>
        </w:rPr>
        <w:t xml:space="preserve"> </w:t>
      </w:r>
      <w:r w:rsidRPr="001F7750">
        <w:t>A 30 de junio de 2020 había 1.286 títulos en vigor, lo que supone una disminución respecto al año anterior.</w:t>
      </w:r>
      <w:r w:rsidRPr="00592F7C">
        <w:rPr>
          <w:lang w:val="es-ES"/>
        </w:rPr>
        <w:t xml:space="preserve"> </w:t>
      </w:r>
      <w:r w:rsidRPr="001F7750">
        <w:t>El número de solicitudes se mantiene relativamente estable, aunque se sigue observando una lenta disminución.</w:t>
      </w:r>
      <w:r w:rsidRPr="00592F7C">
        <w:rPr>
          <w:lang w:val="es-ES"/>
        </w:rPr>
        <w:t xml:space="preserve"> </w:t>
      </w:r>
    </w:p>
    <w:p w:rsidR="008627A5" w:rsidRPr="00592F7C" w:rsidRDefault="008627A5" w:rsidP="008627A5">
      <w:pPr>
        <w:rPr>
          <w:lang w:val="es-ES"/>
        </w:rPr>
      </w:pPr>
    </w:p>
    <w:p w:rsidR="008627A5" w:rsidRPr="00592F7C" w:rsidRDefault="008627A5" w:rsidP="008627A5">
      <w:pPr>
        <w:rPr>
          <w:lang w:val="es-ES"/>
        </w:rPr>
      </w:pPr>
      <w:r w:rsidRPr="001F7750">
        <w:t>Conjuntamente con el examen de la Ley de Derechos sobre las Obtenciones Vegetales de 1987, se ha llevado a cabo una amplia revisión de las actividades operativas y las funciones de la Oficina.</w:t>
      </w:r>
      <w:r w:rsidRPr="00592F7C">
        <w:rPr>
          <w:lang w:val="es-ES"/>
        </w:rPr>
        <w:t xml:space="preserve"> </w:t>
      </w:r>
      <w:r w:rsidRPr="001F7750">
        <w:t>De los resultados de dicha revisión se han derivado propuestas de modificación de la legislación principal que implican la redacción de futuros reglamentos.</w:t>
      </w:r>
      <w:r w:rsidRPr="00592F7C">
        <w:rPr>
          <w:lang w:val="es-ES"/>
        </w:rPr>
        <w:t xml:space="preserve"> </w:t>
      </w:r>
      <w:r w:rsidRPr="001F7750">
        <w:t>Se han contemplado elementos no directamente relacionados con la legislación, que se abordarán mediante modificaciones de las prácticas internas y de la Oficina.</w:t>
      </w:r>
      <w:r w:rsidRPr="00592F7C">
        <w:rPr>
          <w:lang w:val="es-ES"/>
        </w:rPr>
        <w:t xml:space="preserve"> </w:t>
      </w:r>
    </w:p>
    <w:p w:rsidR="008627A5" w:rsidRPr="00592F7C" w:rsidRDefault="008627A5" w:rsidP="008627A5">
      <w:pPr>
        <w:rPr>
          <w:lang w:val="es-ES"/>
        </w:rPr>
      </w:pPr>
    </w:p>
    <w:p w:rsidR="008627A5" w:rsidRPr="00592F7C" w:rsidRDefault="008627A5" w:rsidP="008627A5">
      <w:pPr>
        <w:rPr>
          <w:lang w:val="es-ES"/>
        </w:rPr>
      </w:pPr>
      <w:r w:rsidRPr="001F7750">
        <w:t>En el transcurso de la labor de examen se ha observado que es necesario actualizar la base nacional de datos sobre la protección de las obtenciones vegetales en lo que atañe a la nomenclatura y los códigos UPOV de varias especies ornamentales.</w:t>
      </w:r>
      <w:r w:rsidRPr="00592F7C">
        <w:rPr>
          <w:lang w:val="es-ES"/>
        </w:rPr>
        <w:t xml:space="preserve"> </w:t>
      </w:r>
      <w:r w:rsidRPr="001F7750">
        <w:t>La revisión de la nomenclatura botánica de las plantas ornamentales y, con frecuencia, la consiguiente modificación de sus códigos UPOV es una tarea constante, dado el elevado número de géneros y especies abarcados.</w:t>
      </w:r>
      <w:r w:rsidRPr="00592F7C">
        <w:rPr>
          <w:lang w:val="es-ES"/>
        </w:rPr>
        <w:t xml:space="preserve"> </w:t>
      </w:r>
      <w:r w:rsidRPr="001F7750">
        <w:t>Se está ideando un plan para mejorar la gestión de la base de datos, a fin de que el control de dichos cambios y los procesos de actualización resulten más eficaces.</w:t>
      </w:r>
    </w:p>
    <w:p w:rsidR="008627A5" w:rsidRPr="00592F7C" w:rsidRDefault="008627A5" w:rsidP="008627A5">
      <w:pPr>
        <w:rPr>
          <w:lang w:val="es-ES"/>
        </w:rPr>
      </w:pPr>
    </w:p>
    <w:p w:rsidR="008627A5" w:rsidRPr="00592F7C" w:rsidRDefault="008627A5" w:rsidP="008627A5">
      <w:pPr>
        <w:rPr>
          <w:lang w:val="es-ES"/>
        </w:rPr>
      </w:pPr>
    </w:p>
    <w:p w:rsidR="008627A5" w:rsidRPr="00592F7C" w:rsidRDefault="008627A5" w:rsidP="008627A5">
      <w:pPr>
        <w:keepNext/>
        <w:rPr>
          <w:lang w:val="es-ES"/>
        </w:rPr>
      </w:pPr>
      <w:r w:rsidRPr="00592F7C">
        <w:rPr>
          <w:lang w:val="es-ES"/>
        </w:rPr>
        <w:t>4.</w:t>
      </w:r>
      <w:r w:rsidRPr="00592F7C">
        <w:rPr>
          <w:lang w:val="es-ES"/>
        </w:rPr>
        <w:tab/>
      </w:r>
      <w:r w:rsidRPr="001F7750">
        <w:rPr>
          <w:u w:val="single"/>
        </w:rPr>
        <w:t>Situación en el ámbito técnico</w:t>
      </w:r>
    </w:p>
    <w:p w:rsidR="008627A5" w:rsidRPr="00592F7C" w:rsidRDefault="008627A5" w:rsidP="008627A5">
      <w:pPr>
        <w:keepNext/>
        <w:rPr>
          <w:lang w:val="es-ES"/>
        </w:rPr>
      </w:pPr>
    </w:p>
    <w:p w:rsidR="008627A5" w:rsidRPr="00592F7C" w:rsidRDefault="008627A5" w:rsidP="008627A5">
      <w:pPr>
        <w:rPr>
          <w:lang w:val="es-ES"/>
        </w:rPr>
      </w:pPr>
      <w:r w:rsidRPr="001F7750">
        <w:t>Las restricciones nacionales a causa de la pandemia mundial han dificultado bastante la labor técnica que debía acometerse en el otoño de 2020.</w:t>
      </w:r>
      <w:r w:rsidRPr="00592F7C">
        <w:rPr>
          <w:lang w:val="es-ES"/>
        </w:rPr>
        <w:t xml:space="preserve"> </w:t>
      </w:r>
      <w:r w:rsidRPr="001F7750">
        <w:t xml:space="preserve">Habitualmente, el otoño es la época en la que finalizan los ensayos </w:t>
      </w:r>
      <w:r w:rsidRPr="001F7750">
        <w:lastRenderedPageBreak/>
        <w:t>de la papa/patata y de algunas especies frutales, y en la que se plantan ciertas especies agrícolas para comenzar los ensayos.</w:t>
      </w:r>
      <w:r w:rsidRPr="00592F7C">
        <w:rPr>
          <w:lang w:val="es-ES"/>
        </w:rPr>
        <w:t xml:space="preserve"> </w:t>
      </w:r>
      <w:r w:rsidRPr="001F7750">
        <w:t>Por fortuna, estas actividades pudieron llevarse a cabo y completarse satisfactoriamente sin consecuencias graves.</w:t>
      </w:r>
      <w:r w:rsidRPr="00592F7C">
        <w:rPr>
          <w:lang w:val="es-ES"/>
        </w:rPr>
        <w:t xml:space="preserve"> </w:t>
      </w:r>
      <w:r w:rsidRPr="001F7750">
        <w:t>La interrupción ha provocado retrasos en el calendario de exámenes por lo que, en 2020, las decisiones relativas a los derechos de obtentor se tomarán más tarde de lo normal.</w:t>
      </w:r>
    </w:p>
    <w:p w:rsidR="008627A5" w:rsidRPr="00592F7C" w:rsidRDefault="008627A5" w:rsidP="008627A5">
      <w:pPr>
        <w:rPr>
          <w:vanish/>
          <w:lang w:val="es-ES"/>
        </w:rPr>
      </w:pPr>
    </w:p>
    <w:p w:rsidR="008627A5" w:rsidRPr="00592F7C" w:rsidRDefault="008627A5" w:rsidP="008627A5">
      <w:pPr>
        <w:rPr>
          <w:lang w:val="es-ES"/>
        </w:rPr>
      </w:pPr>
      <w:r w:rsidRPr="004A5B6E">
        <w:t>Se ha introducido un sistema de gestión de la calidad de los exámenes DHE.</w:t>
      </w:r>
      <w:r w:rsidRPr="00592F7C">
        <w:rPr>
          <w:lang w:val="es-ES"/>
        </w:rPr>
        <w:t xml:space="preserve"> </w:t>
      </w:r>
      <w:r w:rsidRPr="004A5B6E">
        <w:t>La Oficina de Propiedad Intelectual de Nueva Zelandia posee la certificación ISO 9001:2018 y dispone de un sistema general de gestión de la calidad del examen, pero no contaba con un sistema específico para el examen DHE.</w:t>
      </w:r>
      <w:r w:rsidRPr="00592F7C">
        <w:rPr>
          <w:lang w:val="es-ES"/>
        </w:rPr>
        <w:t xml:space="preserve"> </w:t>
      </w:r>
      <w:r w:rsidRPr="004A5B6E">
        <w:t>A partir de la orientación obtenida de otras autoridades con experiencia, se ha elaborado un modelo adaptado a la situación de Nueva Zelandia.</w:t>
      </w:r>
      <w:r w:rsidRPr="00592F7C">
        <w:rPr>
          <w:lang w:val="es-ES"/>
        </w:rPr>
        <w:t xml:space="preserve"> </w:t>
      </w:r>
      <w:r w:rsidRPr="004A5B6E">
        <w:t>A finales de 2019 se realizó la primera auditoría del examen de manzanos, melocotoneros/durazneros y ciruelos, con resultados satisfactorios.</w:t>
      </w:r>
    </w:p>
    <w:p w:rsidR="008627A5" w:rsidRPr="00592F7C" w:rsidRDefault="008627A5" w:rsidP="008627A5">
      <w:pPr>
        <w:rPr>
          <w:lang w:val="es-ES"/>
        </w:rPr>
      </w:pPr>
    </w:p>
    <w:p w:rsidR="008627A5" w:rsidRPr="00592F7C" w:rsidRDefault="008627A5" w:rsidP="008627A5">
      <w:pPr>
        <w:rPr>
          <w:lang w:val="es-ES"/>
        </w:rPr>
      </w:pPr>
    </w:p>
    <w:p w:rsidR="008627A5" w:rsidRPr="00592F7C" w:rsidRDefault="008627A5" w:rsidP="008627A5">
      <w:pPr>
        <w:rPr>
          <w:u w:val="single"/>
          <w:lang w:val="es-ES"/>
        </w:rPr>
      </w:pPr>
      <w:r w:rsidRPr="00592F7C">
        <w:rPr>
          <w:lang w:val="es-ES"/>
        </w:rPr>
        <w:t>5.</w:t>
      </w:r>
      <w:r w:rsidRPr="00592F7C">
        <w:rPr>
          <w:lang w:val="es-ES"/>
        </w:rPr>
        <w:tab/>
      </w:r>
      <w:r w:rsidRPr="004A5B6E">
        <w:rPr>
          <w:u w:val="single"/>
        </w:rPr>
        <w:t>Actividades para la promoción de las variedades vegetales</w:t>
      </w:r>
    </w:p>
    <w:p w:rsidR="008627A5" w:rsidRPr="00592F7C" w:rsidRDefault="008627A5" w:rsidP="008627A5">
      <w:pPr>
        <w:rPr>
          <w:lang w:val="es-E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993"/>
        <w:gridCol w:w="992"/>
        <w:gridCol w:w="1276"/>
        <w:gridCol w:w="1417"/>
        <w:gridCol w:w="2126"/>
        <w:gridCol w:w="1985"/>
      </w:tblGrid>
      <w:tr w:rsidR="008627A5" w:rsidRPr="00F21F1D" w:rsidTr="002D1696">
        <w:tc>
          <w:tcPr>
            <w:tcW w:w="1242" w:type="dxa"/>
            <w:shd w:val="clear" w:color="auto" w:fill="auto"/>
            <w:tcMar>
              <w:top w:w="28" w:type="dxa"/>
              <w:left w:w="57" w:type="dxa"/>
              <w:bottom w:w="28" w:type="dxa"/>
              <w:right w:w="57" w:type="dxa"/>
            </w:tcMar>
          </w:tcPr>
          <w:p w:rsidR="008627A5" w:rsidRPr="008400A3" w:rsidRDefault="008627A5" w:rsidP="002D1696">
            <w:pPr>
              <w:jc w:val="left"/>
              <w:rPr>
                <w:rFonts w:cs="Mangal"/>
                <w:sz w:val="16"/>
                <w:szCs w:val="26"/>
                <w:lang w:bidi="ne-NP"/>
              </w:rPr>
            </w:pPr>
            <w:r w:rsidRPr="004A5B6E">
              <w:rPr>
                <w:rFonts w:cs="Mangal"/>
                <w:sz w:val="16"/>
                <w:szCs w:val="26"/>
                <w:lang w:bidi="ne-NP"/>
              </w:rPr>
              <w:t>Título de la actividad</w:t>
            </w:r>
          </w:p>
        </w:tc>
        <w:tc>
          <w:tcPr>
            <w:tcW w:w="993" w:type="dxa"/>
            <w:shd w:val="clear" w:color="auto" w:fill="auto"/>
            <w:tcMar>
              <w:top w:w="28" w:type="dxa"/>
              <w:left w:w="57" w:type="dxa"/>
              <w:bottom w:w="28" w:type="dxa"/>
              <w:right w:w="57" w:type="dxa"/>
            </w:tcMar>
          </w:tcPr>
          <w:p w:rsidR="008627A5" w:rsidRPr="008400A3" w:rsidRDefault="008627A5" w:rsidP="002D1696">
            <w:pPr>
              <w:jc w:val="left"/>
              <w:rPr>
                <w:rFonts w:cs="Mangal"/>
                <w:sz w:val="16"/>
                <w:szCs w:val="26"/>
                <w:lang w:bidi="ne-NP"/>
              </w:rPr>
            </w:pPr>
            <w:r w:rsidRPr="004A5B6E">
              <w:rPr>
                <w:rFonts w:cs="Mangal"/>
                <w:sz w:val="16"/>
                <w:szCs w:val="26"/>
                <w:lang w:bidi="ne-NP"/>
              </w:rPr>
              <w:t>Fecha</w:t>
            </w:r>
          </w:p>
        </w:tc>
        <w:tc>
          <w:tcPr>
            <w:tcW w:w="992" w:type="dxa"/>
            <w:shd w:val="clear" w:color="auto" w:fill="auto"/>
            <w:tcMar>
              <w:top w:w="28" w:type="dxa"/>
              <w:left w:w="57" w:type="dxa"/>
              <w:bottom w:w="28" w:type="dxa"/>
              <w:right w:w="57" w:type="dxa"/>
            </w:tcMar>
          </w:tcPr>
          <w:p w:rsidR="008627A5" w:rsidRPr="008400A3" w:rsidRDefault="008627A5" w:rsidP="002D1696">
            <w:pPr>
              <w:jc w:val="left"/>
              <w:rPr>
                <w:rFonts w:cs="Mangal"/>
                <w:sz w:val="16"/>
                <w:szCs w:val="26"/>
                <w:lang w:bidi="ne-NP"/>
              </w:rPr>
            </w:pPr>
            <w:r w:rsidRPr="004A5B6E">
              <w:rPr>
                <w:rFonts w:cs="Mangal"/>
                <w:sz w:val="16"/>
                <w:szCs w:val="26"/>
                <w:lang w:bidi="ne-NP"/>
              </w:rPr>
              <w:t>Lugar</w:t>
            </w:r>
          </w:p>
        </w:tc>
        <w:tc>
          <w:tcPr>
            <w:tcW w:w="1276" w:type="dxa"/>
            <w:shd w:val="clear" w:color="auto" w:fill="auto"/>
            <w:tcMar>
              <w:top w:w="28" w:type="dxa"/>
              <w:left w:w="57" w:type="dxa"/>
              <w:bottom w:w="28" w:type="dxa"/>
              <w:right w:w="57" w:type="dxa"/>
            </w:tcMar>
          </w:tcPr>
          <w:p w:rsidR="008627A5" w:rsidRPr="008400A3" w:rsidRDefault="008627A5" w:rsidP="002D1696">
            <w:pPr>
              <w:jc w:val="left"/>
              <w:rPr>
                <w:rFonts w:cs="Mangal"/>
                <w:sz w:val="16"/>
                <w:szCs w:val="26"/>
                <w:lang w:bidi="ne-NP"/>
              </w:rPr>
            </w:pPr>
            <w:r w:rsidRPr="004A5B6E">
              <w:rPr>
                <w:rFonts w:cs="Mangal"/>
                <w:sz w:val="16"/>
                <w:szCs w:val="26"/>
                <w:lang w:bidi="ne-NP"/>
              </w:rPr>
              <w:t>Organizador(es)</w:t>
            </w:r>
          </w:p>
        </w:tc>
        <w:tc>
          <w:tcPr>
            <w:tcW w:w="1417" w:type="dxa"/>
            <w:shd w:val="clear" w:color="auto" w:fill="auto"/>
            <w:tcMar>
              <w:top w:w="28" w:type="dxa"/>
              <w:left w:w="57" w:type="dxa"/>
              <w:bottom w:w="28" w:type="dxa"/>
              <w:right w:w="57" w:type="dxa"/>
            </w:tcMar>
          </w:tcPr>
          <w:p w:rsidR="008627A5" w:rsidRPr="008400A3" w:rsidRDefault="008627A5" w:rsidP="002D1696">
            <w:pPr>
              <w:jc w:val="left"/>
              <w:rPr>
                <w:rFonts w:cs="Mangal"/>
                <w:sz w:val="16"/>
                <w:szCs w:val="26"/>
                <w:lang w:bidi="ne-NP"/>
              </w:rPr>
            </w:pPr>
            <w:r w:rsidRPr="004A5B6E">
              <w:rPr>
                <w:rFonts w:cs="Mangal"/>
                <w:sz w:val="16"/>
                <w:szCs w:val="26"/>
                <w:lang w:bidi="ne-NP"/>
              </w:rPr>
              <w:t>Finalidad de la actividad</w:t>
            </w:r>
          </w:p>
        </w:tc>
        <w:tc>
          <w:tcPr>
            <w:tcW w:w="2126" w:type="dxa"/>
            <w:shd w:val="clear" w:color="auto" w:fill="auto"/>
            <w:tcMar>
              <w:top w:w="28" w:type="dxa"/>
              <w:left w:w="57" w:type="dxa"/>
              <w:bottom w:w="28" w:type="dxa"/>
              <w:right w:w="57" w:type="dxa"/>
            </w:tcMar>
          </w:tcPr>
          <w:p w:rsidR="008627A5" w:rsidRPr="00592F7C" w:rsidRDefault="008627A5" w:rsidP="002D1696">
            <w:pPr>
              <w:jc w:val="left"/>
              <w:rPr>
                <w:rFonts w:cs="Mangal"/>
                <w:sz w:val="16"/>
                <w:szCs w:val="26"/>
                <w:lang w:val="es-ES" w:bidi="ne-NP"/>
              </w:rPr>
            </w:pPr>
            <w:r w:rsidRPr="004A5B6E">
              <w:rPr>
                <w:rFonts w:cs="Mangal"/>
                <w:sz w:val="16"/>
                <w:szCs w:val="26"/>
                <w:lang w:bidi="ne-NP"/>
              </w:rPr>
              <w:t>Países/organizaciones participantes (número de participantes en cada caso)</w:t>
            </w:r>
          </w:p>
        </w:tc>
        <w:tc>
          <w:tcPr>
            <w:tcW w:w="1985" w:type="dxa"/>
            <w:shd w:val="clear" w:color="auto" w:fill="auto"/>
            <w:tcMar>
              <w:top w:w="28" w:type="dxa"/>
              <w:left w:w="57" w:type="dxa"/>
              <w:bottom w:w="28" w:type="dxa"/>
              <w:right w:w="57" w:type="dxa"/>
            </w:tcMar>
          </w:tcPr>
          <w:p w:rsidR="008627A5" w:rsidRPr="008400A3" w:rsidRDefault="008627A5" w:rsidP="002D1696">
            <w:pPr>
              <w:jc w:val="left"/>
              <w:rPr>
                <w:rFonts w:cs="Mangal"/>
                <w:sz w:val="16"/>
                <w:szCs w:val="26"/>
                <w:lang w:bidi="ne-NP"/>
              </w:rPr>
            </w:pPr>
            <w:r w:rsidRPr="004A5B6E">
              <w:rPr>
                <w:rFonts w:cs="Mangal"/>
                <w:sz w:val="16"/>
                <w:szCs w:val="26"/>
                <w:lang w:bidi="ne-NP"/>
              </w:rPr>
              <w:t>Observaciones</w:t>
            </w:r>
          </w:p>
        </w:tc>
      </w:tr>
      <w:tr w:rsidR="008627A5" w:rsidRPr="00592F7C" w:rsidTr="002D1696">
        <w:tc>
          <w:tcPr>
            <w:tcW w:w="1242" w:type="dxa"/>
            <w:shd w:val="clear" w:color="auto" w:fill="auto"/>
            <w:tcMar>
              <w:top w:w="28" w:type="dxa"/>
              <w:left w:w="57" w:type="dxa"/>
              <w:bottom w:w="28" w:type="dxa"/>
              <w:right w:w="57" w:type="dxa"/>
            </w:tcMar>
          </w:tcPr>
          <w:p w:rsidR="008627A5" w:rsidRPr="00592F7C" w:rsidRDefault="008627A5" w:rsidP="002D1696">
            <w:pPr>
              <w:jc w:val="left"/>
              <w:rPr>
                <w:rFonts w:cs="Mangal"/>
                <w:sz w:val="16"/>
                <w:szCs w:val="26"/>
                <w:lang w:val="es-ES" w:bidi="ne-NP"/>
              </w:rPr>
            </w:pPr>
            <w:r w:rsidRPr="004A5B6E">
              <w:rPr>
                <w:rFonts w:cs="Mangal"/>
                <w:sz w:val="16"/>
                <w:szCs w:val="26"/>
                <w:lang w:bidi="ne-NP"/>
              </w:rPr>
              <w:t>Serie de la Academia de la CIOPORA</w:t>
            </w:r>
          </w:p>
        </w:tc>
        <w:tc>
          <w:tcPr>
            <w:tcW w:w="993" w:type="dxa"/>
            <w:shd w:val="clear" w:color="auto" w:fill="auto"/>
            <w:tcMar>
              <w:top w:w="28" w:type="dxa"/>
              <w:left w:w="57" w:type="dxa"/>
              <w:bottom w:w="28" w:type="dxa"/>
              <w:right w:w="57" w:type="dxa"/>
            </w:tcMar>
          </w:tcPr>
          <w:p w:rsidR="008627A5" w:rsidRPr="008400A3" w:rsidRDefault="008627A5" w:rsidP="002D1696">
            <w:pPr>
              <w:jc w:val="left"/>
              <w:rPr>
                <w:rFonts w:cs="Mangal"/>
                <w:sz w:val="16"/>
                <w:szCs w:val="26"/>
                <w:lang w:bidi="ne-NP"/>
              </w:rPr>
            </w:pPr>
            <w:r w:rsidRPr="004A5B6E">
              <w:rPr>
                <w:rFonts w:cs="Mangal"/>
                <w:sz w:val="16"/>
                <w:szCs w:val="26"/>
                <w:lang w:bidi="ne-NP"/>
              </w:rPr>
              <w:t>Septiembre de 2020</w:t>
            </w:r>
          </w:p>
        </w:tc>
        <w:tc>
          <w:tcPr>
            <w:tcW w:w="992" w:type="dxa"/>
            <w:shd w:val="clear" w:color="auto" w:fill="auto"/>
            <w:tcMar>
              <w:top w:w="28" w:type="dxa"/>
              <w:left w:w="57" w:type="dxa"/>
              <w:bottom w:w="28" w:type="dxa"/>
              <w:right w:w="57" w:type="dxa"/>
            </w:tcMar>
          </w:tcPr>
          <w:p w:rsidR="008627A5" w:rsidRPr="008400A3" w:rsidRDefault="008627A5" w:rsidP="002D1696">
            <w:pPr>
              <w:jc w:val="left"/>
              <w:rPr>
                <w:rFonts w:cs="Mangal"/>
                <w:sz w:val="16"/>
                <w:szCs w:val="26"/>
                <w:lang w:bidi="ne-NP"/>
              </w:rPr>
            </w:pPr>
            <w:r w:rsidRPr="004A5B6E">
              <w:rPr>
                <w:rFonts w:cs="Mangal"/>
                <w:sz w:val="16"/>
                <w:szCs w:val="26"/>
                <w:lang w:bidi="ne-NP"/>
              </w:rPr>
              <w:t>Seminario web</w:t>
            </w:r>
          </w:p>
        </w:tc>
        <w:tc>
          <w:tcPr>
            <w:tcW w:w="1276" w:type="dxa"/>
            <w:shd w:val="clear" w:color="auto" w:fill="auto"/>
            <w:tcMar>
              <w:top w:w="28" w:type="dxa"/>
              <w:left w:w="57" w:type="dxa"/>
              <w:bottom w:w="28" w:type="dxa"/>
              <w:right w:w="57" w:type="dxa"/>
            </w:tcMar>
          </w:tcPr>
          <w:p w:rsidR="008627A5" w:rsidRPr="008400A3" w:rsidRDefault="008627A5" w:rsidP="002D1696">
            <w:pPr>
              <w:jc w:val="left"/>
              <w:rPr>
                <w:rFonts w:cs="Mangal"/>
                <w:sz w:val="16"/>
                <w:szCs w:val="26"/>
                <w:lang w:bidi="ne-NP"/>
              </w:rPr>
            </w:pPr>
            <w:r w:rsidRPr="004A5B6E">
              <w:rPr>
                <w:rFonts w:cs="Mangal"/>
                <w:sz w:val="16"/>
                <w:szCs w:val="26"/>
                <w:lang w:bidi="ne-NP"/>
              </w:rPr>
              <w:t>CIOPORA</w:t>
            </w:r>
          </w:p>
        </w:tc>
        <w:tc>
          <w:tcPr>
            <w:tcW w:w="1417" w:type="dxa"/>
            <w:shd w:val="clear" w:color="auto" w:fill="auto"/>
            <w:tcMar>
              <w:top w:w="28" w:type="dxa"/>
              <w:left w:w="57" w:type="dxa"/>
              <w:bottom w:w="28" w:type="dxa"/>
              <w:right w:w="57" w:type="dxa"/>
            </w:tcMar>
          </w:tcPr>
          <w:p w:rsidR="008627A5" w:rsidRPr="008400A3" w:rsidRDefault="008627A5" w:rsidP="002D1696">
            <w:pPr>
              <w:jc w:val="left"/>
              <w:rPr>
                <w:rFonts w:cs="Mangal"/>
                <w:sz w:val="16"/>
                <w:szCs w:val="26"/>
                <w:lang w:bidi="ne-NP"/>
              </w:rPr>
            </w:pPr>
            <w:r w:rsidRPr="004A5B6E">
              <w:rPr>
                <w:rFonts w:cs="Mangal"/>
                <w:sz w:val="16"/>
                <w:szCs w:val="26"/>
                <w:lang w:bidi="ne-NP"/>
              </w:rPr>
              <w:t>Formación e información</w:t>
            </w:r>
          </w:p>
        </w:tc>
        <w:tc>
          <w:tcPr>
            <w:tcW w:w="2126" w:type="dxa"/>
            <w:shd w:val="clear" w:color="auto" w:fill="auto"/>
            <w:tcMar>
              <w:top w:w="28" w:type="dxa"/>
              <w:left w:w="57" w:type="dxa"/>
              <w:bottom w:w="28" w:type="dxa"/>
              <w:right w:w="57" w:type="dxa"/>
            </w:tcMar>
          </w:tcPr>
          <w:p w:rsidR="008627A5" w:rsidRPr="008400A3" w:rsidRDefault="008627A5" w:rsidP="002D1696">
            <w:pPr>
              <w:jc w:val="left"/>
              <w:rPr>
                <w:rFonts w:cs="Mangal"/>
                <w:sz w:val="16"/>
                <w:szCs w:val="26"/>
                <w:lang w:val="es-ES" w:bidi="ne-NP"/>
              </w:rPr>
            </w:pPr>
            <w:r w:rsidRPr="004A5B6E">
              <w:rPr>
                <w:rFonts w:cs="Mangal"/>
                <w:sz w:val="16"/>
                <w:szCs w:val="26"/>
                <w:lang w:bidi="ne-NP"/>
              </w:rPr>
              <w:t>CIOPORA</w:t>
            </w:r>
            <w:r w:rsidRPr="008400A3">
              <w:rPr>
                <w:rFonts w:cs="Mangal"/>
                <w:sz w:val="16"/>
                <w:szCs w:val="26"/>
                <w:lang w:val="es-ES" w:bidi="ne-NP"/>
              </w:rPr>
              <w:t xml:space="preserve"> </w:t>
            </w:r>
          </w:p>
        </w:tc>
        <w:tc>
          <w:tcPr>
            <w:tcW w:w="1985" w:type="dxa"/>
            <w:shd w:val="clear" w:color="auto" w:fill="auto"/>
            <w:tcMar>
              <w:top w:w="28" w:type="dxa"/>
              <w:left w:w="57" w:type="dxa"/>
              <w:bottom w:w="28" w:type="dxa"/>
              <w:right w:w="57" w:type="dxa"/>
            </w:tcMar>
          </w:tcPr>
          <w:p w:rsidR="008627A5" w:rsidRPr="00592F7C" w:rsidRDefault="008627A5" w:rsidP="002D1696">
            <w:pPr>
              <w:jc w:val="left"/>
              <w:rPr>
                <w:rFonts w:cs="Mangal"/>
                <w:sz w:val="16"/>
                <w:szCs w:val="26"/>
                <w:lang w:val="es-ES" w:bidi="ne-NP"/>
              </w:rPr>
            </w:pPr>
            <w:r w:rsidRPr="004A5B6E">
              <w:rPr>
                <w:rFonts w:cs="Mangal"/>
                <w:sz w:val="16"/>
                <w:szCs w:val="26"/>
                <w:lang w:bidi="ne-NP"/>
              </w:rPr>
              <w:t>La UPOV, los Países Bajos y Nueva Zelandia aportaron un ponente cada uno</w:t>
            </w:r>
          </w:p>
        </w:tc>
      </w:tr>
    </w:tbl>
    <w:p w:rsidR="008627A5" w:rsidRPr="00592F7C" w:rsidRDefault="008627A5" w:rsidP="008627A5">
      <w:pPr>
        <w:rPr>
          <w:rFonts w:cs="Mangal"/>
          <w:lang w:val="es-ES" w:bidi="ne-NP"/>
        </w:rPr>
      </w:pPr>
    </w:p>
    <w:p w:rsidR="008627A5" w:rsidRPr="00592F7C" w:rsidRDefault="008627A5" w:rsidP="008627A5">
      <w:pPr>
        <w:rPr>
          <w:rFonts w:cs="Mangal"/>
          <w:lang w:val="es-ES" w:bidi="ne-NP"/>
        </w:rPr>
      </w:pPr>
    </w:p>
    <w:p w:rsidR="0078167F" w:rsidRDefault="0078167F" w:rsidP="0078167F">
      <w:pPr>
        <w:jc w:val="left"/>
      </w:pPr>
    </w:p>
    <w:p w:rsidR="0078167F" w:rsidRDefault="00E80B45" w:rsidP="0078167F">
      <w:pPr>
        <w:jc w:val="right"/>
      </w:pPr>
      <w:r>
        <w:t>[Sigue el Anexo</w:t>
      </w:r>
      <w:r w:rsidR="0078167F">
        <w:t xml:space="preserve"> XI</w:t>
      </w:r>
      <w:r>
        <w:t>]</w:t>
      </w:r>
    </w:p>
    <w:p w:rsidR="0078167F" w:rsidRDefault="0078167F" w:rsidP="0078167F"/>
    <w:p w:rsidR="0078167F" w:rsidRDefault="0078167F" w:rsidP="0078167F">
      <w:pPr>
        <w:jc w:val="left"/>
        <w:sectPr w:rsidR="0078167F" w:rsidSect="002D1696">
          <w:headerReference w:type="default" r:id="rId21"/>
          <w:pgSz w:w="11907" w:h="16840" w:code="9"/>
          <w:pgMar w:top="510" w:right="1134" w:bottom="1134" w:left="1134" w:header="510" w:footer="680" w:gutter="0"/>
          <w:pgNumType w:start="1"/>
          <w:cols w:space="720"/>
          <w:titlePg/>
        </w:sectPr>
      </w:pPr>
    </w:p>
    <w:p w:rsidR="0078167F" w:rsidRPr="0075031D" w:rsidRDefault="0078167F" w:rsidP="0078167F">
      <w:pPr>
        <w:jc w:val="center"/>
      </w:pPr>
      <w:r>
        <w:lastRenderedPageBreak/>
        <w:t>C/54/INF/4</w:t>
      </w:r>
    </w:p>
    <w:p w:rsidR="0078167F" w:rsidRPr="0075031D" w:rsidRDefault="0078167F" w:rsidP="0078167F">
      <w:pPr>
        <w:jc w:val="center"/>
      </w:pPr>
    </w:p>
    <w:p w:rsidR="0078167F" w:rsidRPr="00932993" w:rsidRDefault="00E80B45" w:rsidP="0078167F">
      <w:pPr>
        <w:jc w:val="center"/>
        <w:rPr>
          <w:lang w:val="pt-PT"/>
        </w:rPr>
      </w:pPr>
      <w:r w:rsidRPr="00932993">
        <w:rPr>
          <w:lang w:val="pt-PT"/>
        </w:rPr>
        <w:t>ANEXO</w:t>
      </w:r>
      <w:r w:rsidR="0078167F" w:rsidRPr="00932993">
        <w:rPr>
          <w:lang w:val="pt-PT"/>
        </w:rPr>
        <w:t xml:space="preserve"> XI</w:t>
      </w:r>
    </w:p>
    <w:p w:rsidR="0078167F" w:rsidRPr="00932993" w:rsidRDefault="0078167F" w:rsidP="0078167F">
      <w:pPr>
        <w:jc w:val="center"/>
        <w:rPr>
          <w:lang w:val="pt-PT"/>
        </w:rPr>
      </w:pPr>
    </w:p>
    <w:p w:rsidR="0078167F" w:rsidRPr="00932993" w:rsidRDefault="0078167F" w:rsidP="0078167F">
      <w:pPr>
        <w:jc w:val="center"/>
        <w:rPr>
          <w:lang w:val="pt-PT"/>
        </w:rPr>
      </w:pPr>
    </w:p>
    <w:p w:rsidR="002D1696" w:rsidRPr="00932993" w:rsidRDefault="002D1696" w:rsidP="002D1696">
      <w:pPr>
        <w:jc w:val="center"/>
        <w:rPr>
          <w:lang w:val="pt-PT"/>
        </w:rPr>
      </w:pPr>
      <w:r w:rsidRPr="00932993">
        <w:rPr>
          <w:lang w:val="pt-PT"/>
        </w:rPr>
        <w:t>POLONIA</w:t>
      </w:r>
    </w:p>
    <w:p w:rsidR="002D1696" w:rsidRPr="00932993" w:rsidRDefault="002D1696" w:rsidP="002D1696">
      <w:pPr>
        <w:tabs>
          <w:tab w:val="left" w:pos="4962"/>
        </w:tabs>
        <w:jc w:val="center"/>
        <w:rPr>
          <w:rFonts w:cs="Arial"/>
          <w:lang w:val="pt-PT"/>
        </w:rPr>
      </w:pPr>
      <w:r w:rsidRPr="00932993">
        <w:rPr>
          <w:rFonts w:cs="Arial"/>
          <w:lang w:val="pt-PT"/>
        </w:rPr>
        <w:t>Período: 1 de septiembre de 2019 a 31 de agosto de 2020</w:t>
      </w:r>
    </w:p>
    <w:p w:rsidR="002D1696" w:rsidRPr="00932993" w:rsidRDefault="002D1696" w:rsidP="002D1696">
      <w:pPr>
        <w:tabs>
          <w:tab w:val="left" w:pos="4962"/>
        </w:tabs>
        <w:jc w:val="center"/>
        <w:rPr>
          <w:rFonts w:cs="Arial"/>
          <w:lang w:val="pt-PT"/>
        </w:rPr>
      </w:pPr>
    </w:p>
    <w:p w:rsidR="002D1696" w:rsidRPr="00932993" w:rsidRDefault="002D1696" w:rsidP="002D1696">
      <w:pPr>
        <w:tabs>
          <w:tab w:val="left" w:pos="4962"/>
        </w:tabs>
        <w:jc w:val="center"/>
        <w:rPr>
          <w:rFonts w:cs="Arial"/>
          <w:lang w:val="pt-PT"/>
        </w:rPr>
      </w:pPr>
    </w:p>
    <w:p w:rsidR="002D1696" w:rsidRPr="00592F7C" w:rsidRDefault="002D1696" w:rsidP="002D1696">
      <w:pPr>
        <w:rPr>
          <w:lang w:val="es-ES"/>
        </w:rPr>
      </w:pPr>
      <w:r w:rsidRPr="00592F7C">
        <w:rPr>
          <w:lang w:val="es-ES"/>
        </w:rPr>
        <w:t>I.</w:t>
      </w:r>
      <w:r w:rsidRPr="00592F7C">
        <w:rPr>
          <w:lang w:val="es-ES"/>
        </w:rPr>
        <w:tab/>
      </w:r>
      <w:r w:rsidRPr="004A5B6E">
        <w:t>PROTECCIÓN DE LAS OBTENCIONES VEGETALES</w:t>
      </w:r>
    </w:p>
    <w:p w:rsidR="002D1696" w:rsidRPr="00592F7C" w:rsidRDefault="002D1696" w:rsidP="002D1696">
      <w:pPr>
        <w:tabs>
          <w:tab w:val="left" w:pos="4962"/>
        </w:tabs>
        <w:rPr>
          <w:rFonts w:cs="Arial"/>
          <w:u w:val="single"/>
          <w:lang w:val="es-ES"/>
        </w:rPr>
      </w:pPr>
    </w:p>
    <w:p w:rsidR="002D1696" w:rsidRPr="00592F7C" w:rsidRDefault="002D1696" w:rsidP="002D1696">
      <w:pPr>
        <w:tabs>
          <w:tab w:val="left" w:pos="567"/>
          <w:tab w:val="left" w:pos="4962"/>
        </w:tabs>
        <w:rPr>
          <w:rFonts w:cs="Arial"/>
          <w:u w:val="single"/>
          <w:lang w:val="es-ES"/>
        </w:rPr>
      </w:pPr>
      <w:r w:rsidRPr="00592F7C">
        <w:rPr>
          <w:rFonts w:cs="Arial"/>
          <w:lang w:val="es-ES"/>
        </w:rPr>
        <w:t>1.</w:t>
      </w:r>
      <w:r w:rsidRPr="00592F7C">
        <w:rPr>
          <w:rFonts w:cs="Arial"/>
          <w:lang w:val="es-ES"/>
        </w:rPr>
        <w:tab/>
      </w:r>
      <w:r w:rsidRPr="004A5B6E">
        <w:rPr>
          <w:rFonts w:cs="Arial"/>
          <w:u w:val="single"/>
        </w:rPr>
        <w:t>Situación en el ámbito legislativo</w:t>
      </w:r>
    </w:p>
    <w:p w:rsidR="002D1696" w:rsidRPr="00592F7C" w:rsidRDefault="002D1696" w:rsidP="002D1696">
      <w:pPr>
        <w:tabs>
          <w:tab w:val="left" w:pos="4962"/>
        </w:tabs>
        <w:rPr>
          <w:rFonts w:cs="Arial"/>
          <w:lang w:val="es-ES"/>
        </w:rPr>
      </w:pPr>
    </w:p>
    <w:p w:rsidR="002D1696" w:rsidRPr="00592F7C" w:rsidRDefault="002D1696" w:rsidP="002D1696">
      <w:pPr>
        <w:tabs>
          <w:tab w:val="left" w:pos="4962"/>
        </w:tabs>
        <w:rPr>
          <w:rFonts w:cs="Arial"/>
          <w:lang w:val="es-ES"/>
        </w:rPr>
      </w:pPr>
      <w:r w:rsidRPr="001149AF">
        <w:rPr>
          <w:rFonts w:cs="Arial"/>
        </w:rPr>
        <w:t>La Ley de Protección Jurídica de las Obtenciones Vegetales, de 26 de junio de 2003 (texto consolidado: Boletín Oficial de Polonia de 2018, apartado 432; modificado por el Boletín Oficial de 2020, apartado 288), constituye la base jurídica del sistema nacional de protección de los derechos de obtentor en Polonia.</w:t>
      </w:r>
      <w:r w:rsidRPr="00592F7C">
        <w:rPr>
          <w:rFonts w:cs="Arial"/>
          <w:lang w:val="es-ES"/>
        </w:rPr>
        <w:t xml:space="preserve"> </w:t>
      </w:r>
    </w:p>
    <w:p w:rsidR="002D1696" w:rsidRPr="00592F7C" w:rsidRDefault="002D1696" w:rsidP="002D1696">
      <w:pPr>
        <w:tabs>
          <w:tab w:val="left" w:pos="4962"/>
        </w:tabs>
        <w:rPr>
          <w:rFonts w:cs="Arial"/>
          <w:lang w:val="es-ES"/>
        </w:rPr>
      </w:pPr>
    </w:p>
    <w:p w:rsidR="002D1696" w:rsidRPr="00592F7C" w:rsidRDefault="002D1696" w:rsidP="002D1696">
      <w:pPr>
        <w:rPr>
          <w:rFonts w:cs="Arial"/>
          <w:lang w:val="es-ES"/>
        </w:rPr>
      </w:pPr>
      <w:r w:rsidRPr="001149AF">
        <w:rPr>
          <w:rFonts w:cs="Arial"/>
        </w:rPr>
        <w:t>Mediante la Ley de Enmienda de la Ley, el Código Procesal Civil y otras leyes, de 13 de febrero de 2020 (Boletín Oficial de 2020, apartado 288), que entró en vigor el 1 de julio de 2020, se han introducido modificaciones en la legislación que regula los derechos de obtentor en Polonia.</w:t>
      </w:r>
    </w:p>
    <w:p w:rsidR="002D1696" w:rsidRPr="00592F7C" w:rsidRDefault="002D1696" w:rsidP="002D1696">
      <w:pPr>
        <w:rPr>
          <w:rFonts w:cs="Arial"/>
          <w:vanish/>
          <w:lang w:val="es-ES"/>
        </w:rPr>
      </w:pPr>
    </w:p>
    <w:p w:rsidR="002D1696" w:rsidRPr="00592F7C" w:rsidRDefault="002D1696" w:rsidP="002D1696">
      <w:pPr>
        <w:rPr>
          <w:rFonts w:cs="Arial"/>
          <w:lang w:val="es-ES"/>
        </w:rPr>
      </w:pPr>
      <w:r w:rsidRPr="001149AF">
        <w:rPr>
          <w:rFonts w:cs="Arial"/>
        </w:rPr>
        <w:t>Cabe destacar la designación del Tribunal de Distrito de Varsovia como competente en materia de derechos de propiedad intelectual.</w:t>
      </w:r>
      <w:r w:rsidRPr="00592F7C">
        <w:rPr>
          <w:rFonts w:cs="Arial"/>
          <w:lang w:val="es-ES"/>
        </w:rPr>
        <w:t xml:space="preserve"> </w:t>
      </w:r>
    </w:p>
    <w:p w:rsidR="002D1696" w:rsidRPr="00592F7C" w:rsidRDefault="002D1696" w:rsidP="002D1696">
      <w:pPr>
        <w:rPr>
          <w:rFonts w:cs="Arial"/>
          <w:lang w:val="es-ES"/>
        </w:rPr>
      </w:pPr>
    </w:p>
    <w:p w:rsidR="002D1696" w:rsidRPr="00592F7C" w:rsidRDefault="002D1696" w:rsidP="002D1696">
      <w:pPr>
        <w:rPr>
          <w:rFonts w:cs="Arial"/>
          <w:lang w:val="es-ES"/>
        </w:rPr>
      </w:pPr>
      <w:r w:rsidRPr="001149AF">
        <w:rPr>
          <w:rFonts w:cs="Arial"/>
        </w:rPr>
        <w:t>Además, se ha modificado el artículo 36b de la Ley de Protección Jurídica de las Obtenciones Vegetales, de 26 de junio de 2003, relativo a las demandas civiles.</w:t>
      </w:r>
      <w:r w:rsidRPr="00592F7C">
        <w:rPr>
          <w:rFonts w:cs="Arial"/>
          <w:lang w:val="es-ES"/>
        </w:rPr>
        <w:t xml:space="preserve"> </w:t>
      </w:r>
    </w:p>
    <w:p w:rsidR="002D1696" w:rsidRPr="00592F7C" w:rsidRDefault="002D1696" w:rsidP="002D1696">
      <w:pPr>
        <w:tabs>
          <w:tab w:val="left" w:pos="4962"/>
        </w:tabs>
        <w:rPr>
          <w:rFonts w:cs="Arial"/>
          <w:lang w:val="es-ES"/>
        </w:rPr>
      </w:pPr>
    </w:p>
    <w:p w:rsidR="002D1696" w:rsidRPr="00592F7C" w:rsidRDefault="002D1696" w:rsidP="002D1696">
      <w:pPr>
        <w:tabs>
          <w:tab w:val="left" w:pos="4962"/>
        </w:tabs>
        <w:rPr>
          <w:rFonts w:cs="Arial"/>
          <w:lang w:val="es-ES"/>
        </w:rPr>
      </w:pPr>
      <w:r w:rsidRPr="001149AF">
        <w:rPr>
          <w:rFonts w:cs="Arial"/>
        </w:rPr>
        <w:t>La Ley de Protección de las Obtenciones Vegetales de Polonia se basa en el Acta de 1991 del Convenio de la UPOV.</w:t>
      </w:r>
      <w:r w:rsidRPr="00592F7C">
        <w:rPr>
          <w:rFonts w:cs="Arial"/>
          <w:lang w:val="es-ES"/>
        </w:rPr>
        <w:t xml:space="preserve"> </w:t>
      </w:r>
      <w:r w:rsidRPr="001149AF">
        <w:rPr>
          <w:rFonts w:cs="Arial"/>
        </w:rPr>
        <w:t>Desde el 1 de noviembre de 2000, todos los géneros y especies vegetales son susceptibles de protección en Polonia.</w:t>
      </w:r>
    </w:p>
    <w:p w:rsidR="002D1696" w:rsidRPr="00592F7C" w:rsidRDefault="002D1696" w:rsidP="002D1696">
      <w:pPr>
        <w:tabs>
          <w:tab w:val="left" w:pos="4962"/>
        </w:tabs>
        <w:rPr>
          <w:rFonts w:cs="Arial"/>
          <w:lang w:val="es-ES"/>
        </w:rPr>
      </w:pPr>
    </w:p>
    <w:p w:rsidR="002D1696" w:rsidRPr="00592F7C" w:rsidRDefault="002D1696" w:rsidP="002D1696">
      <w:pPr>
        <w:tabs>
          <w:tab w:val="left" w:pos="4962"/>
        </w:tabs>
        <w:rPr>
          <w:rFonts w:cs="Arial"/>
          <w:lang w:val="es-ES"/>
        </w:rPr>
      </w:pPr>
      <w:r w:rsidRPr="001149AF">
        <w:rPr>
          <w:rFonts w:cs="Arial"/>
        </w:rPr>
        <w:t>Las tasas se rigen por el Decreto del Ministro de Agricultura y Desarrollo Rural de 17 de febrero de 2004 sobre las tasas de presentación de las solicitudes de protección del derecho de obtentor, examen DHE y concesión y mantenimiento de los títulos de derechos exclusivos (</w:t>
      </w:r>
      <w:hyperlink r:id="rId22" w:tgtFrame="_blank" w:history="1">
        <w:r w:rsidRPr="001149AF">
          <w:rPr>
            <w:rFonts w:cs="Arial"/>
          </w:rPr>
          <w:t>Boletín Oficial N.º 60 de 2004, apartado 567</w:t>
        </w:r>
      </w:hyperlink>
      <w:r w:rsidRPr="001149AF">
        <w:t xml:space="preserve">; </w:t>
      </w:r>
      <w:hyperlink r:id="rId23" w:tgtFrame="_blank" w:history="1">
        <w:r w:rsidRPr="001149AF">
          <w:rPr>
            <w:rFonts w:cs="Arial"/>
          </w:rPr>
          <w:t>Boletín Oficial de 2015, apartado 2166</w:t>
        </w:r>
      </w:hyperlink>
      <w:r w:rsidRPr="001149AF">
        <w:t>).</w:t>
      </w:r>
    </w:p>
    <w:p w:rsidR="002D1696" w:rsidRPr="00592F7C" w:rsidRDefault="002D1696" w:rsidP="002D1696">
      <w:pPr>
        <w:tabs>
          <w:tab w:val="left" w:pos="4962"/>
        </w:tabs>
        <w:rPr>
          <w:rFonts w:cs="Arial"/>
          <w:lang w:val="es-ES"/>
        </w:rPr>
      </w:pPr>
    </w:p>
    <w:p w:rsidR="002D1696" w:rsidRPr="00592F7C" w:rsidRDefault="002D1696" w:rsidP="002D1696">
      <w:pPr>
        <w:tabs>
          <w:tab w:val="left" w:pos="4962"/>
        </w:tabs>
        <w:rPr>
          <w:rFonts w:cs="Arial"/>
          <w:lang w:val="es-ES"/>
        </w:rPr>
      </w:pPr>
      <w:r w:rsidRPr="00D46BB3">
        <w:rPr>
          <w:rFonts w:cs="Arial"/>
        </w:rPr>
        <w:t>Polonia es miembro de la UPOV desde el 11 de noviembre de 1989 y se adhirió al Acta de 1991 del Convenio de la UPOV, como Estado vigésimo cuarto, el 15 de agosto de 2003.</w:t>
      </w:r>
    </w:p>
    <w:p w:rsidR="002D1696" w:rsidRPr="00592F7C" w:rsidRDefault="002D1696" w:rsidP="002D1696">
      <w:pPr>
        <w:tabs>
          <w:tab w:val="left" w:pos="4962"/>
        </w:tabs>
        <w:rPr>
          <w:rFonts w:cs="Arial"/>
          <w:lang w:val="es-ES"/>
        </w:rPr>
      </w:pPr>
    </w:p>
    <w:p w:rsidR="002D1696" w:rsidRPr="00592F7C" w:rsidRDefault="002D1696" w:rsidP="002D1696">
      <w:pPr>
        <w:tabs>
          <w:tab w:val="left" w:pos="4962"/>
        </w:tabs>
        <w:rPr>
          <w:rFonts w:cs="Arial"/>
          <w:lang w:val="es-ES"/>
        </w:rPr>
      </w:pPr>
    </w:p>
    <w:p w:rsidR="002D1696" w:rsidRPr="00592F7C" w:rsidRDefault="002D1696" w:rsidP="002D1696">
      <w:pPr>
        <w:tabs>
          <w:tab w:val="left" w:pos="567"/>
          <w:tab w:val="left" w:pos="4962"/>
        </w:tabs>
        <w:rPr>
          <w:rFonts w:cs="Arial"/>
          <w:u w:val="single"/>
          <w:lang w:val="es-ES"/>
        </w:rPr>
      </w:pPr>
      <w:r w:rsidRPr="00592F7C">
        <w:rPr>
          <w:rFonts w:cs="Arial"/>
          <w:lang w:val="es-ES"/>
        </w:rPr>
        <w:t>2.</w:t>
      </w:r>
      <w:r w:rsidRPr="00592F7C">
        <w:rPr>
          <w:rFonts w:cs="Arial"/>
          <w:lang w:val="es-ES"/>
        </w:rPr>
        <w:tab/>
      </w:r>
      <w:r w:rsidRPr="00D46BB3">
        <w:rPr>
          <w:rFonts w:cs="Arial"/>
          <w:u w:val="single"/>
        </w:rPr>
        <w:t>Cooperación en el examen</w:t>
      </w:r>
    </w:p>
    <w:p w:rsidR="002D1696" w:rsidRPr="00FE0BB4" w:rsidRDefault="002D1696" w:rsidP="002D1696">
      <w:pPr>
        <w:tabs>
          <w:tab w:val="left" w:pos="4962"/>
        </w:tabs>
        <w:rPr>
          <w:rFonts w:cs="Arial"/>
          <w:lang w:val="es-ES"/>
        </w:rPr>
      </w:pPr>
    </w:p>
    <w:p w:rsidR="002D1696" w:rsidRPr="00592F7C" w:rsidRDefault="002D1696" w:rsidP="002D1696">
      <w:pPr>
        <w:tabs>
          <w:tab w:val="left" w:pos="4962"/>
        </w:tabs>
        <w:rPr>
          <w:rFonts w:cs="Arial"/>
          <w:color w:val="000000"/>
          <w:lang w:val="es-ES"/>
        </w:rPr>
      </w:pPr>
      <w:r w:rsidRPr="00D46BB3">
        <w:rPr>
          <w:rFonts w:cs="Arial"/>
          <w:color w:val="000000"/>
        </w:rPr>
        <w:t xml:space="preserve">El Centro de investigación para el examen de cultivares (COBORU) de </w:t>
      </w:r>
      <w:proofErr w:type="spellStart"/>
      <w:r w:rsidRPr="00D46BB3">
        <w:rPr>
          <w:rFonts w:cs="Arial"/>
          <w:color w:val="000000"/>
        </w:rPr>
        <w:t>Słupia</w:t>
      </w:r>
      <w:proofErr w:type="spellEnd"/>
      <w:r w:rsidRPr="00D46BB3">
        <w:rPr>
          <w:rFonts w:cs="Arial"/>
          <w:color w:val="000000"/>
        </w:rPr>
        <w:t> </w:t>
      </w:r>
      <w:proofErr w:type="spellStart"/>
      <w:r w:rsidRPr="00D46BB3">
        <w:rPr>
          <w:rFonts w:cs="Arial"/>
          <w:color w:val="000000"/>
        </w:rPr>
        <w:t>Wielka</w:t>
      </w:r>
      <w:proofErr w:type="spellEnd"/>
      <w:r w:rsidRPr="00D46BB3">
        <w:rPr>
          <w:rFonts w:cs="Arial"/>
          <w:color w:val="000000"/>
        </w:rPr>
        <w:t xml:space="preserve"> continúa colaborando con diversos países respecto del examen técnico.</w:t>
      </w:r>
    </w:p>
    <w:p w:rsidR="002D1696" w:rsidRPr="00592F7C" w:rsidRDefault="002D1696" w:rsidP="002D1696">
      <w:pPr>
        <w:tabs>
          <w:tab w:val="left" w:pos="4962"/>
        </w:tabs>
        <w:rPr>
          <w:rFonts w:cs="Arial"/>
          <w:lang w:val="es-ES"/>
        </w:rPr>
      </w:pPr>
    </w:p>
    <w:p w:rsidR="002D1696" w:rsidRPr="00592F7C" w:rsidRDefault="002D1696" w:rsidP="002D1696">
      <w:pPr>
        <w:tabs>
          <w:tab w:val="left" w:pos="4962"/>
        </w:tabs>
        <w:rPr>
          <w:rFonts w:cs="Arial"/>
          <w:lang w:val="es-ES"/>
        </w:rPr>
      </w:pPr>
      <w:r w:rsidRPr="00D46BB3">
        <w:rPr>
          <w:rFonts w:cs="Arial"/>
        </w:rPr>
        <w:t>Polonia ha firmado acuerdos bilaterales sobre el examen DHE con Eslovaquia, Hungría y la República Checa.</w:t>
      </w:r>
      <w:r w:rsidRPr="00592F7C">
        <w:rPr>
          <w:rFonts w:cs="Arial"/>
          <w:lang w:val="es-ES"/>
        </w:rPr>
        <w:t xml:space="preserve"> </w:t>
      </w:r>
      <w:r w:rsidRPr="00D46BB3">
        <w:rPr>
          <w:rFonts w:cs="Arial"/>
        </w:rPr>
        <w:t xml:space="preserve">Se hallan en vigor acuerdos unilaterales con </w:t>
      </w:r>
      <w:proofErr w:type="spellStart"/>
      <w:r w:rsidRPr="00D46BB3">
        <w:rPr>
          <w:rFonts w:cs="Arial"/>
        </w:rPr>
        <w:t>Belarús</w:t>
      </w:r>
      <w:proofErr w:type="spellEnd"/>
      <w:r w:rsidRPr="00D46BB3">
        <w:rPr>
          <w:rFonts w:cs="Arial"/>
        </w:rPr>
        <w:t>, Eslovenia, Estonia, la Federación de Rusia, Letonia, Lituania, Rumania y Ucrania.</w:t>
      </w:r>
      <w:r w:rsidRPr="00592F7C">
        <w:rPr>
          <w:rFonts w:cs="Arial"/>
          <w:lang w:val="es-ES"/>
        </w:rPr>
        <w:t xml:space="preserve"> </w:t>
      </w:r>
    </w:p>
    <w:p w:rsidR="002D1696" w:rsidRPr="00FE0BB4" w:rsidRDefault="002D1696" w:rsidP="002D1696">
      <w:pPr>
        <w:tabs>
          <w:tab w:val="left" w:pos="4962"/>
        </w:tabs>
        <w:rPr>
          <w:rFonts w:cs="Arial"/>
          <w:lang w:val="es-ES"/>
        </w:rPr>
      </w:pPr>
    </w:p>
    <w:p w:rsidR="002D1696" w:rsidRPr="00592F7C" w:rsidRDefault="002D1696" w:rsidP="002D1696">
      <w:pPr>
        <w:tabs>
          <w:tab w:val="left" w:pos="4962"/>
        </w:tabs>
        <w:rPr>
          <w:rFonts w:cs="Arial"/>
          <w:lang w:val="es-ES"/>
        </w:rPr>
      </w:pPr>
      <w:r w:rsidRPr="00D46BB3">
        <w:rPr>
          <w:rFonts w:cs="Arial"/>
        </w:rPr>
        <w:t>En el período objeto del informe, Polonia ha llevado a cabo exámenes DHE para las autoridades de los siguientes países:</w:t>
      </w:r>
      <w:r w:rsidRPr="00592F7C">
        <w:rPr>
          <w:rFonts w:cs="Arial"/>
          <w:lang w:val="es-ES"/>
        </w:rPr>
        <w:t xml:space="preserve"> </w:t>
      </w:r>
      <w:r w:rsidRPr="00D46BB3">
        <w:rPr>
          <w:rFonts w:cs="Arial"/>
        </w:rPr>
        <w:t>Austria (1 variedad), Bélgica (1 variedad), Croacia (1 variedad), Dinamarca (1 variedad), Eslovaquia (2 variedades), Eslovenia (2 variedades), Estonia (14 variedades), Hungría (28 variedades), Letonia (6 variedades), Lituania (59 variedades), Países Bajos (1 variedad), República Checa (10 variedades) y Suecia (2 variedades), así como para la OCVV (139 variedades).</w:t>
      </w:r>
    </w:p>
    <w:p w:rsidR="002D1696" w:rsidRPr="00592F7C" w:rsidRDefault="002D1696" w:rsidP="002D1696">
      <w:pPr>
        <w:tabs>
          <w:tab w:val="left" w:pos="4962"/>
        </w:tabs>
        <w:rPr>
          <w:rFonts w:cs="Arial"/>
          <w:lang w:val="es-ES"/>
        </w:rPr>
      </w:pPr>
    </w:p>
    <w:p w:rsidR="002D1696" w:rsidRPr="00592F7C" w:rsidRDefault="002D1696" w:rsidP="002D1696">
      <w:pPr>
        <w:tabs>
          <w:tab w:val="left" w:pos="4962"/>
        </w:tabs>
        <w:rPr>
          <w:rFonts w:cs="Arial"/>
          <w:lang w:val="es-ES"/>
        </w:rPr>
      </w:pPr>
      <w:r w:rsidRPr="00D46BB3">
        <w:rPr>
          <w:rFonts w:cs="Arial"/>
        </w:rPr>
        <w:t>Se examinaron diferentes especies de plantas agrícolas (72 variedades), hortícolas (36 variedades), ornamentales (113 variedades) y frutales (46 variedades).</w:t>
      </w:r>
      <w:r w:rsidRPr="00592F7C">
        <w:rPr>
          <w:rFonts w:cs="Arial"/>
          <w:lang w:val="es-ES"/>
        </w:rPr>
        <w:t xml:space="preserve"> </w:t>
      </w:r>
    </w:p>
    <w:p w:rsidR="002D1696" w:rsidRPr="00592F7C" w:rsidRDefault="002D1696" w:rsidP="002D1696">
      <w:pPr>
        <w:tabs>
          <w:tab w:val="left" w:pos="4962"/>
        </w:tabs>
        <w:rPr>
          <w:rFonts w:cs="Arial"/>
          <w:lang w:val="es-ES"/>
        </w:rPr>
      </w:pPr>
    </w:p>
    <w:p w:rsidR="002D1696" w:rsidRPr="00592F7C" w:rsidRDefault="002D1696" w:rsidP="002D1696">
      <w:pPr>
        <w:tabs>
          <w:tab w:val="left" w:pos="4962"/>
        </w:tabs>
        <w:rPr>
          <w:rFonts w:cs="Arial"/>
          <w:lang w:val="es-ES"/>
        </w:rPr>
      </w:pPr>
      <w:r w:rsidRPr="00D46BB3">
        <w:rPr>
          <w:rFonts w:cs="Arial"/>
        </w:rPr>
        <w:t>En total, se examinaron 267 variedades por encargo de las administraciones mencionadas.</w:t>
      </w:r>
    </w:p>
    <w:p w:rsidR="002D1696" w:rsidRPr="00FE0BB4" w:rsidRDefault="002D1696" w:rsidP="002D1696">
      <w:pPr>
        <w:tabs>
          <w:tab w:val="left" w:pos="4962"/>
        </w:tabs>
        <w:rPr>
          <w:rFonts w:cs="Arial"/>
          <w:lang w:val="es-ES"/>
        </w:rPr>
      </w:pPr>
    </w:p>
    <w:p w:rsidR="002D1696" w:rsidRPr="00592F7C" w:rsidRDefault="002D1696" w:rsidP="002D1696">
      <w:pPr>
        <w:tabs>
          <w:tab w:val="left" w:pos="4962"/>
        </w:tabs>
        <w:rPr>
          <w:rFonts w:cs="Arial"/>
          <w:color w:val="000000"/>
          <w:lang w:val="es-ES"/>
        </w:rPr>
      </w:pPr>
      <w:r w:rsidRPr="008E2438">
        <w:rPr>
          <w:rFonts w:cs="Arial"/>
          <w:color w:val="000000"/>
        </w:rPr>
        <w:t xml:space="preserve">Al igual que en los años anteriores, algunas autoridades —en concreto, </w:t>
      </w:r>
      <w:r w:rsidRPr="008E2438">
        <w:rPr>
          <w:rFonts w:cs="Arial"/>
        </w:rPr>
        <w:t xml:space="preserve">Austria, </w:t>
      </w:r>
      <w:r w:rsidRPr="008E2438">
        <w:rPr>
          <w:rFonts w:cs="Arial"/>
          <w:color w:val="000000"/>
        </w:rPr>
        <w:t xml:space="preserve">Bulgaria, </w:t>
      </w:r>
      <w:r w:rsidRPr="008E2438">
        <w:rPr>
          <w:rFonts w:cs="Arial"/>
        </w:rPr>
        <w:t>Dinamarca, Estonia</w:t>
      </w:r>
      <w:r w:rsidRPr="008E2438">
        <w:rPr>
          <w:rFonts w:cs="Arial"/>
          <w:color w:val="000000"/>
        </w:rPr>
        <w:t xml:space="preserve">, </w:t>
      </w:r>
      <w:r w:rsidRPr="008E2438">
        <w:rPr>
          <w:rFonts w:cs="Arial"/>
        </w:rPr>
        <w:t>la Federación de Rusia</w:t>
      </w:r>
      <w:r w:rsidRPr="008E2438">
        <w:rPr>
          <w:rFonts w:cs="Arial"/>
          <w:color w:val="000000"/>
        </w:rPr>
        <w:t xml:space="preserve">, </w:t>
      </w:r>
      <w:r w:rsidRPr="008E2438">
        <w:rPr>
          <w:rFonts w:cs="Arial"/>
        </w:rPr>
        <w:t>Finlandia</w:t>
      </w:r>
      <w:r w:rsidRPr="008E2438">
        <w:rPr>
          <w:rFonts w:cs="Arial"/>
          <w:color w:val="000000"/>
        </w:rPr>
        <w:t xml:space="preserve">, Francia, el Irán, </w:t>
      </w:r>
      <w:r w:rsidRPr="008E2438">
        <w:rPr>
          <w:rFonts w:cs="Arial"/>
        </w:rPr>
        <w:t>Lituania</w:t>
      </w:r>
      <w:r w:rsidRPr="008E2438">
        <w:rPr>
          <w:rFonts w:cs="Arial"/>
          <w:color w:val="000000"/>
        </w:rPr>
        <w:t>, Noruega, la </w:t>
      </w:r>
      <w:r w:rsidRPr="008E2438">
        <w:rPr>
          <w:rFonts w:cs="Arial"/>
        </w:rPr>
        <w:t>OCVV</w:t>
      </w:r>
      <w:r w:rsidRPr="008E2438">
        <w:rPr>
          <w:rFonts w:cs="Arial"/>
          <w:color w:val="000000"/>
        </w:rPr>
        <w:t>, el </w:t>
      </w:r>
      <w:r w:rsidRPr="008E2438">
        <w:rPr>
          <w:rFonts w:cs="Arial"/>
        </w:rPr>
        <w:t xml:space="preserve">Reino Unido, la República Checa, </w:t>
      </w:r>
      <w:r w:rsidRPr="008E2438">
        <w:rPr>
          <w:rFonts w:cs="Arial"/>
          <w:color w:val="000000"/>
        </w:rPr>
        <w:t>Rumania, Serbia, Suecia y Turquía</w:t>
      </w:r>
      <w:r w:rsidRPr="008E2438">
        <w:rPr>
          <w:rFonts w:cs="Arial"/>
        </w:rPr>
        <w:t xml:space="preserve">— </w:t>
      </w:r>
      <w:r w:rsidRPr="008E2438">
        <w:rPr>
          <w:rFonts w:cs="Arial"/>
          <w:color w:val="000000"/>
        </w:rPr>
        <w:t>basaron las decisiones sobre sus propios procedimientos en los resultados de los exámenes técnicos del COBORU.</w:t>
      </w:r>
    </w:p>
    <w:p w:rsidR="002D1696" w:rsidRPr="00592F7C" w:rsidRDefault="002D1696" w:rsidP="002D1696">
      <w:pPr>
        <w:tabs>
          <w:tab w:val="left" w:pos="4962"/>
        </w:tabs>
        <w:rPr>
          <w:rFonts w:cs="Arial"/>
          <w:lang w:val="es-ES"/>
        </w:rPr>
      </w:pPr>
    </w:p>
    <w:p w:rsidR="002D1696" w:rsidRPr="00592F7C" w:rsidRDefault="002D1696" w:rsidP="002D1696">
      <w:pPr>
        <w:tabs>
          <w:tab w:val="left" w:pos="4962"/>
        </w:tabs>
        <w:rPr>
          <w:rFonts w:cs="Arial"/>
          <w:lang w:val="es-ES"/>
        </w:rPr>
      </w:pPr>
      <w:r w:rsidRPr="008E2438">
        <w:rPr>
          <w:rFonts w:cs="Arial"/>
        </w:rPr>
        <w:lastRenderedPageBreak/>
        <w:t>Polonia participó activamente en la elaboración de los protocolos técnicos durante las reuniones organizadas por la OCVV.</w:t>
      </w:r>
    </w:p>
    <w:p w:rsidR="002D1696" w:rsidRPr="00592F7C" w:rsidRDefault="002D1696" w:rsidP="002D1696">
      <w:pPr>
        <w:tabs>
          <w:tab w:val="left" w:pos="4962"/>
        </w:tabs>
        <w:rPr>
          <w:rFonts w:cs="Arial"/>
          <w:lang w:val="es-ES"/>
        </w:rPr>
      </w:pPr>
    </w:p>
    <w:p w:rsidR="002D1696" w:rsidRPr="00FE0BB4" w:rsidRDefault="002D1696" w:rsidP="002D1696">
      <w:pPr>
        <w:tabs>
          <w:tab w:val="left" w:pos="4962"/>
        </w:tabs>
        <w:rPr>
          <w:rFonts w:cs="Arial"/>
          <w:lang w:val="es-ES"/>
        </w:rPr>
      </w:pPr>
    </w:p>
    <w:p w:rsidR="002D1696" w:rsidRPr="00592F7C" w:rsidRDefault="002D1696" w:rsidP="002D1696">
      <w:pPr>
        <w:tabs>
          <w:tab w:val="left" w:pos="567"/>
        </w:tabs>
        <w:rPr>
          <w:rFonts w:cs="Arial"/>
          <w:u w:val="single"/>
          <w:lang w:val="es-ES"/>
        </w:rPr>
      </w:pPr>
      <w:r w:rsidRPr="00592F7C">
        <w:rPr>
          <w:rFonts w:cs="Arial"/>
          <w:lang w:val="es-ES"/>
        </w:rPr>
        <w:t xml:space="preserve">3. </w:t>
      </w:r>
      <w:r w:rsidRPr="008E2438">
        <w:rPr>
          <w:rFonts w:cs="Arial"/>
        </w:rPr>
        <w:t>y 4.</w:t>
      </w:r>
      <w:r w:rsidRPr="00592F7C">
        <w:rPr>
          <w:rFonts w:cs="Arial"/>
          <w:lang w:val="es-ES"/>
        </w:rPr>
        <w:tab/>
      </w:r>
      <w:r w:rsidRPr="008E2438">
        <w:rPr>
          <w:rFonts w:cs="Arial"/>
          <w:u w:val="single"/>
        </w:rPr>
        <w:t>Situación en los ámbitos administrativo y técnico</w:t>
      </w:r>
    </w:p>
    <w:p w:rsidR="002D1696" w:rsidRPr="00592F7C" w:rsidRDefault="002D1696" w:rsidP="002D1696">
      <w:pPr>
        <w:tabs>
          <w:tab w:val="left" w:pos="567"/>
          <w:tab w:val="left" w:pos="4962"/>
        </w:tabs>
        <w:rPr>
          <w:rFonts w:cs="Arial"/>
          <w:u w:val="single"/>
          <w:lang w:val="es-ES"/>
        </w:rPr>
      </w:pPr>
    </w:p>
    <w:p w:rsidR="002D1696" w:rsidRPr="00592F7C" w:rsidRDefault="002D1696" w:rsidP="002D1696">
      <w:pPr>
        <w:rPr>
          <w:rFonts w:cs="Arial"/>
          <w:lang w:val="es-ES"/>
        </w:rPr>
      </w:pPr>
      <w:r w:rsidRPr="008E2438">
        <w:rPr>
          <w:rFonts w:cs="Arial"/>
        </w:rPr>
        <w:t xml:space="preserve">El COBORU realiza el examen DHE de las variedades en 13 estaciones experimentales destinadas a esa actividad y ubicadas por todo el país y, en el caso de los frutales, también en el Instituto de Investigación de Horticultura de </w:t>
      </w:r>
      <w:proofErr w:type="spellStart"/>
      <w:r w:rsidRPr="008E2438">
        <w:rPr>
          <w:rFonts w:cs="Arial"/>
        </w:rPr>
        <w:t>Skierniewice</w:t>
      </w:r>
      <w:proofErr w:type="spellEnd"/>
      <w:r w:rsidRPr="008E2438">
        <w:rPr>
          <w:rFonts w:cs="Arial"/>
        </w:rPr>
        <w:t>.</w:t>
      </w:r>
    </w:p>
    <w:p w:rsidR="002D1696" w:rsidRPr="00FE0BB4" w:rsidRDefault="002D1696" w:rsidP="002D1696">
      <w:pPr>
        <w:rPr>
          <w:rFonts w:cs="Arial"/>
          <w:lang w:val="es-ES"/>
        </w:rPr>
      </w:pPr>
    </w:p>
    <w:p w:rsidR="002D1696" w:rsidRPr="00592F7C" w:rsidRDefault="002D1696" w:rsidP="002D1696">
      <w:pPr>
        <w:tabs>
          <w:tab w:val="left" w:pos="567"/>
          <w:tab w:val="left" w:pos="4962"/>
        </w:tabs>
        <w:rPr>
          <w:rFonts w:cs="Arial"/>
          <w:lang w:val="es-ES"/>
        </w:rPr>
      </w:pPr>
      <w:r w:rsidRPr="008E2438">
        <w:rPr>
          <w:rFonts w:cs="Arial"/>
        </w:rPr>
        <w:t>En 2019 se examinaron 10.727 variedades de 197 especies vegetales (9.584 variedades de colecciones de referencia vivas y 1.143 variedades candidatas).</w:t>
      </w:r>
      <w:r w:rsidRPr="00592F7C">
        <w:rPr>
          <w:rFonts w:cs="Arial"/>
          <w:lang w:val="es-ES"/>
        </w:rPr>
        <w:t xml:space="preserve"> </w:t>
      </w:r>
    </w:p>
    <w:p w:rsidR="002D1696" w:rsidRPr="00592F7C" w:rsidRDefault="002D1696" w:rsidP="002D1696">
      <w:pPr>
        <w:tabs>
          <w:tab w:val="left" w:pos="567"/>
          <w:tab w:val="left" w:pos="4962"/>
        </w:tabs>
        <w:rPr>
          <w:rFonts w:cs="Arial"/>
          <w:lang w:val="es-ES"/>
        </w:rPr>
      </w:pPr>
    </w:p>
    <w:p w:rsidR="002D1696" w:rsidRPr="00592F7C" w:rsidRDefault="002D1696" w:rsidP="002D1696">
      <w:pPr>
        <w:tabs>
          <w:tab w:val="left" w:pos="567"/>
          <w:tab w:val="left" w:pos="4962"/>
        </w:tabs>
        <w:rPr>
          <w:rFonts w:cs="Arial"/>
          <w:lang w:val="es-ES"/>
        </w:rPr>
      </w:pPr>
      <w:r w:rsidRPr="008E2438">
        <w:rPr>
          <w:rFonts w:cs="Arial"/>
        </w:rPr>
        <w:t>En el gráfico siguiente se indica el número de variedades examinadas en Polonia, por tipo de plantas:</w:t>
      </w:r>
    </w:p>
    <w:p w:rsidR="002D1696" w:rsidRPr="00592F7C" w:rsidRDefault="002D1696" w:rsidP="002D1696">
      <w:pPr>
        <w:rPr>
          <w:lang w:val="es-ES"/>
        </w:rPr>
      </w:pPr>
    </w:p>
    <w:p w:rsidR="002D1696" w:rsidRPr="00592F7C" w:rsidRDefault="002D1696" w:rsidP="002D1696">
      <w:pPr>
        <w:pStyle w:val="Heading8"/>
        <w:rPr>
          <w:rFonts w:cs="Arial"/>
          <w:lang w:val="es-ES"/>
        </w:rPr>
      </w:pPr>
      <w:r w:rsidRPr="008E2438">
        <w:rPr>
          <w:rFonts w:cs="Arial"/>
          <w:lang w:val="es-ES_tradnl"/>
        </w:rPr>
        <w:t>Número de variedades sometidas a examen DHE en 2019</w:t>
      </w:r>
    </w:p>
    <w:p w:rsidR="002D1696" w:rsidRDefault="002D1696" w:rsidP="002D1696">
      <w:pPr>
        <w:rPr>
          <w:rFonts w:cs="Arial"/>
          <w:lang w:val="es-ES"/>
        </w:rPr>
      </w:pPr>
    </w:p>
    <w:p w:rsidR="002D1696" w:rsidRPr="00FE0BB4" w:rsidRDefault="00DE1821" w:rsidP="00DE1821">
      <w:pPr>
        <w:jc w:val="center"/>
        <w:rPr>
          <w:rFonts w:cs="Arial"/>
          <w:lang w:val="en-GB"/>
        </w:rPr>
      </w:pPr>
      <w:r w:rsidRPr="00FE0BB4">
        <w:rPr>
          <w:rFonts w:cs="Arial"/>
          <w:noProof/>
          <w:lang w:val="en-US"/>
        </w:rPr>
        <w:drawing>
          <wp:inline distT="0" distB="0" distL="0" distR="0" wp14:anchorId="03953F6A">
            <wp:extent cx="5742940" cy="35179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2940" cy="3517900"/>
                    </a:xfrm>
                    <a:prstGeom prst="rect">
                      <a:avLst/>
                    </a:prstGeom>
                    <a:noFill/>
                  </pic:spPr>
                </pic:pic>
              </a:graphicData>
            </a:graphic>
          </wp:inline>
        </w:drawing>
      </w:r>
    </w:p>
    <w:p w:rsidR="00DE1821" w:rsidRDefault="00DE1821" w:rsidP="002D1696">
      <w:pPr>
        <w:pStyle w:val="BodyText"/>
        <w:rPr>
          <w:rFonts w:cs="Arial"/>
        </w:rPr>
      </w:pPr>
    </w:p>
    <w:p w:rsidR="002D1696" w:rsidRPr="00592F7C" w:rsidRDefault="002D1696" w:rsidP="002D1696">
      <w:pPr>
        <w:pStyle w:val="BodyText"/>
        <w:rPr>
          <w:rFonts w:cs="Arial"/>
          <w:lang w:val="es-ES"/>
        </w:rPr>
      </w:pPr>
      <w:r w:rsidRPr="006F5D55">
        <w:rPr>
          <w:rFonts w:cs="Arial"/>
        </w:rPr>
        <w:t>En 2019, el COBORU recibió 127 solicitudes de protección nacional de derechos de obtentor, lo que supone un aumento de 24 solicitudes respecto al año anterior.</w:t>
      </w:r>
    </w:p>
    <w:p w:rsidR="002D1696" w:rsidRPr="00592F7C" w:rsidRDefault="002D1696" w:rsidP="002D1696">
      <w:pPr>
        <w:pStyle w:val="BodyText"/>
        <w:rPr>
          <w:rFonts w:cs="Arial"/>
          <w:lang w:val="es-ES"/>
        </w:rPr>
      </w:pPr>
    </w:p>
    <w:p w:rsidR="002D1696" w:rsidRPr="00592F7C" w:rsidRDefault="002D1696" w:rsidP="002D1696">
      <w:pPr>
        <w:pStyle w:val="BodyText"/>
        <w:rPr>
          <w:rFonts w:cs="Arial"/>
          <w:lang w:val="es-ES"/>
        </w:rPr>
      </w:pPr>
      <w:r w:rsidRPr="006F5D55">
        <w:rPr>
          <w:rFonts w:cs="Arial"/>
        </w:rPr>
        <w:t>Entre el 1 de enero y el 1 de septiembre de 2020 se presentaron 98 nuevas solicitudes de derechos de obtentor, de las que 76 eran nacionales y 22, de otros países.</w:t>
      </w:r>
      <w:r w:rsidRPr="00592F7C">
        <w:rPr>
          <w:rFonts w:cs="Arial"/>
          <w:lang w:val="es-ES"/>
        </w:rPr>
        <w:t xml:space="preserve"> </w:t>
      </w:r>
      <w:r w:rsidRPr="006F5D55">
        <w:rPr>
          <w:rFonts w:cs="Arial"/>
        </w:rPr>
        <w:t>Es</w:t>
      </w:r>
      <w:r w:rsidR="00B4719E">
        <w:rPr>
          <w:rFonts w:cs="Arial"/>
        </w:rPr>
        <w:t>a cifra supone una reducción de 14 </w:t>
      </w:r>
      <w:r w:rsidRPr="006F5D55">
        <w:rPr>
          <w:rFonts w:cs="Arial"/>
        </w:rPr>
        <w:t>solicitudes en relación con el período correspondiente al informe anterior (112).</w:t>
      </w:r>
    </w:p>
    <w:p w:rsidR="002D1696" w:rsidRPr="00FE0BB4" w:rsidRDefault="002D1696" w:rsidP="002D1696">
      <w:pPr>
        <w:pStyle w:val="BodyText"/>
        <w:rPr>
          <w:rFonts w:cs="Arial"/>
          <w:lang w:val="es-ES"/>
        </w:rPr>
      </w:pPr>
    </w:p>
    <w:p w:rsidR="002D1696" w:rsidRPr="00592F7C" w:rsidRDefault="002D1696" w:rsidP="002D1696">
      <w:pPr>
        <w:pStyle w:val="BodyText"/>
        <w:rPr>
          <w:rFonts w:cs="Arial"/>
          <w:lang w:val="es-ES"/>
        </w:rPr>
      </w:pPr>
      <w:r w:rsidRPr="006F5D55">
        <w:rPr>
          <w:rFonts w:cs="Arial"/>
        </w:rPr>
        <w:t>En 2019, el COBORU otorgó 89 títulos de protección nacional (2 títulos menos que en 2018).</w:t>
      </w:r>
      <w:r w:rsidRPr="00592F7C">
        <w:rPr>
          <w:rFonts w:cs="Arial"/>
          <w:lang w:val="es-ES"/>
        </w:rPr>
        <w:t xml:space="preserve"> </w:t>
      </w:r>
      <w:r w:rsidRPr="006F5D55">
        <w:rPr>
          <w:rFonts w:cs="Arial"/>
        </w:rPr>
        <w:t>Al final de 2018 había 1.231 títulos nacionales de obtentor en vigor, una cifra que supone un aumento de 2 variedades en relación con el año anterior.</w:t>
      </w:r>
      <w:r w:rsidRPr="00592F7C">
        <w:rPr>
          <w:rFonts w:cs="Arial"/>
          <w:lang w:val="es-ES"/>
        </w:rPr>
        <w:t xml:space="preserve"> </w:t>
      </w:r>
    </w:p>
    <w:p w:rsidR="002D1696" w:rsidRPr="00592F7C" w:rsidRDefault="002D1696" w:rsidP="002D1696">
      <w:pPr>
        <w:pStyle w:val="BodyText"/>
        <w:rPr>
          <w:rFonts w:cs="Arial"/>
          <w:lang w:val="es-ES"/>
        </w:rPr>
      </w:pPr>
    </w:p>
    <w:p w:rsidR="002D1696" w:rsidRPr="00592F7C" w:rsidRDefault="002D1696" w:rsidP="002D1696">
      <w:pPr>
        <w:pStyle w:val="BodyText"/>
        <w:rPr>
          <w:rFonts w:cs="Arial"/>
          <w:lang w:val="es-ES"/>
        </w:rPr>
      </w:pPr>
      <w:r w:rsidRPr="006F5D55">
        <w:rPr>
          <w:rFonts w:cs="Arial"/>
        </w:rPr>
        <w:t>En el período comprendido entre el 1 de enero y el 1 de septiembre de 2020 se concedieron 90 títulos de protección nacional de derechos de obtentor.</w:t>
      </w:r>
      <w:r w:rsidRPr="00592F7C">
        <w:rPr>
          <w:rFonts w:cs="Arial"/>
          <w:lang w:val="es-ES"/>
        </w:rPr>
        <w:t xml:space="preserve"> </w:t>
      </w:r>
      <w:r w:rsidRPr="006F5D55">
        <w:rPr>
          <w:rFonts w:cs="Arial"/>
        </w:rPr>
        <w:t>A 1 de septiembre de 2020, el número total de variedades protegidas en Polonia es de 1.283.</w:t>
      </w:r>
    </w:p>
    <w:p w:rsidR="002D1696" w:rsidRPr="00FE0BB4" w:rsidRDefault="002D1696" w:rsidP="002D1696">
      <w:pPr>
        <w:pStyle w:val="BodyText"/>
        <w:rPr>
          <w:rFonts w:cs="Arial"/>
          <w:lang w:val="es-ES"/>
        </w:rPr>
      </w:pPr>
    </w:p>
    <w:p w:rsidR="002D1696" w:rsidRPr="00592F7C" w:rsidRDefault="002D1696" w:rsidP="002D1696">
      <w:pPr>
        <w:pStyle w:val="BodyText"/>
        <w:rPr>
          <w:rFonts w:cs="Arial"/>
          <w:lang w:val="es-ES"/>
        </w:rPr>
      </w:pPr>
      <w:r w:rsidRPr="006F5D55">
        <w:rPr>
          <w:rFonts w:cs="Arial"/>
        </w:rPr>
        <w:t>En el cuadro siguiente se ofrecen datos estadísticos pormenorizados.</w:t>
      </w:r>
    </w:p>
    <w:p w:rsidR="002D1696" w:rsidRPr="00592F7C" w:rsidRDefault="002D1696" w:rsidP="002D1696">
      <w:pPr>
        <w:pStyle w:val="BodyText2"/>
        <w:jc w:val="both"/>
        <w:rPr>
          <w:rFonts w:ascii="Arial" w:hAnsi="Arial" w:cs="Arial"/>
          <w:sz w:val="20"/>
          <w:lang w:val="es-ES"/>
        </w:rPr>
      </w:pPr>
    </w:p>
    <w:p w:rsidR="002D1696" w:rsidRPr="00592F7C" w:rsidRDefault="002D1696" w:rsidP="002D1696">
      <w:pPr>
        <w:pStyle w:val="BodyText2"/>
        <w:jc w:val="both"/>
        <w:rPr>
          <w:rFonts w:ascii="Arial" w:hAnsi="Arial" w:cs="Arial"/>
          <w:sz w:val="20"/>
          <w:lang w:val="es-ES"/>
        </w:rPr>
      </w:pPr>
      <w:r w:rsidRPr="006F5D55">
        <w:rPr>
          <w:rFonts w:ascii="Arial" w:hAnsi="Arial" w:cs="Arial"/>
          <w:sz w:val="20"/>
          <w:lang w:val="es-ES_tradnl"/>
        </w:rPr>
        <w:t>En la columna “Títulos caducados” no figura ninguna variedad cuyo título nacional de obtentor haya vencido durante el período del informe.</w:t>
      </w:r>
    </w:p>
    <w:p w:rsidR="002D1696" w:rsidRPr="00592F7C" w:rsidRDefault="002D1696" w:rsidP="002D1696">
      <w:pPr>
        <w:rPr>
          <w:lang w:val="es-ES"/>
        </w:rPr>
      </w:pPr>
      <w:r w:rsidRPr="00592F7C">
        <w:rPr>
          <w:lang w:val="es-ES"/>
        </w:rPr>
        <w:br w:type="page"/>
      </w:r>
    </w:p>
    <w:tbl>
      <w:tblPr>
        <w:tblW w:w="9631" w:type="dxa"/>
        <w:tblLayout w:type="fixed"/>
        <w:tblCellMar>
          <w:left w:w="70" w:type="dxa"/>
          <w:right w:w="70" w:type="dxa"/>
        </w:tblCellMar>
        <w:tblLook w:val="0000" w:firstRow="0" w:lastRow="0" w:firstColumn="0" w:lastColumn="0" w:noHBand="0" w:noVBand="0"/>
      </w:tblPr>
      <w:tblGrid>
        <w:gridCol w:w="1488"/>
        <w:gridCol w:w="1194"/>
        <w:gridCol w:w="894"/>
        <w:gridCol w:w="747"/>
        <w:gridCol w:w="1199"/>
        <w:gridCol w:w="894"/>
        <w:gridCol w:w="947"/>
        <w:gridCol w:w="1212"/>
        <w:gridCol w:w="1056"/>
      </w:tblGrid>
      <w:tr w:rsidR="002D1696" w:rsidRPr="00A56515" w:rsidTr="002D1696">
        <w:tc>
          <w:tcPr>
            <w:tcW w:w="1488" w:type="dxa"/>
            <w:tcBorders>
              <w:top w:val="single" w:sz="4" w:space="0" w:color="auto"/>
              <w:left w:val="single" w:sz="6" w:space="0" w:color="auto"/>
            </w:tcBorders>
          </w:tcPr>
          <w:p w:rsidR="002D1696" w:rsidRPr="00592F7C" w:rsidRDefault="002D1696" w:rsidP="002D1696">
            <w:pPr>
              <w:jc w:val="center"/>
              <w:rPr>
                <w:rFonts w:cs="Arial"/>
                <w:lang w:val="es-ES"/>
              </w:rPr>
            </w:pPr>
          </w:p>
          <w:p w:rsidR="002D1696" w:rsidRPr="00A56515" w:rsidRDefault="002D1696" w:rsidP="002D1696">
            <w:pPr>
              <w:jc w:val="center"/>
              <w:rPr>
                <w:rFonts w:cs="Arial"/>
                <w:lang w:val="en-GB"/>
              </w:rPr>
            </w:pPr>
            <w:r w:rsidRPr="006F5D55">
              <w:rPr>
                <w:rFonts w:cs="Arial"/>
              </w:rPr>
              <w:t>Especies vegetales</w:t>
            </w:r>
          </w:p>
        </w:tc>
        <w:tc>
          <w:tcPr>
            <w:tcW w:w="2835" w:type="dxa"/>
            <w:gridSpan w:val="3"/>
            <w:tcBorders>
              <w:top w:val="single" w:sz="4" w:space="0" w:color="auto"/>
              <w:left w:val="single" w:sz="12" w:space="0" w:color="auto"/>
              <w:right w:val="single" w:sz="12" w:space="0" w:color="auto"/>
            </w:tcBorders>
            <w:vAlign w:val="center"/>
          </w:tcPr>
          <w:p w:rsidR="002D1696" w:rsidRPr="00592F7C" w:rsidRDefault="002D1696" w:rsidP="002D1696">
            <w:pPr>
              <w:jc w:val="center"/>
              <w:rPr>
                <w:rFonts w:cs="Arial"/>
                <w:lang w:val="es-ES"/>
              </w:rPr>
            </w:pPr>
            <w:r w:rsidRPr="006F5D55">
              <w:rPr>
                <w:rFonts w:cs="Arial"/>
              </w:rPr>
              <w:t>Solicitudes de derechos de obtentor</w:t>
            </w:r>
          </w:p>
          <w:p w:rsidR="002D1696" w:rsidRPr="00592F7C" w:rsidRDefault="002D1696" w:rsidP="002D1696">
            <w:pPr>
              <w:jc w:val="center"/>
              <w:rPr>
                <w:rFonts w:cs="Arial"/>
                <w:lang w:val="es-ES"/>
              </w:rPr>
            </w:pPr>
            <w:r w:rsidRPr="0078099D">
              <w:t>1/1/</w:t>
            </w:r>
            <w:r w:rsidRPr="00592F7C">
              <w:rPr>
                <w:rFonts w:cs="Arial"/>
                <w:lang w:val="es-ES"/>
              </w:rPr>
              <w:t xml:space="preserve">2020 </w:t>
            </w:r>
            <w:r w:rsidRPr="0078099D">
              <w:t>a 1/9/</w:t>
            </w:r>
            <w:r w:rsidRPr="00592F7C">
              <w:rPr>
                <w:rFonts w:cs="Arial"/>
                <w:lang w:val="es-ES"/>
              </w:rPr>
              <w:t>2020</w:t>
            </w:r>
          </w:p>
        </w:tc>
        <w:tc>
          <w:tcPr>
            <w:tcW w:w="3040" w:type="dxa"/>
            <w:gridSpan w:val="3"/>
            <w:tcBorders>
              <w:top w:val="single" w:sz="4" w:space="0" w:color="auto"/>
              <w:left w:val="nil"/>
              <w:right w:val="single" w:sz="12" w:space="0" w:color="auto"/>
            </w:tcBorders>
            <w:shd w:val="clear" w:color="auto" w:fill="FFFFFF"/>
            <w:vAlign w:val="center"/>
          </w:tcPr>
          <w:p w:rsidR="002D1696" w:rsidRPr="00A56515" w:rsidRDefault="002D1696" w:rsidP="002D1696">
            <w:pPr>
              <w:shd w:val="clear" w:color="auto" w:fill="FFFFFF"/>
              <w:jc w:val="center"/>
              <w:rPr>
                <w:rFonts w:cs="Arial"/>
                <w:lang w:val="en-GB"/>
              </w:rPr>
            </w:pPr>
            <w:r w:rsidRPr="006F5D55">
              <w:rPr>
                <w:rFonts w:cs="Arial"/>
              </w:rPr>
              <w:t>Títulos concedidos</w:t>
            </w:r>
          </w:p>
          <w:p w:rsidR="002D1696" w:rsidRPr="00A56515" w:rsidRDefault="002D1696" w:rsidP="002D1696">
            <w:pPr>
              <w:shd w:val="clear" w:color="auto" w:fill="FFFFFF"/>
              <w:jc w:val="center"/>
              <w:rPr>
                <w:rFonts w:cs="Arial"/>
                <w:lang w:val="en-GB"/>
              </w:rPr>
            </w:pPr>
            <w:r w:rsidRPr="0078099D">
              <w:t>1/1/</w:t>
            </w:r>
            <w:r w:rsidRPr="0078099D">
              <w:rPr>
                <w:rFonts w:cs="Arial"/>
                <w:lang w:val="en-GB"/>
              </w:rPr>
              <w:t xml:space="preserve">2020 </w:t>
            </w:r>
            <w:r w:rsidRPr="0078099D">
              <w:t>a 1/9/</w:t>
            </w:r>
            <w:r w:rsidRPr="0078099D">
              <w:rPr>
                <w:rFonts w:cs="Arial"/>
                <w:lang w:val="en-GB"/>
              </w:rPr>
              <w:t>2020</w:t>
            </w:r>
          </w:p>
        </w:tc>
        <w:tc>
          <w:tcPr>
            <w:tcW w:w="1212" w:type="dxa"/>
            <w:tcBorders>
              <w:top w:val="single" w:sz="4" w:space="0" w:color="auto"/>
              <w:left w:val="nil"/>
              <w:right w:val="single" w:sz="12" w:space="0" w:color="auto"/>
            </w:tcBorders>
            <w:vAlign w:val="center"/>
          </w:tcPr>
          <w:p w:rsidR="002D1696" w:rsidRPr="00A56515" w:rsidRDefault="002D1696" w:rsidP="002D1696">
            <w:pPr>
              <w:jc w:val="center"/>
              <w:rPr>
                <w:rFonts w:cs="Arial"/>
                <w:lang w:val="en-GB"/>
              </w:rPr>
            </w:pPr>
            <w:r w:rsidRPr="006F5D55">
              <w:rPr>
                <w:rFonts w:cs="Arial"/>
              </w:rPr>
              <w:t>Títulos caducados</w:t>
            </w:r>
          </w:p>
        </w:tc>
        <w:tc>
          <w:tcPr>
            <w:tcW w:w="1056" w:type="dxa"/>
            <w:tcBorders>
              <w:top w:val="single" w:sz="4" w:space="0" w:color="auto"/>
              <w:left w:val="nil"/>
              <w:right w:val="single" w:sz="6" w:space="0" w:color="auto"/>
            </w:tcBorders>
            <w:shd w:val="clear" w:color="auto" w:fill="FFFFFF"/>
            <w:vAlign w:val="center"/>
          </w:tcPr>
          <w:p w:rsidR="002D1696" w:rsidRPr="00A56515" w:rsidRDefault="002D1696" w:rsidP="002D1696">
            <w:pPr>
              <w:ind w:right="-6"/>
              <w:jc w:val="center"/>
              <w:rPr>
                <w:rFonts w:cs="Arial"/>
                <w:lang w:val="en-GB"/>
              </w:rPr>
            </w:pPr>
            <w:r w:rsidRPr="006F5D55">
              <w:rPr>
                <w:rFonts w:cs="Arial"/>
              </w:rPr>
              <w:t>Títulos en vigor a</w:t>
            </w:r>
            <w:r>
              <w:rPr>
                <w:rFonts w:cs="Arial"/>
              </w:rPr>
              <w:t xml:space="preserve"> </w:t>
            </w:r>
            <w:r w:rsidRPr="006F5D55">
              <w:rPr>
                <w:rFonts w:cs="Arial"/>
              </w:rPr>
              <w:t>1/9/2020</w:t>
            </w:r>
          </w:p>
        </w:tc>
      </w:tr>
      <w:tr w:rsidR="002D1696" w:rsidRPr="00A56515" w:rsidTr="002D1696">
        <w:tc>
          <w:tcPr>
            <w:tcW w:w="1488" w:type="dxa"/>
            <w:tcBorders>
              <w:left w:val="single" w:sz="6" w:space="0" w:color="auto"/>
              <w:right w:val="single" w:sz="12" w:space="0" w:color="auto"/>
            </w:tcBorders>
          </w:tcPr>
          <w:p w:rsidR="002D1696" w:rsidRPr="00A56515" w:rsidRDefault="002D1696" w:rsidP="002D1696">
            <w:pPr>
              <w:rPr>
                <w:rFonts w:cs="Arial"/>
                <w:lang w:val="en-GB"/>
              </w:rPr>
            </w:pPr>
          </w:p>
        </w:tc>
        <w:tc>
          <w:tcPr>
            <w:tcW w:w="1194" w:type="dxa"/>
            <w:tcBorders>
              <w:top w:val="single" w:sz="6" w:space="0" w:color="auto"/>
              <w:left w:val="nil"/>
              <w:right w:val="single" w:sz="6" w:space="0" w:color="auto"/>
            </w:tcBorders>
            <w:vAlign w:val="center"/>
          </w:tcPr>
          <w:p w:rsidR="002D1696" w:rsidRPr="00A56515" w:rsidRDefault="002D1696" w:rsidP="002D1696">
            <w:pPr>
              <w:jc w:val="center"/>
              <w:rPr>
                <w:rFonts w:cs="Arial"/>
                <w:lang w:val="en-GB"/>
              </w:rPr>
            </w:pPr>
            <w:r w:rsidRPr="006F5D55">
              <w:rPr>
                <w:rFonts w:cs="Arial"/>
              </w:rPr>
              <w:t>nacionales</w:t>
            </w:r>
          </w:p>
        </w:tc>
        <w:tc>
          <w:tcPr>
            <w:tcW w:w="894" w:type="dxa"/>
            <w:tcBorders>
              <w:top w:val="single" w:sz="6" w:space="0" w:color="auto"/>
              <w:left w:val="nil"/>
              <w:right w:val="single" w:sz="6" w:space="0" w:color="auto"/>
            </w:tcBorders>
            <w:vAlign w:val="center"/>
          </w:tcPr>
          <w:p w:rsidR="002D1696" w:rsidRPr="00A56515" w:rsidRDefault="002D1696" w:rsidP="002D1696">
            <w:pPr>
              <w:jc w:val="center"/>
              <w:rPr>
                <w:rFonts w:cs="Arial"/>
                <w:lang w:val="en-GB"/>
              </w:rPr>
            </w:pPr>
            <w:r w:rsidRPr="006F5D55">
              <w:rPr>
                <w:rFonts w:cs="Arial"/>
              </w:rPr>
              <w:t>otros países</w:t>
            </w:r>
          </w:p>
        </w:tc>
        <w:tc>
          <w:tcPr>
            <w:tcW w:w="747" w:type="dxa"/>
            <w:tcBorders>
              <w:top w:val="single" w:sz="6" w:space="0" w:color="auto"/>
              <w:left w:val="nil"/>
              <w:right w:val="single" w:sz="12" w:space="0" w:color="auto"/>
            </w:tcBorders>
            <w:vAlign w:val="center"/>
          </w:tcPr>
          <w:p w:rsidR="002D1696" w:rsidRPr="00A56515" w:rsidRDefault="002D1696" w:rsidP="002D1696">
            <w:pPr>
              <w:jc w:val="center"/>
              <w:rPr>
                <w:rFonts w:cs="Arial"/>
                <w:lang w:val="en-GB"/>
              </w:rPr>
            </w:pPr>
            <w:r w:rsidRPr="006F5D55">
              <w:rPr>
                <w:rFonts w:cs="Arial"/>
              </w:rPr>
              <w:t>total</w:t>
            </w:r>
          </w:p>
        </w:tc>
        <w:tc>
          <w:tcPr>
            <w:tcW w:w="1199" w:type="dxa"/>
            <w:tcBorders>
              <w:top w:val="single" w:sz="6" w:space="0" w:color="auto"/>
              <w:left w:val="nil"/>
              <w:right w:val="single" w:sz="6" w:space="0" w:color="auto"/>
            </w:tcBorders>
            <w:vAlign w:val="center"/>
          </w:tcPr>
          <w:p w:rsidR="002D1696" w:rsidRPr="00A56515" w:rsidRDefault="002D1696" w:rsidP="002D1696">
            <w:pPr>
              <w:jc w:val="center"/>
              <w:rPr>
                <w:rFonts w:cs="Arial"/>
                <w:lang w:val="en-GB"/>
              </w:rPr>
            </w:pPr>
            <w:r w:rsidRPr="006F5D55">
              <w:rPr>
                <w:rFonts w:cs="Arial"/>
              </w:rPr>
              <w:t>nacionales</w:t>
            </w:r>
          </w:p>
        </w:tc>
        <w:tc>
          <w:tcPr>
            <w:tcW w:w="894" w:type="dxa"/>
            <w:tcBorders>
              <w:top w:val="single" w:sz="6" w:space="0" w:color="auto"/>
              <w:left w:val="nil"/>
              <w:right w:val="single" w:sz="6" w:space="0" w:color="auto"/>
            </w:tcBorders>
            <w:vAlign w:val="center"/>
          </w:tcPr>
          <w:p w:rsidR="002D1696" w:rsidRPr="00A56515" w:rsidRDefault="002D1696" w:rsidP="002D1696">
            <w:pPr>
              <w:jc w:val="center"/>
              <w:rPr>
                <w:rFonts w:cs="Arial"/>
                <w:lang w:val="en-GB"/>
              </w:rPr>
            </w:pPr>
            <w:r w:rsidRPr="006F5D55">
              <w:rPr>
                <w:rFonts w:cs="Arial"/>
              </w:rPr>
              <w:t>otros países</w:t>
            </w:r>
          </w:p>
        </w:tc>
        <w:tc>
          <w:tcPr>
            <w:tcW w:w="947" w:type="dxa"/>
            <w:tcBorders>
              <w:top w:val="single" w:sz="6" w:space="0" w:color="auto"/>
              <w:left w:val="nil"/>
              <w:right w:val="single" w:sz="12" w:space="0" w:color="auto"/>
            </w:tcBorders>
            <w:vAlign w:val="center"/>
          </w:tcPr>
          <w:p w:rsidR="002D1696" w:rsidRPr="00A56515" w:rsidRDefault="002D1696" w:rsidP="002D1696">
            <w:pPr>
              <w:jc w:val="center"/>
              <w:rPr>
                <w:rFonts w:cs="Arial"/>
                <w:lang w:val="en-GB"/>
              </w:rPr>
            </w:pPr>
            <w:r w:rsidRPr="006F5D55">
              <w:rPr>
                <w:rFonts w:cs="Arial"/>
              </w:rPr>
              <w:t>total</w:t>
            </w:r>
          </w:p>
        </w:tc>
        <w:tc>
          <w:tcPr>
            <w:tcW w:w="1212" w:type="dxa"/>
            <w:tcBorders>
              <w:left w:val="nil"/>
              <w:right w:val="single" w:sz="12" w:space="0" w:color="auto"/>
            </w:tcBorders>
          </w:tcPr>
          <w:p w:rsidR="002D1696" w:rsidRPr="00A56515" w:rsidRDefault="002D1696" w:rsidP="002D1696">
            <w:pPr>
              <w:jc w:val="center"/>
              <w:rPr>
                <w:rFonts w:cs="Arial"/>
                <w:lang w:val="en-GB"/>
              </w:rPr>
            </w:pPr>
          </w:p>
        </w:tc>
        <w:tc>
          <w:tcPr>
            <w:tcW w:w="1056" w:type="dxa"/>
            <w:tcBorders>
              <w:left w:val="nil"/>
              <w:right w:val="single" w:sz="6" w:space="0" w:color="auto"/>
            </w:tcBorders>
            <w:shd w:val="clear" w:color="auto" w:fill="FFFFFF"/>
          </w:tcPr>
          <w:p w:rsidR="002D1696" w:rsidRPr="00A56515" w:rsidRDefault="002D1696" w:rsidP="002D1696">
            <w:pPr>
              <w:jc w:val="center"/>
              <w:rPr>
                <w:rFonts w:cs="Arial"/>
                <w:lang w:val="en-GB"/>
              </w:rPr>
            </w:pPr>
          </w:p>
        </w:tc>
      </w:tr>
      <w:tr w:rsidR="002D1696" w:rsidRPr="00A56515" w:rsidTr="002D1696">
        <w:tc>
          <w:tcPr>
            <w:tcW w:w="1488" w:type="dxa"/>
            <w:tcBorders>
              <w:top w:val="single" w:sz="12" w:space="0" w:color="auto"/>
              <w:left w:val="single" w:sz="6" w:space="0" w:color="auto"/>
              <w:bottom w:val="single" w:sz="6" w:space="0" w:color="auto"/>
              <w:right w:val="single" w:sz="12" w:space="0" w:color="auto"/>
            </w:tcBorders>
          </w:tcPr>
          <w:p w:rsidR="002D1696" w:rsidRPr="00A56515" w:rsidRDefault="002D1696" w:rsidP="002D1696">
            <w:pPr>
              <w:spacing w:before="120"/>
              <w:jc w:val="center"/>
              <w:rPr>
                <w:rFonts w:cs="Arial"/>
                <w:lang w:val="en-GB"/>
              </w:rPr>
            </w:pPr>
            <w:r w:rsidRPr="006F5D55">
              <w:rPr>
                <w:rFonts w:cs="Arial"/>
              </w:rPr>
              <w:t>Agrícolas</w:t>
            </w:r>
          </w:p>
        </w:tc>
        <w:tc>
          <w:tcPr>
            <w:tcW w:w="1194" w:type="dxa"/>
            <w:tcBorders>
              <w:top w:val="single" w:sz="12" w:space="0" w:color="auto"/>
              <w:left w:val="nil"/>
              <w:bottom w:val="single" w:sz="6" w:space="0" w:color="auto"/>
              <w:right w:val="single" w:sz="6" w:space="0" w:color="auto"/>
            </w:tcBorders>
          </w:tcPr>
          <w:p w:rsidR="002D1696" w:rsidRPr="00A56515" w:rsidRDefault="002D1696" w:rsidP="002D1696">
            <w:pPr>
              <w:spacing w:before="120"/>
              <w:jc w:val="center"/>
              <w:rPr>
                <w:rFonts w:cs="Arial"/>
                <w:lang w:val="en-GB"/>
              </w:rPr>
            </w:pPr>
            <w:r w:rsidRPr="00A56515">
              <w:rPr>
                <w:rFonts w:cs="Arial"/>
                <w:lang w:val="en-GB"/>
              </w:rPr>
              <w:t>43</w:t>
            </w:r>
          </w:p>
        </w:tc>
        <w:tc>
          <w:tcPr>
            <w:tcW w:w="894" w:type="dxa"/>
            <w:tcBorders>
              <w:top w:val="single" w:sz="12" w:space="0" w:color="auto"/>
              <w:left w:val="single" w:sz="6" w:space="0" w:color="auto"/>
              <w:bottom w:val="single" w:sz="6" w:space="0" w:color="auto"/>
              <w:right w:val="single" w:sz="6" w:space="0" w:color="auto"/>
            </w:tcBorders>
          </w:tcPr>
          <w:p w:rsidR="002D1696" w:rsidRPr="00A56515" w:rsidRDefault="002D1696" w:rsidP="002D1696">
            <w:pPr>
              <w:spacing w:before="120"/>
              <w:jc w:val="center"/>
              <w:rPr>
                <w:rFonts w:cs="Arial"/>
                <w:lang w:val="en-GB"/>
              </w:rPr>
            </w:pPr>
            <w:r w:rsidRPr="00A56515">
              <w:rPr>
                <w:rFonts w:cs="Arial"/>
                <w:lang w:val="en-GB"/>
              </w:rPr>
              <w:t>2</w:t>
            </w:r>
          </w:p>
        </w:tc>
        <w:tc>
          <w:tcPr>
            <w:tcW w:w="747" w:type="dxa"/>
            <w:tcBorders>
              <w:top w:val="single" w:sz="12" w:space="0" w:color="auto"/>
              <w:left w:val="single" w:sz="6" w:space="0" w:color="auto"/>
              <w:bottom w:val="single" w:sz="6" w:space="0" w:color="auto"/>
              <w:right w:val="single" w:sz="12" w:space="0" w:color="auto"/>
            </w:tcBorders>
            <w:shd w:val="clear" w:color="auto" w:fill="D9D9D9"/>
          </w:tcPr>
          <w:p w:rsidR="002D1696" w:rsidRPr="00A56515" w:rsidRDefault="002D1696" w:rsidP="002D1696">
            <w:pPr>
              <w:spacing w:before="120"/>
              <w:jc w:val="center"/>
              <w:rPr>
                <w:rFonts w:cs="Arial"/>
                <w:lang w:val="en-GB"/>
              </w:rPr>
            </w:pPr>
            <w:r w:rsidRPr="00A56515">
              <w:rPr>
                <w:rFonts w:cs="Arial"/>
                <w:lang w:val="en-GB"/>
              </w:rPr>
              <w:t>45</w:t>
            </w:r>
          </w:p>
        </w:tc>
        <w:tc>
          <w:tcPr>
            <w:tcW w:w="1199" w:type="dxa"/>
            <w:tcBorders>
              <w:top w:val="single" w:sz="12" w:space="0" w:color="auto"/>
              <w:left w:val="nil"/>
              <w:bottom w:val="single" w:sz="6" w:space="0" w:color="auto"/>
              <w:right w:val="single" w:sz="6" w:space="0" w:color="auto"/>
            </w:tcBorders>
          </w:tcPr>
          <w:p w:rsidR="002D1696" w:rsidRPr="00A56515" w:rsidRDefault="002D1696" w:rsidP="002D1696">
            <w:pPr>
              <w:spacing w:before="120"/>
              <w:jc w:val="center"/>
              <w:rPr>
                <w:rFonts w:cs="Arial"/>
                <w:lang w:val="en-GB"/>
              </w:rPr>
            </w:pPr>
            <w:r w:rsidRPr="00A56515">
              <w:rPr>
                <w:rFonts w:cs="Arial"/>
                <w:lang w:val="en-GB"/>
              </w:rPr>
              <w:t>47</w:t>
            </w:r>
          </w:p>
        </w:tc>
        <w:tc>
          <w:tcPr>
            <w:tcW w:w="894" w:type="dxa"/>
            <w:tcBorders>
              <w:top w:val="single" w:sz="12" w:space="0" w:color="auto"/>
              <w:left w:val="single" w:sz="6" w:space="0" w:color="auto"/>
              <w:bottom w:val="single" w:sz="6" w:space="0" w:color="auto"/>
              <w:right w:val="single" w:sz="6" w:space="0" w:color="auto"/>
            </w:tcBorders>
          </w:tcPr>
          <w:p w:rsidR="002D1696" w:rsidRPr="00A56515" w:rsidRDefault="002D1696" w:rsidP="002D1696">
            <w:pPr>
              <w:spacing w:before="120"/>
              <w:jc w:val="center"/>
              <w:rPr>
                <w:rFonts w:cs="Arial"/>
                <w:lang w:val="en-GB"/>
              </w:rPr>
            </w:pPr>
            <w:r w:rsidRPr="00A56515">
              <w:rPr>
                <w:rFonts w:cs="Arial"/>
                <w:lang w:val="en-GB"/>
              </w:rPr>
              <w:t>2</w:t>
            </w:r>
          </w:p>
        </w:tc>
        <w:tc>
          <w:tcPr>
            <w:tcW w:w="947" w:type="dxa"/>
            <w:tcBorders>
              <w:top w:val="single" w:sz="12" w:space="0" w:color="auto"/>
              <w:left w:val="single" w:sz="6" w:space="0" w:color="auto"/>
              <w:bottom w:val="single" w:sz="6" w:space="0" w:color="auto"/>
              <w:right w:val="single" w:sz="12" w:space="0" w:color="auto"/>
            </w:tcBorders>
            <w:shd w:val="clear" w:color="auto" w:fill="D9D9D9"/>
          </w:tcPr>
          <w:p w:rsidR="002D1696" w:rsidRPr="00A56515" w:rsidRDefault="002D1696" w:rsidP="002D1696">
            <w:pPr>
              <w:spacing w:before="120"/>
              <w:jc w:val="center"/>
              <w:rPr>
                <w:rFonts w:cs="Arial"/>
                <w:lang w:val="en-GB"/>
              </w:rPr>
            </w:pPr>
            <w:r w:rsidRPr="00A56515">
              <w:rPr>
                <w:rFonts w:cs="Arial"/>
                <w:lang w:val="en-GB"/>
              </w:rPr>
              <w:t>49</w:t>
            </w:r>
          </w:p>
        </w:tc>
        <w:tc>
          <w:tcPr>
            <w:tcW w:w="1212" w:type="dxa"/>
            <w:tcBorders>
              <w:top w:val="single" w:sz="12" w:space="0" w:color="auto"/>
              <w:left w:val="nil"/>
              <w:bottom w:val="single" w:sz="6" w:space="0" w:color="auto"/>
              <w:right w:val="single" w:sz="12" w:space="0" w:color="auto"/>
            </w:tcBorders>
          </w:tcPr>
          <w:p w:rsidR="002D1696" w:rsidRPr="00A56515" w:rsidRDefault="002D1696" w:rsidP="002D1696">
            <w:pPr>
              <w:spacing w:before="120"/>
              <w:jc w:val="center"/>
              <w:rPr>
                <w:rFonts w:cs="Arial"/>
                <w:lang w:val="en-GB"/>
              </w:rPr>
            </w:pPr>
            <w:r w:rsidRPr="00A56515">
              <w:rPr>
                <w:rFonts w:cs="Arial"/>
                <w:lang w:val="en-GB"/>
              </w:rPr>
              <w:t>19</w:t>
            </w:r>
          </w:p>
        </w:tc>
        <w:tc>
          <w:tcPr>
            <w:tcW w:w="1056" w:type="dxa"/>
            <w:tcBorders>
              <w:top w:val="single" w:sz="12" w:space="0" w:color="auto"/>
              <w:left w:val="nil"/>
              <w:bottom w:val="single" w:sz="6" w:space="0" w:color="auto"/>
              <w:right w:val="single" w:sz="6" w:space="0" w:color="auto"/>
            </w:tcBorders>
            <w:shd w:val="clear" w:color="auto" w:fill="D9D9D9"/>
          </w:tcPr>
          <w:p w:rsidR="002D1696" w:rsidRPr="00A56515" w:rsidRDefault="002D1696" w:rsidP="002D1696">
            <w:pPr>
              <w:spacing w:before="120"/>
              <w:jc w:val="center"/>
              <w:rPr>
                <w:rFonts w:cs="Arial"/>
                <w:lang w:val="en-GB"/>
              </w:rPr>
            </w:pPr>
            <w:r w:rsidRPr="00A56515">
              <w:rPr>
                <w:rFonts w:cs="Arial"/>
                <w:lang w:val="en-GB"/>
              </w:rPr>
              <w:t>723</w:t>
            </w:r>
          </w:p>
        </w:tc>
      </w:tr>
      <w:tr w:rsidR="002D1696" w:rsidRPr="00A56515" w:rsidTr="002D1696">
        <w:tc>
          <w:tcPr>
            <w:tcW w:w="1488" w:type="dxa"/>
            <w:tcBorders>
              <w:top w:val="single" w:sz="6" w:space="0" w:color="auto"/>
              <w:left w:val="single" w:sz="6" w:space="0" w:color="auto"/>
              <w:bottom w:val="single" w:sz="6" w:space="0" w:color="auto"/>
              <w:right w:val="single" w:sz="12" w:space="0" w:color="auto"/>
            </w:tcBorders>
          </w:tcPr>
          <w:p w:rsidR="002D1696" w:rsidRPr="00A56515" w:rsidRDefault="002D1696" w:rsidP="002D1696">
            <w:pPr>
              <w:spacing w:before="120"/>
              <w:jc w:val="center"/>
              <w:rPr>
                <w:rFonts w:cs="Arial"/>
                <w:lang w:val="en-GB"/>
              </w:rPr>
            </w:pPr>
            <w:r w:rsidRPr="006F5D55">
              <w:rPr>
                <w:rFonts w:cs="Arial"/>
              </w:rPr>
              <w:t>Hortícolas</w:t>
            </w:r>
          </w:p>
        </w:tc>
        <w:tc>
          <w:tcPr>
            <w:tcW w:w="1194" w:type="dxa"/>
            <w:tcBorders>
              <w:top w:val="single" w:sz="6" w:space="0" w:color="auto"/>
              <w:left w:val="nil"/>
              <w:bottom w:val="single" w:sz="6" w:space="0" w:color="auto"/>
              <w:right w:val="single" w:sz="6" w:space="0" w:color="auto"/>
            </w:tcBorders>
          </w:tcPr>
          <w:p w:rsidR="002D1696" w:rsidRPr="00A56515" w:rsidRDefault="002D1696" w:rsidP="002D1696">
            <w:pPr>
              <w:spacing w:before="120"/>
              <w:jc w:val="center"/>
              <w:rPr>
                <w:rFonts w:cs="Arial"/>
                <w:lang w:val="en-GB"/>
              </w:rPr>
            </w:pPr>
            <w:r w:rsidRPr="00A56515">
              <w:rPr>
                <w:rFonts w:cs="Arial"/>
                <w:lang w:val="en-GB"/>
              </w:rPr>
              <w:t>6</w:t>
            </w:r>
          </w:p>
        </w:tc>
        <w:tc>
          <w:tcPr>
            <w:tcW w:w="894" w:type="dxa"/>
            <w:tcBorders>
              <w:top w:val="single" w:sz="6" w:space="0" w:color="auto"/>
              <w:left w:val="single" w:sz="6" w:space="0" w:color="auto"/>
              <w:bottom w:val="single" w:sz="6" w:space="0" w:color="auto"/>
              <w:right w:val="single" w:sz="6" w:space="0" w:color="auto"/>
            </w:tcBorders>
          </w:tcPr>
          <w:p w:rsidR="002D1696" w:rsidRPr="00A56515" w:rsidRDefault="002D1696" w:rsidP="002D1696">
            <w:pPr>
              <w:spacing w:before="120"/>
              <w:jc w:val="center"/>
              <w:rPr>
                <w:rFonts w:cs="Arial"/>
                <w:lang w:val="en-GB"/>
              </w:rPr>
            </w:pPr>
            <w:r w:rsidRPr="00A56515">
              <w:rPr>
                <w:rFonts w:cs="Arial"/>
                <w:lang w:val="en-GB"/>
              </w:rPr>
              <w:t>-</w:t>
            </w:r>
          </w:p>
        </w:tc>
        <w:tc>
          <w:tcPr>
            <w:tcW w:w="747" w:type="dxa"/>
            <w:tcBorders>
              <w:top w:val="single" w:sz="6" w:space="0" w:color="auto"/>
              <w:left w:val="single" w:sz="6" w:space="0" w:color="auto"/>
              <w:bottom w:val="single" w:sz="6" w:space="0" w:color="auto"/>
              <w:right w:val="single" w:sz="12" w:space="0" w:color="auto"/>
            </w:tcBorders>
            <w:shd w:val="clear" w:color="auto" w:fill="D9D9D9"/>
          </w:tcPr>
          <w:p w:rsidR="002D1696" w:rsidRPr="00A56515" w:rsidRDefault="002D1696" w:rsidP="002D1696">
            <w:pPr>
              <w:spacing w:before="120"/>
              <w:jc w:val="center"/>
              <w:rPr>
                <w:rFonts w:cs="Arial"/>
                <w:lang w:val="en-GB"/>
              </w:rPr>
            </w:pPr>
            <w:r w:rsidRPr="00A56515">
              <w:rPr>
                <w:rFonts w:cs="Arial"/>
                <w:lang w:val="en-GB"/>
              </w:rPr>
              <w:t>6</w:t>
            </w:r>
          </w:p>
        </w:tc>
        <w:tc>
          <w:tcPr>
            <w:tcW w:w="1199" w:type="dxa"/>
            <w:tcBorders>
              <w:top w:val="single" w:sz="6" w:space="0" w:color="auto"/>
              <w:left w:val="nil"/>
              <w:bottom w:val="single" w:sz="6" w:space="0" w:color="auto"/>
              <w:right w:val="single" w:sz="6" w:space="0" w:color="auto"/>
            </w:tcBorders>
          </w:tcPr>
          <w:p w:rsidR="002D1696" w:rsidRPr="00A56515" w:rsidRDefault="002D1696" w:rsidP="002D1696">
            <w:pPr>
              <w:spacing w:before="120"/>
              <w:jc w:val="center"/>
              <w:rPr>
                <w:rFonts w:cs="Arial"/>
                <w:lang w:val="en-GB"/>
              </w:rPr>
            </w:pPr>
            <w:r w:rsidRPr="00A56515">
              <w:rPr>
                <w:rFonts w:cs="Arial"/>
                <w:lang w:val="en-GB"/>
              </w:rPr>
              <w:t>6</w:t>
            </w:r>
          </w:p>
        </w:tc>
        <w:tc>
          <w:tcPr>
            <w:tcW w:w="894" w:type="dxa"/>
            <w:tcBorders>
              <w:top w:val="single" w:sz="6" w:space="0" w:color="auto"/>
              <w:left w:val="single" w:sz="6" w:space="0" w:color="auto"/>
              <w:bottom w:val="single" w:sz="6" w:space="0" w:color="auto"/>
              <w:right w:val="single" w:sz="6" w:space="0" w:color="auto"/>
            </w:tcBorders>
          </w:tcPr>
          <w:p w:rsidR="002D1696" w:rsidRPr="00A56515" w:rsidRDefault="002D1696" w:rsidP="002D1696">
            <w:pPr>
              <w:spacing w:before="120"/>
              <w:jc w:val="center"/>
              <w:rPr>
                <w:rFonts w:cs="Arial"/>
                <w:lang w:val="en-GB"/>
              </w:rPr>
            </w:pPr>
            <w:r w:rsidRPr="00A56515">
              <w:rPr>
                <w:rFonts w:cs="Arial"/>
                <w:lang w:val="en-GB"/>
              </w:rPr>
              <w:t>-</w:t>
            </w:r>
          </w:p>
        </w:tc>
        <w:tc>
          <w:tcPr>
            <w:tcW w:w="947" w:type="dxa"/>
            <w:tcBorders>
              <w:top w:val="single" w:sz="6" w:space="0" w:color="auto"/>
              <w:left w:val="single" w:sz="6" w:space="0" w:color="auto"/>
              <w:bottom w:val="single" w:sz="6" w:space="0" w:color="auto"/>
              <w:right w:val="single" w:sz="12" w:space="0" w:color="auto"/>
            </w:tcBorders>
            <w:shd w:val="clear" w:color="auto" w:fill="D9D9D9"/>
          </w:tcPr>
          <w:p w:rsidR="002D1696" w:rsidRPr="00A56515" w:rsidRDefault="002D1696" w:rsidP="002D1696">
            <w:pPr>
              <w:spacing w:before="120"/>
              <w:jc w:val="center"/>
              <w:rPr>
                <w:rFonts w:cs="Arial"/>
                <w:lang w:val="en-GB"/>
              </w:rPr>
            </w:pPr>
            <w:r w:rsidRPr="00A56515">
              <w:rPr>
                <w:rFonts w:cs="Arial"/>
                <w:lang w:val="en-GB"/>
              </w:rPr>
              <w:t>6</w:t>
            </w:r>
          </w:p>
        </w:tc>
        <w:tc>
          <w:tcPr>
            <w:tcW w:w="1212" w:type="dxa"/>
            <w:tcBorders>
              <w:top w:val="single" w:sz="6" w:space="0" w:color="auto"/>
              <w:left w:val="nil"/>
              <w:bottom w:val="single" w:sz="6" w:space="0" w:color="auto"/>
              <w:right w:val="single" w:sz="12" w:space="0" w:color="auto"/>
            </w:tcBorders>
          </w:tcPr>
          <w:p w:rsidR="002D1696" w:rsidRPr="00A56515" w:rsidRDefault="002D1696" w:rsidP="002D1696">
            <w:pPr>
              <w:spacing w:before="120"/>
              <w:jc w:val="center"/>
              <w:rPr>
                <w:rFonts w:cs="Arial"/>
                <w:lang w:val="en-GB"/>
              </w:rPr>
            </w:pPr>
            <w:r w:rsidRPr="00A56515">
              <w:rPr>
                <w:rFonts w:cs="Arial"/>
                <w:lang w:val="en-GB"/>
              </w:rPr>
              <w:t>5</w:t>
            </w:r>
          </w:p>
        </w:tc>
        <w:tc>
          <w:tcPr>
            <w:tcW w:w="1056" w:type="dxa"/>
            <w:tcBorders>
              <w:top w:val="single" w:sz="6" w:space="0" w:color="auto"/>
              <w:left w:val="nil"/>
              <w:bottom w:val="single" w:sz="6" w:space="0" w:color="auto"/>
              <w:right w:val="single" w:sz="6" w:space="0" w:color="auto"/>
            </w:tcBorders>
            <w:shd w:val="clear" w:color="auto" w:fill="D9D9D9"/>
          </w:tcPr>
          <w:p w:rsidR="002D1696" w:rsidRPr="00A56515" w:rsidRDefault="002D1696" w:rsidP="002D1696">
            <w:pPr>
              <w:spacing w:before="120"/>
              <w:jc w:val="center"/>
              <w:rPr>
                <w:rFonts w:cs="Arial"/>
                <w:lang w:val="en-GB"/>
              </w:rPr>
            </w:pPr>
            <w:r w:rsidRPr="00A56515">
              <w:rPr>
                <w:rFonts w:cs="Arial"/>
                <w:lang w:val="en-GB"/>
              </w:rPr>
              <w:t>200</w:t>
            </w:r>
          </w:p>
        </w:tc>
      </w:tr>
      <w:tr w:rsidR="002D1696" w:rsidRPr="00A56515" w:rsidTr="002D1696">
        <w:tc>
          <w:tcPr>
            <w:tcW w:w="1488" w:type="dxa"/>
            <w:tcBorders>
              <w:top w:val="single" w:sz="6" w:space="0" w:color="auto"/>
              <w:left w:val="single" w:sz="6" w:space="0" w:color="auto"/>
              <w:right w:val="single" w:sz="12" w:space="0" w:color="auto"/>
            </w:tcBorders>
          </w:tcPr>
          <w:p w:rsidR="002D1696" w:rsidRPr="00A56515" w:rsidRDefault="002D1696" w:rsidP="002D1696">
            <w:pPr>
              <w:spacing w:before="120"/>
              <w:jc w:val="center"/>
              <w:rPr>
                <w:rFonts w:cs="Arial"/>
                <w:lang w:val="en-GB"/>
              </w:rPr>
            </w:pPr>
            <w:r w:rsidRPr="006F5D55">
              <w:rPr>
                <w:rFonts w:cs="Arial"/>
              </w:rPr>
              <w:t>Ornamentales</w:t>
            </w:r>
          </w:p>
        </w:tc>
        <w:tc>
          <w:tcPr>
            <w:tcW w:w="1194" w:type="dxa"/>
            <w:tcBorders>
              <w:top w:val="single" w:sz="6" w:space="0" w:color="auto"/>
              <w:left w:val="nil"/>
              <w:right w:val="single" w:sz="6" w:space="0" w:color="auto"/>
            </w:tcBorders>
          </w:tcPr>
          <w:p w:rsidR="002D1696" w:rsidRPr="00A56515" w:rsidRDefault="002D1696" w:rsidP="002D1696">
            <w:pPr>
              <w:spacing w:before="120"/>
              <w:jc w:val="center"/>
              <w:rPr>
                <w:rFonts w:cs="Arial"/>
                <w:lang w:val="en-GB"/>
              </w:rPr>
            </w:pPr>
            <w:r w:rsidRPr="00A56515">
              <w:rPr>
                <w:rFonts w:cs="Arial"/>
                <w:lang w:val="en-GB"/>
              </w:rPr>
              <w:t>27</w:t>
            </w:r>
          </w:p>
        </w:tc>
        <w:tc>
          <w:tcPr>
            <w:tcW w:w="894" w:type="dxa"/>
            <w:tcBorders>
              <w:top w:val="single" w:sz="6" w:space="0" w:color="auto"/>
              <w:left w:val="single" w:sz="6" w:space="0" w:color="auto"/>
              <w:right w:val="single" w:sz="6" w:space="0" w:color="auto"/>
            </w:tcBorders>
          </w:tcPr>
          <w:p w:rsidR="002D1696" w:rsidRPr="00A56515" w:rsidRDefault="002D1696" w:rsidP="002D1696">
            <w:pPr>
              <w:spacing w:before="120"/>
              <w:jc w:val="center"/>
              <w:rPr>
                <w:rFonts w:cs="Arial"/>
                <w:lang w:val="en-GB"/>
              </w:rPr>
            </w:pPr>
            <w:r w:rsidRPr="00A56515">
              <w:rPr>
                <w:rFonts w:cs="Arial"/>
                <w:lang w:val="en-GB"/>
              </w:rPr>
              <w:t>20</w:t>
            </w:r>
          </w:p>
        </w:tc>
        <w:tc>
          <w:tcPr>
            <w:tcW w:w="747" w:type="dxa"/>
            <w:tcBorders>
              <w:top w:val="single" w:sz="6" w:space="0" w:color="auto"/>
              <w:left w:val="single" w:sz="6" w:space="0" w:color="auto"/>
              <w:right w:val="single" w:sz="12" w:space="0" w:color="auto"/>
            </w:tcBorders>
            <w:shd w:val="clear" w:color="auto" w:fill="D9D9D9"/>
          </w:tcPr>
          <w:p w:rsidR="002D1696" w:rsidRPr="00A56515" w:rsidRDefault="002D1696" w:rsidP="002D1696">
            <w:pPr>
              <w:spacing w:before="120"/>
              <w:jc w:val="center"/>
              <w:rPr>
                <w:rFonts w:cs="Arial"/>
                <w:lang w:val="en-GB"/>
              </w:rPr>
            </w:pPr>
            <w:r w:rsidRPr="00A56515">
              <w:rPr>
                <w:rFonts w:cs="Arial"/>
                <w:lang w:val="en-GB"/>
              </w:rPr>
              <w:t>47</w:t>
            </w:r>
          </w:p>
        </w:tc>
        <w:tc>
          <w:tcPr>
            <w:tcW w:w="1199" w:type="dxa"/>
            <w:tcBorders>
              <w:top w:val="single" w:sz="6" w:space="0" w:color="auto"/>
              <w:left w:val="nil"/>
              <w:right w:val="single" w:sz="6" w:space="0" w:color="auto"/>
            </w:tcBorders>
          </w:tcPr>
          <w:p w:rsidR="002D1696" w:rsidRPr="00A56515" w:rsidRDefault="002D1696" w:rsidP="002D1696">
            <w:pPr>
              <w:spacing w:before="120"/>
              <w:jc w:val="center"/>
              <w:rPr>
                <w:rFonts w:cs="Arial"/>
                <w:lang w:val="en-GB"/>
              </w:rPr>
            </w:pPr>
            <w:r w:rsidRPr="00A56515">
              <w:rPr>
                <w:rFonts w:cs="Arial"/>
                <w:lang w:val="en-GB"/>
              </w:rPr>
              <w:t>17</w:t>
            </w:r>
          </w:p>
        </w:tc>
        <w:tc>
          <w:tcPr>
            <w:tcW w:w="894" w:type="dxa"/>
            <w:tcBorders>
              <w:top w:val="single" w:sz="6" w:space="0" w:color="auto"/>
              <w:left w:val="single" w:sz="6" w:space="0" w:color="auto"/>
              <w:right w:val="single" w:sz="6" w:space="0" w:color="auto"/>
            </w:tcBorders>
          </w:tcPr>
          <w:p w:rsidR="002D1696" w:rsidRPr="00A56515" w:rsidRDefault="002D1696" w:rsidP="002D1696">
            <w:pPr>
              <w:spacing w:before="120"/>
              <w:jc w:val="center"/>
              <w:rPr>
                <w:rFonts w:cs="Arial"/>
                <w:lang w:val="en-GB"/>
              </w:rPr>
            </w:pPr>
            <w:r w:rsidRPr="00A56515">
              <w:rPr>
                <w:rFonts w:cs="Arial"/>
                <w:lang w:val="en-GB"/>
              </w:rPr>
              <w:t>12</w:t>
            </w:r>
          </w:p>
        </w:tc>
        <w:tc>
          <w:tcPr>
            <w:tcW w:w="947" w:type="dxa"/>
            <w:tcBorders>
              <w:top w:val="single" w:sz="6" w:space="0" w:color="auto"/>
              <w:left w:val="single" w:sz="6" w:space="0" w:color="auto"/>
              <w:right w:val="single" w:sz="12" w:space="0" w:color="auto"/>
            </w:tcBorders>
            <w:shd w:val="clear" w:color="auto" w:fill="D9D9D9"/>
          </w:tcPr>
          <w:p w:rsidR="002D1696" w:rsidRPr="00A56515" w:rsidRDefault="002D1696" w:rsidP="002D1696">
            <w:pPr>
              <w:spacing w:before="120"/>
              <w:jc w:val="center"/>
              <w:rPr>
                <w:rFonts w:cs="Arial"/>
                <w:lang w:val="en-GB"/>
              </w:rPr>
            </w:pPr>
            <w:r w:rsidRPr="00A56515">
              <w:rPr>
                <w:rFonts w:cs="Arial"/>
                <w:lang w:val="en-GB"/>
              </w:rPr>
              <w:t>29</w:t>
            </w:r>
          </w:p>
        </w:tc>
        <w:tc>
          <w:tcPr>
            <w:tcW w:w="1212" w:type="dxa"/>
            <w:tcBorders>
              <w:top w:val="single" w:sz="6" w:space="0" w:color="auto"/>
              <w:left w:val="nil"/>
              <w:right w:val="single" w:sz="12" w:space="0" w:color="auto"/>
            </w:tcBorders>
          </w:tcPr>
          <w:p w:rsidR="002D1696" w:rsidRPr="00A56515" w:rsidRDefault="002D1696" w:rsidP="002D1696">
            <w:pPr>
              <w:spacing w:before="120"/>
              <w:jc w:val="center"/>
              <w:rPr>
                <w:rFonts w:cs="Arial"/>
                <w:lang w:val="en-GB"/>
              </w:rPr>
            </w:pPr>
            <w:r w:rsidRPr="00A56515">
              <w:rPr>
                <w:rFonts w:cs="Arial"/>
                <w:lang w:val="en-GB"/>
              </w:rPr>
              <w:t>8</w:t>
            </w:r>
          </w:p>
        </w:tc>
        <w:tc>
          <w:tcPr>
            <w:tcW w:w="1056" w:type="dxa"/>
            <w:tcBorders>
              <w:top w:val="single" w:sz="6" w:space="0" w:color="auto"/>
              <w:left w:val="nil"/>
              <w:right w:val="single" w:sz="6" w:space="0" w:color="auto"/>
            </w:tcBorders>
            <w:shd w:val="clear" w:color="auto" w:fill="D9D9D9"/>
          </w:tcPr>
          <w:p w:rsidR="002D1696" w:rsidRPr="00A56515" w:rsidRDefault="002D1696" w:rsidP="002D1696">
            <w:pPr>
              <w:spacing w:before="120"/>
              <w:jc w:val="center"/>
              <w:rPr>
                <w:rFonts w:cs="Arial"/>
                <w:lang w:val="en-GB"/>
              </w:rPr>
            </w:pPr>
            <w:r w:rsidRPr="00A56515">
              <w:rPr>
                <w:rFonts w:cs="Arial"/>
                <w:lang w:val="en-GB"/>
              </w:rPr>
              <w:t>247</w:t>
            </w:r>
          </w:p>
        </w:tc>
      </w:tr>
      <w:tr w:rsidR="002D1696" w:rsidRPr="00A56515" w:rsidTr="002D1696">
        <w:tc>
          <w:tcPr>
            <w:tcW w:w="1488" w:type="dxa"/>
            <w:tcBorders>
              <w:top w:val="single" w:sz="6" w:space="0" w:color="auto"/>
              <w:left w:val="single" w:sz="6" w:space="0" w:color="auto"/>
              <w:right w:val="single" w:sz="12" w:space="0" w:color="auto"/>
            </w:tcBorders>
          </w:tcPr>
          <w:p w:rsidR="002D1696" w:rsidRPr="00A56515" w:rsidRDefault="002D1696" w:rsidP="002D1696">
            <w:pPr>
              <w:spacing w:before="120"/>
              <w:jc w:val="center"/>
              <w:rPr>
                <w:rFonts w:cs="Arial"/>
                <w:lang w:val="en-GB"/>
              </w:rPr>
            </w:pPr>
            <w:r w:rsidRPr="006F5D55">
              <w:rPr>
                <w:rFonts w:cs="Arial"/>
              </w:rPr>
              <w:t>Frutales</w:t>
            </w:r>
          </w:p>
        </w:tc>
        <w:tc>
          <w:tcPr>
            <w:tcW w:w="1194" w:type="dxa"/>
            <w:tcBorders>
              <w:top w:val="single" w:sz="6" w:space="0" w:color="auto"/>
              <w:left w:val="nil"/>
              <w:right w:val="single" w:sz="6" w:space="0" w:color="auto"/>
            </w:tcBorders>
          </w:tcPr>
          <w:p w:rsidR="002D1696" w:rsidRPr="00A56515" w:rsidRDefault="002D1696" w:rsidP="002D1696">
            <w:pPr>
              <w:spacing w:before="120"/>
              <w:jc w:val="center"/>
              <w:rPr>
                <w:rFonts w:cs="Arial"/>
                <w:lang w:val="en-GB"/>
              </w:rPr>
            </w:pPr>
            <w:r w:rsidRPr="00A56515">
              <w:rPr>
                <w:rFonts w:cs="Arial"/>
                <w:lang w:val="en-GB"/>
              </w:rPr>
              <w:t>-</w:t>
            </w:r>
          </w:p>
        </w:tc>
        <w:tc>
          <w:tcPr>
            <w:tcW w:w="894" w:type="dxa"/>
            <w:tcBorders>
              <w:top w:val="single" w:sz="6" w:space="0" w:color="auto"/>
              <w:left w:val="single" w:sz="6" w:space="0" w:color="auto"/>
              <w:right w:val="single" w:sz="6" w:space="0" w:color="auto"/>
            </w:tcBorders>
          </w:tcPr>
          <w:p w:rsidR="002D1696" w:rsidRPr="00A56515" w:rsidRDefault="002D1696" w:rsidP="002D1696">
            <w:pPr>
              <w:spacing w:before="120"/>
              <w:jc w:val="center"/>
              <w:rPr>
                <w:rFonts w:cs="Arial"/>
                <w:lang w:val="en-GB"/>
              </w:rPr>
            </w:pPr>
            <w:r w:rsidRPr="00A56515">
              <w:rPr>
                <w:rFonts w:cs="Arial"/>
                <w:lang w:val="en-GB"/>
              </w:rPr>
              <w:t>-</w:t>
            </w:r>
          </w:p>
        </w:tc>
        <w:tc>
          <w:tcPr>
            <w:tcW w:w="747" w:type="dxa"/>
            <w:tcBorders>
              <w:top w:val="single" w:sz="6" w:space="0" w:color="auto"/>
              <w:left w:val="single" w:sz="6" w:space="0" w:color="auto"/>
              <w:right w:val="single" w:sz="12" w:space="0" w:color="auto"/>
            </w:tcBorders>
            <w:shd w:val="clear" w:color="auto" w:fill="D9D9D9"/>
          </w:tcPr>
          <w:p w:rsidR="002D1696" w:rsidRPr="00A56515" w:rsidRDefault="002D1696" w:rsidP="002D1696">
            <w:pPr>
              <w:spacing w:before="120"/>
              <w:jc w:val="center"/>
              <w:rPr>
                <w:rFonts w:cs="Arial"/>
                <w:lang w:val="en-GB"/>
              </w:rPr>
            </w:pPr>
            <w:r w:rsidRPr="00A56515">
              <w:rPr>
                <w:rFonts w:cs="Arial"/>
                <w:lang w:val="en-GB"/>
              </w:rPr>
              <w:t>-</w:t>
            </w:r>
          </w:p>
        </w:tc>
        <w:tc>
          <w:tcPr>
            <w:tcW w:w="1199" w:type="dxa"/>
            <w:tcBorders>
              <w:top w:val="single" w:sz="6" w:space="0" w:color="auto"/>
              <w:left w:val="nil"/>
              <w:right w:val="single" w:sz="6" w:space="0" w:color="auto"/>
            </w:tcBorders>
          </w:tcPr>
          <w:p w:rsidR="002D1696" w:rsidRPr="00A56515" w:rsidRDefault="002D1696" w:rsidP="002D1696">
            <w:pPr>
              <w:pStyle w:val="Footer"/>
              <w:spacing w:before="120"/>
              <w:jc w:val="center"/>
              <w:rPr>
                <w:rFonts w:cs="Arial"/>
                <w:sz w:val="20"/>
                <w:lang w:val="en-GB"/>
              </w:rPr>
            </w:pPr>
            <w:r w:rsidRPr="00A56515">
              <w:rPr>
                <w:rFonts w:cs="Arial"/>
                <w:sz w:val="20"/>
                <w:lang w:val="en-GB"/>
              </w:rPr>
              <w:t>5</w:t>
            </w:r>
          </w:p>
        </w:tc>
        <w:tc>
          <w:tcPr>
            <w:tcW w:w="894" w:type="dxa"/>
            <w:tcBorders>
              <w:top w:val="single" w:sz="6" w:space="0" w:color="auto"/>
              <w:left w:val="single" w:sz="6" w:space="0" w:color="auto"/>
              <w:right w:val="single" w:sz="6" w:space="0" w:color="auto"/>
            </w:tcBorders>
          </w:tcPr>
          <w:p w:rsidR="002D1696" w:rsidRPr="00A56515" w:rsidRDefault="002D1696" w:rsidP="002D1696">
            <w:pPr>
              <w:spacing w:before="120"/>
              <w:jc w:val="center"/>
              <w:rPr>
                <w:rFonts w:cs="Arial"/>
                <w:lang w:val="en-GB"/>
              </w:rPr>
            </w:pPr>
            <w:r w:rsidRPr="00A56515">
              <w:rPr>
                <w:rFonts w:cs="Arial"/>
                <w:lang w:val="en-GB"/>
              </w:rPr>
              <w:t>1</w:t>
            </w:r>
          </w:p>
        </w:tc>
        <w:tc>
          <w:tcPr>
            <w:tcW w:w="947" w:type="dxa"/>
            <w:tcBorders>
              <w:top w:val="single" w:sz="6" w:space="0" w:color="auto"/>
              <w:left w:val="single" w:sz="6" w:space="0" w:color="auto"/>
              <w:right w:val="single" w:sz="12" w:space="0" w:color="auto"/>
            </w:tcBorders>
            <w:shd w:val="clear" w:color="auto" w:fill="D9D9D9"/>
          </w:tcPr>
          <w:p w:rsidR="002D1696" w:rsidRPr="00A56515" w:rsidRDefault="002D1696" w:rsidP="002D1696">
            <w:pPr>
              <w:spacing w:before="120"/>
              <w:jc w:val="center"/>
              <w:rPr>
                <w:rFonts w:cs="Arial"/>
                <w:lang w:val="en-GB"/>
              </w:rPr>
            </w:pPr>
            <w:r w:rsidRPr="00A56515">
              <w:rPr>
                <w:rFonts w:cs="Arial"/>
                <w:lang w:val="en-GB"/>
              </w:rPr>
              <w:t>6</w:t>
            </w:r>
          </w:p>
        </w:tc>
        <w:tc>
          <w:tcPr>
            <w:tcW w:w="1212" w:type="dxa"/>
            <w:tcBorders>
              <w:top w:val="single" w:sz="6" w:space="0" w:color="auto"/>
              <w:left w:val="nil"/>
              <w:right w:val="single" w:sz="12" w:space="0" w:color="auto"/>
            </w:tcBorders>
          </w:tcPr>
          <w:p w:rsidR="002D1696" w:rsidRPr="00A56515" w:rsidRDefault="002D1696" w:rsidP="002D1696">
            <w:pPr>
              <w:spacing w:before="120"/>
              <w:jc w:val="center"/>
              <w:rPr>
                <w:rFonts w:cs="Arial"/>
                <w:lang w:val="en-GB"/>
              </w:rPr>
            </w:pPr>
            <w:r w:rsidRPr="00A56515">
              <w:rPr>
                <w:rFonts w:cs="Arial"/>
                <w:lang w:val="en-GB"/>
              </w:rPr>
              <w:t>6</w:t>
            </w:r>
          </w:p>
        </w:tc>
        <w:tc>
          <w:tcPr>
            <w:tcW w:w="1056" w:type="dxa"/>
            <w:tcBorders>
              <w:top w:val="single" w:sz="6" w:space="0" w:color="auto"/>
              <w:left w:val="nil"/>
              <w:right w:val="single" w:sz="6" w:space="0" w:color="auto"/>
            </w:tcBorders>
            <w:shd w:val="clear" w:color="auto" w:fill="D9D9D9"/>
          </w:tcPr>
          <w:p w:rsidR="002D1696" w:rsidRPr="00A56515" w:rsidRDefault="002D1696" w:rsidP="002D1696">
            <w:pPr>
              <w:spacing w:before="120"/>
              <w:jc w:val="center"/>
              <w:rPr>
                <w:rFonts w:cs="Arial"/>
                <w:lang w:val="en-GB"/>
              </w:rPr>
            </w:pPr>
            <w:r w:rsidRPr="00A56515">
              <w:rPr>
                <w:rFonts w:cs="Arial"/>
                <w:lang w:val="en-GB"/>
              </w:rPr>
              <w:t>113</w:t>
            </w:r>
          </w:p>
        </w:tc>
      </w:tr>
      <w:tr w:rsidR="002D1696" w:rsidRPr="00A56515" w:rsidTr="002D1696">
        <w:tc>
          <w:tcPr>
            <w:tcW w:w="1488" w:type="dxa"/>
            <w:tcBorders>
              <w:top w:val="single" w:sz="12" w:space="0" w:color="auto"/>
              <w:left w:val="single" w:sz="6" w:space="0" w:color="auto"/>
              <w:bottom w:val="single" w:sz="6" w:space="0" w:color="auto"/>
              <w:right w:val="single" w:sz="12" w:space="0" w:color="auto"/>
            </w:tcBorders>
            <w:shd w:val="clear" w:color="auto" w:fill="FFFFFF"/>
          </w:tcPr>
          <w:p w:rsidR="002D1696" w:rsidRPr="00A56515" w:rsidRDefault="002D1696" w:rsidP="002D1696">
            <w:pPr>
              <w:spacing w:before="120"/>
              <w:jc w:val="center"/>
              <w:rPr>
                <w:rFonts w:cs="Arial"/>
                <w:lang w:val="en-GB"/>
              </w:rPr>
            </w:pPr>
            <w:r w:rsidRPr="006F5D55">
              <w:rPr>
                <w:rFonts w:cs="Arial"/>
                <w:b/>
              </w:rPr>
              <w:t>Total</w:t>
            </w:r>
          </w:p>
        </w:tc>
        <w:tc>
          <w:tcPr>
            <w:tcW w:w="1194" w:type="dxa"/>
            <w:tcBorders>
              <w:top w:val="single" w:sz="12" w:space="0" w:color="auto"/>
              <w:left w:val="nil"/>
              <w:bottom w:val="single" w:sz="6" w:space="0" w:color="auto"/>
              <w:right w:val="single" w:sz="6" w:space="0" w:color="auto"/>
            </w:tcBorders>
            <w:shd w:val="clear" w:color="auto" w:fill="D9D9D9"/>
          </w:tcPr>
          <w:p w:rsidR="002D1696" w:rsidRPr="00A56515" w:rsidRDefault="002D1696" w:rsidP="002D1696">
            <w:pPr>
              <w:spacing w:before="120"/>
              <w:jc w:val="center"/>
              <w:rPr>
                <w:rFonts w:cs="Arial"/>
                <w:b/>
                <w:lang w:val="en-GB"/>
              </w:rPr>
            </w:pPr>
            <w:r w:rsidRPr="00A56515">
              <w:rPr>
                <w:rFonts w:cs="Arial"/>
                <w:b/>
                <w:lang w:val="en-GB"/>
              </w:rPr>
              <w:t>76</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2D1696" w:rsidRPr="00A56515" w:rsidRDefault="002D1696" w:rsidP="002D1696">
            <w:pPr>
              <w:spacing w:before="120"/>
              <w:jc w:val="center"/>
              <w:rPr>
                <w:rFonts w:cs="Arial"/>
                <w:b/>
                <w:lang w:val="en-GB"/>
              </w:rPr>
            </w:pPr>
            <w:r w:rsidRPr="00A56515">
              <w:rPr>
                <w:rFonts w:cs="Arial"/>
                <w:b/>
                <w:lang w:val="en-GB"/>
              </w:rPr>
              <w:t>22</w:t>
            </w:r>
          </w:p>
        </w:tc>
        <w:tc>
          <w:tcPr>
            <w:tcW w:w="747" w:type="dxa"/>
            <w:tcBorders>
              <w:top w:val="single" w:sz="12" w:space="0" w:color="auto"/>
              <w:left w:val="single" w:sz="6" w:space="0" w:color="auto"/>
              <w:bottom w:val="single" w:sz="6" w:space="0" w:color="auto"/>
              <w:right w:val="single" w:sz="12" w:space="0" w:color="auto"/>
            </w:tcBorders>
            <w:shd w:val="clear" w:color="auto" w:fill="D9D9D9"/>
          </w:tcPr>
          <w:p w:rsidR="002D1696" w:rsidRPr="00A56515" w:rsidRDefault="002D1696" w:rsidP="002D1696">
            <w:pPr>
              <w:spacing w:before="120"/>
              <w:jc w:val="center"/>
              <w:rPr>
                <w:rFonts w:cs="Arial"/>
                <w:b/>
                <w:lang w:val="en-GB"/>
              </w:rPr>
            </w:pPr>
            <w:r w:rsidRPr="00A56515">
              <w:rPr>
                <w:rFonts w:cs="Arial"/>
                <w:b/>
                <w:lang w:val="en-GB"/>
              </w:rPr>
              <w:t>98</w:t>
            </w:r>
          </w:p>
        </w:tc>
        <w:tc>
          <w:tcPr>
            <w:tcW w:w="1199" w:type="dxa"/>
            <w:tcBorders>
              <w:top w:val="single" w:sz="12" w:space="0" w:color="auto"/>
              <w:left w:val="nil"/>
              <w:bottom w:val="single" w:sz="6" w:space="0" w:color="auto"/>
              <w:right w:val="single" w:sz="6" w:space="0" w:color="auto"/>
            </w:tcBorders>
            <w:shd w:val="clear" w:color="auto" w:fill="D9D9D9"/>
          </w:tcPr>
          <w:p w:rsidR="002D1696" w:rsidRPr="00A56515" w:rsidRDefault="002D1696" w:rsidP="002D1696">
            <w:pPr>
              <w:spacing w:before="120"/>
              <w:jc w:val="center"/>
              <w:rPr>
                <w:rFonts w:cs="Arial"/>
                <w:b/>
                <w:lang w:val="en-GB"/>
              </w:rPr>
            </w:pPr>
            <w:r w:rsidRPr="00A56515">
              <w:rPr>
                <w:rFonts w:cs="Arial"/>
                <w:b/>
                <w:lang w:val="en-GB"/>
              </w:rPr>
              <w:t>75</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2D1696" w:rsidRPr="00A56515" w:rsidRDefault="002D1696" w:rsidP="002D1696">
            <w:pPr>
              <w:spacing w:before="120"/>
              <w:jc w:val="center"/>
              <w:rPr>
                <w:rFonts w:cs="Arial"/>
                <w:b/>
                <w:lang w:val="en-GB"/>
              </w:rPr>
            </w:pPr>
            <w:r w:rsidRPr="00A56515">
              <w:rPr>
                <w:rFonts w:cs="Arial"/>
                <w:b/>
                <w:lang w:val="en-GB"/>
              </w:rPr>
              <w:t>15</w:t>
            </w:r>
          </w:p>
        </w:tc>
        <w:tc>
          <w:tcPr>
            <w:tcW w:w="947" w:type="dxa"/>
            <w:tcBorders>
              <w:top w:val="single" w:sz="12" w:space="0" w:color="auto"/>
              <w:left w:val="single" w:sz="6" w:space="0" w:color="auto"/>
              <w:bottom w:val="single" w:sz="6" w:space="0" w:color="auto"/>
              <w:right w:val="single" w:sz="12" w:space="0" w:color="auto"/>
            </w:tcBorders>
            <w:shd w:val="clear" w:color="auto" w:fill="D9D9D9"/>
          </w:tcPr>
          <w:p w:rsidR="002D1696" w:rsidRPr="00A56515" w:rsidRDefault="002D1696" w:rsidP="002D1696">
            <w:pPr>
              <w:spacing w:before="120"/>
              <w:jc w:val="center"/>
              <w:rPr>
                <w:rFonts w:cs="Arial"/>
                <w:b/>
                <w:lang w:val="en-GB"/>
              </w:rPr>
            </w:pPr>
            <w:r w:rsidRPr="00A56515">
              <w:rPr>
                <w:rFonts w:cs="Arial"/>
                <w:b/>
                <w:lang w:val="en-GB"/>
              </w:rPr>
              <w:t>90</w:t>
            </w:r>
          </w:p>
        </w:tc>
        <w:tc>
          <w:tcPr>
            <w:tcW w:w="1212" w:type="dxa"/>
            <w:tcBorders>
              <w:top w:val="single" w:sz="12" w:space="0" w:color="auto"/>
              <w:left w:val="nil"/>
              <w:bottom w:val="single" w:sz="6" w:space="0" w:color="auto"/>
              <w:right w:val="single" w:sz="12" w:space="0" w:color="auto"/>
            </w:tcBorders>
            <w:shd w:val="clear" w:color="auto" w:fill="D9D9D9"/>
          </w:tcPr>
          <w:p w:rsidR="002D1696" w:rsidRPr="00A56515" w:rsidRDefault="002D1696" w:rsidP="002D1696">
            <w:pPr>
              <w:spacing w:before="120"/>
              <w:jc w:val="center"/>
              <w:rPr>
                <w:rFonts w:cs="Arial"/>
                <w:b/>
                <w:lang w:val="en-GB"/>
              </w:rPr>
            </w:pPr>
            <w:r w:rsidRPr="00A56515">
              <w:rPr>
                <w:rFonts w:cs="Arial"/>
                <w:b/>
                <w:lang w:val="en-GB"/>
              </w:rPr>
              <w:t>38</w:t>
            </w:r>
          </w:p>
        </w:tc>
        <w:tc>
          <w:tcPr>
            <w:tcW w:w="1056" w:type="dxa"/>
            <w:tcBorders>
              <w:top w:val="single" w:sz="12" w:space="0" w:color="auto"/>
              <w:left w:val="nil"/>
              <w:bottom w:val="single" w:sz="6" w:space="0" w:color="auto"/>
              <w:right w:val="single" w:sz="6" w:space="0" w:color="auto"/>
            </w:tcBorders>
            <w:shd w:val="clear" w:color="auto" w:fill="D9D9D9"/>
          </w:tcPr>
          <w:p w:rsidR="002D1696" w:rsidRPr="00A56515" w:rsidRDefault="002D1696" w:rsidP="002D1696">
            <w:pPr>
              <w:spacing w:before="120"/>
              <w:jc w:val="center"/>
              <w:rPr>
                <w:rFonts w:cs="Arial"/>
                <w:b/>
                <w:lang w:val="en-GB"/>
              </w:rPr>
            </w:pPr>
            <w:r w:rsidRPr="00A56515">
              <w:rPr>
                <w:rFonts w:cs="Arial"/>
                <w:b/>
                <w:lang w:val="en-GB"/>
              </w:rPr>
              <w:t>1283</w:t>
            </w:r>
          </w:p>
        </w:tc>
      </w:tr>
    </w:tbl>
    <w:p w:rsidR="002D1696" w:rsidRPr="00A56515" w:rsidRDefault="002D1696" w:rsidP="002D1696">
      <w:pPr>
        <w:tabs>
          <w:tab w:val="left" w:pos="4962"/>
        </w:tabs>
        <w:rPr>
          <w:rFonts w:cs="Arial"/>
          <w:u w:val="single"/>
          <w:lang w:val="en-GB"/>
        </w:rPr>
      </w:pPr>
    </w:p>
    <w:p w:rsidR="002D1696" w:rsidRPr="00A56515" w:rsidRDefault="002D1696" w:rsidP="002D1696">
      <w:pPr>
        <w:tabs>
          <w:tab w:val="left" w:pos="4962"/>
        </w:tabs>
        <w:rPr>
          <w:rFonts w:cs="Arial"/>
          <w:u w:val="single"/>
          <w:lang w:val="en-GB"/>
        </w:rPr>
      </w:pPr>
    </w:p>
    <w:p w:rsidR="002D1696" w:rsidRPr="00592F7C" w:rsidRDefault="002D1696" w:rsidP="002D1696">
      <w:pPr>
        <w:tabs>
          <w:tab w:val="left" w:pos="567"/>
          <w:tab w:val="left" w:pos="4962"/>
        </w:tabs>
        <w:rPr>
          <w:rFonts w:cs="Arial"/>
          <w:u w:val="single"/>
          <w:lang w:val="es-ES"/>
        </w:rPr>
      </w:pPr>
      <w:r w:rsidRPr="00592F7C">
        <w:rPr>
          <w:rFonts w:cs="Arial"/>
          <w:lang w:val="es-ES"/>
        </w:rPr>
        <w:t>5.</w:t>
      </w:r>
      <w:r w:rsidRPr="00592F7C">
        <w:rPr>
          <w:rFonts w:cs="Arial"/>
          <w:lang w:val="es-ES"/>
        </w:rPr>
        <w:tab/>
      </w:r>
      <w:r w:rsidRPr="006F5D55">
        <w:rPr>
          <w:rFonts w:cs="Arial"/>
          <w:u w:val="single"/>
        </w:rPr>
        <w:t>Actividades para la promoción de las variedades vegetales</w:t>
      </w:r>
    </w:p>
    <w:p w:rsidR="002D1696" w:rsidRPr="00592F7C" w:rsidRDefault="002D1696" w:rsidP="002D1696">
      <w:pPr>
        <w:tabs>
          <w:tab w:val="left" w:pos="567"/>
          <w:tab w:val="left" w:pos="4962"/>
        </w:tabs>
        <w:rPr>
          <w:rFonts w:cs="Arial"/>
          <w:u w:val="single"/>
          <w:lang w:val="es-ES"/>
        </w:rPr>
      </w:pPr>
    </w:p>
    <w:p w:rsidR="002D1696" w:rsidRPr="00592F7C" w:rsidRDefault="002D1696" w:rsidP="002D1696">
      <w:pPr>
        <w:pStyle w:val="BodyText"/>
        <w:rPr>
          <w:rFonts w:cs="Arial"/>
          <w:lang w:val="es-ES"/>
        </w:rPr>
      </w:pPr>
      <w:r w:rsidRPr="006F5D55">
        <w:rPr>
          <w:rFonts w:cs="Arial"/>
        </w:rPr>
        <w:t>Los representantes de Polonia participan de manera habitual en las reuniones o sesiones de los órganos de la UPOV y en los Grupos de Trabajo Técnico.</w:t>
      </w:r>
      <w:r w:rsidRPr="00592F7C">
        <w:rPr>
          <w:rFonts w:cs="Arial"/>
          <w:lang w:val="es-ES"/>
        </w:rPr>
        <w:t xml:space="preserve"> </w:t>
      </w:r>
    </w:p>
    <w:p w:rsidR="002D1696" w:rsidRPr="00592F7C" w:rsidRDefault="002D1696" w:rsidP="002D1696">
      <w:pPr>
        <w:pStyle w:val="BodyText"/>
        <w:rPr>
          <w:rFonts w:cs="Arial"/>
          <w:lang w:val="es-ES"/>
        </w:rPr>
      </w:pPr>
    </w:p>
    <w:p w:rsidR="002D1696" w:rsidRPr="00592F7C" w:rsidRDefault="002D1696" w:rsidP="002D1696">
      <w:pPr>
        <w:pStyle w:val="BodyText"/>
        <w:rPr>
          <w:rFonts w:cs="Arial"/>
          <w:lang w:val="es-ES"/>
        </w:rPr>
      </w:pPr>
      <w:r w:rsidRPr="006F5D55">
        <w:rPr>
          <w:rFonts w:cs="Arial"/>
        </w:rPr>
        <w:t>Asimismo, representantes de Polonia participan en las reuniones del Comité Permanente sobre protección comunitaria de las obtenciones vegetales de la Dirección General de Salud y Seguridad Alimentaria de la Comisión Europea (DG SANTE), en Bruselas, y en el Consejo de Administración de la OCVV.</w:t>
      </w:r>
    </w:p>
    <w:p w:rsidR="002D1696" w:rsidRPr="00592F7C" w:rsidRDefault="002D1696" w:rsidP="002D1696">
      <w:pPr>
        <w:tabs>
          <w:tab w:val="left" w:pos="4962"/>
        </w:tabs>
        <w:rPr>
          <w:rFonts w:cs="Arial"/>
          <w:lang w:val="es-ES"/>
        </w:rPr>
      </w:pPr>
    </w:p>
    <w:p w:rsidR="002D1696" w:rsidRPr="00592F7C" w:rsidRDefault="002D1696" w:rsidP="002D1696">
      <w:pPr>
        <w:tabs>
          <w:tab w:val="left" w:pos="4962"/>
        </w:tabs>
        <w:rPr>
          <w:rFonts w:cs="Arial"/>
          <w:lang w:val="es-ES"/>
        </w:rPr>
      </w:pPr>
      <w:r w:rsidRPr="006F5D55">
        <w:rPr>
          <w:rFonts w:cs="Arial"/>
          <w:color w:val="000000"/>
        </w:rPr>
        <w:t>Durante el período objeto del informe, dos expertos del COBORU y un examinador DHE completaron satisfactoriamente el curso de la UPOV de enseñanza a distancia “Introducción al sistema de la UPOV de protección de las variedades vegetales en virtud del Convenio de la UPOV” (DL-205).</w:t>
      </w:r>
    </w:p>
    <w:p w:rsidR="002D1696" w:rsidRPr="00592F7C" w:rsidRDefault="002D1696" w:rsidP="002D1696">
      <w:pPr>
        <w:tabs>
          <w:tab w:val="left" w:pos="4962"/>
        </w:tabs>
        <w:rPr>
          <w:rFonts w:cs="Arial"/>
          <w:lang w:val="es-ES"/>
        </w:rPr>
      </w:pPr>
    </w:p>
    <w:p w:rsidR="002D1696" w:rsidRPr="00592F7C" w:rsidRDefault="002D1696" w:rsidP="002D1696">
      <w:pPr>
        <w:pStyle w:val="BodyText"/>
        <w:tabs>
          <w:tab w:val="left" w:pos="567"/>
        </w:tabs>
        <w:rPr>
          <w:rFonts w:cs="Arial"/>
          <w:i/>
          <w:iCs/>
          <w:lang w:val="es-ES"/>
        </w:rPr>
      </w:pPr>
      <w:r w:rsidRPr="00592F7C">
        <w:rPr>
          <w:rFonts w:cs="Arial"/>
          <w:i/>
          <w:iCs/>
          <w:lang w:val="es-ES"/>
        </w:rPr>
        <w:t>-</w:t>
      </w:r>
      <w:r w:rsidRPr="00592F7C">
        <w:rPr>
          <w:rFonts w:cs="Arial"/>
          <w:i/>
          <w:iCs/>
          <w:lang w:val="es-ES"/>
        </w:rPr>
        <w:tab/>
      </w:r>
      <w:r w:rsidRPr="006F5D55">
        <w:rPr>
          <w:rFonts w:cs="Arial"/>
          <w:i/>
          <w:iCs/>
        </w:rPr>
        <w:t>Publicaciones</w:t>
      </w:r>
    </w:p>
    <w:p w:rsidR="002D1696" w:rsidRPr="00592F7C" w:rsidRDefault="002D1696" w:rsidP="002D1696">
      <w:pPr>
        <w:pStyle w:val="BodyText"/>
        <w:rPr>
          <w:rFonts w:cs="Arial"/>
          <w:u w:val="single"/>
          <w:lang w:val="es-ES"/>
        </w:rPr>
      </w:pPr>
    </w:p>
    <w:p w:rsidR="002D1696" w:rsidRPr="00592F7C" w:rsidRDefault="002D1696" w:rsidP="002D1696">
      <w:pPr>
        <w:pStyle w:val="BodyText"/>
        <w:rPr>
          <w:rFonts w:cs="Arial"/>
          <w:lang w:val="es-ES"/>
        </w:rPr>
      </w:pPr>
      <w:r w:rsidRPr="00E7659A">
        <w:rPr>
          <w:rFonts w:cs="Arial"/>
        </w:rPr>
        <w:t xml:space="preserve">El COBORU publica cada dos meses el boletín </w:t>
      </w:r>
      <w:proofErr w:type="spellStart"/>
      <w:r w:rsidRPr="00E7659A">
        <w:rPr>
          <w:rFonts w:cs="Arial"/>
        </w:rPr>
        <w:t>Diariusz</w:t>
      </w:r>
      <w:proofErr w:type="spellEnd"/>
      <w:r w:rsidRPr="00E7659A">
        <w:rPr>
          <w:rFonts w:cs="Arial"/>
        </w:rPr>
        <w:t xml:space="preserve"> (Gaceta Oficial y Lista Nacional de Derechos de Obtentor), que contiene información detallada sobre la protección de los derechos de obtentor nacionales y los sistemas de listas nacionales.</w:t>
      </w:r>
      <w:r w:rsidRPr="00592F7C">
        <w:rPr>
          <w:rFonts w:cs="Arial"/>
          <w:lang w:val="es-ES"/>
        </w:rPr>
        <w:t xml:space="preserve"> </w:t>
      </w:r>
    </w:p>
    <w:p w:rsidR="002D1696" w:rsidRPr="00592F7C" w:rsidRDefault="002D1696" w:rsidP="002D1696">
      <w:pPr>
        <w:pStyle w:val="BodyText"/>
        <w:rPr>
          <w:rFonts w:cs="Arial"/>
          <w:lang w:val="es-ES"/>
        </w:rPr>
      </w:pPr>
    </w:p>
    <w:p w:rsidR="002D1696" w:rsidRPr="00592F7C" w:rsidRDefault="002D1696" w:rsidP="002D1696">
      <w:pPr>
        <w:pStyle w:val="BodyText"/>
        <w:rPr>
          <w:rFonts w:cs="Arial"/>
          <w:lang w:val="es-ES"/>
        </w:rPr>
      </w:pPr>
      <w:r w:rsidRPr="00E7659A">
        <w:rPr>
          <w:rFonts w:cs="Arial"/>
        </w:rPr>
        <w:t>La lista de obtenciones protegidas por títulos nacionales de obtentor (que incluye las sujetas a derechos de obtentor provisionales) a fecha de 30 de junio de 2020 se publicó en el tercer número de la Gaceta Oficial y Lista Nacional de Derechos de Obtentor (N.º 3(158)2020).</w:t>
      </w:r>
    </w:p>
    <w:p w:rsidR="002D1696" w:rsidRPr="00592F7C" w:rsidRDefault="002D1696" w:rsidP="002D1696">
      <w:pPr>
        <w:pStyle w:val="BodyText"/>
        <w:rPr>
          <w:rFonts w:cs="Arial"/>
          <w:lang w:val="es-ES"/>
        </w:rPr>
      </w:pPr>
    </w:p>
    <w:p w:rsidR="002D1696" w:rsidRPr="00592F7C" w:rsidRDefault="002D1696" w:rsidP="002D1696">
      <w:pPr>
        <w:pStyle w:val="BodyText"/>
        <w:rPr>
          <w:rFonts w:cs="Arial"/>
          <w:lang w:val="es-ES"/>
        </w:rPr>
      </w:pPr>
      <w:r w:rsidRPr="00E7659A">
        <w:rPr>
          <w:rFonts w:cs="Arial"/>
        </w:rPr>
        <w:t>La Gaceta Oficial también se publica en el apartado “Publicaciones” de nuestro sitio web.</w:t>
      </w:r>
    </w:p>
    <w:p w:rsidR="002D1696" w:rsidRPr="00592F7C" w:rsidRDefault="002D1696" w:rsidP="002D1696">
      <w:pPr>
        <w:pStyle w:val="BodyText"/>
        <w:rPr>
          <w:rFonts w:cs="Arial"/>
          <w:lang w:val="es-ES"/>
        </w:rPr>
      </w:pPr>
    </w:p>
    <w:p w:rsidR="002D1696" w:rsidRPr="00592F7C" w:rsidRDefault="002D1696" w:rsidP="002D1696">
      <w:pPr>
        <w:pStyle w:val="BodyText"/>
        <w:rPr>
          <w:rFonts w:cs="Arial"/>
          <w:lang w:val="es-ES"/>
        </w:rPr>
      </w:pPr>
      <w:r w:rsidRPr="00C46C74">
        <w:rPr>
          <w:rFonts w:cs="Arial"/>
        </w:rPr>
        <w:t xml:space="preserve">Además, el </w:t>
      </w:r>
      <w:r w:rsidRPr="00C46C74">
        <w:t>COBORU</w:t>
      </w:r>
      <w:r w:rsidRPr="00C46C74">
        <w:rPr>
          <w:rFonts w:cs="Arial"/>
        </w:rPr>
        <w:t xml:space="preserve"> mantiene y actualiza regularmente el sitio web </w:t>
      </w:r>
      <w:hyperlink r:id="rId25" w:history="1">
        <w:r w:rsidRPr="00C46C74">
          <w:rPr>
            <w:rStyle w:val="Hyperlink"/>
          </w:rPr>
          <w:t>www.coboru.gov.pl</w:t>
        </w:r>
      </w:hyperlink>
      <w:r w:rsidRPr="00C46C74">
        <w:t>, que contiene información oficial sobre asuntos relativos a la protección de las obtenciones vegetales en Polonia.</w:t>
      </w:r>
    </w:p>
    <w:p w:rsidR="002D1696" w:rsidRPr="00592F7C" w:rsidRDefault="002D1696" w:rsidP="002D1696">
      <w:pPr>
        <w:tabs>
          <w:tab w:val="left" w:pos="4962"/>
        </w:tabs>
        <w:rPr>
          <w:rFonts w:cs="Arial"/>
          <w:lang w:val="es-ES"/>
        </w:rPr>
      </w:pPr>
    </w:p>
    <w:p w:rsidR="002D1696" w:rsidRPr="00592F7C" w:rsidRDefault="002D1696" w:rsidP="002D1696">
      <w:pPr>
        <w:tabs>
          <w:tab w:val="left" w:pos="4962"/>
        </w:tabs>
        <w:rPr>
          <w:rFonts w:cs="Arial"/>
          <w:lang w:val="es-ES"/>
        </w:rPr>
      </w:pPr>
      <w:r w:rsidRPr="00C46C74">
        <w:rPr>
          <w:rFonts w:cs="Arial"/>
        </w:rPr>
        <w:t>Durante el período objeto del informe, el COBORU participó en las actividades promocionales siguientes:</w:t>
      </w:r>
    </w:p>
    <w:p w:rsidR="002D1696" w:rsidRPr="00592F7C" w:rsidRDefault="002D1696" w:rsidP="002D1696">
      <w:pPr>
        <w:tabs>
          <w:tab w:val="left" w:pos="4962"/>
        </w:tabs>
        <w:rPr>
          <w:rFonts w:cs="Arial"/>
          <w:lang w:val="es-ES"/>
        </w:rPr>
      </w:pP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12"/>
        <w:gridCol w:w="992"/>
        <w:gridCol w:w="1276"/>
        <w:gridCol w:w="1275"/>
        <w:gridCol w:w="2694"/>
        <w:gridCol w:w="1780"/>
      </w:tblGrid>
      <w:tr w:rsidR="002D1696" w:rsidRPr="00592F7C" w:rsidTr="002D1696">
        <w:trPr>
          <w:cantSplit/>
          <w:trHeight w:val="780"/>
          <w:tblHeader/>
        </w:trPr>
        <w:tc>
          <w:tcPr>
            <w:tcW w:w="1612" w:type="dxa"/>
            <w:tcMar>
              <w:top w:w="28" w:type="dxa"/>
              <w:left w:w="57" w:type="dxa"/>
              <w:bottom w:w="28" w:type="dxa"/>
              <w:right w:w="57" w:type="dxa"/>
            </w:tcMar>
            <w:hideMark/>
          </w:tcPr>
          <w:p w:rsidR="002D1696" w:rsidRPr="00A56515" w:rsidRDefault="002D1696" w:rsidP="002D1696">
            <w:pPr>
              <w:keepNext/>
              <w:jc w:val="left"/>
              <w:rPr>
                <w:rFonts w:cs="Arial"/>
                <w:color w:val="000000"/>
                <w:sz w:val="16"/>
              </w:rPr>
            </w:pPr>
            <w:r w:rsidRPr="00C46C74">
              <w:rPr>
                <w:rFonts w:cs="Arial"/>
                <w:color w:val="000000"/>
                <w:sz w:val="16"/>
              </w:rPr>
              <w:t>Título de la actividad</w:t>
            </w:r>
          </w:p>
        </w:tc>
        <w:tc>
          <w:tcPr>
            <w:tcW w:w="992" w:type="dxa"/>
            <w:tcMar>
              <w:top w:w="28" w:type="dxa"/>
              <w:left w:w="57" w:type="dxa"/>
              <w:bottom w:w="28" w:type="dxa"/>
              <w:right w:w="57" w:type="dxa"/>
            </w:tcMar>
            <w:hideMark/>
          </w:tcPr>
          <w:p w:rsidR="002D1696" w:rsidRPr="00A56515" w:rsidRDefault="002D1696" w:rsidP="002D1696">
            <w:pPr>
              <w:keepNext/>
              <w:jc w:val="left"/>
              <w:rPr>
                <w:rFonts w:cs="Arial"/>
                <w:color w:val="000000"/>
                <w:sz w:val="16"/>
              </w:rPr>
            </w:pPr>
            <w:r w:rsidRPr="00C46C74">
              <w:rPr>
                <w:rFonts w:cs="Arial"/>
                <w:color w:val="000000"/>
                <w:sz w:val="16"/>
              </w:rPr>
              <w:t>Fecha</w:t>
            </w:r>
          </w:p>
        </w:tc>
        <w:tc>
          <w:tcPr>
            <w:tcW w:w="1276" w:type="dxa"/>
            <w:tcMar>
              <w:top w:w="28" w:type="dxa"/>
              <w:left w:w="57" w:type="dxa"/>
              <w:bottom w:w="28" w:type="dxa"/>
              <w:right w:w="57" w:type="dxa"/>
            </w:tcMar>
            <w:hideMark/>
          </w:tcPr>
          <w:p w:rsidR="002D1696" w:rsidRPr="00A56515" w:rsidRDefault="002D1696" w:rsidP="002D1696">
            <w:pPr>
              <w:keepNext/>
              <w:jc w:val="left"/>
              <w:rPr>
                <w:rFonts w:cs="Arial"/>
                <w:color w:val="000000"/>
                <w:sz w:val="16"/>
              </w:rPr>
            </w:pPr>
            <w:r w:rsidRPr="00C46C74">
              <w:rPr>
                <w:rFonts w:cs="Arial"/>
                <w:color w:val="000000"/>
                <w:sz w:val="16"/>
              </w:rPr>
              <w:t>Lugar</w:t>
            </w:r>
          </w:p>
        </w:tc>
        <w:tc>
          <w:tcPr>
            <w:tcW w:w="1275" w:type="dxa"/>
            <w:tcMar>
              <w:top w:w="28" w:type="dxa"/>
              <w:left w:w="57" w:type="dxa"/>
              <w:bottom w:w="28" w:type="dxa"/>
              <w:right w:w="57" w:type="dxa"/>
            </w:tcMar>
            <w:hideMark/>
          </w:tcPr>
          <w:p w:rsidR="002D1696" w:rsidRPr="00A56515" w:rsidRDefault="002D1696" w:rsidP="002D1696">
            <w:pPr>
              <w:keepNext/>
              <w:jc w:val="left"/>
              <w:rPr>
                <w:rFonts w:cs="Arial"/>
                <w:color w:val="000000"/>
                <w:sz w:val="16"/>
              </w:rPr>
            </w:pPr>
            <w:r w:rsidRPr="00C46C74">
              <w:rPr>
                <w:rFonts w:cs="Arial"/>
                <w:color w:val="000000"/>
                <w:sz w:val="16"/>
              </w:rPr>
              <w:t>Organizador(es)</w:t>
            </w:r>
          </w:p>
        </w:tc>
        <w:tc>
          <w:tcPr>
            <w:tcW w:w="2694" w:type="dxa"/>
            <w:tcMar>
              <w:top w:w="28" w:type="dxa"/>
              <w:left w:w="57" w:type="dxa"/>
              <w:bottom w:w="28" w:type="dxa"/>
              <w:right w:w="57" w:type="dxa"/>
            </w:tcMar>
            <w:hideMark/>
          </w:tcPr>
          <w:p w:rsidR="002D1696" w:rsidRPr="00A56515" w:rsidRDefault="002D1696" w:rsidP="002D1696">
            <w:pPr>
              <w:keepNext/>
              <w:jc w:val="left"/>
              <w:rPr>
                <w:rFonts w:cs="Arial"/>
                <w:color w:val="000000"/>
                <w:sz w:val="16"/>
              </w:rPr>
            </w:pPr>
            <w:r w:rsidRPr="00C46C74">
              <w:rPr>
                <w:rFonts w:cs="Arial"/>
                <w:color w:val="000000"/>
                <w:sz w:val="16"/>
              </w:rPr>
              <w:t>Finalidad de la actividad</w:t>
            </w:r>
          </w:p>
        </w:tc>
        <w:tc>
          <w:tcPr>
            <w:tcW w:w="1780" w:type="dxa"/>
            <w:tcMar>
              <w:top w:w="28" w:type="dxa"/>
              <w:left w:w="57" w:type="dxa"/>
              <w:bottom w:w="28" w:type="dxa"/>
              <w:right w:w="57" w:type="dxa"/>
            </w:tcMar>
            <w:hideMark/>
          </w:tcPr>
          <w:p w:rsidR="002D1696" w:rsidRPr="00592F7C" w:rsidRDefault="002D1696" w:rsidP="002D1696">
            <w:pPr>
              <w:keepNext/>
              <w:jc w:val="left"/>
              <w:rPr>
                <w:rFonts w:cs="Arial"/>
                <w:color w:val="000000"/>
                <w:sz w:val="16"/>
                <w:lang w:val="es-ES"/>
              </w:rPr>
            </w:pPr>
            <w:r w:rsidRPr="00C46C74">
              <w:rPr>
                <w:rFonts w:cs="Arial"/>
                <w:color w:val="000000"/>
                <w:sz w:val="16"/>
              </w:rPr>
              <w:t>Países/organizaciones participantes (número de participantes en cada caso)</w:t>
            </w:r>
          </w:p>
        </w:tc>
      </w:tr>
      <w:tr w:rsidR="002D1696" w:rsidRPr="00A56515" w:rsidTr="002D1696">
        <w:trPr>
          <w:cantSplit/>
        </w:trPr>
        <w:tc>
          <w:tcPr>
            <w:tcW w:w="1612" w:type="dxa"/>
            <w:tcMar>
              <w:top w:w="28" w:type="dxa"/>
              <w:left w:w="57" w:type="dxa"/>
              <w:bottom w:w="28" w:type="dxa"/>
              <w:right w:w="57" w:type="dxa"/>
            </w:tcMar>
          </w:tcPr>
          <w:p w:rsidR="002D1696" w:rsidRPr="00592F7C" w:rsidRDefault="002D1696" w:rsidP="002D1696">
            <w:pPr>
              <w:jc w:val="left"/>
              <w:rPr>
                <w:rFonts w:cs="Arial"/>
                <w:color w:val="000000"/>
                <w:sz w:val="16"/>
                <w:lang w:val="es-ES"/>
              </w:rPr>
            </w:pPr>
            <w:r w:rsidRPr="00592F7C">
              <w:rPr>
                <w:rFonts w:cs="Arial"/>
                <w:color w:val="000000"/>
                <w:sz w:val="16"/>
                <w:lang w:val="es-ES"/>
              </w:rPr>
              <w:t xml:space="preserve">1. </w:t>
            </w:r>
            <w:r w:rsidRPr="00C46C74">
              <w:rPr>
                <w:rFonts w:cs="Arial"/>
                <w:color w:val="000000"/>
                <w:sz w:val="16"/>
              </w:rPr>
              <w:t>Visita de una delegación de la Academia China de Silvicultura (CAF)</w:t>
            </w:r>
          </w:p>
        </w:tc>
        <w:tc>
          <w:tcPr>
            <w:tcW w:w="992" w:type="dxa"/>
            <w:tcMar>
              <w:top w:w="28" w:type="dxa"/>
              <w:left w:w="57" w:type="dxa"/>
              <w:bottom w:w="28" w:type="dxa"/>
              <w:right w:w="57" w:type="dxa"/>
            </w:tcMar>
          </w:tcPr>
          <w:p w:rsidR="002D1696" w:rsidRPr="0078099D" w:rsidRDefault="002D1696" w:rsidP="002D1696">
            <w:pPr>
              <w:keepNext/>
              <w:jc w:val="left"/>
              <w:rPr>
                <w:rFonts w:cs="Arial"/>
                <w:color w:val="000000"/>
                <w:sz w:val="16"/>
              </w:rPr>
            </w:pPr>
            <w:r w:rsidRPr="0078099D">
              <w:rPr>
                <w:rFonts w:cs="Arial"/>
                <w:color w:val="000000"/>
                <w:sz w:val="16"/>
              </w:rPr>
              <w:t>3 y 4 de septiembre de 2019</w:t>
            </w:r>
          </w:p>
        </w:tc>
        <w:tc>
          <w:tcPr>
            <w:tcW w:w="1276" w:type="dxa"/>
            <w:tcMar>
              <w:top w:w="28" w:type="dxa"/>
              <w:left w:w="57" w:type="dxa"/>
              <w:bottom w:w="28" w:type="dxa"/>
              <w:right w:w="57" w:type="dxa"/>
            </w:tcMar>
          </w:tcPr>
          <w:p w:rsidR="002D1696" w:rsidRPr="00592F7C" w:rsidRDefault="002D1696" w:rsidP="002D1696">
            <w:pPr>
              <w:keepNext/>
              <w:jc w:val="left"/>
              <w:rPr>
                <w:rFonts w:cs="Arial"/>
                <w:color w:val="000000"/>
                <w:sz w:val="16"/>
                <w:lang w:val="es-ES"/>
              </w:rPr>
            </w:pPr>
            <w:r w:rsidRPr="00C46C74">
              <w:rPr>
                <w:rFonts w:cs="Arial"/>
                <w:color w:val="000000"/>
                <w:sz w:val="16"/>
              </w:rPr>
              <w:t>Sede del COBORU (Polonia);</w:t>
            </w:r>
            <w:r w:rsidRPr="00592F7C">
              <w:rPr>
                <w:rFonts w:cs="Arial"/>
                <w:color w:val="000000"/>
                <w:sz w:val="16"/>
                <w:lang w:val="es-ES"/>
              </w:rPr>
              <w:t xml:space="preserve"> </w:t>
            </w:r>
            <w:r w:rsidRPr="00C46C74">
              <w:rPr>
                <w:rFonts w:cs="Arial"/>
                <w:color w:val="000000"/>
                <w:sz w:val="16"/>
              </w:rPr>
              <w:t>estaciones experimentales de</w:t>
            </w:r>
            <w:r w:rsidRPr="00592F7C">
              <w:rPr>
                <w:rFonts w:cs="Arial"/>
                <w:color w:val="000000"/>
                <w:sz w:val="16"/>
                <w:lang w:val="es-ES"/>
              </w:rPr>
              <w:t xml:space="preserve"> </w:t>
            </w:r>
            <w:proofErr w:type="spellStart"/>
            <w:r w:rsidRPr="00C46C74">
              <w:rPr>
                <w:rFonts w:cs="Arial"/>
                <w:color w:val="000000"/>
                <w:sz w:val="16"/>
              </w:rPr>
              <w:t>Zybiszów</w:t>
            </w:r>
            <w:proofErr w:type="spellEnd"/>
            <w:r w:rsidRPr="00C46C74">
              <w:rPr>
                <w:rFonts w:cs="Arial"/>
                <w:color w:val="000000"/>
                <w:sz w:val="16"/>
              </w:rPr>
              <w:t xml:space="preserve"> y </w:t>
            </w:r>
            <w:proofErr w:type="spellStart"/>
            <w:r w:rsidRPr="00C46C74">
              <w:rPr>
                <w:rFonts w:cs="Arial"/>
                <w:color w:val="000000"/>
                <w:sz w:val="16"/>
              </w:rPr>
              <w:t>Śrem</w:t>
            </w:r>
            <w:proofErr w:type="spellEnd"/>
          </w:p>
        </w:tc>
        <w:tc>
          <w:tcPr>
            <w:tcW w:w="1275" w:type="dxa"/>
            <w:tcMar>
              <w:top w:w="28" w:type="dxa"/>
              <w:left w:w="57" w:type="dxa"/>
              <w:bottom w:w="28" w:type="dxa"/>
              <w:right w:w="57" w:type="dxa"/>
            </w:tcMar>
          </w:tcPr>
          <w:p w:rsidR="002D1696" w:rsidRPr="00A56515" w:rsidRDefault="002D1696" w:rsidP="002D1696">
            <w:pPr>
              <w:keepNext/>
              <w:jc w:val="left"/>
              <w:rPr>
                <w:rFonts w:cs="Arial"/>
                <w:color w:val="000000"/>
                <w:sz w:val="16"/>
                <w:lang w:val="en-GB"/>
              </w:rPr>
            </w:pPr>
            <w:r w:rsidRPr="00C46C74">
              <w:rPr>
                <w:rFonts w:cs="Arial"/>
                <w:color w:val="000000"/>
                <w:sz w:val="16"/>
              </w:rPr>
              <w:t>COBORU</w:t>
            </w:r>
          </w:p>
        </w:tc>
        <w:tc>
          <w:tcPr>
            <w:tcW w:w="2694" w:type="dxa"/>
            <w:tcMar>
              <w:top w:w="28" w:type="dxa"/>
              <w:left w:w="57" w:type="dxa"/>
              <w:bottom w:w="28" w:type="dxa"/>
              <w:right w:w="57" w:type="dxa"/>
            </w:tcMar>
          </w:tcPr>
          <w:p w:rsidR="002D1696" w:rsidRPr="00592F7C" w:rsidRDefault="002D1696" w:rsidP="002D1696">
            <w:pPr>
              <w:keepNext/>
              <w:jc w:val="left"/>
              <w:rPr>
                <w:rFonts w:cs="Arial"/>
                <w:color w:val="000000"/>
                <w:sz w:val="16"/>
                <w:lang w:val="es-ES"/>
              </w:rPr>
            </w:pPr>
            <w:r w:rsidRPr="00C46C74">
              <w:rPr>
                <w:rFonts w:cs="Arial"/>
                <w:color w:val="000000"/>
                <w:sz w:val="16"/>
              </w:rPr>
              <w:t>Presentación de la organización y la actividad del COBORU;</w:t>
            </w:r>
            <w:r w:rsidRPr="00592F7C">
              <w:rPr>
                <w:rFonts w:cs="Arial"/>
                <w:color w:val="000000"/>
                <w:sz w:val="16"/>
                <w:lang w:val="es-ES"/>
              </w:rPr>
              <w:t xml:space="preserve"> </w:t>
            </w:r>
            <w:r w:rsidRPr="00C46C74">
              <w:rPr>
                <w:rFonts w:cs="Arial"/>
                <w:color w:val="000000"/>
                <w:sz w:val="16"/>
              </w:rPr>
              <w:t>procedimientos de inscripción en la lista de variedades y protección de las obtenciones vegetales en Polonia;</w:t>
            </w:r>
            <w:r w:rsidRPr="00592F7C">
              <w:rPr>
                <w:rFonts w:cs="Arial"/>
                <w:color w:val="000000"/>
                <w:sz w:val="16"/>
                <w:lang w:val="es-ES"/>
              </w:rPr>
              <w:t xml:space="preserve"> </w:t>
            </w:r>
            <w:r w:rsidRPr="00C46C74">
              <w:rPr>
                <w:rFonts w:cs="Arial"/>
                <w:color w:val="000000"/>
                <w:sz w:val="16"/>
              </w:rPr>
              <w:t>sistema de examen DHE;</w:t>
            </w:r>
            <w:r w:rsidRPr="00592F7C">
              <w:rPr>
                <w:rFonts w:cs="Arial"/>
                <w:color w:val="000000"/>
                <w:sz w:val="16"/>
                <w:lang w:val="es-ES"/>
              </w:rPr>
              <w:t xml:space="preserve"> </w:t>
            </w:r>
            <w:r w:rsidRPr="00C46C74">
              <w:rPr>
                <w:rFonts w:cs="Arial"/>
                <w:color w:val="000000"/>
                <w:sz w:val="16"/>
              </w:rPr>
              <w:t>debate sobre las posibles esferas de cooperación;</w:t>
            </w:r>
            <w:r w:rsidRPr="00592F7C">
              <w:rPr>
                <w:rFonts w:cs="Arial"/>
                <w:color w:val="000000"/>
                <w:sz w:val="16"/>
                <w:lang w:val="es-ES"/>
              </w:rPr>
              <w:t xml:space="preserve"> </w:t>
            </w:r>
            <w:r w:rsidRPr="00C46C74">
              <w:rPr>
                <w:rFonts w:cs="Arial"/>
                <w:color w:val="000000"/>
                <w:sz w:val="16"/>
              </w:rPr>
              <w:t>inspección de ensayos DHE de plantas ornamentales y frutales</w:t>
            </w:r>
          </w:p>
        </w:tc>
        <w:tc>
          <w:tcPr>
            <w:tcW w:w="1780" w:type="dxa"/>
            <w:tcMar>
              <w:top w:w="28" w:type="dxa"/>
              <w:left w:w="57" w:type="dxa"/>
              <w:bottom w:w="28" w:type="dxa"/>
              <w:right w:w="57" w:type="dxa"/>
            </w:tcMar>
          </w:tcPr>
          <w:p w:rsidR="002D1696" w:rsidRPr="00A56515" w:rsidRDefault="002D1696" w:rsidP="002D1696">
            <w:pPr>
              <w:keepNext/>
              <w:jc w:val="left"/>
              <w:rPr>
                <w:rFonts w:cs="Arial"/>
                <w:color w:val="000000"/>
                <w:sz w:val="16"/>
              </w:rPr>
            </w:pPr>
            <w:r w:rsidRPr="00C46C74">
              <w:rPr>
                <w:rFonts w:cs="Arial"/>
                <w:color w:val="000000"/>
                <w:sz w:val="16"/>
              </w:rPr>
              <w:t>CN (3)</w:t>
            </w:r>
          </w:p>
          <w:p w:rsidR="002D1696" w:rsidRPr="00A56515" w:rsidRDefault="002D1696" w:rsidP="002D1696">
            <w:pPr>
              <w:keepNext/>
              <w:jc w:val="left"/>
              <w:rPr>
                <w:rFonts w:cs="Arial"/>
                <w:color w:val="000000"/>
                <w:sz w:val="16"/>
              </w:rPr>
            </w:pPr>
            <w:r w:rsidRPr="00C46C74">
              <w:rPr>
                <w:rFonts w:cs="Arial"/>
                <w:color w:val="000000"/>
                <w:sz w:val="16"/>
              </w:rPr>
              <w:t>PL (10)</w:t>
            </w:r>
          </w:p>
        </w:tc>
      </w:tr>
      <w:tr w:rsidR="002D1696" w:rsidRPr="00A56515" w:rsidTr="002D1696">
        <w:trPr>
          <w:cantSplit/>
        </w:trPr>
        <w:tc>
          <w:tcPr>
            <w:tcW w:w="1612" w:type="dxa"/>
            <w:tcMar>
              <w:top w:w="28" w:type="dxa"/>
              <w:left w:w="57" w:type="dxa"/>
              <w:bottom w:w="28" w:type="dxa"/>
              <w:right w:w="57" w:type="dxa"/>
            </w:tcMar>
          </w:tcPr>
          <w:p w:rsidR="002D1696" w:rsidRPr="00592F7C" w:rsidRDefault="002D1696" w:rsidP="002D1696">
            <w:pPr>
              <w:jc w:val="left"/>
              <w:rPr>
                <w:rFonts w:cs="Arial"/>
                <w:color w:val="000000"/>
                <w:sz w:val="16"/>
                <w:lang w:val="es-ES"/>
              </w:rPr>
            </w:pPr>
            <w:r w:rsidRPr="00592F7C">
              <w:rPr>
                <w:rFonts w:cs="Arial"/>
                <w:color w:val="000000"/>
                <w:sz w:val="16"/>
                <w:lang w:val="es-ES"/>
              </w:rPr>
              <w:lastRenderedPageBreak/>
              <w:t xml:space="preserve">2. </w:t>
            </w:r>
            <w:r w:rsidRPr="00C46C74">
              <w:rPr>
                <w:rFonts w:cs="Arial"/>
                <w:color w:val="000000"/>
                <w:sz w:val="16"/>
              </w:rPr>
              <w:t>Visita de una delegación de la autoridad de Ucrania (YIECP)</w:t>
            </w:r>
          </w:p>
        </w:tc>
        <w:tc>
          <w:tcPr>
            <w:tcW w:w="992" w:type="dxa"/>
            <w:tcMar>
              <w:top w:w="28" w:type="dxa"/>
              <w:left w:w="57" w:type="dxa"/>
              <w:bottom w:w="28" w:type="dxa"/>
              <w:right w:w="57" w:type="dxa"/>
            </w:tcMar>
          </w:tcPr>
          <w:p w:rsidR="002D1696" w:rsidRPr="0078099D" w:rsidRDefault="002D1696" w:rsidP="002D1696">
            <w:pPr>
              <w:keepNext/>
              <w:jc w:val="left"/>
              <w:rPr>
                <w:rFonts w:cs="Arial"/>
                <w:color w:val="000000"/>
                <w:sz w:val="16"/>
              </w:rPr>
            </w:pPr>
            <w:r w:rsidRPr="0078099D">
              <w:rPr>
                <w:rFonts w:cs="Arial"/>
                <w:color w:val="000000"/>
                <w:sz w:val="16"/>
              </w:rPr>
              <w:t>23 a 26 de septiembre de 2019</w:t>
            </w:r>
          </w:p>
        </w:tc>
        <w:tc>
          <w:tcPr>
            <w:tcW w:w="1276" w:type="dxa"/>
            <w:tcMar>
              <w:top w:w="28" w:type="dxa"/>
              <w:left w:w="57" w:type="dxa"/>
              <w:bottom w:w="28" w:type="dxa"/>
              <w:right w:w="57" w:type="dxa"/>
            </w:tcMar>
          </w:tcPr>
          <w:p w:rsidR="002D1696" w:rsidRPr="00592F7C" w:rsidRDefault="002D1696" w:rsidP="002D1696">
            <w:pPr>
              <w:keepNext/>
              <w:jc w:val="left"/>
              <w:rPr>
                <w:rFonts w:cs="Arial"/>
                <w:color w:val="000000"/>
                <w:sz w:val="16"/>
                <w:lang w:val="es-ES"/>
              </w:rPr>
            </w:pPr>
            <w:r w:rsidRPr="00C46C74">
              <w:rPr>
                <w:rFonts w:cs="Arial"/>
                <w:color w:val="000000"/>
                <w:sz w:val="16"/>
              </w:rPr>
              <w:t>Sede del COBORU (Polonia);</w:t>
            </w:r>
            <w:r w:rsidRPr="00592F7C">
              <w:rPr>
                <w:rFonts w:cs="Arial"/>
                <w:color w:val="000000"/>
                <w:sz w:val="16"/>
                <w:lang w:val="es-ES"/>
              </w:rPr>
              <w:t xml:space="preserve"> </w:t>
            </w:r>
            <w:r w:rsidRPr="00C46C74">
              <w:rPr>
                <w:rFonts w:cs="Arial"/>
                <w:color w:val="000000"/>
                <w:sz w:val="16"/>
              </w:rPr>
              <w:t>estaciones experimentales de</w:t>
            </w:r>
            <w:r w:rsidRPr="00592F7C">
              <w:rPr>
                <w:rFonts w:cs="Arial"/>
                <w:color w:val="000000"/>
                <w:sz w:val="16"/>
                <w:lang w:val="es-ES"/>
              </w:rPr>
              <w:t xml:space="preserve"> </w:t>
            </w:r>
            <w:proofErr w:type="spellStart"/>
            <w:r w:rsidRPr="00C46C74">
              <w:rPr>
                <w:rFonts w:cs="Arial"/>
                <w:color w:val="000000"/>
                <w:sz w:val="16"/>
              </w:rPr>
              <w:t>Słupia</w:t>
            </w:r>
            <w:proofErr w:type="spellEnd"/>
            <w:r w:rsidRPr="00C46C74">
              <w:rPr>
                <w:rFonts w:cs="Arial"/>
                <w:color w:val="000000"/>
                <w:sz w:val="16"/>
              </w:rPr>
              <w:t xml:space="preserve"> </w:t>
            </w:r>
            <w:proofErr w:type="spellStart"/>
            <w:r w:rsidRPr="00C46C74">
              <w:rPr>
                <w:rFonts w:cs="Arial"/>
                <w:color w:val="000000"/>
                <w:sz w:val="16"/>
              </w:rPr>
              <w:t>Wielka</w:t>
            </w:r>
            <w:proofErr w:type="spellEnd"/>
            <w:r w:rsidRPr="00C46C74">
              <w:rPr>
                <w:rFonts w:cs="Arial"/>
                <w:color w:val="000000"/>
                <w:sz w:val="16"/>
              </w:rPr>
              <w:t xml:space="preserve"> y </w:t>
            </w:r>
            <w:proofErr w:type="spellStart"/>
            <w:r w:rsidRPr="00C46C74">
              <w:rPr>
                <w:rFonts w:cs="Arial"/>
                <w:color w:val="000000"/>
                <w:sz w:val="16"/>
              </w:rPr>
              <w:t>Zybiszów</w:t>
            </w:r>
            <w:proofErr w:type="spellEnd"/>
          </w:p>
        </w:tc>
        <w:tc>
          <w:tcPr>
            <w:tcW w:w="1275" w:type="dxa"/>
            <w:tcMar>
              <w:top w:w="28" w:type="dxa"/>
              <w:left w:w="57" w:type="dxa"/>
              <w:bottom w:w="28" w:type="dxa"/>
              <w:right w:w="57" w:type="dxa"/>
            </w:tcMar>
          </w:tcPr>
          <w:p w:rsidR="002D1696" w:rsidRPr="00A56515" w:rsidRDefault="002D1696" w:rsidP="002D1696">
            <w:pPr>
              <w:keepNext/>
              <w:jc w:val="left"/>
              <w:rPr>
                <w:rFonts w:cs="Arial"/>
                <w:color w:val="000000"/>
                <w:sz w:val="16"/>
                <w:lang w:val="en-GB"/>
              </w:rPr>
            </w:pPr>
            <w:r w:rsidRPr="00C46C74">
              <w:rPr>
                <w:rFonts w:cs="Arial"/>
                <w:color w:val="000000"/>
                <w:sz w:val="16"/>
              </w:rPr>
              <w:t>COBORU</w:t>
            </w:r>
          </w:p>
        </w:tc>
        <w:tc>
          <w:tcPr>
            <w:tcW w:w="2694" w:type="dxa"/>
            <w:tcMar>
              <w:top w:w="28" w:type="dxa"/>
              <w:left w:w="57" w:type="dxa"/>
              <w:bottom w:w="28" w:type="dxa"/>
              <w:right w:w="57" w:type="dxa"/>
            </w:tcMar>
          </w:tcPr>
          <w:p w:rsidR="002D1696" w:rsidRPr="00592F7C" w:rsidRDefault="002D1696" w:rsidP="002D1696">
            <w:pPr>
              <w:keepNext/>
              <w:jc w:val="left"/>
              <w:rPr>
                <w:rFonts w:cs="Arial"/>
                <w:color w:val="000000"/>
                <w:sz w:val="16"/>
                <w:lang w:val="es-ES"/>
              </w:rPr>
            </w:pPr>
            <w:r w:rsidRPr="00C46C74">
              <w:rPr>
                <w:rFonts w:cs="Arial"/>
                <w:color w:val="000000"/>
                <w:sz w:val="16"/>
              </w:rPr>
              <w:t>Presentación de la organización y la actividad del COBORU, en particular el sistema de examen DHE;</w:t>
            </w:r>
            <w:r w:rsidRPr="00592F7C">
              <w:rPr>
                <w:rFonts w:cs="Arial"/>
                <w:color w:val="000000"/>
                <w:sz w:val="16"/>
                <w:lang w:val="es-ES"/>
              </w:rPr>
              <w:t xml:space="preserve"> </w:t>
            </w:r>
            <w:r w:rsidRPr="00C46C74">
              <w:rPr>
                <w:rFonts w:cs="Arial"/>
                <w:color w:val="000000"/>
                <w:sz w:val="16"/>
              </w:rPr>
              <w:t>debate sobre las posibles esferas adicionales de cooperación;</w:t>
            </w:r>
            <w:r w:rsidRPr="00592F7C">
              <w:rPr>
                <w:rFonts w:cs="Arial"/>
                <w:color w:val="000000"/>
                <w:sz w:val="16"/>
                <w:lang w:val="es-ES"/>
              </w:rPr>
              <w:t xml:space="preserve"> </w:t>
            </w:r>
            <w:r w:rsidRPr="00C46C74">
              <w:rPr>
                <w:rFonts w:cs="Arial"/>
                <w:color w:val="000000"/>
                <w:sz w:val="16"/>
              </w:rPr>
              <w:t>visita a las instalaciones centrales de almacenamiento de semillas</w:t>
            </w:r>
          </w:p>
        </w:tc>
        <w:tc>
          <w:tcPr>
            <w:tcW w:w="1780" w:type="dxa"/>
            <w:tcMar>
              <w:top w:w="28" w:type="dxa"/>
              <w:left w:w="57" w:type="dxa"/>
              <w:bottom w:w="28" w:type="dxa"/>
              <w:right w:w="57" w:type="dxa"/>
            </w:tcMar>
          </w:tcPr>
          <w:p w:rsidR="002D1696" w:rsidRPr="00A56515" w:rsidRDefault="002D1696" w:rsidP="002D1696">
            <w:pPr>
              <w:keepNext/>
              <w:jc w:val="left"/>
              <w:rPr>
                <w:rFonts w:cs="Arial"/>
                <w:color w:val="000000"/>
                <w:sz w:val="16"/>
              </w:rPr>
            </w:pPr>
            <w:r w:rsidRPr="00C46C74">
              <w:rPr>
                <w:rFonts w:cs="Arial"/>
                <w:color w:val="000000"/>
                <w:sz w:val="16"/>
              </w:rPr>
              <w:t>UA (4)</w:t>
            </w:r>
          </w:p>
          <w:p w:rsidR="002D1696" w:rsidRPr="00A56515" w:rsidRDefault="002D1696" w:rsidP="002D1696">
            <w:pPr>
              <w:keepNext/>
              <w:jc w:val="left"/>
              <w:rPr>
                <w:rFonts w:cs="Arial"/>
                <w:color w:val="000000"/>
                <w:sz w:val="16"/>
              </w:rPr>
            </w:pPr>
            <w:r w:rsidRPr="00C46C74">
              <w:rPr>
                <w:rFonts w:cs="Arial"/>
                <w:color w:val="000000"/>
                <w:sz w:val="16"/>
              </w:rPr>
              <w:t>PL (9)</w:t>
            </w:r>
          </w:p>
        </w:tc>
      </w:tr>
      <w:tr w:rsidR="002D1696" w:rsidRPr="00A56515" w:rsidTr="002D1696">
        <w:trPr>
          <w:cantSplit/>
        </w:trPr>
        <w:tc>
          <w:tcPr>
            <w:tcW w:w="1612" w:type="dxa"/>
            <w:tcMar>
              <w:top w:w="28" w:type="dxa"/>
              <w:left w:w="57" w:type="dxa"/>
              <w:bottom w:w="28" w:type="dxa"/>
              <w:right w:w="57" w:type="dxa"/>
            </w:tcMar>
          </w:tcPr>
          <w:p w:rsidR="002D1696" w:rsidRPr="00592F7C" w:rsidRDefault="002D1696" w:rsidP="002D1696">
            <w:pPr>
              <w:jc w:val="left"/>
              <w:rPr>
                <w:rFonts w:cs="Arial"/>
                <w:color w:val="000000"/>
                <w:sz w:val="16"/>
                <w:lang w:val="es-ES"/>
              </w:rPr>
            </w:pPr>
            <w:r w:rsidRPr="00592F7C">
              <w:rPr>
                <w:rFonts w:cs="Arial"/>
                <w:color w:val="000000"/>
                <w:sz w:val="16"/>
                <w:lang w:val="es-ES"/>
              </w:rPr>
              <w:t xml:space="preserve">3. </w:t>
            </w:r>
            <w:r w:rsidRPr="00C46C74">
              <w:rPr>
                <w:rFonts w:cs="Arial"/>
                <w:color w:val="000000"/>
                <w:sz w:val="16"/>
              </w:rPr>
              <w:t>Visita del director de la AGES (Austria)</w:t>
            </w:r>
          </w:p>
        </w:tc>
        <w:tc>
          <w:tcPr>
            <w:tcW w:w="992" w:type="dxa"/>
            <w:tcMar>
              <w:top w:w="28" w:type="dxa"/>
              <w:left w:w="57" w:type="dxa"/>
              <w:bottom w:w="28" w:type="dxa"/>
              <w:right w:w="57" w:type="dxa"/>
            </w:tcMar>
          </w:tcPr>
          <w:p w:rsidR="002D1696" w:rsidRPr="0078099D" w:rsidRDefault="002D1696" w:rsidP="002D1696">
            <w:pPr>
              <w:keepNext/>
              <w:jc w:val="left"/>
              <w:rPr>
                <w:rFonts w:cs="Arial"/>
                <w:color w:val="000000"/>
                <w:sz w:val="16"/>
              </w:rPr>
            </w:pPr>
            <w:r w:rsidRPr="0078099D">
              <w:rPr>
                <w:rFonts w:cs="Arial"/>
                <w:color w:val="000000"/>
                <w:sz w:val="16"/>
              </w:rPr>
              <w:t>6 de febrero de 2020</w:t>
            </w:r>
          </w:p>
        </w:tc>
        <w:tc>
          <w:tcPr>
            <w:tcW w:w="1276" w:type="dxa"/>
            <w:tcMar>
              <w:top w:w="28" w:type="dxa"/>
              <w:left w:w="57" w:type="dxa"/>
              <w:bottom w:w="28" w:type="dxa"/>
              <w:right w:w="57" w:type="dxa"/>
            </w:tcMar>
          </w:tcPr>
          <w:p w:rsidR="002D1696" w:rsidRPr="00A56515" w:rsidRDefault="002D1696" w:rsidP="002D1696">
            <w:pPr>
              <w:keepNext/>
              <w:jc w:val="left"/>
              <w:rPr>
                <w:rFonts w:cs="Arial"/>
                <w:color w:val="000000"/>
                <w:sz w:val="16"/>
                <w:lang w:val="en-GB"/>
              </w:rPr>
            </w:pPr>
            <w:r w:rsidRPr="00C46C74">
              <w:rPr>
                <w:rFonts w:cs="Arial"/>
                <w:color w:val="000000"/>
                <w:sz w:val="16"/>
              </w:rPr>
              <w:t>Sede del COBORU (Polonia)</w:t>
            </w:r>
          </w:p>
        </w:tc>
        <w:tc>
          <w:tcPr>
            <w:tcW w:w="1275" w:type="dxa"/>
            <w:tcMar>
              <w:top w:w="28" w:type="dxa"/>
              <w:left w:w="57" w:type="dxa"/>
              <w:bottom w:w="28" w:type="dxa"/>
              <w:right w:w="57" w:type="dxa"/>
            </w:tcMar>
          </w:tcPr>
          <w:p w:rsidR="002D1696" w:rsidRPr="00A56515" w:rsidRDefault="002D1696" w:rsidP="002D1696">
            <w:pPr>
              <w:keepNext/>
              <w:jc w:val="left"/>
              <w:rPr>
                <w:rFonts w:cs="Arial"/>
                <w:color w:val="000000"/>
                <w:sz w:val="16"/>
                <w:lang w:val="en-GB"/>
              </w:rPr>
            </w:pPr>
            <w:r w:rsidRPr="00C46C74">
              <w:rPr>
                <w:rFonts w:cs="Arial"/>
                <w:color w:val="000000"/>
                <w:sz w:val="16"/>
              </w:rPr>
              <w:t>COBORU</w:t>
            </w:r>
          </w:p>
        </w:tc>
        <w:tc>
          <w:tcPr>
            <w:tcW w:w="2694" w:type="dxa"/>
            <w:tcMar>
              <w:top w:w="28" w:type="dxa"/>
              <w:left w:w="57" w:type="dxa"/>
              <w:bottom w:w="28" w:type="dxa"/>
              <w:right w:w="57" w:type="dxa"/>
            </w:tcMar>
          </w:tcPr>
          <w:p w:rsidR="002D1696" w:rsidRPr="00592F7C" w:rsidRDefault="002D1696" w:rsidP="002D1696">
            <w:pPr>
              <w:keepNext/>
              <w:jc w:val="left"/>
              <w:rPr>
                <w:rFonts w:cs="Arial"/>
                <w:color w:val="000000"/>
                <w:sz w:val="16"/>
                <w:lang w:val="es-ES"/>
              </w:rPr>
            </w:pPr>
            <w:r w:rsidRPr="00C46C74">
              <w:rPr>
                <w:rFonts w:cs="Arial"/>
                <w:color w:val="000000"/>
                <w:sz w:val="16"/>
              </w:rPr>
              <w:t>Intercambio de información sobre</w:t>
            </w:r>
            <w:r w:rsidRPr="00592F7C">
              <w:rPr>
                <w:rFonts w:cs="Arial"/>
                <w:color w:val="000000"/>
                <w:sz w:val="16"/>
                <w:lang w:val="es-ES"/>
              </w:rPr>
              <w:t xml:space="preserve"> </w:t>
            </w:r>
            <w:r w:rsidRPr="00C46C74">
              <w:rPr>
                <w:rFonts w:cs="Arial"/>
                <w:color w:val="000000"/>
                <w:sz w:val="16"/>
              </w:rPr>
              <w:t>la organización de ambas entidades (el COBORU y la AGES), sus cometidos y normas de funcionamiento, el sistema de registro y protección jurídica de las variedades vegetales en ambos países y el alcance de la determinación del valor agronómico de las variedades de soja;</w:t>
            </w:r>
            <w:r w:rsidRPr="00592F7C">
              <w:rPr>
                <w:rFonts w:cs="Arial"/>
                <w:color w:val="000000"/>
                <w:sz w:val="16"/>
                <w:lang w:val="es-ES"/>
              </w:rPr>
              <w:t xml:space="preserve"> </w:t>
            </w:r>
            <w:r w:rsidRPr="00C46C74">
              <w:rPr>
                <w:rFonts w:cs="Arial"/>
                <w:color w:val="000000"/>
                <w:sz w:val="16"/>
              </w:rPr>
              <w:t>examen de las posibilidades de cooperación en el futuro</w:t>
            </w:r>
            <w:r w:rsidRPr="00592F7C">
              <w:rPr>
                <w:rFonts w:cs="Arial"/>
                <w:color w:val="000000"/>
                <w:sz w:val="16"/>
                <w:lang w:val="es-ES"/>
              </w:rPr>
              <w:t xml:space="preserve"> </w:t>
            </w:r>
          </w:p>
        </w:tc>
        <w:tc>
          <w:tcPr>
            <w:tcW w:w="1780" w:type="dxa"/>
            <w:tcMar>
              <w:top w:w="28" w:type="dxa"/>
              <w:left w:w="57" w:type="dxa"/>
              <w:bottom w:w="28" w:type="dxa"/>
              <w:right w:w="57" w:type="dxa"/>
            </w:tcMar>
          </w:tcPr>
          <w:p w:rsidR="002D1696" w:rsidRPr="00A56515" w:rsidRDefault="002D1696" w:rsidP="002D1696">
            <w:pPr>
              <w:keepNext/>
              <w:jc w:val="left"/>
              <w:rPr>
                <w:rFonts w:cs="Arial"/>
                <w:sz w:val="16"/>
              </w:rPr>
            </w:pPr>
            <w:r w:rsidRPr="00C46C74">
              <w:rPr>
                <w:rFonts w:cs="Arial"/>
                <w:sz w:val="16"/>
              </w:rPr>
              <w:t>AT (1)</w:t>
            </w:r>
          </w:p>
          <w:p w:rsidR="002D1696" w:rsidRPr="00A56515" w:rsidRDefault="002D1696" w:rsidP="002D1696">
            <w:pPr>
              <w:keepNext/>
              <w:jc w:val="left"/>
              <w:rPr>
                <w:rFonts w:cs="Arial"/>
                <w:sz w:val="16"/>
              </w:rPr>
            </w:pPr>
            <w:r w:rsidRPr="00C46C74">
              <w:rPr>
                <w:rFonts w:cs="Arial"/>
                <w:sz w:val="16"/>
              </w:rPr>
              <w:t>PL (30)</w:t>
            </w:r>
          </w:p>
        </w:tc>
      </w:tr>
      <w:tr w:rsidR="002D1696" w:rsidRPr="00A56515" w:rsidTr="002D1696">
        <w:tc>
          <w:tcPr>
            <w:tcW w:w="1612" w:type="dxa"/>
            <w:tcMar>
              <w:top w:w="28" w:type="dxa"/>
              <w:left w:w="57" w:type="dxa"/>
              <w:bottom w:w="28" w:type="dxa"/>
              <w:right w:w="57" w:type="dxa"/>
            </w:tcMar>
          </w:tcPr>
          <w:p w:rsidR="002D1696" w:rsidRPr="00592F7C" w:rsidRDefault="002D1696" w:rsidP="002D1696">
            <w:pPr>
              <w:jc w:val="left"/>
              <w:rPr>
                <w:rFonts w:cs="Arial"/>
                <w:color w:val="000000"/>
                <w:sz w:val="16"/>
                <w:lang w:val="es-ES"/>
              </w:rPr>
            </w:pPr>
            <w:r w:rsidRPr="00592F7C">
              <w:rPr>
                <w:rFonts w:cs="Arial"/>
                <w:color w:val="000000"/>
                <w:sz w:val="16"/>
                <w:lang w:val="es-ES"/>
              </w:rPr>
              <w:t xml:space="preserve">4. </w:t>
            </w:r>
            <w:r w:rsidRPr="00C46C74">
              <w:rPr>
                <w:rFonts w:cs="Arial"/>
                <w:color w:val="000000"/>
                <w:sz w:val="16"/>
              </w:rPr>
              <w:t>Visita del secretario general adjunto de la UPOV</w:t>
            </w:r>
          </w:p>
        </w:tc>
        <w:tc>
          <w:tcPr>
            <w:tcW w:w="992" w:type="dxa"/>
            <w:tcMar>
              <w:top w:w="28" w:type="dxa"/>
              <w:left w:w="57" w:type="dxa"/>
              <w:bottom w:w="28" w:type="dxa"/>
              <w:right w:w="57" w:type="dxa"/>
            </w:tcMar>
          </w:tcPr>
          <w:p w:rsidR="002D1696" w:rsidRPr="0078099D" w:rsidRDefault="002D1696" w:rsidP="002D1696">
            <w:pPr>
              <w:keepNext/>
              <w:jc w:val="left"/>
              <w:rPr>
                <w:rFonts w:cs="Arial"/>
                <w:color w:val="000000"/>
                <w:sz w:val="16"/>
              </w:rPr>
            </w:pPr>
            <w:r w:rsidRPr="0078099D">
              <w:rPr>
                <w:rFonts w:cs="Arial"/>
                <w:color w:val="000000"/>
                <w:sz w:val="16"/>
              </w:rPr>
              <w:t>11 de febrero de 2020</w:t>
            </w:r>
          </w:p>
        </w:tc>
        <w:tc>
          <w:tcPr>
            <w:tcW w:w="1276" w:type="dxa"/>
            <w:tcMar>
              <w:top w:w="28" w:type="dxa"/>
              <w:left w:w="57" w:type="dxa"/>
              <w:bottom w:w="28" w:type="dxa"/>
              <w:right w:w="57" w:type="dxa"/>
            </w:tcMar>
          </w:tcPr>
          <w:p w:rsidR="002D1696" w:rsidRPr="00A56515" w:rsidRDefault="002D1696" w:rsidP="002D1696">
            <w:pPr>
              <w:keepNext/>
              <w:jc w:val="left"/>
              <w:rPr>
                <w:rFonts w:cs="Arial"/>
                <w:color w:val="000000"/>
                <w:sz w:val="16"/>
                <w:lang w:val="en-GB"/>
              </w:rPr>
            </w:pPr>
            <w:r w:rsidRPr="00C46C74">
              <w:rPr>
                <w:rFonts w:cs="Arial"/>
                <w:color w:val="000000"/>
                <w:sz w:val="16"/>
              </w:rPr>
              <w:t>Sede del COBORU (Polonia)</w:t>
            </w:r>
          </w:p>
        </w:tc>
        <w:tc>
          <w:tcPr>
            <w:tcW w:w="1275" w:type="dxa"/>
            <w:tcMar>
              <w:top w:w="28" w:type="dxa"/>
              <w:left w:w="57" w:type="dxa"/>
              <w:bottom w:w="28" w:type="dxa"/>
              <w:right w:w="57" w:type="dxa"/>
            </w:tcMar>
          </w:tcPr>
          <w:p w:rsidR="002D1696" w:rsidRPr="00A56515" w:rsidRDefault="002D1696" w:rsidP="002D1696">
            <w:pPr>
              <w:keepNext/>
              <w:jc w:val="left"/>
              <w:rPr>
                <w:rFonts w:cs="Arial"/>
                <w:color w:val="000000"/>
                <w:sz w:val="16"/>
                <w:lang w:val="en-GB"/>
              </w:rPr>
            </w:pPr>
            <w:r w:rsidRPr="00C46C74">
              <w:rPr>
                <w:rFonts w:cs="Arial"/>
                <w:color w:val="000000"/>
                <w:sz w:val="16"/>
              </w:rPr>
              <w:t>COBORU</w:t>
            </w:r>
          </w:p>
        </w:tc>
        <w:tc>
          <w:tcPr>
            <w:tcW w:w="2694" w:type="dxa"/>
            <w:tcMar>
              <w:top w:w="28" w:type="dxa"/>
              <w:left w:w="57" w:type="dxa"/>
              <w:bottom w:w="28" w:type="dxa"/>
              <w:right w:w="57" w:type="dxa"/>
            </w:tcMar>
          </w:tcPr>
          <w:p w:rsidR="002D1696" w:rsidRPr="00592F7C" w:rsidRDefault="002D1696" w:rsidP="002D1696">
            <w:pPr>
              <w:keepNext/>
              <w:jc w:val="left"/>
              <w:rPr>
                <w:rFonts w:cs="Arial"/>
                <w:color w:val="000000"/>
                <w:sz w:val="16"/>
                <w:lang w:val="es-ES"/>
              </w:rPr>
            </w:pPr>
            <w:r w:rsidRPr="00AA175F">
              <w:rPr>
                <w:rFonts w:cs="Arial"/>
                <w:color w:val="000000"/>
                <w:sz w:val="16"/>
              </w:rPr>
              <w:t>Presentación de la organización, el cometido y la actividad del COBORU, así como de las normas de registro y del sistema de derechos de obtentor en Polonia, en particular el alcance del examen DHE;</w:t>
            </w:r>
            <w:r w:rsidRPr="00592F7C">
              <w:rPr>
                <w:rFonts w:cs="Arial"/>
                <w:color w:val="000000"/>
                <w:sz w:val="16"/>
                <w:lang w:val="es-ES"/>
              </w:rPr>
              <w:t xml:space="preserve"> </w:t>
            </w:r>
            <w:r w:rsidRPr="00AA175F">
              <w:rPr>
                <w:rFonts w:cs="Arial"/>
                <w:color w:val="000000"/>
                <w:sz w:val="16"/>
              </w:rPr>
              <w:t>presentación sobre la organización y las normas de funcionamiento de la UPOV;</w:t>
            </w:r>
            <w:r w:rsidRPr="00592F7C">
              <w:rPr>
                <w:rFonts w:cs="Arial"/>
                <w:color w:val="000000"/>
                <w:sz w:val="16"/>
                <w:lang w:val="es-ES"/>
              </w:rPr>
              <w:t xml:space="preserve"> </w:t>
            </w:r>
            <w:r w:rsidRPr="00AA175F">
              <w:rPr>
                <w:rFonts w:cs="Arial"/>
                <w:color w:val="000000"/>
                <w:sz w:val="16"/>
              </w:rPr>
              <w:t>presentación y debate sobre el concepto de variedad esencialmente derivada, la novedad de las líneas parentales de las variedades híbridas, la posibilidad de emplear marcadores de ADN en el examen DHE, el sistema UPOV PRISMA y la defensa de los derechos de obtentor</w:t>
            </w:r>
            <w:r w:rsidRPr="00592F7C">
              <w:rPr>
                <w:rFonts w:cs="Arial"/>
                <w:color w:val="000000"/>
                <w:sz w:val="16"/>
                <w:lang w:val="es-ES"/>
              </w:rPr>
              <w:t xml:space="preserve"> </w:t>
            </w:r>
          </w:p>
        </w:tc>
        <w:tc>
          <w:tcPr>
            <w:tcW w:w="1780" w:type="dxa"/>
            <w:tcMar>
              <w:top w:w="28" w:type="dxa"/>
              <w:left w:w="57" w:type="dxa"/>
              <w:bottom w:w="28" w:type="dxa"/>
              <w:right w:w="57" w:type="dxa"/>
            </w:tcMar>
          </w:tcPr>
          <w:p w:rsidR="002D1696" w:rsidRPr="00A56515" w:rsidRDefault="002D1696" w:rsidP="002D1696">
            <w:pPr>
              <w:keepNext/>
              <w:jc w:val="left"/>
              <w:rPr>
                <w:rFonts w:cs="Arial"/>
                <w:color w:val="000000"/>
                <w:sz w:val="16"/>
              </w:rPr>
            </w:pPr>
            <w:r w:rsidRPr="00AA175F">
              <w:rPr>
                <w:rFonts w:cs="Arial"/>
                <w:color w:val="000000"/>
                <w:sz w:val="16"/>
              </w:rPr>
              <w:t>UPOV (1)</w:t>
            </w:r>
          </w:p>
          <w:p w:rsidR="002D1696" w:rsidRPr="00A56515" w:rsidRDefault="002D1696" w:rsidP="002D1696">
            <w:pPr>
              <w:keepNext/>
              <w:jc w:val="left"/>
              <w:rPr>
                <w:rFonts w:cs="Arial"/>
                <w:color w:val="000000"/>
                <w:sz w:val="16"/>
              </w:rPr>
            </w:pPr>
            <w:r w:rsidRPr="00AA175F">
              <w:rPr>
                <w:rFonts w:cs="Arial"/>
                <w:color w:val="000000"/>
                <w:sz w:val="16"/>
              </w:rPr>
              <w:t>PL (17)</w:t>
            </w:r>
          </w:p>
        </w:tc>
      </w:tr>
    </w:tbl>
    <w:p w:rsidR="002D1696" w:rsidRPr="00A56515" w:rsidRDefault="002D1696" w:rsidP="002D1696">
      <w:pPr>
        <w:tabs>
          <w:tab w:val="left" w:pos="567"/>
          <w:tab w:val="left" w:pos="4962"/>
        </w:tabs>
        <w:rPr>
          <w:rFonts w:cs="Arial"/>
          <w:color w:val="000000"/>
        </w:rPr>
      </w:pPr>
    </w:p>
    <w:p w:rsidR="002D1696" w:rsidRPr="00A56515" w:rsidRDefault="002D1696" w:rsidP="002D1696">
      <w:pPr>
        <w:tabs>
          <w:tab w:val="left" w:pos="567"/>
          <w:tab w:val="left" w:pos="4962"/>
        </w:tabs>
        <w:rPr>
          <w:rFonts w:cs="Arial"/>
          <w:color w:val="000000"/>
        </w:rPr>
      </w:pPr>
    </w:p>
    <w:p w:rsidR="002D1696" w:rsidRPr="00592F7C" w:rsidRDefault="002D1696" w:rsidP="002D1696">
      <w:pPr>
        <w:rPr>
          <w:lang w:val="es-ES"/>
        </w:rPr>
      </w:pPr>
      <w:r w:rsidRPr="00592F7C">
        <w:rPr>
          <w:lang w:val="es-ES"/>
        </w:rPr>
        <w:t>II.</w:t>
      </w:r>
      <w:r w:rsidRPr="00592F7C">
        <w:rPr>
          <w:lang w:val="es-ES"/>
        </w:rPr>
        <w:tab/>
      </w:r>
      <w:r w:rsidRPr="00AA175F">
        <w:t>OTRAS NOVEDADES DE INTERÉS PARA LA UPOV</w:t>
      </w:r>
    </w:p>
    <w:p w:rsidR="002D1696" w:rsidRPr="00592F7C" w:rsidRDefault="002D1696" w:rsidP="002D1696">
      <w:pPr>
        <w:rPr>
          <w:lang w:val="es-ES"/>
        </w:rPr>
      </w:pPr>
    </w:p>
    <w:p w:rsidR="002D1696" w:rsidRPr="00592F7C" w:rsidRDefault="002D1696" w:rsidP="002D1696">
      <w:pPr>
        <w:rPr>
          <w:lang w:val="es-ES"/>
        </w:rPr>
      </w:pPr>
      <w:r w:rsidRPr="00AA175F">
        <w:t>En mayo y junio de 2020 se publicaron la Lista nacional de variedades de plantas agrícolas, la Lista nacional de variedades de plantas hortícolas y la Lista nacional de variedades de plantas frutales de Polonia.</w:t>
      </w:r>
      <w:r w:rsidRPr="00592F7C">
        <w:rPr>
          <w:lang w:val="es-ES"/>
        </w:rPr>
        <w:t xml:space="preserve"> </w:t>
      </w:r>
      <w:r w:rsidRPr="00AA175F">
        <w:t>Tanto las listas oficiales como las listas actualizadas de variedades pueden consultarse también en</w:t>
      </w:r>
      <w:r w:rsidRPr="00592F7C">
        <w:rPr>
          <w:lang w:val="es-ES"/>
        </w:rPr>
        <w:t xml:space="preserve"> </w:t>
      </w:r>
      <w:hyperlink r:id="rId26" w:history="1">
        <w:r w:rsidRPr="00592F7C">
          <w:rPr>
            <w:rStyle w:val="Hyperlink"/>
            <w:lang w:val="es-ES"/>
          </w:rPr>
          <w:t>www.coboru.gov.pl</w:t>
        </w:r>
      </w:hyperlink>
    </w:p>
    <w:p w:rsidR="002D1696" w:rsidRPr="00592F7C" w:rsidRDefault="002D1696" w:rsidP="002D1696">
      <w:pPr>
        <w:rPr>
          <w:lang w:val="es-ES"/>
        </w:rPr>
      </w:pPr>
    </w:p>
    <w:p w:rsidR="002D1696" w:rsidRPr="00592F7C" w:rsidRDefault="002D1696" w:rsidP="002D1696">
      <w:pPr>
        <w:rPr>
          <w:rFonts w:cs="Arial"/>
          <w:u w:val="single"/>
          <w:lang w:val="es-ES"/>
        </w:rPr>
      </w:pPr>
    </w:p>
    <w:p w:rsidR="0078167F" w:rsidRDefault="0078167F" w:rsidP="0078167F">
      <w:pPr>
        <w:jc w:val="left"/>
      </w:pPr>
    </w:p>
    <w:p w:rsidR="0078167F" w:rsidRDefault="00E80B45" w:rsidP="0078167F">
      <w:pPr>
        <w:jc w:val="right"/>
      </w:pPr>
      <w:r>
        <w:t>[Sigue el Anexo</w:t>
      </w:r>
      <w:r w:rsidR="0078167F">
        <w:t xml:space="preserve"> XII</w:t>
      </w:r>
      <w:r>
        <w:t>]</w:t>
      </w:r>
    </w:p>
    <w:p w:rsidR="0078167F" w:rsidRDefault="0078167F" w:rsidP="0078167F"/>
    <w:p w:rsidR="0078167F" w:rsidRDefault="0078167F" w:rsidP="0078167F">
      <w:pPr>
        <w:jc w:val="left"/>
        <w:sectPr w:rsidR="0078167F" w:rsidSect="002D1696">
          <w:headerReference w:type="default" r:id="rId27"/>
          <w:pgSz w:w="11907" w:h="16840" w:code="9"/>
          <w:pgMar w:top="510" w:right="1134" w:bottom="1134" w:left="1134" w:header="510" w:footer="680" w:gutter="0"/>
          <w:pgNumType w:start="1"/>
          <w:cols w:space="720"/>
          <w:titlePg/>
        </w:sectPr>
      </w:pPr>
    </w:p>
    <w:p w:rsidR="0078167F" w:rsidRPr="0075031D" w:rsidRDefault="0078167F" w:rsidP="0078167F">
      <w:pPr>
        <w:jc w:val="center"/>
      </w:pPr>
      <w:r>
        <w:lastRenderedPageBreak/>
        <w:t>C/54/INF/4</w:t>
      </w:r>
    </w:p>
    <w:p w:rsidR="0078167F" w:rsidRPr="0075031D" w:rsidRDefault="0078167F" w:rsidP="0078167F">
      <w:pPr>
        <w:jc w:val="center"/>
      </w:pPr>
    </w:p>
    <w:p w:rsidR="0078167F" w:rsidRPr="0075031D" w:rsidRDefault="00E80B45" w:rsidP="0078167F">
      <w:pPr>
        <w:jc w:val="center"/>
      </w:pPr>
      <w:r>
        <w:t>ANEXO</w:t>
      </w:r>
      <w:r w:rsidR="0078167F" w:rsidRPr="0075031D">
        <w:t xml:space="preserve"> </w:t>
      </w:r>
      <w:r w:rsidR="0078167F">
        <w:t>XI</w:t>
      </w:r>
      <w:r w:rsidR="0078167F" w:rsidRPr="0075031D">
        <w:t>I</w:t>
      </w:r>
    </w:p>
    <w:p w:rsidR="0078167F" w:rsidRPr="0075031D" w:rsidRDefault="0078167F" w:rsidP="0078167F">
      <w:pPr>
        <w:jc w:val="center"/>
      </w:pPr>
    </w:p>
    <w:p w:rsidR="0078167F" w:rsidRDefault="0078167F" w:rsidP="0078167F">
      <w:pPr>
        <w:jc w:val="center"/>
      </w:pPr>
    </w:p>
    <w:p w:rsidR="00EC2B3C" w:rsidRPr="00592F7C" w:rsidRDefault="00EC2B3C" w:rsidP="00EC2B3C">
      <w:pPr>
        <w:jc w:val="center"/>
        <w:rPr>
          <w:lang w:val="es-ES"/>
        </w:rPr>
      </w:pPr>
      <w:r w:rsidRPr="00CC39C6">
        <w:t>REPÚBLICA DE MOLDOVA</w:t>
      </w:r>
    </w:p>
    <w:p w:rsidR="00EC2B3C" w:rsidRPr="00592F7C" w:rsidRDefault="00EC2B3C" w:rsidP="00EC2B3C">
      <w:pPr>
        <w:rPr>
          <w:rFonts w:cs="Arial"/>
          <w:lang w:val="es-ES"/>
        </w:rPr>
      </w:pPr>
    </w:p>
    <w:p w:rsidR="00EC2B3C" w:rsidRPr="00592F7C" w:rsidRDefault="00EC2B3C" w:rsidP="00EC2B3C">
      <w:pPr>
        <w:rPr>
          <w:rFonts w:cs="Arial"/>
          <w:lang w:val="es-ES"/>
        </w:rPr>
      </w:pPr>
    </w:p>
    <w:p w:rsidR="00EC2B3C" w:rsidRPr="00592F7C" w:rsidRDefault="00EC2B3C" w:rsidP="00EC2B3C">
      <w:pPr>
        <w:rPr>
          <w:lang w:val="es-ES"/>
        </w:rPr>
      </w:pPr>
      <w:r w:rsidRPr="00592F7C">
        <w:rPr>
          <w:lang w:val="es-ES"/>
        </w:rPr>
        <w:t>I.</w:t>
      </w:r>
      <w:r w:rsidRPr="00592F7C">
        <w:rPr>
          <w:lang w:val="es-ES"/>
        </w:rPr>
        <w:tab/>
      </w:r>
      <w:r w:rsidRPr="00CC39C6">
        <w:t>PROTECCIÓN DE LAS OBTENCIONES VEGETALES</w:t>
      </w:r>
    </w:p>
    <w:p w:rsidR="00EC2B3C" w:rsidRPr="00592F7C" w:rsidRDefault="00EC2B3C" w:rsidP="00EC2B3C">
      <w:pPr>
        <w:tabs>
          <w:tab w:val="left" w:pos="4962"/>
        </w:tabs>
        <w:rPr>
          <w:rFonts w:cs="Arial"/>
          <w:u w:val="single"/>
          <w:lang w:val="es-ES"/>
        </w:rPr>
      </w:pPr>
    </w:p>
    <w:p w:rsidR="00EC2B3C" w:rsidRPr="00592F7C" w:rsidRDefault="00EC2B3C" w:rsidP="00EC2B3C">
      <w:pPr>
        <w:rPr>
          <w:u w:val="single"/>
          <w:lang w:val="es-ES"/>
        </w:rPr>
      </w:pPr>
      <w:r w:rsidRPr="00592F7C">
        <w:rPr>
          <w:lang w:val="es-ES"/>
        </w:rPr>
        <w:t>1.</w:t>
      </w:r>
      <w:r w:rsidRPr="00592F7C">
        <w:rPr>
          <w:lang w:val="es-ES"/>
        </w:rPr>
        <w:tab/>
      </w:r>
      <w:r w:rsidRPr="00CC39C6">
        <w:rPr>
          <w:u w:val="single"/>
        </w:rPr>
        <w:t>Situación en el ámbito legislativo</w:t>
      </w:r>
    </w:p>
    <w:p w:rsidR="00EC2B3C" w:rsidRPr="00592F7C" w:rsidRDefault="00EC2B3C" w:rsidP="00EC2B3C">
      <w:pPr>
        <w:rPr>
          <w:lang w:val="es-ES"/>
        </w:rPr>
      </w:pPr>
    </w:p>
    <w:p w:rsidR="00EC2B3C" w:rsidRPr="00592F7C" w:rsidRDefault="00EC2B3C" w:rsidP="00EC2B3C">
      <w:pPr>
        <w:rPr>
          <w:lang w:val="es-ES"/>
        </w:rPr>
      </w:pPr>
      <w:r w:rsidRPr="00592F7C">
        <w:rPr>
          <w:lang w:val="es-ES"/>
        </w:rPr>
        <w:t>1.1</w:t>
      </w:r>
      <w:r w:rsidRPr="00592F7C">
        <w:rPr>
          <w:lang w:val="es-ES"/>
        </w:rPr>
        <w:tab/>
      </w:r>
      <w:r w:rsidRPr="00CC39C6">
        <w:t>Modificaciones de la ley y de los reglamentos:</w:t>
      </w:r>
      <w:r w:rsidRPr="00592F7C">
        <w:rPr>
          <w:lang w:val="es-ES"/>
        </w:rPr>
        <w:t xml:space="preserve"> </w:t>
      </w:r>
      <w:r w:rsidRPr="00CC39C6">
        <w:t>No ha habido modificaciones.</w:t>
      </w:r>
    </w:p>
    <w:p w:rsidR="00EC2B3C" w:rsidRPr="00592F7C" w:rsidRDefault="00EC2B3C" w:rsidP="00EC2B3C">
      <w:pPr>
        <w:rPr>
          <w:lang w:val="es-ES"/>
        </w:rPr>
      </w:pPr>
    </w:p>
    <w:p w:rsidR="00EC2B3C" w:rsidRPr="00592F7C" w:rsidRDefault="00EC2B3C" w:rsidP="00EC2B3C">
      <w:pPr>
        <w:rPr>
          <w:lang w:val="es-ES"/>
        </w:rPr>
      </w:pPr>
      <w:r w:rsidRPr="00592F7C">
        <w:rPr>
          <w:lang w:val="es-ES"/>
        </w:rPr>
        <w:t>1.2</w:t>
      </w:r>
      <w:r w:rsidRPr="00592F7C">
        <w:rPr>
          <w:lang w:val="es-ES"/>
        </w:rPr>
        <w:tab/>
      </w:r>
      <w:r w:rsidRPr="00CC39C6">
        <w:t>Extensión de la protección a otros géneros y especies</w:t>
      </w:r>
    </w:p>
    <w:p w:rsidR="00EC2B3C" w:rsidRPr="00592F7C" w:rsidRDefault="00EC2B3C" w:rsidP="00EC2B3C">
      <w:pPr>
        <w:rPr>
          <w:lang w:val="es-ES"/>
        </w:rPr>
      </w:pPr>
    </w:p>
    <w:p w:rsidR="00EC2B3C" w:rsidRPr="00592F7C" w:rsidRDefault="00EC2B3C" w:rsidP="00EC2B3C">
      <w:pPr>
        <w:rPr>
          <w:lang w:val="es-ES"/>
        </w:rPr>
      </w:pPr>
      <w:r w:rsidRPr="00CC39C6">
        <w:t xml:space="preserve">De conformidad con la Ley N.º 39-XVI/2008 sobre la Protección de las Obtenciones Vegetales, se ofrece protección a las variedades de todos los géneros y especies botánicos, incluidos los híbridos </w:t>
      </w:r>
      <w:proofErr w:type="spellStart"/>
      <w:r w:rsidRPr="00CC39C6">
        <w:t>intergenéricos</w:t>
      </w:r>
      <w:proofErr w:type="spellEnd"/>
      <w:r w:rsidRPr="00CC39C6">
        <w:t xml:space="preserve"> e </w:t>
      </w:r>
      <w:proofErr w:type="spellStart"/>
      <w:r w:rsidRPr="00CC39C6">
        <w:t>interespecíficos</w:t>
      </w:r>
      <w:proofErr w:type="spellEnd"/>
      <w:r w:rsidRPr="00CC39C6">
        <w:t>.</w:t>
      </w:r>
    </w:p>
    <w:p w:rsidR="00EC2B3C" w:rsidRPr="00592F7C" w:rsidRDefault="00EC2B3C" w:rsidP="00EC2B3C">
      <w:pPr>
        <w:rPr>
          <w:lang w:val="es-ES"/>
        </w:rPr>
      </w:pPr>
    </w:p>
    <w:p w:rsidR="00EC2B3C" w:rsidRPr="00592F7C" w:rsidRDefault="00EC2B3C" w:rsidP="00EC2B3C">
      <w:pPr>
        <w:rPr>
          <w:lang w:val="es-ES"/>
        </w:rPr>
      </w:pPr>
      <w:r w:rsidRPr="00592F7C">
        <w:rPr>
          <w:lang w:val="es-ES"/>
        </w:rPr>
        <w:t>1.3</w:t>
      </w:r>
      <w:r w:rsidRPr="00592F7C">
        <w:rPr>
          <w:lang w:val="es-ES"/>
        </w:rPr>
        <w:tab/>
      </w:r>
      <w:r w:rsidRPr="00CC39C6">
        <w:t>Jurisprudencia</w:t>
      </w:r>
    </w:p>
    <w:p w:rsidR="00EC2B3C" w:rsidRPr="00592F7C" w:rsidRDefault="00EC2B3C" w:rsidP="00EC2B3C">
      <w:pPr>
        <w:rPr>
          <w:lang w:val="es-ES"/>
        </w:rPr>
      </w:pPr>
    </w:p>
    <w:p w:rsidR="00EC2B3C" w:rsidRPr="00FE0BB4" w:rsidRDefault="00EC2B3C" w:rsidP="00EC2B3C">
      <w:pPr>
        <w:rPr>
          <w:lang w:val="es-ES"/>
        </w:rPr>
      </w:pPr>
      <w:r w:rsidRPr="00CC39C6">
        <w:t>No existen precedentes relativos a la protección del derecho de obtentor.</w:t>
      </w:r>
    </w:p>
    <w:p w:rsidR="00EC2B3C" w:rsidRPr="00592F7C" w:rsidRDefault="00EC2B3C" w:rsidP="00EC2B3C">
      <w:pPr>
        <w:rPr>
          <w:lang w:val="es-ES"/>
        </w:rPr>
      </w:pPr>
    </w:p>
    <w:p w:rsidR="00EC2B3C" w:rsidRPr="00592F7C" w:rsidRDefault="00EC2B3C" w:rsidP="00EC2B3C">
      <w:pPr>
        <w:rPr>
          <w:lang w:val="es-ES"/>
        </w:rPr>
      </w:pPr>
    </w:p>
    <w:p w:rsidR="00EC2B3C" w:rsidRPr="00592F7C" w:rsidRDefault="00EC2B3C" w:rsidP="00EC2B3C">
      <w:pPr>
        <w:rPr>
          <w:u w:val="single"/>
          <w:lang w:val="es-ES"/>
        </w:rPr>
      </w:pPr>
      <w:r w:rsidRPr="00592F7C">
        <w:rPr>
          <w:lang w:val="es-ES"/>
        </w:rPr>
        <w:t>2.</w:t>
      </w:r>
      <w:r w:rsidRPr="00592F7C">
        <w:rPr>
          <w:lang w:val="es-ES"/>
        </w:rPr>
        <w:tab/>
      </w:r>
      <w:r w:rsidRPr="00CC39C6">
        <w:rPr>
          <w:u w:val="single"/>
        </w:rPr>
        <w:t>Cooperación en el examen</w:t>
      </w:r>
    </w:p>
    <w:p w:rsidR="00EC2B3C" w:rsidRPr="00592F7C" w:rsidRDefault="00EC2B3C" w:rsidP="00EC2B3C">
      <w:pPr>
        <w:rPr>
          <w:lang w:val="es-ES"/>
        </w:rPr>
      </w:pPr>
    </w:p>
    <w:p w:rsidR="00EC2B3C" w:rsidRPr="00592F7C" w:rsidRDefault="00EC2B3C" w:rsidP="00EC2B3C">
      <w:pPr>
        <w:rPr>
          <w:lang w:val="es-ES"/>
        </w:rPr>
      </w:pPr>
      <w:r w:rsidRPr="00CC39C6">
        <w:t>Empleo de informes DHE existentes ofrecidos por:</w:t>
      </w:r>
    </w:p>
    <w:p w:rsidR="00EC2B3C" w:rsidRPr="00592F7C" w:rsidRDefault="00EC2B3C" w:rsidP="00EC2B3C">
      <w:pPr>
        <w:rPr>
          <w:lang w:val="es-ES"/>
        </w:rPr>
      </w:pPr>
    </w:p>
    <w:p w:rsidR="00EC2B3C" w:rsidRPr="00D63CE6" w:rsidRDefault="00EC2B3C" w:rsidP="00EC2B3C">
      <w:pPr>
        <w:pStyle w:val="ListParagraph"/>
        <w:numPr>
          <w:ilvl w:val="0"/>
          <w:numId w:val="5"/>
        </w:numPr>
        <w:ind w:left="426" w:hanging="426"/>
      </w:pPr>
      <w:r w:rsidRPr="00CC39C6">
        <w:rPr>
          <w:lang w:val="es-ES_tradnl"/>
        </w:rPr>
        <w:t xml:space="preserve">el GEVES, </w:t>
      </w:r>
      <w:proofErr w:type="spellStart"/>
      <w:r w:rsidRPr="00CC39C6">
        <w:rPr>
          <w:lang w:val="es-ES_tradnl"/>
        </w:rPr>
        <w:t>Beaucouzé</w:t>
      </w:r>
      <w:proofErr w:type="spellEnd"/>
      <w:r w:rsidRPr="00CC39C6">
        <w:rPr>
          <w:lang w:val="es-ES_tradnl"/>
        </w:rPr>
        <w:t xml:space="preserve"> (Francia);</w:t>
      </w:r>
    </w:p>
    <w:p w:rsidR="00EC2B3C" w:rsidRPr="00592F7C" w:rsidRDefault="00EC2B3C" w:rsidP="00EC2B3C">
      <w:pPr>
        <w:pStyle w:val="ListParagraph"/>
        <w:numPr>
          <w:ilvl w:val="0"/>
          <w:numId w:val="5"/>
        </w:numPr>
        <w:ind w:left="426" w:hanging="426"/>
        <w:rPr>
          <w:lang w:val="es-ES"/>
        </w:rPr>
      </w:pPr>
      <w:r w:rsidRPr="00CC39C6">
        <w:rPr>
          <w:lang w:val="es-ES_tradnl"/>
        </w:rPr>
        <w:t>la Oficina de Derechos de Obtentor del Reino Unido;</w:t>
      </w:r>
    </w:p>
    <w:p w:rsidR="00EC2B3C" w:rsidRPr="00D63CE6" w:rsidRDefault="00EC2B3C" w:rsidP="00EC2B3C">
      <w:pPr>
        <w:pStyle w:val="ListParagraph"/>
        <w:numPr>
          <w:ilvl w:val="0"/>
          <w:numId w:val="5"/>
        </w:numPr>
        <w:ind w:left="426" w:hanging="426"/>
      </w:pPr>
      <w:r w:rsidRPr="00CC39C6">
        <w:rPr>
          <w:lang w:val="es-ES_tradnl"/>
        </w:rPr>
        <w:t xml:space="preserve">el </w:t>
      </w:r>
      <w:proofErr w:type="spellStart"/>
      <w:r w:rsidRPr="00CC39C6">
        <w:rPr>
          <w:lang w:val="es-ES_tradnl"/>
        </w:rPr>
        <w:t>Naktuinbouw</w:t>
      </w:r>
      <w:proofErr w:type="spellEnd"/>
      <w:r w:rsidRPr="00CC39C6">
        <w:rPr>
          <w:lang w:val="es-ES_tradnl"/>
        </w:rPr>
        <w:t xml:space="preserve"> (Países Bajos);</w:t>
      </w:r>
    </w:p>
    <w:p w:rsidR="00EC2B3C" w:rsidRPr="00592F7C" w:rsidRDefault="00EC2B3C" w:rsidP="00EC2B3C">
      <w:pPr>
        <w:pStyle w:val="ListParagraph"/>
        <w:numPr>
          <w:ilvl w:val="0"/>
          <w:numId w:val="5"/>
        </w:numPr>
        <w:ind w:left="426" w:hanging="426"/>
        <w:rPr>
          <w:lang w:val="es-ES"/>
        </w:rPr>
      </w:pPr>
      <w:r w:rsidRPr="00CC39C6">
        <w:rPr>
          <w:lang w:val="es-ES_tradnl"/>
        </w:rPr>
        <w:t>la OCVV y la Oficina Española de Variedades Vegetales (OEVV, España).</w:t>
      </w:r>
    </w:p>
    <w:p w:rsidR="00EC2B3C" w:rsidRPr="00592F7C" w:rsidRDefault="00EC2B3C" w:rsidP="00EC2B3C">
      <w:pPr>
        <w:rPr>
          <w:lang w:val="es-ES"/>
        </w:rPr>
      </w:pPr>
    </w:p>
    <w:p w:rsidR="00EC2B3C" w:rsidRPr="00592F7C" w:rsidRDefault="00EC2B3C" w:rsidP="00EC2B3C">
      <w:pPr>
        <w:rPr>
          <w:lang w:val="es-ES"/>
        </w:rPr>
      </w:pPr>
    </w:p>
    <w:p w:rsidR="00EC2B3C" w:rsidRPr="00592F7C" w:rsidRDefault="00EC2B3C" w:rsidP="00EC2B3C">
      <w:pPr>
        <w:rPr>
          <w:lang w:val="es-ES"/>
        </w:rPr>
      </w:pPr>
      <w:r w:rsidRPr="00592F7C">
        <w:rPr>
          <w:lang w:val="es-ES"/>
        </w:rPr>
        <w:t>3.</w:t>
      </w:r>
      <w:r w:rsidRPr="00592F7C">
        <w:rPr>
          <w:lang w:val="es-ES"/>
        </w:rPr>
        <w:tab/>
      </w:r>
      <w:r w:rsidRPr="00CC39C6">
        <w:rPr>
          <w:u w:val="single"/>
        </w:rPr>
        <w:t>Situación en el ámbito administrativo:</w:t>
      </w:r>
      <w:r w:rsidRPr="00592F7C">
        <w:rPr>
          <w:lang w:val="es-ES"/>
        </w:rPr>
        <w:t xml:space="preserve"> </w:t>
      </w:r>
      <w:r w:rsidRPr="00CC39C6">
        <w:t>No se han producido cambios.</w:t>
      </w:r>
    </w:p>
    <w:p w:rsidR="00EC2B3C" w:rsidRPr="00592F7C" w:rsidRDefault="00EC2B3C" w:rsidP="00EC2B3C">
      <w:pPr>
        <w:rPr>
          <w:lang w:val="es-ES"/>
        </w:rPr>
      </w:pPr>
    </w:p>
    <w:p w:rsidR="00EC2B3C" w:rsidRPr="00592F7C" w:rsidRDefault="00EC2B3C" w:rsidP="00EC2B3C">
      <w:pPr>
        <w:rPr>
          <w:i/>
          <w:lang w:val="es-ES"/>
        </w:rPr>
      </w:pPr>
      <w:r w:rsidRPr="00CC39C6">
        <w:rPr>
          <w:i/>
        </w:rPr>
        <w:t>Estadísticas</w:t>
      </w:r>
    </w:p>
    <w:p w:rsidR="00EC2B3C" w:rsidRPr="00592F7C" w:rsidRDefault="00EC2B3C" w:rsidP="00EC2B3C">
      <w:pPr>
        <w:rPr>
          <w:lang w:val="es-ES"/>
        </w:rPr>
      </w:pPr>
    </w:p>
    <w:p w:rsidR="00EC2B3C" w:rsidRPr="00592F7C" w:rsidRDefault="00EC2B3C" w:rsidP="00EC2B3C">
      <w:pPr>
        <w:rPr>
          <w:lang w:val="es-ES"/>
        </w:rPr>
      </w:pPr>
      <w:r w:rsidRPr="00CC39C6">
        <w:t>En el período comprendido entre el 1 de enero y el 31 de diciembre de 2019:</w:t>
      </w:r>
    </w:p>
    <w:p w:rsidR="00EC2B3C" w:rsidRPr="00592F7C" w:rsidRDefault="00EC2B3C" w:rsidP="00EC2B3C">
      <w:pPr>
        <w:rPr>
          <w:lang w:val="es-ES"/>
        </w:rPr>
      </w:pPr>
    </w:p>
    <w:p w:rsidR="00EC2B3C" w:rsidRPr="00592F7C" w:rsidRDefault="00EC2B3C" w:rsidP="00EC2B3C">
      <w:pPr>
        <w:pStyle w:val="ListParagraph"/>
        <w:numPr>
          <w:ilvl w:val="0"/>
          <w:numId w:val="5"/>
        </w:numPr>
        <w:ind w:left="426" w:hanging="426"/>
        <w:rPr>
          <w:lang w:val="es-ES"/>
        </w:rPr>
      </w:pPr>
      <w:r w:rsidRPr="00CC39C6">
        <w:rPr>
          <w:lang w:val="es-ES_tradnl"/>
        </w:rPr>
        <w:t>se recibieron las siguientes 16 solicitudes (11 de solicitantes nacionales y 5 de solicitantes de otros países):</w:t>
      </w:r>
      <w:r w:rsidRPr="00592F7C">
        <w:rPr>
          <w:lang w:val="es-ES"/>
        </w:rPr>
        <w:t xml:space="preserve"> </w:t>
      </w:r>
    </w:p>
    <w:p w:rsidR="00EC2B3C" w:rsidRPr="00592F7C" w:rsidRDefault="00EC2B3C" w:rsidP="00EC2B3C">
      <w:pPr>
        <w:rPr>
          <w:lang w:val="es-ES"/>
        </w:rPr>
      </w:pPr>
    </w:p>
    <w:p w:rsidR="00EC2B3C" w:rsidRPr="00932993" w:rsidRDefault="00EC2B3C" w:rsidP="00EC2B3C">
      <w:pPr>
        <w:ind w:left="426"/>
        <w:rPr>
          <w:rFonts w:eastAsia="Calibri"/>
          <w:lang w:val="pt-PT"/>
        </w:rPr>
      </w:pPr>
      <w:r w:rsidRPr="00932993">
        <w:rPr>
          <w:rFonts w:eastAsia="Calibri"/>
          <w:i/>
          <w:lang w:val="pt-PT"/>
        </w:rPr>
        <w:t xml:space="preserve">Astragalus </w:t>
      </w:r>
      <w:r w:rsidRPr="00932993">
        <w:rPr>
          <w:rFonts w:eastAsia="Calibri"/>
          <w:lang w:val="pt-PT"/>
        </w:rPr>
        <w:t>(</w:t>
      </w:r>
      <w:r w:rsidRPr="00932993">
        <w:rPr>
          <w:rFonts w:eastAsia="Calibri"/>
          <w:i/>
          <w:lang w:val="pt-PT"/>
        </w:rPr>
        <w:t xml:space="preserve">Astragalus galegiformis </w:t>
      </w:r>
      <w:r w:rsidRPr="00932993">
        <w:rPr>
          <w:rFonts w:eastAsia="Calibri"/>
          <w:lang w:val="pt-PT"/>
        </w:rPr>
        <w:t>L.): 1</w:t>
      </w:r>
    </w:p>
    <w:p w:rsidR="00EC2B3C" w:rsidRPr="00932993" w:rsidRDefault="00EC2B3C" w:rsidP="00EC2B3C">
      <w:pPr>
        <w:ind w:left="426"/>
        <w:rPr>
          <w:rFonts w:eastAsia="Calibri"/>
          <w:lang w:val="pt-PT"/>
        </w:rPr>
      </w:pPr>
      <w:r w:rsidRPr="00932993">
        <w:rPr>
          <w:rFonts w:eastAsia="Calibri"/>
          <w:lang w:val="pt-PT"/>
        </w:rPr>
        <w:t>cebada (</w:t>
      </w:r>
      <w:r w:rsidRPr="00932993">
        <w:rPr>
          <w:rFonts w:eastAsia="Calibri"/>
          <w:i/>
          <w:lang w:val="pt-PT"/>
        </w:rPr>
        <w:t xml:space="preserve">Hordeum vulgare </w:t>
      </w:r>
      <w:r w:rsidRPr="00932993">
        <w:rPr>
          <w:rFonts w:eastAsia="Calibri"/>
          <w:lang w:val="pt-PT"/>
        </w:rPr>
        <w:t>L.): 1</w:t>
      </w:r>
    </w:p>
    <w:p w:rsidR="00EC2B3C" w:rsidRPr="00592F7C" w:rsidRDefault="00EC2B3C" w:rsidP="00EC2B3C">
      <w:pPr>
        <w:ind w:left="426"/>
        <w:rPr>
          <w:rFonts w:eastAsia="Calibri"/>
          <w:lang w:val="es-ES"/>
        </w:rPr>
      </w:pPr>
      <w:r w:rsidRPr="00CC39C6">
        <w:rPr>
          <w:rFonts w:eastAsia="Calibri"/>
        </w:rPr>
        <w:t>avellano común (</w:t>
      </w:r>
      <w:proofErr w:type="spellStart"/>
      <w:r w:rsidRPr="00CC39C6">
        <w:rPr>
          <w:rFonts w:eastAsia="Calibri"/>
          <w:i/>
        </w:rPr>
        <w:t>Corylus</w:t>
      </w:r>
      <w:proofErr w:type="spellEnd"/>
      <w:r w:rsidRPr="00CC39C6">
        <w:rPr>
          <w:rFonts w:eastAsia="Calibri"/>
          <w:i/>
        </w:rPr>
        <w:t xml:space="preserve"> avellana </w:t>
      </w:r>
      <w:r w:rsidRPr="00CC39C6">
        <w:rPr>
          <w:rFonts w:eastAsia="Calibri"/>
        </w:rPr>
        <w:t>L.): 1</w:t>
      </w:r>
    </w:p>
    <w:p w:rsidR="00EC2B3C" w:rsidRPr="00592F7C" w:rsidRDefault="00EC2B3C" w:rsidP="00EC2B3C">
      <w:pPr>
        <w:ind w:left="426"/>
        <w:rPr>
          <w:rFonts w:eastAsia="Calibri"/>
          <w:lang w:val="es-ES"/>
        </w:rPr>
      </w:pPr>
      <w:proofErr w:type="spellStart"/>
      <w:r w:rsidRPr="00CC39C6">
        <w:rPr>
          <w:rFonts w:eastAsia="Calibri"/>
        </w:rPr>
        <w:t>elecampana</w:t>
      </w:r>
      <w:proofErr w:type="spellEnd"/>
      <w:r w:rsidRPr="00CC39C6">
        <w:rPr>
          <w:rFonts w:eastAsia="Calibri"/>
        </w:rPr>
        <w:t xml:space="preserve"> (</w:t>
      </w:r>
      <w:proofErr w:type="spellStart"/>
      <w:r w:rsidRPr="00CC39C6">
        <w:rPr>
          <w:rFonts w:eastAsia="Calibri"/>
          <w:i/>
        </w:rPr>
        <w:t>Inula</w:t>
      </w:r>
      <w:proofErr w:type="spellEnd"/>
      <w:r w:rsidRPr="00CC39C6">
        <w:rPr>
          <w:rFonts w:eastAsia="Calibri"/>
          <w:i/>
        </w:rPr>
        <w:t xml:space="preserve"> </w:t>
      </w:r>
      <w:proofErr w:type="spellStart"/>
      <w:r w:rsidRPr="00CC39C6">
        <w:rPr>
          <w:rFonts w:eastAsia="Calibri"/>
          <w:i/>
        </w:rPr>
        <w:t>helenium</w:t>
      </w:r>
      <w:proofErr w:type="spellEnd"/>
      <w:r w:rsidRPr="00CC39C6">
        <w:rPr>
          <w:rFonts w:eastAsia="Calibri"/>
        </w:rPr>
        <w:t xml:space="preserve"> L.): 1</w:t>
      </w:r>
    </w:p>
    <w:p w:rsidR="00EC2B3C" w:rsidRPr="00592F7C" w:rsidRDefault="00EC2B3C" w:rsidP="00EC2B3C">
      <w:pPr>
        <w:ind w:left="426"/>
        <w:rPr>
          <w:rFonts w:eastAsia="Calibri"/>
          <w:lang w:val="es-ES"/>
        </w:rPr>
      </w:pPr>
      <w:proofErr w:type="spellStart"/>
      <w:r w:rsidRPr="00CC39C6">
        <w:rPr>
          <w:rFonts w:eastAsia="Calibri"/>
          <w:i/>
        </w:rPr>
        <w:t>Kniphofia</w:t>
      </w:r>
      <w:proofErr w:type="spellEnd"/>
      <w:r w:rsidRPr="00CC39C6">
        <w:rPr>
          <w:rFonts w:eastAsia="Calibri"/>
          <w:i/>
        </w:rPr>
        <w:t xml:space="preserve"> </w:t>
      </w:r>
      <w:r w:rsidRPr="00CC39C6">
        <w:rPr>
          <w:rFonts w:eastAsia="Calibri"/>
        </w:rPr>
        <w:t>(</w:t>
      </w:r>
      <w:proofErr w:type="spellStart"/>
      <w:r w:rsidRPr="00CC39C6">
        <w:rPr>
          <w:rFonts w:eastAsia="Calibri"/>
          <w:i/>
        </w:rPr>
        <w:t>Kniphofia</w:t>
      </w:r>
      <w:proofErr w:type="spellEnd"/>
      <w:r w:rsidRPr="00CC39C6">
        <w:rPr>
          <w:rFonts w:eastAsia="Calibri"/>
          <w:i/>
        </w:rPr>
        <w:t xml:space="preserve"> </w:t>
      </w:r>
      <w:proofErr w:type="spellStart"/>
      <w:r w:rsidRPr="00CC39C6">
        <w:rPr>
          <w:rFonts w:eastAsia="Calibri"/>
          <w:i/>
        </w:rPr>
        <w:t>nelsonii</w:t>
      </w:r>
      <w:proofErr w:type="spellEnd"/>
      <w:r w:rsidRPr="00CC39C6">
        <w:rPr>
          <w:rFonts w:eastAsia="Calibri"/>
          <w:i/>
        </w:rPr>
        <w:t xml:space="preserve"> </w:t>
      </w:r>
      <w:proofErr w:type="spellStart"/>
      <w:r w:rsidRPr="00CC39C6">
        <w:rPr>
          <w:rFonts w:eastAsia="Calibri"/>
        </w:rPr>
        <w:t>Mast</w:t>
      </w:r>
      <w:proofErr w:type="spellEnd"/>
      <w:r w:rsidRPr="00CC39C6">
        <w:rPr>
          <w:rFonts w:eastAsia="Calibri"/>
        </w:rPr>
        <w:t>.): 1</w:t>
      </w:r>
    </w:p>
    <w:p w:rsidR="00EC2B3C" w:rsidRPr="00932993" w:rsidRDefault="00EC2B3C" w:rsidP="00EC2B3C">
      <w:pPr>
        <w:ind w:left="426"/>
        <w:rPr>
          <w:lang w:val="es-ES"/>
        </w:rPr>
      </w:pPr>
      <w:r w:rsidRPr="00932993">
        <w:rPr>
          <w:lang w:val="es-ES"/>
        </w:rPr>
        <w:t>maíz (</w:t>
      </w:r>
      <w:r w:rsidRPr="00932993">
        <w:rPr>
          <w:i/>
          <w:lang w:val="es-ES"/>
        </w:rPr>
        <w:t xml:space="preserve">Zea </w:t>
      </w:r>
      <w:proofErr w:type="spellStart"/>
      <w:r w:rsidRPr="00932993">
        <w:rPr>
          <w:i/>
          <w:lang w:val="es-ES"/>
        </w:rPr>
        <w:t>mays</w:t>
      </w:r>
      <w:proofErr w:type="spellEnd"/>
      <w:r w:rsidRPr="00932993">
        <w:rPr>
          <w:i/>
          <w:lang w:val="es-ES"/>
        </w:rPr>
        <w:t xml:space="preserve"> </w:t>
      </w:r>
      <w:r w:rsidRPr="00932993">
        <w:rPr>
          <w:lang w:val="es-ES"/>
        </w:rPr>
        <w:t>L.): 1</w:t>
      </w:r>
    </w:p>
    <w:p w:rsidR="00EC2B3C" w:rsidRPr="00592F7C" w:rsidRDefault="00EC2B3C" w:rsidP="00EC2B3C">
      <w:pPr>
        <w:ind w:left="426"/>
        <w:rPr>
          <w:lang w:val="fr-CH"/>
        </w:rPr>
      </w:pPr>
      <w:r w:rsidRPr="00592F7C">
        <w:rPr>
          <w:i/>
          <w:lang w:val="fr-CH"/>
        </w:rPr>
        <w:t>Miscanthus</w:t>
      </w:r>
      <w:r w:rsidRPr="00592F7C">
        <w:rPr>
          <w:lang w:val="fr-CH"/>
        </w:rPr>
        <w:t xml:space="preserve"> </w:t>
      </w:r>
      <w:proofErr w:type="spellStart"/>
      <w:r w:rsidRPr="00592F7C">
        <w:rPr>
          <w:lang w:val="fr-CH"/>
        </w:rPr>
        <w:t>gigante</w:t>
      </w:r>
      <w:proofErr w:type="spellEnd"/>
      <w:r w:rsidRPr="00592F7C">
        <w:rPr>
          <w:lang w:val="fr-CH"/>
        </w:rPr>
        <w:t xml:space="preserve"> (</w:t>
      </w:r>
      <w:r w:rsidRPr="00592F7C">
        <w:rPr>
          <w:i/>
          <w:lang w:val="fr-CH"/>
        </w:rPr>
        <w:t xml:space="preserve">Miscanthus </w:t>
      </w:r>
      <w:r w:rsidRPr="00592F7C">
        <w:rPr>
          <w:lang w:val="fr-CH"/>
        </w:rPr>
        <w:t xml:space="preserve">× </w:t>
      </w:r>
      <w:proofErr w:type="spellStart"/>
      <w:r w:rsidRPr="00592F7C">
        <w:rPr>
          <w:i/>
          <w:lang w:val="fr-CH"/>
        </w:rPr>
        <w:t>giganteus</w:t>
      </w:r>
      <w:proofErr w:type="spellEnd"/>
      <w:r w:rsidRPr="00592F7C">
        <w:rPr>
          <w:i/>
          <w:lang w:val="fr-CH"/>
        </w:rPr>
        <w:t xml:space="preserve"> </w:t>
      </w:r>
      <w:r w:rsidRPr="00592F7C">
        <w:rPr>
          <w:lang w:val="fr-CH"/>
        </w:rPr>
        <w:t xml:space="preserve">J.M. </w:t>
      </w:r>
      <w:proofErr w:type="spellStart"/>
      <w:r w:rsidRPr="00592F7C">
        <w:rPr>
          <w:lang w:val="fr-CH"/>
        </w:rPr>
        <w:t>Greef</w:t>
      </w:r>
      <w:proofErr w:type="spellEnd"/>
      <w:r w:rsidRPr="00592F7C">
        <w:rPr>
          <w:lang w:val="fr-CH"/>
        </w:rPr>
        <w:t xml:space="preserve"> &amp; </w:t>
      </w:r>
      <w:proofErr w:type="spellStart"/>
      <w:r w:rsidRPr="00592F7C">
        <w:rPr>
          <w:lang w:val="fr-CH"/>
        </w:rPr>
        <w:t>Deuter</w:t>
      </w:r>
      <w:proofErr w:type="spellEnd"/>
      <w:r w:rsidRPr="00592F7C">
        <w:rPr>
          <w:lang w:val="fr-CH"/>
        </w:rPr>
        <w:t xml:space="preserve"> ex </w:t>
      </w:r>
      <w:proofErr w:type="spellStart"/>
      <w:r w:rsidRPr="00592F7C">
        <w:rPr>
          <w:lang w:val="fr-CH"/>
        </w:rPr>
        <w:t>Hodk</w:t>
      </w:r>
      <w:proofErr w:type="spellEnd"/>
      <w:r w:rsidRPr="00592F7C">
        <w:rPr>
          <w:lang w:val="fr-CH"/>
        </w:rPr>
        <w:t xml:space="preserve">. &amp; </w:t>
      </w:r>
      <w:proofErr w:type="spellStart"/>
      <w:r w:rsidRPr="00592F7C">
        <w:rPr>
          <w:lang w:val="fr-CH"/>
        </w:rPr>
        <w:t>Renvoize</w:t>
      </w:r>
      <w:proofErr w:type="spellEnd"/>
      <w:r w:rsidRPr="00592F7C">
        <w:rPr>
          <w:lang w:val="fr-CH"/>
        </w:rPr>
        <w:t>): 1</w:t>
      </w:r>
    </w:p>
    <w:p w:rsidR="00EC2B3C" w:rsidRPr="00932993" w:rsidRDefault="00EC2B3C" w:rsidP="00EC2B3C">
      <w:pPr>
        <w:ind w:left="426"/>
        <w:rPr>
          <w:rFonts w:eastAsia="Calibri"/>
          <w:lang w:val="pt-PT"/>
        </w:rPr>
      </w:pPr>
      <w:r w:rsidRPr="00932993">
        <w:rPr>
          <w:rFonts w:eastAsia="Calibri"/>
          <w:lang w:val="pt-PT"/>
        </w:rPr>
        <w:t>peral (</w:t>
      </w:r>
      <w:r w:rsidRPr="00932993">
        <w:rPr>
          <w:rFonts w:eastAsia="Calibri"/>
          <w:i/>
          <w:lang w:val="pt-PT"/>
        </w:rPr>
        <w:t xml:space="preserve">Pyrus communis </w:t>
      </w:r>
      <w:r w:rsidRPr="00932993">
        <w:rPr>
          <w:rFonts w:eastAsia="Calibri"/>
          <w:lang w:val="pt-PT"/>
        </w:rPr>
        <w:t>L.): 1</w:t>
      </w:r>
    </w:p>
    <w:p w:rsidR="00EC2B3C" w:rsidRPr="00932993" w:rsidRDefault="00EC2B3C" w:rsidP="00EC2B3C">
      <w:pPr>
        <w:ind w:left="426"/>
        <w:rPr>
          <w:rFonts w:eastAsia="Calibri"/>
          <w:lang w:val="pt-PT"/>
        </w:rPr>
      </w:pPr>
      <w:r w:rsidRPr="00932993">
        <w:rPr>
          <w:rFonts w:eastAsia="Calibri"/>
          <w:lang w:val="pt-PT"/>
        </w:rPr>
        <w:t>guisante (</w:t>
      </w:r>
      <w:r w:rsidRPr="00932993">
        <w:rPr>
          <w:rFonts w:eastAsia="Calibri"/>
          <w:i/>
          <w:lang w:val="pt-PT"/>
        </w:rPr>
        <w:t xml:space="preserve">Pisum sativum </w:t>
      </w:r>
      <w:r w:rsidRPr="00932993">
        <w:rPr>
          <w:rFonts w:eastAsia="Calibri"/>
          <w:lang w:val="pt-PT"/>
        </w:rPr>
        <w:t>L.): 1</w:t>
      </w:r>
    </w:p>
    <w:p w:rsidR="00EC2B3C" w:rsidRPr="00932993" w:rsidRDefault="00EC2B3C" w:rsidP="00EC2B3C">
      <w:pPr>
        <w:ind w:left="426"/>
        <w:rPr>
          <w:rFonts w:eastAsia="Calibri"/>
          <w:lang w:val="pt-PT"/>
        </w:rPr>
      </w:pPr>
      <w:r w:rsidRPr="00932993">
        <w:rPr>
          <w:rFonts w:eastAsia="Calibri"/>
          <w:lang w:val="pt-PT"/>
        </w:rPr>
        <w:t>menta (</w:t>
      </w:r>
      <w:r w:rsidRPr="00932993">
        <w:rPr>
          <w:rFonts w:eastAsia="Calibri"/>
          <w:i/>
          <w:lang w:val="pt-PT"/>
        </w:rPr>
        <w:t>Mentha</w:t>
      </w:r>
      <w:r w:rsidRPr="00932993">
        <w:rPr>
          <w:rFonts w:eastAsia="Calibri"/>
          <w:lang w:val="pt-PT"/>
        </w:rPr>
        <w:t xml:space="preserve"> × </w:t>
      </w:r>
      <w:r w:rsidRPr="00932993">
        <w:rPr>
          <w:rFonts w:eastAsia="Calibri"/>
          <w:i/>
          <w:lang w:val="pt-PT"/>
        </w:rPr>
        <w:t>verticilatta</w:t>
      </w:r>
      <w:r w:rsidRPr="00932993">
        <w:rPr>
          <w:rFonts w:eastAsia="Calibri"/>
          <w:lang w:val="pt-PT"/>
        </w:rPr>
        <w:t xml:space="preserve"> L.): 1</w:t>
      </w:r>
    </w:p>
    <w:p w:rsidR="00EC2B3C" w:rsidRPr="00932993" w:rsidRDefault="00EC2B3C" w:rsidP="00EC2B3C">
      <w:pPr>
        <w:ind w:left="426"/>
        <w:rPr>
          <w:rFonts w:eastAsia="Calibri"/>
          <w:lang w:val="pt-PT"/>
        </w:rPr>
      </w:pPr>
      <w:r w:rsidRPr="00932993">
        <w:rPr>
          <w:rFonts w:eastAsia="Calibri"/>
          <w:lang w:val="pt-PT"/>
        </w:rPr>
        <w:t>papa/patata (</w:t>
      </w:r>
      <w:r w:rsidRPr="00932993">
        <w:rPr>
          <w:rFonts w:eastAsia="Calibri"/>
          <w:i/>
          <w:lang w:val="pt-PT"/>
        </w:rPr>
        <w:t xml:space="preserve">Solanum tuberosum </w:t>
      </w:r>
      <w:r w:rsidRPr="00932993">
        <w:rPr>
          <w:rFonts w:eastAsia="Calibri"/>
          <w:lang w:val="pt-PT"/>
        </w:rPr>
        <w:t>L.): 2</w:t>
      </w:r>
    </w:p>
    <w:p w:rsidR="00EC2B3C" w:rsidRPr="00D63CE6" w:rsidRDefault="00EC2B3C" w:rsidP="00EC2B3C">
      <w:pPr>
        <w:ind w:left="426"/>
        <w:rPr>
          <w:rFonts w:eastAsia="Calibri"/>
        </w:rPr>
      </w:pPr>
      <w:r w:rsidRPr="00CC39C6">
        <w:rPr>
          <w:rFonts w:eastAsia="Calibri"/>
        </w:rPr>
        <w:t>soja (</w:t>
      </w:r>
      <w:proofErr w:type="spellStart"/>
      <w:r w:rsidRPr="00CC39C6">
        <w:rPr>
          <w:rFonts w:eastAsia="Calibri"/>
          <w:i/>
        </w:rPr>
        <w:t>Glicine</w:t>
      </w:r>
      <w:proofErr w:type="spellEnd"/>
      <w:r w:rsidRPr="00CC39C6">
        <w:rPr>
          <w:rFonts w:eastAsia="Calibri"/>
          <w:i/>
        </w:rPr>
        <w:t xml:space="preserve"> </w:t>
      </w:r>
      <w:proofErr w:type="spellStart"/>
      <w:r w:rsidRPr="00CC39C6">
        <w:rPr>
          <w:rFonts w:eastAsia="Calibri"/>
          <w:i/>
        </w:rPr>
        <w:t>max</w:t>
      </w:r>
      <w:proofErr w:type="spellEnd"/>
      <w:r w:rsidRPr="00CC39C6">
        <w:rPr>
          <w:rFonts w:eastAsia="Calibri"/>
          <w:i/>
        </w:rPr>
        <w:t xml:space="preserve"> </w:t>
      </w:r>
      <w:r w:rsidRPr="00CC39C6">
        <w:rPr>
          <w:rFonts w:eastAsia="Calibri"/>
        </w:rPr>
        <w:t>(L.) Merrill): 2</w:t>
      </w:r>
    </w:p>
    <w:p w:rsidR="00EC2B3C" w:rsidRPr="00D63CE6" w:rsidRDefault="00EC2B3C" w:rsidP="00EC2B3C">
      <w:pPr>
        <w:ind w:left="426"/>
      </w:pPr>
      <w:r w:rsidRPr="00CC39C6">
        <w:t>trigo (</w:t>
      </w:r>
      <w:proofErr w:type="spellStart"/>
      <w:r w:rsidRPr="00CC39C6">
        <w:rPr>
          <w:i/>
        </w:rPr>
        <w:t>Triticum</w:t>
      </w:r>
      <w:proofErr w:type="spellEnd"/>
      <w:r w:rsidRPr="00CC39C6">
        <w:rPr>
          <w:i/>
        </w:rPr>
        <w:t xml:space="preserve"> </w:t>
      </w:r>
      <w:proofErr w:type="spellStart"/>
      <w:r w:rsidRPr="00CC39C6">
        <w:rPr>
          <w:i/>
        </w:rPr>
        <w:t>aestivum</w:t>
      </w:r>
      <w:proofErr w:type="spellEnd"/>
      <w:r w:rsidRPr="00CC39C6">
        <w:rPr>
          <w:i/>
        </w:rPr>
        <w:t xml:space="preserve"> </w:t>
      </w:r>
      <w:r w:rsidRPr="00CC39C6">
        <w:t>L.): 2</w:t>
      </w:r>
    </w:p>
    <w:p w:rsidR="00EC2B3C" w:rsidRPr="00D63CE6" w:rsidRDefault="00EC2B3C" w:rsidP="00EC2B3C">
      <w:pPr>
        <w:rPr>
          <w:rFonts w:eastAsia="Calibri"/>
        </w:rPr>
      </w:pPr>
    </w:p>
    <w:p w:rsidR="00EC2B3C" w:rsidRPr="00592F7C" w:rsidRDefault="00EC2B3C" w:rsidP="00EC2B3C">
      <w:pPr>
        <w:pStyle w:val="ListParagraph"/>
        <w:numPr>
          <w:ilvl w:val="0"/>
          <w:numId w:val="5"/>
        </w:numPr>
        <w:ind w:left="426" w:hanging="426"/>
        <w:rPr>
          <w:lang w:val="es-ES"/>
        </w:rPr>
      </w:pPr>
      <w:r w:rsidRPr="00CC39C6">
        <w:rPr>
          <w:lang w:val="es-ES_tradnl"/>
        </w:rPr>
        <w:t>se concedieron títulos a las siguientes 29 obtenciones vegetales (23 de solicitantes nacionales y 6 de solicitantes de otros países):</w:t>
      </w:r>
      <w:r w:rsidRPr="00592F7C">
        <w:rPr>
          <w:lang w:val="es-ES"/>
        </w:rPr>
        <w:t xml:space="preserve"> </w:t>
      </w:r>
    </w:p>
    <w:p w:rsidR="00EC2B3C" w:rsidRPr="00592F7C" w:rsidRDefault="00EC2B3C" w:rsidP="00EC2B3C">
      <w:pPr>
        <w:rPr>
          <w:lang w:val="es-ES"/>
        </w:rPr>
      </w:pPr>
    </w:p>
    <w:p w:rsidR="00EC2B3C" w:rsidRPr="00932993" w:rsidRDefault="00EC2B3C" w:rsidP="00EC2B3C">
      <w:pPr>
        <w:ind w:left="426"/>
        <w:rPr>
          <w:lang w:val="pt-PT"/>
        </w:rPr>
      </w:pPr>
      <w:r w:rsidRPr="00932993">
        <w:rPr>
          <w:lang w:val="pt-PT"/>
        </w:rPr>
        <w:t>ajo (</w:t>
      </w:r>
      <w:r w:rsidRPr="00932993">
        <w:rPr>
          <w:i/>
          <w:lang w:val="pt-PT"/>
        </w:rPr>
        <w:t xml:space="preserve">Allium sativum </w:t>
      </w:r>
      <w:r w:rsidRPr="00932993">
        <w:rPr>
          <w:lang w:val="pt-PT"/>
        </w:rPr>
        <w:t>L.): 1</w:t>
      </w:r>
    </w:p>
    <w:p w:rsidR="00EC2B3C" w:rsidRPr="00932993" w:rsidRDefault="00EC2B3C" w:rsidP="00EC2B3C">
      <w:pPr>
        <w:ind w:left="426"/>
        <w:rPr>
          <w:lang w:val="pt-PT"/>
        </w:rPr>
      </w:pPr>
      <w:r w:rsidRPr="00932993">
        <w:rPr>
          <w:lang w:val="pt-PT"/>
        </w:rPr>
        <w:t>nogal (</w:t>
      </w:r>
      <w:r w:rsidRPr="00932993">
        <w:rPr>
          <w:i/>
          <w:lang w:val="pt-PT"/>
        </w:rPr>
        <w:t xml:space="preserve">Juglans regia </w:t>
      </w:r>
      <w:r w:rsidRPr="00932993">
        <w:rPr>
          <w:lang w:val="pt-PT"/>
        </w:rPr>
        <w:t>L.): 8</w:t>
      </w:r>
    </w:p>
    <w:p w:rsidR="00EC2B3C" w:rsidRPr="00932993" w:rsidRDefault="00EC2B3C" w:rsidP="00EC2B3C">
      <w:pPr>
        <w:ind w:left="426"/>
        <w:rPr>
          <w:lang w:val="pt-PT"/>
        </w:rPr>
      </w:pPr>
      <w:r w:rsidRPr="00932993">
        <w:rPr>
          <w:lang w:val="pt-PT"/>
        </w:rPr>
        <w:t>lavanda (</w:t>
      </w:r>
      <w:r w:rsidRPr="00932993">
        <w:rPr>
          <w:i/>
          <w:lang w:val="pt-PT"/>
        </w:rPr>
        <w:t>Lavandula angustifolia</w:t>
      </w:r>
      <w:r w:rsidRPr="00932993">
        <w:rPr>
          <w:lang w:val="pt-PT"/>
        </w:rPr>
        <w:t xml:space="preserve"> Mill.): 1</w:t>
      </w:r>
    </w:p>
    <w:p w:rsidR="00EC2B3C" w:rsidRPr="00932993" w:rsidRDefault="00EC2B3C" w:rsidP="00EC2B3C">
      <w:pPr>
        <w:ind w:left="426"/>
        <w:rPr>
          <w:lang w:val="pt-PT"/>
        </w:rPr>
      </w:pPr>
      <w:r w:rsidRPr="00932993">
        <w:rPr>
          <w:lang w:val="pt-PT"/>
        </w:rPr>
        <w:t>manzano (</w:t>
      </w:r>
      <w:r w:rsidRPr="00932993">
        <w:rPr>
          <w:i/>
          <w:lang w:val="pt-PT"/>
        </w:rPr>
        <w:t>Malus domestica</w:t>
      </w:r>
      <w:r w:rsidRPr="00932993">
        <w:rPr>
          <w:lang w:val="pt-PT"/>
        </w:rPr>
        <w:t xml:space="preserve"> Borkh.): 1</w:t>
      </w:r>
    </w:p>
    <w:p w:rsidR="00EC2B3C" w:rsidRPr="00932993" w:rsidRDefault="00EC2B3C" w:rsidP="00EC2B3C">
      <w:pPr>
        <w:ind w:left="426"/>
        <w:rPr>
          <w:lang w:val="pt-PT"/>
        </w:rPr>
      </w:pPr>
      <w:r w:rsidRPr="00932993">
        <w:rPr>
          <w:lang w:val="pt-PT"/>
        </w:rPr>
        <w:t>melisa (</w:t>
      </w:r>
      <w:r w:rsidRPr="00932993">
        <w:rPr>
          <w:i/>
          <w:lang w:val="pt-PT"/>
        </w:rPr>
        <w:t>Melissa officinalis</w:t>
      </w:r>
      <w:r w:rsidRPr="00932993">
        <w:rPr>
          <w:lang w:val="pt-PT"/>
        </w:rPr>
        <w:t xml:space="preserve"> L.): 1</w:t>
      </w:r>
    </w:p>
    <w:p w:rsidR="00EC2B3C" w:rsidRPr="00932993" w:rsidRDefault="00EC2B3C" w:rsidP="00EC2B3C">
      <w:pPr>
        <w:ind w:left="426"/>
        <w:rPr>
          <w:lang w:val="pt-PT"/>
        </w:rPr>
      </w:pPr>
      <w:r w:rsidRPr="00932993">
        <w:rPr>
          <w:lang w:val="pt-PT"/>
        </w:rPr>
        <w:lastRenderedPageBreak/>
        <w:t>frambueso (</w:t>
      </w:r>
      <w:r w:rsidRPr="00932993">
        <w:rPr>
          <w:i/>
          <w:lang w:val="pt-PT"/>
        </w:rPr>
        <w:t>Rubus idaeus</w:t>
      </w:r>
      <w:r w:rsidRPr="00932993">
        <w:rPr>
          <w:lang w:val="pt-PT"/>
        </w:rPr>
        <w:t xml:space="preserve"> L.): 1</w:t>
      </w:r>
    </w:p>
    <w:p w:rsidR="00EC2B3C" w:rsidRPr="00932993" w:rsidRDefault="00EC2B3C" w:rsidP="00EC2B3C">
      <w:pPr>
        <w:ind w:left="426"/>
        <w:rPr>
          <w:lang w:val="pt-PT"/>
        </w:rPr>
      </w:pPr>
      <w:r w:rsidRPr="00932993">
        <w:rPr>
          <w:lang w:val="pt-PT"/>
        </w:rPr>
        <w:t>centeno (</w:t>
      </w:r>
      <w:r w:rsidRPr="00932993">
        <w:rPr>
          <w:i/>
          <w:lang w:val="pt-PT"/>
        </w:rPr>
        <w:t xml:space="preserve">Secale cereale </w:t>
      </w:r>
      <w:r w:rsidRPr="00932993">
        <w:rPr>
          <w:lang w:val="pt-PT"/>
        </w:rPr>
        <w:t>L.): 1</w:t>
      </w:r>
    </w:p>
    <w:p w:rsidR="00EC2B3C" w:rsidRPr="00932993" w:rsidRDefault="00EC2B3C" w:rsidP="00EC2B3C">
      <w:pPr>
        <w:ind w:left="426"/>
        <w:rPr>
          <w:lang w:val="pt-PT"/>
        </w:rPr>
      </w:pPr>
      <w:r w:rsidRPr="00932993">
        <w:rPr>
          <w:lang w:val="pt-PT"/>
        </w:rPr>
        <w:t>tomate (</w:t>
      </w:r>
      <w:r w:rsidRPr="00932993">
        <w:rPr>
          <w:i/>
          <w:lang w:val="pt-PT"/>
        </w:rPr>
        <w:t xml:space="preserve">Solanum lycopersicum </w:t>
      </w:r>
      <w:r w:rsidRPr="00932993">
        <w:rPr>
          <w:lang w:val="pt-PT"/>
        </w:rPr>
        <w:t>L.): 5</w:t>
      </w:r>
    </w:p>
    <w:p w:rsidR="00EC2B3C" w:rsidRPr="00932993" w:rsidRDefault="00EC2B3C" w:rsidP="00EC2B3C">
      <w:pPr>
        <w:ind w:left="426"/>
        <w:rPr>
          <w:lang w:val="pt-PT"/>
        </w:rPr>
      </w:pPr>
      <w:r w:rsidRPr="00932993">
        <w:rPr>
          <w:lang w:val="pt-PT"/>
        </w:rPr>
        <w:t>triticale (</w:t>
      </w:r>
      <w:r w:rsidRPr="00932993">
        <w:rPr>
          <w:i/>
          <w:lang w:val="pt-PT"/>
        </w:rPr>
        <w:t xml:space="preserve">Triticosecale </w:t>
      </w:r>
      <w:r w:rsidRPr="00932993">
        <w:rPr>
          <w:lang w:val="pt-PT"/>
        </w:rPr>
        <w:t>Witt.): 1</w:t>
      </w:r>
    </w:p>
    <w:p w:rsidR="00EC2B3C" w:rsidRPr="00932993" w:rsidRDefault="00EC2B3C" w:rsidP="00EC2B3C">
      <w:pPr>
        <w:ind w:left="426"/>
        <w:rPr>
          <w:lang w:val="pt-PT"/>
        </w:rPr>
      </w:pPr>
      <w:r w:rsidRPr="00932993">
        <w:rPr>
          <w:lang w:val="pt-PT"/>
        </w:rPr>
        <w:t>trigo (</w:t>
      </w:r>
      <w:r w:rsidRPr="00932993">
        <w:rPr>
          <w:i/>
          <w:lang w:val="pt-PT"/>
        </w:rPr>
        <w:t xml:space="preserve">Triticum aestivum </w:t>
      </w:r>
      <w:r w:rsidRPr="00932993">
        <w:rPr>
          <w:lang w:val="pt-PT"/>
        </w:rPr>
        <w:t>L.): 6</w:t>
      </w:r>
    </w:p>
    <w:p w:rsidR="00EC2B3C" w:rsidRPr="00932993" w:rsidRDefault="00EC2B3C" w:rsidP="00EC2B3C">
      <w:pPr>
        <w:ind w:left="426"/>
        <w:rPr>
          <w:lang w:val="pt-PT"/>
        </w:rPr>
      </w:pPr>
      <w:r w:rsidRPr="00932993">
        <w:rPr>
          <w:lang w:val="pt-PT"/>
        </w:rPr>
        <w:t>maíz (</w:t>
      </w:r>
      <w:r w:rsidRPr="00932993">
        <w:rPr>
          <w:i/>
          <w:lang w:val="pt-PT"/>
        </w:rPr>
        <w:t xml:space="preserve">Zea mays </w:t>
      </w:r>
      <w:r w:rsidRPr="00932993">
        <w:rPr>
          <w:lang w:val="pt-PT"/>
        </w:rPr>
        <w:t>L.): 3</w:t>
      </w:r>
    </w:p>
    <w:p w:rsidR="00EC2B3C" w:rsidRPr="00932993" w:rsidRDefault="00EC2B3C" w:rsidP="00EC2B3C">
      <w:pPr>
        <w:ind w:left="426"/>
        <w:rPr>
          <w:lang w:val="pt-PT"/>
        </w:rPr>
      </w:pPr>
    </w:p>
    <w:p w:rsidR="00EC2B3C" w:rsidRPr="00592F7C" w:rsidRDefault="00EC2B3C" w:rsidP="00EC2B3C">
      <w:pPr>
        <w:ind w:left="426"/>
        <w:rPr>
          <w:lang w:val="es-ES"/>
        </w:rPr>
      </w:pPr>
      <w:r w:rsidRPr="00CC39C6">
        <w:t>A 31 de diciembre de 2019, hay 254 títulos de obtentor en vigor.</w:t>
      </w:r>
    </w:p>
    <w:p w:rsidR="00EC2B3C" w:rsidRPr="00592F7C" w:rsidRDefault="00EC2B3C" w:rsidP="00EC2B3C">
      <w:pPr>
        <w:rPr>
          <w:lang w:val="es-ES"/>
        </w:rPr>
      </w:pPr>
    </w:p>
    <w:p w:rsidR="00EC2B3C" w:rsidRPr="00592F7C" w:rsidRDefault="00EC2B3C" w:rsidP="00EC2B3C">
      <w:pPr>
        <w:rPr>
          <w:lang w:val="es-ES"/>
        </w:rPr>
      </w:pPr>
    </w:p>
    <w:p w:rsidR="00EC2B3C" w:rsidRPr="00592F7C" w:rsidRDefault="00EC2B3C" w:rsidP="00EC2B3C">
      <w:pPr>
        <w:rPr>
          <w:lang w:val="es-ES"/>
        </w:rPr>
      </w:pPr>
      <w:r w:rsidRPr="00592F7C">
        <w:rPr>
          <w:lang w:val="es-ES"/>
        </w:rPr>
        <w:t>4.</w:t>
      </w:r>
      <w:r w:rsidRPr="00592F7C">
        <w:rPr>
          <w:lang w:val="es-ES"/>
        </w:rPr>
        <w:tab/>
      </w:r>
      <w:r w:rsidRPr="00CC39C6">
        <w:rPr>
          <w:u w:val="single"/>
        </w:rPr>
        <w:t>Situación en el ámbito técnico:</w:t>
      </w:r>
      <w:r w:rsidRPr="00592F7C">
        <w:rPr>
          <w:lang w:val="es-ES"/>
        </w:rPr>
        <w:t xml:space="preserve"> </w:t>
      </w:r>
      <w:r w:rsidRPr="00CC39C6">
        <w:t>No se han producido cambios.</w:t>
      </w:r>
    </w:p>
    <w:p w:rsidR="00EC2B3C" w:rsidRPr="00592F7C" w:rsidRDefault="00EC2B3C" w:rsidP="00EC2B3C">
      <w:pPr>
        <w:rPr>
          <w:lang w:val="es-ES"/>
        </w:rPr>
      </w:pPr>
    </w:p>
    <w:p w:rsidR="00EC2B3C" w:rsidRPr="00592F7C" w:rsidRDefault="00EC2B3C" w:rsidP="00EC2B3C">
      <w:pPr>
        <w:rPr>
          <w:lang w:val="es-ES"/>
        </w:rPr>
      </w:pPr>
    </w:p>
    <w:p w:rsidR="00EC2B3C" w:rsidRPr="00592F7C" w:rsidRDefault="00EC2B3C" w:rsidP="00EC2B3C">
      <w:pPr>
        <w:rPr>
          <w:u w:val="single"/>
          <w:lang w:val="es-ES"/>
        </w:rPr>
      </w:pPr>
      <w:r w:rsidRPr="00592F7C">
        <w:rPr>
          <w:lang w:val="es-ES"/>
        </w:rPr>
        <w:t>5.</w:t>
      </w:r>
      <w:r w:rsidRPr="00592F7C">
        <w:rPr>
          <w:lang w:val="es-ES"/>
        </w:rPr>
        <w:tab/>
      </w:r>
      <w:r w:rsidRPr="00CC39C6">
        <w:rPr>
          <w:u w:val="single"/>
        </w:rPr>
        <w:t>Actividades para la promoción de la protección de las obtenciones vegetales</w:t>
      </w:r>
    </w:p>
    <w:p w:rsidR="00EC2B3C" w:rsidRPr="00592F7C" w:rsidRDefault="00EC2B3C" w:rsidP="00EC2B3C">
      <w:pPr>
        <w:rPr>
          <w:lang w:val="es-ES"/>
        </w:rPr>
      </w:pPr>
    </w:p>
    <w:p w:rsidR="00EC2B3C" w:rsidRPr="00592F7C" w:rsidRDefault="00EC2B3C" w:rsidP="00EC2B3C">
      <w:pPr>
        <w:rPr>
          <w:lang w:val="es-ES"/>
        </w:rPr>
      </w:pPr>
      <w:r w:rsidRPr="00CC39C6">
        <w:t xml:space="preserve">El AGEPI mantiene periódicamente el sitio web </w:t>
      </w:r>
      <w:hyperlink r:id="rId28" w:history="1">
        <w:r w:rsidRPr="00CC39C6">
          <w:rPr>
            <w:rStyle w:val="Hyperlink"/>
          </w:rPr>
          <w:t>www.agepi.gov.md</w:t>
        </w:r>
      </w:hyperlink>
      <w:r w:rsidRPr="00CC39C6">
        <w:t>, en el que puede consultarse la legislación nacional en el ámbito de la protección de las obtenciones vegetales, así como el formulario de solicitud de registro del título de obtentor e informaciones útiles para solicitantes y obtentores, disponibles en rumano, ruso e inglés.</w:t>
      </w:r>
    </w:p>
    <w:p w:rsidR="00EC2B3C" w:rsidRPr="00592F7C" w:rsidRDefault="00EC2B3C" w:rsidP="00EC2B3C">
      <w:pPr>
        <w:rPr>
          <w:lang w:val="es-ES"/>
        </w:rPr>
      </w:pPr>
    </w:p>
    <w:p w:rsidR="00EC2B3C" w:rsidRPr="00592F7C" w:rsidRDefault="00EC2B3C" w:rsidP="00EC2B3C">
      <w:pPr>
        <w:rPr>
          <w:lang w:val="es-ES"/>
        </w:rPr>
      </w:pPr>
      <w:r w:rsidRPr="00CC39C6">
        <w:t>En las distintas actividades organizadas por el AGEPI o en las que participa este organismo, como seminarios, campañas de sensibilización acerca de la propiedad intelectual o exposiciones, se distribuye material de información sobre la protección de las obtenciones vegetales.</w:t>
      </w:r>
    </w:p>
    <w:p w:rsidR="00EC2B3C" w:rsidRPr="00592F7C" w:rsidRDefault="00EC2B3C" w:rsidP="00EC2B3C">
      <w:pPr>
        <w:rPr>
          <w:lang w:val="es-ES"/>
        </w:rPr>
      </w:pPr>
    </w:p>
    <w:p w:rsidR="00EC2B3C" w:rsidRPr="00592F7C" w:rsidRDefault="00EC2B3C" w:rsidP="00EC2B3C">
      <w:pPr>
        <w:rPr>
          <w:lang w:val="es-ES"/>
        </w:rPr>
      </w:pPr>
      <w:r w:rsidRPr="00CC39C6">
        <w:t xml:space="preserve">Desde 2016, la República de </w:t>
      </w:r>
      <w:proofErr w:type="spellStart"/>
      <w:r w:rsidRPr="00CC39C6">
        <w:t>Moldova</w:t>
      </w:r>
      <w:proofErr w:type="spellEnd"/>
      <w:r w:rsidRPr="00CC39C6">
        <w:t>, representada por el AGEPI, participa en el proyecto de la UPOV para la elaboración del formulario electrónico de solicitud UPOV PRISMA.</w:t>
      </w:r>
    </w:p>
    <w:p w:rsidR="00EC2B3C" w:rsidRPr="00592F7C" w:rsidRDefault="00EC2B3C" w:rsidP="00EC2B3C">
      <w:pPr>
        <w:rPr>
          <w:lang w:val="es-ES"/>
        </w:rPr>
      </w:pPr>
    </w:p>
    <w:p w:rsidR="00EC2B3C" w:rsidRPr="00592F7C" w:rsidRDefault="00EC2B3C" w:rsidP="00EC2B3C">
      <w:pPr>
        <w:rPr>
          <w:lang w:val="es-ES"/>
        </w:rPr>
      </w:pPr>
      <w:r w:rsidRPr="00CC39C6">
        <w:t>En 2019, el número de cultivos admitidos en UPOV PRISMA se ha ampliado a otros 10 cultivos: avena, fresa/frutilla, centeno, zarzamora, trigo, cerezo ácido, peral, frambueso, girasol y cebolla.</w:t>
      </w:r>
    </w:p>
    <w:p w:rsidR="00EC2B3C" w:rsidRPr="00592F7C" w:rsidRDefault="00EC2B3C" w:rsidP="00EC2B3C">
      <w:pPr>
        <w:jc w:val="left"/>
        <w:rPr>
          <w:lang w:val="es-ES"/>
        </w:rPr>
      </w:pPr>
    </w:p>
    <w:p w:rsidR="00EC2B3C" w:rsidRPr="00592F7C" w:rsidRDefault="00EC2B3C" w:rsidP="00EC2B3C">
      <w:pPr>
        <w:jc w:val="left"/>
        <w:rPr>
          <w:lang w:val="es-ES"/>
        </w:rPr>
      </w:pPr>
    </w:p>
    <w:p w:rsidR="0078167F" w:rsidRDefault="0078167F" w:rsidP="0078167F">
      <w:pPr>
        <w:jc w:val="left"/>
      </w:pPr>
    </w:p>
    <w:p w:rsidR="0078167F" w:rsidRDefault="00E80B45" w:rsidP="0078167F">
      <w:pPr>
        <w:jc w:val="right"/>
      </w:pPr>
      <w:r>
        <w:t>[Sigue el Anexo</w:t>
      </w:r>
      <w:r w:rsidR="0078167F">
        <w:t xml:space="preserve"> XIII</w:t>
      </w:r>
      <w:r>
        <w:t>]</w:t>
      </w:r>
    </w:p>
    <w:p w:rsidR="0078167F" w:rsidRDefault="0078167F" w:rsidP="0078167F"/>
    <w:p w:rsidR="0078167F" w:rsidRDefault="0078167F" w:rsidP="0078167F">
      <w:pPr>
        <w:jc w:val="left"/>
        <w:sectPr w:rsidR="0078167F" w:rsidSect="002D1696">
          <w:headerReference w:type="default" r:id="rId29"/>
          <w:pgSz w:w="11907" w:h="16840" w:code="9"/>
          <w:pgMar w:top="510" w:right="1134" w:bottom="1134" w:left="1134" w:header="510" w:footer="680" w:gutter="0"/>
          <w:pgNumType w:start="1"/>
          <w:cols w:space="720"/>
          <w:titlePg/>
        </w:sectPr>
      </w:pPr>
    </w:p>
    <w:p w:rsidR="0078167F" w:rsidRPr="0075031D" w:rsidRDefault="0078167F" w:rsidP="0078167F">
      <w:pPr>
        <w:jc w:val="center"/>
      </w:pPr>
      <w:r>
        <w:lastRenderedPageBreak/>
        <w:t>C/54/INF/4</w:t>
      </w:r>
    </w:p>
    <w:p w:rsidR="0078167F" w:rsidRPr="0075031D" w:rsidRDefault="0078167F" w:rsidP="0078167F">
      <w:pPr>
        <w:jc w:val="center"/>
      </w:pPr>
    </w:p>
    <w:p w:rsidR="0078167F" w:rsidRPr="0075031D" w:rsidRDefault="00E80B45" w:rsidP="0078167F">
      <w:pPr>
        <w:jc w:val="center"/>
      </w:pPr>
      <w:r>
        <w:t>ANEXO</w:t>
      </w:r>
      <w:r w:rsidR="0078167F" w:rsidRPr="0075031D">
        <w:t xml:space="preserve"> </w:t>
      </w:r>
      <w:r w:rsidR="0078167F">
        <w:t>XII</w:t>
      </w:r>
      <w:r w:rsidR="0078167F" w:rsidRPr="0075031D">
        <w:t>I</w:t>
      </w:r>
    </w:p>
    <w:p w:rsidR="0078167F" w:rsidRPr="0075031D" w:rsidRDefault="0078167F" w:rsidP="0078167F">
      <w:pPr>
        <w:jc w:val="center"/>
      </w:pPr>
    </w:p>
    <w:p w:rsidR="0078167F" w:rsidRDefault="0078167F" w:rsidP="0078167F">
      <w:pPr>
        <w:jc w:val="center"/>
      </w:pPr>
    </w:p>
    <w:p w:rsidR="00EC2B3C" w:rsidRPr="00592F7C" w:rsidRDefault="00EC2B3C" w:rsidP="00EC2B3C">
      <w:pPr>
        <w:jc w:val="center"/>
        <w:rPr>
          <w:lang w:val="es-ES"/>
        </w:rPr>
      </w:pPr>
      <w:r w:rsidRPr="00CC39C6">
        <w:t>REPÚBLICA CHECA</w:t>
      </w:r>
    </w:p>
    <w:p w:rsidR="00EC2B3C" w:rsidRPr="00592F7C" w:rsidRDefault="00EC2B3C" w:rsidP="00EC2B3C">
      <w:pPr>
        <w:jc w:val="center"/>
        <w:rPr>
          <w:lang w:val="es-ES"/>
        </w:rPr>
      </w:pPr>
    </w:p>
    <w:p w:rsidR="00EC2B3C" w:rsidRPr="00592F7C" w:rsidRDefault="00EC2B3C" w:rsidP="00EC2B3C">
      <w:pPr>
        <w:jc w:val="center"/>
        <w:rPr>
          <w:lang w:val="es-ES"/>
        </w:rPr>
      </w:pPr>
    </w:p>
    <w:p w:rsidR="00EC2B3C" w:rsidRPr="00592F7C" w:rsidRDefault="00EC2B3C" w:rsidP="00EC2B3C">
      <w:pPr>
        <w:rPr>
          <w:lang w:val="es-ES"/>
        </w:rPr>
      </w:pPr>
      <w:r w:rsidRPr="00592F7C">
        <w:rPr>
          <w:lang w:val="es-ES"/>
        </w:rPr>
        <w:t>I.</w:t>
      </w:r>
      <w:r w:rsidRPr="00592F7C">
        <w:rPr>
          <w:lang w:val="es-ES"/>
        </w:rPr>
        <w:tab/>
      </w:r>
      <w:r w:rsidRPr="00CC39C6">
        <w:t>PROTECCIÓN DE LAS OBTENCIONES VEGETALES</w:t>
      </w:r>
    </w:p>
    <w:p w:rsidR="00EC2B3C" w:rsidRPr="00592F7C" w:rsidRDefault="00EC2B3C" w:rsidP="00EC2B3C">
      <w:pPr>
        <w:rPr>
          <w:lang w:val="es-ES"/>
        </w:rPr>
      </w:pPr>
    </w:p>
    <w:p w:rsidR="00EC2B3C" w:rsidRPr="00592F7C" w:rsidRDefault="00EC2B3C" w:rsidP="00EC2B3C">
      <w:pPr>
        <w:rPr>
          <w:lang w:val="es-ES"/>
        </w:rPr>
      </w:pPr>
      <w:r w:rsidRPr="00592F7C">
        <w:rPr>
          <w:lang w:val="es-ES"/>
        </w:rPr>
        <w:t>1.</w:t>
      </w:r>
      <w:r w:rsidRPr="00592F7C">
        <w:rPr>
          <w:lang w:val="es-ES"/>
        </w:rPr>
        <w:tab/>
      </w:r>
      <w:r w:rsidRPr="00CC39C6">
        <w:t>Situación en el ámbito legislativo:</w:t>
      </w:r>
      <w:r w:rsidRPr="00592F7C">
        <w:rPr>
          <w:lang w:val="es-ES"/>
        </w:rPr>
        <w:t xml:space="preserve"> </w:t>
      </w:r>
      <w:r w:rsidRPr="00CC39C6">
        <w:t>No hay novedades reseñables.</w:t>
      </w:r>
    </w:p>
    <w:p w:rsidR="00EC2B3C" w:rsidRPr="00592F7C" w:rsidRDefault="00EC2B3C" w:rsidP="00EC2B3C">
      <w:pPr>
        <w:rPr>
          <w:lang w:val="es-ES"/>
        </w:rPr>
      </w:pPr>
    </w:p>
    <w:p w:rsidR="00EC2B3C" w:rsidRPr="00592F7C" w:rsidRDefault="00EC2B3C" w:rsidP="00EC2B3C">
      <w:pPr>
        <w:rPr>
          <w:lang w:val="es-ES"/>
        </w:rPr>
      </w:pPr>
    </w:p>
    <w:p w:rsidR="00EC2B3C" w:rsidRPr="00592F7C" w:rsidRDefault="00EC2B3C" w:rsidP="00EC2B3C">
      <w:pPr>
        <w:rPr>
          <w:u w:val="single"/>
          <w:lang w:val="es-ES"/>
        </w:rPr>
      </w:pPr>
      <w:r w:rsidRPr="00592F7C">
        <w:rPr>
          <w:lang w:val="es-ES"/>
        </w:rPr>
        <w:t>2.</w:t>
      </w:r>
      <w:r w:rsidRPr="00592F7C">
        <w:rPr>
          <w:lang w:val="es-ES"/>
        </w:rPr>
        <w:tab/>
      </w:r>
      <w:r w:rsidRPr="00CC39C6">
        <w:rPr>
          <w:u w:val="single"/>
        </w:rPr>
        <w:t>Cooperación en el examen</w:t>
      </w:r>
    </w:p>
    <w:p w:rsidR="00EC2B3C" w:rsidRPr="00592F7C" w:rsidRDefault="00EC2B3C" w:rsidP="00EC2B3C">
      <w:pPr>
        <w:rPr>
          <w:lang w:val="es-ES"/>
        </w:rPr>
      </w:pPr>
    </w:p>
    <w:p w:rsidR="00EC2B3C" w:rsidRPr="00592F7C" w:rsidRDefault="00EC2B3C" w:rsidP="00EC2B3C">
      <w:pPr>
        <w:rPr>
          <w:lang w:val="es-ES"/>
        </w:rPr>
      </w:pPr>
      <w:r w:rsidRPr="00CC39C6">
        <w:t>Los acuerdos bilaterales de cooperación en materia de examen suscritos con Austria, Dinamarca, Eslovaquia, Eslovenia, Hungría, los Países Bajos, Polonia, Rumania y la OCVV se mantienen sin cambios.</w:t>
      </w:r>
    </w:p>
    <w:p w:rsidR="00EC2B3C" w:rsidRPr="00592F7C" w:rsidRDefault="00EC2B3C" w:rsidP="00EC2B3C">
      <w:pPr>
        <w:rPr>
          <w:lang w:val="es-ES"/>
        </w:rPr>
      </w:pPr>
    </w:p>
    <w:p w:rsidR="00EC2B3C" w:rsidRPr="00592F7C" w:rsidRDefault="00EC2B3C" w:rsidP="00EC2B3C">
      <w:pPr>
        <w:rPr>
          <w:lang w:val="es-ES"/>
        </w:rPr>
      </w:pPr>
    </w:p>
    <w:p w:rsidR="00EC2B3C" w:rsidRPr="00592F7C" w:rsidRDefault="00EC2B3C" w:rsidP="00EC2B3C">
      <w:pPr>
        <w:rPr>
          <w:lang w:val="es-ES"/>
        </w:rPr>
      </w:pPr>
      <w:r w:rsidRPr="00592F7C">
        <w:rPr>
          <w:lang w:val="es-ES"/>
        </w:rPr>
        <w:t>3.</w:t>
      </w:r>
      <w:r w:rsidRPr="00592F7C">
        <w:rPr>
          <w:lang w:val="es-ES"/>
        </w:rPr>
        <w:tab/>
      </w:r>
      <w:r w:rsidRPr="00CC39C6">
        <w:rPr>
          <w:u w:val="single"/>
        </w:rPr>
        <w:t>Situación en el ámbito administrativo:</w:t>
      </w:r>
      <w:r w:rsidRPr="00592F7C">
        <w:rPr>
          <w:lang w:val="es-ES"/>
        </w:rPr>
        <w:t xml:space="preserve"> </w:t>
      </w:r>
      <w:r w:rsidRPr="00CC39C6">
        <w:t>No hay novedades reseñables.</w:t>
      </w:r>
    </w:p>
    <w:p w:rsidR="00EC2B3C" w:rsidRPr="00592F7C" w:rsidRDefault="00EC2B3C" w:rsidP="00EC2B3C">
      <w:pPr>
        <w:rPr>
          <w:lang w:val="es-ES"/>
        </w:rPr>
      </w:pPr>
    </w:p>
    <w:p w:rsidR="00EC2B3C" w:rsidRPr="00592F7C" w:rsidRDefault="00EC2B3C" w:rsidP="00EC2B3C">
      <w:pPr>
        <w:rPr>
          <w:lang w:val="es-ES"/>
        </w:rPr>
      </w:pPr>
    </w:p>
    <w:p w:rsidR="00EC2B3C" w:rsidRPr="00592F7C" w:rsidRDefault="00EC2B3C" w:rsidP="00EC2B3C">
      <w:pPr>
        <w:rPr>
          <w:lang w:val="es-ES"/>
        </w:rPr>
      </w:pPr>
      <w:r w:rsidRPr="00592F7C">
        <w:rPr>
          <w:lang w:val="es-ES"/>
        </w:rPr>
        <w:t>4.</w:t>
      </w:r>
      <w:r w:rsidRPr="00592F7C">
        <w:rPr>
          <w:lang w:val="es-ES"/>
        </w:rPr>
        <w:tab/>
      </w:r>
      <w:r w:rsidRPr="00CC39C6">
        <w:rPr>
          <w:u w:val="single"/>
        </w:rPr>
        <w:t>Situación en el ámbito técnico:</w:t>
      </w:r>
      <w:r w:rsidRPr="00592F7C">
        <w:rPr>
          <w:lang w:val="es-ES"/>
        </w:rPr>
        <w:t xml:space="preserve"> </w:t>
      </w:r>
      <w:r w:rsidRPr="00CC39C6">
        <w:t>No hay novedades reseñables.</w:t>
      </w:r>
    </w:p>
    <w:p w:rsidR="00EC2B3C" w:rsidRPr="00592F7C" w:rsidRDefault="00EC2B3C" w:rsidP="00EC2B3C">
      <w:pPr>
        <w:rPr>
          <w:lang w:val="es-ES"/>
        </w:rPr>
      </w:pPr>
    </w:p>
    <w:p w:rsidR="00EC2B3C" w:rsidRPr="00592F7C" w:rsidRDefault="00EC2B3C" w:rsidP="00EC2B3C">
      <w:pPr>
        <w:rPr>
          <w:lang w:val="es-ES"/>
        </w:rPr>
      </w:pPr>
    </w:p>
    <w:p w:rsidR="00EC2B3C" w:rsidRPr="00592F7C" w:rsidRDefault="00EC2B3C" w:rsidP="00EC2B3C">
      <w:pPr>
        <w:rPr>
          <w:lang w:val="es-ES"/>
        </w:rPr>
      </w:pPr>
      <w:r w:rsidRPr="00592F7C">
        <w:rPr>
          <w:lang w:val="es-ES"/>
        </w:rPr>
        <w:t>5.</w:t>
      </w:r>
      <w:r w:rsidRPr="00592F7C">
        <w:rPr>
          <w:lang w:val="es-ES"/>
        </w:rPr>
        <w:tab/>
      </w:r>
      <w:r w:rsidRPr="00CC39C6">
        <w:rPr>
          <w:u w:val="single"/>
        </w:rPr>
        <w:t>Actividades para la promoción de la protección de las obtenciones vegetales</w:t>
      </w:r>
    </w:p>
    <w:p w:rsidR="00EC2B3C" w:rsidRPr="00592F7C" w:rsidRDefault="00EC2B3C" w:rsidP="00EC2B3C">
      <w:pPr>
        <w:rPr>
          <w:lang w:val="es-ES"/>
        </w:rPr>
      </w:pPr>
    </w:p>
    <w:p w:rsidR="00EC2B3C" w:rsidRPr="00592F7C" w:rsidRDefault="00EC2B3C" w:rsidP="00EC2B3C">
      <w:pPr>
        <w:rPr>
          <w:lang w:val="es-ES"/>
        </w:rPr>
      </w:pPr>
      <w:r w:rsidRPr="00CC39C6">
        <w:t>Expertos del Instituto Central de Supervisión y Exámenes Agrícolas participaron en las sesiones de los órganos de la UPOV (C, CAJ, CC, TC, TWA, TWC, TWV) y en las reuniones organizadas por la OCVV (Consejo Administrativo, reuniones con expertos en especies agrícolas, hortícolas y frutales, reunión anual con las oficinas de examen).</w:t>
      </w:r>
    </w:p>
    <w:p w:rsidR="00EC2B3C" w:rsidRPr="00592F7C" w:rsidRDefault="00EC2B3C" w:rsidP="00EC2B3C">
      <w:pPr>
        <w:rPr>
          <w:lang w:val="es-ES"/>
        </w:rPr>
      </w:pPr>
    </w:p>
    <w:p w:rsidR="00EC2B3C" w:rsidRPr="00592F7C" w:rsidRDefault="00EC2B3C" w:rsidP="00EC2B3C">
      <w:pPr>
        <w:rPr>
          <w:lang w:val="es-ES"/>
        </w:rPr>
      </w:pPr>
    </w:p>
    <w:p w:rsidR="00EC2B3C" w:rsidRPr="00592F7C" w:rsidRDefault="00EC2B3C" w:rsidP="00EC2B3C">
      <w:pPr>
        <w:rPr>
          <w:lang w:val="es-ES"/>
        </w:rPr>
      </w:pPr>
      <w:r w:rsidRPr="00592F7C">
        <w:rPr>
          <w:lang w:val="es-ES"/>
        </w:rPr>
        <w:t>II.</w:t>
      </w:r>
      <w:r w:rsidRPr="00592F7C">
        <w:rPr>
          <w:lang w:val="es-ES"/>
        </w:rPr>
        <w:tab/>
      </w:r>
      <w:r w:rsidRPr="00CC39C6">
        <w:t>OTRAS NOVEDADES DE INTERÉS PARA LA UPOV</w:t>
      </w:r>
    </w:p>
    <w:p w:rsidR="00EC2B3C" w:rsidRPr="00592F7C" w:rsidRDefault="00EC2B3C" w:rsidP="00EC2B3C">
      <w:pPr>
        <w:rPr>
          <w:lang w:val="es-ES"/>
        </w:rPr>
      </w:pPr>
    </w:p>
    <w:p w:rsidR="00EC2B3C" w:rsidRPr="00592F7C" w:rsidRDefault="00EC2B3C" w:rsidP="00EC2B3C">
      <w:pPr>
        <w:rPr>
          <w:lang w:val="es-ES"/>
        </w:rPr>
      </w:pPr>
      <w:r w:rsidRPr="00CC39C6">
        <w:t>No hay novedades reseñables.</w:t>
      </w:r>
    </w:p>
    <w:p w:rsidR="00EC2B3C" w:rsidRPr="00592F7C" w:rsidRDefault="00EC2B3C" w:rsidP="00EC2B3C">
      <w:pPr>
        <w:jc w:val="left"/>
        <w:rPr>
          <w:lang w:val="es-ES"/>
        </w:rPr>
      </w:pPr>
    </w:p>
    <w:p w:rsidR="00EC2B3C" w:rsidRPr="00592F7C" w:rsidRDefault="00EC2B3C" w:rsidP="00EC2B3C">
      <w:pPr>
        <w:jc w:val="left"/>
        <w:rPr>
          <w:lang w:val="es-ES"/>
        </w:rPr>
      </w:pPr>
    </w:p>
    <w:p w:rsidR="0078167F" w:rsidRDefault="0078167F" w:rsidP="0078167F">
      <w:pPr>
        <w:jc w:val="left"/>
      </w:pPr>
    </w:p>
    <w:p w:rsidR="0078167F" w:rsidRDefault="00E80B45" w:rsidP="0078167F">
      <w:pPr>
        <w:jc w:val="right"/>
      </w:pPr>
      <w:r>
        <w:t>[Sigue el Anexo</w:t>
      </w:r>
      <w:r w:rsidR="0078167F">
        <w:t xml:space="preserve"> XIV</w:t>
      </w:r>
      <w:r>
        <w:t>]</w:t>
      </w:r>
    </w:p>
    <w:p w:rsidR="0078167F" w:rsidRDefault="0078167F" w:rsidP="0078167F"/>
    <w:p w:rsidR="0078167F" w:rsidRDefault="0078167F" w:rsidP="0078167F">
      <w:pPr>
        <w:jc w:val="left"/>
        <w:sectPr w:rsidR="0078167F" w:rsidSect="002D1696">
          <w:headerReference w:type="default" r:id="rId30"/>
          <w:pgSz w:w="11907" w:h="16840" w:code="9"/>
          <w:pgMar w:top="510" w:right="1134" w:bottom="1134" w:left="1134" w:header="510" w:footer="680" w:gutter="0"/>
          <w:pgNumType w:start="1"/>
          <w:cols w:space="720"/>
          <w:titlePg/>
        </w:sectPr>
      </w:pPr>
    </w:p>
    <w:p w:rsidR="0078167F" w:rsidRPr="0075031D" w:rsidRDefault="0078167F" w:rsidP="0078167F">
      <w:pPr>
        <w:jc w:val="center"/>
      </w:pPr>
      <w:r>
        <w:lastRenderedPageBreak/>
        <w:t>C/54/INF/4</w:t>
      </w:r>
    </w:p>
    <w:p w:rsidR="0078167F" w:rsidRPr="0075031D" w:rsidRDefault="0078167F" w:rsidP="0078167F">
      <w:pPr>
        <w:jc w:val="center"/>
      </w:pPr>
    </w:p>
    <w:p w:rsidR="0078167F" w:rsidRPr="0075031D" w:rsidRDefault="00E80B45" w:rsidP="0078167F">
      <w:pPr>
        <w:jc w:val="center"/>
      </w:pPr>
      <w:r>
        <w:t>ANEXO</w:t>
      </w:r>
      <w:r w:rsidR="0078167F">
        <w:t xml:space="preserve"> XIV</w:t>
      </w:r>
    </w:p>
    <w:p w:rsidR="0078167F" w:rsidRPr="0075031D" w:rsidRDefault="0078167F" w:rsidP="0078167F">
      <w:pPr>
        <w:jc w:val="center"/>
      </w:pPr>
    </w:p>
    <w:p w:rsidR="0078167F" w:rsidRDefault="0078167F" w:rsidP="0078167F">
      <w:pPr>
        <w:jc w:val="center"/>
      </w:pPr>
    </w:p>
    <w:p w:rsidR="00EC2B3C" w:rsidRPr="00592F7C" w:rsidRDefault="00EC2B3C" w:rsidP="00EC2B3C">
      <w:pPr>
        <w:jc w:val="center"/>
        <w:rPr>
          <w:lang w:val="es-ES"/>
        </w:rPr>
      </w:pPr>
      <w:r w:rsidRPr="00CC39C6">
        <w:t>SINGAPUR</w:t>
      </w:r>
    </w:p>
    <w:p w:rsidR="00EC2B3C" w:rsidRPr="00592F7C" w:rsidRDefault="00EC2B3C" w:rsidP="00EC2B3C">
      <w:pPr>
        <w:jc w:val="center"/>
        <w:rPr>
          <w:lang w:val="es-ES"/>
        </w:rPr>
      </w:pPr>
    </w:p>
    <w:p w:rsidR="00EC2B3C" w:rsidRPr="00592F7C" w:rsidRDefault="00EC2B3C" w:rsidP="00EC2B3C">
      <w:pPr>
        <w:jc w:val="center"/>
        <w:rPr>
          <w:lang w:val="es-ES"/>
        </w:rPr>
      </w:pPr>
    </w:p>
    <w:p w:rsidR="00EC2B3C" w:rsidRPr="00592F7C" w:rsidRDefault="00EC2B3C" w:rsidP="00EC2B3C">
      <w:pPr>
        <w:rPr>
          <w:lang w:val="es-ES"/>
        </w:rPr>
      </w:pPr>
      <w:r w:rsidRPr="00592F7C">
        <w:rPr>
          <w:lang w:val="es-ES"/>
        </w:rPr>
        <w:t>I.</w:t>
      </w:r>
      <w:r w:rsidRPr="00592F7C">
        <w:rPr>
          <w:lang w:val="es-ES"/>
        </w:rPr>
        <w:tab/>
      </w:r>
      <w:r w:rsidRPr="00CC39C6">
        <w:t>PROTECCIÓN DE LAS OBTENCIONES VEGETALES</w:t>
      </w:r>
    </w:p>
    <w:p w:rsidR="00EC2B3C" w:rsidRPr="00592F7C" w:rsidRDefault="00EC2B3C" w:rsidP="00EC2B3C">
      <w:pPr>
        <w:rPr>
          <w:lang w:val="es-ES"/>
        </w:rPr>
      </w:pPr>
    </w:p>
    <w:p w:rsidR="00EC2B3C" w:rsidRPr="00592F7C" w:rsidRDefault="00EC2B3C" w:rsidP="00EC2B3C">
      <w:pPr>
        <w:rPr>
          <w:lang w:val="es-ES"/>
        </w:rPr>
      </w:pPr>
      <w:r w:rsidRPr="00592F7C">
        <w:rPr>
          <w:lang w:val="es-ES"/>
        </w:rPr>
        <w:t>1.</w:t>
      </w:r>
      <w:r w:rsidRPr="00592F7C">
        <w:rPr>
          <w:lang w:val="es-ES"/>
        </w:rPr>
        <w:tab/>
      </w:r>
      <w:r w:rsidRPr="00CC39C6">
        <w:rPr>
          <w:u w:val="single"/>
        </w:rPr>
        <w:t>Situación en el ámbito legislativo</w:t>
      </w:r>
    </w:p>
    <w:p w:rsidR="00EC2B3C" w:rsidRPr="00592F7C" w:rsidRDefault="00EC2B3C" w:rsidP="00EC2B3C">
      <w:pPr>
        <w:rPr>
          <w:lang w:val="es-ES"/>
        </w:rPr>
      </w:pPr>
    </w:p>
    <w:p w:rsidR="00EC2B3C" w:rsidRPr="00592F7C" w:rsidRDefault="00EC2B3C" w:rsidP="00EC2B3C">
      <w:pPr>
        <w:rPr>
          <w:lang w:val="es-ES"/>
        </w:rPr>
      </w:pPr>
      <w:r w:rsidRPr="00592F7C">
        <w:rPr>
          <w:lang w:val="es-ES"/>
        </w:rPr>
        <w:t>1.1</w:t>
      </w:r>
      <w:r w:rsidRPr="00592F7C">
        <w:rPr>
          <w:lang w:val="es-ES"/>
        </w:rPr>
        <w:tab/>
      </w:r>
      <w:r w:rsidRPr="00CC39C6">
        <w:t>Modificaciones de la ley y de los reglamentos</w:t>
      </w:r>
    </w:p>
    <w:p w:rsidR="00EC2B3C" w:rsidRPr="00592F7C" w:rsidRDefault="00EC2B3C" w:rsidP="00EC2B3C">
      <w:pPr>
        <w:rPr>
          <w:lang w:val="es-ES"/>
        </w:rPr>
      </w:pPr>
    </w:p>
    <w:p w:rsidR="00EC2B3C" w:rsidRPr="00592F7C" w:rsidRDefault="00EC2B3C" w:rsidP="00EC2B3C">
      <w:pPr>
        <w:pStyle w:val="ListParagraph"/>
        <w:numPr>
          <w:ilvl w:val="0"/>
          <w:numId w:val="6"/>
        </w:numPr>
        <w:ind w:left="567" w:hanging="567"/>
        <w:jc w:val="both"/>
        <w:rPr>
          <w:vanish/>
          <w:lang w:val="es-ES"/>
        </w:rPr>
      </w:pPr>
      <w:r w:rsidRPr="00CC39C6">
        <w:rPr>
          <w:lang w:val="es-ES_tradnl"/>
        </w:rPr>
        <w:t>El 21 de noviembre de 2019 entró en vigor la modificación de la Ley de Protección de las Obtenciones Vegetales de Singapur en lo que atañe a la solución de controversias en materia de propiedad intelectual y otras cuestiones conexas, así como a la subsanación de infracciones mediante transacción.</w:t>
      </w:r>
    </w:p>
    <w:p w:rsidR="00EC2B3C" w:rsidRPr="00592F7C" w:rsidRDefault="00EC2B3C" w:rsidP="00EC2B3C">
      <w:pPr>
        <w:rPr>
          <w:vanish/>
          <w:lang w:val="es-ES"/>
        </w:rPr>
      </w:pPr>
    </w:p>
    <w:p w:rsidR="00EC2B3C" w:rsidRPr="00592F7C" w:rsidRDefault="00EC2B3C" w:rsidP="00EC2B3C">
      <w:pPr>
        <w:pStyle w:val="ListParagraph"/>
        <w:numPr>
          <w:ilvl w:val="0"/>
          <w:numId w:val="6"/>
        </w:numPr>
        <w:ind w:left="567" w:hanging="567"/>
        <w:jc w:val="both"/>
        <w:rPr>
          <w:lang w:val="es-ES"/>
        </w:rPr>
      </w:pPr>
      <w:r w:rsidRPr="00CC39C6">
        <w:rPr>
          <w:lang w:val="es-ES_tradnl"/>
        </w:rPr>
        <w:t>El 5 de junio de 2020 entró en vigor la modificación del Reglamento de Protección de las Obtenciones Vegetales de Singapur en lo que atañe a la transmisión de documentos, los requisitos para la presentación de solicitudes y la ampliación del plazo en circunstancias especiales.</w:t>
      </w:r>
    </w:p>
    <w:p w:rsidR="00EC2B3C" w:rsidRPr="00592F7C" w:rsidRDefault="00EC2B3C" w:rsidP="00EC2B3C">
      <w:pPr>
        <w:rPr>
          <w:lang w:val="es-ES"/>
        </w:rPr>
      </w:pPr>
    </w:p>
    <w:p w:rsidR="00EC2B3C" w:rsidRPr="00592F7C" w:rsidRDefault="00EC2B3C" w:rsidP="00EC2B3C">
      <w:pPr>
        <w:rPr>
          <w:lang w:val="es-ES"/>
        </w:rPr>
      </w:pPr>
      <w:r w:rsidRPr="00592F7C">
        <w:rPr>
          <w:lang w:val="es-ES"/>
        </w:rPr>
        <w:t>1.2</w:t>
      </w:r>
      <w:r w:rsidRPr="00592F7C">
        <w:rPr>
          <w:lang w:val="es-ES"/>
        </w:rPr>
        <w:tab/>
      </w:r>
      <w:r w:rsidRPr="00CC39C6">
        <w:t>Extensión de la protección a otros géneros y especies (realizada o prevista)</w:t>
      </w:r>
    </w:p>
    <w:p w:rsidR="00EC2B3C" w:rsidRPr="00592F7C" w:rsidRDefault="00EC2B3C" w:rsidP="00EC2B3C">
      <w:pPr>
        <w:rPr>
          <w:lang w:val="es-ES"/>
        </w:rPr>
      </w:pPr>
    </w:p>
    <w:p w:rsidR="00EC2B3C" w:rsidRPr="00592F7C" w:rsidRDefault="00EC2B3C" w:rsidP="00EC2B3C">
      <w:pPr>
        <w:rPr>
          <w:lang w:val="es-ES"/>
        </w:rPr>
      </w:pPr>
      <w:r w:rsidRPr="00CC39C6">
        <w:t>Desde el 30 de julio de 2014, en Singapur se permite la protección de todos los géneros y las especies vegetales.</w:t>
      </w:r>
    </w:p>
    <w:p w:rsidR="00EC2B3C" w:rsidRPr="00592F7C" w:rsidRDefault="00EC2B3C" w:rsidP="00EC2B3C">
      <w:pPr>
        <w:rPr>
          <w:lang w:val="es-ES"/>
        </w:rPr>
      </w:pPr>
    </w:p>
    <w:p w:rsidR="00EC2B3C" w:rsidRPr="00592F7C" w:rsidRDefault="00EC2B3C" w:rsidP="00EC2B3C">
      <w:pPr>
        <w:rPr>
          <w:lang w:val="es-ES"/>
        </w:rPr>
      </w:pPr>
      <w:r w:rsidRPr="00592F7C">
        <w:rPr>
          <w:lang w:val="es-ES"/>
        </w:rPr>
        <w:t>1.3</w:t>
      </w:r>
      <w:r w:rsidRPr="00592F7C">
        <w:rPr>
          <w:lang w:val="es-ES"/>
        </w:rPr>
        <w:tab/>
      </w:r>
      <w:r w:rsidRPr="00CC39C6">
        <w:t>Jurisprudencia</w:t>
      </w:r>
      <w:r w:rsidRPr="00592F7C">
        <w:rPr>
          <w:lang w:val="es-ES"/>
        </w:rPr>
        <w:t xml:space="preserve"> </w:t>
      </w:r>
      <w:r w:rsidRPr="00CC39C6">
        <w:t>No se han producido novedades.</w:t>
      </w:r>
    </w:p>
    <w:p w:rsidR="00EC2B3C" w:rsidRPr="00592F7C" w:rsidRDefault="00EC2B3C" w:rsidP="00EC2B3C">
      <w:pPr>
        <w:rPr>
          <w:lang w:val="es-ES"/>
        </w:rPr>
      </w:pPr>
    </w:p>
    <w:p w:rsidR="00EC2B3C" w:rsidRPr="00592F7C" w:rsidRDefault="00EC2B3C" w:rsidP="00EC2B3C">
      <w:pPr>
        <w:rPr>
          <w:lang w:val="es-ES"/>
        </w:rPr>
      </w:pPr>
    </w:p>
    <w:p w:rsidR="00EC2B3C" w:rsidRPr="00DD34B3" w:rsidRDefault="00EC2B3C" w:rsidP="00EC2B3C">
      <w:pPr>
        <w:rPr>
          <w:u w:val="single"/>
        </w:rPr>
      </w:pPr>
      <w:r w:rsidRPr="00DD34B3">
        <w:t>2.</w:t>
      </w:r>
      <w:r w:rsidRPr="00DD34B3">
        <w:tab/>
      </w:r>
      <w:r w:rsidRPr="00CC39C6">
        <w:rPr>
          <w:u w:val="single"/>
        </w:rPr>
        <w:t>Cooperación en el examen</w:t>
      </w:r>
    </w:p>
    <w:p w:rsidR="00EC2B3C" w:rsidRPr="00DD34B3" w:rsidRDefault="00EC2B3C" w:rsidP="00EC2B3C"/>
    <w:p w:rsidR="00EC2B3C" w:rsidRPr="00592F7C" w:rsidRDefault="00EC2B3C" w:rsidP="00EC2B3C">
      <w:pPr>
        <w:pStyle w:val="ListParagraph"/>
        <w:numPr>
          <w:ilvl w:val="0"/>
          <w:numId w:val="6"/>
        </w:numPr>
        <w:ind w:left="567" w:hanging="567"/>
        <w:jc w:val="both"/>
        <w:rPr>
          <w:lang w:val="es-ES"/>
        </w:rPr>
      </w:pPr>
      <w:r w:rsidRPr="00CC39C6">
        <w:rPr>
          <w:lang w:val="es-ES_tradnl"/>
        </w:rPr>
        <w:t>El 1 de octubre de 2018 entró en vigor el memorando de cooperación entre la Oficina de Propiedad Intelectual de Singapur (IPOS) y el Ministerio de Agricultura, Silvicultura y Pesca del Japón (MAFF) para el suministro mutuo de los resultados de los exámenes DHE.</w:t>
      </w:r>
      <w:r w:rsidRPr="009E127A">
        <w:rPr>
          <w:vanish/>
          <w:lang w:val="es-ES_tradnl"/>
        </w:rPr>
        <w:t xml:space="preserve"> </w:t>
      </w:r>
    </w:p>
    <w:p w:rsidR="00EC2B3C" w:rsidRPr="00592F7C" w:rsidRDefault="00EC2B3C" w:rsidP="00EC2B3C">
      <w:pPr>
        <w:rPr>
          <w:lang w:val="es-ES"/>
        </w:rPr>
      </w:pPr>
    </w:p>
    <w:p w:rsidR="00EC2B3C" w:rsidRPr="00592F7C" w:rsidRDefault="00EC2B3C" w:rsidP="00EC2B3C">
      <w:pPr>
        <w:pStyle w:val="ListParagraph"/>
        <w:numPr>
          <w:ilvl w:val="0"/>
          <w:numId w:val="6"/>
        </w:numPr>
        <w:ind w:left="567" w:hanging="567"/>
        <w:jc w:val="both"/>
        <w:rPr>
          <w:lang w:val="es-ES"/>
        </w:rPr>
      </w:pPr>
      <w:r w:rsidRPr="00CC39C6">
        <w:rPr>
          <w:lang w:val="es-ES_tradnl"/>
        </w:rPr>
        <w:t>Se ha renovado hasta el 16 de marzo 2025 el memorando de entendimiento entre la IPOS y el Servicio de Semillas y Variedades de la República de Corea (KSVS) para la provisión de servicios de examen de variedades vegetales.</w:t>
      </w:r>
      <w:r w:rsidRPr="00592F7C">
        <w:rPr>
          <w:lang w:val="es-ES"/>
        </w:rPr>
        <w:t xml:space="preserve"> </w:t>
      </w:r>
    </w:p>
    <w:p w:rsidR="00EC2B3C" w:rsidRPr="00592F7C" w:rsidRDefault="00EC2B3C" w:rsidP="00EC2B3C">
      <w:pPr>
        <w:rPr>
          <w:lang w:val="es-ES"/>
        </w:rPr>
      </w:pPr>
    </w:p>
    <w:p w:rsidR="00EC2B3C" w:rsidRPr="00592F7C" w:rsidRDefault="00EC2B3C" w:rsidP="00EC2B3C">
      <w:pPr>
        <w:pStyle w:val="ListParagraph"/>
        <w:numPr>
          <w:ilvl w:val="0"/>
          <w:numId w:val="6"/>
        </w:numPr>
        <w:ind w:left="567" w:hanging="567"/>
        <w:jc w:val="both"/>
        <w:rPr>
          <w:lang w:val="es-ES"/>
        </w:rPr>
      </w:pPr>
      <w:r w:rsidRPr="00CC39C6">
        <w:rPr>
          <w:lang w:val="es-ES_tradnl"/>
        </w:rPr>
        <w:t xml:space="preserve">Se ha renovado hasta el 25 de julio de 2024 el memorando de entendimiento entre la IPOS y el Departamento de Producción Agrícola de </w:t>
      </w:r>
      <w:proofErr w:type="spellStart"/>
      <w:r w:rsidRPr="00CC39C6">
        <w:rPr>
          <w:lang w:val="es-ES_tradnl"/>
        </w:rPr>
        <w:t>Viet</w:t>
      </w:r>
      <w:proofErr w:type="spellEnd"/>
      <w:r w:rsidRPr="00CC39C6">
        <w:rPr>
          <w:lang w:val="es-ES_tradnl"/>
        </w:rPr>
        <w:t> </w:t>
      </w:r>
      <w:proofErr w:type="spellStart"/>
      <w:r w:rsidRPr="00CC39C6">
        <w:rPr>
          <w:lang w:val="es-ES_tradnl"/>
        </w:rPr>
        <w:t>Nam</w:t>
      </w:r>
      <w:proofErr w:type="spellEnd"/>
      <w:r w:rsidRPr="00CC39C6">
        <w:rPr>
          <w:lang w:val="es-ES_tradnl"/>
        </w:rPr>
        <w:t xml:space="preserve"> para la provisión de servicios de examen de variedades vegetales.</w:t>
      </w:r>
      <w:r w:rsidRPr="00592F7C">
        <w:rPr>
          <w:lang w:val="es-ES"/>
        </w:rPr>
        <w:t xml:space="preserve"> </w:t>
      </w:r>
    </w:p>
    <w:p w:rsidR="00EC2B3C" w:rsidRPr="00592F7C" w:rsidRDefault="00EC2B3C" w:rsidP="00EC2B3C">
      <w:pPr>
        <w:rPr>
          <w:lang w:val="es-ES"/>
        </w:rPr>
      </w:pPr>
    </w:p>
    <w:p w:rsidR="00EC2B3C" w:rsidRPr="00592F7C" w:rsidRDefault="00EC2B3C" w:rsidP="00EC2B3C">
      <w:pPr>
        <w:jc w:val="left"/>
        <w:rPr>
          <w:lang w:val="es-ES"/>
        </w:rPr>
      </w:pPr>
    </w:p>
    <w:p w:rsidR="00EC2B3C" w:rsidRPr="00DD34B3" w:rsidRDefault="00EC2B3C" w:rsidP="00EC2B3C">
      <w:r w:rsidRPr="00DD34B3">
        <w:t>3.</w:t>
      </w:r>
      <w:r w:rsidRPr="00DD34B3">
        <w:tab/>
      </w:r>
      <w:r w:rsidRPr="00CC39C6">
        <w:rPr>
          <w:u w:val="single"/>
        </w:rPr>
        <w:t>Situación en el ámbito administrativo</w:t>
      </w:r>
    </w:p>
    <w:p w:rsidR="00EC2B3C" w:rsidRPr="00DD34B3" w:rsidRDefault="00EC2B3C" w:rsidP="00EC2B3C"/>
    <w:p w:rsidR="00EC2B3C" w:rsidRPr="00592F7C" w:rsidRDefault="00EC2B3C" w:rsidP="00EC2B3C">
      <w:pPr>
        <w:pStyle w:val="ListParagraph"/>
        <w:numPr>
          <w:ilvl w:val="0"/>
          <w:numId w:val="6"/>
        </w:numPr>
        <w:ind w:left="567" w:hanging="567"/>
        <w:jc w:val="both"/>
        <w:rPr>
          <w:lang w:val="es-ES"/>
        </w:rPr>
      </w:pPr>
      <w:r w:rsidRPr="00E372B6">
        <w:rPr>
          <w:lang w:val="es-ES_tradnl"/>
        </w:rPr>
        <w:t xml:space="preserve">Desde el 5 de junio de 2020, las solicitudes de protección de las obtenciones vegetales pueden presentarse mediante un formulario electrónico a través de </w:t>
      </w:r>
      <w:proofErr w:type="spellStart"/>
      <w:r w:rsidRPr="00E372B6">
        <w:rPr>
          <w:lang w:val="es-ES_tradnl"/>
        </w:rPr>
        <w:t>FormSG</w:t>
      </w:r>
      <w:proofErr w:type="spellEnd"/>
      <w:r w:rsidRPr="00E372B6">
        <w:rPr>
          <w:lang w:val="es-ES_tradnl"/>
        </w:rPr>
        <w:t>.</w:t>
      </w:r>
      <w:r w:rsidRPr="00592F7C">
        <w:rPr>
          <w:lang w:val="es-ES"/>
        </w:rPr>
        <w:t xml:space="preserve"> </w:t>
      </w:r>
    </w:p>
    <w:p w:rsidR="00EC2B3C" w:rsidRPr="00592F7C" w:rsidRDefault="00EC2B3C" w:rsidP="00EC2B3C">
      <w:pPr>
        <w:rPr>
          <w:lang w:val="es-ES"/>
        </w:rPr>
      </w:pPr>
    </w:p>
    <w:p w:rsidR="00EC2B3C" w:rsidRPr="00592F7C" w:rsidRDefault="00EC2B3C" w:rsidP="00EC2B3C">
      <w:pPr>
        <w:rPr>
          <w:lang w:val="es-ES"/>
        </w:rPr>
      </w:pPr>
    </w:p>
    <w:p w:rsidR="00EC2B3C" w:rsidRPr="00DD34B3" w:rsidRDefault="00EC2B3C" w:rsidP="00EC2B3C">
      <w:pPr>
        <w:rPr>
          <w:u w:val="single"/>
        </w:rPr>
      </w:pPr>
      <w:r w:rsidRPr="00DD34B3">
        <w:t>4.</w:t>
      </w:r>
      <w:r w:rsidRPr="00DD34B3">
        <w:tab/>
      </w:r>
      <w:r w:rsidRPr="00E372B6">
        <w:rPr>
          <w:u w:val="single"/>
        </w:rPr>
        <w:t>Situación en el ámbito técnico</w:t>
      </w:r>
    </w:p>
    <w:p w:rsidR="00EC2B3C" w:rsidRPr="00DD34B3" w:rsidRDefault="00EC2B3C" w:rsidP="00EC2B3C"/>
    <w:p w:rsidR="00EC2B3C" w:rsidRPr="00592F7C" w:rsidRDefault="00EC2B3C" w:rsidP="00EC2B3C">
      <w:pPr>
        <w:pStyle w:val="ListParagraph"/>
        <w:numPr>
          <w:ilvl w:val="0"/>
          <w:numId w:val="6"/>
        </w:numPr>
        <w:ind w:left="567" w:hanging="567"/>
        <w:jc w:val="both"/>
        <w:rPr>
          <w:lang w:val="es-ES"/>
        </w:rPr>
      </w:pPr>
      <w:r w:rsidRPr="00E372B6">
        <w:rPr>
          <w:lang w:val="es-ES_tradnl"/>
        </w:rPr>
        <w:t>En junio de 2019 se añadió el cuestionario técnico para el arroz (</w:t>
      </w:r>
      <w:proofErr w:type="spellStart"/>
      <w:r w:rsidRPr="00E372B6">
        <w:rPr>
          <w:i/>
          <w:lang w:val="es-ES_tradnl"/>
        </w:rPr>
        <w:t>Oryza</w:t>
      </w:r>
      <w:proofErr w:type="spellEnd"/>
      <w:r w:rsidRPr="00E372B6">
        <w:rPr>
          <w:i/>
          <w:lang w:val="es-ES_tradnl"/>
        </w:rPr>
        <w:t xml:space="preserve"> sativa</w:t>
      </w:r>
      <w:r w:rsidRPr="00E372B6">
        <w:rPr>
          <w:lang w:val="es-ES_tradnl"/>
        </w:rPr>
        <w:t>).</w:t>
      </w:r>
    </w:p>
    <w:p w:rsidR="00EC2B3C" w:rsidRPr="00592F7C" w:rsidRDefault="00EC2B3C" w:rsidP="00EC2B3C">
      <w:pPr>
        <w:rPr>
          <w:lang w:val="es-ES"/>
        </w:rPr>
      </w:pPr>
    </w:p>
    <w:p w:rsidR="00EC2B3C" w:rsidRPr="00592F7C" w:rsidRDefault="00EC2B3C" w:rsidP="00EC2B3C">
      <w:pPr>
        <w:rPr>
          <w:lang w:val="es-ES"/>
        </w:rPr>
      </w:pPr>
    </w:p>
    <w:p w:rsidR="00EC2B3C" w:rsidRPr="00592F7C" w:rsidRDefault="00EC2B3C" w:rsidP="00EC2B3C">
      <w:pPr>
        <w:rPr>
          <w:lang w:val="es-ES"/>
        </w:rPr>
      </w:pPr>
      <w:r w:rsidRPr="00592F7C">
        <w:rPr>
          <w:lang w:val="es-ES"/>
        </w:rPr>
        <w:t>5.</w:t>
      </w:r>
      <w:r w:rsidRPr="00592F7C">
        <w:rPr>
          <w:lang w:val="es-ES"/>
        </w:rPr>
        <w:tab/>
      </w:r>
      <w:r w:rsidRPr="00E372B6">
        <w:rPr>
          <w:u w:val="single"/>
        </w:rPr>
        <w:t>Actividades para la promoción de la protección de las obtenciones vegetales:</w:t>
      </w:r>
      <w:r w:rsidRPr="00592F7C">
        <w:rPr>
          <w:lang w:val="es-ES"/>
        </w:rPr>
        <w:t xml:space="preserve"> </w:t>
      </w:r>
      <w:r w:rsidRPr="00E372B6">
        <w:t>No se han producido novedades.</w:t>
      </w:r>
    </w:p>
    <w:p w:rsidR="00EC2B3C" w:rsidRPr="00592F7C" w:rsidRDefault="00EC2B3C" w:rsidP="00EC2B3C">
      <w:pPr>
        <w:rPr>
          <w:lang w:val="es-ES"/>
        </w:rPr>
      </w:pPr>
    </w:p>
    <w:p w:rsidR="00EC2B3C" w:rsidRPr="00592F7C" w:rsidRDefault="00EC2B3C" w:rsidP="00EC2B3C">
      <w:pPr>
        <w:rPr>
          <w:lang w:val="es-ES"/>
        </w:rPr>
      </w:pPr>
    </w:p>
    <w:p w:rsidR="00EC2B3C" w:rsidRPr="00592F7C" w:rsidRDefault="00EC2B3C" w:rsidP="00EC2B3C">
      <w:pPr>
        <w:rPr>
          <w:lang w:val="es-ES"/>
        </w:rPr>
      </w:pPr>
      <w:r w:rsidRPr="00592F7C">
        <w:rPr>
          <w:lang w:val="es-ES"/>
        </w:rPr>
        <w:t>II.</w:t>
      </w:r>
      <w:r w:rsidRPr="00592F7C">
        <w:rPr>
          <w:lang w:val="es-ES"/>
        </w:rPr>
        <w:tab/>
      </w:r>
      <w:r w:rsidRPr="00E372B6">
        <w:t>OTRAS NOVEDADES DE INTERÉS PARA LA UPOV</w:t>
      </w:r>
    </w:p>
    <w:p w:rsidR="00EC2B3C" w:rsidRPr="00592F7C" w:rsidRDefault="00EC2B3C" w:rsidP="00EC2B3C">
      <w:pPr>
        <w:rPr>
          <w:lang w:val="es-ES"/>
        </w:rPr>
      </w:pPr>
    </w:p>
    <w:p w:rsidR="00EC2B3C" w:rsidRPr="00592F7C" w:rsidRDefault="00EC2B3C" w:rsidP="00EC2B3C">
      <w:pPr>
        <w:rPr>
          <w:lang w:val="es-ES"/>
        </w:rPr>
      </w:pPr>
      <w:r w:rsidRPr="00E372B6">
        <w:t>No se han producido novedades.</w:t>
      </w:r>
    </w:p>
    <w:p w:rsidR="00EC2B3C" w:rsidRPr="00592F7C" w:rsidRDefault="00EC2B3C" w:rsidP="00EC2B3C">
      <w:pPr>
        <w:rPr>
          <w:lang w:val="es-ES"/>
        </w:rPr>
      </w:pPr>
    </w:p>
    <w:p w:rsidR="00EC2B3C" w:rsidRPr="00592F7C" w:rsidRDefault="00EC2B3C" w:rsidP="00EC2B3C">
      <w:pPr>
        <w:rPr>
          <w:lang w:val="es-ES"/>
        </w:rPr>
      </w:pPr>
    </w:p>
    <w:p w:rsidR="0078167F" w:rsidRDefault="00E80B45" w:rsidP="00EC2B3C">
      <w:pPr>
        <w:jc w:val="right"/>
      </w:pPr>
      <w:r>
        <w:t>[Sigue el Anexo</w:t>
      </w:r>
      <w:r w:rsidR="0078167F">
        <w:t xml:space="preserve"> XV</w:t>
      </w:r>
      <w:r>
        <w:t>]</w:t>
      </w:r>
    </w:p>
    <w:p w:rsidR="0078167F" w:rsidRDefault="0078167F" w:rsidP="0078167F">
      <w:pPr>
        <w:jc w:val="left"/>
        <w:sectPr w:rsidR="0078167F" w:rsidSect="00EC2B3C">
          <w:headerReference w:type="default" r:id="rId31"/>
          <w:pgSz w:w="11907" w:h="16840" w:code="9"/>
          <w:pgMar w:top="510" w:right="1134" w:bottom="851" w:left="1134" w:header="510" w:footer="680" w:gutter="0"/>
          <w:pgNumType w:start="1"/>
          <w:cols w:space="720"/>
          <w:titlePg/>
        </w:sectPr>
      </w:pPr>
    </w:p>
    <w:p w:rsidR="0078167F" w:rsidRPr="0075031D" w:rsidRDefault="0078167F" w:rsidP="0078167F">
      <w:pPr>
        <w:jc w:val="center"/>
      </w:pPr>
      <w:r>
        <w:lastRenderedPageBreak/>
        <w:t>C/54/INF/4</w:t>
      </w:r>
    </w:p>
    <w:p w:rsidR="0078167F" w:rsidRPr="0075031D" w:rsidRDefault="0078167F" w:rsidP="0078167F">
      <w:pPr>
        <w:jc w:val="center"/>
      </w:pPr>
    </w:p>
    <w:p w:rsidR="0078167F" w:rsidRPr="0075031D" w:rsidRDefault="00E80B45" w:rsidP="0078167F">
      <w:pPr>
        <w:jc w:val="center"/>
      </w:pPr>
      <w:r>
        <w:t>ANEXO</w:t>
      </w:r>
      <w:r w:rsidR="0078167F">
        <w:t xml:space="preserve"> XV</w:t>
      </w:r>
    </w:p>
    <w:p w:rsidR="0078167F" w:rsidRPr="0075031D" w:rsidRDefault="0078167F" w:rsidP="0078167F">
      <w:pPr>
        <w:jc w:val="center"/>
      </w:pPr>
    </w:p>
    <w:p w:rsidR="0078167F" w:rsidRDefault="0078167F" w:rsidP="0078167F">
      <w:pPr>
        <w:jc w:val="center"/>
      </w:pPr>
    </w:p>
    <w:p w:rsidR="007805FB" w:rsidRPr="00592F7C" w:rsidRDefault="007805FB" w:rsidP="007805FB">
      <w:pPr>
        <w:jc w:val="center"/>
        <w:rPr>
          <w:lang w:val="es-ES"/>
        </w:rPr>
      </w:pPr>
      <w:r w:rsidRPr="00E372B6">
        <w:t>ESLOVENIA</w:t>
      </w:r>
    </w:p>
    <w:p w:rsidR="007805FB" w:rsidRPr="00592F7C" w:rsidRDefault="007805FB" w:rsidP="007805FB">
      <w:pPr>
        <w:jc w:val="center"/>
        <w:rPr>
          <w:lang w:val="es-ES"/>
        </w:rPr>
      </w:pPr>
    </w:p>
    <w:p w:rsidR="007805FB" w:rsidRPr="00592F7C" w:rsidRDefault="007805FB" w:rsidP="007805FB">
      <w:pPr>
        <w:jc w:val="center"/>
        <w:rPr>
          <w:lang w:val="es-ES"/>
        </w:rPr>
      </w:pPr>
    </w:p>
    <w:p w:rsidR="007805FB" w:rsidRPr="00592F7C" w:rsidRDefault="007805FB" w:rsidP="007805FB">
      <w:pPr>
        <w:rPr>
          <w:lang w:val="es-ES"/>
        </w:rPr>
      </w:pPr>
      <w:r w:rsidRPr="00592F7C">
        <w:rPr>
          <w:lang w:val="es-ES"/>
        </w:rPr>
        <w:t>I.</w:t>
      </w:r>
      <w:r w:rsidRPr="00592F7C">
        <w:rPr>
          <w:lang w:val="es-ES"/>
        </w:rPr>
        <w:tab/>
      </w:r>
      <w:r w:rsidRPr="00E372B6">
        <w:t>PROTECCIÓN DE LAS OBTENCIONES VEGETALES EN LA REPÚBLICA DE ESLOVENIA</w:t>
      </w:r>
    </w:p>
    <w:p w:rsidR="007805FB" w:rsidRPr="00592F7C" w:rsidRDefault="007805FB" w:rsidP="007805FB">
      <w:pPr>
        <w:rPr>
          <w:lang w:val="es-ES"/>
        </w:rPr>
      </w:pPr>
    </w:p>
    <w:p w:rsidR="007805FB" w:rsidRPr="00CB386A" w:rsidRDefault="007805FB" w:rsidP="007805FB">
      <w:r w:rsidRPr="00CB386A">
        <w:t xml:space="preserve">1. </w:t>
      </w:r>
      <w:r w:rsidRPr="00CB386A">
        <w:tab/>
      </w:r>
      <w:r w:rsidRPr="00E372B6">
        <w:rPr>
          <w:u w:val="single"/>
        </w:rPr>
        <w:t>Situación en el ámbito legislativo</w:t>
      </w:r>
      <w:r>
        <w:t xml:space="preserve"> </w:t>
      </w:r>
    </w:p>
    <w:p w:rsidR="007805FB" w:rsidRPr="00CB386A" w:rsidRDefault="007805FB" w:rsidP="007805FB"/>
    <w:p w:rsidR="007805FB" w:rsidRPr="00592F7C" w:rsidRDefault="007805FB" w:rsidP="007805FB">
      <w:pPr>
        <w:rPr>
          <w:lang w:val="es-ES"/>
        </w:rPr>
      </w:pPr>
      <w:r w:rsidRPr="00592F7C">
        <w:rPr>
          <w:lang w:val="es-ES"/>
        </w:rPr>
        <w:t>1.1</w:t>
      </w:r>
      <w:r w:rsidRPr="00592F7C">
        <w:rPr>
          <w:lang w:val="es-ES"/>
        </w:rPr>
        <w:tab/>
      </w:r>
      <w:r w:rsidRPr="00E372B6">
        <w:t>Modificaciones de la ley y de los reglamentos:</w:t>
      </w:r>
      <w:r w:rsidRPr="00592F7C">
        <w:rPr>
          <w:lang w:val="es-ES"/>
        </w:rPr>
        <w:t xml:space="preserve"> </w:t>
      </w:r>
      <w:r w:rsidRPr="00E372B6">
        <w:t>No ha habido modificaciones.</w:t>
      </w:r>
    </w:p>
    <w:p w:rsidR="007805FB" w:rsidRPr="00592F7C" w:rsidRDefault="007805FB" w:rsidP="007805FB">
      <w:pPr>
        <w:rPr>
          <w:lang w:val="es-ES"/>
        </w:rPr>
      </w:pPr>
    </w:p>
    <w:p w:rsidR="007805FB" w:rsidRPr="00592F7C" w:rsidRDefault="007805FB" w:rsidP="007805FB">
      <w:pPr>
        <w:rPr>
          <w:lang w:val="es-ES"/>
        </w:rPr>
      </w:pPr>
      <w:r w:rsidRPr="00592F7C">
        <w:rPr>
          <w:lang w:val="es-ES"/>
        </w:rPr>
        <w:t>1.2</w:t>
      </w:r>
      <w:r w:rsidRPr="00592F7C">
        <w:rPr>
          <w:lang w:val="es-ES"/>
        </w:rPr>
        <w:tab/>
      </w:r>
      <w:r w:rsidRPr="00E372B6">
        <w:t>Extensión de la protección a otros géneros y especies (realizada o prevista)</w:t>
      </w:r>
    </w:p>
    <w:p w:rsidR="007805FB" w:rsidRPr="00592F7C" w:rsidRDefault="007805FB" w:rsidP="007805FB">
      <w:pPr>
        <w:rPr>
          <w:lang w:val="es-ES"/>
        </w:rPr>
      </w:pPr>
    </w:p>
    <w:p w:rsidR="007805FB" w:rsidRPr="00592F7C" w:rsidRDefault="007805FB" w:rsidP="007805FB">
      <w:pPr>
        <w:rPr>
          <w:lang w:val="es-ES"/>
        </w:rPr>
      </w:pPr>
      <w:r w:rsidRPr="00E372B6">
        <w:t>De septiembre de 2016 a septiembre de 2019:</w:t>
      </w:r>
      <w:r w:rsidRPr="00592F7C">
        <w:rPr>
          <w:lang w:val="es-ES"/>
        </w:rPr>
        <w:t xml:space="preserve"> </w:t>
      </w:r>
      <w:r w:rsidRPr="00B70FDA">
        <w:t>se han presentado tres nuevas solicitudes de protección respecto de tres variedades de batata y no se ha concedido ningún título.</w:t>
      </w:r>
      <w:r w:rsidRPr="00592F7C">
        <w:rPr>
          <w:lang w:val="es-ES"/>
        </w:rPr>
        <w:t xml:space="preserve"> </w:t>
      </w:r>
      <w:r w:rsidRPr="00B70FDA">
        <w:t>El número total de títulos en vigor asciende a 18 (6 de plantas agrícolas, 1 de lúpulo, 9 de plantas hortícolas, 1 de plantas frutales y 1 de plantas ornamentales).</w:t>
      </w:r>
    </w:p>
    <w:p w:rsidR="007805FB" w:rsidRPr="00592F7C" w:rsidRDefault="007805FB" w:rsidP="007805FB">
      <w:pPr>
        <w:rPr>
          <w:lang w:val="es-ES"/>
        </w:rPr>
      </w:pPr>
    </w:p>
    <w:p w:rsidR="007805FB" w:rsidRPr="00592F7C" w:rsidRDefault="007805FB" w:rsidP="007805FB">
      <w:pPr>
        <w:rPr>
          <w:lang w:val="es-ES"/>
        </w:rPr>
      </w:pPr>
      <w:r w:rsidRPr="00592F7C">
        <w:rPr>
          <w:lang w:val="es-ES"/>
        </w:rPr>
        <w:t>1.3</w:t>
      </w:r>
      <w:r w:rsidRPr="00592F7C">
        <w:rPr>
          <w:lang w:val="es-ES"/>
        </w:rPr>
        <w:tab/>
      </w:r>
      <w:r w:rsidRPr="00B70FDA">
        <w:t>Jurisprudencia</w:t>
      </w:r>
      <w:r w:rsidRPr="00592F7C">
        <w:rPr>
          <w:lang w:val="es-ES"/>
        </w:rPr>
        <w:t xml:space="preserve"> </w:t>
      </w:r>
      <w:r w:rsidRPr="00B70FDA">
        <w:t>No existe jurisprudencia.</w:t>
      </w:r>
    </w:p>
    <w:p w:rsidR="007805FB" w:rsidRPr="00592F7C" w:rsidRDefault="007805FB" w:rsidP="007805FB">
      <w:pPr>
        <w:rPr>
          <w:lang w:val="es-ES"/>
        </w:rPr>
      </w:pPr>
    </w:p>
    <w:p w:rsidR="007805FB" w:rsidRPr="00592F7C" w:rsidRDefault="007805FB" w:rsidP="007805FB">
      <w:pPr>
        <w:rPr>
          <w:lang w:val="es-ES"/>
        </w:rPr>
      </w:pPr>
    </w:p>
    <w:p w:rsidR="007805FB" w:rsidRPr="00592F7C" w:rsidRDefault="007805FB" w:rsidP="007805FB">
      <w:pPr>
        <w:rPr>
          <w:u w:val="single"/>
          <w:lang w:val="es-ES"/>
        </w:rPr>
      </w:pPr>
      <w:r w:rsidRPr="00592F7C">
        <w:rPr>
          <w:lang w:val="es-ES"/>
        </w:rPr>
        <w:t>2.</w:t>
      </w:r>
      <w:r w:rsidRPr="00592F7C">
        <w:rPr>
          <w:lang w:val="es-ES"/>
        </w:rPr>
        <w:tab/>
      </w:r>
      <w:r w:rsidRPr="00B70FDA">
        <w:rPr>
          <w:u w:val="single"/>
        </w:rPr>
        <w:t>Cooperación en el examen</w:t>
      </w:r>
    </w:p>
    <w:p w:rsidR="007805FB" w:rsidRPr="00592F7C" w:rsidRDefault="007805FB" w:rsidP="007805FB">
      <w:pPr>
        <w:rPr>
          <w:lang w:val="es-ES"/>
        </w:rPr>
      </w:pPr>
    </w:p>
    <w:p w:rsidR="007805FB" w:rsidRPr="00592F7C" w:rsidRDefault="007805FB" w:rsidP="007805FB">
      <w:pPr>
        <w:rPr>
          <w:lang w:val="es-ES"/>
        </w:rPr>
      </w:pPr>
      <w:r w:rsidRPr="00B70FDA">
        <w:t>No se han suscrito nuevos acuerdos.</w:t>
      </w:r>
    </w:p>
    <w:p w:rsidR="007805FB" w:rsidRPr="00592F7C" w:rsidRDefault="007805FB" w:rsidP="007805FB">
      <w:pPr>
        <w:rPr>
          <w:lang w:val="es-ES"/>
        </w:rPr>
      </w:pPr>
    </w:p>
    <w:p w:rsidR="007805FB" w:rsidRPr="00592F7C" w:rsidRDefault="007805FB" w:rsidP="007805FB">
      <w:pPr>
        <w:rPr>
          <w:lang w:val="es-ES"/>
        </w:rPr>
      </w:pPr>
      <w:r w:rsidRPr="00B70FDA">
        <w:t>Prosigue la cooperación en materia de examen DHE con Austria, Croacia, Eslovaquia, Hungría, Italia, los Países Bajos, Polonia y la República Checa.</w:t>
      </w:r>
    </w:p>
    <w:p w:rsidR="007805FB" w:rsidRPr="00592F7C" w:rsidRDefault="007805FB" w:rsidP="007805FB">
      <w:pPr>
        <w:rPr>
          <w:lang w:val="es-ES"/>
        </w:rPr>
      </w:pPr>
    </w:p>
    <w:p w:rsidR="007805FB" w:rsidRPr="00592F7C" w:rsidRDefault="007805FB" w:rsidP="007805FB">
      <w:pPr>
        <w:rPr>
          <w:lang w:val="es-ES"/>
        </w:rPr>
      </w:pPr>
    </w:p>
    <w:p w:rsidR="007805FB" w:rsidRPr="00592F7C" w:rsidRDefault="007805FB" w:rsidP="007805FB">
      <w:pPr>
        <w:rPr>
          <w:lang w:val="es-ES"/>
        </w:rPr>
      </w:pPr>
      <w:r w:rsidRPr="00592F7C">
        <w:rPr>
          <w:lang w:val="es-ES"/>
        </w:rPr>
        <w:t>3.</w:t>
      </w:r>
      <w:r w:rsidRPr="00592F7C">
        <w:rPr>
          <w:lang w:val="es-ES"/>
        </w:rPr>
        <w:tab/>
      </w:r>
      <w:r w:rsidRPr="00B70FDA">
        <w:rPr>
          <w:u w:val="single"/>
        </w:rPr>
        <w:t>Situación en el ámbito administrativo:</w:t>
      </w:r>
      <w:r w:rsidRPr="00592F7C">
        <w:rPr>
          <w:lang w:val="es-ES"/>
        </w:rPr>
        <w:t xml:space="preserve"> </w:t>
      </w:r>
      <w:r w:rsidRPr="00B70FDA">
        <w:t>No se han producido cambios.</w:t>
      </w:r>
    </w:p>
    <w:p w:rsidR="007805FB" w:rsidRPr="00592F7C" w:rsidRDefault="007805FB" w:rsidP="007805FB">
      <w:pPr>
        <w:rPr>
          <w:lang w:val="es-ES"/>
        </w:rPr>
      </w:pPr>
    </w:p>
    <w:p w:rsidR="007805FB" w:rsidRPr="00592F7C" w:rsidRDefault="007805FB" w:rsidP="007805FB">
      <w:pPr>
        <w:rPr>
          <w:lang w:val="es-ES"/>
        </w:rPr>
      </w:pPr>
    </w:p>
    <w:p w:rsidR="007805FB" w:rsidRPr="00592F7C" w:rsidRDefault="007805FB" w:rsidP="007805FB">
      <w:pPr>
        <w:rPr>
          <w:lang w:val="es-ES"/>
        </w:rPr>
      </w:pPr>
      <w:r w:rsidRPr="00592F7C">
        <w:rPr>
          <w:lang w:val="es-ES"/>
        </w:rPr>
        <w:t>4.</w:t>
      </w:r>
      <w:r w:rsidRPr="00592F7C">
        <w:rPr>
          <w:lang w:val="es-ES"/>
        </w:rPr>
        <w:tab/>
      </w:r>
      <w:r w:rsidRPr="00B70FDA">
        <w:rPr>
          <w:u w:val="single"/>
        </w:rPr>
        <w:t>Situación en el ámbito técnico:</w:t>
      </w:r>
      <w:r w:rsidRPr="00592F7C">
        <w:rPr>
          <w:lang w:val="es-ES"/>
        </w:rPr>
        <w:t xml:space="preserve"> </w:t>
      </w:r>
      <w:r w:rsidRPr="00B70FDA">
        <w:t>No se han producido cambios.</w:t>
      </w:r>
    </w:p>
    <w:p w:rsidR="007805FB" w:rsidRPr="00592F7C" w:rsidRDefault="007805FB" w:rsidP="007805FB">
      <w:pPr>
        <w:rPr>
          <w:lang w:val="es-ES"/>
        </w:rPr>
      </w:pPr>
    </w:p>
    <w:p w:rsidR="007805FB" w:rsidRPr="00592F7C" w:rsidRDefault="007805FB" w:rsidP="007805FB">
      <w:pPr>
        <w:rPr>
          <w:lang w:val="es-ES"/>
        </w:rPr>
      </w:pPr>
    </w:p>
    <w:p w:rsidR="007805FB" w:rsidRPr="00592F7C" w:rsidRDefault="007805FB" w:rsidP="007805FB">
      <w:pPr>
        <w:rPr>
          <w:lang w:val="es-ES"/>
        </w:rPr>
      </w:pPr>
      <w:r w:rsidRPr="00592F7C">
        <w:rPr>
          <w:lang w:val="es-ES"/>
        </w:rPr>
        <w:t>II.</w:t>
      </w:r>
      <w:r w:rsidRPr="00592F7C">
        <w:rPr>
          <w:lang w:val="es-ES"/>
        </w:rPr>
        <w:tab/>
      </w:r>
      <w:r w:rsidRPr="00B70FDA">
        <w:t>OTRAS NOVEDADES DE INTERÉS PARA LA UPOV</w:t>
      </w:r>
    </w:p>
    <w:p w:rsidR="007805FB" w:rsidRPr="00592F7C" w:rsidRDefault="007805FB" w:rsidP="007805FB">
      <w:pPr>
        <w:rPr>
          <w:lang w:val="es-ES"/>
        </w:rPr>
      </w:pPr>
    </w:p>
    <w:p w:rsidR="007805FB" w:rsidRPr="00592F7C" w:rsidRDefault="007805FB" w:rsidP="007805FB">
      <w:pPr>
        <w:rPr>
          <w:lang w:val="es-ES"/>
        </w:rPr>
      </w:pPr>
      <w:r w:rsidRPr="00B70FDA">
        <w:t>Cada mes de agosto se publica una nueva Lista nacional de variedades, en la que se recogen las variedades protegidas.</w:t>
      </w:r>
      <w:r w:rsidRPr="00592F7C">
        <w:rPr>
          <w:lang w:val="es-ES"/>
        </w:rPr>
        <w:t xml:space="preserve"> </w:t>
      </w:r>
    </w:p>
    <w:p w:rsidR="007805FB" w:rsidRPr="00592F7C" w:rsidRDefault="007805FB" w:rsidP="007805FB">
      <w:pPr>
        <w:rPr>
          <w:lang w:val="es-ES"/>
        </w:rPr>
      </w:pPr>
    </w:p>
    <w:p w:rsidR="007805FB" w:rsidRPr="00592F7C" w:rsidRDefault="007805FB" w:rsidP="007805FB">
      <w:pPr>
        <w:rPr>
          <w:lang w:val="es-ES"/>
        </w:rPr>
      </w:pPr>
      <w:r w:rsidRPr="00B70FDA">
        <w:t>Desde septiembre de 2016, se han publicado cuatro nuevos números del Boletín de derechos de obtentor y de registro de variedades de Eslovenia.</w:t>
      </w:r>
    </w:p>
    <w:p w:rsidR="007805FB" w:rsidRPr="00592F7C" w:rsidRDefault="007805FB" w:rsidP="007805FB">
      <w:pPr>
        <w:rPr>
          <w:lang w:val="es-ES"/>
        </w:rPr>
      </w:pPr>
    </w:p>
    <w:p w:rsidR="007805FB" w:rsidRPr="00592F7C" w:rsidRDefault="007805FB" w:rsidP="007805FB">
      <w:pPr>
        <w:rPr>
          <w:lang w:val="es-ES"/>
        </w:rPr>
      </w:pPr>
    </w:p>
    <w:p w:rsidR="0078167F" w:rsidRDefault="0078167F" w:rsidP="0078167F">
      <w:pPr>
        <w:jc w:val="left"/>
      </w:pPr>
    </w:p>
    <w:p w:rsidR="0078167F" w:rsidRDefault="00E80B45" w:rsidP="0078167F">
      <w:pPr>
        <w:jc w:val="right"/>
      </w:pPr>
      <w:r>
        <w:t>[Sigue el Anexo</w:t>
      </w:r>
      <w:r w:rsidR="0078167F">
        <w:t xml:space="preserve"> XVI</w:t>
      </w:r>
      <w:r>
        <w:t>]</w:t>
      </w:r>
    </w:p>
    <w:p w:rsidR="0078167F" w:rsidRDefault="0078167F" w:rsidP="0078167F"/>
    <w:p w:rsidR="0078167F" w:rsidRDefault="0078167F" w:rsidP="0078167F">
      <w:pPr>
        <w:jc w:val="left"/>
        <w:sectPr w:rsidR="0078167F" w:rsidSect="002D1696">
          <w:headerReference w:type="default" r:id="rId32"/>
          <w:pgSz w:w="11907" w:h="16840" w:code="9"/>
          <w:pgMar w:top="510" w:right="1134" w:bottom="1134" w:left="1134" w:header="510" w:footer="680" w:gutter="0"/>
          <w:pgNumType w:start="1"/>
          <w:cols w:space="720"/>
          <w:titlePg/>
        </w:sectPr>
      </w:pPr>
    </w:p>
    <w:p w:rsidR="0078167F" w:rsidRPr="0075031D" w:rsidRDefault="0078167F" w:rsidP="0078167F">
      <w:pPr>
        <w:jc w:val="center"/>
      </w:pPr>
      <w:r>
        <w:lastRenderedPageBreak/>
        <w:t>C/54/INF/4</w:t>
      </w:r>
    </w:p>
    <w:p w:rsidR="0078167F" w:rsidRPr="0075031D" w:rsidRDefault="0078167F" w:rsidP="0078167F">
      <w:pPr>
        <w:jc w:val="center"/>
      </w:pPr>
    </w:p>
    <w:p w:rsidR="0078167F" w:rsidRPr="0075031D" w:rsidRDefault="00E80B45" w:rsidP="0078167F">
      <w:pPr>
        <w:jc w:val="center"/>
      </w:pPr>
      <w:r>
        <w:t>ANEXO</w:t>
      </w:r>
      <w:r w:rsidR="0078167F">
        <w:t xml:space="preserve"> XVI</w:t>
      </w:r>
    </w:p>
    <w:p w:rsidR="0078167F" w:rsidRPr="0075031D" w:rsidRDefault="0078167F" w:rsidP="0078167F">
      <w:pPr>
        <w:jc w:val="center"/>
      </w:pPr>
    </w:p>
    <w:p w:rsidR="0078167F" w:rsidRDefault="0078167F" w:rsidP="0078167F">
      <w:pPr>
        <w:jc w:val="center"/>
      </w:pPr>
    </w:p>
    <w:p w:rsidR="00D23C11" w:rsidRPr="00592F7C" w:rsidRDefault="00D23C11" w:rsidP="00D23C11">
      <w:pPr>
        <w:jc w:val="center"/>
        <w:rPr>
          <w:lang w:val="es-ES"/>
        </w:rPr>
      </w:pPr>
      <w:r w:rsidRPr="00B70FDA">
        <w:t>UCRANIA</w:t>
      </w:r>
    </w:p>
    <w:p w:rsidR="00D23C11" w:rsidRPr="00592F7C" w:rsidRDefault="00D23C11" w:rsidP="00D23C11">
      <w:pPr>
        <w:jc w:val="center"/>
        <w:rPr>
          <w:lang w:val="es-ES"/>
        </w:rPr>
      </w:pPr>
    </w:p>
    <w:p w:rsidR="00D23C11" w:rsidRPr="00592F7C" w:rsidRDefault="00D23C11" w:rsidP="00D23C11">
      <w:pPr>
        <w:jc w:val="center"/>
        <w:rPr>
          <w:lang w:val="es-ES"/>
        </w:rPr>
      </w:pPr>
    </w:p>
    <w:p w:rsidR="00D23C11" w:rsidRPr="00592F7C" w:rsidRDefault="00D23C11" w:rsidP="00D23C11">
      <w:pPr>
        <w:rPr>
          <w:lang w:val="es-ES"/>
        </w:rPr>
      </w:pPr>
      <w:r w:rsidRPr="00592F7C">
        <w:rPr>
          <w:lang w:val="es-ES"/>
        </w:rPr>
        <w:t>I.</w:t>
      </w:r>
      <w:r w:rsidRPr="00592F7C">
        <w:rPr>
          <w:lang w:val="es-ES"/>
        </w:rPr>
        <w:tab/>
      </w:r>
      <w:r w:rsidRPr="00B70FDA">
        <w:t>PROTECCIÓN DE LAS OBTENCIONES VEGETALES</w:t>
      </w:r>
    </w:p>
    <w:p w:rsidR="00D23C11" w:rsidRPr="00592F7C" w:rsidRDefault="00D23C11" w:rsidP="00D23C11">
      <w:pPr>
        <w:rPr>
          <w:lang w:val="es-ES"/>
        </w:rPr>
      </w:pPr>
    </w:p>
    <w:p w:rsidR="00D23C11" w:rsidRPr="00592F7C" w:rsidRDefault="00D23C11" w:rsidP="00D23C11">
      <w:pPr>
        <w:rPr>
          <w:lang w:val="es-ES"/>
        </w:rPr>
      </w:pPr>
      <w:r w:rsidRPr="00592F7C">
        <w:rPr>
          <w:lang w:val="es-ES"/>
        </w:rPr>
        <w:t>1.</w:t>
      </w:r>
      <w:r w:rsidRPr="00592F7C">
        <w:rPr>
          <w:lang w:val="es-ES"/>
        </w:rPr>
        <w:tab/>
      </w:r>
      <w:r w:rsidRPr="00B70FDA">
        <w:rPr>
          <w:u w:val="single"/>
        </w:rPr>
        <w:t>Situación en el ámbito legislativo</w:t>
      </w:r>
    </w:p>
    <w:p w:rsidR="00D23C11" w:rsidRPr="00592F7C" w:rsidRDefault="00D23C11" w:rsidP="00D23C11">
      <w:pPr>
        <w:rPr>
          <w:lang w:val="es-ES"/>
        </w:rPr>
      </w:pPr>
    </w:p>
    <w:p w:rsidR="00D23C11" w:rsidRPr="00592F7C" w:rsidRDefault="00D23C11" w:rsidP="00D23C11">
      <w:pPr>
        <w:rPr>
          <w:lang w:val="es-ES"/>
        </w:rPr>
      </w:pPr>
      <w:r w:rsidRPr="00B70FDA">
        <w:t>En el marco de la reforma administrativa de los organismos del Estado que tuvo lugar en Ucrania en 2019, se ha eliminado el Ministerio de Política Agraria y Alimentación y sus funciones han sido encomendadas al Ministerio de Desarrollo Económico, Comercial y Agrícola (se ha actualizado el nombre del Ministerio en consecuencia).</w:t>
      </w:r>
      <w:r w:rsidRPr="00592F7C">
        <w:rPr>
          <w:lang w:val="es-ES"/>
        </w:rPr>
        <w:t xml:space="preserve"> </w:t>
      </w:r>
      <w:r w:rsidRPr="00B70FDA">
        <w:t>Al mismo tiempo, en los reglamentos pertinentes en materia de protección de las obtenciones vegetales se han introducido las modificaciones correspondientes, relativas al cambio de la autoridad competente; en concreto,</w:t>
      </w:r>
      <w:r w:rsidRPr="00592F7C">
        <w:rPr>
          <w:lang w:val="es-ES"/>
        </w:rPr>
        <w:t xml:space="preserve"> </w:t>
      </w:r>
      <w:r w:rsidRPr="00B70FDA">
        <w:t>se ha sustituido “Ministerio de Política Agraria y Alimentación de Ucrania” por “Ministerio de Desarrollo Económico, Comercial y Agrícola de Ucrania”:</w:t>
      </w:r>
    </w:p>
    <w:p w:rsidR="00D23C11" w:rsidRPr="00592F7C" w:rsidRDefault="00D23C11" w:rsidP="00D23C11">
      <w:pPr>
        <w:rPr>
          <w:lang w:val="es-ES"/>
        </w:rPr>
      </w:pPr>
    </w:p>
    <w:p w:rsidR="00D23C11" w:rsidRPr="00592F7C" w:rsidRDefault="00D23C11" w:rsidP="00D23C11">
      <w:pPr>
        <w:ind w:left="1134" w:hanging="567"/>
        <w:rPr>
          <w:lang w:val="es-ES"/>
        </w:rPr>
      </w:pPr>
      <w:r w:rsidRPr="00592F7C">
        <w:rPr>
          <w:lang w:val="es-ES"/>
        </w:rPr>
        <w:t>1)</w:t>
      </w:r>
      <w:r w:rsidRPr="00592F7C">
        <w:rPr>
          <w:lang w:val="es-ES"/>
        </w:rPr>
        <w:tab/>
      </w:r>
      <w:r w:rsidRPr="00B70FDA">
        <w:t>Decreto N.º 755 del Gabinete de Ministros de Ucrania, de 19 de septiembre de 2018, relativo a la aprobación del procedimiento de mantenimiento del Registro de obtenciones vegetales;</w:t>
      </w:r>
    </w:p>
    <w:p w:rsidR="00D23C11" w:rsidRPr="00592F7C" w:rsidRDefault="00D23C11" w:rsidP="00D23C11">
      <w:pPr>
        <w:ind w:left="1134" w:hanging="567"/>
        <w:rPr>
          <w:lang w:val="es-ES"/>
        </w:rPr>
      </w:pPr>
    </w:p>
    <w:p w:rsidR="00D23C11" w:rsidRPr="00592F7C" w:rsidRDefault="00D23C11" w:rsidP="00D23C11">
      <w:pPr>
        <w:ind w:left="1134" w:hanging="567"/>
        <w:rPr>
          <w:lang w:val="es-ES"/>
        </w:rPr>
      </w:pPr>
      <w:r w:rsidRPr="00592F7C">
        <w:rPr>
          <w:lang w:val="es-ES"/>
        </w:rPr>
        <w:t>2)</w:t>
      </w:r>
      <w:r w:rsidRPr="00592F7C">
        <w:rPr>
          <w:lang w:val="es-ES"/>
        </w:rPr>
        <w:tab/>
      </w:r>
      <w:r w:rsidRPr="00B70FDA">
        <w:t>Decreto N.º 756 del Gabinete de Ministros de Ucrania, de 19 de septiembre de 2018, relativo a la aprobación del procedimiento de solicitud de muestras de material de siembra de las líneas parentales de la variedad objeto de la solicitud;</w:t>
      </w:r>
    </w:p>
    <w:p w:rsidR="00D23C11" w:rsidRPr="00592F7C" w:rsidRDefault="00D23C11" w:rsidP="00D23C11">
      <w:pPr>
        <w:ind w:left="1134" w:hanging="567"/>
        <w:rPr>
          <w:lang w:val="es-ES"/>
        </w:rPr>
      </w:pPr>
    </w:p>
    <w:p w:rsidR="00D23C11" w:rsidRPr="00592F7C" w:rsidRDefault="00D23C11" w:rsidP="00D23C11">
      <w:pPr>
        <w:ind w:left="1134" w:hanging="567"/>
        <w:rPr>
          <w:lang w:val="es-ES"/>
        </w:rPr>
      </w:pPr>
      <w:r w:rsidRPr="00592F7C">
        <w:rPr>
          <w:lang w:val="es-ES"/>
        </w:rPr>
        <w:t>3)</w:t>
      </w:r>
      <w:r w:rsidRPr="00592F7C">
        <w:rPr>
          <w:lang w:val="es-ES"/>
        </w:rPr>
        <w:tab/>
      </w:r>
      <w:r w:rsidRPr="00B70FDA">
        <w:t>Decreto N.º 757 (2) del Gabinete de Ministros de Ucrania, de 19 de septiembre de 2018, relativo a la aprobación del procedimiento de mantenimiento del Registro de solicitudes de derechos de obtentor;</w:t>
      </w:r>
    </w:p>
    <w:p w:rsidR="00D23C11" w:rsidRPr="00592F7C" w:rsidRDefault="00D23C11" w:rsidP="00D23C11">
      <w:pPr>
        <w:ind w:left="1134" w:hanging="567"/>
        <w:rPr>
          <w:lang w:val="es-ES"/>
        </w:rPr>
      </w:pPr>
    </w:p>
    <w:p w:rsidR="00D23C11" w:rsidRPr="00592F7C" w:rsidRDefault="00D23C11" w:rsidP="00D23C11">
      <w:pPr>
        <w:ind w:left="1134" w:hanging="567"/>
        <w:rPr>
          <w:lang w:val="es-ES"/>
        </w:rPr>
      </w:pPr>
      <w:r w:rsidRPr="00592F7C">
        <w:rPr>
          <w:lang w:val="es-ES"/>
        </w:rPr>
        <w:t>4)</w:t>
      </w:r>
      <w:r w:rsidRPr="00592F7C">
        <w:rPr>
          <w:lang w:val="es-ES"/>
        </w:rPr>
        <w:tab/>
      </w:r>
      <w:r w:rsidRPr="00B70FDA">
        <w:t>Decreto N.º 774 (2) del Gabinete de Ministros de Ucrania, de 26 de septiembre de 2018, relativo a la aprobación del procedimiento de mantenimiento del Registro estatal de variedades vegetales comercializables en Ucrania;</w:t>
      </w:r>
    </w:p>
    <w:p w:rsidR="00D23C11" w:rsidRPr="00592F7C" w:rsidRDefault="00D23C11" w:rsidP="00D23C11">
      <w:pPr>
        <w:ind w:left="1134" w:hanging="567"/>
        <w:rPr>
          <w:lang w:val="es-ES"/>
        </w:rPr>
      </w:pPr>
    </w:p>
    <w:p w:rsidR="00D23C11" w:rsidRPr="00592F7C" w:rsidRDefault="00D23C11" w:rsidP="00D23C11">
      <w:pPr>
        <w:ind w:left="1134" w:hanging="567"/>
        <w:rPr>
          <w:lang w:val="es-ES"/>
        </w:rPr>
      </w:pPr>
      <w:r w:rsidRPr="00592F7C">
        <w:rPr>
          <w:lang w:val="es-ES"/>
        </w:rPr>
        <w:t>5)</w:t>
      </w:r>
      <w:r w:rsidRPr="00592F7C">
        <w:rPr>
          <w:lang w:val="es-ES"/>
        </w:rPr>
        <w:tab/>
      </w:r>
      <w:r w:rsidRPr="00B70FDA">
        <w:t>Procedimiento de pago de tasas por actuaciones relacionadas con la protección de los derechos de obtentor, aprobado mediante el Decreto N.º 1183 (2) del Gabinete de Ministros de Ucrania, de 19 de agosto de 2002, relativo a las medidas para la aplicación de la Ley de Protección de las Obtenciones Vegetales de Ucrania.</w:t>
      </w:r>
    </w:p>
    <w:p w:rsidR="00D23C11" w:rsidRPr="00592F7C" w:rsidRDefault="00D23C11" w:rsidP="00D23C11">
      <w:pPr>
        <w:rPr>
          <w:lang w:val="es-ES"/>
        </w:rPr>
      </w:pPr>
    </w:p>
    <w:p w:rsidR="00D23C11" w:rsidRPr="00592F7C" w:rsidRDefault="00D23C11" w:rsidP="00D23C11">
      <w:pPr>
        <w:rPr>
          <w:u w:val="single"/>
          <w:lang w:val="es-ES"/>
        </w:rPr>
      </w:pPr>
      <w:r w:rsidRPr="00592F7C">
        <w:rPr>
          <w:lang w:val="es-ES"/>
        </w:rPr>
        <w:t>2.</w:t>
      </w:r>
      <w:r w:rsidRPr="00592F7C">
        <w:rPr>
          <w:lang w:val="es-ES"/>
        </w:rPr>
        <w:tab/>
      </w:r>
      <w:r w:rsidRPr="00B70FDA">
        <w:rPr>
          <w:u w:val="single"/>
        </w:rPr>
        <w:t>Cooperación en el examen</w:t>
      </w:r>
    </w:p>
    <w:p w:rsidR="00D23C11" w:rsidRPr="00592F7C" w:rsidRDefault="00D23C11" w:rsidP="00D23C11">
      <w:pPr>
        <w:rPr>
          <w:lang w:val="es-ES"/>
        </w:rPr>
      </w:pPr>
    </w:p>
    <w:p w:rsidR="00D23C11" w:rsidRPr="00592F7C" w:rsidRDefault="00D23C11" w:rsidP="00D23C11">
      <w:pPr>
        <w:rPr>
          <w:lang w:val="es-ES"/>
        </w:rPr>
      </w:pPr>
      <w:r w:rsidRPr="00B70FDA">
        <w:t>Ucrania ha intercambiado 138 resultados de exámenes DHE en 2019.</w:t>
      </w:r>
      <w:r w:rsidRPr="00592F7C">
        <w:rPr>
          <w:lang w:val="es-ES"/>
        </w:rPr>
        <w:t xml:space="preserve"> </w:t>
      </w:r>
      <w:r w:rsidRPr="00B70FDA">
        <w:t>Asimismo, ha utilizado informes de exámenes DHE de los países siguientes:</w:t>
      </w:r>
      <w:r w:rsidRPr="00592F7C">
        <w:rPr>
          <w:lang w:val="es-ES"/>
        </w:rPr>
        <w:t xml:space="preserve"> </w:t>
      </w:r>
      <w:r w:rsidRPr="00B70FDA">
        <w:t>Alemania, Austria, Canadá, Dinamarca, Eslovaquia, España, Francia, Hungría, Italia, Países Bajos, Portugal, Reino Unido y República Checa.</w:t>
      </w:r>
      <w:r w:rsidRPr="00592F7C">
        <w:rPr>
          <w:lang w:val="es-ES"/>
        </w:rPr>
        <w:t xml:space="preserve"> </w:t>
      </w:r>
      <w:r w:rsidRPr="00B70FDA">
        <w:t>Ucrania ha facilitado informes a la Federación de Rusia y a Serbia.</w:t>
      </w:r>
    </w:p>
    <w:p w:rsidR="00D23C11" w:rsidRPr="00592F7C" w:rsidRDefault="00D23C11" w:rsidP="00D23C11">
      <w:pPr>
        <w:rPr>
          <w:lang w:val="es-ES"/>
        </w:rPr>
      </w:pPr>
    </w:p>
    <w:p w:rsidR="00D23C11" w:rsidRPr="00592F7C" w:rsidRDefault="00D23C11" w:rsidP="00D23C11">
      <w:pPr>
        <w:rPr>
          <w:u w:val="single"/>
          <w:lang w:val="es-ES"/>
        </w:rPr>
      </w:pPr>
      <w:r w:rsidRPr="00592F7C">
        <w:rPr>
          <w:lang w:val="es-ES"/>
        </w:rPr>
        <w:t>3.</w:t>
      </w:r>
      <w:r w:rsidRPr="00592F7C">
        <w:rPr>
          <w:lang w:val="es-ES"/>
        </w:rPr>
        <w:tab/>
      </w:r>
      <w:r w:rsidRPr="00B70FDA">
        <w:rPr>
          <w:u w:val="single"/>
        </w:rPr>
        <w:t>Situación en el ámbito administrativo</w:t>
      </w:r>
    </w:p>
    <w:p w:rsidR="00D23C11" w:rsidRPr="00592F7C" w:rsidRDefault="00D23C11" w:rsidP="00D23C11">
      <w:pPr>
        <w:rPr>
          <w:lang w:val="es-ES"/>
        </w:rPr>
      </w:pPr>
    </w:p>
    <w:p w:rsidR="00D23C11" w:rsidRPr="00592F7C" w:rsidRDefault="00D23C11" w:rsidP="00D23C11">
      <w:pPr>
        <w:rPr>
          <w:lang w:val="es-ES"/>
        </w:rPr>
      </w:pPr>
      <w:r w:rsidRPr="00B70FDA">
        <w:t>El nombre del organismo competente ha cambiado; en concreto, se ha sustituido “Ministerio de Política Agraria y Alimentación de Ucrania” por “Ministerio de Desarrollo Económico, Comercial y Agrícola de Ucrania”.</w:t>
      </w:r>
    </w:p>
    <w:p w:rsidR="00D23C11" w:rsidRPr="00592F7C" w:rsidRDefault="00D23C11" w:rsidP="00D23C11">
      <w:pPr>
        <w:rPr>
          <w:lang w:val="es-ES"/>
        </w:rPr>
      </w:pPr>
    </w:p>
    <w:p w:rsidR="00D23C11" w:rsidRPr="00592F7C" w:rsidRDefault="00D23C11" w:rsidP="00D23C11">
      <w:pPr>
        <w:rPr>
          <w:lang w:val="es-ES"/>
        </w:rPr>
      </w:pPr>
      <w:r w:rsidRPr="00592F7C">
        <w:rPr>
          <w:lang w:val="es-ES"/>
        </w:rPr>
        <w:t>4.</w:t>
      </w:r>
      <w:r w:rsidRPr="00592F7C">
        <w:rPr>
          <w:lang w:val="es-ES"/>
        </w:rPr>
        <w:tab/>
      </w:r>
      <w:r w:rsidRPr="00B70FDA">
        <w:rPr>
          <w:u w:val="single"/>
        </w:rPr>
        <w:t>Situación en el ámbito técnico</w:t>
      </w:r>
    </w:p>
    <w:p w:rsidR="00D23C11" w:rsidRPr="00592F7C" w:rsidRDefault="00D23C11" w:rsidP="00D23C11">
      <w:pPr>
        <w:rPr>
          <w:lang w:val="es-ES"/>
        </w:rPr>
      </w:pPr>
    </w:p>
    <w:p w:rsidR="00D23C11" w:rsidRPr="00592F7C" w:rsidRDefault="00D23C11" w:rsidP="00D23C11">
      <w:pPr>
        <w:rPr>
          <w:lang w:val="es-ES"/>
        </w:rPr>
      </w:pPr>
      <w:r w:rsidRPr="00B70FDA">
        <w:t>En 2019, el Instituto de Examen de Variedades Vegetales de Ucrania ha elaborado las siguientes directrices nacionales de examen:</w:t>
      </w:r>
    </w:p>
    <w:p w:rsidR="00D23C11" w:rsidRPr="00592F7C" w:rsidRDefault="00D23C11" w:rsidP="00D23C11">
      <w:pPr>
        <w:rPr>
          <w:lang w:val="es-ES"/>
        </w:rPr>
      </w:pPr>
    </w:p>
    <w:p w:rsidR="00D23C11" w:rsidRPr="00592F7C" w:rsidRDefault="00D23C11" w:rsidP="00D23C11">
      <w:pPr>
        <w:ind w:left="1134" w:hanging="567"/>
        <w:rPr>
          <w:lang w:val="es-ES"/>
        </w:rPr>
      </w:pPr>
      <w:r w:rsidRPr="00592F7C">
        <w:rPr>
          <w:lang w:val="es-ES"/>
        </w:rPr>
        <w:t>1.</w:t>
      </w:r>
      <w:r w:rsidRPr="00592F7C">
        <w:rPr>
          <w:lang w:val="es-ES"/>
        </w:rPr>
        <w:tab/>
      </w:r>
      <w:r w:rsidRPr="00B70FDA">
        <w:t>directrices de examen para determinar la resistencia a la sequía de variedades (híbridas) de maíz sobre el terreno;</w:t>
      </w:r>
    </w:p>
    <w:p w:rsidR="00D23C11" w:rsidRPr="00592F7C" w:rsidRDefault="00D23C11" w:rsidP="00D23C11">
      <w:pPr>
        <w:ind w:left="1134" w:hanging="567"/>
        <w:rPr>
          <w:lang w:val="es-ES"/>
        </w:rPr>
      </w:pPr>
      <w:r w:rsidRPr="00592F7C">
        <w:rPr>
          <w:lang w:val="es-ES"/>
        </w:rPr>
        <w:t>2.</w:t>
      </w:r>
      <w:r w:rsidRPr="00592F7C">
        <w:rPr>
          <w:lang w:val="es-ES"/>
        </w:rPr>
        <w:tab/>
      </w:r>
      <w:r w:rsidRPr="00B70FDA">
        <w:t xml:space="preserve">directrices de examen para evaluar la distinción, la homogeneidad y la estabilidad de variedades del género </w:t>
      </w:r>
      <w:proofErr w:type="spellStart"/>
      <w:r w:rsidRPr="00B70FDA">
        <w:rPr>
          <w:i/>
        </w:rPr>
        <w:t>Chaenomeles</w:t>
      </w:r>
      <w:proofErr w:type="spellEnd"/>
      <w:r w:rsidRPr="00B70FDA">
        <w:t xml:space="preserve"> (</w:t>
      </w:r>
      <w:proofErr w:type="spellStart"/>
      <w:r w:rsidRPr="00B70FDA">
        <w:rPr>
          <w:i/>
        </w:rPr>
        <w:t>Chaenomeles</w:t>
      </w:r>
      <w:proofErr w:type="spellEnd"/>
      <w:r w:rsidRPr="00B70FDA">
        <w:t xml:space="preserve"> </w:t>
      </w:r>
      <w:proofErr w:type="spellStart"/>
      <w:r w:rsidRPr="00B70FDA">
        <w:t>Lindl</w:t>
      </w:r>
      <w:proofErr w:type="spellEnd"/>
      <w:r w:rsidRPr="00B70FDA">
        <w:t>.);</w:t>
      </w:r>
    </w:p>
    <w:p w:rsidR="00D23C11" w:rsidRPr="00592F7C" w:rsidRDefault="00D23C11" w:rsidP="00D23C11">
      <w:pPr>
        <w:ind w:left="1134" w:hanging="567"/>
        <w:rPr>
          <w:lang w:val="es-ES"/>
        </w:rPr>
      </w:pPr>
      <w:r w:rsidRPr="00592F7C">
        <w:rPr>
          <w:lang w:val="es-ES"/>
        </w:rPr>
        <w:t>3.</w:t>
      </w:r>
      <w:r w:rsidRPr="00592F7C">
        <w:rPr>
          <w:lang w:val="es-ES"/>
        </w:rPr>
        <w:tab/>
      </w:r>
      <w:r w:rsidRPr="00B70FDA">
        <w:t>recomendaciones científicas y metodológicas respecto del uso de marcadores de ADN para la determinación de los tipos S y C de esterilidad del maíz (</w:t>
      </w:r>
      <w:r w:rsidRPr="00B70FDA">
        <w:rPr>
          <w:i/>
        </w:rPr>
        <w:t xml:space="preserve">Zea </w:t>
      </w:r>
      <w:proofErr w:type="spellStart"/>
      <w:r w:rsidRPr="00B70FDA">
        <w:rPr>
          <w:i/>
        </w:rPr>
        <w:t>mays</w:t>
      </w:r>
      <w:proofErr w:type="spellEnd"/>
      <w:r w:rsidRPr="00B70FDA">
        <w:t xml:space="preserve"> L.) en el examen de calificación de la distinción, la homogeneidad y la estabilidad.</w:t>
      </w:r>
    </w:p>
    <w:p w:rsidR="0078167F" w:rsidRDefault="0078167F" w:rsidP="0078167F">
      <w:pPr>
        <w:jc w:val="left"/>
      </w:pPr>
    </w:p>
    <w:p w:rsidR="00D23C11" w:rsidRDefault="00D23C11" w:rsidP="0078167F">
      <w:pPr>
        <w:jc w:val="left"/>
        <w:sectPr w:rsidR="00D23C11" w:rsidSect="002D1696">
          <w:headerReference w:type="default" r:id="rId33"/>
          <w:pgSz w:w="11907" w:h="16840" w:code="9"/>
          <w:pgMar w:top="510" w:right="1134" w:bottom="1134" w:left="1134" w:header="510" w:footer="680" w:gutter="0"/>
          <w:pgNumType w:start="1"/>
          <w:cols w:space="720"/>
          <w:titlePg/>
        </w:sectPr>
      </w:pPr>
    </w:p>
    <w:p w:rsidR="00D23C11" w:rsidRPr="00592F7C" w:rsidRDefault="00D23C11" w:rsidP="00D23C11">
      <w:pPr>
        <w:rPr>
          <w:u w:val="single"/>
          <w:lang w:val="es-ES"/>
        </w:rPr>
      </w:pPr>
      <w:r w:rsidRPr="00592F7C">
        <w:rPr>
          <w:lang w:val="es-ES"/>
        </w:rPr>
        <w:lastRenderedPageBreak/>
        <w:t>5.</w:t>
      </w:r>
      <w:r w:rsidRPr="00592F7C">
        <w:rPr>
          <w:lang w:val="es-ES"/>
        </w:rPr>
        <w:tab/>
      </w:r>
      <w:r w:rsidRPr="00B70FDA">
        <w:rPr>
          <w:u w:val="single"/>
        </w:rPr>
        <w:t>Actividades para la promoción de la protección de las obtenciones vegetales</w:t>
      </w:r>
    </w:p>
    <w:p w:rsidR="00D23C11" w:rsidRPr="00592F7C" w:rsidRDefault="00D23C11" w:rsidP="00D23C11">
      <w:pPr>
        <w:rPr>
          <w:lang w:val="es-ES"/>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978"/>
        <w:gridCol w:w="992"/>
        <w:gridCol w:w="1276"/>
        <w:gridCol w:w="3260"/>
        <w:gridCol w:w="3402"/>
        <w:gridCol w:w="1843"/>
        <w:gridCol w:w="1304"/>
      </w:tblGrid>
      <w:tr w:rsidR="00D23C11" w:rsidRPr="00A55DBE" w:rsidTr="009D59E5">
        <w:trPr>
          <w:tblHeader/>
        </w:trPr>
        <w:tc>
          <w:tcPr>
            <w:tcW w:w="2978" w:type="dxa"/>
            <w:shd w:val="clear" w:color="auto" w:fill="auto"/>
            <w:tcMar>
              <w:top w:w="0" w:type="dxa"/>
              <w:left w:w="108" w:type="dxa"/>
              <w:bottom w:w="0" w:type="dxa"/>
              <w:right w:w="108" w:type="dxa"/>
            </w:tcMar>
            <w:vAlign w:val="center"/>
            <w:hideMark/>
          </w:tcPr>
          <w:p w:rsidR="00D23C11" w:rsidRPr="00F12FD8" w:rsidRDefault="00D23C11" w:rsidP="009D59E5">
            <w:pPr>
              <w:keepNext/>
              <w:jc w:val="left"/>
              <w:rPr>
                <w:rFonts w:cs="Arial"/>
                <w:color w:val="262626"/>
                <w:sz w:val="16"/>
                <w:szCs w:val="16"/>
                <w:lang w:val="en-GB" w:eastAsia="uk-UA"/>
              </w:rPr>
            </w:pPr>
            <w:r w:rsidRPr="00182CEC">
              <w:rPr>
                <w:rFonts w:cs="Arial"/>
                <w:color w:val="262626"/>
                <w:sz w:val="16"/>
                <w:szCs w:val="16"/>
                <w:lang w:eastAsia="uk-UA"/>
              </w:rPr>
              <w:t>Título de la actividad</w:t>
            </w:r>
          </w:p>
        </w:tc>
        <w:tc>
          <w:tcPr>
            <w:tcW w:w="992" w:type="dxa"/>
            <w:shd w:val="clear" w:color="auto" w:fill="auto"/>
            <w:tcMar>
              <w:top w:w="0" w:type="dxa"/>
              <w:left w:w="108" w:type="dxa"/>
              <w:bottom w:w="0" w:type="dxa"/>
              <w:right w:w="108" w:type="dxa"/>
            </w:tcMar>
            <w:vAlign w:val="center"/>
            <w:hideMark/>
          </w:tcPr>
          <w:p w:rsidR="00D23C11" w:rsidRPr="00F12FD8" w:rsidRDefault="00D23C11" w:rsidP="009D59E5">
            <w:pPr>
              <w:jc w:val="left"/>
              <w:rPr>
                <w:sz w:val="16"/>
              </w:rPr>
            </w:pPr>
            <w:r w:rsidRPr="00182CEC">
              <w:rPr>
                <w:sz w:val="16"/>
              </w:rPr>
              <w:t>Fecha</w:t>
            </w:r>
          </w:p>
        </w:tc>
        <w:tc>
          <w:tcPr>
            <w:tcW w:w="1276" w:type="dxa"/>
            <w:shd w:val="clear" w:color="auto" w:fill="auto"/>
            <w:tcMar>
              <w:top w:w="0" w:type="dxa"/>
              <w:left w:w="108" w:type="dxa"/>
              <w:bottom w:w="0" w:type="dxa"/>
              <w:right w:w="108" w:type="dxa"/>
            </w:tcMar>
            <w:vAlign w:val="center"/>
            <w:hideMark/>
          </w:tcPr>
          <w:p w:rsidR="00D23C11" w:rsidRPr="00F12FD8" w:rsidRDefault="00D23C11" w:rsidP="009D59E5">
            <w:pPr>
              <w:jc w:val="left"/>
              <w:rPr>
                <w:sz w:val="16"/>
              </w:rPr>
            </w:pPr>
            <w:r w:rsidRPr="00182CEC">
              <w:rPr>
                <w:sz w:val="16"/>
              </w:rPr>
              <w:t>Lugar</w:t>
            </w:r>
          </w:p>
        </w:tc>
        <w:tc>
          <w:tcPr>
            <w:tcW w:w="3260" w:type="dxa"/>
            <w:shd w:val="clear" w:color="auto" w:fill="auto"/>
            <w:tcMar>
              <w:top w:w="0" w:type="dxa"/>
              <w:left w:w="108" w:type="dxa"/>
              <w:bottom w:w="0" w:type="dxa"/>
              <w:right w:w="108" w:type="dxa"/>
            </w:tcMar>
            <w:vAlign w:val="center"/>
            <w:hideMark/>
          </w:tcPr>
          <w:p w:rsidR="00D23C11" w:rsidRPr="00F12FD8" w:rsidRDefault="00D23C11" w:rsidP="009D59E5">
            <w:pPr>
              <w:jc w:val="left"/>
              <w:rPr>
                <w:sz w:val="16"/>
              </w:rPr>
            </w:pPr>
            <w:r w:rsidRPr="00182CEC">
              <w:rPr>
                <w:sz w:val="16"/>
              </w:rPr>
              <w:t>Organizador(es)</w:t>
            </w:r>
          </w:p>
        </w:tc>
        <w:tc>
          <w:tcPr>
            <w:tcW w:w="3402" w:type="dxa"/>
            <w:shd w:val="clear" w:color="auto" w:fill="auto"/>
            <w:tcMar>
              <w:top w:w="0" w:type="dxa"/>
              <w:left w:w="108" w:type="dxa"/>
              <w:bottom w:w="0" w:type="dxa"/>
              <w:right w:w="108" w:type="dxa"/>
            </w:tcMar>
            <w:vAlign w:val="center"/>
            <w:hideMark/>
          </w:tcPr>
          <w:p w:rsidR="00D23C11" w:rsidRPr="00F12FD8" w:rsidRDefault="00D23C11" w:rsidP="009D59E5">
            <w:pPr>
              <w:jc w:val="left"/>
              <w:rPr>
                <w:sz w:val="16"/>
              </w:rPr>
            </w:pPr>
            <w:r w:rsidRPr="00182CEC">
              <w:rPr>
                <w:sz w:val="16"/>
              </w:rPr>
              <w:t>Finalidad de la actividad</w:t>
            </w:r>
          </w:p>
        </w:tc>
        <w:tc>
          <w:tcPr>
            <w:tcW w:w="1843" w:type="dxa"/>
            <w:shd w:val="clear" w:color="auto" w:fill="auto"/>
            <w:tcMar>
              <w:top w:w="0" w:type="dxa"/>
              <w:left w:w="108" w:type="dxa"/>
              <w:bottom w:w="0" w:type="dxa"/>
              <w:right w:w="108" w:type="dxa"/>
            </w:tcMar>
            <w:vAlign w:val="center"/>
            <w:hideMark/>
          </w:tcPr>
          <w:p w:rsidR="00D23C11" w:rsidRPr="00592F7C" w:rsidRDefault="00D23C11" w:rsidP="009D59E5">
            <w:pPr>
              <w:jc w:val="left"/>
              <w:rPr>
                <w:sz w:val="16"/>
                <w:lang w:val="es-ES"/>
              </w:rPr>
            </w:pPr>
            <w:r w:rsidRPr="00182CEC">
              <w:rPr>
                <w:sz w:val="16"/>
              </w:rPr>
              <w:t>Países/organizaciones participantes (número de participantes en cada caso)</w:t>
            </w:r>
          </w:p>
        </w:tc>
        <w:tc>
          <w:tcPr>
            <w:tcW w:w="1304" w:type="dxa"/>
            <w:shd w:val="clear" w:color="auto" w:fill="auto"/>
            <w:tcMar>
              <w:top w:w="0" w:type="dxa"/>
              <w:left w:w="108" w:type="dxa"/>
              <w:bottom w:w="0" w:type="dxa"/>
              <w:right w:w="108" w:type="dxa"/>
            </w:tcMar>
            <w:vAlign w:val="center"/>
            <w:hideMark/>
          </w:tcPr>
          <w:p w:rsidR="00D23C11" w:rsidRPr="00F12FD8" w:rsidRDefault="00D23C11" w:rsidP="009D59E5">
            <w:pPr>
              <w:jc w:val="left"/>
              <w:rPr>
                <w:sz w:val="16"/>
              </w:rPr>
            </w:pPr>
            <w:r w:rsidRPr="00182CEC">
              <w:rPr>
                <w:sz w:val="16"/>
              </w:rPr>
              <w:t>Observaciones</w:t>
            </w:r>
          </w:p>
        </w:tc>
      </w:tr>
      <w:tr w:rsidR="00D23C11" w:rsidRPr="00721495" w:rsidTr="009D59E5">
        <w:trPr>
          <w:trHeight w:val="1587"/>
        </w:trPr>
        <w:tc>
          <w:tcPr>
            <w:tcW w:w="2978" w:type="dxa"/>
            <w:shd w:val="clear" w:color="auto" w:fill="auto"/>
            <w:tcMar>
              <w:top w:w="0" w:type="dxa"/>
              <w:left w:w="108" w:type="dxa"/>
              <w:bottom w:w="0" w:type="dxa"/>
              <w:right w:w="108" w:type="dxa"/>
            </w:tcMar>
            <w:hideMark/>
          </w:tcPr>
          <w:p w:rsidR="00D23C11" w:rsidRPr="00592F7C" w:rsidRDefault="00D23C11" w:rsidP="009D59E5">
            <w:pPr>
              <w:jc w:val="left"/>
              <w:rPr>
                <w:sz w:val="16"/>
                <w:szCs w:val="16"/>
                <w:lang w:val="es-ES"/>
              </w:rPr>
            </w:pPr>
            <w:proofErr w:type="spellStart"/>
            <w:r w:rsidRPr="00592F7C">
              <w:rPr>
                <w:i/>
                <w:sz w:val="16"/>
                <w:szCs w:val="16"/>
                <w:lang w:val="es-ES"/>
              </w:rPr>
              <w:t>Plant</w:t>
            </w:r>
            <w:proofErr w:type="spellEnd"/>
            <w:r w:rsidRPr="00592F7C">
              <w:rPr>
                <w:i/>
                <w:sz w:val="16"/>
                <w:szCs w:val="16"/>
                <w:lang w:val="es-ES"/>
              </w:rPr>
              <w:t xml:space="preserve"> </w:t>
            </w:r>
            <w:proofErr w:type="spellStart"/>
            <w:r w:rsidRPr="00592F7C">
              <w:rPr>
                <w:i/>
                <w:sz w:val="16"/>
                <w:szCs w:val="16"/>
                <w:lang w:val="es-ES"/>
              </w:rPr>
              <w:t>Varieties</w:t>
            </w:r>
            <w:proofErr w:type="spellEnd"/>
            <w:r w:rsidRPr="00592F7C">
              <w:rPr>
                <w:i/>
                <w:sz w:val="16"/>
                <w:szCs w:val="16"/>
                <w:lang w:val="es-ES"/>
              </w:rPr>
              <w:t xml:space="preserve"> </w:t>
            </w:r>
            <w:proofErr w:type="spellStart"/>
            <w:r w:rsidRPr="00592F7C">
              <w:rPr>
                <w:i/>
                <w:sz w:val="16"/>
                <w:szCs w:val="16"/>
                <w:lang w:val="es-ES"/>
              </w:rPr>
              <w:t>Studying</w:t>
            </w:r>
            <w:proofErr w:type="spellEnd"/>
            <w:r w:rsidRPr="00592F7C">
              <w:rPr>
                <w:i/>
                <w:sz w:val="16"/>
                <w:szCs w:val="16"/>
                <w:lang w:val="es-ES"/>
              </w:rPr>
              <w:t xml:space="preserve"> and </w:t>
            </w:r>
            <w:proofErr w:type="spellStart"/>
            <w:r w:rsidRPr="00592F7C">
              <w:rPr>
                <w:i/>
                <w:sz w:val="16"/>
                <w:szCs w:val="16"/>
                <w:lang w:val="es-ES"/>
              </w:rPr>
              <w:t>Protection</w:t>
            </w:r>
            <w:proofErr w:type="spellEnd"/>
            <w:r w:rsidRPr="00182CEC">
              <w:rPr>
                <w:sz w:val="16"/>
                <w:szCs w:val="16"/>
              </w:rPr>
              <w:t xml:space="preserve"> (“Estudio y protección de las variedades vegetales”)</w:t>
            </w:r>
          </w:p>
          <w:p w:rsidR="00D23C11" w:rsidRPr="00592F7C" w:rsidRDefault="00D23C11" w:rsidP="009D59E5">
            <w:pPr>
              <w:jc w:val="left"/>
              <w:rPr>
                <w:sz w:val="16"/>
                <w:szCs w:val="16"/>
                <w:lang w:val="es-ES"/>
              </w:rPr>
            </w:pPr>
            <w:r w:rsidRPr="00182CEC">
              <w:rPr>
                <w:sz w:val="16"/>
                <w:szCs w:val="16"/>
              </w:rPr>
              <w:t>ISSN impreso 2518-1017</w:t>
            </w:r>
          </w:p>
          <w:p w:rsidR="00D23C11" w:rsidRPr="00592F7C" w:rsidRDefault="00D23C11" w:rsidP="009D59E5">
            <w:pPr>
              <w:jc w:val="left"/>
              <w:rPr>
                <w:sz w:val="16"/>
                <w:szCs w:val="16"/>
                <w:lang w:val="es-ES"/>
              </w:rPr>
            </w:pPr>
            <w:r w:rsidRPr="00182CEC">
              <w:rPr>
                <w:sz w:val="16"/>
                <w:szCs w:val="16"/>
              </w:rPr>
              <w:t>ISSN electrónico 2518-7457</w:t>
            </w:r>
          </w:p>
          <w:p w:rsidR="00D23C11" w:rsidRPr="00592F7C" w:rsidRDefault="00D23C11" w:rsidP="009D59E5">
            <w:pPr>
              <w:jc w:val="left"/>
              <w:rPr>
                <w:sz w:val="16"/>
                <w:szCs w:val="16"/>
                <w:lang w:val="es-ES"/>
              </w:rPr>
            </w:pPr>
            <w:proofErr w:type="spellStart"/>
            <w:r w:rsidRPr="00182CEC">
              <w:rPr>
                <w:sz w:val="16"/>
                <w:szCs w:val="16"/>
              </w:rPr>
              <w:t>N.</w:t>
            </w:r>
            <w:r w:rsidRPr="00182CEC">
              <w:rPr>
                <w:sz w:val="16"/>
                <w:szCs w:val="16"/>
                <w:vertAlign w:val="superscript"/>
              </w:rPr>
              <w:t>os</w:t>
            </w:r>
            <w:proofErr w:type="spellEnd"/>
            <w:r w:rsidRPr="00182CEC">
              <w:rPr>
                <w:sz w:val="16"/>
                <w:szCs w:val="16"/>
              </w:rPr>
              <w:t> 1, 2, 3 y 4, volumen 15, 2019</w:t>
            </w:r>
          </w:p>
          <w:p w:rsidR="00D23C11" w:rsidRPr="00592F7C" w:rsidRDefault="00FE0BB4" w:rsidP="009D59E5">
            <w:pPr>
              <w:jc w:val="left"/>
              <w:rPr>
                <w:sz w:val="16"/>
                <w:szCs w:val="16"/>
                <w:lang w:val="es-ES"/>
              </w:rPr>
            </w:pPr>
            <w:hyperlink r:id="rId34" w:history="1">
              <w:r w:rsidR="00D23C11" w:rsidRPr="00592F7C">
                <w:rPr>
                  <w:rStyle w:val="Hyperlink"/>
                  <w:sz w:val="16"/>
                  <w:szCs w:val="16"/>
                  <w:lang w:val="es-ES"/>
                </w:rPr>
                <w:t>http://journal.sops.gov.ua/</w:t>
              </w:r>
            </w:hyperlink>
          </w:p>
        </w:tc>
        <w:tc>
          <w:tcPr>
            <w:tcW w:w="992" w:type="dxa"/>
            <w:shd w:val="clear" w:color="auto" w:fill="auto"/>
            <w:tcMar>
              <w:top w:w="0" w:type="dxa"/>
              <w:left w:w="108" w:type="dxa"/>
              <w:bottom w:w="0" w:type="dxa"/>
              <w:right w:w="108" w:type="dxa"/>
            </w:tcMar>
            <w:hideMark/>
          </w:tcPr>
          <w:p w:rsidR="00D23C11" w:rsidRPr="00F12FD8" w:rsidRDefault="00D23C11" w:rsidP="009D59E5">
            <w:pPr>
              <w:jc w:val="left"/>
              <w:rPr>
                <w:sz w:val="16"/>
              </w:rPr>
            </w:pPr>
            <w:r w:rsidRPr="00182CEC">
              <w:rPr>
                <w:sz w:val="16"/>
              </w:rPr>
              <w:t>Trimestral</w:t>
            </w:r>
          </w:p>
        </w:tc>
        <w:tc>
          <w:tcPr>
            <w:tcW w:w="1276" w:type="dxa"/>
            <w:shd w:val="clear" w:color="auto" w:fill="auto"/>
            <w:tcMar>
              <w:top w:w="0" w:type="dxa"/>
              <w:left w:w="108" w:type="dxa"/>
              <w:bottom w:w="0" w:type="dxa"/>
              <w:right w:w="108" w:type="dxa"/>
            </w:tcMar>
            <w:hideMark/>
          </w:tcPr>
          <w:p w:rsidR="00D23C11" w:rsidRPr="00F12FD8" w:rsidRDefault="00D23C11" w:rsidP="009D59E5">
            <w:pPr>
              <w:jc w:val="left"/>
              <w:rPr>
                <w:sz w:val="16"/>
              </w:rPr>
            </w:pPr>
            <w:r w:rsidRPr="00182CEC">
              <w:rPr>
                <w:sz w:val="16"/>
              </w:rPr>
              <w:t>Kiev (Ucrania)</w:t>
            </w:r>
          </w:p>
        </w:tc>
        <w:tc>
          <w:tcPr>
            <w:tcW w:w="3260" w:type="dxa"/>
            <w:shd w:val="clear" w:color="auto" w:fill="auto"/>
            <w:tcMar>
              <w:top w:w="0" w:type="dxa"/>
              <w:left w:w="108" w:type="dxa"/>
              <w:bottom w:w="0" w:type="dxa"/>
              <w:right w:w="108" w:type="dxa"/>
            </w:tcMar>
            <w:hideMark/>
          </w:tcPr>
          <w:p w:rsidR="00D23C11" w:rsidRPr="00592F7C" w:rsidRDefault="00D23C11" w:rsidP="009D59E5">
            <w:pPr>
              <w:jc w:val="left"/>
              <w:rPr>
                <w:sz w:val="16"/>
                <w:lang w:val="es-ES"/>
              </w:rPr>
            </w:pPr>
            <w:r w:rsidRPr="00182CEC">
              <w:rPr>
                <w:sz w:val="16"/>
              </w:rPr>
              <w:t>Instituto de Examen de Variedades Vegetales de Ucrania,</w:t>
            </w:r>
            <w:r w:rsidRPr="00592F7C">
              <w:rPr>
                <w:sz w:val="16"/>
                <w:lang w:val="es-ES"/>
              </w:rPr>
              <w:t xml:space="preserve"> </w:t>
            </w:r>
          </w:p>
          <w:p w:rsidR="00D23C11" w:rsidRPr="00592F7C" w:rsidRDefault="00D23C11" w:rsidP="009D59E5">
            <w:pPr>
              <w:jc w:val="left"/>
              <w:rPr>
                <w:sz w:val="16"/>
                <w:lang w:val="es-ES"/>
              </w:rPr>
            </w:pPr>
            <w:r w:rsidRPr="00182CEC">
              <w:rPr>
                <w:sz w:val="16"/>
              </w:rPr>
              <w:t xml:space="preserve">Instituto de Fitomejoramiento y </w:t>
            </w:r>
            <w:proofErr w:type="spellStart"/>
            <w:r w:rsidRPr="00182CEC">
              <w:rPr>
                <w:sz w:val="16"/>
              </w:rPr>
              <w:t>Fitogenética</w:t>
            </w:r>
            <w:proofErr w:type="spellEnd"/>
            <w:r w:rsidRPr="00182CEC">
              <w:rPr>
                <w:sz w:val="16"/>
              </w:rPr>
              <w:t>, Centro Nacional de Semillas e Investigación de Cultivares de la NAAS,</w:t>
            </w:r>
            <w:r w:rsidRPr="00592F7C">
              <w:rPr>
                <w:sz w:val="16"/>
                <w:lang w:val="es-ES"/>
              </w:rPr>
              <w:t xml:space="preserve"> </w:t>
            </w:r>
          </w:p>
          <w:p w:rsidR="00D23C11" w:rsidRPr="00592F7C" w:rsidRDefault="00D23C11" w:rsidP="009D59E5">
            <w:pPr>
              <w:jc w:val="left"/>
              <w:rPr>
                <w:sz w:val="16"/>
                <w:lang w:val="es-ES"/>
              </w:rPr>
            </w:pPr>
            <w:r w:rsidRPr="00182CEC">
              <w:rPr>
                <w:sz w:val="16"/>
              </w:rPr>
              <w:t xml:space="preserve">Instituto de Fisiología Vegetal y </w:t>
            </w:r>
            <w:proofErr w:type="spellStart"/>
            <w:r w:rsidRPr="00182CEC">
              <w:rPr>
                <w:sz w:val="16"/>
              </w:rPr>
              <w:t>Fitogenética</w:t>
            </w:r>
            <w:proofErr w:type="spellEnd"/>
            <w:r w:rsidRPr="00182CEC">
              <w:rPr>
                <w:sz w:val="16"/>
              </w:rPr>
              <w:t>, Academia Nacional de Ciencias de Ucrania</w:t>
            </w:r>
          </w:p>
        </w:tc>
        <w:tc>
          <w:tcPr>
            <w:tcW w:w="3402" w:type="dxa"/>
            <w:shd w:val="clear" w:color="auto" w:fill="auto"/>
            <w:tcMar>
              <w:top w:w="0" w:type="dxa"/>
              <w:left w:w="108" w:type="dxa"/>
              <w:bottom w:w="0" w:type="dxa"/>
              <w:right w:w="108" w:type="dxa"/>
            </w:tcMar>
            <w:hideMark/>
          </w:tcPr>
          <w:p w:rsidR="00D23C11" w:rsidRPr="00592F7C" w:rsidRDefault="00D23C11" w:rsidP="009D59E5">
            <w:pPr>
              <w:jc w:val="left"/>
              <w:rPr>
                <w:sz w:val="16"/>
                <w:lang w:val="es-ES"/>
              </w:rPr>
            </w:pPr>
            <w:r w:rsidRPr="00182CEC">
              <w:rPr>
                <w:sz w:val="16"/>
              </w:rPr>
              <w:t>Publicación sobre el estudio, el fitomejoramiento, la genética y la producción de semillas de las variedades vegetales, fisiología vegetal, biotecnología y bioseguridad, producción agrícola, comercialización de variedades vegetales, protección de las obtenciones vegetales, cooperación internacional, sistemas y tecnologías de la información, opiniones de científicos jóvenes, historia de la ciencia, efemérides</w:t>
            </w:r>
          </w:p>
        </w:tc>
        <w:tc>
          <w:tcPr>
            <w:tcW w:w="1843" w:type="dxa"/>
            <w:shd w:val="clear" w:color="auto" w:fill="auto"/>
            <w:tcMar>
              <w:top w:w="0" w:type="dxa"/>
              <w:left w:w="108" w:type="dxa"/>
              <w:bottom w:w="0" w:type="dxa"/>
              <w:right w:w="108" w:type="dxa"/>
            </w:tcMar>
            <w:hideMark/>
          </w:tcPr>
          <w:p w:rsidR="00D23C11" w:rsidRPr="00F12FD8" w:rsidRDefault="00D23C11" w:rsidP="009D59E5">
            <w:pPr>
              <w:jc w:val="left"/>
              <w:rPr>
                <w:sz w:val="16"/>
              </w:rPr>
            </w:pPr>
            <w:r w:rsidRPr="00182CEC">
              <w:rPr>
                <w:sz w:val="16"/>
              </w:rPr>
              <w:t>Ucrania</w:t>
            </w:r>
          </w:p>
        </w:tc>
        <w:tc>
          <w:tcPr>
            <w:tcW w:w="1304" w:type="dxa"/>
            <w:shd w:val="clear" w:color="auto" w:fill="auto"/>
            <w:tcMar>
              <w:top w:w="0" w:type="dxa"/>
              <w:left w:w="108" w:type="dxa"/>
              <w:bottom w:w="0" w:type="dxa"/>
              <w:right w:w="108" w:type="dxa"/>
            </w:tcMar>
            <w:hideMark/>
          </w:tcPr>
          <w:p w:rsidR="00D23C11" w:rsidRPr="00F12FD8" w:rsidRDefault="00D23C11" w:rsidP="009D59E5">
            <w:pPr>
              <w:jc w:val="left"/>
              <w:rPr>
                <w:sz w:val="16"/>
              </w:rPr>
            </w:pPr>
          </w:p>
        </w:tc>
      </w:tr>
      <w:tr w:rsidR="00D23C11" w:rsidRPr="00721495" w:rsidTr="009D59E5">
        <w:trPr>
          <w:trHeight w:val="1313"/>
        </w:trPr>
        <w:tc>
          <w:tcPr>
            <w:tcW w:w="2978" w:type="dxa"/>
            <w:shd w:val="clear" w:color="auto" w:fill="auto"/>
            <w:tcMar>
              <w:top w:w="0" w:type="dxa"/>
              <w:left w:w="108" w:type="dxa"/>
              <w:bottom w:w="0" w:type="dxa"/>
              <w:right w:w="108" w:type="dxa"/>
            </w:tcMar>
            <w:hideMark/>
          </w:tcPr>
          <w:p w:rsidR="00D23C11" w:rsidRPr="00592F7C" w:rsidRDefault="00D23C11" w:rsidP="009D59E5">
            <w:pPr>
              <w:jc w:val="left"/>
              <w:rPr>
                <w:sz w:val="16"/>
                <w:szCs w:val="16"/>
                <w:lang w:val="es-ES"/>
              </w:rPr>
            </w:pPr>
            <w:r w:rsidRPr="00182CEC">
              <w:rPr>
                <w:sz w:val="16"/>
                <w:szCs w:val="16"/>
              </w:rPr>
              <w:t xml:space="preserve">Boletín “Protección de las variedades vegetales”, </w:t>
            </w:r>
            <w:proofErr w:type="spellStart"/>
            <w:r w:rsidRPr="00182CEC">
              <w:rPr>
                <w:sz w:val="16"/>
                <w:szCs w:val="16"/>
              </w:rPr>
              <w:t>N.</w:t>
            </w:r>
            <w:r w:rsidRPr="00182CEC">
              <w:rPr>
                <w:sz w:val="16"/>
                <w:szCs w:val="16"/>
                <w:vertAlign w:val="superscript"/>
              </w:rPr>
              <w:t>os</w:t>
            </w:r>
            <w:proofErr w:type="spellEnd"/>
            <w:r w:rsidRPr="00182CEC">
              <w:rPr>
                <w:sz w:val="16"/>
                <w:szCs w:val="16"/>
              </w:rPr>
              <w:t> 1, 2, 3, 4, 5 y 6 de 2019</w:t>
            </w:r>
          </w:p>
          <w:p w:rsidR="00D23C11" w:rsidRPr="00592F7C" w:rsidRDefault="00FE0BB4" w:rsidP="009D59E5">
            <w:pPr>
              <w:jc w:val="left"/>
              <w:rPr>
                <w:sz w:val="16"/>
                <w:szCs w:val="16"/>
                <w:lang w:val="es-ES"/>
              </w:rPr>
            </w:pPr>
            <w:hyperlink r:id="rId35" w:history="1">
              <w:r w:rsidR="00D23C11" w:rsidRPr="00592F7C">
                <w:rPr>
                  <w:rStyle w:val="Hyperlink"/>
                  <w:sz w:val="16"/>
                  <w:szCs w:val="16"/>
                  <w:lang w:val="es-ES"/>
                </w:rPr>
                <w:t>https://sops.gov.ua/uploads/page/buleten/B_3_2020.pdf</w:t>
              </w:r>
            </w:hyperlink>
          </w:p>
        </w:tc>
        <w:tc>
          <w:tcPr>
            <w:tcW w:w="992" w:type="dxa"/>
            <w:shd w:val="clear" w:color="auto" w:fill="auto"/>
            <w:tcMar>
              <w:top w:w="0" w:type="dxa"/>
              <w:left w:w="108" w:type="dxa"/>
              <w:bottom w:w="0" w:type="dxa"/>
              <w:right w:w="108" w:type="dxa"/>
            </w:tcMar>
            <w:hideMark/>
          </w:tcPr>
          <w:p w:rsidR="00D23C11" w:rsidRPr="00F12FD8" w:rsidRDefault="00D23C11" w:rsidP="009D59E5">
            <w:pPr>
              <w:jc w:val="left"/>
              <w:rPr>
                <w:sz w:val="16"/>
              </w:rPr>
            </w:pPr>
            <w:r w:rsidRPr="00182CEC">
              <w:rPr>
                <w:sz w:val="16"/>
              </w:rPr>
              <w:t>Trimestral</w:t>
            </w:r>
          </w:p>
        </w:tc>
        <w:tc>
          <w:tcPr>
            <w:tcW w:w="1276" w:type="dxa"/>
            <w:shd w:val="clear" w:color="auto" w:fill="auto"/>
            <w:tcMar>
              <w:top w:w="0" w:type="dxa"/>
              <w:left w:w="108" w:type="dxa"/>
              <w:bottom w:w="0" w:type="dxa"/>
              <w:right w:w="108" w:type="dxa"/>
            </w:tcMar>
            <w:hideMark/>
          </w:tcPr>
          <w:p w:rsidR="00D23C11" w:rsidRPr="00F12FD8" w:rsidRDefault="00D23C11" w:rsidP="009D59E5">
            <w:pPr>
              <w:jc w:val="left"/>
              <w:rPr>
                <w:sz w:val="16"/>
              </w:rPr>
            </w:pPr>
            <w:r w:rsidRPr="00182CEC">
              <w:rPr>
                <w:sz w:val="16"/>
              </w:rPr>
              <w:t>Kiev (Ucrania)</w:t>
            </w:r>
          </w:p>
        </w:tc>
        <w:tc>
          <w:tcPr>
            <w:tcW w:w="3260" w:type="dxa"/>
            <w:shd w:val="clear" w:color="auto" w:fill="auto"/>
            <w:tcMar>
              <w:top w:w="0" w:type="dxa"/>
              <w:left w:w="108" w:type="dxa"/>
              <w:bottom w:w="0" w:type="dxa"/>
              <w:right w:w="108" w:type="dxa"/>
            </w:tcMar>
            <w:hideMark/>
          </w:tcPr>
          <w:p w:rsidR="00D23C11" w:rsidRPr="00592F7C" w:rsidRDefault="00D23C11" w:rsidP="009D59E5">
            <w:pPr>
              <w:jc w:val="left"/>
              <w:rPr>
                <w:sz w:val="16"/>
                <w:lang w:val="es-ES"/>
              </w:rPr>
            </w:pPr>
            <w:r w:rsidRPr="00182CEC">
              <w:rPr>
                <w:sz w:val="16"/>
              </w:rPr>
              <w:t>Instituto de Examen de Variedades Vegetales de Ucrania</w:t>
            </w:r>
          </w:p>
        </w:tc>
        <w:tc>
          <w:tcPr>
            <w:tcW w:w="3402" w:type="dxa"/>
            <w:shd w:val="clear" w:color="auto" w:fill="auto"/>
            <w:tcMar>
              <w:top w:w="0" w:type="dxa"/>
              <w:left w:w="108" w:type="dxa"/>
              <w:bottom w:w="0" w:type="dxa"/>
              <w:right w:w="108" w:type="dxa"/>
            </w:tcMar>
            <w:hideMark/>
          </w:tcPr>
          <w:p w:rsidR="00D23C11" w:rsidRPr="00592F7C" w:rsidRDefault="00D23C11" w:rsidP="009D59E5">
            <w:pPr>
              <w:jc w:val="left"/>
              <w:rPr>
                <w:sz w:val="16"/>
                <w:lang w:val="es-ES"/>
              </w:rPr>
            </w:pPr>
            <w:r w:rsidRPr="00182CEC">
              <w:rPr>
                <w:sz w:val="16"/>
              </w:rPr>
              <w:t>Este boletín se edita conforme a lo dispuesto en la Ley de Protección de las Obtenciones Vegetales de Ucrania y constituye el medio de información oficial en el ámbito de los derechos de obtentor y el cumplimiento de las obligaciones internacionales de Ucrania como miembro de la Unión Internacional para la Protección de las Obtenciones Vegetales (UPOV)</w:t>
            </w:r>
          </w:p>
        </w:tc>
        <w:tc>
          <w:tcPr>
            <w:tcW w:w="1843" w:type="dxa"/>
            <w:shd w:val="clear" w:color="auto" w:fill="auto"/>
            <w:tcMar>
              <w:top w:w="0" w:type="dxa"/>
              <w:left w:w="108" w:type="dxa"/>
              <w:bottom w:w="0" w:type="dxa"/>
              <w:right w:w="108" w:type="dxa"/>
            </w:tcMar>
            <w:hideMark/>
          </w:tcPr>
          <w:p w:rsidR="00D23C11" w:rsidRPr="00F12FD8" w:rsidRDefault="00D23C11" w:rsidP="009D59E5">
            <w:pPr>
              <w:jc w:val="left"/>
              <w:rPr>
                <w:sz w:val="16"/>
              </w:rPr>
            </w:pPr>
            <w:r w:rsidRPr="00182CEC">
              <w:rPr>
                <w:sz w:val="16"/>
              </w:rPr>
              <w:t>Ucrania</w:t>
            </w:r>
            <w:r w:rsidRPr="00F12FD8">
              <w:rPr>
                <w:sz w:val="16"/>
              </w:rPr>
              <w:t xml:space="preserve"> </w:t>
            </w:r>
          </w:p>
        </w:tc>
        <w:tc>
          <w:tcPr>
            <w:tcW w:w="1304" w:type="dxa"/>
            <w:shd w:val="clear" w:color="auto" w:fill="auto"/>
            <w:tcMar>
              <w:top w:w="0" w:type="dxa"/>
              <w:left w:w="108" w:type="dxa"/>
              <w:bottom w:w="0" w:type="dxa"/>
              <w:right w:w="108" w:type="dxa"/>
            </w:tcMar>
            <w:hideMark/>
          </w:tcPr>
          <w:p w:rsidR="00D23C11" w:rsidRPr="00F12FD8" w:rsidRDefault="00D23C11" w:rsidP="009D59E5">
            <w:pPr>
              <w:jc w:val="left"/>
              <w:rPr>
                <w:sz w:val="16"/>
                <w:highlight w:val="yellow"/>
              </w:rPr>
            </w:pPr>
          </w:p>
        </w:tc>
      </w:tr>
      <w:tr w:rsidR="00D23C11" w:rsidRPr="00592F7C" w:rsidTr="009D59E5">
        <w:trPr>
          <w:trHeight w:val="1026"/>
        </w:trPr>
        <w:tc>
          <w:tcPr>
            <w:tcW w:w="2978" w:type="dxa"/>
            <w:shd w:val="clear" w:color="auto" w:fill="auto"/>
            <w:tcMar>
              <w:top w:w="0" w:type="dxa"/>
              <w:left w:w="108" w:type="dxa"/>
              <w:bottom w:w="0" w:type="dxa"/>
              <w:right w:w="108" w:type="dxa"/>
            </w:tcMar>
            <w:hideMark/>
          </w:tcPr>
          <w:p w:rsidR="00D23C11" w:rsidRPr="00592F7C" w:rsidRDefault="00D23C11" w:rsidP="009D59E5">
            <w:pPr>
              <w:jc w:val="left"/>
              <w:rPr>
                <w:sz w:val="16"/>
                <w:szCs w:val="16"/>
                <w:lang w:val="es-ES"/>
              </w:rPr>
            </w:pPr>
            <w:r w:rsidRPr="00182CEC">
              <w:rPr>
                <w:sz w:val="16"/>
                <w:szCs w:val="16"/>
              </w:rPr>
              <w:t>V Conferencia internacional de investigación aplicada sobre los recursos vegetales mundiales:</w:t>
            </w:r>
            <w:r w:rsidRPr="00592F7C">
              <w:rPr>
                <w:sz w:val="16"/>
                <w:szCs w:val="16"/>
                <w:lang w:val="es-ES"/>
              </w:rPr>
              <w:t xml:space="preserve"> </w:t>
            </w:r>
            <w:r w:rsidRPr="00182CEC">
              <w:rPr>
                <w:sz w:val="16"/>
                <w:szCs w:val="16"/>
              </w:rPr>
              <w:t>situación actual y perspectivas de desarrollo</w:t>
            </w:r>
            <w:r w:rsidRPr="00592F7C">
              <w:rPr>
                <w:sz w:val="16"/>
                <w:szCs w:val="16"/>
                <w:lang w:val="es-ES"/>
              </w:rPr>
              <w:t xml:space="preserve"> </w:t>
            </w:r>
          </w:p>
          <w:p w:rsidR="00D23C11" w:rsidRPr="00592F7C" w:rsidRDefault="00FE0BB4" w:rsidP="009D59E5">
            <w:pPr>
              <w:jc w:val="left"/>
              <w:rPr>
                <w:sz w:val="16"/>
                <w:szCs w:val="16"/>
                <w:lang w:val="es-ES"/>
              </w:rPr>
            </w:pPr>
            <w:hyperlink r:id="rId36" w:history="1">
              <w:r w:rsidR="00D23C11" w:rsidRPr="00592F7C">
                <w:rPr>
                  <w:rStyle w:val="Hyperlink"/>
                  <w:sz w:val="16"/>
                  <w:szCs w:val="16"/>
                  <w:lang w:val="es-ES"/>
                </w:rPr>
                <w:t>https://sops.gov.ua/uploads/page/5d1dfa59bb922.pdf</w:t>
              </w:r>
            </w:hyperlink>
          </w:p>
        </w:tc>
        <w:tc>
          <w:tcPr>
            <w:tcW w:w="992" w:type="dxa"/>
            <w:shd w:val="clear" w:color="auto" w:fill="auto"/>
            <w:tcMar>
              <w:top w:w="0" w:type="dxa"/>
              <w:left w:w="108" w:type="dxa"/>
              <w:bottom w:w="0" w:type="dxa"/>
              <w:right w:w="108" w:type="dxa"/>
            </w:tcMar>
            <w:hideMark/>
          </w:tcPr>
          <w:p w:rsidR="00D23C11" w:rsidRPr="00F12FD8" w:rsidRDefault="00D23C11" w:rsidP="009D59E5">
            <w:pPr>
              <w:jc w:val="left"/>
              <w:rPr>
                <w:sz w:val="16"/>
              </w:rPr>
            </w:pPr>
            <w:r w:rsidRPr="00182CEC">
              <w:rPr>
                <w:sz w:val="16"/>
              </w:rPr>
              <w:t>7 de junio de 2019</w:t>
            </w:r>
          </w:p>
        </w:tc>
        <w:tc>
          <w:tcPr>
            <w:tcW w:w="1276" w:type="dxa"/>
            <w:shd w:val="clear" w:color="auto" w:fill="auto"/>
            <w:tcMar>
              <w:top w:w="0" w:type="dxa"/>
              <w:left w:w="108" w:type="dxa"/>
              <w:bottom w:w="0" w:type="dxa"/>
              <w:right w:w="108" w:type="dxa"/>
            </w:tcMar>
            <w:hideMark/>
          </w:tcPr>
          <w:p w:rsidR="00D23C11" w:rsidRPr="00F12FD8" w:rsidRDefault="00D23C11" w:rsidP="009D59E5">
            <w:pPr>
              <w:jc w:val="left"/>
              <w:rPr>
                <w:sz w:val="16"/>
              </w:rPr>
            </w:pPr>
            <w:r w:rsidRPr="00182CEC">
              <w:rPr>
                <w:sz w:val="16"/>
              </w:rPr>
              <w:t>Kiev (Ucrania)</w:t>
            </w:r>
          </w:p>
        </w:tc>
        <w:tc>
          <w:tcPr>
            <w:tcW w:w="3260" w:type="dxa"/>
            <w:shd w:val="clear" w:color="auto" w:fill="auto"/>
            <w:tcMar>
              <w:top w:w="0" w:type="dxa"/>
              <w:left w:w="108" w:type="dxa"/>
              <w:bottom w:w="0" w:type="dxa"/>
              <w:right w:w="108" w:type="dxa"/>
            </w:tcMar>
            <w:hideMark/>
          </w:tcPr>
          <w:p w:rsidR="00D23C11" w:rsidRPr="00592F7C" w:rsidRDefault="00D23C11" w:rsidP="009D59E5">
            <w:pPr>
              <w:jc w:val="left"/>
              <w:rPr>
                <w:sz w:val="16"/>
                <w:lang w:val="es-ES"/>
              </w:rPr>
            </w:pPr>
            <w:r w:rsidRPr="00182CEC">
              <w:rPr>
                <w:sz w:val="16"/>
              </w:rPr>
              <w:t>Instituto de Examen de Variedades Vegetales de Ucrania</w:t>
            </w:r>
          </w:p>
        </w:tc>
        <w:tc>
          <w:tcPr>
            <w:tcW w:w="3402" w:type="dxa"/>
            <w:shd w:val="clear" w:color="auto" w:fill="auto"/>
            <w:tcMar>
              <w:top w:w="0" w:type="dxa"/>
              <w:left w:w="108" w:type="dxa"/>
              <w:bottom w:w="0" w:type="dxa"/>
              <w:right w:w="108" w:type="dxa"/>
            </w:tcMar>
            <w:hideMark/>
          </w:tcPr>
          <w:p w:rsidR="00D23C11" w:rsidRPr="00592F7C" w:rsidRDefault="00D23C11" w:rsidP="009D59E5">
            <w:pPr>
              <w:jc w:val="left"/>
              <w:rPr>
                <w:sz w:val="16"/>
                <w:lang w:val="es-ES"/>
              </w:rPr>
            </w:pPr>
            <w:r w:rsidRPr="00182CEC">
              <w:rPr>
                <w:sz w:val="16"/>
              </w:rPr>
              <w:t>Abordaje de cuestiones teóricas y prácticas en relación con los recursos vegetales mundiales.</w:t>
            </w:r>
            <w:r w:rsidRPr="00592F7C">
              <w:rPr>
                <w:sz w:val="16"/>
                <w:lang w:val="es-ES"/>
              </w:rPr>
              <w:t xml:space="preserve"> </w:t>
            </w:r>
            <w:r w:rsidRPr="00182CEC">
              <w:rPr>
                <w:sz w:val="16"/>
              </w:rPr>
              <w:t>Examen de la situación actual y los aspectos históricos de los derechos de obtentor, la capacidad en materia de selección y la comercialización de las variedades vegetales.</w:t>
            </w:r>
          </w:p>
        </w:tc>
        <w:tc>
          <w:tcPr>
            <w:tcW w:w="1843" w:type="dxa"/>
            <w:shd w:val="clear" w:color="auto" w:fill="auto"/>
            <w:tcMar>
              <w:top w:w="0" w:type="dxa"/>
              <w:left w:w="108" w:type="dxa"/>
              <w:bottom w:w="0" w:type="dxa"/>
              <w:right w:w="108" w:type="dxa"/>
            </w:tcMar>
            <w:hideMark/>
          </w:tcPr>
          <w:p w:rsidR="00D23C11" w:rsidRPr="00592F7C" w:rsidRDefault="00D23C11" w:rsidP="009D59E5">
            <w:pPr>
              <w:jc w:val="left"/>
              <w:rPr>
                <w:sz w:val="16"/>
                <w:lang w:val="es-ES"/>
              </w:rPr>
            </w:pPr>
            <w:r w:rsidRPr="00031B93">
              <w:rPr>
                <w:sz w:val="16"/>
              </w:rPr>
              <w:t xml:space="preserve">Ucrania, República de </w:t>
            </w:r>
            <w:proofErr w:type="spellStart"/>
            <w:r w:rsidRPr="00031B93">
              <w:rPr>
                <w:sz w:val="16"/>
              </w:rPr>
              <w:t>Moldova</w:t>
            </w:r>
            <w:proofErr w:type="spellEnd"/>
            <w:r w:rsidRPr="00031B93">
              <w:rPr>
                <w:sz w:val="16"/>
              </w:rPr>
              <w:t xml:space="preserve">, </w:t>
            </w:r>
            <w:proofErr w:type="spellStart"/>
            <w:r w:rsidRPr="00031B93">
              <w:rPr>
                <w:sz w:val="16"/>
              </w:rPr>
              <w:t>Belarús</w:t>
            </w:r>
            <w:proofErr w:type="spellEnd"/>
            <w:r w:rsidRPr="00031B93">
              <w:rPr>
                <w:sz w:val="16"/>
              </w:rPr>
              <w:t>, Azerbaiyán, Federación de Rusia (227 asistentes)</w:t>
            </w:r>
          </w:p>
        </w:tc>
        <w:tc>
          <w:tcPr>
            <w:tcW w:w="1304" w:type="dxa"/>
            <w:shd w:val="clear" w:color="auto" w:fill="auto"/>
            <w:tcMar>
              <w:top w:w="0" w:type="dxa"/>
              <w:left w:w="108" w:type="dxa"/>
              <w:bottom w:w="0" w:type="dxa"/>
              <w:right w:w="108" w:type="dxa"/>
            </w:tcMar>
            <w:hideMark/>
          </w:tcPr>
          <w:p w:rsidR="00D23C11" w:rsidRPr="00592F7C" w:rsidRDefault="00D23C11" w:rsidP="009D59E5">
            <w:pPr>
              <w:jc w:val="left"/>
              <w:rPr>
                <w:sz w:val="16"/>
                <w:highlight w:val="yellow"/>
                <w:lang w:val="es-ES"/>
              </w:rPr>
            </w:pPr>
            <w:r w:rsidRPr="00031B93">
              <w:rPr>
                <w:sz w:val="16"/>
              </w:rPr>
              <w:t>Se ha publicado una colección de materiales de la conferencia</w:t>
            </w:r>
          </w:p>
        </w:tc>
      </w:tr>
      <w:tr w:rsidR="00D23C11" w:rsidRPr="00592F7C" w:rsidTr="009D59E5">
        <w:trPr>
          <w:trHeight w:val="843"/>
        </w:trPr>
        <w:tc>
          <w:tcPr>
            <w:tcW w:w="2978" w:type="dxa"/>
            <w:shd w:val="clear" w:color="auto" w:fill="auto"/>
            <w:tcMar>
              <w:top w:w="0" w:type="dxa"/>
              <w:left w:w="108" w:type="dxa"/>
              <w:bottom w:w="0" w:type="dxa"/>
              <w:right w:w="108" w:type="dxa"/>
            </w:tcMar>
          </w:tcPr>
          <w:p w:rsidR="00D23C11" w:rsidRPr="00592F7C" w:rsidRDefault="00D23C11" w:rsidP="009D59E5">
            <w:pPr>
              <w:jc w:val="left"/>
              <w:rPr>
                <w:sz w:val="16"/>
                <w:szCs w:val="16"/>
                <w:lang w:val="es-ES"/>
              </w:rPr>
            </w:pPr>
            <w:r w:rsidRPr="00031B93">
              <w:rPr>
                <w:sz w:val="16"/>
                <w:szCs w:val="16"/>
              </w:rPr>
              <w:t>VII Conferencia internacional de investigación aplicada de científicos y especialistas jóvenes "Fitomejoramiento, genética y tecnología para los cultivos agrícolas"</w:t>
            </w:r>
          </w:p>
          <w:p w:rsidR="00D23C11" w:rsidRPr="00592F7C" w:rsidRDefault="00FE0BB4" w:rsidP="009D59E5">
            <w:pPr>
              <w:jc w:val="left"/>
              <w:rPr>
                <w:sz w:val="16"/>
                <w:szCs w:val="16"/>
                <w:lang w:val="es-ES"/>
              </w:rPr>
            </w:pPr>
            <w:hyperlink r:id="rId37" w:history="1">
              <w:r w:rsidR="00D23C11" w:rsidRPr="00592F7C">
                <w:rPr>
                  <w:rStyle w:val="Hyperlink"/>
                  <w:sz w:val="16"/>
                  <w:szCs w:val="16"/>
                  <w:lang w:val="es-ES"/>
                </w:rPr>
                <w:t>https://sops.gov.ua/uploads/page/5cc15bea99d43.pdf</w:t>
              </w:r>
            </w:hyperlink>
          </w:p>
        </w:tc>
        <w:tc>
          <w:tcPr>
            <w:tcW w:w="992" w:type="dxa"/>
            <w:shd w:val="clear" w:color="auto" w:fill="auto"/>
            <w:tcMar>
              <w:top w:w="0" w:type="dxa"/>
              <w:left w:w="108" w:type="dxa"/>
              <w:bottom w:w="0" w:type="dxa"/>
              <w:right w:w="108" w:type="dxa"/>
            </w:tcMar>
          </w:tcPr>
          <w:p w:rsidR="00D23C11" w:rsidRPr="0078099D" w:rsidRDefault="00D23C11" w:rsidP="009D59E5">
            <w:pPr>
              <w:jc w:val="left"/>
              <w:rPr>
                <w:sz w:val="16"/>
              </w:rPr>
            </w:pPr>
            <w:r w:rsidRPr="0078099D">
              <w:rPr>
                <w:sz w:val="16"/>
              </w:rPr>
              <w:t>19 de abril de 2019</w:t>
            </w:r>
          </w:p>
        </w:tc>
        <w:tc>
          <w:tcPr>
            <w:tcW w:w="1276" w:type="dxa"/>
            <w:shd w:val="clear" w:color="auto" w:fill="auto"/>
            <w:tcMar>
              <w:top w:w="0" w:type="dxa"/>
              <w:left w:w="108" w:type="dxa"/>
              <w:bottom w:w="0" w:type="dxa"/>
              <w:right w:w="108" w:type="dxa"/>
            </w:tcMar>
          </w:tcPr>
          <w:p w:rsidR="00D23C11" w:rsidRPr="00592F7C" w:rsidRDefault="00D23C11" w:rsidP="009D59E5">
            <w:pPr>
              <w:jc w:val="left"/>
              <w:rPr>
                <w:sz w:val="16"/>
                <w:lang w:val="es-ES"/>
              </w:rPr>
            </w:pPr>
            <w:r w:rsidRPr="00031B93">
              <w:rPr>
                <w:sz w:val="16"/>
              </w:rPr>
              <w:t xml:space="preserve">Localidad de </w:t>
            </w:r>
            <w:proofErr w:type="spellStart"/>
            <w:r w:rsidRPr="00031B93">
              <w:rPr>
                <w:sz w:val="16"/>
              </w:rPr>
              <w:t>Centralne</w:t>
            </w:r>
            <w:proofErr w:type="spellEnd"/>
            <w:r w:rsidRPr="00031B93">
              <w:rPr>
                <w:sz w:val="16"/>
              </w:rPr>
              <w:t>, región de Kiev</w:t>
            </w:r>
          </w:p>
        </w:tc>
        <w:tc>
          <w:tcPr>
            <w:tcW w:w="3260" w:type="dxa"/>
            <w:shd w:val="clear" w:color="auto" w:fill="auto"/>
            <w:tcMar>
              <w:top w:w="0" w:type="dxa"/>
              <w:left w:w="108" w:type="dxa"/>
              <w:bottom w:w="0" w:type="dxa"/>
              <w:right w:w="108" w:type="dxa"/>
            </w:tcMar>
          </w:tcPr>
          <w:p w:rsidR="00D23C11" w:rsidRPr="00932993" w:rsidRDefault="00D23C11" w:rsidP="009D59E5">
            <w:pPr>
              <w:jc w:val="left"/>
              <w:rPr>
                <w:sz w:val="16"/>
                <w:lang w:val="pt-PT"/>
              </w:rPr>
            </w:pPr>
            <w:r w:rsidRPr="00932993">
              <w:rPr>
                <w:sz w:val="16"/>
                <w:lang w:val="pt-PT"/>
              </w:rPr>
              <w:t>Instituto del Trigo V.M. Remeslo Myronivka,</w:t>
            </w:r>
          </w:p>
          <w:p w:rsidR="00D23C11" w:rsidRPr="00592F7C" w:rsidRDefault="00D23C11" w:rsidP="009D59E5">
            <w:pPr>
              <w:jc w:val="left"/>
              <w:rPr>
                <w:sz w:val="16"/>
                <w:lang w:val="es-ES"/>
              </w:rPr>
            </w:pPr>
            <w:r w:rsidRPr="00031B93">
              <w:rPr>
                <w:sz w:val="16"/>
              </w:rPr>
              <w:t>Academia Nacional de Ciencias Agrarias de Ucrania,</w:t>
            </w:r>
          </w:p>
          <w:p w:rsidR="00D23C11" w:rsidRPr="00592F7C" w:rsidRDefault="00D23C11" w:rsidP="009D59E5">
            <w:pPr>
              <w:jc w:val="left"/>
              <w:rPr>
                <w:sz w:val="16"/>
                <w:lang w:val="es-ES"/>
              </w:rPr>
            </w:pPr>
            <w:r w:rsidRPr="00031B93">
              <w:rPr>
                <w:sz w:val="16"/>
              </w:rPr>
              <w:t>Instituto de Examen de Variedades Vegetales de Ucrania</w:t>
            </w:r>
          </w:p>
        </w:tc>
        <w:tc>
          <w:tcPr>
            <w:tcW w:w="3402" w:type="dxa"/>
            <w:shd w:val="clear" w:color="auto" w:fill="auto"/>
            <w:tcMar>
              <w:top w:w="0" w:type="dxa"/>
              <w:left w:w="108" w:type="dxa"/>
              <w:bottom w:w="0" w:type="dxa"/>
              <w:right w:w="108" w:type="dxa"/>
            </w:tcMar>
          </w:tcPr>
          <w:p w:rsidR="00D23C11" w:rsidRPr="00592F7C" w:rsidRDefault="00D23C11" w:rsidP="009D59E5">
            <w:pPr>
              <w:jc w:val="left"/>
              <w:rPr>
                <w:sz w:val="16"/>
                <w:lang w:val="es-ES"/>
              </w:rPr>
            </w:pPr>
            <w:r w:rsidRPr="00031B93">
              <w:rPr>
                <w:sz w:val="16"/>
              </w:rPr>
              <w:t>Definición de las técnicas actuales de investigación agrícola y evaluación de las variedades vegetales</w:t>
            </w:r>
          </w:p>
        </w:tc>
        <w:tc>
          <w:tcPr>
            <w:tcW w:w="1843" w:type="dxa"/>
            <w:shd w:val="clear" w:color="auto" w:fill="auto"/>
            <w:tcMar>
              <w:top w:w="0" w:type="dxa"/>
              <w:left w:w="108" w:type="dxa"/>
              <w:bottom w:w="0" w:type="dxa"/>
              <w:right w:w="108" w:type="dxa"/>
            </w:tcMar>
          </w:tcPr>
          <w:p w:rsidR="00D23C11" w:rsidRPr="00F12FD8" w:rsidRDefault="00D23C11" w:rsidP="009D59E5">
            <w:pPr>
              <w:jc w:val="left"/>
              <w:rPr>
                <w:sz w:val="16"/>
              </w:rPr>
            </w:pPr>
            <w:r w:rsidRPr="00031B93">
              <w:rPr>
                <w:sz w:val="16"/>
              </w:rPr>
              <w:t xml:space="preserve">Ucrania, </w:t>
            </w:r>
            <w:proofErr w:type="spellStart"/>
            <w:r w:rsidRPr="00031B93">
              <w:rPr>
                <w:sz w:val="16"/>
              </w:rPr>
              <w:t>Belarús</w:t>
            </w:r>
            <w:proofErr w:type="spellEnd"/>
            <w:r w:rsidRPr="00031B93">
              <w:rPr>
                <w:sz w:val="16"/>
              </w:rPr>
              <w:t>, Hungría (190 asistentes)</w:t>
            </w:r>
          </w:p>
        </w:tc>
        <w:tc>
          <w:tcPr>
            <w:tcW w:w="1304" w:type="dxa"/>
            <w:shd w:val="clear" w:color="auto" w:fill="auto"/>
            <w:tcMar>
              <w:top w:w="0" w:type="dxa"/>
              <w:left w:w="108" w:type="dxa"/>
              <w:bottom w:w="0" w:type="dxa"/>
              <w:right w:w="108" w:type="dxa"/>
            </w:tcMar>
          </w:tcPr>
          <w:p w:rsidR="00D23C11" w:rsidRPr="00592F7C" w:rsidRDefault="00D23C11" w:rsidP="009D59E5">
            <w:pPr>
              <w:jc w:val="left"/>
              <w:rPr>
                <w:sz w:val="16"/>
                <w:lang w:val="es-ES"/>
              </w:rPr>
            </w:pPr>
            <w:r w:rsidRPr="00031B93">
              <w:rPr>
                <w:sz w:val="16"/>
              </w:rPr>
              <w:t>Se ha publicado una colección de materiales de la conferencia</w:t>
            </w:r>
          </w:p>
        </w:tc>
      </w:tr>
      <w:tr w:rsidR="00D23C11" w:rsidRPr="00592F7C" w:rsidTr="009D59E5">
        <w:trPr>
          <w:trHeight w:val="843"/>
        </w:trPr>
        <w:tc>
          <w:tcPr>
            <w:tcW w:w="2978" w:type="dxa"/>
            <w:shd w:val="clear" w:color="auto" w:fill="auto"/>
            <w:tcMar>
              <w:top w:w="0" w:type="dxa"/>
              <w:left w:w="108" w:type="dxa"/>
              <w:bottom w:w="0" w:type="dxa"/>
              <w:right w:w="108" w:type="dxa"/>
            </w:tcMar>
          </w:tcPr>
          <w:p w:rsidR="00D23C11" w:rsidRPr="00592F7C" w:rsidRDefault="00D23C11" w:rsidP="009D59E5">
            <w:pPr>
              <w:jc w:val="left"/>
              <w:rPr>
                <w:sz w:val="16"/>
                <w:szCs w:val="16"/>
                <w:lang w:val="es-ES"/>
              </w:rPr>
            </w:pPr>
            <w:r w:rsidRPr="00031B93">
              <w:rPr>
                <w:sz w:val="16"/>
                <w:szCs w:val="16"/>
              </w:rPr>
              <w:t>III Conferencia en línea de científicos jóvenes "Genética y selección de plantas agrícolas: de la molécula a la variedad"</w:t>
            </w:r>
          </w:p>
          <w:p w:rsidR="00D23C11" w:rsidRPr="00592F7C" w:rsidRDefault="00FE0BB4" w:rsidP="009D59E5">
            <w:pPr>
              <w:jc w:val="left"/>
              <w:rPr>
                <w:sz w:val="16"/>
                <w:szCs w:val="16"/>
                <w:lang w:val="es-ES"/>
              </w:rPr>
            </w:pPr>
            <w:hyperlink r:id="rId38" w:history="1">
              <w:r w:rsidR="00D23C11" w:rsidRPr="00592F7C">
                <w:rPr>
                  <w:rStyle w:val="Hyperlink"/>
                  <w:sz w:val="16"/>
                  <w:szCs w:val="16"/>
                  <w:lang w:val="es-ES"/>
                </w:rPr>
                <w:t>https://sops.gov.ua/uploads/page/5d66479943a66.pdf</w:t>
              </w:r>
            </w:hyperlink>
          </w:p>
        </w:tc>
        <w:tc>
          <w:tcPr>
            <w:tcW w:w="992" w:type="dxa"/>
            <w:shd w:val="clear" w:color="auto" w:fill="auto"/>
            <w:tcMar>
              <w:top w:w="0" w:type="dxa"/>
              <w:left w:w="108" w:type="dxa"/>
              <w:bottom w:w="0" w:type="dxa"/>
              <w:right w:w="108" w:type="dxa"/>
            </w:tcMar>
          </w:tcPr>
          <w:p w:rsidR="00D23C11" w:rsidRPr="0078099D" w:rsidRDefault="00D23C11" w:rsidP="009D59E5">
            <w:pPr>
              <w:jc w:val="left"/>
              <w:rPr>
                <w:sz w:val="16"/>
              </w:rPr>
            </w:pPr>
            <w:r w:rsidRPr="0078099D">
              <w:rPr>
                <w:sz w:val="16"/>
              </w:rPr>
              <w:t>28 de agosto de 2019</w:t>
            </w:r>
          </w:p>
        </w:tc>
        <w:tc>
          <w:tcPr>
            <w:tcW w:w="1276" w:type="dxa"/>
            <w:shd w:val="clear" w:color="auto" w:fill="auto"/>
            <w:tcMar>
              <w:top w:w="0" w:type="dxa"/>
              <w:left w:w="108" w:type="dxa"/>
              <w:bottom w:w="0" w:type="dxa"/>
              <w:right w:w="108" w:type="dxa"/>
            </w:tcMar>
          </w:tcPr>
          <w:p w:rsidR="00D23C11" w:rsidRPr="00F12FD8" w:rsidRDefault="00D23C11" w:rsidP="009D59E5">
            <w:pPr>
              <w:jc w:val="left"/>
              <w:rPr>
                <w:sz w:val="16"/>
              </w:rPr>
            </w:pPr>
            <w:r w:rsidRPr="00031B93">
              <w:rPr>
                <w:sz w:val="16"/>
              </w:rPr>
              <w:t>Ciudad de Kiev, Odesa</w:t>
            </w:r>
          </w:p>
        </w:tc>
        <w:tc>
          <w:tcPr>
            <w:tcW w:w="3260" w:type="dxa"/>
            <w:shd w:val="clear" w:color="auto" w:fill="auto"/>
            <w:tcMar>
              <w:top w:w="0" w:type="dxa"/>
              <w:left w:w="108" w:type="dxa"/>
              <w:bottom w:w="0" w:type="dxa"/>
              <w:right w:w="108" w:type="dxa"/>
            </w:tcMar>
          </w:tcPr>
          <w:p w:rsidR="00D23C11" w:rsidRPr="00592F7C" w:rsidRDefault="00D23C11" w:rsidP="009D59E5">
            <w:pPr>
              <w:jc w:val="left"/>
              <w:rPr>
                <w:sz w:val="16"/>
                <w:lang w:val="es-ES"/>
              </w:rPr>
            </w:pPr>
            <w:r w:rsidRPr="00031B93">
              <w:rPr>
                <w:sz w:val="16"/>
              </w:rPr>
              <w:t>Instituto de Examen de Variedades Vegetales de Ucrania,</w:t>
            </w:r>
          </w:p>
          <w:p w:rsidR="00D23C11" w:rsidRPr="00592F7C" w:rsidRDefault="00D23C11" w:rsidP="009D59E5">
            <w:pPr>
              <w:jc w:val="left"/>
              <w:rPr>
                <w:sz w:val="16"/>
                <w:lang w:val="es-ES"/>
              </w:rPr>
            </w:pPr>
            <w:r w:rsidRPr="00031B93">
              <w:rPr>
                <w:sz w:val="16"/>
              </w:rPr>
              <w:t xml:space="preserve">Instituto de Fitomejoramiento y </w:t>
            </w:r>
            <w:proofErr w:type="spellStart"/>
            <w:r w:rsidRPr="00031B93">
              <w:rPr>
                <w:sz w:val="16"/>
              </w:rPr>
              <w:t>Fitogenética</w:t>
            </w:r>
            <w:proofErr w:type="spellEnd"/>
            <w:r w:rsidRPr="00031B93">
              <w:rPr>
                <w:sz w:val="16"/>
              </w:rPr>
              <w:t>, Centro Nacional de Semillas e Investigación de Cultivares de la NAAS</w:t>
            </w:r>
          </w:p>
        </w:tc>
        <w:tc>
          <w:tcPr>
            <w:tcW w:w="3402" w:type="dxa"/>
            <w:shd w:val="clear" w:color="auto" w:fill="auto"/>
            <w:tcMar>
              <w:top w:w="0" w:type="dxa"/>
              <w:left w:w="108" w:type="dxa"/>
              <w:bottom w:w="0" w:type="dxa"/>
              <w:right w:w="108" w:type="dxa"/>
            </w:tcMar>
          </w:tcPr>
          <w:p w:rsidR="00D23C11" w:rsidRPr="00592F7C" w:rsidRDefault="00D23C11" w:rsidP="009D59E5">
            <w:pPr>
              <w:jc w:val="left"/>
              <w:rPr>
                <w:sz w:val="16"/>
                <w:lang w:val="es-ES"/>
              </w:rPr>
            </w:pPr>
            <w:r w:rsidRPr="00031B93">
              <w:rPr>
                <w:sz w:val="16"/>
              </w:rPr>
              <w:t>Aplicación de métodos biotecnológicos y genéticos modernos a la agricultura y el examen de variedades</w:t>
            </w:r>
          </w:p>
        </w:tc>
        <w:tc>
          <w:tcPr>
            <w:tcW w:w="1843" w:type="dxa"/>
            <w:shd w:val="clear" w:color="auto" w:fill="auto"/>
            <w:tcMar>
              <w:top w:w="0" w:type="dxa"/>
              <w:left w:w="108" w:type="dxa"/>
              <w:bottom w:w="0" w:type="dxa"/>
              <w:right w:w="108" w:type="dxa"/>
            </w:tcMar>
          </w:tcPr>
          <w:p w:rsidR="00D23C11" w:rsidRPr="00F12FD8" w:rsidRDefault="00D23C11" w:rsidP="009D59E5">
            <w:pPr>
              <w:jc w:val="left"/>
              <w:rPr>
                <w:sz w:val="16"/>
              </w:rPr>
            </w:pPr>
            <w:r w:rsidRPr="00031B93">
              <w:rPr>
                <w:sz w:val="16"/>
              </w:rPr>
              <w:t>Ucrania (38 participantes)</w:t>
            </w:r>
          </w:p>
        </w:tc>
        <w:tc>
          <w:tcPr>
            <w:tcW w:w="1304" w:type="dxa"/>
            <w:shd w:val="clear" w:color="auto" w:fill="auto"/>
            <w:tcMar>
              <w:top w:w="0" w:type="dxa"/>
              <w:left w:w="108" w:type="dxa"/>
              <w:bottom w:w="0" w:type="dxa"/>
              <w:right w:w="108" w:type="dxa"/>
            </w:tcMar>
          </w:tcPr>
          <w:p w:rsidR="00D23C11" w:rsidRPr="00592F7C" w:rsidRDefault="00D23C11" w:rsidP="009D59E5">
            <w:pPr>
              <w:jc w:val="left"/>
              <w:rPr>
                <w:sz w:val="16"/>
                <w:lang w:val="es-ES"/>
              </w:rPr>
            </w:pPr>
            <w:r w:rsidRPr="00031B93">
              <w:rPr>
                <w:sz w:val="16"/>
              </w:rPr>
              <w:t>Se ha publicado una colección de materiales de la conferencia</w:t>
            </w:r>
          </w:p>
        </w:tc>
      </w:tr>
      <w:tr w:rsidR="00D23C11" w:rsidRPr="00592F7C" w:rsidTr="009D59E5">
        <w:trPr>
          <w:trHeight w:val="1488"/>
        </w:trPr>
        <w:tc>
          <w:tcPr>
            <w:tcW w:w="2978" w:type="dxa"/>
            <w:shd w:val="clear" w:color="auto" w:fill="auto"/>
            <w:tcMar>
              <w:top w:w="0" w:type="dxa"/>
              <w:left w:w="108" w:type="dxa"/>
              <w:bottom w:w="0" w:type="dxa"/>
              <w:right w:w="108" w:type="dxa"/>
            </w:tcMar>
          </w:tcPr>
          <w:p w:rsidR="00D23C11" w:rsidRPr="00592F7C" w:rsidRDefault="00D23C11" w:rsidP="009D59E5">
            <w:pPr>
              <w:jc w:val="left"/>
              <w:rPr>
                <w:sz w:val="16"/>
                <w:szCs w:val="16"/>
                <w:lang w:val="es-ES"/>
              </w:rPr>
            </w:pPr>
            <w:r w:rsidRPr="00031B93">
              <w:rPr>
                <w:sz w:val="16"/>
                <w:szCs w:val="16"/>
              </w:rPr>
              <w:lastRenderedPageBreak/>
              <w:t>X Simposio internacional de agricultura AGROSYM 2019</w:t>
            </w:r>
          </w:p>
          <w:p w:rsidR="00D23C11" w:rsidRPr="00592F7C" w:rsidRDefault="00FE0BB4" w:rsidP="009D59E5">
            <w:pPr>
              <w:jc w:val="left"/>
              <w:rPr>
                <w:sz w:val="16"/>
                <w:szCs w:val="16"/>
                <w:lang w:val="es-ES"/>
              </w:rPr>
            </w:pPr>
            <w:hyperlink r:id="rId39" w:history="1">
              <w:r w:rsidR="00D23C11" w:rsidRPr="00592F7C">
                <w:rPr>
                  <w:rStyle w:val="Hyperlink"/>
                  <w:sz w:val="16"/>
                  <w:szCs w:val="16"/>
                  <w:lang w:val="es-ES"/>
                </w:rPr>
                <w:t>http://agrosym.ues.rs.ba/index.php/en/</w:t>
              </w:r>
            </w:hyperlink>
          </w:p>
          <w:p w:rsidR="00D23C11" w:rsidRPr="00592F7C" w:rsidRDefault="00FE0BB4" w:rsidP="009D59E5">
            <w:pPr>
              <w:jc w:val="left"/>
              <w:rPr>
                <w:sz w:val="16"/>
                <w:szCs w:val="16"/>
                <w:lang w:val="es-ES"/>
              </w:rPr>
            </w:pPr>
            <w:hyperlink r:id="rId40" w:history="1">
              <w:r w:rsidR="00D23C11" w:rsidRPr="00592F7C">
                <w:rPr>
                  <w:rStyle w:val="Hyperlink"/>
                  <w:sz w:val="16"/>
                  <w:szCs w:val="16"/>
                  <w:lang w:val="es-ES"/>
                </w:rPr>
                <w:t>http://agrosym.ues.rs.ba/agrosym/agrosym_2019/BOOK_OF_PROCEEDINGS_2019_FINAL.pdf</w:t>
              </w:r>
            </w:hyperlink>
          </w:p>
        </w:tc>
        <w:tc>
          <w:tcPr>
            <w:tcW w:w="992" w:type="dxa"/>
            <w:shd w:val="clear" w:color="auto" w:fill="auto"/>
            <w:tcMar>
              <w:top w:w="0" w:type="dxa"/>
              <w:left w:w="108" w:type="dxa"/>
              <w:bottom w:w="0" w:type="dxa"/>
              <w:right w:w="108" w:type="dxa"/>
            </w:tcMar>
          </w:tcPr>
          <w:p w:rsidR="00D23C11" w:rsidRPr="0078099D" w:rsidRDefault="00D23C11" w:rsidP="009D59E5">
            <w:pPr>
              <w:jc w:val="left"/>
              <w:rPr>
                <w:sz w:val="16"/>
              </w:rPr>
            </w:pPr>
            <w:r w:rsidRPr="0078099D">
              <w:rPr>
                <w:sz w:val="16"/>
              </w:rPr>
              <w:t>3 a 6 de octubre de 2019</w:t>
            </w:r>
          </w:p>
        </w:tc>
        <w:tc>
          <w:tcPr>
            <w:tcW w:w="1276" w:type="dxa"/>
            <w:shd w:val="clear" w:color="auto" w:fill="auto"/>
            <w:tcMar>
              <w:top w:w="0" w:type="dxa"/>
              <w:left w:w="108" w:type="dxa"/>
              <w:bottom w:w="0" w:type="dxa"/>
              <w:right w:w="108" w:type="dxa"/>
            </w:tcMar>
          </w:tcPr>
          <w:p w:rsidR="00D23C11" w:rsidRPr="00F12FD8" w:rsidRDefault="00D23C11" w:rsidP="009D59E5">
            <w:pPr>
              <w:jc w:val="left"/>
              <w:rPr>
                <w:sz w:val="16"/>
              </w:rPr>
            </w:pPr>
            <w:proofErr w:type="spellStart"/>
            <w:r w:rsidRPr="00031B93">
              <w:rPr>
                <w:sz w:val="16"/>
              </w:rPr>
              <w:t>Jahorina</w:t>
            </w:r>
            <w:proofErr w:type="spellEnd"/>
            <w:r w:rsidRPr="00031B93">
              <w:rPr>
                <w:sz w:val="16"/>
              </w:rPr>
              <w:t xml:space="preserve"> (Bosnia y Herzegovina)</w:t>
            </w:r>
          </w:p>
        </w:tc>
        <w:tc>
          <w:tcPr>
            <w:tcW w:w="3260" w:type="dxa"/>
            <w:shd w:val="clear" w:color="auto" w:fill="auto"/>
            <w:tcMar>
              <w:top w:w="0" w:type="dxa"/>
              <w:left w:w="108" w:type="dxa"/>
              <w:bottom w:w="0" w:type="dxa"/>
              <w:right w:w="108" w:type="dxa"/>
            </w:tcMar>
          </w:tcPr>
          <w:p w:rsidR="00D23C11" w:rsidRPr="00592F7C" w:rsidRDefault="00D23C11" w:rsidP="009D59E5">
            <w:pPr>
              <w:jc w:val="left"/>
              <w:rPr>
                <w:sz w:val="16"/>
                <w:lang w:val="es-ES"/>
              </w:rPr>
            </w:pPr>
            <w:r w:rsidRPr="00031B93">
              <w:rPr>
                <w:sz w:val="16"/>
              </w:rPr>
              <w:t>Facultad de Agricultura de la Universidad de Sarajevo Oriental (Bosnia y Herzegovina),</w:t>
            </w:r>
          </w:p>
          <w:p w:rsidR="00D23C11" w:rsidRPr="00592F7C" w:rsidRDefault="00D23C11" w:rsidP="009D59E5">
            <w:pPr>
              <w:jc w:val="left"/>
              <w:rPr>
                <w:sz w:val="16"/>
                <w:lang w:val="es-ES"/>
              </w:rPr>
            </w:pPr>
            <w:r w:rsidRPr="00031B93">
              <w:rPr>
                <w:sz w:val="16"/>
              </w:rPr>
              <w:t>Instituto Agronómico Mediterráneo de Bari (Italia),</w:t>
            </w:r>
          </w:p>
          <w:p w:rsidR="00D23C11" w:rsidRPr="00592F7C" w:rsidRDefault="00D23C11" w:rsidP="009D59E5">
            <w:pPr>
              <w:jc w:val="left"/>
              <w:rPr>
                <w:sz w:val="16"/>
                <w:lang w:val="es-ES"/>
              </w:rPr>
            </w:pPr>
            <w:r w:rsidRPr="00031B93">
              <w:rPr>
                <w:sz w:val="16"/>
              </w:rPr>
              <w:t>Facultad de Agricultura de la Universidad de Belgrado (Serbia),</w:t>
            </w:r>
          </w:p>
          <w:p w:rsidR="00D23C11" w:rsidRPr="00592F7C" w:rsidRDefault="00D23C11" w:rsidP="009D59E5">
            <w:pPr>
              <w:jc w:val="left"/>
              <w:rPr>
                <w:sz w:val="16"/>
                <w:lang w:val="es-ES"/>
              </w:rPr>
            </w:pPr>
            <w:r w:rsidRPr="00031B93">
              <w:rPr>
                <w:sz w:val="16"/>
              </w:rPr>
              <w:t>en asociación con el</w:t>
            </w:r>
            <w:r w:rsidRPr="00592F7C">
              <w:rPr>
                <w:sz w:val="16"/>
                <w:lang w:val="es-ES"/>
              </w:rPr>
              <w:t xml:space="preserve"> </w:t>
            </w:r>
            <w:r w:rsidRPr="00031B93">
              <w:rPr>
                <w:sz w:val="16"/>
              </w:rPr>
              <w:t>Instituto de Examen de Variedades Vegetales de Ucrania</w:t>
            </w:r>
          </w:p>
        </w:tc>
        <w:tc>
          <w:tcPr>
            <w:tcW w:w="3402" w:type="dxa"/>
            <w:shd w:val="clear" w:color="auto" w:fill="auto"/>
            <w:tcMar>
              <w:top w:w="0" w:type="dxa"/>
              <w:left w:w="108" w:type="dxa"/>
              <w:bottom w:w="0" w:type="dxa"/>
              <w:right w:w="108" w:type="dxa"/>
            </w:tcMar>
          </w:tcPr>
          <w:p w:rsidR="00D23C11" w:rsidRPr="00592F7C" w:rsidRDefault="00D23C11" w:rsidP="009D59E5">
            <w:pPr>
              <w:jc w:val="left"/>
              <w:rPr>
                <w:sz w:val="16"/>
                <w:lang w:val="es-ES"/>
              </w:rPr>
            </w:pPr>
            <w:r w:rsidRPr="00031B93">
              <w:rPr>
                <w:sz w:val="16"/>
              </w:rPr>
              <w:t>Tendencias actuales de desarrollo de la ciencia agraria en el mundo, cuestiones biotecnológicas en la actualidad, creación y examen de nuevas variedades vegetales</w:t>
            </w:r>
          </w:p>
        </w:tc>
        <w:tc>
          <w:tcPr>
            <w:tcW w:w="1843" w:type="dxa"/>
            <w:shd w:val="clear" w:color="auto" w:fill="auto"/>
            <w:tcMar>
              <w:top w:w="0" w:type="dxa"/>
              <w:left w:w="108" w:type="dxa"/>
              <w:bottom w:w="0" w:type="dxa"/>
              <w:right w:w="108" w:type="dxa"/>
            </w:tcMar>
          </w:tcPr>
          <w:p w:rsidR="00D23C11" w:rsidRPr="00F12FD8" w:rsidRDefault="00D23C11" w:rsidP="009D59E5">
            <w:pPr>
              <w:jc w:val="left"/>
              <w:rPr>
                <w:sz w:val="16"/>
              </w:rPr>
            </w:pPr>
            <w:r w:rsidRPr="00031B93">
              <w:rPr>
                <w:sz w:val="16"/>
              </w:rPr>
              <w:t>80 países (alrededor de 1.000 asistentes)</w:t>
            </w:r>
          </w:p>
        </w:tc>
        <w:tc>
          <w:tcPr>
            <w:tcW w:w="1304" w:type="dxa"/>
            <w:shd w:val="clear" w:color="auto" w:fill="auto"/>
            <w:tcMar>
              <w:top w:w="0" w:type="dxa"/>
              <w:left w:w="108" w:type="dxa"/>
              <w:bottom w:w="0" w:type="dxa"/>
              <w:right w:w="108" w:type="dxa"/>
            </w:tcMar>
          </w:tcPr>
          <w:p w:rsidR="00D23C11" w:rsidRPr="00592F7C" w:rsidRDefault="00D23C11" w:rsidP="009D59E5">
            <w:pPr>
              <w:jc w:val="left"/>
              <w:rPr>
                <w:sz w:val="16"/>
                <w:lang w:val="es-ES"/>
              </w:rPr>
            </w:pPr>
            <w:r w:rsidRPr="00031B93">
              <w:rPr>
                <w:sz w:val="16"/>
              </w:rPr>
              <w:t>Se ha publicado una colección de materiales de la conferencia</w:t>
            </w:r>
          </w:p>
        </w:tc>
      </w:tr>
    </w:tbl>
    <w:p w:rsidR="00D23C11" w:rsidRPr="00592F7C" w:rsidRDefault="00D23C11" w:rsidP="00D23C11">
      <w:pPr>
        <w:rPr>
          <w:lang w:val="es-ES"/>
        </w:rPr>
      </w:pPr>
    </w:p>
    <w:p w:rsidR="00D23C11" w:rsidRDefault="00D23C11" w:rsidP="0078167F">
      <w:pPr>
        <w:jc w:val="left"/>
      </w:pPr>
    </w:p>
    <w:p w:rsidR="00D23C11" w:rsidRDefault="00D23C11" w:rsidP="0078167F">
      <w:pPr>
        <w:jc w:val="left"/>
        <w:sectPr w:rsidR="00D23C11" w:rsidSect="00D23C11">
          <w:pgSz w:w="16840" w:h="11907" w:orient="landscape" w:code="9"/>
          <w:pgMar w:top="510" w:right="1134" w:bottom="1134" w:left="1134" w:header="510" w:footer="680" w:gutter="0"/>
          <w:cols w:space="720"/>
          <w:docGrid w:linePitch="272"/>
        </w:sectPr>
      </w:pPr>
    </w:p>
    <w:p w:rsidR="00D23C11" w:rsidRPr="00592F7C" w:rsidRDefault="00D23C11" w:rsidP="00D23C11">
      <w:pPr>
        <w:rPr>
          <w:lang w:val="es-ES"/>
        </w:rPr>
      </w:pPr>
      <w:r w:rsidRPr="00592F7C">
        <w:rPr>
          <w:lang w:val="es-ES"/>
        </w:rPr>
        <w:lastRenderedPageBreak/>
        <w:t>II.</w:t>
      </w:r>
      <w:r w:rsidRPr="00592F7C">
        <w:rPr>
          <w:lang w:val="es-ES"/>
        </w:rPr>
        <w:tab/>
      </w:r>
      <w:r w:rsidRPr="00031B93">
        <w:t>OTRAS NOVEDADES DE INTERÉS PARA LA UPOV</w:t>
      </w:r>
    </w:p>
    <w:p w:rsidR="00D23C11" w:rsidRPr="00592F7C" w:rsidRDefault="00D23C11" w:rsidP="00D23C11">
      <w:pPr>
        <w:rPr>
          <w:lang w:val="es-ES"/>
        </w:rPr>
      </w:pPr>
    </w:p>
    <w:p w:rsidR="00D23C11" w:rsidRPr="00592F7C" w:rsidRDefault="00D23C11" w:rsidP="00D23C11">
      <w:pPr>
        <w:rPr>
          <w:lang w:val="es-ES"/>
        </w:rPr>
      </w:pPr>
      <w:r w:rsidRPr="00031B93">
        <w:t xml:space="preserve">Además del presente informe, se han enviado por correo electrónico (a </w:t>
      </w:r>
      <w:hyperlink r:id="rId41" w:history="1">
        <w:r w:rsidRPr="00031B93">
          <w:rPr>
            <w:rStyle w:val="Hyperlink"/>
          </w:rPr>
          <w:t>upov.mail@upov.int</w:t>
        </w:r>
      </w:hyperlink>
      <w:r w:rsidRPr="00031B93">
        <w:t>) datos estadísticos sobre la protección de las obtenciones vegetales en Ucrania en el período comprendido entre 2001 y 2019.</w:t>
      </w:r>
    </w:p>
    <w:p w:rsidR="00D23C11" w:rsidRDefault="00D23C11" w:rsidP="0078167F">
      <w:pPr>
        <w:jc w:val="left"/>
      </w:pPr>
    </w:p>
    <w:p w:rsidR="00D23C11" w:rsidRDefault="00D23C11" w:rsidP="0078167F">
      <w:pPr>
        <w:jc w:val="left"/>
      </w:pPr>
    </w:p>
    <w:p w:rsidR="00D23C11" w:rsidRDefault="00D23C11" w:rsidP="0078167F">
      <w:pPr>
        <w:jc w:val="left"/>
      </w:pPr>
    </w:p>
    <w:p w:rsidR="0078167F" w:rsidRDefault="00E80B45" w:rsidP="0078167F">
      <w:pPr>
        <w:jc w:val="right"/>
      </w:pPr>
      <w:r>
        <w:t>[Sigue el Anexo</w:t>
      </w:r>
      <w:r w:rsidR="0078167F">
        <w:t xml:space="preserve"> XVII</w:t>
      </w:r>
      <w:r>
        <w:t>]</w:t>
      </w:r>
    </w:p>
    <w:p w:rsidR="0078167F" w:rsidRDefault="0078167F" w:rsidP="0078167F"/>
    <w:p w:rsidR="0078167F" w:rsidRDefault="0078167F" w:rsidP="0078167F">
      <w:pPr>
        <w:jc w:val="left"/>
        <w:sectPr w:rsidR="0078167F" w:rsidSect="00D23C11">
          <w:pgSz w:w="11907" w:h="16840" w:code="9"/>
          <w:pgMar w:top="510" w:right="1134" w:bottom="1134" w:left="1134" w:header="510" w:footer="680" w:gutter="0"/>
          <w:cols w:space="720"/>
          <w:docGrid w:linePitch="272"/>
        </w:sectPr>
      </w:pPr>
    </w:p>
    <w:p w:rsidR="0078167F" w:rsidRPr="0075031D" w:rsidRDefault="0078167F" w:rsidP="0078167F">
      <w:pPr>
        <w:jc w:val="center"/>
      </w:pPr>
      <w:r>
        <w:lastRenderedPageBreak/>
        <w:t>C/54/INF/4</w:t>
      </w:r>
    </w:p>
    <w:p w:rsidR="0078167F" w:rsidRPr="0075031D" w:rsidRDefault="0078167F" w:rsidP="0078167F">
      <w:pPr>
        <w:jc w:val="center"/>
      </w:pPr>
    </w:p>
    <w:p w:rsidR="0078167F" w:rsidRPr="0075031D" w:rsidRDefault="00E80B45" w:rsidP="0078167F">
      <w:pPr>
        <w:jc w:val="center"/>
      </w:pPr>
      <w:r>
        <w:t>ANEXO</w:t>
      </w:r>
      <w:r w:rsidR="0078167F">
        <w:t xml:space="preserve"> XVII</w:t>
      </w:r>
    </w:p>
    <w:p w:rsidR="0078167F" w:rsidRPr="0075031D" w:rsidRDefault="0078167F" w:rsidP="0078167F">
      <w:pPr>
        <w:jc w:val="center"/>
      </w:pPr>
    </w:p>
    <w:p w:rsidR="0078167F" w:rsidRDefault="0078167F" w:rsidP="0078167F">
      <w:pPr>
        <w:jc w:val="center"/>
      </w:pPr>
    </w:p>
    <w:p w:rsidR="00094AE7" w:rsidRPr="00607DEE" w:rsidRDefault="00094AE7" w:rsidP="00094AE7">
      <w:pPr>
        <w:jc w:val="center"/>
      </w:pPr>
      <w:r>
        <w:t>UNIÓN EUROPEA</w:t>
      </w:r>
      <w:r>
        <w:rPr>
          <w:rStyle w:val="EndnoteReference"/>
        </w:rPr>
        <w:endnoteReference w:id="2"/>
      </w:r>
    </w:p>
    <w:p w:rsidR="00094AE7" w:rsidRPr="00607DEE" w:rsidRDefault="00094AE7" w:rsidP="00094AE7">
      <w:pPr>
        <w:jc w:val="center"/>
      </w:pPr>
    </w:p>
    <w:p w:rsidR="00094AE7" w:rsidRPr="00607DEE" w:rsidRDefault="00094AE7" w:rsidP="00094AE7">
      <w:pPr>
        <w:shd w:val="clear" w:color="auto" w:fill="FFFFFF"/>
        <w:ind w:left="1134" w:right="1134"/>
        <w:jc w:val="center"/>
        <w:rPr>
          <w:rFonts w:cs="Arial"/>
        </w:rPr>
      </w:pPr>
      <w:r>
        <w:t>Período: julio de 2019 a julio de 2020</w:t>
      </w:r>
    </w:p>
    <w:p w:rsidR="00094AE7" w:rsidRPr="00FE0BB4" w:rsidRDefault="00094AE7" w:rsidP="00094AE7">
      <w:pPr>
        <w:shd w:val="clear" w:color="auto" w:fill="FFFFFF"/>
        <w:ind w:left="1134" w:right="1134"/>
        <w:jc w:val="center"/>
        <w:rPr>
          <w:rFonts w:cs="Arial"/>
        </w:rPr>
      </w:pPr>
    </w:p>
    <w:p w:rsidR="00094AE7" w:rsidRPr="00607DEE" w:rsidRDefault="00094AE7" w:rsidP="00094AE7">
      <w:pPr>
        <w:shd w:val="clear" w:color="auto" w:fill="FFFFFF"/>
        <w:jc w:val="center"/>
        <w:rPr>
          <w:rFonts w:cs="Arial"/>
        </w:rPr>
      </w:pPr>
      <w:r>
        <w:t xml:space="preserve">(Informe preparado por la Comisión Europea en estrecha cooperación con la </w:t>
      </w:r>
      <w:r>
        <w:br/>
        <w:t>Oficina Comunitaria de Variedades Vegetales)</w:t>
      </w:r>
    </w:p>
    <w:p w:rsidR="00094AE7" w:rsidRPr="00607DEE" w:rsidRDefault="00094AE7" w:rsidP="00094AE7">
      <w:pPr>
        <w:shd w:val="clear" w:color="auto" w:fill="FFFFFF"/>
        <w:jc w:val="center"/>
        <w:rPr>
          <w:rFonts w:cs="Arial"/>
        </w:rPr>
      </w:pPr>
    </w:p>
    <w:p w:rsidR="00094AE7" w:rsidRPr="00607DEE" w:rsidRDefault="00094AE7" w:rsidP="00094AE7">
      <w:pPr>
        <w:shd w:val="clear" w:color="auto" w:fill="FFFFFF"/>
        <w:jc w:val="center"/>
        <w:rPr>
          <w:rFonts w:cs="Arial"/>
        </w:rPr>
      </w:pPr>
    </w:p>
    <w:p w:rsidR="00094AE7" w:rsidRPr="00607DEE" w:rsidRDefault="00094AE7" w:rsidP="00094AE7">
      <w:r>
        <w:t>PROTECCIÓN DE LAS OBTENCIONES VEGETALES</w:t>
      </w:r>
    </w:p>
    <w:p w:rsidR="00094AE7" w:rsidRPr="00607DEE" w:rsidRDefault="00094AE7" w:rsidP="00094AE7">
      <w:pPr>
        <w:rPr>
          <w:rFonts w:cs="Arial"/>
        </w:rPr>
      </w:pPr>
    </w:p>
    <w:p w:rsidR="00094AE7" w:rsidRPr="00607DEE" w:rsidRDefault="00094AE7" w:rsidP="00094AE7">
      <w:pPr>
        <w:rPr>
          <w:rFonts w:cs="Arial"/>
        </w:rPr>
      </w:pPr>
      <w:r>
        <w:t>1.</w:t>
      </w:r>
      <w:r>
        <w:tab/>
      </w:r>
      <w:r>
        <w:rPr>
          <w:u w:val="single"/>
        </w:rPr>
        <w:t>Legislación</w:t>
      </w:r>
    </w:p>
    <w:p w:rsidR="00094AE7" w:rsidRPr="00607DEE" w:rsidRDefault="00094AE7" w:rsidP="00094AE7">
      <w:pPr>
        <w:rPr>
          <w:rFonts w:cs="Arial"/>
        </w:rPr>
      </w:pPr>
    </w:p>
    <w:p w:rsidR="00094AE7" w:rsidRPr="009E2D41" w:rsidRDefault="00094AE7" w:rsidP="00094AE7">
      <w:pPr>
        <w:rPr>
          <w:rFonts w:cs="Arial"/>
          <w:u w:val="single"/>
        </w:rPr>
      </w:pPr>
      <w:r w:rsidRPr="009E2D41">
        <w:rPr>
          <w:u w:val="single"/>
        </w:rPr>
        <w:t>1.0</w:t>
      </w:r>
      <w:r w:rsidR="009E2D41" w:rsidRPr="009E2D41">
        <w:rPr>
          <w:u w:val="single"/>
        </w:rPr>
        <w:t xml:space="preserve"> </w:t>
      </w:r>
      <w:r w:rsidRPr="009E2D41">
        <w:rPr>
          <w:u w:val="single"/>
        </w:rPr>
        <w:t>General:</w:t>
      </w:r>
    </w:p>
    <w:p w:rsidR="00094AE7" w:rsidRPr="00607DEE" w:rsidRDefault="00094AE7" w:rsidP="00094AE7">
      <w:pPr>
        <w:rPr>
          <w:rFonts w:cs="Arial"/>
        </w:rPr>
      </w:pPr>
    </w:p>
    <w:p w:rsidR="00094AE7" w:rsidRPr="00607DEE" w:rsidRDefault="00094AE7" w:rsidP="00094AE7">
      <w:pPr>
        <w:rPr>
          <w:rFonts w:cs="Arial"/>
        </w:rPr>
      </w:pPr>
      <w:r>
        <w:t>No hay novedades reseñables.</w:t>
      </w:r>
    </w:p>
    <w:p w:rsidR="00094AE7" w:rsidRPr="00607DEE" w:rsidRDefault="00094AE7" w:rsidP="00094AE7">
      <w:pPr>
        <w:rPr>
          <w:rFonts w:cs="Arial"/>
        </w:rPr>
      </w:pPr>
    </w:p>
    <w:p w:rsidR="00094AE7" w:rsidRPr="009E2D41" w:rsidRDefault="00094AE7" w:rsidP="00094AE7">
      <w:pPr>
        <w:rPr>
          <w:rFonts w:cs="Arial"/>
          <w:u w:val="single"/>
        </w:rPr>
      </w:pPr>
      <w:r w:rsidRPr="009E2D41">
        <w:rPr>
          <w:u w:val="single"/>
        </w:rPr>
        <w:t>1.1</w:t>
      </w:r>
      <w:r w:rsidR="009E2D41">
        <w:rPr>
          <w:u w:val="single"/>
        </w:rPr>
        <w:t xml:space="preserve"> </w:t>
      </w:r>
      <w:r w:rsidRPr="009E2D41">
        <w:rPr>
          <w:u w:val="single"/>
        </w:rPr>
        <w:t>Modificaciones de la ley y de los reglamentos</w:t>
      </w:r>
    </w:p>
    <w:p w:rsidR="00094AE7" w:rsidRPr="00607DEE" w:rsidRDefault="00094AE7" w:rsidP="00094AE7">
      <w:pPr>
        <w:rPr>
          <w:rFonts w:cs="Arial"/>
        </w:rPr>
      </w:pPr>
    </w:p>
    <w:p w:rsidR="00094AE7" w:rsidRPr="00607DEE" w:rsidRDefault="00094AE7" w:rsidP="00094AE7">
      <w:pPr>
        <w:rPr>
          <w:rFonts w:cs="Arial"/>
        </w:rPr>
      </w:pPr>
      <w:r>
        <w:t>Mediante el Reglamento de Ejecución (UE) N.º 2019/1978 de la Comisión de 26 de noviembre de 2015 se ha modificado el Reglamento (CE) N.º 1238/95 en lo que respecta a la cuantía de las tasas que se deben abonar a la Oficina Comunitaria de Variedades Vegetales (OCVV). El principal cambio es el aumento de la tasa de solicitud a 800 euros por la tramitación de una solicitud presentada en papel. El reglamento entró en vigor el 1 de abril de 2020.</w:t>
      </w:r>
    </w:p>
    <w:p w:rsidR="00094AE7" w:rsidRPr="00607DEE" w:rsidRDefault="00094AE7" w:rsidP="00094AE7">
      <w:pPr>
        <w:rPr>
          <w:rFonts w:cs="Arial"/>
        </w:rPr>
      </w:pPr>
    </w:p>
    <w:p w:rsidR="00094AE7" w:rsidRPr="009E2D41" w:rsidRDefault="00094AE7" w:rsidP="00094AE7">
      <w:pPr>
        <w:rPr>
          <w:rFonts w:cs="Arial"/>
          <w:u w:val="single"/>
        </w:rPr>
      </w:pPr>
      <w:r w:rsidRPr="009E2D41">
        <w:rPr>
          <w:u w:val="single"/>
        </w:rPr>
        <w:t>1.2</w:t>
      </w:r>
      <w:r w:rsidR="009E2D41">
        <w:rPr>
          <w:u w:val="single"/>
        </w:rPr>
        <w:t xml:space="preserve"> </w:t>
      </w:r>
      <w:r w:rsidRPr="009E2D41">
        <w:rPr>
          <w:u w:val="single"/>
        </w:rPr>
        <w:t>Jurisprudencia</w:t>
      </w:r>
    </w:p>
    <w:p w:rsidR="00094AE7" w:rsidRPr="00607DEE" w:rsidRDefault="00094AE7" w:rsidP="00094AE7">
      <w:pPr>
        <w:rPr>
          <w:rFonts w:cs="Arial"/>
        </w:rPr>
      </w:pPr>
    </w:p>
    <w:p w:rsidR="00094AE7" w:rsidRPr="00607DEE" w:rsidRDefault="00094AE7" w:rsidP="00094AE7">
      <w:pPr>
        <w:rPr>
          <w:rFonts w:cs="Arial"/>
          <w:i/>
        </w:rPr>
      </w:pPr>
      <w:r>
        <w:rPr>
          <w:i/>
        </w:rPr>
        <w:t>Sentencia del Tribunal General de 24 de septiembre de 2019 en el asunto T-112/18 “</w:t>
      </w:r>
      <w:proofErr w:type="spellStart"/>
      <w:r>
        <w:rPr>
          <w:i/>
        </w:rPr>
        <w:t>Cripps</w:t>
      </w:r>
      <w:proofErr w:type="spellEnd"/>
      <w:r>
        <w:rPr>
          <w:i/>
        </w:rPr>
        <w:t xml:space="preserve"> Pink”</w:t>
      </w:r>
    </w:p>
    <w:p w:rsidR="00094AE7" w:rsidRPr="00607DEE" w:rsidRDefault="00094AE7" w:rsidP="00094AE7">
      <w:pPr>
        <w:rPr>
          <w:rFonts w:cs="Arial"/>
        </w:rPr>
      </w:pPr>
    </w:p>
    <w:p w:rsidR="00094AE7" w:rsidRPr="00607DEE" w:rsidRDefault="00094AE7" w:rsidP="00094AE7">
      <w:pPr>
        <w:rPr>
          <w:rFonts w:cs="Arial"/>
        </w:rPr>
      </w:pPr>
      <w:r>
        <w:t>Por una sentencia de 24 de septiembre de 2019, el Tribunal General ha desestimado en su totalidad el recurso presentado por la parte recurrente y ha proporcionado orientación para la apreciación de las pruebas de falta de novedad (en el sentido del artículo 10 del Reglamento de base) y la presentación extemporánea de elementos de prueba.</w:t>
      </w:r>
    </w:p>
    <w:p w:rsidR="00094AE7" w:rsidRPr="00607DEE" w:rsidRDefault="00094AE7" w:rsidP="00094AE7">
      <w:pPr>
        <w:rPr>
          <w:rFonts w:cs="Arial"/>
        </w:rPr>
      </w:pPr>
    </w:p>
    <w:p w:rsidR="00094AE7" w:rsidRPr="00607DEE" w:rsidRDefault="00094AE7" w:rsidP="00094AE7">
      <w:pPr>
        <w:rPr>
          <w:rFonts w:cs="Arial"/>
        </w:rPr>
      </w:pPr>
      <w:r>
        <w:t>El Tribunal establece que la Sala de Recurso interpretó correctamente el artículo 116 del Reglamento de base sobre el régimen provisional en lo que atañe a la ampliación del período de gracia prevista en el artículo 10 de dicho Reglamento. Como la solicitud de protección comunitaria de la obtención vegetal se presentó antes de cumplirse el plazo de un año a partir de la entrada en vigor del Reglamento de base, resultaron de aplicación dos períodos de gracia: i) un período de seis años antes de la entrada en vigor del Reglamento de base para las ventas y las cesiones en el interior del territorio de la Unión Europea y, ii) un período de seis años antes de la presentación de la solicitud para las ventas o las cesiones fuera de dicho territorio.</w:t>
      </w:r>
    </w:p>
    <w:p w:rsidR="00094AE7" w:rsidRPr="00607DEE" w:rsidRDefault="00094AE7" w:rsidP="00094AE7">
      <w:pPr>
        <w:rPr>
          <w:rFonts w:cs="Arial"/>
        </w:rPr>
      </w:pPr>
    </w:p>
    <w:p w:rsidR="00094AE7" w:rsidRPr="00607DEE" w:rsidRDefault="00094AE7" w:rsidP="00094AE7">
      <w:pPr>
        <w:rPr>
          <w:rFonts w:cs="Arial"/>
        </w:rPr>
      </w:pPr>
      <w:r>
        <w:t xml:space="preserve">El Tribunal desestimó la alegación de falta de novedad de la variedad </w:t>
      </w:r>
      <w:r>
        <w:rPr>
          <w:rFonts w:cs="Arial"/>
        </w:rPr>
        <w:t>“</w:t>
      </w:r>
      <w:proofErr w:type="spellStart"/>
      <w:r>
        <w:t>Cripps</w:t>
      </w:r>
      <w:proofErr w:type="spellEnd"/>
      <w:r>
        <w:t xml:space="preserve"> Pink</w:t>
      </w:r>
      <w:r>
        <w:rPr>
          <w:rFonts w:cs="Arial"/>
        </w:rPr>
        <w:t>”</w:t>
      </w:r>
      <w:r>
        <w:t>, al entender que la parte recurrente no había aportado elementos de prueba que demostraran que esta variedad hubiera sido objeto de ventas o de cesiones a terceros por el obtentor o con su consentimiento, a efectos de su explotación comercial. El Tribunal consideró que los elementos de prueba aportados por la parte recurrente no son concluyentes para probar que tuvo lugar un acto que “anule la novedad” antes de cumplirse dichos períodos de gracia.</w:t>
      </w:r>
    </w:p>
    <w:p w:rsidR="00094AE7" w:rsidRPr="00607DEE" w:rsidRDefault="00094AE7" w:rsidP="00094AE7">
      <w:pPr>
        <w:rPr>
          <w:rFonts w:cs="Arial"/>
        </w:rPr>
      </w:pPr>
    </w:p>
    <w:p w:rsidR="00094AE7" w:rsidRPr="00607DEE" w:rsidRDefault="00094AE7" w:rsidP="00094AE7">
      <w:pPr>
        <w:rPr>
          <w:rFonts w:cs="Arial"/>
          <w:i/>
        </w:rPr>
      </w:pPr>
      <w:r>
        <w:rPr>
          <w:i/>
        </w:rPr>
        <w:t>Sentencia del Tribunal General de 13 de marzo de 2020 en el asunto T-278/19 “M 02205”</w:t>
      </w:r>
    </w:p>
    <w:p w:rsidR="00094AE7" w:rsidRPr="00607DEE" w:rsidRDefault="00094AE7" w:rsidP="00094AE7">
      <w:pPr>
        <w:rPr>
          <w:rFonts w:cs="Arial"/>
        </w:rPr>
      </w:pPr>
    </w:p>
    <w:p w:rsidR="00094AE7" w:rsidRPr="00607DEE" w:rsidRDefault="00094AE7" w:rsidP="00094AE7">
      <w:pPr>
        <w:rPr>
          <w:rFonts w:cs="Arial"/>
        </w:rPr>
      </w:pPr>
      <w:r>
        <w:t>Por una sentencia de 13 de marzo de 2020, el Tribunal General ha desestimado el recurso interpuesto por la parte recurrente y ordenó a ambas partes a cargar con sus propias costas. Básicamente, la parte recurrente solicitó que se declarara nulo e inválido el Reglamento de protección comunitaria de las obtenciones vegetales impugnado aduciendo que, de conformidad con el artículo 72 del Reglamento de base, la Sala de Recurso tiene la facultad de declarar nulo e inválido dicho Reglamento y consideró que ha omitido el ejercicio de esta facultad al devolver el asunto a la instancia competente de la OCVV. Según lo alegado, la Sala de Recurso pudo haberse pronunciado sobre la petición de nulidad, dada la ausencia de aspectos técnicos pendientes de evaluación.</w:t>
      </w:r>
    </w:p>
    <w:p w:rsidR="00094AE7" w:rsidRPr="00607DEE" w:rsidRDefault="00094AE7" w:rsidP="00094AE7">
      <w:pPr>
        <w:rPr>
          <w:rFonts w:cs="Arial"/>
        </w:rPr>
      </w:pPr>
    </w:p>
    <w:p w:rsidR="00094AE7" w:rsidRPr="00607DEE" w:rsidRDefault="00094AE7" w:rsidP="00094AE7">
      <w:pPr>
        <w:rPr>
          <w:rFonts w:cs="Arial"/>
        </w:rPr>
      </w:pPr>
      <w:r>
        <w:t xml:space="preserve">El Tribunal reconoció que la Sala de Recurso dispone de un amplio margen de discrecionalidad e informó que la remisión del asunto a la instancia competente de la OCVV es una de las facultades de dicha Sala, con </w:t>
      </w:r>
      <w:r>
        <w:lastRenderedPageBreak/>
        <w:t>arreglo a lo dispuesto en el artículo 72 del Reglamento de base. Observó además que, contrariamente a la opinión de la parte recurrente, había aspectos técnicos pendientes de evaluación.</w:t>
      </w:r>
    </w:p>
    <w:p w:rsidR="00094AE7" w:rsidRPr="00607DEE" w:rsidRDefault="00094AE7" w:rsidP="00094AE7">
      <w:pPr>
        <w:rPr>
          <w:rFonts w:cs="Arial"/>
        </w:rPr>
      </w:pPr>
    </w:p>
    <w:p w:rsidR="00094AE7" w:rsidRPr="00607DEE" w:rsidRDefault="00094AE7" w:rsidP="00094AE7">
      <w:pPr>
        <w:rPr>
          <w:rFonts w:cs="Arial"/>
        </w:rPr>
      </w:pPr>
      <w:r>
        <w:t>Por otra parte, según el Tribunal, fue correcta la apreciación de la Sala de Recurso de que el comité de la OCVV, al cual remitió el asunto, debía examinar si el carácter “color del limbo” era pertinente para justificar la distinción de la variedad en cuestión respecto de cualquier otra variedad. Con ese fin, conforme a la sentencia T-140/15 (esto es, la primera resolución del Tribunal General que devolvió el asunto a la Sala de Recurso), la Sala de Recurso solicitó legítimamente al Comité de la OCVV que llevara a cabo un examen y análisis completo para verificar la exactitud de las notas de expresión atribuidas al carácter “color del limbo” (es decir, el carácter controvertido) y se examinara si este carácter es suficientemente estable y fiable como para tenerlo en cuenta a los fines de determinar si la variedad en cuestión puede “distinguirse claramente” de cualquier otra variedad notoriamente conocida.</w:t>
      </w:r>
    </w:p>
    <w:p w:rsidR="00094AE7" w:rsidRPr="00607DEE" w:rsidRDefault="00094AE7" w:rsidP="00094AE7">
      <w:pPr>
        <w:rPr>
          <w:rFonts w:cs="Arial"/>
        </w:rPr>
      </w:pPr>
    </w:p>
    <w:p w:rsidR="00094AE7" w:rsidRPr="00607DEE" w:rsidRDefault="00094AE7" w:rsidP="00094AE7">
      <w:pPr>
        <w:rPr>
          <w:rFonts w:cs="Arial"/>
          <w:i/>
        </w:rPr>
      </w:pPr>
      <w:r>
        <w:rPr>
          <w:i/>
        </w:rPr>
        <w:t>Sentencia del Tribunal General de 25 de junio de 2020 en el asunto T-737/18 “Siberia”</w:t>
      </w:r>
    </w:p>
    <w:p w:rsidR="00094AE7" w:rsidRPr="00607DEE" w:rsidRDefault="00094AE7" w:rsidP="00094AE7">
      <w:pPr>
        <w:rPr>
          <w:rFonts w:cs="Arial"/>
        </w:rPr>
      </w:pPr>
    </w:p>
    <w:p w:rsidR="00094AE7" w:rsidRPr="00607DEE" w:rsidRDefault="00094AE7" w:rsidP="00094AE7">
      <w:pPr>
        <w:rPr>
          <w:rFonts w:cs="Arial"/>
        </w:rPr>
      </w:pPr>
      <w:r>
        <w:t>Por una sentencia de 25 de junio de 2020, el Tribunal General ha desestimado el recurso interpuesto por la recurrente contra la resolución de no prolongar la duración de la protección comunitaria de obtención vegetal concedida a la variedad “Siberia”.</w:t>
      </w:r>
    </w:p>
    <w:p w:rsidR="00094AE7" w:rsidRPr="00607DEE" w:rsidRDefault="00094AE7" w:rsidP="00094AE7">
      <w:pPr>
        <w:rPr>
          <w:rFonts w:cs="Arial"/>
        </w:rPr>
      </w:pPr>
    </w:p>
    <w:p w:rsidR="00094AE7" w:rsidRPr="00607DEE" w:rsidRDefault="00094AE7" w:rsidP="00094AE7">
      <w:pPr>
        <w:rPr>
          <w:rFonts w:cs="Arial"/>
        </w:rPr>
      </w:pPr>
      <w:r>
        <w:t xml:space="preserve">En esencia, el Tribunal estableció, en primer lugar, que la resolución de la OCVV de rechazar la solicitud de rectificación de la fecha de expiración de la protección comunitaria de obtención vegetal concedida a la variedad </w:t>
      </w:r>
      <w:r>
        <w:rPr>
          <w:rFonts w:cs="Arial"/>
        </w:rPr>
        <w:t>“</w:t>
      </w:r>
      <w:r>
        <w:t>Siberia</w:t>
      </w:r>
      <w:r>
        <w:rPr>
          <w:rFonts w:cs="Arial"/>
        </w:rPr>
        <w:t>”</w:t>
      </w:r>
      <w:r>
        <w:t xml:space="preserve"> no está contemplada en el artículo 67, apartado 1, ni en el artículo 87, apartado 2, del Reglamento de Base sobre resoluciones recurribles. En relación con lo anterior, también estableció que la recurrente no interpuso recurso contra la resolución de 2 de agosto de 1996 en la que se establece como fecha de expiración de la protección comunitaria de obtención vegetal para la variedad </w:t>
      </w:r>
      <w:r>
        <w:rPr>
          <w:rFonts w:cs="Arial"/>
        </w:rPr>
        <w:t>“</w:t>
      </w:r>
      <w:r>
        <w:t>Siberia</w:t>
      </w:r>
      <w:r>
        <w:rPr>
          <w:rFonts w:cs="Arial"/>
        </w:rPr>
        <w:t>”</w:t>
      </w:r>
      <w:r>
        <w:t xml:space="preserve"> el 1 de febrero de 2018 y que, en consecuencia, dicha resolución cobró carácter definitivo. Al respecto, el Tribunal también declaró que no puede permitirse a la recurrente reabrir el plazo de recurso alegando que su solicitud de rectificación se refiere a la inscripción o supresión de datos en el registro en virtud del artículo 87 del Reglamento de base, dado que hacerlo implicaría menoscabar el carácter definitivo de la resolución sobre la concesión de la protección comunitaria de la obtención vegetal. Además, la recurrente no alegó la existencia de nuevos hechos sustanciales en respaldo de su solicitud.</w:t>
      </w:r>
    </w:p>
    <w:p w:rsidR="00094AE7" w:rsidRPr="00607DEE" w:rsidRDefault="00094AE7" w:rsidP="00094AE7">
      <w:pPr>
        <w:rPr>
          <w:rFonts w:cs="Arial"/>
        </w:rPr>
      </w:pPr>
    </w:p>
    <w:p w:rsidR="00094AE7" w:rsidRPr="00607DEE" w:rsidRDefault="00094AE7" w:rsidP="00094AE7">
      <w:pPr>
        <w:rPr>
          <w:rFonts w:cs="Arial"/>
        </w:rPr>
      </w:pPr>
      <w:r>
        <w:t>Con respecto a la alegada infracción del artículo 53, apartado 4, del Reglamento de procedimiento, el Tribunal declaró que, según el principio de seguridad jurídica, la norma que permite, con carácter excepcional, introducir rectificaciones de errores evidentes debe interpretarse de forma estricta. Por lo tanto, la modificación de la fecha de expiración de una protección comunitaria de obtención vegetal afectaría al alcance y a la esencia de la resolución de concesión y que, en consecuencia no puede considerarse como una solicitud de corrección de un error lingüístico, un error de transcripción o un error evidente en el sentido del artículo 53, apartado 4, del Reglamento de procedimiento.</w:t>
      </w:r>
    </w:p>
    <w:p w:rsidR="00094AE7" w:rsidRPr="00607DEE" w:rsidRDefault="00094AE7" w:rsidP="00094AE7">
      <w:pPr>
        <w:rPr>
          <w:rFonts w:cs="Arial"/>
        </w:rPr>
      </w:pPr>
    </w:p>
    <w:p w:rsidR="00094AE7" w:rsidRPr="00607DEE" w:rsidRDefault="00094AE7" w:rsidP="00094AE7">
      <w:pPr>
        <w:rPr>
          <w:rFonts w:cs="Arial"/>
        </w:rPr>
      </w:pPr>
    </w:p>
    <w:p w:rsidR="00094AE7" w:rsidRPr="00607DEE" w:rsidRDefault="00094AE7" w:rsidP="00094AE7">
      <w:pPr>
        <w:rPr>
          <w:rFonts w:cs="Arial"/>
          <w:i/>
        </w:rPr>
      </w:pPr>
      <w:r>
        <w:rPr>
          <w:i/>
        </w:rPr>
        <w:t>Decisiones prejudiciales</w:t>
      </w:r>
    </w:p>
    <w:p w:rsidR="00094AE7" w:rsidRPr="00607DEE" w:rsidRDefault="00094AE7" w:rsidP="00094AE7">
      <w:pPr>
        <w:rPr>
          <w:rFonts w:cs="Arial"/>
        </w:rPr>
      </w:pPr>
    </w:p>
    <w:p w:rsidR="00094AE7" w:rsidRPr="00607DEE" w:rsidRDefault="00094AE7" w:rsidP="00094AE7">
      <w:pPr>
        <w:rPr>
          <w:rFonts w:cs="Arial"/>
          <w:i/>
        </w:rPr>
      </w:pPr>
      <w:r>
        <w:rPr>
          <w:i/>
        </w:rPr>
        <w:t>Sentencia del Tribunal General de 17 de octubre de 2019 en el asunto C-239/18, decisión prejudicial con arreglo al artículo 267 del Tratado de Funcionamiento de la Unión Europea (TFUE)</w:t>
      </w:r>
    </w:p>
    <w:p w:rsidR="00094AE7" w:rsidRPr="00607DEE" w:rsidRDefault="00094AE7" w:rsidP="00094AE7">
      <w:pPr>
        <w:rPr>
          <w:rFonts w:cs="Arial"/>
        </w:rPr>
      </w:pPr>
    </w:p>
    <w:p w:rsidR="00094AE7" w:rsidRPr="00607DEE" w:rsidRDefault="00094AE7" w:rsidP="00094AE7">
      <w:pPr>
        <w:rPr>
          <w:rFonts w:cs="Arial"/>
        </w:rPr>
      </w:pPr>
      <w:r>
        <w:t>Por esta decisión prejudicial, el Tribunal remitente preguntó al Tribunal de Justicia si el derecho a solicitar información a los organismos oficiales, con arreglo al artículo 11, apartado 1, del Reglamento (CE) N.º 1768/95 (Adopción de las normas de la exención agrícola a la protección comunitaria de las obtenciones vegetales), existe en una situación en que la solicitud se refiere exclusivamente a información sobre especies de plantas, sin que dicha solicitud de información también procure obtener la referida a una variedad protegida.</w:t>
      </w:r>
    </w:p>
    <w:p w:rsidR="00094AE7" w:rsidRPr="00607DEE" w:rsidRDefault="00094AE7" w:rsidP="00094AE7">
      <w:pPr>
        <w:rPr>
          <w:rFonts w:cs="Arial"/>
        </w:rPr>
      </w:pPr>
    </w:p>
    <w:p w:rsidR="00094AE7" w:rsidRPr="00607DEE" w:rsidRDefault="00094AE7" w:rsidP="00094AE7">
      <w:pPr>
        <w:rPr>
          <w:rFonts w:cs="Arial"/>
        </w:rPr>
      </w:pPr>
      <w:r>
        <w:t>En el artículo 14 del Reglamento de base se dispone que los agricultores están autorizados a emplear, en sus propias explotaciones, con fines de reproducción o multiplicación en el campo, el producto de la cosecha que hayan obtenido al haber plantado en sus propias explotaciones material de reproducción o multiplicación de una variedad protegida. Los agricultores estarán obligados a pagar al titular del derecho una remuneración justa (que será apreciablemente inferior a la cantidad que se cobre por la producción bajo licencia). Los pequeños agricultores están exentos de esta obligación.</w:t>
      </w:r>
    </w:p>
    <w:p w:rsidR="00094AE7" w:rsidRPr="00607DEE" w:rsidRDefault="00094AE7" w:rsidP="00094AE7">
      <w:pPr>
        <w:rPr>
          <w:rFonts w:cs="Arial"/>
        </w:rPr>
      </w:pPr>
    </w:p>
    <w:p w:rsidR="00094AE7" w:rsidRPr="00607DEE" w:rsidRDefault="00094AE7" w:rsidP="00094AE7">
      <w:pPr>
        <w:rPr>
          <w:rFonts w:cs="Arial"/>
        </w:rPr>
      </w:pPr>
      <w:r>
        <w:t xml:space="preserve">El Tribunal observó que, con arreglo al artículo 11 del Reglamento 1768/1995, el titular de una protección comunitaria de obtención vegetal tiene derecho a solicitar información a los órganos oficiales sobre la utilización real de la variedad protegida. El derecho a la información del que disfruta el titular tiene por objeto garantizar que los agricultores cumplan con su obligación de pagar una remuneración justa. El Tribunal concluyó que el artículo 11, apartado 1, del Reglamento 1768/1995 se interpretará como limitado a la </w:t>
      </w:r>
      <w:r>
        <w:lastRenderedPageBreak/>
        <w:t>exigencia de la denominación concreta de las variedades vegetales protegidas en las solicitudes de información dirigidas a los organismos oficiales.</w:t>
      </w:r>
    </w:p>
    <w:p w:rsidR="00094AE7" w:rsidRPr="00607DEE" w:rsidRDefault="00094AE7" w:rsidP="00094AE7">
      <w:pPr>
        <w:rPr>
          <w:rFonts w:cs="Arial"/>
        </w:rPr>
      </w:pPr>
    </w:p>
    <w:p w:rsidR="00094AE7" w:rsidRPr="00607DEE" w:rsidRDefault="00094AE7" w:rsidP="00094AE7">
      <w:pPr>
        <w:rPr>
          <w:rFonts w:cs="Arial"/>
          <w:i/>
        </w:rPr>
      </w:pPr>
      <w:r>
        <w:rPr>
          <w:i/>
        </w:rPr>
        <w:t>Sentencia del Tribunal de 19 de diciembre de 2019 en el asunto C-176/18, decisión prejudicial con arreglo al artículo 267 del TFUE</w:t>
      </w:r>
    </w:p>
    <w:p w:rsidR="00094AE7" w:rsidRPr="00607DEE" w:rsidRDefault="00094AE7" w:rsidP="00094AE7">
      <w:pPr>
        <w:rPr>
          <w:rFonts w:cs="Arial"/>
        </w:rPr>
      </w:pPr>
    </w:p>
    <w:p w:rsidR="00094AE7" w:rsidRPr="00607DEE" w:rsidRDefault="00094AE7" w:rsidP="00094AE7">
      <w:pPr>
        <w:rPr>
          <w:rFonts w:cs="Arial"/>
        </w:rPr>
      </w:pPr>
      <w:r>
        <w:t>Por una decisión prejudicial de 19 de diciembre de 2019, el Tribunal aclaró el alcance de la protección comunitaria de las obtenciones vegetales, es decir en qué medida los actos relativos al producto de la cosecha de variedades protegidas constituyen una infracción de la protección de las obtenciones vegetales. La sentencia aclara la distinción entre la protección primaria que se aplica a los componentes de una variedad y la protección secundaria del producto de la cosecha, la cual es de índole subsidiaria. De conformidad con el artículo 13, apartado 3, del Reglamento de base, la venta del producto de la cosecha solo puede considerarse un acto de infracción si este se ha obtenido mediante el empleo no autorizado de componentes de la variedad protegida.</w:t>
      </w:r>
    </w:p>
    <w:p w:rsidR="00094AE7" w:rsidRPr="00607DEE" w:rsidRDefault="00094AE7" w:rsidP="00094AE7">
      <w:pPr>
        <w:rPr>
          <w:rFonts w:cs="Arial"/>
        </w:rPr>
      </w:pPr>
    </w:p>
    <w:p w:rsidR="00094AE7" w:rsidRPr="00607DEE" w:rsidRDefault="00094AE7" w:rsidP="00094AE7">
      <w:pPr>
        <w:rPr>
          <w:rFonts w:cs="Arial"/>
        </w:rPr>
      </w:pPr>
      <w:r>
        <w:t>El Tribunal también hizo referencia a la protección proporcionada a los titulares de derechos durante el período de protección provisional (es decir, durante el tiempo transcurrido entre la publicación de la solicitud de protección comunitaria de una obtención vegetal y su concesión) en lo que se refiere a la compra y el cultivo de un material infractor. En el artículo 94 del Reglamento de base se dispone que el titular de una protección comunitaria de obtención vegetal posee derechos exclusivos en relación con las operaciones mencionadas en el artículo 13 del mismo Reglamento. Por otra parte, conforme al artículo 95 del Reglamento de base, cuando estas operaciones infractoras se cometen durante el período de protección provisional, el titular del derecho solo puede solicitar una indemnización razonable. El sistema de indemnización no se corresponde totalmente con el sistema de protección ofrecido después de concedido el derecho. En efecto, el reglamento no hace referencia a la autorización que debe solicitarse al titular. Por lo tanto, durante el período provisional el titular no puede prohibir ninguna de las operaciones mencionadas en el artículo 13 del Reglamento de base por constituir una infracción y solo puede exigir una indemnización razonable después de concedida la protección comunitaria de la obtención vegetal. El concepto de “utilización no autorizada” solo puede estar vinculado a una utilización que el titular podría haber autorizado o prohibido. En consecuencia, en el asunto que nos ocupa, el empleo del producto de la cosecha por el presunto infractor no constituye una utilización no autorizada dado que no existe obligación de solicitar autorización al titular.</w:t>
      </w:r>
    </w:p>
    <w:p w:rsidR="00094AE7" w:rsidRPr="00607DEE" w:rsidRDefault="00094AE7" w:rsidP="00094AE7">
      <w:pPr>
        <w:rPr>
          <w:rFonts w:cs="Arial"/>
        </w:rPr>
      </w:pPr>
    </w:p>
    <w:p w:rsidR="00094AE7" w:rsidRPr="00607DEE" w:rsidRDefault="00094AE7" w:rsidP="00094AE7">
      <w:pPr>
        <w:rPr>
          <w:rFonts w:cs="Arial"/>
        </w:rPr>
      </w:pPr>
      <w:r>
        <w:t>En vista de lo expuesto, los frutos del mandarino cosechados después de la concesión del título no provienen de una utilización no autorizada de los componentes de la variedad, dado que la multiplicación y venta tuvo lugar durante el período de protección provisional y, por lo tanto, no fue posible aplicar el régimen de protección secundaria a dicha conducta. Por el contrario, en el caso de la multiplicación y venta no autorizada de los componentes de la variedad después de la concesión del título, el titular puede invocar la protección secundaria, a condición de que no haya tenido una oportunidad razonable de ejercer sus derechos (este aspecto debe determinarlo un tribunal nacional).</w:t>
      </w:r>
    </w:p>
    <w:p w:rsidR="00094AE7" w:rsidRPr="00607DEE" w:rsidRDefault="00094AE7" w:rsidP="00094AE7">
      <w:pPr>
        <w:rPr>
          <w:rFonts w:cs="Arial"/>
        </w:rPr>
      </w:pPr>
    </w:p>
    <w:p w:rsidR="00094AE7" w:rsidRPr="00607DEE" w:rsidRDefault="00094AE7" w:rsidP="00094AE7">
      <w:pPr>
        <w:rPr>
          <w:rFonts w:cs="Arial"/>
        </w:rPr>
      </w:pPr>
    </w:p>
    <w:p w:rsidR="00094AE7" w:rsidRPr="00607DEE" w:rsidRDefault="00094AE7" w:rsidP="00094AE7">
      <w:pPr>
        <w:rPr>
          <w:rFonts w:cs="Arial"/>
          <w:u w:val="single"/>
        </w:rPr>
      </w:pPr>
      <w:r>
        <w:t>2.</w:t>
      </w:r>
      <w:r>
        <w:tab/>
      </w:r>
      <w:r>
        <w:rPr>
          <w:u w:val="single"/>
        </w:rPr>
        <w:t>Cooperación en el examen</w:t>
      </w:r>
    </w:p>
    <w:p w:rsidR="00094AE7" w:rsidRPr="00607DEE" w:rsidRDefault="00094AE7" w:rsidP="00094AE7">
      <w:pPr>
        <w:rPr>
          <w:rFonts w:cs="Arial"/>
        </w:rPr>
      </w:pPr>
    </w:p>
    <w:p w:rsidR="00094AE7" w:rsidRPr="009E2D41" w:rsidRDefault="00094AE7" w:rsidP="00094AE7">
      <w:pPr>
        <w:rPr>
          <w:rFonts w:cs="Arial"/>
          <w:u w:val="single"/>
        </w:rPr>
      </w:pPr>
      <w:r w:rsidRPr="009E2D41">
        <w:rPr>
          <w:u w:val="single"/>
        </w:rPr>
        <w:t>2.1</w:t>
      </w:r>
      <w:r w:rsidR="009E2D41">
        <w:rPr>
          <w:u w:val="single"/>
        </w:rPr>
        <w:t xml:space="preserve"> </w:t>
      </w:r>
      <w:r w:rsidRPr="009E2D41">
        <w:rPr>
          <w:u w:val="single"/>
        </w:rPr>
        <w:t>Suscripción de nuevos acuerdos</w:t>
      </w:r>
    </w:p>
    <w:p w:rsidR="00094AE7" w:rsidRPr="00607DEE" w:rsidRDefault="00094AE7" w:rsidP="00094AE7">
      <w:pPr>
        <w:rPr>
          <w:rFonts w:cs="Arial"/>
        </w:rPr>
      </w:pPr>
    </w:p>
    <w:p w:rsidR="00094AE7" w:rsidRPr="00607DEE" w:rsidRDefault="00094AE7" w:rsidP="00094AE7">
      <w:pPr>
        <w:rPr>
          <w:rFonts w:cs="Arial"/>
        </w:rPr>
      </w:pPr>
      <w:r>
        <w:t xml:space="preserve">El Consejo de Administración de la OCVV consintió en septiembre de 2019 que la OCVV suscribiera un acuerdo con la Oficina Nacional de Semillas (ONS) de Costa Rica, para encargarse de informes DHE de la variedad “Rose” de </w:t>
      </w:r>
      <w:proofErr w:type="spellStart"/>
      <w:r>
        <w:rPr>
          <w:i/>
        </w:rPr>
        <w:t>Ananas</w:t>
      </w:r>
      <w:proofErr w:type="spellEnd"/>
      <w:r>
        <w:rPr>
          <w:i/>
        </w:rPr>
        <w:t xml:space="preserve"> </w:t>
      </w:r>
      <w:proofErr w:type="spellStart"/>
      <w:r>
        <w:rPr>
          <w:i/>
        </w:rPr>
        <w:t>comosus</w:t>
      </w:r>
      <w:proofErr w:type="spellEnd"/>
      <w:r>
        <w:t>.</w:t>
      </w:r>
    </w:p>
    <w:p w:rsidR="00094AE7" w:rsidRPr="00607DEE" w:rsidRDefault="00094AE7" w:rsidP="00094AE7">
      <w:pPr>
        <w:rPr>
          <w:rFonts w:cs="Arial"/>
        </w:rPr>
      </w:pPr>
    </w:p>
    <w:p w:rsidR="00094AE7" w:rsidRPr="009E2D41" w:rsidRDefault="00094AE7" w:rsidP="00094AE7">
      <w:pPr>
        <w:rPr>
          <w:rFonts w:cs="Arial"/>
          <w:u w:val="single"/>
        </w:rPr>
      </w:pPr>
      <w:r w:rsidRPr="009E2D41">
        <w:rPr>
          <w:u w:val="single"/>
        </w:rPr>
        <w:t>2.2</w:t>
      </w:r>
      <w:r w:rsidR="009E2D41">
        <w:rPr>
          <w:u w:val="single"/>
        </w:rPr>
        <w:t xml:space="preserve"> </w:t>
      </w:r>
      <w:r w:rsidRPr="009E2D41">
        <w:rPr>
          <w:u w:val="single"/>
        </w:rPr>
        <w:t>Modificación de los acuerdos existentes</w:t>
      </w:r>
    </w:p>
    <w:p w:rsidR="00094AE7" w:rsidRPr="00607DEE" w:rsidRDefault="00094AE7" w:rsidP="00094AE7">
      <w:pPr>
        <w:rPr>
          <w:rFonts w:cs="Arial"/>
        </w:rPr>
      </w:pPr>
    </w:p>
    <w:p w:rsidR="00094AE7" w:rsidRPr="00607DEE" w:rsidRDefault="00094AE7" w:rsidP="00094AE7">
      <w:pPr>
        <w:rPr>
          <w:rFonts w:cs="Arial"/>
        </w:rPr>
      </w:pPr>
      <w:r>
        <w:t xml:space="preserve">Se ha ampliado el alcance del acuerdo con el Servicio Nacional de Inspección y Certificación de Semillas (SNICS) de México para efectuar exámenes DHE de la especie </w:t>
      </w:r>
      <w:proofErr w:type="spellStart"/>
      <w:r>
        <w:rPr>
          <w:i/>
        </w:rPr>
        <w:t>Psidium</w:t>
      </w:r>
      <w:proofErr w:type="spellEnd"/>
      <w:r>
        <w:rPr>
          <w:i/>
        </w:rPr>
        <w:t xml:space="preserve"> </w:t>
      </w:r>
      <w:proofErr w:type="spellStart"/>
      <w:r>
        <w:rPr>
          <w:i/>
        </w:rPr>
        <w:t>gujava</w:t>
      </w:r>
      <w:proofErr w:type="spellEnd"/>
      <w:r>
        <w:t>.</w:t>
      </w:r>
    </w:p>
    <w:p w:rsidR="00094AE7" w:rsidRPr="00607DEE" w:rsidRDefault="00094AE7" w:rsidP="00094AE7">
      <w:pPr>
        <w:rPr>
          <w:rFonts w:cs="Arial"/>
        </w:rPr>
      </w:pPr>
    </w:p>
    <w:p w:rsidR="00094AE7" w:rsidRPr="009E2D41" w:rsidRDefault="00094AE7" w:rsidP="00094AE7">
      <w:pPr>
        <w:rPr>
          <w:rFonts w:cs="Arial"/>
          <w:u w:val="single"/>
        </w:rPr>
      </w:pPr>
      <w:r w:rsidRPr="009E2D41">
        <w:rPr>
          <w:u w:val="single"/>
        </w:rPr>
        <w:t>2.3</w:t>
      </w:r>
      <w:r w:rsidR="009E2D41">
        <w:rPr>
          <w:u w:val="single"/>
        </w:rPr>
        <w:t xml:space="preserve"> </w:t>
      </w:r>
      <w:r w:rsidRPr="009E2D41">
        <w:rPr>
          <w:u w:val="single"/>
        </w:rPr>
        <w:t>Memorando de entendimiento con otros países</w:t>
      </w:r>
    </w:p>
    <w:p w:rsidR="00094AE7" w:rsidRPr="00607DEE" w:rsidRDefault="00094AE7" w:rsidP="00094AE7">
      <w:pPr>
        <w:rPr>
          <w:rFonts w:cs="Arial"/>
        </w:rPr>
      </w:pPr>
    </w:p>
    <w:p w:rsidR="00094AE7" w:rsidRPr="00607DEE" w:rsidRDefault="00094AE7" w:rsidP="00094AE7">
      <w:pPr>
        <w:rPr>
          <w:rFonts w:cs="Arial"/>
        </w:rPr>
      </w:pPr>
      <w:r>
        <w:t>Véase el apartado 2.1; aparte de eso, no hay novedades reseñables.</w:t>
      </w:r>
    </w:p>
    <w:p w:rsidR="00094AE7" w:rsidRPr="00607DEE" w:rsidRDefault="00094AE7" w:rsidP="00094AE7">
      <w:pPr>
        <w:rPr>
          <w:rFonts w:cs="Arial"/>
        </w:rPr>
      </w:pPr>
    </w:p>
    <w:p w:rsidR="00094AE7" w:rsidRPr="00607DEE" w:rsidRDefault="00094AE7" w:rsidP="00094AE7">
      <w:pPr>
        <w:rPr>
          <w:rFonts w:cs="Arial"/>
        </w:rPr>
      </w:pPr>
    </w:p>
    <w:p w:rsidR="00094AE7" w:rsidRPr="00607DEE" w:rsidRDefault="00094AE7" w:rsidP="00094AE7">
      <w:pPr>
        <w:rPr>
          <w:rFonts w:cs="Arial"/>
          <w:u w:val="single"/>
        </w:rPr>
      </w:pPr>
      <w:r>
        <w:t>3.</w:t>
      </w:r>
      <w:r>
        <w:tab/>
      </w:r>
      <w:r>
        <w:rPr>
          <w:u w:val="single"/>
        </w:rPr>
        <w:t>Situación en el ámbito administrativo</w:t>
      </w:r>
    </w:p>
    <w:p w:rsidR="00094AE7" w:rsidRPr="00607DEE" w:rsidRDefault="00094AE7" w:rsidP="00094AE7">
      <w:pPr>
        <w:rPr>
          <w:rFonts w:cs="Arial"/>
        </w:rPr>
      </w:pPr>
    </w:p>
    <w:p w:rsidR="00094AE7" w:rsidRDefault="00094AE7" w:rsidP="00094AE7">
      <w:r>
        <w:t>No hay novedades reseñables.</w:t>
      </w:r>
    </w:p>
    <w:p w:rsidR="00094AE7" w:rsidRDefault="00094AE7" w:rsidP="00094AE7"/>
    <w:p w:rsidR="00094AE7" w:rsidRPr="00607DEE" w:rsidRDefault="00094AE7" w:rsidP="00094AE7">
      <w:pPr>
        <w:rPr>
          <w:rFonts w:cs="Arial"/>
        </w:rPr>
      </w:pPr>
    </w:p>
    <w:p w:rsidR="00094AE7" w:rsidRPr="00607DEE" w:rsidRDefault="00094AE7" w:rsidP="00094AE7">
      <w:pPr>
        <w:keepNext/>
        <w:rPr>
          <w:rFonts w:cs="Arial"/>
        </w:rPr>
      </w:pPr>
      <w:r>
        <w:lastRenderedPageBreak/>
        <w:t>4.</w:t>
      </w:r>
      <w:r>
        <w:tab/>
      </w:r>
      <w:r>
        <w:rPr>
          <w:u w:val="single"/>
        </w:rPr>
        <w:t>Situación en el ámbito técnico</w:t>
      </w:r>
    </w:p>
    <w:p w:rsidR="00094AE7" w:rsidRPr="00607DEE" w:rsidRDefault="00094AE7" w:rsidP="00094AE7">
      <w:pPr>
        <w:keepNext/>
        <w:rPr>
          <w:rFonts w:cs="Arial"/>
        </w:rPr>
      </w:pPr>
    </w:p>
    <w:p w:rsidR="00094AE7" w:rsidRPr="00607DEE" w:rsidRDefault="00094AE7" w:rsidP="00094AE7">
      <w:pPr>
        <w:keepNext/>
        <w:rPr>
          <w:rFonts w:cs="Arial"/>
          <w:u w:val="single"/>
        </w:rPr>
      </w:pPr>
      <w:r>
        <w:rPr>
          <w:u w:val="single"/>
        </w:rPr>
        <w:t>4.1 Información sobre el funcionamiento de la protección de las obtenciones vegetales en la Unión Europea</w:t>
      </w:r>
    </w:p>
    <w:p w:rsidR="00094AE7" w:rsidRPr="00607DEE" w:rsidRDefault="00094AE7" w:rsidP="00094AE7">
      <w:pPr>
        <w:keepNext/>
        <w:rPr>
          <w:rFonts w:cs="Arial"/>
        </w:rPr>
      </w:pPr>
    </w:p>
    <w:p w:rsidR="00094AE7" w:rsidRPr="00607DEE" w:rsidRDefault="00094AE7" w:rsidP="00094AE7">
      <w:pPr>
        <w:keepNext/>
        <w:rPr>
          <w:rFonts w:cs="Arial"/>
          <w:u w:val="single"/>
        </w:rPr>
      </w:pPr>
      <w:r>
        <w:rPr>
          <w:u w:val="single"/>
        </w:rPr>
        <w:t>a. Relación con las oficinas de examen</w:t>
      </w:r>
    </w:p>
    <w:p w:rsidR="00094AE7" w:rsidRPr="00607DEE" w:rsidRDefault="00094AE7" w:rsidP="00094AE7">
      <w:pPr>
        <w:keepNext/>
        <w:rPr>
          <w:rFonts w:cs="Arial"/>
        </w:rPr>
      </w:pPr>
    </w:p>
    <w:p w:rsidR="00094AE7" w:rsidRPr="00607DEE" w:rsidRDefault="00094AE7" w:rsidP="00094AE7">
      <w:pPr>
        <w:rPr>
          <w:rFonts w:cs="Arial"/>
        </w:rPr>
      </w:pPr>
      <w:r>
        <w:t>En diciembre de 2019, la OCVV celebró su vigesimotercera reunión anual con sus oficinas de examen, a la que también asistieron representantes de la Comisión Europea, la Oficina de la UPOV, la Oficina Suiza de Protección de las Obtenciones Vegetales y las organizaciones de obtentores (</w:t>
      </w:r>
      <w:proofErr w:type="spellStart"/>
      <w:r>
        <w:t>Euroseed</w:t>
      </w:r>
      <w:proofErr w:type="spellEnd"/>
      <w:r>
        <w:t xml:space="preserve">, CIOPORA, </w:t>
      </w:r>
      <w:proofErr w:type="spellStart"/>
      <w:r>
        <w:t>Plantum</w:t>
      </w:r>
      <w:proofErr w:type="spellEnd"/>
      <w:r>
        <w:t xml:space="preserve"> y el Consorcio Europeo de Fitomejoramiento Ecológico (ECO-PB)). Los principales temas tratados fueron los siguientes:</w:t>
      </w:r>
    </w:p>
    <w:p w:rsidR="00094AE7" w:rsidRPr="00607DEE" w:rsidRDefault="00094AE7" w:rsidP="00094AE7">
      <w:pPr>
        <w:rPr>
          <w:rFonts w:cs="Arial"/>
        </w:rPr>
      </w:pPr>
    </w:p>
    <w:p w:rsidR="00094AE7" w:rsidRPr="00607DEE" w:rsidRDefault="00094AE7" w:rsidP="00094AE7">
      <w:pPr>
        <w:numPr>
          <w:ilvl w:val="0"/>
          <w:numId w:val="7"/>
        </w:numPr>
        <w:ind w:left="567" w:hanging="283"/>
        <w:rPr>
          <w:rFonts w:cs="Arial"/>
        </w:rPr>
      </w:pPr>
      <w:r>
        <w:t>toma de fotografías cuando se accede a los ensayos DHE para inspección y recogida de muestras</w:t>
      </w:r>
    </w:p>
    <w:p w:rsidR="00094AE7" w:rsidRPr="00607DEE" w:rsidRDefault="00094AE7" w:rsidP="00094AE7">
      <w:pPr>
        <w:numPr>
          <w:ilvl w:val="0"/>
          <w:numId w:val="7"/>
        </w:numPr>
        <w:ind w:left="567" w:hanging="283"/>
        <w:rPr>
          <w:rFonts w:cs="Arial"/>
        </w:rPr>
      </w:pPr>
      <w:r>
        <w:t>repercusión de la normativa fitosanitaria en los requisitos de suministro de material vegetal</w:t>
      </w:r>
    </w:p>
    <w:p w:rsidR="00094AE7" w:rsidRPr="00607DEE" w:rsidRDefault="00094AE7" w:rsidP="00094AE7">
      <w:pPr>
        <w:numPr>
          <w:ilvl w:val="0"/>
          <w:numId w:val="7"/>
        </w:numPr>
        <w:ind w:left="567" w:hanging="283"/>
        <w:rPr>
          <w:rFonts w:cs="Arial"/>
        </w:rPr>
      </w:pPr>
      <w:r>
        <w:t>revisión del procedimiento de verificación técnica</w:t>
      </w:r>
    </w:p>
    <w:p w:rsidR="00094AE7" w:rsidRPr="00607DEE" w:rsidRDefault="00094AE7" w:rsidP="00094AE7">
      <w:pPr>
        <w:numPr>
          <w:ilvl w:val="0"/>
          <w:numId w:val="7"/>
        </w:numPr>
        <w:ind w:left="567" w:hanging="283"/>
        <w:rPr>
          <w:rFonts w:cs="Arial"/>
        </w:rPr>
      </w:pPr>
      <w:r>
        <w:t>procedimiento relativo a la posible reivindicación de competencia de las oficinas de examen anterior al momento de la decisión de encargo de exámenes</w:t>
      </w:r>
    </w:p>
    <w:p w:rsidR="00094AE7" w:rsidRPr="00607DEE" w:rsidRDefault="00094AE7" w:rsidP="00094AE7">
      <w:pPr>
        <w:numPr>
          <w:ilvl w:val="0"/>
          <w:numId w:val="7"/>
        </w:numPr>
        <w:ind w:left="567" w:hanging="283"/>
        <w:rPr>
          <w:rFonts w:cs="Arial"/>
        </w:rPr>
      </w:pPr>
      <w:r>
        <w:t>revisión de la política de encargo en lo referente a las especies sin solicitudes a la OCVV</w:t>
      </w:r>
    </w:p>
    <w:p w:rsidR="00094AE7" w:rsidRPr="00607DEE" w:rsidRDefault="00094AE7" w:rsidP="00094AE7">
      <w:pPr>
        <w:numPr>
          <w:ilvl w:val="0"/>
          <w:numId w:val="7"/>
        </w:numPr>
        <w:ind w:left="567" w:hanging="283"/>
        <w:rPr>
          <w:rFonts w:cs="Arial"/>
        </w:rPr>
      </w:pPr>
      <w:r>
        <w:t>estudio de la situación de los caracteres observados solo una vez en cultivos con exámenes plurianuales</w:t>
      </w:r>
    </w:p>
    <w:p w:rsidR="00094AE7" w:rsidRPr="00607DEE" w:rsidRDefault="00094AE7" w:rsidP="00094AE7">
      <w:pPr>
        <w:numPr>
          <w:ilvl w:val="0"/>
          <w:numId w:val="7"/>
        </w:numPr>
        <w:ind w:left="567" w:hanging="283"/>
        <w:rPr>
          <w:rFonts w:cs="Arial"/>
        </w:rPr>
      </w:pPr>
      <w:r>
        <w:t>formación técnica para los encargados del examen DHE</w:t>
      </w:r>
    </w:p>
    <w:p w:rsidR="00094AE7" w:rsidRPr="00607DEE" w:rsidRDefault="00094AE7" w:rsidP="00094AE7">
      <w:pPr>
        <w:numPr>
          <w:ilvl w:val="0"/>
          <w:numId w:val="7"/>
        </w:numPr>
        <w:ind w:left="567" w:hanging="283"/>
        <w:rPr>
          <w:rFonts w:cs="Arial"/>
        </w:rPr>
      </w:pPr>
      <w:r>
        <w:t>actualización del acuerdo de habilitación en lo relativo a la protección de datos y la política antifraude debate sobre las modificaciones de la cláusula de responsabilidad y de los plazos para los informes preliminares en determinados sectores agrícolas</w:t>
      </w:r>
    </w:p>
    <w:p w:rsidR="00094AE7" w:rsidRPr="00607DEE" w:rsidRDefault="00094AE7" w:rsidP="00094AE7">
      <w:pPr>
        <w:numPr>
          <w:ilvl w:val="0"/>
          <w:numId w:val="7"/>
        </w:numPr>
        <w:ind w:left="567" w:hanging="283"/>
        <w:rPr>
          <w:rFonts w:cs="Arial"/>
        </w:rPr>
      </w:pPr>
      <w:r>
        <w:t>cooperación con la EUIPO y la OEP</w:t>
      </w:r>
    </w:p>
    <w:p w:rsidR="00094AE7" w:rsidRPr="00607DEE" w:rsidRDefault="00094AE7" w:rsidP="00094AE7">
      <w:pPr>
        <w:numPr>
          <w:ilvl w:val="0"/>
          <w:numId w:val="7"/>
        </w:numPr>
        <w:ind w:left="567" w:hanging="283"/>
        <w:rPr>
          <w:rFonts w:cs="Arial"/>
        </w:rPr>
      </w:pPr>
      <w:r>
        <w:t>información actualizada sobre la jurisprudencia de la Sala de Recurso de la OCVV, el Tribunal General y el Tribunal de Justicia</w:t>
      </w:r>
    </w:p>
    <w:p w:rsidR="00094AE7" w:rsidRPr="00607DEE" w:rsidRDefault="00094AE7" w:rsidP="00094AE7">
      <w:pPr>
        <w:numPr>
          <w:ilvl w:val="0"/>
          <w:numId w:val="7"/>
        </w:numPr>
        <w:ind w:left="567" w:hanging="283"/>
        <w:rPr>
          <w:rFonts w:cs="Arial"/>
        </w:rPr>
      </w:pPr>
      <w:r>
        <w:t>puesta al día en I+D</w:t>
      </w:r>
    </w:p>
    <w:p w:rsidR="00094AE7" w:rsidRPr="00607DEE" w:rsidRDefault="00094AE7" w:rsidP="00094AE7">
      <w:pPr>
        <w:rPr>
          <w:rFonts w:cs="Arial"/>
        </w:rPr>
      </w:pPr>
    </w:p>
    <w:p w:rsidR="00094AE7" w:rsidRPr="00607DEE" w:rsidRDefault="00094AE7" w:rsidP="00094AE7">
      <w:pPr>
        <w:rPr>
          <w:rFonts w:cs="Arial"/>
          <w:u w:val="single"/>
        </w:rPr>
      </w:pPr>
      <w:r>
        <w:rPr>
          <w:u w:val="single"/>
        </w:rPr>
        <w:t>b. Preparación de los protocolos de la OCVV</w:t>
      </w:r>
    </w:p>
    <w:p w:rsidR="00094AE7" w:rsidRPr="00607DEE" w:rsidRDefault="00094AE7" w:rsidP="00094AE7">
      <w:pPr>
        <w:rPr>
          <w:rFonts w:cs="Arial"/>
        </w:rPr>
      </w:pPr>
    </w:p>
    <w:p w:rsidR="00094AE7" w:rsidRPr="00607DEE" w:rsidRDefault="00094AE7" w:rsidP="00094AE7">
      <w:pPr>
        <w:rPr>
          <w:rFonts w:cs="Arial"/>
        </w:rPr>
      </w:pPr>
      <w:r>
        <w:t>En 2019 y 2020, se invitó a los expertos de las oficinas de examen de los Estados miembros de la Unión Europea a participar en la elaboración o la revisión de los protocolos técnicos para el examen DHE que posteriormente el Consejo de Administración ha aprobado o se prevé que lo haga en 2021. Se celebraron reuniones de expertos para examinar los protocolos técnicos correspondientes a:</w:t>
      </w:r>
    </w:p>
    <w:p w:rsidR="00094AE7" w:rsidRPr="00607DEE" w:rsidRDefault="00094AE7" w:rsidP="00094AE7">
      <w:pPr>
        <w:rPr>
          <w:rFonts w:cs="Arial"/>
        </w:rPr>
      </w:pPr>
    </w:p>
    <w:p w:rsidR="00094AE7" w:rsidRPr="00607DEE" w:rsidRDefault="00094AE7" w:rsidP="00094AE7">
      <w:pPr>
        <w:numPr>
          <w:ilvl w:val="0"/>
          <w:numId w:val="7"/>
        </w:numPr>
        <w:ind w:left="567" w:hanging="283"/>
        <w:rPr>
          <w:rFonts w:cs="Arial"/>
        </w:rPr>
      </w:pPr>
      <w:r>
        <w:t xml:space="preserve">especies agrícolas: alfalfa, avena, </w:t>
      </w:r>
      <w:proofErr w:type="spellStart"/>
      <w:r>
        <w:t>dactilo</w:t>
      </w:r>
      <w:proofErr w:type="spellEnd"/>
      <w:r>
        <w:t>, semilla verdadera de papa/patata</w:t>
      </w:r>
    </w:p>
    <w:p w:rsidR="00094AE7" w:rsidRPr="00607DEE" w:rsidRDefault="00094AE7" w:rsidP="00094AE7">
      <w:pPr>
        <w:numPr>
          <w:ilvl w:val="0"/>
          <w:numId w:val="7"/>
        </w:numPr>
        <w:ind w:left="567" w:hanging="283"/>
        <w:rPr>
          <w:rFonts w:cs="Arial"/>
        </w:rPr>
      </w:pPr>
      <w:r>
        <w:t xml:space="preserve">especies hortícolas: lechuga, achicoria de hoja, achicoria industrial, tomate y </w:t>
      </w:r>
      <w:proofErr w:type="spellStart"/>
      <w:r>
        <w:t>portainjertos</w:t>
      </w:r>
      <w:proofErr w:type="spellEnd"/>
      <w:r>
        <w:t xml:space="preserve"> de tomate.</w:t>
      </w:r>
    </w:p>
    <w:p w:rsidR="00094AE7" w:rsidRPr="00607DEE" w:rsidRDefault="00094AE7" w:rsidP="00094AE7">
      <w:pPr>
        <w:numPr>
          <w:ilvl w:val="0"/>
          <w:numId w:val="7"/>
        </w:numPr>
        <w:ind w:left="567" w:hanging="283"/>
        <w:rPr>
          <w:rFonts w:cs="Arial"/>
        </w:rPr>
      </w:pPr>
      <w:r>
        <w:t xml:space="preserve">especies ornamentales: </w:t>
      </w:r>
      <w:proofErr w:type="spellStart"/>
      <w:r>
        <w:rPr>
          <w:i/>
          <w:u w:val="single"/>
        </w:rPr>
        <w:t>Guzmania</w:t>
      </w:r>
      <w:proofErr w:type="spellEnd"/>
      <w:r>
        <w:rPr>
          <w:u w:val="single"/>
        </w:rPr>
        <w:t xml:space="preserve">, </w:t>
      </w:r>
      <w:r>
        <w:rPr>
          <w:i/>
          <w:u w:val="single"/>
        </w:rPr>
        <w:t>Lobelia</w:t>
      </w:r>
      <w:r>
        <w:rPr>
          <w:u w:val="single"/>
        </w:rPr>
        <w:t xml:space="preserve">, </w:t>
      </w:r>
      <w:proofErr w:type="spellStart"/>
      <w:r>
        <w:rPr>
          <w:i/>
          <w:u w:val="single"/>
        </w:rPr>
        <w:t>Geranium</w:t>
      </w:r>
      <w:proofErr w:type="spellEnd"/>
      <w:r>
        <w:rPr>
          <w:u w:val="single"/>
        </w:rPr>
        <w:t xml:space="preserve"> y </w:t>
      </w:r>
      <w:proofErr w:type="spellStart"/>
      <w:r>
        <w:rPr>
          <w:i/>
          <w:u w:val="single"/>
        </w:rPr>
        <w:t>Callistephus</w:t>
      </w:r>
      <w:proofErr w:type="spellEnd"/>
      <w:r>
        <w:rPr>
          <w:i/>
          <w:u w:val="single"/>
        </w:rPr>
        <w:t xml:space="preserve"> </w:t>
      </w:r>
      <w:proofErr w:type="spellStart"/>
      <w:r>
        <w:rPr>
          <w:i/>
          <w:u w:val="single"/>
        </w:rPr>
        <w:t>chinensis</w:t>
      </w:r>
      <w:proofErr w:type="spellEnd"/>
    </w:p>
    <w:p w:rsidR="00094AE7" w:rsidRPr="00607DEE" w:rsidRDefault="00094AE7" w:rsidP="00094AE7">
      <w:pPr>
        <w:numPr>
          <w:ilvl w:val="0"/>
          <w:numId w:val="7"/>
        </w:numPr>
        <w:ind w:left="567" w:hanging="283"/>
        <w:rPr>
          <w:rFonts w:cs="Arial"/>
        </w:rPr>
      </w:pPr>
      <w:r>
        <w:t xml:space="preserve">especies frutales: </w:t>
      </w:r>
      <w:proofErr w:type="spellStart"/>
      <w:r>
        <w:rPr>
          <w:i/>
        </w:rPr>
        <w:t>Ribes</w:t>
      </w:r>
      <w:proofErr w:type="spellEnd"/>
      <w:r>
        <w:rPr>
          <w:i/>
        </w:rPr>
        <w:t xml:space="preserve"> uva-crispa</w:t>
      </w:r>
      <w:r>
        <w:t>.</w:t>
      </w:r>
    </w:p>
    <w:p w:rsidR="00094AE7" w:rsidRPr="00607DEE" w:rsidRDefault="00094AE7" w:rsidP="00094AE7">
      <w:pPr>
        <w:rPr>
          <w:rFonts w:cs="Arial"/>
        </w:rPr>
      </w:pPr>
    </w:p>
    <w:p w:rsidR="00094AE7" w:rsidRPr="009E2D41" w:rsidRDefault="00094AE7" w:rsidP="00094AE7">
      <w:pPr>
        <w:rPr>
          <w:rFonts w:cs="Arial"/>
          <w:u w:val="single"/>
        </w:rPr>
      </w:pPr>
      <w:r w:rsidRPr="009E2D41">
        <w:rPr>
          <w:u w:val="single"/>
        </w:rPr>
        <w:t>c.</w:t>
      </w:r>
      <w:r w:rsidR="009E2D41">
        <w:rPr>
          <w:u w:val="single"/>
        </w:rPr>
        <w:t xml:space="preserve"> </w:t>
      </w:r>
      <w:r w:rsidRPr="009E2D41">
        <w:rPr>
          <w:u w:val="single"/>
        </w:rPr>
        <w:t xml:space="preserve">Novedades relativas a la base de datos </w:t>
      </w:r>
      <w:proofErr w:type="spellStart"/>
      <w:r w:rsidRPr="009E2D41">
        <w:rPr>
          <w:u w:val="single"/>
        </w:rPr>
        <w:t>Variety</w:t>
      </w:r>
      <w:proofErr w:type="spellEnd"/>
      <w:r w:rsidRPr="009E2D41">
        <w:rPr>
          <w:u w:val="single"/>
        </w:rPr>
        <w:t xml:space="preserve"> </w:t>
      </w:r>
      <w:proofErr w:type="spellStart"/>
      <w:r w:rsidRPr="009E2D41">
        <w:rPr>
          <w:u w:val="single"/>
        </w:rPr>
        <w:t>Finder</w:t>
      </w:r>
      <w:proofErr w:type="spellEnd"/>
      <w:r w:rsidRPr="009E2D41">
        <w:rPr>
          <w:u w:val="single"/>
        </w:rPr>
        <w:t xml:space="preserve"> de la OCVV</w:t>
      </w:r>
    </w:p>
    <w:p w:rsidR="00094AE7" w:rsidRPr="00607DEE" w:rsidRDefault="00094AE7" w:rsidP="00094AE7">
      <w:pPr>
        <w:rPr>
          <w:rFonts w:cs="Arial"/>
        </w:rPr>
      </w:pPr>
    </w:p>
    <w:p w:rsidR="00094AE7" w:rsidRPr="00607DEE" w:rsidRDefault="00094AE7" w:rsidP="00094AE7">
      <w:pPr>
        <w:rPr>
          <w:rFonts w:cs="Arial"/>
        </w:rPr>
      </w:pPr>
      <w:r>
        <w:t xml:space="preserve">La base de datos en Internet </w:t>
      </w:r>
      <w:proofErr w:type="spellStart"/>
      <w:r>
        <w:t>Variety</w:t>
      </w:r>
      <w:proofErr w:type="spellEnd"/>
      <w:r>
        <w:t xml:space="preserve"> </w:t>
      </w:r>
      <w:proofErr w:type="spellStart"/>
      <w:r>
        <w:t>Finder</w:t>
      </w:r>
      <w:proofErr w:type="spellEnd"/>
      <w:r>
        <w:t xml:space="preserve"> de la OCVV, mantenida y desarrollada por esta Oficina desde 2005, contiene información sobre los registros de más de 70 países y cuenta con una herramienta de búsqueda general. También incluye un instrumento de búsqueda de similitud para comprobar la admisibilidad de las denominaciones. La norma general es actualizar la base de datos en cuanto se publican oficialmente los datos. Se ha firmado un memorando de entendimiento con la UPOV para compartir las tareas de recopilación de datos de los Estados miembros de la Unión Europea y de terceros países y garantizar un intercambio periódico de datos.</w:t>
      </w:r>
    </w:p>
    <w:p w:rsidR="00094AE7" w:rsidRPr="00607DEE" w:rsidRDefault="00094AE7" w:rsidP="00094AE7">
      <w:pPr>
        <w:rPr>
          <w:rFonts w:cs="Arial"/>
        </w:rPr>
      </w:pPr>
    </w:p>
    <w:p w:rsidR="00094AE7" w:rsidRPr="00607DEE" w:rsidRDefault="00094AE7" w:rsidP="00094AE7">
      <w:pPr>
        <w:rPr>
          <w:rFonts w:cs="Arial"/>
        </w:rPr>
      </w:pPr>
      <w:proofErr w:type="spellStart"/>
      <w:r>
        <w:t>Variety</w:t>
      </w:r>
      <w:proofErr w:type="spellEnd"/>
      <w:r>
        <w:t xml:space="preserve"> </w:t>
      </w:r>
      <w:proofErr w:type="spellStart"/>
      <w:r>
        <w:t>Finder</w:t>
      </w:r>
      <w:proofErr w:type="spellEnd"/>
      <w:r>
        <w:t xml:space="preserve"> contiene más de un millón de inscripciones de los miembros de la Unión Europea y de la UPOV. El uso de </w:t>
      </w:r>
      <w:proofErr w:type="spellStart"/>
      <w:r>
        <w:t>Variety</w:t>
      </w:r>
      <w:proofErr w:type="spellEnd"/>
      <w:r>
        <w:t xml:space="preserve"> </w:t>
      </w:r>
      <w:proofErr w:type="spellStart"/>
      <w:r>
        <w:t>Finder</w:t>
      </w:r>
      <w:proofErr w:type="spellEnd"/>
      <w:r>
        <w:t xml:space="preserve"> ha aumentado sin cesar en los últimos años. Los clientes de la OCVV constituyen el mayor grupo de usuarios y las comprobaciones de similitud que ejecutan representan más del 50% del total. Cada año se ejecutan aproximadamente 80.000 comprobaciones de similitud de denominaciones.</w:t>
      </w:r>
    </w:p>
    <w:p w:rsidR="00094AE7" w:rsidRPr="00607DEE" w:rsidRDefault="00094AE7" w:rsidP="00094AE7">
      <w:pPr>
        <w:rPr>
          <w:rFonts w:cs="Arial"/>
        </w:rPr>
      </w:pPr>
    </w:p>
    <w:p w:rsidR="00094AE7" w:rsidRDefault="00094AE7" w:rsidP="00094AE7">
      <w:r>
        <w:t>En el gráfico siguiente se ofrece un panorama del contenido de la base de datos, con el número total de inscripciones por cada tipo de registro.</w:t>
      </w:r>
    </w:p>
    <w:p w:rsidR="00094AE7" w:rsidRDefault="00094AE7" w:rsidP="00094AE7"/>
    <w:p w:rsidR="00094AE7" w:rsidRDefault="00094AE7" w:rsidP="00094AE7">
      <w:pPr>
        <w:jc w:val="center"/>
      </w:pPr>
      <w:r>
        <w:rPr>
          <w:noProof/>
          <w:lang w:val="en-US"/>
        </w:rPr>
        <w:lastRenderedPageBreak/>
        <w:drawing>
          <wp:inline distT="0" distB="0" distL="0" distR="0" wp14:anchorId="74407E52" wp14:editId="693B0C2B">
            <wp:extent cx="5389245" cy="3103245"/>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89245" cy="3103245"/>
                    </a:xfrm>
                    <a:prstGeom prst="rect">
                      <a:avLst/>
                    </a:prstGeom>
                    <a:noFill/>
                  </pic:spPr>
                </pic:pic>
              </a:graphicData>
            </a:graphic>
          </wp:inline>
        </w:drawing>
      </w:r>
    </w:p>
    <w:p w:rsidR="00094AE7" w:rsidRPr="00607DEE" w:rsidRDefault="00094AE7" w:rsidP="00094AE7">
      <w:pPr>
        <w:rPr>
          <w:rFonts w:cs="Arial"/>
        </w:rPr>
      </w:pPr>
    </w:p>
    <w:p w:rsidR="00094AE7" w:rsidRPr="00607DEE" w:rsidRDefault="00094AE7" w:rsidP="00094AE7">
      <w:pPr>
        <w:rPr>
          <w:rFonts w:cs="Arial"/>
        </w:rPr>
      </w:pPr>
    </w:p>
    <w:p w:rsidR="00094AE7" w:rsidRPr="009E2D41" w:rsidRDefault="00094AE7" w:rsidP="00094AE7">
      <w:pPr>
        <w:keepNext/>
        <w:rPr>
          <w:rFonts w:cs="Arial"/>
          <w:u w:val="single"/>
        </w:rPr>
      </w:pPr>
      <w:r w:rsidRPr="009E2D41">
        <w:rPr>
          <w:u w:val="single"/>
        </w:rPr>
        <w:t>d.</w:t>
      </w:r>
      <w:r w:rsidR="009E2D41">
        <w:rPr>
          <w:u w:val="single"/>
        </w:rPr>
        <w:t xml:space="preserve"> </w:t>
      </w:r>
      <w:r w:rsidRPr="009E2D41">
        <w:rPr>
          <w:u w:val="single"/>
        </w:rPr>
        <w:t>Cooperación en la comprobación de denominaciones con los Estados miembros de la Unión Europea</w:t>
      </w:r>
    </w:p>
    <w:p w:rsidR="00094AE7" w:rsidRPr="00607DEE" w:rsidRDefault="00094AE7" w:rsidP="00094AE7">
      <w:pPr>
        <w:keepNext/>
        <w:rPr>
          <w:rFonts w:cs="Arial"/>
        </w:rPr>
      </w:pPr>
    </w:p>
    <w:p w:rsidR="00094AE7" w:rsidRPr="00607DEE" w:rsidRDefault="00094AE7" w:rsidP="00094AE7">
      <w:pPr>
        <w:keepNext/>
        <w:rPr>
          <w:rFonts w:cs="Arial"/>
        </w:rPr>
      </w:pPr>
      <w:r>
        <w:t>Número de peticiones de asesoramiento recibidas y autoridades nacionales participantes al 31 de diciembre (2012-2019)</w:t>
      </w:r>
    </w:p>
    <w:p w:rsidR="00094AE7" w:rsidRPr="00607DEE" w:rsidRDefault="00094AE7" w:rsidP="00094AE7">
      <w:pPr>
        <w:keepNext/>
        <w:rPr>
          <w:rFonts w:cs="Arial"/>
        </w:rPr>
      </w:pPr>
    </w:p>
    <w:p w:rsidR="00094AE7" w:rsidRPr="00607DEE" w:rsidRDefault="00094AE7" w:rsidP="00094AE7">
      <w:pPr>
        <w:jc w:val="center"/>
        <w:rPr>
          <w:rFonts w:cs="Arial"/>
        </w:rPr>
      </w:pPr>
      <w:r>
        <w:rPr>
          <w:rFonts w:cs="Arial"/>
          <w:noProof/>
          <w:lang w:val="en-US"/>
        </w:rPr>
        <w:drawing>
          <wp:inline distT="0" distB="0" distL="0" distR="0" wp14:anchorId="194EBB8B" wp14:editId="7C7D88E0">
            <wp:extent cx="5456555" cy="32740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56555" cy="3274060"/>
                    </a:xfrm>
                    <a:prstGeom prst="rect">
                      <a:avLst/>
                    </a:prstGeom>
                    <a:noFill/>
                  </pic:spPr>
                </pic:pic>
              </a:graphicData>
            </a:graphic>
          </wp:inline>
        </w:drawing>
      </w:r>
    </w:p>
    <w:p w:rsidR="00094AE7" w:rsidRDefault="00094AE7" w:rsidP="00094AE7"/>
    <w:p w:rsidR="00094AE7" w:rsidRDefault="00094AE7" w:rsidP="00094AE7">
      <w:r>
        <w:t>Aunque hubo una ligera caída del número de peticiones de opinión en 2019, la cooperación en las comprobaciones de similitud de las denominaciones ha adquirido una gran vitalidad con el tiempo. Este servicio garantiza la armonización de enfoques y una mayor convergencia en la aplicación y la introducción de las normas de denominación, en beneficio del sistema de protección de las obtenciones vegetales y de las partes interesadas. El servicio en materia de cooperación se basa en un proceso dinámico y colaborativo que permite mantener la capacidad de respuesta en lo que se refiere a la interpretación de las normas y las necesidades de evolución.</w:t>
      </w:r>
    </w:p>
    <w:p w:rsidR="00094AE7" w:rsidRDefault="00094AE7" w:rsidP="00094AE7"/>
    <w:p w:rsidR="00094AE7" w:rsidRDefault="00094AE7" w:rsidP="00094AE7"/>
    <w:p w:rsidR="009E2D41" w:rsidRDefault="009E2D41">
      <w:pPr>
        <w:jc w:val="left"/>
        <w:rPr>
          <w:u w:val="single"/>
        </w:rPr>
      </w:pPr>
      <w:r>
        <w:rPr>
          <w:u w:val="single"/>
        </w:rPr>
        <w:br w:type="page"/>
      </w:r>
    </w:p>
    <w:p w:rsidR="00094AE7" w:rsidRPr="00607DEE" w:rsidRDefault="00094AE7" w:rsidP="00094AE7">
      <w:pPr>
        <w:rPr>
          <w:rFonts w:cs="Arial"/>
          <w:u w:val="single"/>
        </w:rPr>
      </w:pPr>
      <w:r>
        <w:rPr>
          <w:u w:val="single"/>
        </w:rPr>
        <w:lastRenderedPageBreak/>
        <w:t>4.2 Reuniones de expertos en cultivos</w:t>
      </w:r>
    </w:p>
    <w:p w:rsidR="00094AE7" w:rsidRPr="00607DEE" w:rsidRDefault="00094AE7" w:rsidP="00094AE7">
      <w:pPr>
        <w:rPr>
          <w:rFonts w:cs="Arial"/>
        </w:rPr>
      </w:pPr>
    </w:p>
    <w:p w:rsidR="00094AE7" w:rsidRPr="00607DEE" w:rsidRDefault="00094AE7" w:rsidP="00094AE7">
      <w:pPr>
        <w:rPr>
          <w:rFonts w:cs="Arial"/>
        </w:rPr>
      </w:pPr>
      <w:r>
        <w:t>Los días 8 y 9 de octubre de 2019 se celebró una reunión de expertos en plantas agrícolas para examinar los asuntos siguientes:</w:t>
      </w:r>
    </w:p>
    <w:p w:rsidR="00094AE7" w:rsidRPr="00607DEE" w:rsidRDefault="00094AE7" w:rsidP="00094AE7">
      <w:pPr>
        <w:rPr>
          <w:rFonts w:cs="Arial"/>
        </w:rPr>
      </w:pPr>
    </w:p>
    <w:p w:rsidR="00094AE7" w:rsidRPr="00607DEE" w:rsidRDefault="00094AE7" w:rsidP="00094AE7">
      <w:pPr>
        <w:numPr>
          <w:ilvl w:val="0"/>
          <w:numId w:val="7"/>
        </w:numPr>
        <w:ind w:left="567" w:hanging="283"/>
        <w:rPr>
          <w:rFonts w:cs="Arial"/>
        </w:rPr>
      </w:pPr>
      <w:r>
        <w:t>revisión de varios protocolos técnicos y elaboración de nuevos protocolos</w:t>
      </w:r>
    </w:p>
    <w:p w:rsidR="00094AE7" w:rsidRPr="00607DEE" w:rsidRDefault="00094AE7" w:rsidP="00094AE7">
      <w:pPr>
        <w:numPr>
          <w:ilvl w:val="0"/>
          <w:numId w:val="7"/>
        </w:numPr>
        <w:ind w:left="567" w:hanging="283"/>
        <w:rPr>
          <w:rFonts w:cs="Arial"/>
        </w:rPr>
      </w:pPr>
      <w:r>
        <w:t>examen de híbridos de trigo</w:t>
      </w:r>
    </w:p>
    <w:p w:rsidR="00094AE7" w:rsidRPr="00607DEE" w:rsidRDefault="00094AE7" w:rsidP="00094AE7">
      <w:pPr>
        <w:numPr>
          <w:ilvl w:val="0"/>
          <w:numId w:val="7"/>
        </w:numPr>
        <w:ind w:left="567" w:hanging="283"/>
        <w:rPr>
          <w:rFonts w:cs="Arial"/>
        </w:rPr>
      </w:pPr>
      <w:r>
        <w:t>caracteres con una sola observación en cultivos con exámenes plurianuales</w:t>
      </w:r>
    </w:p>
    <w:p w:rsidR="00094AE7" w:rsidRPr="00607DEE" w:rsidRDefault="00094AE7" w:rsidP="00094AE7">
      <w:pPr>
        <w:numPr>
          <w:ilvl w:val="0"/>
          <w:numId w:val="7"/>
        </w:numPr>
        <w:ind w:left="567" w:hanging="283"/>
        <w:rPr>
          <w:rFonts w:cs="Arial"/>
        </w:rPr>
      </w:pPr>
      <w:r>
        <w:t>caracteres VG: requisitos desde la perspectiva jurídica</w:t>
      </w:r>
    </w:p>
    <w:p w:rsidR="00094AE7" w:rsidRPr="00607DEE" w:rsidRDefault="00094AE7" w:rsidP="00094AE7">
      <w:pPr>
        <w:numPr>
          <w:ilvl w:val="0"/>
          <w:numId w:val="7"/>
        </w:numPr>
        <w:ind w:left="567" w:hanging="283"/>
        <w:rPr>
          <w:rFonts w:cs="Arial"/>
        </w:rPr>
      </w:pPr>
      <w:r>
        <w:t>evaluación del riesgo de ciclos de cultivo “no posteriores” en los exámenes plurianuales</w:t>
      </w:r>
    </w:p>
    <w:p w:rsidR="00094AE7" w:rsidRPr="00607DEE" w:rsidRDefault="00094AE7" w:rsidP="00094AE7">
      <w:pPr>
        <w:numPr>
          <w:ilvl w:val="0"/>
          <w:numId w:val="7"/>
        </w:numPr>
        <w:ind w:left="567" w:hanging="283"/>
        <w:rPr>
          <w:rFonts w:cs="Arial"/>
        </w:rPr>
      </w:pPr>
      <w:r>
        <w:t>nuevo reglamento fitosanitario, repercusión en el suministro de material vegetal para el examen DHE</w:t>
      </w:r>
    </w:p>
    <w:p w:rsidR="00094AE7" w:rsidRPr="00607DEE" w:rsidRDefault="00094AE7" w:rsidP="00094AE7">
      <w:pPr>
        <w:numPr>
          <w:ilvl w:val="0"/>
          <w:numId w:val="7"/>
        </w:numPr>
        <w:ind w:left="567" w:hanging="283"/>
        <w:rPr>
          <w:rFonts w:cs="Arial"/>
        </w:rPr>
      </w:pPr>
      <w:r>
        <w:t>situación de los proyectos de I+D, en curso y futuros, en el sector agrícola</w:t>
      </w:r>
    </w:p>
    <w:p w:rsidR="00094AE7" w:rsidRPr="00607DEE" w:rsidRDefault="00094AE7" w:rsidP="00094AE7">
      <w:pPr>
        <w:numPr>
          <w:ilvl w:val="0"/>
          <w:numId w:val="7"/>
        </w:numPr>
        <w:ind w:left="567" w:hanging="283"/>
        <w:rPr>
          <w:rFonts w:cs="Arial"/>
        </w:rPr>
      </w:pPr>
      <w:r>
        <w:t>Examen del maíz</w:t>
      </w:r>
    </w:p>
    <w:p w:rsidR="00094AE7" w:rsidRPr="00607DEE" w:rsidRDefault="00094AE7" w:rsidP="00094AE7">
      <w:pPr>
        <w:rPr>
          <w:rFonts w:cs="Arial"/>
        </w:rPr>
      </w:pPr>
    </w:p>
    <w:p w:rsidR="00094AE7" w:rsidRPr="00607DEE" w:rsidRDefault="00094AE7" w:rsidP="00094AE7">
      <w:pPr>
        <w:rPr>
          <w:rFonts w:cs="Arial"/>
        </w:rPr>
      </w:pPr>
      <w:r>
        <w:t>Los días 2 y 3 de diciembre de 2019 se celebró una reunión de expertos en plantas hortícolas para examinar los asuntos siguientes:</w:t>
      </w:r>
    </w:p>
    <w:p w:rsidR="00094AE7" w:rsidRPr="00607DEE" w:rsidRDefault="00094AE7" w:rsidP="00094AE7">
      <w:pPr>
        <w:rPr>
          <w:rFonts w:cs="Arial"/>
        </w:rPr>
      </w:pPr>
    </w:p>
    <w:p w:rsidR="00094AE7" w:rsidRPr="00607DEE" w:rsidRDefault="00094AE7" w:rsidP="00094AE7">
      <w:pPr>
        <w:numPr>
          <w:ilvl w:val="0"/>
          <w:numId w:val="7"/>
        </w:numPr>
        <w:ind w:left="567" w:hanging="283"/>
        <w:rPr>
          <w:rFonts w:cs="Arial"/>
        </w:rPr>
      </w:pPr>
      <w:r>
        <w:t>revisión de varios protocolos técnicos de especies hortícolas</w:t>
      </w:r>
    </w:p>
    <w:p w:rsidR="00094AE7" w:rsidRPr="00607DEE" w:rsidRDefault="00094AE7" w:rsidP="00094AE7">
      <w:pPr>
        <w:numPr>
          <w:ilvl w:val="0"/>
          <w:numId w:val="7"/>
        </w:numPr>
        <w:ind w:left="567" w:hanging="283"/>
        <w:rPr>
          <w:rFonts w:cs="Arial"/>
        </w:rPr>
      </w:pPr>
      <w:r>
        <w:t>evaluación del riesgo en ciclos de cultivo “no posteriores” en los exámenes plurianuales</w:t>
      </w:r>
    </w:p>
    <w:p w:rsidR="00094AE7" w:rsidRPr="00607DEE" w:rsidRDefault="00094AE7" w:rsidP="00094AE7">
      <w:pPr>
        <w:numPr>
          <w:ilvl w:val="0"/>
          <w:numId w:val="7"/>
        </w:numPr>
        <w:ind w:left="567" w:hanging="283"/>
        <w:rPr>
          <w:rFonts w:cs="Arial"/>
        </w:rPr>
      </w:pPr>
      <w:r>
        <w:t>caracteres VG: requisitos desde la perspectiva jurídica</w:t>
      </w:r>
    </w:p>
    <w:p w:rsidR="00094AE7" w:rsidRPr="00607DEE" w:rsidRDefault="00094AE7" w:rsidP="00094AE7">
      <w:pPr>
        <w:numPr>
          <w:ilvl w:val="0"/>
          <w:numId w:val="7"/>
        </w:numPr>
        <w:ind w:left="567" w:hanging="283"/>
        <w:rPr>
          <w:rFonts w:cs="Arial"/>
        </w:rPr>
      </w:pPr>
      <w:r>
        <w:t>nuevo reglamento fitosanitario, repercusión en el suministro de material vegetal para el examen DHE</w:t>
      </w:r>
    </w:p>
    <w:p w:rsidR="00094AE7" w:rsidRPr="00607DEE" w:rsidRDefault="00094AE7" w:rsidP="00094AE7">
      <w:pPr>
        <w:numPr>
          <w:ilvl w:val="0"/>
          <w:numId w:val="7"/>
        </w:numPr>
        <w:ind w:left="567" w:hanging="283"/>
        <w:rPr>
          <w:rFonts w:cs="Arial"/>
        </w:rPr>
      </w:pPr>
      <w:r>
        <w:t xml:space="preserve">situación de los proyectos de I+D, en curso y futuros, relativos a plantas hortícolas, entre los que lleva a cabo el IMODDUS. </w:t>
      </w:r>
    </w:p>
    <w:p w:rsidR="00094AE7" w:rsidRPr="00607DEE" w:rsidRDefault="00094AE7" w:rsidP="00094AE7"/>
    <w:p w:rsidR="00094AE7" w:rsidRPr="00607DEE" w:rsidRDefault="00094AE7" w:rsidP="00094AE7">
      <w:r>
        <w:t>Los días 24 y 25 de septiembre de 2019 se celebró una reunión de expertos en plantas frutales para examinar los asuntos siguientes, entre otros:</w:t>
      </w:r>
    </w:p>
    <w:p w:rsidR="00094AE7" w:rsidRPr="00607DEE" w:rsidRDefault="00094AE7" w:rsidP="00094AE7"/>
    <w:p w:rsidR="00094AE7" w:rsidRPr="00607DEE" w:rsidRDefault="00094AE7" w:rsidP="00094AE7">
      <w:pPr>
        <w:numPr>
          <w:ilvl w:val="0"/>
          <w:numId w:val="7"/>
        </w:numPr>
        <w:ind w:left="567" w:hanging="283"/>
        <w:rPr>
          <w:rFonts w:cs="Arial"/>
        </w:rPr>
      </w:pPr>
      <w:r>
        <w:t>examen de grupos de mutantes de manzano</w:t>
      </w:r>
    </w:p>
    <w:p w:rsidR="00094AE7" w:rsidRPr="00607DEE" w:rsidRDefault="00094AE7" w:rsidP="00094AE7">
      <w:pPr>
        <w:numPr>
          <w:ilvl w:val="0"/>
          <w:numId w:val="7"/>
        </w:numPr>
        <w:ind w:left="567" w:hanging="283"/>
        <w:rPr>
          <w:rFonts w:cs="Arial"/>
        </w:rPr>
      </w:pPr>
      <w:r>
        <w:t>cuestiones fitosanitarias</w:t>
      </w:r>
    </w:p>
    <w:p w:rsidR="00094AE7" w:rsidRPr="00607DEE" w:rsidRDefault="00094AE7" w:rsidP="00094AE7">
      <w:pPr>
        <w:numPr>
          <w:ilvl w:val="0"/>
          <w:numId w:val="7"/>
        </w:numPr>
        <w:ind w:left="567" w:hanging="283"/>
        <w:rPr>
          <w:rFonts w:cs="Arial"/>
        </w:rPr>
      </w:pPr>
      <w:r>
        <w:t xml:space="preserve">lista de especies que pueden ser objeto de peticiones de aplazamiento del comienzo del examen DHE </w:t>
      </w:r>
    </w:p>
    <w:p w:rsidR="00094AE7" w:rsidRPr="00607DEE" w:rsidRDefault="00094AE7" w:rsidP="00094AE7">
      <w:pPr>
        <w:numPr>
          <w:ilvl w:val="0"/>
          <w:numId w:val="7"/>
        </w:numPr>
        <w:ind w:left="567" w:hanging="283"/>
        <w:rPr>
          <w:rFonts w:cs="Arial"/>
        </w:rPr>
      </w:pPr>
      <w:r>
        <w:t>examen del arándano americano</w:t>
      </w:r>
    </w:p>
    <w:p w:rsidR="00094AE7" w:rsidRPr="00607DEE" w:rsidRDefault="00094AE7" w:rsidP="00094AE7">
      <w:pPr>
        <w:numPr>
          <w:ilvl w:val="0"/>
          <w:numId w:val="7"/>
        </w:numPr>
        <w:ind w:left="567" w:hanging="283"/>
        <w:rPr>
          <w:rFonts w:cs="Arial"/>
        </w:rPr>
      </w:pPr>
      <w:r>
        <w:t>posible almacenamiento de ADN de muestras a efectos de observancia</w:t>
      </w:r>
    </w:p>
    <w:p w:rsidR="00094AE7" w:rsidRPr="00607DEE" w:rsidRDefault="00094AE7" w:rsidP="00094AE7">
      <w:pPr>
        <w:numPr>
          <w:ilvl w:val="0"/>
          <w:numId w:val="7"/>
        </w:numPr>
        <w:ind w:left="567" w:hanging="283"/>
        <w:rPr>
          <w:rFonts w:cs="Arial"/>
        </w:rPr>
      </w:pPr>
      <w:r>
        <w:t>proyectos de I+D relativos a plantas frutales.</w:t>
      </w:r>
    </w:p>
    <w:p w:rsidR="00094AE7" w:rsidRPr="00607DEE" w:rsidRDefault="00094AE7" w:rsidP="00094AE7">
      <w:pPr>
        <w:rPr>
          <w:rFonts w:cs="Arial"/>
        </w:rPr>
      </w:pPr>
    </w:p>
    <w:p w:rsidR="00094AE7" w:rsidRPr="00607DEE" w:rsidRDefault="00094AE7" w:rsidP="00094AE7">
      <w:pPr>
        <w:rPr>
          <w:rFonts w:cs="Arial"/>
        </w:rPr>
      </w:pPr>
      <w:r>
        <w:t>El 14 de noviembre de 2019 se celebró una reunión de expertos en plantas ornamentales para examinar los asuntos siguientes, entre otros:</w:t>
      </w:r>
    </w:p>
    <w:p w:rsidR="00094AE7" w:rsidRPr="00607DEE" w:rsidRDefault="00094AE7" w:rsidP="00094AE7">
      <w:pPr>
        <w:rPr>
          <w:rFonts w:cs="Arial"/>
        </w:rPr>
      </w:pPr>
    </w:p>
    <w:p w:rsidR="00094AE7" w:rsidRPr="00607DEE" w:rsidRDefault="00094AE7" w:rsidP="00094AE7">
      <w:pPr>
        <w:numPr>
          <w:ilvl w:val="0"/>
          <w:numId w:val="7"/>
        </w:numPr>
        <w:ind w:left="567" w:hanging="283"/>
        <w:rPr>
          <w:rFonts w:cs="Arial"/>
        </w:rPr>
      </w:pPr>
      <w:r>
        <w:t>obtención de variedades de referencia para el examen DHE</w:t>
      </w:r>
    </w:p>
    <w:p w:rsidR="00094AE7" w:rsidRPr="00607DEE" w:rsidRDefault="00094AE7" w:rsidP="00094AE7">
      <w:pPr>
        <w:numPr>
          <w:ilvl w:val="0"/>
          <w:numId w:val="7"/>
        </w:numPr>
        <w:ind w:left="567" w:hanging="283"/>
        <w:rPr>
          <w:rFonts w:cs="Arial"/>
        </w:rPr>
      </w:pPr>
      <w:r>
        <w:t>revisión del procedimiento de verificación técnica</w:t>
      </w:r>
    </w:p>
    <w:p w:rsidR="00094AE7" w:rsidRPr="00607DEE" w:rsidRDefault="00094AE7" w:rsidP="00094AE7">
      <w:pPr>
        <w:numPr>
          <w:ilvl w:val="0"/>
          <w:numId w:val="7"/>
        </w:numPr>
        <w:ind w:left="567" w:hanging="283"/>
        <w:rPr>
          <w:rFonts w:cs="Arial"/>
        </w:rPr>
      </w:pPr>
      <w:r>
        <w:t>fuente de material de referencia</w:t>
      </w:r>
    </w:p>
    <w:p w:rsidR="00094AE7" w:rsidRPr="00607DEE" w:rsidRDefault="00094AE7" w:rsidP="00094AE7">
      <w:pPr>
        <w:numPr>
          <w:ilvl w:val="0"/>
          <w:numId w:val="7"/>
        </w:numPr>
        <w:ind w:left="567" w:hanging="283"/>
        <w:rPr>
          <w:rFonts w:cs="Arial"/>
        </w:rPr>
      </w:pPr>
      <w:r>
        <w:t>orientación sobre los umbrales de homogeneidad para las secciones de color con pequeñas variaciones</w:t>
      </w:r>
    </w:p>
    <w:p w:rsidR="00094AE7" w:rsidRPr="00607DEE" w:rsidRDefault="00094AE7" w:rsidP="00094AE7">
      <w:pPr>
        <w:numPr>
          <w:ilvl w:val="0"/>
          <w:numId w:val="7"/>
        </w:numPr>
        <w:ind w:left="567" w:hanging="283"/>
        <w:rPr>
          <w:rFonts w:cs="Arial"/>
        </w:rPr>
      </w:pPr>
      <w:r>
        <w:t>requisitos de un pasaporte vegetal o certificado fitosanitario</w:t>
      </w:r>
    </w:p>
    <w:p w:rsidR="00094AE7" w:rsidRPr="00607DEE" w:rsidRDefault="00094AE7" w:rsidP="00094AE7">
      <w:pPr>
        <w:numPr>
          <w:ilvl w:val="0"/>
          <w:numId w:val="7"/>
        </w:numPr>
        <w:ind w:left="567" w:hanging="283"/>
        <w:rPr>
          <w:rFonts w:cs="Arial"/>
        </w:rPr>
      </w:pPr>
      <w:r>
        <w:t>mención del nombre comercial en los documentos de solicitud y</w:t>
      </w:r>
    </w:p>
    <w:p w:rsidR="00094AE7" w:rsidRPr="00607DEE" w:rsidRDefault="00094AE7" w:rsidP="00094AE7">
      <w:pPr>
        <w:numPr>
          <w:ilvl w:val="0"/>
          <w:numId w:val="7"/>
        </w:numPr>
        <w:ind w:left="567" w:hanging="283"/>
        <w:rPr>
          <w:rFonts w:cs="Arial"/>
        </w:rPr>
      </w:pPr>
      <w:r>
        <w:t xml:space="preserve">noción del final de un examen DHE </w:t>
      </w:r>
    </w:p>
    <w:p w:rsidR="00094AE7" w:rsidRPr="00607DEE" w:rsidRDefault="00094AE7" w:rsidP="00094AE7"/>
    <w:p w:rsidR="00094AE7" w:rsidRPr="009E2D41" w:rsidRDefault="00094AE7" w:rsidP="00094AE7">
      <w:pPr>
        <w:rPr>
          <w:u w:val="single"/>
        </w:rPr>
      </w:pPr>
      <w:r w:rsidRPr="009E2D41">
        <w:rPr>
          <w:u w:val="single"/>
        </w:rPr>
        <w:t>4.3</w:t>
      </w:r>
      <w:r w:rsidR="009E2D41">
        <w:rPr>
          <w:u w:val="single"/>
        </w:rPr>
        <w:t xml:space="preserve"> </w:t>
      </w:r>
      <w:r w:rsidRPr="009E2D41">
        <w:rPr>
          <w:u w:val="single"/>
        </w:rPr>
        <w:t>Servicio de Auditoría de la Calidad (QAS)</w:t>
      </w:r>
    </w:p>
    <w:p w:rsidR="00094AE7" w:rsidRPr="00607DEE" w:rsidRDefault="00094AE7" w:rsidP="00094AE7">
      <w:pPr>
        <w:rPr>
          <w:rFonts w:cs="Arial"/>
        </w:rPr>
      </w:pPr>
    </w:p>
    <w:p w:rsidR="00094AE7" w:rsidRPr="00607DEE" w:rsidRDefault="00094AE7" w:rsidP="00094AE7">
      <w:pPr>
        <w:rPr>
          <w:rFonts w:cs="Arial"/>
        </w:rPr>
      </w:pPr>
      <w:r>
        <w:t>El Servicio de Auditoría de Calidad realizó tres ejercicios de evaluación a sus oficinas de examen acreditadas en la Unión Europea en el segundo semestre de 2019.</w:t>
      </w:r>
    </w:p>
    <w:p w:rsidR="00094AE7" w:rsidRPr="00607DEE" w:rsidRDefault="00094AE7" w:rsidP="00094AE7">
      <w:pPr>
        <w:rPr>
          <w:rFonts w:cs="Arial"/>
        </w:rPr>
      </w:pPr>
    </w:p>
    <w:p w:rsidR="00094AE7" w:rsidRPr="00607DEE" w:rsidRDefault="00094AE7" w:rsidP="00094AE7">
      <w:pPr>
        <w:rPr>
          <w:rFonts w:cs="Arial"/>
        </w:rPr>
      </w:pPr>
      <w:r>
        <w:t xml:space="preserve">El QAS realizó además una labor de consultoría en lo que se refiere a la mejora de la calidad de las actividades de examen DHE para las autoridades de examen de China por medio del programa </w:t>
      </w:r>
      <w:proofErr w:type="spellStart"/>
      <w:r>
        <w:t>IPKey</w:t>
      </w:r>
      <w:proofErr w:type="spellEnd"/>
      <w:r>
        <w:t xml:space="preserve"> China. Como parte de esta labor, en septiembre de 2019, se acogió una semana a los colegas chinos en la Unión Europea para tratar los principios de una auditoría de calidad en el examen DHE y, en octubre de 2019, el equipo del QAS llevó ofreció una actividad de consolidación de una semana de duración a las autoridades de examen chinas en Nanjing y Kunming para la formación </w:t>
      </w:r>
      <w:r>
        <w:rPr>
          <w:i/>
        </w:rPr>
        <w:t>in situ</w:t>
      </w:r>
      <w:r>
        <w:t xml:space="preserve"> de numerosos examinadores DHE.</w:t>
      </w:r>
    </w:p>
    <w:p w:rsidR="00094AE7" w:rsidRPr="00607DEE" w:rsidRDefault="00094AE7" w:rsidP="00094AE7">
      <w:pPr>
        <w:rPr>
          <w:rFonts w:cs="Arial"/>
        </w:rPr>
      </w:pPr>
    </w:p>
    <w:p w:rsidR="00094AE7" w:rsidRPr="00607DEE" w:rsidRDefault="00094AE7" w:rsidP="00094AE7">
      <w:pPr>
        <w:rPr>
          <w:rFonts w:cs="Arial"/>
        </w:rPr>
      </w:pPr>
      <w:r>
        <w:t xml:space="preserve">Otras actividades de formación y consultoría llevadas a cabo por el QAS en la segunda mitad de 2019 fueron las relativas al proyecto OAPI. El equipo del QAS realizó una labor de consultoría </w:t>
      </w:r>
      <w:r>
        <w:rPr>
          <w:i/>
        </w:rPr>
        <w:t>in situ</w:t>
      </w:r>
      <w:r>
        <w:t xml:space="preserve"> en noviembre de 2019 para las autoridades de examen habilitadas por la OAPI en el Camerún y el Senegal y, posteriormente, ofreció recomendaciones a la OAPI sobre las maneras de mejorar la capacidad de examen DHE en ambos países. En febrero de 2020, el QAS realizó más evaluaciones relativas a las capacidades de examen DHE, en ámbito </w:t>
      </w:r>
      <w:r>
        <w:lastRenderedPageBreak/>
        <w:t xml:space="preserve">del programa OAPI, para </w:t>
      </w:r>
      <w:proofErr w:type="spellStart"/>
      <w:r>
        <w:t>Côte</w:t>
      </w:r>
      <w:proofErr w:type="spellEnd"/>
      <w:r>
        <w:t xml:space="preserve"> </w:t>
      </w:r>
      <w:proofErr w:type="spellStart"/>
      <w:r>
        <w:t>d’Ivoire</w:t>
      </w:r>
      <w:proofErr w:type="spellEnd"/>
      <w:r>
        <w:t xml:space="preserve"> y Burkina Faso y también se ofrecieron recomendaciones a la OAPI sobre la manera de integrar a ambos países en su red de examen DHE.</w:t>
      </w:r>
    </w:p>
    <w:p w:rsidR="00094AE7" w:rsidRPr="00607DEE" w:rsidRDefault="00094AE7" w:rsidP="00094AE7">
      <w:pPr>
        <w:rPr>
          <w:rFonts w:cs="Arial"/>
        </w:rPr>
      </w:pPr>
    </w:p>
    <w:p w:rsidR="00094AE7" w:rsidRPr="00607DEE" w:rsidRDefault="00094AE7" w:rsidP="00094AE7">
      <w:pPr>
        <w:rPr>
          <w:rFonts w:cs="Arial"/>
        </w:rPr>
      </w:pPr>
      <w:r>
        <w:t>Como en todas partes, la covid-19 tuvo un gran efecto en las actividades del QAS en el primer semestre de 2020. Durante este período, se había previsto realizar ocho ejercicios de evaluación en oficinas de la UE encargadas del examen; pero debido a las estrictas limitaciones impuestas a los viajes, no pudo realizarse ninguno. En el momento en que se redacta este informe y con la relajación de las restricciones de viaje, se prevé que el QAS pueda llevar a cabo dos ejercicios de evaluación “prioritarios” en la primera mitad de septiembre de 2020. Sin embargo, por motivos prácticos y de seguridad, el resto de las evaluaciones del QAS programadas para 2020 se han aplazado hasta 2021. A finales de septiembre de 2020, también se propondrá al Consejo de Administración de la OCVV que el actual ciclo de evaluación trienal 2019-2021 se prolongue en un año, hasta 2022.</w:t>
      </w:r>
    </w:p>
    <w:p w:rsidR="00094AE7" w:rsidRPr="00607DEE" w:rsidRDefault="00094AE7" w:rsidP="00094AE7">
      <w:pPr>
        <w:rPr>
          <w:rFonts w:cs="Arial"/>
        </w:rPr>
      </w:pPr>
    </w:p>
    <w:p w:rsidR="00094AE7" w:rsidRPr="00607DEE" w:rsidRDefault="00094AE7" w:rsidP="00094AE7">
      <w:pPr>
        <w:rPr>
          <w:rFonts w:cs="Arial"/>
          <w:u w:val="single"/>
        </w:rPr>
      </w:pPr>
      <w:r>
        <w:rPr>
          <w:u w:val="single"/>
        </w:rPr>
        <w:t>4.4 Novedades en materia de tecnologías de la información</w:t>
      </w:r>
    </w:p>
    <w:p w:rsidR="00094AE7" w:rsidRPr="00607DEE" w:rsidRDefault="00094AE7" w:rsidP="00094AE7">
      <w:pPr>
        <w:rPr>
          <w:rFonts w:cs="Arial"/>
        </w:rPr>
      </w:pPr>
    </w:p>
    <w:p w:rsidR="00094AE7" w:rsidRPr="00607DEE" w:rsidRDefault="00094AE7" w:rsidP="00094AE7">
      <w:pPr>
        <w:rPr>
          <w:rFonts w:cs="Arial"/>
        </w:rPr>
      </w:pPr>
      <w:r>
        <w:t>La nueva herramienta de solicitudes en línea de la OCVV se puso en funcionamiento en junio de 2018, lo que ha intensificado el intercambio con los solicitantes. La herramienta también está concebida para que la utilicen los Estados miembros de la Unión Europea a fin de recibir solicitudes nacionales y ha estado plenamente operativa para la lista nacional y las solicitudes de derechos de obtentor de los Países Bajos desde finales de 2019. La labor se centra en la armonización de los cuestionarios técnicos dentro de la Unión Europea para facilitar la transferencia de solicitudes.</w:t>
      </w:r>
    </w:p>
    <w:p w:rsidR="00094AE7" w:rsidRPr="00607DEE" w:rsidRDefault="00094AE7" w:rsidP="00094AE7">
      <w:pPr>
        <w:rPr>
          <w:rFonts w:cs="Arial"/>
        </w:rPr>
      </w:pPr>
    </w:p>
    <w:p w:rsidR="00094AE7" w:rsidRPr="00607DEE" w:rsidRDefault="00094AE7" w:rsidP="00094AE7">
      <w:pPr>
        <w:rPr>
          <w:rFonts w:cs="Arial"/>
        </w:rPr>
      </w:pPr>
      <w:r>
        <w:t>Asimismo, la OCVV puede recibir solicitudes procedentes de UPOV PRISMA, de cualquier especie hortícola, frutal u ornamental, de tal modo que los datos se transmiten directamente a la base de datos interna de la OCVV y no ha de examinarse información en documentos PDF. También puede recibir solicitudes de especies agrícolas, aunque aún no de todas.</w:t>
      </w:r>
    </w:p>
    <w:p w:rsidR="00094AE7" w:rsidRPr="00607DEE" w:rsidRDefault="00094AE7" w:rsidP="00094AE7">
      <w:pPr>
        <w:rPr>
          <w:rFonts w:cs="Arial"/>
        </w:rPr>
      </w:pPr>
    </w:p>
    <w:p w:rsidR="00094AE7" w:rsidRPr="00607DEE" w:rsidRDefault="00094AE7" w:rsidP="00094AE7">
      <w:pPr>
        <w:rPr>
          <w:rFonts w:cs="Arial"/>
        </w:rPr>
      </w:pPr>
    </w:p>
    <w:p w:rsidR="00094AE7" w:rsidRPr="00607DEE" w:rsidRDefault="00094AE7" w:rsidP="00094AE7">
      <w:pPr>
        <w:rPr>
          <w:rFonts w:cs="Arial"/>
          <w:u w:val="single"/>
        </w:rPr>
      </w:pPr>
      <w:r>
        <w:t>5.</w:t>
      </w:r>
      <w:r>
        <w:tab/>
      </w:r>
      <w:r>
        <w:rPr>
          <w:u w:val="single"/>
        </w:rPr>
        <w:t>Actividades para la promoción de la protección de las variedades vegetales</w:t>
      </w:r>
    </w:p>
    <w:p w:rsidR="00094AE7" w:rsidRPr="00607DEE" w:rsidRDefault="00094AE7" w:rsidP="00094AE7">
      <w:pPr>
        <w:rPr>
          <w:rFonts w:cs="Arial"/>
        </w:rPr>
      </w:pPr>
    </w:p>
    <w:p w:rsidR="00094AE7" w:rsidRPr="00607DEE" w:rsidRDefault="00094AE7" w:rsidP="00094AE7">
      <w:pPr>
        <w:rPr>
          <w:rFonts w:cs="Arial"/>
          <w:u w:val="single"/>
        </w:rPr>
      </w:pPr>
      <w:r>
        <w:rPr>
          <w:u w:val="single"/>
        </w:rPr>
        <w:t>Cooperación internacional</w:t>
      </w:r>
    </w:p>
    <w:p w:rsidR="00094AE7" w:rsidRPr="00607DEE" w:rsidRDefault="00094AE7" w:rsidP="00094AE7">
      <w:pPr>
        <w:rPr>
          <w:rFonts w:cs="Arial"/>
        </w:rPr>
      </w:pPr>
    </w:p>
    <w:p w:rsidR="00094AE7" w:rsidRPr="00607DEE" w:rsidRDefault="00094AE7" w:rsidP="00094AE7">
      <w:pPr>
        <w:rPr>
          <w:rFonts w:cs="Arial"/>
        </w:rPr>
      </w:pPr>
      <w:r>
        <w:t>El 4 de octubre de 2017, la OCVV aprobó su estrategia de cooperación internacional en consonancia con la política comercial de la Unión Europea en el ámbito de los derechos de propiedad intelectual, a fin de respaldar la dimensión externa de las políticas de la Unión Europea. En el marco de dicha estrategia, la OCVV adquirió la condición de parte interesada en los proyectos IP Key de cooperación internacional.</w:t>
      </w:r>
    </w:p>
    <w:p w:rsidR="00094AE7" w:rsidRPr="00607DEE" w:rsidRDefault="00094AE7" w:rsidP="00094AE7">
      <w:pPr>
        <w:rPr>
          <w:rFonts w:cs="Arial"/>
        </w:rPr>
      </w:pPr>
    </w:p>
    <w:p w:rsidR="00094AE7" w:rsidRPr="00607DEE" w:rsidRDefault="00094AE7" w:rsidP="00094AE7">
      <w:pPr>
        <w:rPr>
          <w:rFonts w:cs="Arial"/>
        </w:rPr>
      </w:pPr>
      <w:r>
        <w:t xml:space="preserve">Los proyectos IP Key de cooperación internacional son dirigidos por la Comisión Europea y se llevan a cabo en colaboración con la Oficina de Propiedad Intelectual de la Unión Europea (EUIPO) para fortalecer la protección de la propiedad intelectual en China, América Latina y los países de la ASEAN. Entre otras actividades, en el marco de estos proyectos se organizan seminarios y talleres de capacitación recíproca y se facilitan estudios y apoyo jurídico a los países beneficiarios. A continuación se ofrece más información sobre los proyectos </w:t>
      </w:r>
      <w:proofErr w:type="spellStart"/>
      <w:r>
        <w:t>IPKey</w:t>
      </w:r>
      <w:proofErr w:type="spellEnd"/>
      <w:r>
        <w:t>.</w:t>
      </w:r>
    </w:p>
    <w:p w:rsidR="00094AE7" w:rsidRPr="00607DEE" w:rsidRDefault="00094AE7" w:rsidP="00094AE7">
      <w:pPr>
        <w:rPr>
          <w:rFonts w:cs="Arial"/>
        </w:rPr>
      </w:pPr>
    </w:p>
    <w:p w:rsidR="00094AE7" w:rsidRPr="00607DEE" w:rsidRDefault="00094AE7" w:rsidP="00094AE7">
      <w:pPr>
        <w:rPr>
          <w:rFonts w:cs="Arial"/>
        </w:rPr>
      </w:pPr>
      <w:r>
        <w:t xml:space="preserve">En el marco de </w:t>
      </w:r>
      <w:proofErr w:type="spellStart"/>
      <w:r>
        <w:rPr>
          <w:b/>
        </w:rPr>
        <w:t>IPKey</w:t>
      </w:r>
      <w:proofErr w:type="spellEnd"/>
      <w:r>
        <w:rPr>
          <w:b/>
        </w:rPr>
        <w:t xml:space="preserve"> China</w:t>
      </w:r>
      <w:r>
        <w:t>, durante 2019 y tras el Acuerdo administrativo firmado con las autoridades chinas de protección de las obtenciones vegetales en noviembre de 2017, la OCVV organizó varias actividades de formación dirigidas a expertos chinos, en colaboración con las oficinas de examen de Alemania, Francia y los Países Bajos. Estas actividades de formación tuvieron lugar entre junio y noviembre de 2019 en la Unión Europea y China y fueron una excelente ocasión para que los expertos en el examen DHE procedentes de contextos diferentes compartieran sus conocimientos. Los expertos tuvieron la oportunidad de formarse una idea del sistema de derechos de obtentor de la Unión Europea, en especial en lo que se refiere al examen de las solicitudes de protección, las cuestiones técnicas y de procedimiento, dedicando una especial atención a la auditoría de la calidad.</w:t>
      </w:r>
    </w:p>
    <w:p w:rsidR="00094AE7" w:rsidRPr="00607DEE" w:rsidRDefault="00094AE7" w:rsidP="00094AE7">
      <w:pPr>
        <w:rPr>
          <w:rFonts w:cs="Arial"/>
        </w:rPr>
      </w:pPr>
    </w:p>
    <w:p w:rsidR="00094AE7" w:rsidRPr="00607DEE" w:rsidRDefault="00094AE7" w:rsidP="00094AE7">
      <w:pPr>
        <w:rPr>
          <w:rFonts w:cs="Arial"/>
        </w:rPr>
      </w:pPr>
      <w:r>
        <w:t xml:space="preserve">En el marco de </w:t>
      </w:r>
      <w:proofErr w:type="spellStart"/>
      <w:r>
        <w:rPr>
          <w:b/>
        </w:rPr>
        <w:t>IPKey</w:t>
      </w:r>
      <w:proofErr w:type="spellEnd"/>
      <w:r>
        <w:rPr>
          <w:b/>
        </w:rPr>
        <w:t xml:space="preserve"> Asia Sudoriental</w:t>
      </w:r>
      <w:r>
        <w:t xml:space="preserve">, en septiembre de 2019, la OCVV acogió una visita de estudio de alto nivel a la que asistieron funcionarios de Indonesia, Malasia, Tailandia y </w:t>
      </w:r>
      <w:proofErr w:type="spellStart"/>
      <w:r>
        <w:t>Viet</w:t>
      </w:r>
      <w:proofErr w:type="spellEnd"/>
      <w:r>
        <w:t> </w:t>
      </w:r>
      <w:proofErr w:type="spellStart"/>
      <w:r>
        <w:t>Nam</w:t>
      </w:r>
      <w:proofErr w:type="spellEnd"/>
      <w:r>
        <w:t>. La interacción y los debates que los funcionarios de alto nivel mantuvieron con agricultores y obtentores tuvo el propósito de que las autoridades nacionales responsables de la protección de las obtenciones vegetales mejoraran su comprensión de las ventajas que el Acta de 1991 del Convenio de la UPOV y sistemas sólidos de protección de las obtenciones vegetales ofrecen a la agricultura y al desarrollo rural y la seguridad alimentaria.</w:t>
      </w:r>
    </w:p>
    <w:p w:rsidR="00094AE7" w:rsidRPr="00607DEE" w:rsidRDefault="00094AE7" w:rsidP="00094AE7">
      <w:pPr>
        <w:rPr>
          <w:rFonts w:cs="Arial"/>
        </w:rPr>
      </w:pPr>
    </w:p>
    <w:p w:rsidR="00094AE7" w:rsidRPr="00607DEE" w:rsidRDefault="00094AE7" w:rsidP="00094AE7">
      <w:pPr>
        <w:rPr>
          <w:rFonts w:cs="Arial"/>
        </w:rPr>
      </w:pPr>
      <w:r>
        <w:t xml:space="preserve">En lo que respecta a </w:t>
      </w:r>
      <w:proofErr w:type="spellStart"/>
      <w:r>
        <w:rPr>
          <w:b/>
        </w:rPr>
        <w:t>IPKey</w:t>
      </w:r>
      <w:proofErr w:type="spellEnd"/>
      <w:r>
        <w:rPr>
          <w:b/>
        </w:rPr>
        <w:t xml:space="preserve"> América Latina</w:t>
      </w:r>
      <w:r>
        <w:t xml:space="preserve">, en noviembre de 2019, se organizó en el Perú un taller regional sobre cooperación en el examen de las solicitudes de protección de las obtenciones vegetales. El taller tuvo por objeto reforzar la cooperación técnica entre las oficinas de examen de la Argentina, Bolivia (Estado </w:t>
      </w:r>
      <w:r>
        <w:lastRenderedPageBreak/>
        <w:t>Plurinacional de), el Brasil, Chile, Colombia, Costa Rica, el Ecuador, México, Panamá, el Perú y el Uruguay. La actividad fomentó que las oficinas de examen participantes debatieran el empleo de técnicas basadas en marcadores moleculares en el examen DHE y consideraran el reconocimiento mutuo de informes de examen DHE elaborados por otras autoridades a fin de comparar los cuestionarios técnicos empleados para los cultivos principales de la región, con miras a su incorporación a UPOV PRISMA, además de analizar los mejores planteamientos para analizar la novedad y las denominaciones, entre otros asuntos.</w:t>
      </w:r>
    </w:p>
    <w:p w:rsidR="00094AE7" w:rsidRPr="00607DEE" w:rsidRDefault="00094AE7" w:rsidP="00094AE7">
      <w:pPr>
        <w:rPr>
          <w:rFonts w:cs="Arial"/>
        </w:rPr>
      </w:pPr>
    </w:p>
    <w:p w:rsidR="00094AE7" w:rsidRPr="00607DEE" w:rsidRDefault="00094AE7" w:rsidP="00094AE7">
      <w:pPr>
        <w:rPr>
          <w:rFonts w:cs="Arial"/>
        </w:rPr>
      </w:pPr>
      <w:r>
        <w:t xml:space="preserve">En febrero de 2020, se organizaron cuatro actividades en el Ecuador. La primera actividad fue un “Laboratorio de concesión de licencias de protección de obtenciones vegetales” para mejorar los conocimientos sobre las prácticas de concesión de licencias de protección de obtenciones vegetales entre los institutos públicos de investigación y los obtentores privados pequeños y medianos. El objetivo fundamental de esta actividad es la creación de un curso en línea de prácticas de concesión de licencias de protección de obtenciones vegetales. La segunda actividad fue un seminario internacional sobre la aplicación de la protección de las obtenciones vegetales con el objeto de mejorar y promover la sensibilización sobre la protección de las variedades vegetales en América Latina, centrándose en la aplicación de la protección. Los participantes de diferentes países, entre ellos la Argentina, el Brasil, el Ecuador, México, el Perú y el Uruguay, de los sectores público y privado, hicieron aportaciones esclarecedoras al referir sus experiencias, dificultades e ideas sobre la mejor manera de aplicar la protección de las obtenciones vegetales en el ámbito nacional. La tercera actividad fue un taller, dirigido a los expertos técnicos de los países mencionados, sobre la utilización del programa informático GAIA, el cual se espera que mejore los procedimientos de examen DHE de las autoridades de protección de las obtenciones vegetales. El taller estuvo a cargo de dos expertos del GEVES. La cuarta fue una actividad de formación en la protección de las obtenciones vegetales, organizada por la OCVV en colaboración con </w:t>
      </w:r>
      <w:proofErr w:type="spellStart"/>
      <w:r>
        <w:t>IPKey</w:t>
      </w:r>
      <w:proofErr w:type="spellEnd"/>
      <w:r>
        <w:t xml:space="preserve"> y la delegación de la Unión Europea en el Ecuador, para funcionarios de las delegaciones de la Unión Europea en América Latina. Se organizó una visita de estudio a </w:t>
      </w:r>
      <w:proofErr w:type="spellStart"/>
      <w:r>
        <w:t>Plantec</w:t>
      </w:r>
      <w:proofErr w:type="spellEnd"/>
      <w:r>
        <w:t>, una empresa ecuatoriana especializada en la reproducción y multiplicación de variedades de rosal en América Latina en nombre de los obtentores europeos. Los visitantes pudieron formarse una idea del funcionamiento de los procesos de mejoramiento y comprender mejor el sistema de protección de las obtenciones vegetales con arreglo al Convenio de la UPOV.</w:t>
      </w:r>
    </w:p>
    <w:p w:rsidR="00094AE7" w:rsidRPr="00607DEE" w:rsidRDefault="00094AE7" w:rsidP="00094AE7">
      <w:pPr>
        <w:rPr>
          <w:rFonts w:cs="Arial"/>
        </w:rPr>
      </w:pPr>
    </w:p>
    <w:p w:rsidR="00094AE7" w:rsidRPr="00607DEE" w:rsidRDefault="00094AE7" w:rsidP="00094AE7">
      <w:pPr>
        <w:rPr>
          <w:rFonts w:cs="Arial"/>
        </w:rPr>
      </w:pPr>
      <w:r>
        <w:t>El proyecto </w:t>
      </w:r>
      <w:proofErr w:type="spellStart"/>
      <w:r>
        <w:rPr>
          <w:b/>
        </w:rPr>
        <w:t>CarIPI</w:t>
      </w:r>
      <w:proofErr w:type="spellEnd"/>
      <w:r>
        <w:t xml:space="preserve"> se inició el 1 de noviembre de 2019 y su duración inicial prevista es de cuatro años. </w:t>
      </w:r>
      <w:proofErr w:type="spellStart"/>
      <w:r>
        <w:t>CarIPI</w:t>
      </w:r>
      <w:proofErr w:type="spellEnd"/>
      <w:r>
        <w:t xml:space="preserve"> está financiado por la Unión Europea en el marco del Undécimo Fondo Europeo de Desarrollo y es llevado a cabo por la Oficina de Propiedad Intelectual de la Unión Europea (EUIPO). Su objetivo específico es fortalecer el ámbito de los derechos de propiedad Intelectual en la zona CARIFORUM como medio para fomentar el comercio y la inversión y favorecer la innovación y la competitividad del sector privado. Las actividades relacionadas con los derechos de obtentor están integradas en el proyecto. En mayo de 2020, la OCVV ha colaborado en la revisión del cumplimiento de la legislación sobre protección de las obtenciones vegetales de la República Dominicana.</w:t>
      </w:r>
    </w:p>
    <w:p w:rsidR="00094AE7" w:rsidRPr="00607DEE" w:rsidRDefault="00094AE7" w:rsidP="00094AE7">
      <w:pPr>
        <w:rPr>
          <w:rFonts w:cs="Arial"/>
        </w:rPr>
      </w:pPr>
    </w:p>
    <w:p w:rsidR="00094AE7" w:rsidRPr="00607DEE" w:rsidRDefault="00094AE7" w:rsidP="00094AE7">
      <w:pPr>
        <w:rPr>
          <w:rFonts w:cs="Arial"/>
          <w:u w:val="single"/>
        </w:rPr>
      </w:pPr>
      <w:r>
        <w:rPr>
          <w:u w:val="single"/>
        </w:rPr>
        <w:t>Foro EAPVP</w:t>
      </w:r>
    </w:p>
    <w:p w:rsidR="00094AE7" w:rsidRPr="00607DEE" w:rsidRDefault="00094AE7" w:rsidP="00094AE7">
      <w:pPr>
        <w:rPr>
          <w:rFonts w:cs="Arial"/>
        </w:rPr>
      </w:pPr>
    </w:p>
    <w:p w:rsidR="00094AE7" w:rsidRPr="00607DEE" w:rsidRDefault="00094AE7" w:rsidP="00094AE7">
      <w:pPr>
        <w:rPr>
          <w:rFonts w:cs="Arial"/>
        </w:rPr>
      </w:pPr>
      <w:r>
        <w:t xml:space="preserve">Debido a la pandemia </w:t>
      </w:r>
      <w:proofErr w:type="spellStart"/>
      <w:r>
        <w:t>coronavírica</w:t>
      </w:r>
      <w:proofErr w:type="spellEnd"/>
      <w:r>
        <w:t>, se ha pospuesto el decimotercer Foro EAPVP.</w:t>
      </w:r>
    </w:p>
    <w:p w:rsidR="00094AE7" w:rsidRPr="00607DEE" w:rsidRDefault="00094AE7" w:rsidP="00094AE7">
      <w:pPr>
        <w:rPr>
          <w:rFonts w:cs="Arial"/>
        </w:rPr>
      </w:pPr>
    </w:p>
    <w:p w:rsidR="00094AE7" w:rsidRPr="00607DEE" w:rsidRDefault="00094AE7" w:rsidP="00094AE7">
      <w:pPr>
        <w:rPr>
          <w:rFonts w:cs="Arial"/>
          <w:u w:val="single"/>
        </w:rPr>
      </w:pPr>
      <w:r>
        <w:rPr>
          <w:u w:val="single"/>
        </w:rPr>
        <w:t>La OCVV y la Organización Europea de Patentes</w:t>
      </w:r>
    </w:p>
    <w:p w:rsidR="00094AE7" w:rsidRPr="00607DEE" w:rsidRDefault="00094AE7" w:rsidP="00094AE7">
      <w:pPr>
        <w:rPr>
          <w:rFonts w:cs="Arial"/>
        </w:rPr>
      </w:pPr>
    </w:p>
    <w:p w:rsidR="00094AE7" w:rsidRPr="00607DEE" w:rsidRDefault="00094AE7" w:rsidP="00094AE7">
      <w:pPr>
        <w:rPr>
          <w:rFonts w:cs="Arial"/>
        </w:rPr>
      </w:pPr>
      <w:r>
        <w:t>El 11 de febrero de 2016, el presidente de la OCVV y la Organización Europea de Patentes (OEP) firmaron el acuerdo administrativo N.º 2016/0009 de cooperación bilateral para compartir información y prácticas óptimas en el ámbito de las patentes de plantas y los derechos de obtentor durante un período de 3 años. Dicho acuerdo se renovó el 26 de octubre de 2018.</w:t>
      </w:r>
    </w:p>
    <w:p w:rsidR="00094AE7" w:rsidRPr="00607DEE" w:rsidRDefault="00094AE7" w:rsidP="00094AE7">
      <w:pPr>
        <w:rPr>
          <w:rFonts w:cs="Arial"/>
        </w:rPr>
      </w:pPr>
    </w:p>
    <w:p w:rsidR="00094AE7" w:rsidRPr="00607DEE" w:rsidRDefault="00094AE7" w:rsidP="00094AE7">
      <w:pPr>
        <w:rPr>
          <w:rFonts w:cs="Arial"/>
        </w:rPr>
      </w:pPr>
      <w:r>
        <w:t xml:space="preserve">En cumplimiento del acuerdo, entre el 18 y el 22 de noviembre un experto de la OCVV pasó una semana adscrito en la sede de la OEP. Se trataron diferentes asuntos tales como la </w:t>
      </w:r>
      <w:proofErr w:type="spellStart"/>
      <w:r>
        <w:t>patentabilidad</w:t>
      </w:r>
      <w:proofErr w:type="spellEnd"/>
      <w:r>
        <w:t xml:space="preserve"> de los hongos y las algas.</w:t>
      </w:r>
    </w:p>
    <w:p w:rsidR="00094AE7" w:rsidRPr="00607DEE" w:rsidRDefault="00094AE7" w:rsidP="00094AE7">
      <w:pPr>
        <w:rPr>
          <w:rFonts w:cs="Arial"/>
        </w:rPr>
      </w:pPr>
    </w:p>
    <w:p w:rsidR="00094AE7" w:rsidRPr="00607DEE" w:rsidRDefault="00094AE7" w:rsidP="00094AE7">
      <w:pPr>
        <w:rPr>
          <w:rFonts w:cs="Arial"/>
          <w:u w:val="single"/>
        </w:rPr>
      </w:pPr>
      <w:r>
        <w:rPr>
          <w:u w:val="single"/>
        </w:rPr>
        <w:t>OAPI</w:t>
      </w:r>
    </w:p>
    <w:p w:rsidR="00094AE7" w:rsidRPr="00607DEE" w:rsidRDefault="00094AE7" w:rsidP="00094AE7">
      <w:pPr>
        <w:rPr>
          <w:rFonts w:cs="Arial"/>
        </w:rPr>
      </w:pPr>
    </w:p>
    <w:p w:rsidR="00094AE7" w:rsidRPr="00607DEE" w:rsidRDefault="00094AE7" w:rsidP="00094AE7">
      <w:pPr>
        <w:rPr>
          <w:rFonts w:cs="Arial"/>
        </w:rPr>
      </w:pPr>
      <w:r>
        <w:t>A comienzos de julio de 2019, la Comisión Europea firmó en Ginebra un contrato con la Organización Africana de la Propiedad Intelectual (OAPI) a fin de aportar fondos a la denominada “hoja de ruta” para la promoción de la propiedad intelectual, con objeto de fomentar la creación de nuevas variedades adaptadas al mercado africano e incentivar la puesta a disposición en el territorio de la OAPI de variedades mejoradas de otros países.</w:t>
      </w:r>
    </w:p>
    <w:p w:rsidR="00094AE7" w:rsidRPr="00607DEE" w:rsidRDefault="00094AE7" w:rsidP="00094AE7">
      <w:pPr>
        <w:rPr>
          <w:rFonts w:cs="Arial"/>
        </w:rPr>
      </w:pPr>
    </w:p>
    <w:p w:rsidR="00094AE7" w:rsidRPr="00607DEE" w:rsidRDefault="00094AE7" w:rsidP="00094AE7">
      <w:pPr>
        <w:rPr>
          <w:rFonts w:cs="Arial"/>
        </w:rPr>
      </w:pPr>
      <w:r>
        <w:t xml:space="preserve">El proyecto será gestionado por la OAPI; la OCVV participa como asociado, junto con la UPOV, el GEVES, el GNIS y el </w:t>
      </w:r>
      <w:proofErr w:type="spellStart"/>
      <w:r>
        <w:t>Naktuinbouw</w:t>
      </w:r>
      <w:proofErr w:type="spellEnd"/>
      <w:r>
        <w:t xml:space="preserve">. En ella se acordaron once actividades centradas en la formación y el refuerzo de las capacidades, que han de llevarse a cabo en los dos próximos años. Las actividades dieron comienzo a finales </w:t>
      </w:r>
      <w:r>
        <w:lastRenderedPageBreak/>
        <w:t>de agosto con un taller en la sede de la OAPI en Yaundé, en el que la OCVV analizó los procedimientos administrativos vigentes y la UPOV, la infraestructura informática. El objetivo era agilizar los procedimientos administrativos y adaptar el sistema informático para que obtentores de otros países puedan solicitar derechos de obtentor por medio de la herramienta UPOV PRISMA, un sistema mediante el cual los obtentores pueden presentar solicitudes en varios países simultáneamente. La Oficina participó también en actividades de formación y en seminarios de sensibilización organizados para expertos nacionales en el Togo, Burkina Faso y Malí en octubre de 2019. Además, el Servicio de Auditoría de Calidad de la Oficina realizó simulaciones de auditorías en posibles oficinas de examen del Camerún y Senegal para determinar su capacidad y asesorar sobre posibles mejoras. En diciembre de 2020, cinco expertos de la OAPI con experiencia técnica, jurídica o informática visitaron la OCVV para estudiar la tramitación de las solicitudes.</w:t>
      </w:r>
    </w:p>
    <w:p w:rsidR="00094AE7" w:rsidRPr="00607DEE" w:rsidRDefault="00094AE7" w:rsidP="00094AE7">
      <w:pPr>
        <w:rPr>
          <w:rFonts w:cs="Arial"/>
        </w:rPr>
      </w:pPr>
    </w:p>
    <w:p w:rsidR="00094AE7" w:rsidRPr="00607DEE" w:rsidRDefault="00094AE7" w:rsidP="00094AE7">
      <w:pPr>
        <w:rPr>
          <w:rFonts w:cs="Arial"/>
        </w:rPr>
      </w:pPr>
      <w:r>
        <w:t xml:space="preserve">Debido a las restricciones sanitarias vinculadas a la pandemia </w:t>
      </w:r>
      <w:proofErr w:type="spellStart"/>
      <w:r>
        <w:t>coronavírica</w:t>
      </w:r>
      <w:proofErr w:type="spellEnd"/>
      <w:r>
        <w:t>, se han suspendido las actividades de formación y los seminarios de sensibilización programados para 2020.</w:t>
      </w:r>
    </w:p>
    <w:p w:rsidR="00094AE7" w:rsidRPr="00607DEE" w:rsidRDefault="00094AE7" w:rsidP="00094AE7">
      <w:pPr>
        <w:rPr>
          <w:rFonts w:cs="Arial"/>
        </w:rPr>
      </w:pPr>
    </w:p>
    <w:p w:rsidR="00094AE7" w:rsidRPr="00607DEE" w:rsidRDefault="00094AE7" w:rsidP="00094AE7">
      <w:pPr>
        <w:rPr>
          <w:rFonts w:cs="Arial"/>
          <w:u w:val="single"/>
        </w:rPr>
      </w:pPr>
      <w:r>
        <w:rPr>
          <w:u w:val="single"/>
        </w:rPr>
        <w:t>Formación</w:t>
      </w:r>
    </w:p>
    <w:p w:rsidR="00094AE7" w:rsidRPr="00607DEE" w:rsidRDefault="00094AE7" w:rsidP="00094AE7">
      <w:pPr>
        <w:rPr>
          <w:rFonts w:cs="Arial"/>
        </w:rPr>
      </w:pPr>
    </w:p>
    <w:p w:rsidR="00094AE7" w:rsidRPr="00607DEE" w:rsidRDefault="00094AE7" w:rsidP="00094AE7">
      <w:pPr>
        <w:rPr>
          <w:rFonts w:cs="Arial"/>
        </w:rPr>
      </w:pPr>
      <w:r>
        <w:t>Durante el año 2019-2020, la OCVV participó en la preparación de varias actividades de formación presenciales y en línea, entre ellas:</w:t>
      </w:r>
    </w:p>
    <w:p w:rsidR="00094AE7" w:rsidRPr="00607DEE" w:rsidRDefault="00094AE7" w:rsidP="00094AE7">
      <w:pPr>
        <w:rPr>
          <w:rFonts w:cs="Arial"/>
        </w:rPr>
      </w:pPr>
    </w:p>
    <w:p w:rsidR="00094AE7" w:rsidRPr="00607DEE" w:rsidRDefault="00094AE7" w:rsidP="00094AE7">
      <w:pPr>
        <w:numPr>
          <w:ilvl w:val="0"/>
          <w:numId w:val="8"/>
        </w:numPr>
        <w:spacing w:after="120"/>
        <w:ind w:left="714" w:hanging="357"/>
        <w:rPr>
          <w:rFonts w:cs="Arial"/>
        </w:rPr>
      </w:pPr>
      <w:r>
        <w:t xml:space="preserve">varios seminarios organizados en colaboración con </w:t>
      </w:r>
      <w:proofErr w:type="spellStart"/>
      <w:r>
        <w:t>Vegepolys</w:t>
      </w:r>
      <w:proofErr w:type="spellEnd"/>
      <w:r>
        <w:t>;</w:t>
      </w:r>
    </w:p>
    <w:p w:rsidR="00094AE7" w:rsidRPr="00607DEE" w:rsidRDefault="00094AE7" w:rsidP="00094AE7">
      <w:pPr>
        <w:numPr>
          <w:ilvl w:val="0"/>
          <w:numId w:val="8"/>
        </w:numPr>
        <w:spacing w:after="120"/>
        <w:ind w:left="714" w:hanging="357"/>
        <w:rPr>
          <w:rFonts w:cs="Arial"/>
        </w:rPr>
      </w:pPr>
      <w:r>
        <w:t>formación en materia de transgresión de la protección comunitaria de las obtenciones vegetales en la Unión Europea dirigida a las autoridades aduaneras en el marco de la reunión anual de la Organización Mundial de Aduanas (OMA) el 30 de septiembre de 2019;</w:t>
      </w:r>
    </w:p>
    <w:p w:rsidR="00094AE7" w:rsidRPr="00607DEE" w:rsidRDefault="00094AE7" w:rsidP="00094AE7">
      <w:pPr>
        <w:numPr>
          <w:ilvl w:val="0"/>
          <w:numId w:val="8"/>
        </w:numPr>
        <w:spacing w:after="120"/>
        <w:ind w:left="714" w:hanging="357"/>
        <w:rPr>
          <w:rFonts w:cs="Arial"/>
        </w:rPr>
      </w:pPr>
      <w:r>
        <w:t xml:space="preserve">formación en derechos de obtentor y otros derechos de propiedad intelectual en </w:t>
      </w:r>
      <w:proofErr w:type="spellStart"/>
      <w:r>
        <w:rPr>
          <w:i/>
        </w:rPr>
        <w:t>Naktuinbouw</w:t>
      </w:r>
      <w:proofErr w:type="spellEnd"/>
      <w:r>
        <w:rPr>
          <w:i/>
        </w:rPr>
        <w:t>,</w:t>
      </w:r>
      <w:r>
        <w:t xml:space="preserve"> </w:t>
      </w:r>
      <w:r w:rsidR="009E2D41">
        <w:br/>
      </w:r>
      <w:r>
        <w:t>el 7 de octubre de 2019;</w:t>
      </w:r>
    </w:p>
    <w:p w:rsidR="00094AE7" w:rsidRPr="00607DEE" w:rsidRDefault="00094AE7" w:rsidP="00094AE7">
      <w:pPr>
        <w:numPr>
          <w:ilvl w:val="0"/>
          <w:numId w:val="8"/>
        </w:numPr>
        <w:spacing w:after="120"/>
        <w:ind w:left="714" w:hanging="357"/>
        <w:rPr>
          <w:rFonts w:cs="Arial"/>
        </w:rPr>
      </w:pPr>
      <w:r>
        <w:t>seminario en línea sobre la interfaz entre las denominaciones de variedades, las indicaciones geográficas y las marcas, el 13 de diciembre de 2019;</w:t>
      </w:r>
    </w:p>
    <w:p w:rsidR="00094AE7" w:rsidRPr="00607DEE" w:rsidRDefault="00094AE7" w:rsidP="00094AE7">
      <w:pPr>
        <w:numPr>
          <w:ilvl w:val="0"/>
          <w:numId w:val="8"/>
        </w:numPr>
        <w:spacing w:after="120"/>
        <w:ind w:left="714" w:hanging="357"/>
        <w:rPr>
          <w:rFonts w:cs="Arial"/>
        </w:rPr>
      </w:pPr>
      <w:r>
        <w:t>presentación del sistema de protección comunitaria de obtención vegetal en el máster en Derecho de Propiedad Intelectual de la Universidad de Maastricht, el 14 de enero de 2020;</w:t>
      </w:r>
    </w:p>
    <w:p w:rsidR="00094AE7" w:rsidRPr="00607DEE" w:rsidRDefault="00094AE7" w:rsidP="00094AE7">
      <w:pPr>
        <w:numPr>
          <w:ilvl w:val="0"/>
          <w:numId w:val="8"/>
        </w:numPr>
        <w:rPr>
          <w:rFonts w:cs="Arial"/>
        </w:rPr>
      </w:pPr>
      <w:r>
        <w:t>presentación del sistema de protección comunitaria de obtención vegetal en el máster en Derecho de Propiedad Intelectual de la Universidad de Alicante, el 7 de mayo de 2020;</w:t>
      </w:r>
    </w:p>
    <w:p w:rsidR="00094AE7" w:rsidRPr="00607DEE" w:rsidRDefault="00094AE7" w:rsidP="00094AE7">
      <w:pPr>
        <w:rPr>
          <w:rFonts w:cs="Arial"/>
        </w:rPr>
      </w:pPr>
    </w:p>
    <w:p w:rsidR="00094AE7" w:rsidRPr="00607DEE" w:rsidRDefault="00094AE7" w:rsidP="00094AE7">
      <w:pPr>
        <w:rPr>
          <w:rFonts w:cs="Arial"/>
          <w:u w:val="single"/>
        </w:rPr>
      </w:pPr>
      <w:r>
        <w:rPr>
          <w:u w:val="single"/>
        </w:rPr>
        <w:t>Organizaciones de partes interesadas</w:t>
      </w:r>
    </w:p>
    <w:p w:rsidR="00094AE7" w:rsidRPr="00607DEE" w:rsidRDefault="00094AE7" w:rsidP="00094AE7">
      <w:pPr>
        <w:rPr>
          <w:rFonts w:cs="Arial"/>
        </w:rPr>
      </w:pPr>
    </w:p>
    <w:p w:rsidR="00094AE7" w:rsidRPr="00607DEE" w:rsidRDefault="00094AE7" w:rsidP="00094AE7">
      <w:pPr>
        <w:rPr>
          <w:rFonts w:cs="Arial"/>
        </w:rPr>
      </w:pPr>
      <w:r>
        <w:t xml:space="preserve">La Comisión Europea y la OCVV asistieron a la reunión anual de </w:t>
      </w:r>
      <w:proofErr w:type="spellStart"/>
      <w:r>
        <w:t>Eu</w:t>
      </w:r>
      <w:r w:rsidR="009E2D41">
        <w:t>roseeds</w:t>
      </w:r>
      <w:proofErr w:type="spellEnd"/>
      <w:r w:rsidR="009E2D41">
        <w:t xml:space="preserve"> en Estocolmo, del 13 al </w:t>
      </w:r>
      <w:r w:rsidR="009E2D41">
        <w:br/>
      </w:r>
      <w:r>
        <w:t xml:space="preserve">15 de octubre de 2019, y la reunión anual de la CIOPORA </w:t>
      </w:r>
      <w:proofErr w:type="spellStart"/>
      <w:r>
        <w:t>Deutschland</w:t>
      </w:r>
      <w:proofErr w:type="spellEnd"/>
      <w:r>
        <w:t xml:space="preserve"> en Dresde, los días 27 y 28 de marzo de 2020.</w:t>
      </w:r>
    </w:p>
    <w:p w:rsidR="00094AE7" w:rsidRPr="00607DEE" w:rsidRDefault="00094AE7" w:rsidP="00094AE7">
      <w:pPr>
        <w:rPr>
          <w:rFonts w:cs="Arial"/>
        </w:rPr>
      </w:pPr>
    </w:p>
    <w:p w:rsidR="00094AE7" w:rsidRPr="00607DEE" w:rsidRDefault="00094AE7" w:rsidP="00094AE7">
      <w:pPr>
        <w:rPr>
          <w:rFonts w:cs="Arial"/>
        </w:rPr>
      </w:pPr>
      <w:r>
        <w:t>La OCVV también mantuvo reuniones bilaterales con organizaciones de obtentores, entre ellas:</w:t>
      </w:r>
    </w:p>
    <w:p w:rsidR="00094AE7" w:rsidRPr="00607DEE" w:rsidRDefault="00094AE7" w:rsidP="00094AE7">
      <w:pPr>
        <w:rPr>
          <w:rFonts w:cs="Arial"/>
        </w:rPr>
      </w:pPr>
    </w:p>
    <w:p w:rsidR="00094AE7" w:rsidRPr="00607DEE" w:rsidRDefault="00094AE7" w:rsidP="00094AE7">
      <w:pPr>
        <w:spacing w:after="120"/>
        <w:ind w:left="357"/>
        <w:rPr>
          <w:rFonts w:cs="Arial"/>
        </w:rPr>
      </w:pPr>
      <w:r>
        <w:t>-</w:t>
      </w:r>
      <w:r>
        <w:tab/>
      </w:r>
      <w:proofErr w:type="spellStart"/>
      <w:r>
        <w:t>Euroseeds</w:t>
      </w:r>
      <w:proofErr w:type="spellEnd"/>
      <w:r>
        <w:t>, el 19 de noviembre de 2019;</w:t>
      </w:r>
    </w:p>
    <w:p w:rsidR="00094AE7" w:rsidRPr="00607DEE" w:rsidRDefault="00094AE7" w:rsidP="00094AE7">
      <w:pPr>
        <w:spacing w:after="120"/>
        <w:ind w:left="357"/>
        <w:rPr>
          <w:rFonts w:cs="Arial"/>
        </w:rPr>
      </w:pPr>
      <w:r>
        <w:t>-</w:t>
      </w:r>
      <w:r>
        <w:tab/>
      </w:r>
      <w:proofErr w:type="spellStart"/>
      <w:r>
        <w:t>Plantum</w:t>
      </w:r>
      <w:proofErr w:type="spellEnd"/>
      <w:r>
        <w:t>, el 7 de mayo de 2020.</w:t>
      </w:r>
    </w:p>
    <w:p w:rsidR="00094AE7" w:rsidRPr="00607DEE" w:rsidRDefault="00094AE7" w:rsidP="00094AE7"/>
    <w:p w:rsidR="00094AE7" w:rsidRPr="00607DEE" w:rsidRDefault="00094AE7" w:rsidP="00094AE7">
      <w:pPr>
        <w:rPr>
          <w:rFonts w:cs="Arial"/>
        </w:rPr>
      </w:pPr>
      <w:r>
        <w:t>La OCVV ha organizado reuniones bilaterales formales anuales de carácter oficial con la AIPH y el ECO-PB.</w:t>
      </w:r>
    </w:p>
    <w:p w:rsidR="00094AE7" w:rsidRPr="00607DEE" w:rsidRDefault="00094AE7" w:rsidP="00094AE7">
      <w:pPr>
        <w:rPr>
          <w:rFonts w:cs="Arial"/>
        </w:rPr>
      </w:pPr>
    </w:p>
    <w:p w:rsidR="00094AE7" w:rsidRPr="00607DEE" w:rsidRDefault="00094AE7" w:rsidP="00094AE7">
      <w:pPr>
        <w:keepNext/>
        <w:rPr>
          <w:rFonts w:cs="Arial"/>
          <w:u w:val="single"/>
        </w:rPr>
      </w:pPr>
      <w:r>
        <w:rPr>
          <w:u w:val="single"/>
        </w:rPr>
        <w:t>Otras actividades promocionales:</w:t>
      </w:r>
    </w:p>
    <w:p w:rsidR="00094AE7" w:rsidRPr="00607DEE" w:rsidRDefault="00094AE7" w:rsidP="00094AE7">
      <w:pPr>
        <w:keepNext/>
        <w:rPr>
          <w:rFonts w:cs="Arial"/>
        </w:rPr>
      </w:pPr>
    </w:p>
    <w:p w:rsidR="00094AE7" w:rsidRPr="00607DEE" w:rsidRDefault="00094AE7" w:rsidP="00094AE7">
      <w:pPr>
        <w:keepNext/>
        <w:rPr>
          <w:rFonts w:cs="Arial"/>
          <w:i/>
        </w:rPr>
      </w:pPr>
      <w:r>
        <w:rPr>
          <w:i/>
        </w:rPr>
        <w:t>Participación en ferias internacionales y jornadas de puertas abiertas</w:t>
      </w:r>
    </w:p>
    <w:p w:rsidR="00094AE7" w:rsidRPr="00607DEE" w:rsidRDefault="00094AE7" w:rsidP="00094AE7">
      <w:pPr>
        <w:keepNext/>
        <w:rPr>
          <w:rFonts w:cs="Arial"/>
        </w:rPr>
      </w:pPr>
    </w:p>
    <w:p w:rsidR="00094AE7" w:rsidRPr="00607DEE" w:rsidRDefault="00094AE7" w:rsidP="00094AE7">
      <w:pPr>
        <w:rPr>
          <w:rFonts w:cs="Arial"/>
        </w:rPr>
      </w:pPr>
      <w:r>
        <w:t>La OCVV entiende que su participación en las ferias internacionales y en las jornadas de puertas abiertas que celebran las oficinas de examen es útil para impulsar el sistema comunitario de protección de las obtenciones vegetales, conocer directamente a los solicitantes e informar a los agricultores.</w:t>
      </w:r>
    </w:p>
    <w:p w:rsidR="00094AE7" w:rsidRPr="00607DEE" w:rsidRDefault="00094AE7" w:rsidP="00094AE7">
      <w:pPr>
        <w:rPr>
          <w:rFonts w:cs="Arial"/>
        </w:rPr>
      </w:pPr>
    </w:p>
    <w:p w:rsidR="00094AE7" w:rsidRPr="00607DEE" w:rsidRDefault="00094AE7" w:rsidP="00094AE7">
      <w:pPr>
        <w:rPr>
          <w:rFonts w:cs="Arial"/>
        </w:rPr>
      </w:pPr>
      <w:r>
        <w:t>En enero de 2020, la Oficina asistió junto con el GEVES al “</w:t>
      </w:r>
      <w:proofErr w:type="spellStart"/>
      <w:r>
        <w:t>Salon</w:t>
      </w:r>
      <w:proofErr w:type="spellEnd"/>
      <w:r>
        <w:t xml:space="preserve"> </w:t>
      </w:r>
      <w:proofErr w:type="spellStart"/>
      <w:r>
        <w:t>Sival</w:t>
      </w:r>
      <w:proofErr w:type="spellEnd"/>
      <w:r>
        <w:t xml:space="preserve">” en Angers, una feria dirigida principalmente a los productores de frutas y hortalizas. También en enero de 2020, la OCVV asistió en </w:t>
      </w:r>
      <w:proofErr w:type="spellStart"/>
      <w:r>
        <w:t>Essen</w:t>
      </w:r>
      <w:proofErr w:type="spellEnd"/>
      <w:r>
        <w:t xml:space="preserve"> (Alemania) a “IPM”, la mayor feria internacional dedicada a las plantas ornamentales. Compartió la caseta con sus colegas de la </w:t>
      </w:r>
      <w:proofErr w:type="spellStart"/>
      <w:r>
        <w:rPr>
          <w:i/>
        </w:rPr>
        <w:t>Bundessortenamt</w:t>
      </w:r>
      <w:proofErr w:type="spellEnd"/>
      <w:r>
        <w:t xml:space="preserve">, GEVES y </w:t>
      </w:r>
      <w:proofErr w:type="spellStart"/>
      <w:r>
        <w:rPr>
          <w:i/>
        </w:rPr>
        <w:t>Naktuinbouw</w:t>
      </w:r>
      <w:proofErr w:type="spellEnd"/>
      <w:r>
        <w:t>.</w:t>
      </w:r>
    </w:p>
    <w:p w:rsidR="00094AE7" w:rsidRDefault="00094AE7" w:rsidP="00094AE7">
      <w:pPr>
        <w:rPr>
          <w:rFonts w:cs="Arial"/>
        </w:rPr>
      </w:pPr>
    </w:p>
    <w:p w:rsidR="00094AE7" w:rsidRPr="00607DEE" w:rsidRDefault="00094AE7" w:rsidP="00094AE7">
      <w:pPr>
        <w:rPr>
          <w:rFonts w:cs="Arial"/>
        </w:rPr>
      </w:pPr>
    </w:p>
    <w:p w:rsidR="00094AE7" w:rsidRPr="00607DEE" w:rsidRDefault="00094AE7" w:rsidP="00094AE7">
      <w:pPr>
        <w:rPr>
          <w:rFonts w:cs="Arial"/>
        </w:rPr>
      </w:pPr>
    </w:p>
    <w:p w:rsidR="00094AE7" w:rsidRPr="00607DEE" w:rsidRDefault="00094AE7" w:rsidP="00DB5B37">
      <w:pPr>
        <w:keepNext/>
        <w:rPr>
          <w:rFonts w:cs="Arial"/>
          <w:u w:val="single"/>
        </w:rPr>
      </w:pPr>
      <w:r>
        <w:lastRenderedPageBreak/>
        <w:t>6.</w:t>
      </w:r>
      <w:r>
        <w:tab/>
      </w:r>
      <w:r>
        <w:rPr>
          <w:u w:val="single"/>
        </w:rPr>
        <w:t>I+D</w:t>
      </w:r>
    </w:p>
    <w:p w:rsidR="00094AE7" w:rsidRPr="00607DEE" w:rsidRDefault="00094AE7" w:rsidP="00DB5B37">
      <w:pPr>
        <w:keepNext/>
        <w:rPr>
          <w:rFonts w:cs="Arial"/>
        </w:rPr>
      </w:pPr>
    </w:p>
    <w:p w:rsidR="00094AE7" w:rsidRPr="009E2D41" w:rsidRDefault="00094AE7" w:rsidP="00DB5B37">
      <w:pPr>
        <w:keepNext/>
        <w:rPr>
          <w:rFonts w:cs="Arial"/>
          <w:u w:val="single"/>
        </w:rPr>
      </w:pPr>
      <w:r w:rsidRPr="009E2D41">
        <w:rPr>
          <w:u w:val="single"/>
        </w:rPr>
        <w:t>6.1</w:t>
      </w:r>
      <w:r w:rsidR="009E2D41">
        <w:rPr>
          <w:u w:val="single"/>
        </w:rPr>
        <w:t xml:space="preserve"> </w:t>
      </w:r>
      <w:r w:rsidRPr="009E2D41">
        <w:rPr>
          <w:u w:val="single"/>
        </w:rPr>
        <w:t xml:space="preserve">Grupo </w:t>
      </w:r>
      <w:r w:rsidRPr="009E2D41">
        <w:rPr>
          <w:i/>
          <w:u w:val="single"/>
        </w:rPr>
        <w:t>ad hoc</w:t>
      </w:r>
      <w:r w:rsidRPr="009E2D41">
        <w:rPr>
          <w:u w:val="single"/>
        </w:rPr>
        <w:t xml:space="preserve"> de trabajo IMODDUS</w:t>
      </w:r>
    </w:p>
    <w:p w:rsidR="00094AE7" w:rsidRPr="00607DEE" w:rsidRDefault="00094AE7" w:rsidP="00DB5B37">
      <w:pPr>
        <w:keepNext/>
        <w:rPr>
          <w:rFonts w:cs="Arial"/>
        </w:rPr>
      </w:pPr>
    </w:p>
    <w:p w:rsidR="00094AE7" w:rsidRPr="00607DEE" w:rsidRDefault="00094AE7" w:rsidP="00094AE7">
      <w:pPr>
        <w:rPr>
          <w:rFonts w:cs="Arial"/>
        </w:rPr>
      </w:pPr>
      <w:r>
        <w:t xml:space="preserve">Como uno de los tres objetivos de la estrategia de I+D revisada de la OCVV, aprobada por el Consejo de Administración en marzo de 2015, el Consejo ha votado a favor de la creación de un grupo de trabajo </w:t>
      </w:r>
      <w:r>
        <w:rPr>
          <w:i/>
        </w:rPr>
        <w:t>ad hoc</w:t>
      </w:r>
      <w:r>
        <w:t xml:space="preserve"> de esta oficina sobre técnicas biomoleculares. Este grupo de trabajo se denomina IMMODUS, abreviatura en inglés de “integración de los datos moleculares en el examen DHE”. El objetivo del grupo es trabajar en proyectos de diferentes sectores agrícolas que permitan aplicar las técnicas biomoleculares a los exámenes DHE, donde sea posible que estas técnicas contribuyan a la eficiencia y la calidad.</w:t>
      </w:r>
    </w:p>
    <w:p w:rsidR="00094AE7" w:rsidRPr="00607DEE" w:rsidRDefault="00094AE7" w:rsidP="00094AE7">
      <w:pPr>
        <w:rPr>
          <w:rFonts w:cs="Arial"/>
        </w:rPr>
      </w:pPr>
    </w:p>
    <w:p w:rsidR="00094AE7" w:rsidRPr="00607DEE" w:rsidRDefault="00094AE7" w:rsidP="00094AE7">
      <w:pPr>
        <w:rPr>
          <w:rFonts w:cs="Arial"/>
        </w:rPr>
      </w:pPr>
      <w:r>
        <w:t>El grupo está integrado por expertos en técnicas biomoleculares (BMT) de las oficinas de examen interesadas y por organizaciones de obtentores. La participación se limita a expertos que pueden colaborar activamente en la preparación de documentos y ponencias. El presidente del grupo también puede invitar a expertos de los laboratorios, las universidades, el sector, etc.</w:t>
      </w:r>
    </w:p>
    <w:p w:rsidR="00094AE7" w:rsidRPr="00607DEE" w:rsidRDefault="00094AE7" w:rsidP="00094AE7">
      <w:pPr>
        <w:rPr>
          <w:rFonts w:cs="Arial"/>
        </w:rPr>
      </w:pPr>
    </w:p>
    <w:p w:rsidR="00094AE7" w:rsidRPr="00607DEE" w:rsidRDefault="00094AE7" w:rsidP="00094AE7">
      <w:pPr>
        <w:rPr>
          <w:rFonts w:cs="Arial"/>
        </w:rPr>
      </w:pPr>
      <w:r>
        <w:t xml:space="preserve">Debido a la pandemia </w:t>
      </w:r>
      <w:proofErr w:type="spellStart"/>
      <w:r>
        <w:t>coronavírica</w:t>
      </w:r>
      <w:proofErr w:type="spellEnd"/>
      <w:r>
        <w:t>, no se ha organizado una reunión física en 2020. La próxima reunión de este grupo está prevista para abril de 2021.</w:t>
      </w:r>
    </w:p>
    <w:p w:rsidR="00094AE7" w:rsidRPr="00607DEE" w:rsidRDefault="00094AE7" w:rsidP="00094AE7">
      <w:pPr>
        <w:rPr>
          <w:rFonts w:cs="Arial"/>
        </w:rPr>
      </w:pPr>
    </w:p>
    <w:p w:rsidR="00094AE7" w:rsidRPr="00607DEE" w:rsidRDefault="00094AE7" w:rsidP="00094AE7">
      <w:pPr>
        <w:rPr>
          <w:rFonts w:cs="Arial"/>
        </w:rPr>
      </w:pPr>
      <w:r>
        <w:t>El IMODDUS ha valorado positivamente una propuesta de proyecto de I+D que entretanto ya ha comenzado.</w:t>
      </w:r>
    </w:p>
    <w:p w:rsidR="00094AE7" w:rsidRPr="00607DEE" w:rsidRDefault="00094AE7" w:rsidP="00094AE7">
      <w:pPr>
        <w:rPr>
          <w:rFonts w:cs="Arial"/>
        </w:rPr>
      </w:pPr>
    </w:p>
    <w:p w:rsidR="00094AE7" w:rsidRPr="00607DEE" w:rsidRDefault="00094AE7" w:rsidP="00094AE7">
      <w:pPr>
        <w:rPr>
          <w:rFonts w:cs="Arial"/>
          <w:i/>
        </w:rPr>
      </w:pPr>
      <w:r>
        <w:rPr>
          <w:i/>
        </w:rPr>
        <w:t>Cáñamo</w:t>
      </w:r>
    </w:p>
    <w:p w:rsidR="00094AE7" w:rsidRPr="00607DEE" w:rsidRDefault="00094AE7" w:rsidP="00094AE7">
      <w:pPr>
        <w:rPr>
          <w:rFonts w:cs="Arial"/>
        </w:rPr>
      </w:pPr>
    </w:p>
    <w:p w:rsidR="00094AE7" w:rsidRPr="00607DEE" w:rsidRDefault="00094AE7" w:rsidP="00094AE7">
      <w:pPr>
        <w:rPr>
          <w:rFonts w:cs="Arial"/>
        </w:rPr>
      </w:pPr>
      <w:r>
        <w:t xml:space="preserve">“Desarrollo de un conjunto de marcadores del tipo de polimorfismo de nucleótido único (SNP) en </w:t>
      </w:r>
      <w:r>
        <w:rPr>
          <w:i/>
        </w:rPr>
        <w:t>Cannabis</w:t>
      </w:r>
      <w:r>
        <w:t xml:space="preserve"> para respaldar el examen DHE”. El resto de los proyectos de I+D que el IMODDUS valorado positivamente en un momento anterior y que recibieron cofinanciación han avanzado sin cesar durante el período.</w:t>
      </w:r>
    </w:p>
    <w:p w:rsidR="00094AE7" w:rsidRPr="00607DEE" w:rsidRDefault="00094AE7" w:rsidP="00094AE7">
      <w:pPr>
        <w:rPr>
          <w:rFonts w:cs="Arial"/>
        </w:rPr>
      </w:pPr>
    </w:p>
    <w:p w:rsidR="00094AE7" w:rsidRPr="00607DEE" w:rsidRDefault="00094AE7" w:rsidP="00094AE7">
      <w:pPr>
        <w:rPr>
          <w:rFonts w:cs="Arial"/>
          <w:i/>
        </w:rPr>
      </w:pPr>
      <w:r>
        <w:rPr>
          <w:i/>
        </w:rPr>
        <w:t>Tomate</w:t>
      </w:r>
    </w:p>
    <w:p w:rsidR="00094AE7" w:rsidRPr="00607DEE" w:rsidRDefault="00094AE7" w:rsidP="00094AE7">
      <w:pPr>
        <w:rPr>
          <w:rFonts w:cs="Arial"/>
        </w:rPr>
      </w:pPr>
    </w:p>
    <w:p w:rsidR="00094AE7" w:rsidRPr="00607DEE" w:rsidRDefault="00094AE7" w:rsidP="00094AE7">
      <w:pPr>
        <w:rPr>
          <w:rFonts w:cs="Arial"/>
        </w:rPr>
      </w:pPr>
      <w:r>
        <w:t>“Validación internacional de un conjunto de marcadores SNP que permitan determinar las distancias genéticas para gestionar la colección de referencia del tomate”</w:t>
      </w:r>
    </w:p>
    <w:p w:rsidR="00094AE7" w:rsidRPr="00607DEE" w:rsidRDefault="00094AE7" w:rsidP="00094AE7">
      <w:pPr>
        <w:rPr>
          <w:rFonts w:cs="Arial"/>
        </w:rPr>
      </w:pPr>
    </w:p>
    <w:p w:rsidR="00094AE7" w:rsidRPr="00607DEE" w:rsidRDefault="00094AE7" w:rsidP="00094AE7">
      <w:pPr>
        <w:rPr>
          <w:rFonts w:cs="Arial"/>
          <w:i/>
        </w:rPr>
      </w:pPr>
      <w:r>
        <w:rPr>
          <w:i/>
        </w:rPr>
        <w:t>Colza</w:t>
      </w:r>
    </w:p>
    <w:p w:rsidR="00094AE7" w:rsidRPr="00607DEE" w:rsidRDefault="00094AE7" w:rsidP="00094AE7">
      <w:pPr>
        <w:rPr>
          <w:rFonts w:cs="Arial"/>
        </w:rPr>
      </w:pPr>
    </w:p>
    <w:p w:rsidR="00094AE7" w:rsidRPr="00607DEE" w:rsidRDefault="00094AE7" w:rsidP="00094AE7">
      <w:pPr>
        <w:rPr>
          <w:rFonts w:cs="Arial"/>
        </w:rPr>
      </w:pPr>
      <w:r>
        <w:t>“Desarrollo de una estrategia para aplicar marcadores moleculares SNP en el marco del examen DHE de la colza de invierno”</w:t>
      </w:r>
    </w:p>
    <w:p w:rsidR="00094AE7" w:rsidRPr="00607DEE" w:rsidRDefault="00094AE7" w:rsidP="00094AE7">
      <w:pPr>
        <w:rPr>
          <w:rFonts w:cs="Arial"/>
        </w:rPr>
      </w:pPr>
    </w:p>
    <w:p w:rsidR="00094AE7" w:rsidRPr="00607DEE" w:rsidRDefault="00094AE7" w:rsidP="00094AE7">
      <w:pPr>
        <w:rPr>
          <w:rFonts w:cs="Arial"/>
          <w:i/>
        </w:rPr>
      </w:pPr>
      <w:r>
        <w:rPr>
          <w:i/>
        </w:rPr>
        <w:t>Trigo duro</w:t>
      </w:r>
    </w:p>
    <w:p w:rsidR="00094AE7" w:rsidRPr="00607DEE" w:rsidRDefault="00094AE7" w:rsidP="00094AE7">
      <w:pPr>
        <w:rPr>
          <w:rFonts w:cs="Arial"/>
        </w:rPr>
      </w:pPr>
    </w:p>
    <w:p w:rsidR="00094AE7" w:rsidRPr="00607DEE" w:rsidRDefault="00094AE7" w:rsidP="00094AE7">
      <w:pPr>
        <w:rPr>
          <w:rFonts w:cs="Arial"/>
        </w:rPr>
      </w:pPr>
      <w:r>
        <w:t>“Integración de datos moleculares en el examen DHE del trigo duro”</w:t>
      </w:r>
    </w:p>
    <w:p w:rsidR="00094AE7" w:rsidRPr="00607DEE" w:rsidRDefault="00094AE7" w:rsidP="00094AE7">
      <w:pPr>
        <w:rPr>
          <w:rFonts w:cs="Arial"/>
        </w:rPr>
      </w:pPr>
    </w:p>
    <w:p w:rsidR="00094AE7" w:rsidRPr="00607DEE" w:rsidRDefault="00094AE7" w:rsidP="00094AE7">
      <w:pPr>
        <w:rPr>
          <w:rFonts w:cs="Arial"/>
          <w:i/>
        </w:rPr>
      </w:pPr>
      <w:r>
        <w:rPr>
          <w:i/>
        </w:rPr>
        <w:t>Manzano</w:t>
      </w:r>
    </w:p>
    <w:p w:rsidR="00094AE7" w:rsidRPr="00607DEE" w:rsidRDefault="00094AE7" w:rsidP="00094AE7">
      <w:pPr>
        <w:rPr>
          <w:rFonts w:cs="Arial"/>
        </w:rPr>
      </w:pPr>
    </w:p>
    <w:p w:rsidR="00094AE7" w:rsidRPr="00607DEE" w:rsidRDefault="00094AE7" w:rsidP="00094AE7">
      <w:pPr>
        <w:rPr>
          <w:rFonts w:cs="Arial"/>
        </w:rPr>
      </w:pPr>
      <w:r>
        <w:t xml:space="preserve">“Desarrollo de marcadores moleculares que permitan distinguir mutantes (espontáneos) del manzano” (por asociación de datos de secuenciación, </w:t>
      </w:r>
      <w:proofErr w:type="spellStart"/>
      <w:r>
        <w:t>transcriptómicos</w:t>
      </w:r>
      <w:proofErr w:type="spellEnd"/>
      <w:r>
        <w:t xml:space="preserve"> y </w:t>
      </w:r>
      <w:proofErr w:type="spellStart"/>
      <w:r>
        <w:t>epigenéticos</w:t>
      </w:r>
      <w:proofErr w:type="spellEnd"/>
      <w:r>
        <w:t>)</w:t>
      </w:r>
    </w:p>
    <w:p w:rsidR="00094AE7" w:rsidRPr="00607DEE" w:rsidRDefault="00094AE7" w:rsidP="00094AE7">
      <w:pPr>
        <w:rPr>
          <w:rFonts w:cs="Arial"/>
        </w:rPr>
      </w:pPr>
    </w:p>
    <w:p w:rsidR="00094AE7" w:rsidRPr="009E2D41" w:rsidRDefault="00094AE7" w:rsidP="00094AE7">
      <w:pPr>
        <w:rPr>
          <w:rFonts w:cs="Arial"/>
          <w:u w:val="single"/>
        </w:rPr>
      </w:pPr>
      <w:r w:rsidRPr="009E2D41">
        <w:rPr>
          <w:u w:val="single"/>
        </w:rPr>
        <w:t>6.2</w:t>
      </w:r>
      <w:r w:rsidR="009E2D41">
        <w:rPr>
          <w:u w:val="single"/>
        </w:rPr>
        <w:t xml:space="preserve"> </w:t>
      </w:r>
      <w:r w:rsidRPr="009E2D41">
        <w:rPr>
          <w:u w:val="single"/>
        </w:rPr>
        <w:t>Proyecto INVITE</w:t>
      </w:r>
    </w:p>
    <w:p w:rsidR="00094AE7" w:rsidRPr="00607DEE" w:rsidRDefault="00094AE7" w:rsidP="00094AE7">
      <w:pPr>
        <w:rPr>
          <w:rFonts w:cs="Arial"/>
        </w:rPr>
      </w:pPr>
    </w:p>
    <w:p w:rsidR="00094AE7" w:rsidRPr="00607DEE" w:rsidRDefault="00094AE7" w:rsidP="00094AE7">
      <w:pPr>
        <w:rPr>
          <w:rFonts w:cs="Arial"/>
        </w:rPr>
      </w:pPr>
      <w:r>
        <w:t xml:space="preserve">INVITE significa “innovaciones en el examen de variedades vegetales en Europa, con objeto de promover la introducción de nuevas variedades mejor adaptadas a condiciones bióticas y abióticas variables y a prácticas más sostenibles de gestión de los cultivos”. INVITE, es uno de los dos proyectos galardonados de la convocatoria SFS-29-2018 “Innovaciones en el examen de variedades vegetales” 2 del programa </w:t>
      </w:r>
      <w:proofErr w:type="spellStart"/>
      <w:r>
        <w:t>Horizon</w:t>
      </w:r>
      <w:proofErr w:type="spellEnd"/>
      <w:r>
        <w:t xml:space="preserve"> 2020. El proyecto tiene por finalidad mejorar la eficiencia del examen de variedades y la disponibilidad para los interesados de información sobre el rendimiento de las variedades en diversas condiciones de producción y bajo estrés biótico y abiótico, y abarca diez cultivos: siete cultivos “tipo” (maíz, trigo, raigrás, girasol, papa/patata, tomate y manzano) y tres cultivos “de solicitud” (alfalfa, soja y colza). Los exámenes DHE y los ensayos de rendimiento se abordan de manera equilibrada con intención de lograr la máxima sinergia entre ellos mediante actividades conexas centradas en el </w:t>
      </w:r>
      <w:proofErr w:type="spellStart"/>
      <w:r>
        <w:t>fenotipado</w:t>
      </w:r>
      <w:proofErr w:type="spellEnd"/>
      <w:r>
        <w:t xml:space="preserve">, el </w:t>
      </w:r>
      <w:proofErr w:type="spellStart"/>
      <w:r>
        <w:t>genotipado</w:t>
      </w:r>
      <w:proofErr w:type="spellEnd"/>
      <w:r>
        <w:t>, la modelización y la gestión de bases de datos.</w:t>
      </w:r>
    </w:p>
    <w:p w:rsidR="00094AE7" w:rsidRPr="00607DEE" w:rsidRDefault="00094AE7" w:rsidP="00094AE7">
      <w:pPr>
        <w:rPr>
          <w:rFonts w:cs="Arial"/>
        </w:rPr>
      </w:pPr>
    </w:p>
    <w:p w:rsidR="00094AE7" w:rsidRPr="00607DEE" w:rsidRDefault="00094AE7" w:rsidP="00094AE7">
      <w:pPr>
        <w:rPr>
          <w:rFonts w:cs="Arial"/>
        </w:rPr>
      </w:pPr>
      <w:r>
        <w:t>Entre mayo y junio de 2019, todos los beneficiarios del proyecto firmaron el acuerdo de consorcio y el acuerdo de subvención. El importe total adjudicado es de unos ocho millones de euros, para un período de cinco años, a partir de julio de 2019. La OCVV no recibirá financiación.</w:t>
      </w:r>
    </w:p>
    <w:p w:rsidR="00094AE7" w:rsidRPr="00607DEE" w:rsidRDefault="00094AE7" w:rsidP="00094AE7">
      <w:pPr>
        <w:rPr>
          <w:rFonts w:cs="Arial"/>
        </w:rPr>
      </w:pPr>
    </w:p>
    <w:p w:rsidR="00094AE7" w:rsidRPr="00607DEE" w:rsidRDefault="00094AE7" w:rsidP="00094AE7">
      <w:pPr>
        <w:rPr>
          <w:rFonts w:cs="Arial"/>
        </w:rPr>
      </w:pPr>
      <w:r>
        <w:lastRenderedPageBreak/>
        <w:t xml:space="preserve">Además de participar en las tareas propias del proyecto, la OCVV se encarga de todos los aspectos relativos al acceso a los datos históricos y materiales de referencia que poseen las oficinas de examen. En colaboración con </w:t>
      </w:r>
      <w:proofErr w:type="spellStart"/>
      <w:r>
        <w:t>Euroseeds</w:t>
      </w:r>
      <w:proofErr w:type="spellEnd"/>
      <w:r>
        <w:t>, los jefes de los módulos de trabajo y las oficinas de examen participantes, la OCVV esbozó un acuerdo para conformar el acceso a estos datos y material por parte de los socios del consorcio INVITE. En este acuerdo se describen algunos procedimientos para: 1) obtener consentimientos individuales de los obtentores que son titulares de las variedades de interés (incluida una plantilla de carta de consentimiento), 2) codificar nombres de variedades, 3) gestionar datos validados en un sistema de intercambio de datos, y 4) intercambiar muestras de material de referencia (con una plantilla de acuerdo de transferencia de material). Todos los socios interesados firmaron el acuerdo el 19 de junio de 2020.</w:t>
      </w:r>
    </w:p>
    <w:p w:rsidR="00094AE7" w:rsidRPr="00607DEE" w:rsidRDefault="00094AE7" w:rsidP="00094AE7">
      <w:pPr>
        <w:rPr>
          <w:rFonts w:cs="Arial"/>
        </w:rPr>
      </w:pPr>
    </w:p>
    <w:p w:rsidR="00094AE7" w:rsidRPr="00607DEE" w:rsidRDefault="00094AE7" w:rsidP="00094AE7">
      <w:pPr>
        <w:rPr>
          <w:rFonts w:cs="Arial"/>
        </w:rPr>
      </w:pPr>
      <w:r>
        <w:t>Continuó la colaboración con INNOVAR (el segundo consorcio galardonado de la convocatoria SFS-29-2018, que se centra en el desarrollo de un proyecto de aprendizaje automático para optimizar el examen de variedades en el trigo). El 22 de junio de 2020, la OCVV y el coordinador de INVITE fueron invitados a una reunión organizada por INNOVAR para debatir la cuestión del acceso a los datos y el material. INVITE refirió a INNOVAR su experiencia en la cuestión y ofreció consejos sobre la manera de interactuar con las oficinas de examen. Para respaldar y facilitar la definición de un sistema semejante entre los dos consorcios, se decidió que INVITE enviara a INNOVAR una copia de este acuerdo sobre el acceso a los datos históricos y el material de referencia, lo cual realizó la OCVV el 1 de julio de 2020.</w:t>
      </w:r>
    </w:p>
    <w:p w:rsidR="00094AE7" w:rsidRPr="00607DEE" w:rsidRDefault="00094AE7" w:rsidP="00094AE7">
      <w:pPr>
        <w:rPr>
          <w:rFonts w:cs="Arial"/>
        </w:rPr>
      </w:pPr>
    </w:p>
    <w:p w:rsidR="00094AE7" w:rsidRPr="009E2D41" w:rsidRDefault="00094AE7" w:rsidP="00094AE7">
      <w:pPr>
        <w:rPr>
          <w:rFonts w:cs="Arial"/>
          <w:u w:val="single"/>
        </w:rPr>
      </w:pPr>
      <w:r w:rsidRPr="009E2D41">
        <w:rPr>
          <w:u w:val="single"/>
        </w:rPr>
        <w:t>6.3</w:t>
      </w:r>
      <w:r w:rsidR="009E2D41">
        <w:rPr>
          <w:u w:val="single"/>
        </w:rPr>
        <w:t xml:space="preserve"> </w:t>
      </w:r>
      <w:r w:rsidRPr="009E2D41">
        <w:rPr>
          <w:u w:val="single"/>
        </w:rPr>
        <w:t>Otros proyectos de I+D</w:t>
      </w:r>
    </w:p>
    <w:p w:rsidR="00094AE7" w:rsidRPr="00607DEE" w:rsidRDefault="00094AE7" w:rsidP="00094AE7">
      <w:pPr>
        <w:rPr>
          <w:rFonts w:cs="Arial"/>
        </w:rPr>
      </w:pPr>
    </w:p>
    <w:p w:rsidR="00094AE7" w:rsidRPr="00607DEE" w:rsidRDefault="00094AE7" w:rsidP="00094AE7">
      <w:pPr>
        <w:rPr>
          <w:rFonts w:cs="Arial"/>
          <w:i/>
        </w:rPr>
      </w:pPr>
      <w:proofErr w:type="spellStart"/>
      <w:r>
        <w:rPr>
          <w:i/>
        </w:rPr>
        <w:t>Harmorescoll</w:t>
      </w:r>
      <w:proofErr w:type="spellEnd"/>
    </w:p>
    <w:p w:rsidR="00094AE7" w:rsidRPr="00607DEE" w:rsidRDefault="00094AE7" w:rsidP="00094AE7">
      <w:pPr>
        <w:rPr>
          <w:rFonts w:cs="Arial"/>
        </w:rPr>
      </w:pPr>
    </w:p>
    <w:p w:rsidR="00094AE7" w:rsidRPr="00607DEE" w:rsidRDefault="00094AE7" w:rsidP="00094AE7">
      <w:pPr>
        <w:rPr>
          <w:rFonts w:cs="Arial"/>
        </w:rPr>
      </w:pPr>
      <w:r>
        <w:t>HARMORESCOLL tiene el propósito de establecer, en el ámbito europeo, un sistema coordinado que permita ofrecer información a las partes interesadas sobre el acceso al material de referencia utilizado en los ensayos de enfermedades realizados para el examen DHE, según los protocolos de la OCVV y las directrices de la UPOV. El material de referencia consiste en aislados, controles y diferenciales. El proyecto abarca las resistencias a enfermedades que forman parte de los protocolos DHE. Los proyectos de I+D anteriores demostraron que la armonización es un aspecto que contribuye a mejorar el sistema y la eficiencia de los exámenes DHE.</w:t>
      </w:r>
    </w:p>
    <w:p w:rsidR="00094AE7" w:rsidRPr="00607DEE" w:rsidRDefault="00094AE7" w:rsidP="00094AE7">
      <w:pPr>
        <w:rPr>
          <w:rFonts w:cs="Arial"/>
        </w:rPr>
      </w:pPr>
    </w:p>
    <w:p w:rsidR="00094AE7" w:rsidRPr="00607DEE" w:rsidRDefault="00094AE7" w:rsidP="00094AE7">
      <w:pPr>
        <w:rPr>
          <w:rFonts w:cs="Arial"/>
        </w:rPr>
      </w:pPr>
      <w:r>
        <w:t xml:space="preserve">La intención del proyecto es establecer el sistema y se basa en una labor de colaboración entre las oficinas de examen y las empresas de semillas adheridas a </w:t>
      </w:r>
      <w:proofErr w:type="spellStart"/>
      <w:r>
        <w:t>Euroseeds</w:t>
      </w:r>
      <w:proofErr w:type="spellEnd"/>
      <w:r>
        <w:t>. Una vez que finalice el proyecto, se prevé una financiación y un mantenimiento sostenible basados en la autofinanciación.</w:t>
      </w:r>
    </w:p>
    <w:p w:rsidR="00094AE7" w:rsidRPr="00607DEE" w:rsidRDefault="00094AE7" w:rsidP="00094AE7">
      <w:pPr>
        <w:rPr>
          <w:rFonts w:cs="Arial"/>
        </w:rPr>
      </w:pPr>
    </w:p>
    <w:p w:rsidR="00094AE7" w:rsidRPr="00607DEE" w:rsidRDefault="00094AE7" w:rsidP="00094AE7">
      <w:pPr>
        <w:rPr>
          <w:rFonts w:cs="Arial"/>
        </w:rPr>
      </w:pPr>
      <w:r>
        <w:t xml:space="preserve">Los coordinadores del proyecto son el GEVES y </w:t>
      </w:r>
      <w:proofErr w:type="spellStart"/>
      <w:r>
        <w:rPr>
          <w:i/>
        </w:rPr>
        <w:t>Naktuinbouw</w:t>
      </w:r>
      <w:proofErr w:type="spellEnd"/>
      <w:r>
        <w:rPr>
          <w:i/>
        </w:rPr>
        <w:t>.</w:t>
      </w:r>
      <w:r>
        <w:t xml:space="preserve"> Se inició en 2020 y su duración prevista es de tres años.</w:t>
      </w:r>
    </w:p>
    <w:p w:rsidR="00094AE7" w:rsidRPr="00607DEE" w:rsidRDefault="00094AE7" w:rsidP="00094AE7">
      <w:pPr>
        <w:rPr>
          <w:rFonts w:cs="Arial"/>
        </w:rPr>
      </w:pPr>
    </w:p>
    <w:p w:rsidR="00094AE7" w:rsidRPr="00607DEE" w:rsidRDefault="00094AE7" w:rsidP="00094AE7">
      <w:pPr>
        <w:rPr>
          <w:rFonts w:cs="Arial"/>
          <w:i/>
        </w:rPr>
      </w:pPr>
      <w:r>
        <w:rPr>
          <w:i/>
        </w:rPr>
        <w:t>Melón</w:t>
      </w:r>
    </w:p>
    <w:p w:rsidR="00094AE7" w:rsidRPr="00607DEE" w:rsidRDefault="00094AE7" w:rsidP="00094AE7">
      <w:pPr>
        <w:rPr>
          <w:rFonts w:cs="Arial"/>
        </w:rPr>
      </w:pPr>
    </w:p>
    <w:p w:rsidR="00094AE7" w:rsidRPr="00607DEE" w:rsidRDefault="00094AE7" w:rsidP="00094AE7">
      <w:pPr>
        <w:rPr>
          <w:rFonts w:cs="Arial"/>
        </w:rPr>
      </w:pPr>
      <w:r>
        <w:t>El objetivo es establecer una base de datos común que contenga descripciones de variedades y fotos almacenadas en todas las oficinas de examen autorizadas por la OCVV para el melón. Como los datos de las diferentes oficinas de examen no estarán armonizados, la base de datos no se utilizará directamente para elegir las variedades de referencia que se han de comparar con las variedades candidatas, pero facilitará la identificación del material de referencia disponible y de sus conservadores. Hasta ahora ha habido avances en la creación y carga de la base de datos. La carga de los datos en la base de datos debe terminarse antes de finales de 2020 y la herramienta se pondrá a prueba en condiciones reales a comienzos de 2021.</w:t>
      </w:r>
    </w:p>
    <w:p w:rsidR="00094AE7" w:rsidRPr="00607DEE" w:rsidRDefault="00094AE7" w:rsidP="00094AE7">
      <w:pPr>
        <w:rPr>
          <w:rFonts w:cs="Arial"/>
        </w:rPr>
      </w:pPr>
    </w:p>
    <w:p w:rsidR="00094AE7" w:rsidRPr="00607DEE" w:rsidRDefault="00094AE7" w:rsidP="00094AE7">
      <w:pPr>
        <w:rPr>
          <w:rFonts w:cs="Arial"/>
        </w:rPr>
      </w:pPr>
      <w:r>
        <w:t xml:space="preserve">El coordinador del proyecto es </w:t>
      </w:r>
      <w:proofErr w:type="spellStart"/>
      <w:r>
        <w:rPr>
          <w:i/>
        </w:rPr>
        <w:t>Naktuinbouw</w:t>
      </w:r>
      <w:proofErr w:type="spellEnd"/>
      <w:r>
        <w:t xml:space="preserve"> (NL) y cuenta con los siguientes colaboradores: GEVES (Francia), INIA/OEVV (España), UKSUP (Eslovaquia) y DGAV (Portugal). Se prevé que el informe final esté disponible en 2021.</w:t>
      </w:r>
    </w:p>
    <w:p w:rsidR="00094AE7" w:rsidRPr="00607DEE" w:rsidRDefault="00094AE7" w:rsidP="00094AE7">
      <w:pPr>
        <w:jc w:val="left"/>
        <w:rPr>
          <w:rFonts w:cs="Arial"/>
        </w:rPr>
      </w:pPr>
    </w:p>
    <w:p w:rsidR="0078167F" w:rsidRDefault="0078167F" w:rsidP="0078167F">
      <w:pPr>
        <w:jc w:val="left"/>
      </w:pPr>
    </w:p>
    <w:p w:rsidR="00DB5B37" w:rsidRDefault="00DB5B37" w:rsidP="0078167F">
      <w:pPr>
        <w:jc w:val="left"/>
      </w:pPr>
    </w:p>
    <w:p w:rsidR="0078167F" w:rsidRDefault="0078167F" w:rsidP="0078167F">
      <w:pPr>
        <w:jc w:val="right"/>
      </w:pPr>
      <w:r>
        <w:t>[</w:t>
      </w:r>
      <w:r w:rsidR="00E80B45">
        <w:t>Fin del</w:t>
      </w:r>
      <w:r>
        <w:t xml:space="preserve"> </w:t>
      </w:r>
      <w:r w:rsidR="00E80B45">
        <w:t>Anexo</w:t>
      </w:r>
      <w:r>
        <w:t xml:space="preserve"> XVII </w:t>
      </w:r>
      <w:r w:rsidR="00E80B45">
        <w:t xml:space="preserve">y del </w:t>
      </w:r>
      <w:r>
        <w:t>document</w:t>
      </w:r>
      <w:r w:rsidR="00E80B45">
        <w:t>o</w:t>
      </w:r>
      <w:r>
        <w:t>]</w:t>
      </w:r>
    </w:p>
    <w:p w:rsidR="0078167F" w:rsidRDefault="0078167F" w:rsidP="0078167F"/>
    <w:p w:rsidR="00050E16" w:rsidRPr="00C5280D" w:rsidRDefault="00050E16" w:rsidP="009B440E">
      <w:pPr>
        <w:jc w:val="left"/>
      </w:pPr>
      <w:bookmarkStart w:id="1" w:name="_GoBack"/>
      <w:bookmarkEnd w:id="1"/>
    </w:p>
    <w:sectPr w:rsidR="00050E16" w:rsidRPr="00C5280D" w:rsidSect="00094AE7">
      <w:headerReference w:type="default" r:id="rId44"/>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696" w:rsidRDefault="002D1696" w:rsidP="00F36004">
      <w:pPr>
        <w:spacing w:after="120"/>
      </w:pPr>
      <w:r>
        <w:separator/>
      </w:r>
    </w:p>
  </w:endnote>
  <w:endnote w:type="continuationSeparator" w:id="0">
    <w:p w:rsidR="002D1696" w:rsidRDefault="002D1696" w:rsidP="006655D3">
      <w:r>
        <w:separator/>
      </w:r>
    </w:p>
    <w:p w:rsidR="002D1696" w:rsidRPr="00294751" w:rsidRDefault="002D1696">
      <w:pPr>
        <w:pStyle w:val="Footer"/>
        <w:spacing w:after="60"/>
        <w:rPr>
          <w:sz w:val="18"/>
          <w:lang w:val="fr-FR"/>
        </w:rPr>
      </w:pPr>
      <w:r w:rsidRPr="00294751">
        <w:rPr>
          <w:sz w:val="18"/>
          <w:lang w:val="fr-FR"/>
        </w:rPr>
        <w:t>[Suite de la note de la page précédente]</w:t>
      </w:r>
    </w:p>
    <w:p w:rsidR="002D1696" w:rsidRPr="00294751" w:rsidRDefault="002D1696" w:rsidP="006655D3">
      <w:pPr>
        <w:rPr>
          <w:lang w:val="fr-FR"/>
        </w:rPr>
      </w:pPr>
    </w:p>
    <w:p w:rsidR="002D1696" w:rsidRPr="00294751" w:rsidRDefault="002D1696" w:rsidP="006655D3">
      <w:pPr>
        <w:rPr>
          <w:lang w:val="fr-FR"/>
        </w:rPr>
      </w:pPr>
    </w:p>
  </w:endnote>
  <w:endnote w:type="continuationNotice" w:id="1">
    <w:p w:rsidR="002D1696" w:rsidRPr="00294751" w:rsidRDefault="002D1696" w:rsidP="006655D3">
      <w:pPr>
        <w:rPr>
          <w:lang w:val="fr-FR"/>
        </w:rPr>
      </w:pPr>
      <w:r w:rsidRPr="00294751">
        <w:rPr>
          <w:lang w:val="fr-FR"/>
        </w:rPr>
        <w:t>[Suite de la note page suivante]</w:t>
      </w:r>
    </w:p>
    <w:p w:rsidR="002D1696" w:rsidRPr="00294751" w:rsidRDefault="002D1696" w:rsidP="006655D3">
      <w:pPr>
        <w:rPr>
          <w:lang w:val="fr-FR"/>
        </w:rPr>
      </w:pPr>
    </w:p>
    <w:p w:rsidR="002D1696" w:rsidRPr="00294751" w:rsidRDefault="002D1696" w:rsidP="006655D3">
      <w:pPr>
        <w:rPr>
          <w:lang w:val="fr-FR"/>
        </w:rPr>
      </w:pPr>
    </w:p>
  </w:endnote>
  <w:endnote w:id="2">
    <w:p w:rsidR="00094AE7" w:rsidRPr="00F36004" w:rsidRDefault="00094AE7" w:rsidP="00094AE7">
      <w:pPr>
        <w:pStyle w:val="EndnoteText"/>
        <w:tabs>
          <w:tab w:val="left" w:pos="284"/>
        </w:tabs>
        <w:spacing w:before="60"/>
        <w:rPr>
          <w:sz w:val="16"/>
        </w:rPr>
      </w:pPr>
      <w:r w:rsidRPr="00F36004">
        <w:rPr>
          <w:rStyle w:val="EndnoteReference"/>
          <w:sz w:val="16"/>
        </w:rPr>
        <w:endnoteRef/>
      </w:r>
      <w:r w:rsidRPr="00F36004">
        <w:rPr>
          <w:sz w:val="16"/>
        </w:rPr>
        <w:tab/>
        <w:t>En este informe se utiliza la terminología de las Naciones Unidas.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696" w:rsidRDefault="002D1696" w:rsidP="006655D3">
      <w:r>
        <w:separator/>
      </w:r>
    </w:p>
  </w:footnote>
  <w:footnote w:type="continuationSeparator" w:id="0">
    <w:p w:rsidR="002D1696" w:rsidRDefault="002D1696" w:rsidP="006655D3">
      <w:r>
        <w:separator/>
      </w:r>
    </w:p>
  </w:footnote>
  <w:footnote w:type="continuationNotice" w:id="1">
    <w:p w:rsidR="002D1696" w:rsidRPr="00AB530F" w:rsidRDefault="002D169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C5280D" w:rsidRDefault="002D1696" w:rsidP="00EB048E">
    <w:pPr>
      <w:pStyle w:val="Header"/>
      <w:rPr>
        <w:rStyle w:val="PageNumber"/>
        <w:lang w:val="en-US"/>
      </w:rPr>
    </w:pPr>
    <w:r>
      <w:rPr>
        <w:rStyle w:val="PageNumber"/>
        <w:lang w:val="en-US"/>
      </w:rPr>
      <w:t>C/54/INF/4</w:t>
    </w:r>
  </w:p>
  <w:p w:rsidR="002D1696" w:rsidRPr="00C5280D" w:rsidRDefault="002D1696" w:rsidP="00EB048E">
    <w:pPr>
      <w:pStyle w:val="Header"/>
      <w:rPr>
        <w:lang w:val="en-US"/>
      </w:rPr>
    </w:pP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rsidR="002D1696" w:rsidRPr="00C5280D" w:rsidRDefault="002D1696"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932993" w:rsidRDefault="002D1696" w:rsidP="00EB048E">
    <w:pPr>
      <w:pStyle w:val="Header"/>
      <w:rPr>
        <w:rStyle w:val="PageNumber"/>
        <w:lang w:val="pt-PT"/>
      </w:rPr>
    </w:pPr>
    <w:r w:rsidRPr="00932993">
      <w:rPr>
        <w:rStyle w:val="PageNumber"/>
        <w:lang w:val="pt-PT"/>
      </w:rPr>
      <w:t>C/54/INF/4</w:t>
    </w:r>
  </w:p>
  <w:p w:rsidR="002D1696" w:rsidRPr="00932993" w:rsidRDefault="002D1696" w:rsidP="00EB048E">
    <w:pPr>
      <w:pStyle w:val="Header"/>
      <w:rPr>
        <w:lang w:val="pt-PT"/>
      </w:rPr>
    </w:pPr>
    <w:r w:rsidRPr="00932993">
      <w:rPr>
        <w:lang w:val="pt-PT"/>
      </w:rPr>
      <w:t xml:space="preserve">Anexo IX, página </w:t>
    </w:r>
    <w:r w:rsidRPr="00666208">
      <w:rPr>
        <w:rStyle w:val="PageNumber"/>
      </w:rPr>
      <w:fldChar w:fldCharType="begin"/>
    </w:r>
    <w:r w:rsidRPr="00932993">
      <w:rPr>
        <w:rStyle w:val="PageNumber"/>
        <w:lang w:val="pt-PT"/>
      </w:rPr>
      <w:instrText xml:space="preserve"> PAGE </w:instrText>
    </w:r>
    <w:r w:rsidRPr="00666208">
      <w:rPr>
        <w:rStyle w:val="PageNumber"/>
      </w:rPr>
      <w:fldChar w:fldCharType="separate"/>
    </w:r>
    <w:r w:rsidR="00FE0BB4">
      <w:rPr>
        <w:rStyle w:val="PageNumber"/>
        <w:noProof/>
        <w:lang w:val="pt-PT"/>
      </w:rPr>
      <w:t>2</w:t>
    </w:r>
    <w:r w:rsidRPr="00666208">
      <w:rPr>
        <w:rStyle w:val="PageNumber"/>
      </w:rPr>
      <w:fldChar w:fldCharType="end"/>
    </w:r>
  </w:p>
  <w:p w:rsidR="002D1696" w:rsidRPr="00932993" w:rsidRDefault="002D1696" w:rsidP="006655D3">
    <w:pPr>
      <w:rPr>
        <w:lang w:val="pt-PT"/>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932993" w:rsidRDefault="002D1696" w:rsidP="00EB048E">
    <w:pPr>
      <w:pStyle w:val="Header"/>
      <w:rPr>
        <w:rStyle w:val="PageNumber"/>
        <w:lang w:val="pt-PT"/>
      </w:rPr>
    </w:pPr>
    <w:r w:rsidRPr="00932993">
      <w:rPr>
        <w:rStyle w:val="PageNumber"/>
        <w:lang w:val="pt-PT"/>
      </w:rPr>
      <w:t>C/54/INF/4</w:t>
    </w:r>
  </w:p>
  <w:p w:rsidR="002D1696" w:rsidRPr="00932993" w:rsidRDefault="002D1696" w:rsidP="00EB048E">
    <w:pPr>
      <w:pStyle w:val="Header"/>
      <w:rPr>
        <w:lang w:val="pt-PT"/>
      </w:rPr>
    </w:pPr>
    <w:r w:rsidRPr="00932993">
      <w:rPr>
        <w:lang w:val="pt-PT"/>
      </w:rPr>
      <w:t xml:space="preserve">Anexo X, página </w:t>
    </w:r>
    <w:r w:rsidRPr="00666208">
      <w:rPr>
        <w:rStyle w:val="PageNumber"/>
      </w:rPr>
      <w:fldChar w:fldCharType="begin"/>
    </w:r>
    <w:r w:rsidRPr="00932993">
      <w:rPr>
        <w:rStyle w:val="PageNumber"/>
        <w:lang w:val="pt-PT"/>
      </w:rPr>
      <w:instrText xml:space="preserve"> PAGE </w:instrText>
    </w:r>
    <w:r w:rsidRPr="00666208">
      <w:rPr>
        <w:rStyle w:val="PageNumber"/>
      </w:rPr>
      <w:fldChar w:fldCharType="separate"/>
    </w:r>
    <w:r w:rsidR="00FE0BB4">
      <w:rPr>
        <w:rStyle w:val="PageNumber"/>
        <w:noProof/>
        <w:lang w:val="pt-PT"/>
      </w:rPr>
      <w:t>2</w:t>
    </w:r>
    <w:r w:rsidRPr="00666208">
      <w:rPr>
        <w:rStyle w:val="PageNumber"/>
      </w:rPr>
      <w:fldChar w:fldCharType="end"/>
    </w:r>
  </w:p>
  <w:p w:rsidR="002D1696" w:rsidRPr="00932993" w:rsidRDefault="002D1696" w:rsidP="006655D3">
    <w:pPr>
      <w:rPr>
        <w:lang w:val="pt-PT"/>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932993" w:rsidRDefault="002D1696" w:rsidP="00EB048E">
    <w:pPr>
      <w:pStyle w:val="Header"/>
      <w:rPr>
        <w:rStyle w:val="PageNumber"/>
        <w:lang w:val="pt-PT"/>
      </w:rPr>
    </w:pPr>
    <w:r w:rsidRPr="00932993">
      <w:rPr>
        <w:rStyle w:val="PageNumber"/>
        <w:lang w:val="pt-PT"/>
      </w:rPr>
      <w:t>C/54/INF/4</w:t>
    </w:r>
  </w:p>
  <w:p w:rsidR="002D1696" w:rsidRPr="00932993" w:rsidRDefault="002D1696" w:rsidP="00EB048E">
    <w:pPr>
      <w:pStyle w:val="Header"/>
      <w:rPr>
        <w:lang w:val="pt-PT"/>
      </w:rPr>
    </w:pPr>
    <w:r w:rsidRPr="00932993">
      <w:rPr>
        <w:lang w:val="pt-PT"/>
      </w:rPr>
      <w:t xml:space="preserve">Anexo XI, página </w:t>
    </w:r>
    <w:r w:rsidRPr="00666208">
      <w:rPr>
        <w:rStyle w:val="PageNumber"/>
      </w:rPr>
      <w:fldChar w:fldCharType="begin"/>
    </w:r>
    <w:r w:rsidRPr="00932993">
      <w:rPr>
        <w:rStyle w:val="PageNumber"/>
        <w:lang w:val="pt-PT"/>
      </w:rPr>
      <w:instrText xml:space="preserve"> PAGE </w:instrText>
    </w:r>
    <w:r w:rsidRPr="00666208">
      <w:rPr>
        <w:rStyle w:val="PageNumber"/>
      </w:rPr>
      <w:fldChar w:fldCharType="separate"/>
    </w:r>
    <w:r w:rsidR="00FE0BB4">
      <w:rPr>
        <w:rStyle w:val="PageNumber"/>
        <w:noProof/>
        <w:lang w:val="pt-PT"/>
      </w:rPr>
      <w:t>4</w:t>
    </w:r>
    <w:r w:rsidRPr="00666208">
      <w:rPr>
        <w:rStyle w:val="PageNumber"/>
      </w:rPr>
      <w:fldChar w:fldCharType="end"/>
    </w:r>
  </w:p>
  <w:p w:rsidR="002D1696" w:rsidRPr="00932993" w:rsidRDefault="002D1696" w:rsidP="006655D3">
    <w:pPr>
      <w:rPr>
        <w:lang w:val="pt-PT"/>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932993" w:rsidRDefault="002D1696" w:rsidP="00EB048E">
    <w:pPr>
      <w:pStyle w:val="Header"/>
      <w:rPr>
        <w:rStyle w:val="PageNumber"/>
        <w:lang w:val="pt-PT"/>
      </w:rPr>
    </w:pPr>
    <w:r w:rsidRPr="00932993">
      <w:rPr>
        <w:rStyle w:val="PageNumber"/>
        <w:lang w:val="pt-PT"/>
      </w:rPr>
      <w:t>C/54/INF/4</w:t>
    </w:r>
  </w:p>
  <w:p w:rsidR="002D1696" w:rsidRPr="00932993" w:rsidRDefault="002D1696" w:rsidP="00EB048E">
    <w:pPr>
      <w:pStyle w:val="Header"/>
      <w:rPr>
        <w:lang w:val="pt-PT"/>
      </w:rPr>
    </w:pPr>
    <w:r w:rsidRPr="00932993">
      <w:rPr>
        <w:lang w:val="pt-PT"/>
      </w:rPr>
      <w:t xml:space="preserve">Anexo XII, página </w:t>
    </w:r>
    <w:r w:rsidRPr="00666208">
      <w:rPr>
        <w:rStyle w:val="PageNumber"/>
      </w:rPr>
      <w:fldChar w:fldCharType="begin"/>
    </w:r>
    <w:r w:rsidRPr="00932993">
      <w:rPr>
        <w:rStyle w:val="PageNumber"/>
        <w:lang w:val="pt-PT"/>
      </w:rPr>
      <w:instrText xml:space="preserve"> PAGE </w:instrText>
    </w:r>
    <w:r w:rsidRPr="00666208">
      <w:rPr>
        <w:rStyle w:val="PageNumber"/>
      </w:rPr>
      <w:fldChar w:fldCharType="separate"/>
    </w:r>
    <w:r w:rsidR="00FE0BB4">
      <w:rPr>
        <w:rStyle w:val="PageNumber"/>
        <w:noProof/>
        <w:lang w:val="pt-PT"/>
      </w:rPr>
      <w:t>2</w:t>
    </w:r>
    <w:r w:rsidRPr="00666208">
      <w:rPr>
        <w:rStyle w:val="PageNumber"/>
      </w:rPr>
      <w:fldChar w:fldCharType="end"/>
    </w:r>
  </w:p>
  <w:p w:rsidR="002D1696" w:rsidRPr="00932993" w:rsidRDefault="002D1696" w:rsidP="006655D3">
    <w:pPr>
      <w:rPr>
        <w:lang w:val="pt-PT"/>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932993" w:rsidRDefault="002D1696" w:rsidP="00EB048E">
    <w:pPr>
      <w:pStyle w:val="Header"/>
      <w:rPr>
        <w:rStyle w:val="PageNumber"/>
        <w:lang w:val="pt-PT"/>
      </w:rPr>
    </w:pPr>
    <w:r w:rsidRPr="00932993">
      <w:rPr>
        <w:rStyle w:val="PageNumber"/>
        <w:lang w:val="pt-PT"/>
      </w:rPr>
      <w:t>C/54/INF/4</w:t>
    </w:r>
  </w:p>
  <w:p w:rsidR="002D1696" w:rsidRPr="00932993" w:rsidRDefault="002D1696" w:rsidP="00EB048E">
    <w:pPr>
      <w:pStyle w:val="Header"/>
      <w:rPr>
        <w:lang w:val="pt-PT"/>
      </w:rPr>
    </w:pPr>
    <w:r w:rsidRPr="00932993">
      <w:rPr>
        <w:lang w:val="pt-PT"/>
      </w:rPr>
      <w:t xml:space="preserve">Anexo XIII, página </w:t>
    </w:r>
    <w:r w:rsidRPr="00C5280D">
      <w:rPr>
        <w:rStyle w:val="PageNumber"/>
        <w:lang w:val="en-US"/>
      </w:rPr>
      <w:fldChar w:fldCharType="begin"/>
    </w:r>
    <w:r w:rsidRPr="00932993">
      <w:rPr>
        <w:rStyle w:val="PageNumber"/>
        <w:lang w:val="pt-PT"/>
      </w:rPr>
      <w:instrText xml:space="preserve"> PAGE </w:instrText>
    </w:r>
    <w:r w:rsidRPr="00C5280D">
      <w:rPr>
        <w:rStyle w:val="PageNumber"/>
        <w:lang w:val="en-US"/>
      </w:rPr>
      <w:fldChar w:fldCharType="separate"/>
    </w:r>
    <w:r w:rsidR="00EC2B3C" w:rsidRPr="00932993">
      <w:rPr>
        <w:rStyle w:val="PageNumber"/>
        <w:noProof/>
        <w:lang w:val="pt-PT"/>
      </w:rPr>
      <w:t>2</w:t>
    </w:r>
    <w:r w:rsidRPr="00C5280D">
      <w:rPr>
        <w:rStyle w:val="PageNumber"/>
        <w:lang w:val="en-US"/>
      </w:rPr>
      <w:fldChar w:fldCharType="end"/>
    </w:r>
  </w:p>
  <w:p w:rsidR="002D1696" w:rsidRPr="00932993" w:rsidRDefault="002D1696" w:rsidP="006655D3">
    <w:pPr>
      <w:rPr>
        <w:lang w:val="pt-PT"/>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932993" w:rsidRDefault="002D1696" w:rsidP="00EB048E">
    <w:pPr>
      <w:pStyle w:val="Header"/>
      <w:rPr>
        <w:rStyle w:val="PageNumber"/>
        <w:lang w:val="pt-PT"/>
      </w:rPr>
    </w:pPr>
    <w:r w:rsidRPr="00932993">
      <w:rPr>
        <w:rStyle w:val="PageNumber"/>
        <w:lang w:val="pt-PT"/>
      </w:rPr>
      <w:t>C/54/INF/4</w:t>
    </w:r>
  </w:p>
  <w:p w:rsidR="002D1696" w:rsidRPr="00932993" w:rsidRDefault="002D1696" w:rsidP="00EB048E">
    <w:pPr>
      <w:pStyle w:val="Header"/>
      <w:rPr>
        <w:lang w:val="pt-PT"/>
      </w:rPr>
    </w:pPr>
    <w:r w:rsidRPr="00932993">
      <w:rPr>
        <w:lang w:val="pt-PT"/>
      </w:rPr>
      <w:t xml:space="preserve">Anexo XIV, página </w:t>
    </w:r>
    <w:r w:rsidRPr="00666208">
      <w:rPr>
        <w:rStyle w:val="PageNumber"/>
      </w:rPr>
      <w:fldChar w:fldCharType="begin"/>
    </w:r>
    <w:r w:rsidRPr="00932993">
      <w:rPr>
        <w:rStyle w:val="PageNumber"/>
        <w:lang w:val="pt-PT"/>
      </w:rPr>
      <w:instrText xml:space="preserve"> PAGE </w:instrText>
    </w:r>
    <w:r w:rsidRPr="00666208">
      <w:rPr>
        <w:rStyle w:val="PageNumber"/>
      </w:rPr>
      <w:fldChar w:fldCharType="separate"/>
    </w:r>
    <w:r w:rsidR="00666208" w:rsidRPr="00932993">
      <w:rPr>
        <w:rStyle w:val="PageNumber"/>
        <w:noProof/>
        <w:lang w:val="pt-PT"/>
      </w:rPr>
      <w:t>2</w:t>
    </w:r>
    <w:r w:rsidRPr="00666208">
      <w:rPr>
        <w:rStyle w:val="PageNumber"/>
      </w:rPr>
      <w:fldChar w:fldCharType="end"/>
    </w:r>
  </w:p>
  <w:p w:rsidR="002D1696" w:rsidRPr="00932993" w:rsidRDefault="002D1696" w:rsidP="006655D3">
    <w:pPr>
      <w:rPr>
        <w:lang w:val="pt-PT"/>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932993" w:rsidRDefault="002D1696" w:rsidP="00EB048E">
    <w:pPr>
      <w:pStyle w:val="Header"/>
      <w:rPr>
        <w:rStyle w:val="PageNumber"/>
        <w:lang w:val="pt-PT"/>
      </w:rPr>
    </w:pPr>
    <w:r w:rsidRPr="00932993">
      <w:rPr>
        <w:rStyle w:val="PageNumber"/>
        <w:lang w:val="pt-PT"/>
      </w:rPr>
      <w:t>C/54/INF/4</w:t>
    </w:r>
  </w:p>
  <w:p w:rsidR="002D1696" w:rsidRPr="00932993" w:rsidRDefault="002D1696" w:rsidP="00EB048E">
    <w:pPr>
      <w:pStyle w:val="Header"/>
      <w:rPr>
        <w:lang w:val="pt-PT"/>
      </w:rPr>
    </w:pPr>
    <w:r w:rsidRPr="00932993">
      <w:rPr>
        <w:lang w:val="pt-PT"/>
      </w:rPr>
      <w:t xml:space="preserve">Anexo XV, página </w:t>
    </w:r>
    <w:r w:rsidRPr="00C5280D">
      <w:rPr>
        <w:rStyle w:val="PageNumber"/>
        <w:lang w:val="en-US"/>
      </w:rPr>
      <w:fldChar w:fldCharType="begin"/>
    </w:r>
    <w:r w:rsidRPr="00932993">
      <w:rPr>
        <w:rStyle w:val="PageNumber"/>
        <w:lang w:val="pt-PT"/>
      </w:rPr>
      <w:instrText xml:space="preserve"> PAGE </w:instrText>
    </w:r>
    <w:r w:rsidRPr="00C5280D">
      <w:rPr>
        <w:rStyle w:val="PageNumber"/>
        <w:lang w:val="en-US"/>
      </w:rPr>
      <w:fldChar w:fldCharType="separate"/>
    </w:r>
    <w:r w:rsidR="00EC2B3C" w:rsidRPr="00932993">
      <w:rPr>
        <w:rStyle w:val="PageNumber"/>
        <w:noProof/>
        <w:lang w:val="pt-PT"/>
      </w:rPr>
      <w:t>2</w:t>
    </w:r>
    <w:r w:rsidRPr="00C5280D">
      <w:rPr>
        <w:rStyle w:val="PageNumber"/>
        <w:lang w:val="en-US"/>
      </w:rPr>
      <w:fldChar w:fldCharType="end"/>
    </w:r>
  </w:p>
  <w:p w:rsidR="002D1696" w:rsidRPr="00932993" w:rsidRDefault="002D1696" w:rsidP="006655D3">
    <w:pPr>
      <w:rPr>
        <w:lang w:val="pt-PT"/>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932993" w:rsidRDefault="002D1696" w:rsidP="00EB048E">
    <w:pPr>
      <w:pStyle w:val="Header"/>
      <w:rPr>
        <w:rStyle w:val="PageNumber"/>
        <w:lang w:val="pt-PT"/>
      </w:rPr>
    </w:pPr>
    <w:r w:rsidRPr="00932993">
      <w:rPr>
        <w:rStyle w:val="PageNumber"/>
        <w:lang w:val="pt-PT"/>
      </w:rPr>
      <w:t>C/54/INF/4</w:t>
    </w:r>
  </w:p>
  <w:p w:rsidR="002D1696" w:rsidRPr="00932993" w:rsidRDefault="002D1696" w:rsidP="00EB048E">
    <w:pPr>
      <w:pStyle w:val="Header"/>
      <w:rPr>
        <w:lang w:val="pt-PT"/>
      </w:rPr>
    </w:pPr>
    <w:r w:rsidRPr="00932993">
      <w:rPr>
        <w:lang w:val="pt-PT"/>
      </w:rPr>
      <w:t xml:space="preserve">Anexo XVI, página </w:t>
    </w:r>
    <w:r w:rsidRPr="00666208">
      <w:rPr>
        <w:rStyle w:val="PageNumber"/>
      </w:rPr>
      <w:fldChar w:fldCharType="begin"/>
    </w:r>
    <w:r w:rsidRPr="00932993">
      <w:rPr>
        <w:rStyle w:val="PageNumber"/>
        <w:lang w:val="pt-PT"/>
      </w:rPr>
      <w:instrText xml:space="preserve"> PAGE </w:instrText>
    </w:r>
    <w:r w:rsidRPr="00666208">
      <w:rPr>
        <w:rStyle w:val="PageNumber"/>
      </w:rPr>
      <w:fldChar w:fldCharType="separate"/>
    </w:r>
    <w:r w:rsidR="00FE0BB4">
      <w:rPr>
        <w:rStyle w:val="PageNumber"/>
        <w:noProof/>
        <w:lang w:val="pt-PT"/>
      </w:rPr>
      <w:t>4</w:t>
    </w:r>
    <w:r w:rsidRPr="00666208">
      <w:rPr>
        <w:rStyle w:val="PageNumber"/>
      </w:rPr>
      <w:fldChar w:fldCharType="end"/>
    </w:r>
  </w:p>
  <w:p w:rsidR="002D1696" w:rsidRPr="00932993" w:rsidRDefault="002D1696" w:rsidP="006655D3">
    <w:pPr>
      <w:rPr>
        <w:lang w:val="pt-PT"/>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932993" w:rsidRDefault="002D1696" w:rsidP="000A23DC">
    <w:pPr>
      <w:pStyle w:val="Header"/>
      <w:rPr>
        <w:rStyle w:val="PageNumber"/>
        <w:lang w:val="pt-PT"/>
      </w:rPr>
    </w:pPr>
    <w:r w:rsidRPr="00932993">
      <w:rPr>
        <w:rStyle w:val="PageNumber"/>
        <w:lang w:val="pt-PT"/>
      </w:rPr>
      <w:t>C/54/INF/4</w:t>
    </w:r>
  </w:p>
  <w:p w:rsidR="002D1696" w:rsidRPr="00932993" w:rsidRDefault="002D1696" w:rsidP="008B3D8D">
    <w:pPr>
      <w:pStyle w:val="Header"/>
      <w:rPr>
        <w:lang w:val="pt-PT"/>
      </w:rPr>
    </w:pPr>
    <w:r w:rsidRPr="00932993">
      <w:rPr>
        <w:lang w:val="pt-PT"/>
      </w:rPr>
      <w:t xml:space="preserve">Anexo XVII, página </w:t>
    </w:r>
    <w:r w:rsidRPr="00202E38">
      <w:rPr>
        <w:rStyle w:val="PageNumber"/>
        <w:lang w:val="de-DE"/>
      </w:rPr>
      <w:fldChar w:fldCharType="begin"/>
    </w:r>
    <w:r w:rsidRPr="00932993">
      <w:rPr>
        <w:rStyle w:val="PageNumber"/>
        <w:lang w:val="pt-PT"/>
      </w:rPr>
      <w:instrText xml:space="preserve"> PAGE </w:instrText>
    </w:r>
    <w:r w:rsidRPr="00202E38">
      <w:rPr>
        <w:rStyle w:val="PageNumber"/>
        <w:lang w:val="de-DE"/>
      </w:rPr>
      <w:fldChar w:fldCharType="separate"/>
    </w:r>
    <w:r w:rsidR="00FE0BB4">
      <w:rPr>
        <w:rStyle w:val="PageNumber"/>
        <w:noProof/>
        <w:lang w:val="pt-PT"/>
      </w:rPr>
      <w:t>7</w:t>
    </w:r>
    <w:r w:rsidRPr="00202E38">
      <w:rPr>
        <w:rStyle w:val="PageNumber"/>
        <w:lang w:val="de-DE"/>
      </w:rPr>
      <w:fldChar w:fldCharType="end"/>
    </w:r>
  </w:p>
  <w:p w:rsidR="002D1696" w:rsidRPr="00932993" w:rsidRDefault="002D1696" w:rsidP="006655D3">
    <w:pPr>
      <w:rPr>
        <w:lang w:val="pt-P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932993" w:rsidRDefault="002D1696" w:rsidP="00EB048E">
    <w:pPr>
      <w:pStyle w:val="Header"/>
      <w:rPr>
        <w:rStyle w:val="PageNumber"/>
        <w:lang w:val="pt-PT"/>
      </w:rPr>
    </w:pPr>
    <w:r w:rsidRPr="00932993">
      <w:rPr>
        <w:rStyle w:val="PageNumber"/>
        <w:lang w:val="pt-PT"/>
      </w:rPr>
      <w:t>C/54/INF/4</w:t>
    </w:r>
  </w:p>
  <w:p w:rsidR="002D1696" w:rsidRPr="00932993" w:rsidRDefault="002D1696" w:rsidP="00EB048E">
    <w:pPr>
      <w:pStyle w:val="Header"/>
      <w:rPr>
        <w:lang w:val="pt-PT"/>
      </w:rPr>
    </w:pPr>
    <w:r w:rsidRPr="00932993">
      <w:rPr>
        <w:lang w:val="pt-PT"/>
      </w:rPr>
      <w:t xml:space="preserve">Anexo I, página </w:t>
    </w:r>
    <w:r w:rsidRPr="00C5280D">
      <w:rPr>
        <w:rStyle w:val="PageNumber"/>
        <w:lang w:val="en-US"/>
      </w:rPr>
      <w:fldChar w:fldCharType="begin"/>
    </w:r>
    <w:r w:rsidRPr="00932993">
      <w:rPr>
        <w:rStyle w:val="PageNumber"/>
        <w:lang w:val="pt-PT"/>
      </w:rPr>
      <w:instrText xml:space="preserve"> PAGE </w:instrText>
    </w:r>
    <w:r w:rsidRPr="00C5280D">
      <w:rPr>
        <w:rStyle w:val="PageNumber"/>
        <w:lang w:val="en-US"/>
      </w:rPr>
      <w:fldChar w:fldCharType="separate"/>
    </w:r>
    <w:r w:rsidR="00666208" w:rsidRPr="00932993">
      <w:rPr>
        <w:rStyle w:val="PageNumber"/>
        <w:noProof/>
        <w:lang w:val="pt-PT"/>
      </w:rPr>
      <w:t>2</w:t>
    </w:r>
    <w:r w:rsidRPr="00C5280D">
      <w:rPr>
        <w:rStyle w:val="PageNumber"/>
        <w:lang w:val="en-US"/>
      </w:rPr>
      <w:fldChar w:fldCharType="end"/>
    </w:r>
  </w:p>
  <w:p w:rsidR="002D1696" w:rsidRPr="00932993" w:rsidRDefault="002D1696" w:rsidP="006655D3">
    <w:pPr>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932993" w:rsidRDefault="002D1696" w:rsidP="00EB048E">
    <w:pPr>
      <w:pStyle w:val="Header"/>
      <w:rPr>
        <w:rStyle w:val="PageNumber"/>
        <w:lang w:val="pt-PT"/>
      </w:rPr>
    </w:pPr>
    <w:r w:rsidRPr="00932993">
      <w:rPr>
        <w:rStyle w:val="PageNumber"/>
        <w:lang w:val="pt-PT"/>
      </w:rPr>
      <w:t>C/54/INF/4</w:t>
    </w:r>
  </w:p>
  <w:p w:rsidR="002D1696" w:rsidRPr="00932993" w:rsidRDefault="002D1696" w:rsidP="00EB048E">
    <w:pPr>
      <w:pStyle w:val="Header"/>
      <w:rPr>
        <w:lang w:val="pt-PT"/>
      </w:rPr>
    </w:pPr>
    <w:r w:rsidRPr="00932993">
      <w:rPr>
        <w:lang w:val="pt-PT"/>
      </w:rPr>
      <w:t xml:space="preserve">Anexo II, página </w:t>
    </w:r>
    <w:r w:rsidRPr="00666208">
      <w:rPr>
        <w:rStyle w:val="PageNumber"/>
      </w:rPr>
      <w:fldChar w:fldCharType="begin"/>
    </w:r>
    <w:r w:rsidRPr="00932993">
      <w:rPr>
        <w:rStyle w:val="PageNumber"/>
        <w:lang w:val="pt-PT"/>
      </w:rPr>
      <w:instrText xml:space="preserve"> PAGE </w:instrText>
    </w:r>
    <w:r w:rsidRPr="00666208">
      <w:rPr>
        <w:rStyle w:val="PageNumber"/>
      </w:rPr>
      <w:fldChar w:fldCharType="separate"/>
    </w:r>
    <w:r w:rsidR="00666208" w:rsidRPr="00932993">
      <w:rPr>
        <w:rStyle w:val="PageNumber"/>
        <w:noProof/>
        <w:lang w:val="pt-PT"/>
      </w:rPr>
      <w:t>2</w:t>
    </w:r>
    <w:r w:rsidRPr="00666208">
      <w:rPr>
        <w:rStyle w:val="PageNumber"/>
      </w:rPr>
      <w:fldChar w:fldCharType="end"/>
    </w:r>
  </w:p>
  <w:p w:rsidR="002D1696" w:rsidRPr="00932993" w:rsidRDefault="002D1696" w:rsidP="006655D3">
    <w:pPr>
      <w:rPr>
        <w:lang w:val="pt-P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932993" w:rsidRDefault="002D1696" w:rsidP="00EB048E">
    <w:pPr>
      <w:pStyle w:val="Header"/>
      <w:rPr>
        <w:rStyle w:val="PageNumber"/>
        <w:lang w:val="pt-PT"/>
      </w:rPr>
    </w:pPr>
    <w:r w:rsidRPr="00932993">
      <w:rPr>
        <w:rStyle w:val="PageNumber"/>
        <w:lang w:val="pt-PT"/>
      </w:rPr>
      <w:t>C/54/INF/4</w:t>
    </w:r>
  </w:p>
  <w:p w:rsidR="002D1696" w:rsidRPr="00932993" w:rsidRDefault="002D1696" w:rsidP="00EB048E">
    <w:pPr>
      <w:pStyle w:val="Header"/>
      <w:rPr>
        <w:lang w:val="pt-PT"/>
      </w:rPr>
    </w:pPr>
    <w:r w:rsidRPr="00932993">
      <w:rPr>
        <w:lang w:val="pt-PT"/>
      </w:rPr>
      <w:t xml:space="preserve">Anexo III, página </w:t>
    </w:r>
    <w:r w:rsidRPr="00666208">
      <w:rPr>
        <w:rStyle w:val="PageNumber"/>
      </w:rPr>
      <w:fldChar w:fldCharType="begin"/>
    </w:r>
    <w:r w:rsidRPr="00932993">
      <w:rPr>
        <w:rStyle w:val="PageNumber"/>
        <w:lang w:val="pt-PT"/>
      </w:rPr>
      <w:instrText xml:space="preserve"> PAGE </w:instrText>
    </w:r>
    <w:r w:rsidRPr="00666208">
      <w:rPr>
        <w:rStyle w:val="PageNumber"/>
      </w:rPr>
      <w:fldChar w:fldCharType="separate"/>
    </w:r>
    <w:r w:rsidR="00FE0BB4">
      <w:rPr>
        <w:rStyle w:val="PageNumber"/>
        <w:noProof/>
        <w:lang w:val="pt-PT"/>
      </w:rPr>
      <w:t>3</w:t>
    </w:r>
    <w:r w:rsidRPr="00666208">
      <w:rPr>
        <w:rStyle w:val="PageNumber"/>
      </w:rPr>
      <w:fldChar w:fldCharType="end"/>
    </w:r>
  </w:p>
  <w:p w:rsidR="002D1696" w:rsidRPr="00932993" w:rsidRDefault="002D1696" w:rsidP="006655D3">
    <w:pPr>
      <w:rPr>
        <w:lang w:val="pt-PT"/>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932993" w:rsidRDefault="002D1696" w:rsidP="00EB048E">
    <w:pPr>
      <w:pStyle w:val="Header"/>
      <w:rPr>
        <w:rStyle w:val="PageNumber"/>
        <w:lang w:val="pt-PT"/>
      </w:rPr>
    </w:pPr>
    <w:r w:rsidRPr="00932993">
      <w:rPr>
        <w:rStyle w:val="PageNumber"/>
        <w:lang w:val="pt-PT"/>
      </w:rPr>
      <w:t>C/54/INF/4</w:t>
    </w:r>
  </w:p>
  <w:p w:rsidR="002D1696" w:rsidRPr="00932993" w:rsidRDefault="002D1696" w:rsidP="00EB048E">
    <w:pPr>
      <w:pStyle w:val="Header"/>
      <w:rPr>
        <w:lang w:val="pt-PT"/>
      </w:rPr>
    </w:pPr>
    <w:r w:rsidRPr="00932993">
      <w:rPr>
        <w:lang w:val="pt-PT"/>
      </w:rPr>
      <w:t xml:space="preserve">Anexo IV, página </w:t>
    </w:r>
    <w:r w:rsidRPr="00C5280D">
      <w:rPr>
        <w:rStyle w:val="PageNumber"/>
        <w:lang w:val="en-US"/>
      </w:rPr>
      <w:fldChar w:fldCharType="begin"/>
    </w:r>
    <w:r w:rsidRPr="00932993">
      <w:rPr>
        <w:rStyle w:val="PageNumber"/>
        <w:lang w:val="pt-PT"/>
      </w:rPr>
      <w:instrText xml:space="preserve"> PAGE </w:instrText>
    </w:r>
    <w:r w:rsidRPr="00C5280D">
      <w:rPr>
        <w:rStyle w:val="PageNumber"/>
        <w:lang w:val="en-US"/>
      </w:rPr>
      <w:fldChar w:fldCharType="separate"/>
    </w:r>
    <w:r w:rsidRPr="00932993">
      <w:rPr>
        <w:rStyle w:val="PageNumber"/>
        <w:noProof/>
        <w:lang w:val="pt-PT"/>
      </w:rPr>
      <w:t>2</w:t>
    </w:r>
    <w:r w:rsidRPr="00C5280D">
      <w:rPr>
        <w:rStyle w:val="PageNumber"/>
        <w:lang w:val="en-US"/>
      </w:rPr>
      <w:fldChar w:fldCharType="end"/>
    </w:r>
  </w:p>
  <w:p w:rsidR="002D1696" w:rsidRPr="00932993" w:rsidRDefault="002D1696" w:rsidP="006655D3">
    <w:pPr>
      <w:rPr>
        <w:lang w:val="pt-PT"/>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932993" w:rsidRDefault="002D1696" w:rsidP="00EB048E">
    <w:pPr>
      <w:pStyle w:val="Header"/>
      <w:rPr>
        <w:rStyle w:val="PageNumber"/>
        <w:lang w:val="pt-PT"/>
      </w:rPr>
    </w:pPr>
    <w:r w:rsidRPr="00932993">
      <w:rPr>
        <w:rStyle w:val="PageNumber"/>
        <w:lang w:val="pt-PT"/>
      </w:rPr>
      <w:t>C/54/INF/4</w:t>
    </w:r>
  </w:p>
  <w:p w:rsidR="002D1696" w:rsidRPr="00932993" w:rsidRDefault="002D1696" w:rsidP="00EB048E">
    <w:pPr>
      <w:pStyle w:val="Header"/>
      <w:rPr>
        <w:lang w:val="pt-PT"/>
      </w:rPr>
    </w:pPr>
    <w:r w:rsidRPr="00932993">
      <w:rPr>
        <w:lang w:val="pt-PT"/>
      </w:rPr>
      <w:t xml:space="preserve">Anexo V, página </w:t>
    </w:r>
    <w:r w:rsidRPr="00C5280D">
      <w:rPr>
        <w:rStyle w:val="PageNumber"/>
        <w:lang w:val="en-US"/>
      </w:rPr>
      <w:fldChar w:fldCharType="begin"/>
    </w:r>
    <w:r w:rsidRPr="00932993">
      <w:rPr>
        <w:rStyle w:val="PageNumber"/>
        <w:lang w:val="pt-PT"/>
      </w:rPr>
      <w:instrText xml:space="preserve"> PAGE </w:instrText>
    </w:r>
    <w:r w:rsidRPr="00C5280D">
      <w:rPr>
        <w:rStyle w:val="PageNumber"/>
        <w:lang w:val="en-US"/>
      </w:rPr>
      <w:fldChar w:fldCharType="separate"/>
    </w:r>
    <w:r w:rsidRPr="00932993">
      <w:rPr>
        <w:rStyle w:val="PageNumber"/>
        <w:noProof/>
        <w:lang w:val="pt-PT"/>
      </w:rPr>
      <w:t>2</w:t>
    </w:r>
    <w:r w:rsidRPr="00C5280D">
      <w:rPr>
        <w:rStyle w:val="PageNumber"/>
        <w:lang w:val="en-US"/>
      </w:rPr>
      <w:fldChar w:fldCharType="end"/>
    </w:r>
  </w:p>
  <w:p w:rsidR="002D1696" w:rsidRPr="00932993" w:rsidRDefault="002D1696" w:rsidP="006655D3">
    <w:pPr>
      <w:rPr>
        <w:lang w:val="pt-PT"/>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932993" w:rsidRDefault="002D1696" w:rsidP="00EB048E">
    <w:pPr>
      <w:pStyle w:val="Header"/>
      <w:rPr>
        <w:rStyle w:val="PageNumber"/>
        <w:lang w:val="pt-PT"/>
      </w:rPr>
    </w:pPr>
    <w:r w:rsidRPr="00932993">
      <w:rPr>
        <w:rStyle w:val="PageNumber"/>
        <w:lang w:val="pt-PT"/>
      </w:rPr>
      <w:t>C/54/INF/4</w:t>
    </w:r>
  </w:p>
  <w:p w:rsidR="002D1696" w:rsidRPr="00932993" w:rsidRDefault="002D1696" w:rsidP="00EB048E">
    <w:pPr>
      <w:pStyle w:val="Header"/>
      <w:rPr>
        <w:lang w:val="pt-PT"/>
      </w:rPr>
    </w:pPr>
    <w:r w:rsidRPr="00932993">
      <w:rPr>
        <w:lang w:val="pt-PT"/>
      </w:rPr>
      <w:t xml:space="preserve">Anexo VI, página </w:t>
    </w:r>
    <w:r w:rsidRPr="00C5280D">
      <w:rPr>
        <w:rStyle w:val="PageNumber"/>
        <w:lang w:val="en-US"/>
      </w:rPr>
      <w:fldChar w:fldCharType="begin"/>
    </w:r>
    <w:r w:rsidRPr="00932993">
      <w:rPr>
        <w:rStyle w:val="PageNumber"/>
        <w:lang w:val="pt-PT"/>
      </w:rPr>
      <w:instrText xml:space="preserve"> PAGE </w:instrText>
    </w:r>
    <w:r w:rsidRPr="00C5280D">
      <w:rPr>
        <w:rStyle w:val="PageNumber"/>
        <w:lang w:val="en-US"/>
      </w:rPr>
      <w:fldChar w:fldCharType="separate"/>
    </w:r>
    <w:r w:rsidRPr="00932993">
      <w:rPr>
        <w:rStyle w:val="PageNumber"/>
        <w:noProof/>
        <w:lang w:val="pt-PT"/>
      </w:rPr>
      <w:t>2</w:t>
    </w:r>
    <w:r w:rsidRPr="00C5280D">
      <w:rPr>
        <w:rStyle w:val="PageNumber"/>
        <w:lang w:val="en-US"/>
      </w:rPr>
      <w:fldChar w:fldCharType="end"/>
    </w:r>
  </w:p>
  <w:p w:rsidR="002D1696" w:rsidRPr="00932993" w:rsidRDefault="002D1696" w:rsidP="006655D3">
    <w:pPr>
      <w:rPr>
        <w:lang w:val="pt-PT"/>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932993" w:rsidRDefault="002D1696" w:rsidP="00EB048E">
    <w:pPr>
      <w:pStyle w:val="Header"/>
      <w:rPr>
        <w:rStyle w:val="PageNumber"/>
        <w:lang w:val="pt-PT"/>
      </w:rPr>
    </w:pPr>
    <w:r w:rsidRPr="00932993">
      <w:rPr>
        <w:rStyle w:val="PageNumber"/>
        <w:lang w:val="pt-PT"/>
      </w:rPr>
      <w:t>C/54/INF/4</w:t>
    </w:r>
  </w:p>
  <w:p w:rsidR="002D1696" w:rsidRPr="00932993" w:rsidRDefault="002D1696" w:rsidP="00EB048E">
    <w:pPr>
      <w:pStyle w:val="Header"/>
      <w:rPr>
        <w:lang w:val="pt-PT"/>
      </w:rPr>
    </w:pPr>
    <w:r w:rsidRPr="00932993">
      <w:rPr>
        <w:lang w:val="pt-PT"/>
      </w:rPr>
      <w:t xml:space="preserve">Anexo VII, página </w:t>
    </w:r>
    <w:r w:rsidRPr="00C5280D">
      <w:rPr>
        <w:rStyle w:val="PageNumber"/>
        <w:lang w:val="en-US"/>
      </w:rPr>
      <w:fldChar w:fldCharType="begin"/>
    </w:r>
    <w:r w:rsidRPr="00932993">
      <w:rPr>
        <w:rStyle w:val="PageNumber"/>
        <w:lang w:val="pt-PT"/>
      </w:rPr>
      <w:instrText xml:space="preserve"> PAGE </w:instrText>
    </w:r>
    <w:r w:rsidRPr="00C5280D">
      <w:rPr>
        <w:rStyle w:val="PageNumber"/>
        <w:lang w:val="en-US"/>
      </w:rPr>
      <w:fldChar w:fldCharType="separate"/>
    </w:r>
    <w:r w:rsidRPr="00932993">
      <w:rPr>
        <w:rStyle w:val="PageNumber"/>
        <w:noProof/>
        <w:lang w:val="pt-PT"/>
      </w:rPr>
      <w:t>2</w:t>
    </w:r>
    <w:r w:rsidRPr="00C5280D">
      <w:rPr>
        <w:rStyle w:val="PageNumber"/>
        <w:lang w:val="en-US"/>
      </w:rPr>
      <w:fldChar w:fldCharType="end"/>
    </w:r>
  </w:p>
  <w:p w:rsidR="002D1696" w:rsidRPr="00932993" w:rsidRDefault="002D1696" w:rsidP="006655D3">
    <w:pPr>
      <w:rPr>
        <w:lang w:val="pt-PT"/>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932993" w:rsidRDefault="002D1696" w:rsidP="00EB048E">
    <w:pPr>
      <w:pStyle w:val="Header"/>
      <w:rPr>
        <w:rStyle w:val="PageNumber"/>
        <w:lang w:val="pt-PT"/>
      </w:rPr>
    </w:pPr>
    <w:r w:rsidRPr="00932993">
      <w:rPr>
        <w:rStyle w:val="PageNumber"/>
        <w:lang w:val="pt-PT"/>
      </w:rPr>
      <w:t>C/54/INF/4</w:t>
    </w:r>
  </w:p>
  <w:p w:rsidR="002D1696" w:rsidRPr="00932993" w:rsidRDefault="002D1696" w:rsidP="00EB048E">
    <w:pPr>
      <w:pStyle w:val="Header"/>
      <w:rPr>
        <w:lang w:val="pt-PT"/>
      </w:rPr>
    </w:pPr>
    <w:r w:rsidRPr="00932993">
      <w:rPr>
        <w:lang w:val="pt-PT"/>
      </w:rPr>
      <w:t xml:space="preserve">Anexo VIII, página </w:t>
    </w:r>
    <w:r w:rsidRPr="00666208">
      <w:rPr>
        <w:rStyle w:val="PageNumber"/>
      </w:rPr>
      <w:fldChar w:fldCharType="begin"/>
    </w:r>
    <w:r w:rsidRPr="00932993">
      <w:rPr>
        <w:rStyle w:val="PageNumber"/>
        <w:lang w:val="pt-PT"/>
      </w:rPr>
      <w:instrText xml:space="preserve"> PAGE </w:instrText>
    </w:r>
    <w:r w:rsidRPr="00666208">
      <w:rPr>
        <w:rStyle w:val="PageNumber"/>
      </w:rPr>
      <w:fldChar w:fldCharType="separate"/>
    </w:r>
    <w:r w:rsidR="00FE0BB4">
      <w:rPr>
        <w:rStyle w:val="PageNumber"/>
        <w:noProof/>
        <w:lang w:val="pt-PT"/>
      </w:rPr>
      <w:t>3</w:t>
    </w:r>
    <w:r w:rsidRPr="00666208">
      <w:rPr>
        <w:rStyle w:val="PageNumber"/>
      </w:rPr>
      <w:fldChar w:fldCharType="end"/>
    </w:r>
  </w:p>
  <w:p w:rsidR="002D1696" w:rsidRPr="00932993" w:rsidRDefault="002D1696" w:rsidP="006655D3">
    <w:pPr>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7028B"/>
    <w:multiLevelType w:val="hybridMultilevel"/>
    <w:tmpl w:val="5CE08DA2"/>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64DB4"/>
    <w:multiLevelType w:val="hybridMultilevel"/>
    <w:tmpl w:val="92EE3C3A"/>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9342E"/>
    <w:multiLevelType w:val="hybridMultilevel"/>
    <w:tmpl w:val="ECB209C6"/>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67894"/>
    <w:multiLevelType w:val="hybridMultilevel"/>
    <w:tmpl w:val="21762B5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050D1"/>
    <w:multiLevelType w:val="hybridMultilevel"/>
    <w:tmpl w:val="3A9C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D111E"/>
    <w:multiLevelType w:val="hybridMultilevel"/>
    <w:tmpl w:val="A0708602"/>
    <w:lvl w:ilvl="0" w:tplc="04090001">
      <w:start w:val="1"/>
      <w:numFmt w:val="bullet"/>
      <w:lvlText w:val=""/>
      <w:lvlJc w:val="left"/>
      <w:pPr>
        <w:ind w:left="720" w:hanging="360"/>
      </w:pPr>
      <w:rPr>
        <w:rFonts w:ascii="Symbol" w:hAnsi="Symbol" w:hint="default"/>
      </w:rPr>
    </w:lvl>
    <w:lvl w:ilvl="1" w:tplc="5BB0F578">
      <w:numFmt w:val="bullet"/>
      <w:lvlText w:val="•"/>
      <w:lvlJc w:val="left"/>
      <w:pPr>
        <w:ind w:left="1650" w:hanging="57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19056D"/>
    <w:multiLevelType w:val="hybridMultilevel"/>
    <w:tmpl w:val="AA32BDA8"/>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F3EAA"/>
    <w:multiLevelType w:val="hybridMultilevel"/>
    <w:tmpl w:val="5EA4416C"/>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1"/>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EF"/>
    <w:rsid w:val="00010CF3"/>
    <w:rsid w:val="00011E27"/>
    <w:rsid w:val="000148BC"/>
    <w:rsid w:val="00024AB8"/>
    <w:rsid w:val="00030854"/>
    <w:rsid w:val="00036028"/>
    <w:rsid w:val="00044642"/>
    <w:rsid w:val="000446B9"/>
    <w:rsid w:val="00047E21"/>
    <w:rsid w:val="00050E16"/>
    <w:rsid w:val="000540A6"/>
    <w:rsid w:val="000638A9"/>
    <w:rsid w:val="00085505"/>
    <w:rsid w:val="00094AE7"/>
    <w:rsid w:val="000A014B"/>
    <w:rsid w:val="000A23DC"/>
    <w:rsid w:val="000A7839"/>
    <w:rsid w:val="000C4E25"/>
    <w:rsid w:val="000C7021"/>
    <w:rsid w:val="000D6BBC"/>
    <w:rsid w:val="000D7780"/>
    <w:rsid w:val="000E636A"/>
    <w:rsid w:val="000F2F11"/>
    <w:rsid w:val="00105929"/>
    <w:rsid w:val="00110C36"/>
    <w:rsid w:val="001131D5"/>
    <w:rsid w:val="00117ABA"/>
    <w:rsid w:val="00141DB8"/>
    <w:rsid w:val="001677A8"/>
    <w:rsid w:val="00172084"/>
    <w:rsid w:val="0017474A"/>
    <w:rsid w:val="001758C6"/>
    <w:rsid w:val="00182B99"/>
    <w:rsid w:val="001A18EE"/>
    <w:rsid w:val="001F64BF"/>
    <w:rsid w:val="00201F48"/>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D1696"/>
    <w:rsid w:val="002E5944"/>
    <w:rsid w:val="00305A7F"/>
    <w:rsid w:val="003152FE"/>
    <w:rsid w:val="00327436"/>
    <w:rsid w:val="00344BD6"/>
    <w:rsid w:val="0035528D"/>
    <w:rsid w:val="00361821"/>
    <w:rsid w:val="00361E9E"/>
    <w:rsid w:val="003B031A"/>
    <w:rsid w:val="003C7FBE"/>
    <w:rsid w:val="003D227C"/>
    <w:rsid w:val="003D2B4D"/>
    <w:rsid w:val="003D5DCC"/>
    <w:rsid w:val="00401DDB"/>
    <w:rsid w:val="0040557F"/>
    <w:rsid w:val="00405DF2"/>
    <w:rsid w:val="00444A88"/>
    <w:rsid w:val="00462911"/>
    <w:rsid w:val="00474DA4"/>
    <w:rsid w:val="00476B4D"/>
    <w:rsid w:val="004805FA"/>
    <w:rsid w:val="004935D2"/>
    <w:rsid w:val="004B1215"/>
    <w:rsid w:val="004D047D"/>
    <w:rsid w:val="004E2DEF"/>
    <w:rsid w:val="004F1E9E"/>
    <w:rsid w:val="004F305A"/>
    <w:rsid w:val="00506A2E"/>
    <w:rsid w:val="00512164"/>
    <w:rsid w:val="00520297"/>
    <w:rsid w:val="005338F9"/>
    <w:rsid w:val="0054281C"/>
    <w:rsid w:val="00544581"/>
    <w:rsid w:val="00545E42"/>
    <w:rsid w:val="0055268D"/>
    <w:rsid w:val="00576BE4"/>
    <w:rsid w:val="005A400A"/>
    <w:rsid w:val="005F7B92"/>
    <w:rsid w:val="00612379"/>
    <w:rsid w:val="006153B6"/>
    <w:rsid w:val="0061555F"/>
    <w:rsid w:val="00636CA6"/>
    <w:rsid w:val="00637EDD"/>
    <w:rsid w:val="00641200"/>
    <w:rsid w:val="00645CA8"/>
    <w:rsid w:val="006655D3"/>
    <w:rsid w:val="00666208"/>
    <w:rsid w:val="00667404"/>
    <w:rsid w:val="00687EB4"/>
    <w:rsid w:val="00695C56"/>
    <w:rsid w:val="006A32E5"/>
    <w:rsid w:val="006A5CDE"/>
    <w:rsid w:val="006A644A"/>
    <w:rsid w:val="006B17D2"/>
    <w:rsid w:val="006C224E"/>
    <w:rsid w:val="006D780A"/>
    <w:rsid w:val="006F2E7F"/>
    <w:rsid w:val="0071271E"/>
    <w:rsid w:val="00732DEC"/>
    <w:rsid w:val="00735BD5"/>
    <w:rsid w:val="00751613"/>
    <w:rsid w:val="007556F6"/>
    <w:rsid w:val="00760EEF"/>
    <w:rsid w:val="00777EE5"/>
    <w:rsid w:val="007805FB"/>
    <w:rsid w:val="0078167F"/>
    <w:rsid w:val="00783722"/>
    <w:rsid w:val="00784836"/>
    <w:rsid w:val="00785B6C"/>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574A4"/>
    <w:rsid w:val="008627A5"/>
    <w:rsid w:val="00864C55"/>
    <w:rsid w:val="00867AC1"/>
    <w:rsid w:val="00890DF8"/>
    <w:rsid w:val="008A743F"/>
    <w:rsid w:val="008B3D8D"/>
    <w:rsid w:val="008C0970"/>
    <w:rsid w:val="008D0BC5"/>
    <w:rsid w:val="008D2CF7"/>
    <w:rsid w:val="00900C26"/>
    <w:rsid w:val="0090197F"/>
    <w:rsid w:val="00906DDC"/>
    <w:rsid w:val="00932993"/>
    <w:rsid w:val="00934E09"/>
    <w:rsid w:val="00936253"/>
    <w:rsid w:val="00940D46"/>
    <w:rsid w:val="00952DD4"/>
    <w:rsid w:val="0096175D"/>
    <w:rsid w:val="00965AE7"/>
    <w:rsid w:val="00970FED"/>
    <w:rsid w:val="00992D82"/>
    <w:rsid w:val="00997029"/>
    <w:rsid w:val="009A51BC"/>
    <w:rsid w:val="009A7339"/>
    <w:rsid w:val="009B440E"/>
    <w:rsid w:val="009D690D"/>
    <w:rsid w:val="009E2D41"/>
    <w:rsid w:val="009E65B6"/>
    <w:rsid w:val="00A20FB2"/>
    <w:rsid w:val="00A24C10"/>
    <w:rsid w:val="00A42AC3"/>
    <w:rsid w:val="00A430CF"/>
    <w:rsid w:val="00A54309"/>
    <w:rsid w:val="00A706D3"/>
    <w:rsid w:val="00AB2B93"/>
    <w:rsid w:val="00AB530F"/>
    <w:rsid w:val="00AB7E5B"/>
    <w:rsid w:val="00AC2883"/>
    <w:rsid w:val="00AE0EF1"/>
    <w:rsid w:val="00AE2937"/>
    <w:rsid w:val="00B07301"/>
    <w:rsid w:val="00B11F3E"/>
    <w:rsid w:val="00B224DE"/>
    <w:rsid w:val="00B26739"/>
    <w:rsid w:val="00B324D4"/>
    <w:rsid w:val="00B46575"/>
    <w:rsid w:val="00B4719E"/>
    <w:rsid w:val="00B61777"/>
    <w:rsid w:val="00B84BBD"/>
    <w:rsid w:val="00BA43FB"/>
    <w:rsid w:val="00BC0BD4"/>
    <w:rsid w:val="00BC127D"/>
    <w:rsid w:val="00BC1FE6"/>
    <w:rsid w:val="00C061B6"/>
    <w:rsid w:val="00C2446C"/>
    <w:rsid w:val="00C36AE5"/>
    <w:rsid w:val="00C36D01"/>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23C11"/>
    <w:rsid w:val="00D3708D"/>
    <w:rsid w:val="00D40426"/>
    <w:rsid w:val="00D57C96"/>
    <w:rsid w:val="00D57D18"/>
    <w:rsid w:val="00D91203"/>
    <w:rsid w:val="00D95174"/>
    <w:rsid w:val="00DA4973"/>
    <w:rsid w:val="00DA6F36"/>
    <w:rsid w:val="00DB596E"/>
    <w:rsid w:val="00DB5B37"/>
    <w:rsid w:val="00DB7773"/>
    <w:rsid w:val="00DC00EA"/>
    <w:rsid w:val="00DC3802"/>
    <w:rsid w:val="00DE1821"/>
    <w:rsid w:val="00E07AE7"/>
    <w:rsid w:val="00E07D87"/>
    <w:rsid w:val="00E32F7E"/>
    <w:rsid w:val="00E5267B"/>
    <w:rsid w:val="00E63C0E"/>
    <w:rsid w:val="00E72D49"/>
    <w:rsid w:val="00E7593C"/>
    <w:rsid w:val="00E7678A"/>
    <w:rsid w:val="00E80B45"/>
    <w:rsid w:val="00E935F1"/>
    <w:rsid w:val="00E94A81"/>
    <w:rsid w:val="00EA1CBD"/>
    <w:rsid w:val="00EA1FFB"/>
    <w:rsid w:val="00EA65D2"/>
    <w:rsid w:val="00EB048E"/>
    <w:rsid w:val="00EB4E9C"/>
    <w:rsid w:val="00EB7224"/>
    <w:rsid w:val="00EC2265"/>
    <w:rsid w:val="00EC2B3C"/>
    <w:rsid w:val="00EE34DF"/>
    <w:rsid w:val="00EF2F89"/>
    <w:rsid w:val="00F03E98"/>
    <w:rsid w:val="00F1237A"/>
    <w:rsid w:val="00F22CBD"/>
    <w:rsid w:val="00F272F1"/>
    <w:rsid w:val="00F36004"/>
    <w:rsid w:val="00F45372"/>
    <w:rsid w:val="00F560F7"/>
    <w:rsid w:val="00F6334D"/>
    <w:rsid w:val="00FA49AB"/>
    <w:rsid w:val="00FD3F87"/>
    <w:rsid w:val="00FE0BB4"/>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7FB8758-2007-412E-B7F5-BE767B25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8">
    <w:name w:val="heading 8"/>
    <w:basedOn w:val="Normal"/>
    <w:next w:val="Normal"/>
    <w:link w:val="Heading8Char"/>
    <w:qFormat/>
    <w:rsid w:val="002D1696"/>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117ABA"/>
    <w:pPr>
      <w:ind w:left="1134" w:hanging="567"/>
      <w:jc w:val="left"/>
    </w:pPr>
    <w:rPr>
      <w:szCs w:val="22"/>
      <w:lang w:val="en-US"/>
    </w:rPr>
  </w:style>
  <w:style w:type="table" w:styleId="TableGrid">
    <w:name w:val="Table Grid"/>
    <w:basedOn w:val="TableNormal"/>
    <w:rsid w:val="0011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2D1696"/>
    <w:rPr>
      <w:rFonts w:ascii="Arial" w:hAnsi="Arial"/>
      <w:u w:val="single"/>
      <w:lang w:val="en-GB" w:eastAsia="pl-PL"/>
    </w:rPr>
  </w:style>
  <w:style w:type="paragraph" w:styleId="BodyText2">
    <w:name w:val="Body Text 2"/>
    <w:basedOn w:val="Normal"/>
    <w:link w:val="BodyText2Char"/>
    <w:rsid w:val="002D1696"/>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2D1696"/>
    <w:rPr>
      <w:sz w:val="28"/>
      <w:lang w:val="pl-PL" w:eastAsia="pl-PL"/>
    </w:rPr>
  </w:style>
  <w:style w:type="character" w:customStyle="1" w:styleId="FooterChar">
    <w:name w:val="Footer Char"/>
    <w:aliases w:val="doc_path_name Char"/>
    <w:basedOn w:val="DefaultParagraphFont"/>
    <w:link w:val="Footer"/>
    <w:rsid w:val="002D1696"/>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yperlink" Target="http://www.coboru.gov.pl" TargetMode="External"/><Relationship Id="rId39" Type="http://schemas.openxmlformats.org/officeDocument/2006/relationships/hyperlink" Target="http://agrosym.ues.rs.ba/index.php/en/" TargetMode="External"/><Relationship Id="rId21" Type="http://schemas.openxmlformats.org/officeDocument/2006/relationships/header" Target="header11.xml"/><Relationship Id="rId34" Type="http://schemas.openxmlformats.org/officeDocument/2006/relationships/hyperlink" Target="http://journal.sops.gov.ua/" TargetMode="External"/><Relationship Id="rId42" Type="http://schemas.openxmlformats.org/officeDocument/2006/relationships/image" Target="media/image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2.png"/><Relationship Id="rId32" Type="http://schemas.openxmlformats.org/officeDocument/2006/relationships/header" Target="header16.xml"/><Relationship Id="rId37" Type="http://schemas.openxmlformats.org/officeDocument/2006/relationships/hyperlink" Target="https://sops.gov.ua/uploads/page/5cc15bea99d43.pdf" TargetMode="External"/><Relationship Id="rId40" Type="http://schemas.openxmlformats.org/officeDocument/2006/relationships/hyperlink" Target="http://agrosym.ues.rs.ba/agrosym/agrosym_2019/BOOK_OF_PROCEEDINGS_2019_FINAL.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yperlink" Target="http://www.coboru.pl/Polska/Podstawy_prawne/DU20152166.pdf" TargetMode="External"/><Relationship Id="rId28" Type="http://schemas.openxmlformats.org/officeDocument/2006/relationships/hyperlink" Target="http://www.agepi.gov.md" TargetMode="External"/><Relationship Id="rId36" Type="http://schemas.openxmlformats.org/officeDocument/2006/relationships/hyperlink" Target="https://sops.gov.ua/uploads/page/5d1dfa59bb922.pdf" TargetMode="Externa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15.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http://www.coboru.pl/Polska/Podstawy_prawne/D20040567.pdf" TargetMode="Externa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yperlink" Target="https://sops.gov.ua/uploads/page/buleten/B_3_2020.pdf" TargetMode="External"/><Relationship Id="rId43" Type="http://schemas.openxmlformats.org/officeDocument/2006/relationships/image" Target="media/image4.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yperlink" Target="http://www.naro.affrc.go.jp/english/laboratory/ncss/dus_growing_test/index.html" TargetMode="External"/><Relationship Id="rId25" Type="http://schemas.openxmlformats.org/officeDocument/2006/relationships/hyperlink" Target="http://www.coboru.gov.pl" TargetMode="External"/><Relationship Id="rId33" Type="http://schemas.openxmlformats.org/officeDocument/2006/relationships/header" Target="header17.xml"/><Relationship Id="rId38" Type="http://schemas.openxmlformats.org/officeDocument/2006/relationships/hyperlink" Target="https://sops.gov.ua/uploads/page/5d66479943a66.pdf" TargetMode="External"/><Relationship Id="rId46" Type="http://schemas.openxmlformats.org/officeDocument/2006/relationships/theme" Target="theme/theme1.xml"/><Relationship Id="rId20" Type="http://schemas.openxmlformats.org/officeDocument/2006/relationships/hyperlink" Target="https://www.mbie.govt.nz/business-and-employment/business/intellectual-property/plant-variety-rights/plant-variety-rights-act-review/" TargetMode="External"/><Relationship Id="rId41" Type="http://schemas.openxmlformats.org/officeDocument/2006/relationships/hyperlink" Target="mailto:upov.mail@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4\templates\c_54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D90E-40DA-46F2-982D-3E438478D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c_54_ES.dotx</Template>
  <TotalTime>226</TotalTime>
  <Pages>41</Pages>
  <Words>16723</Words>
  <Characters>91486</Characters>
  <Application>Microsoft Office Word</Application>
  <DocSecurity>0</DocSecurity>
  <Lines>762</Lines>
  <Paragraphs>215</Paragraphs>
  <ScaleCrop>false</ScaleCrop>
  <HeadingPairs>
    <vt:vector size="2" baseType="variant">
      <vt:variant>
        <vt:lpstr>Title</vt:lpstr>
      </vt:variant>
      <vt:variant>
        <vt:i4>1</vt:i4>
      </vt:variant>
    </vt:vector>
  </HeadingPairs>
  <TitlesOfParts>
    <vt:vector size="1" baseType="lpstr">
      <vt:lpstr>C/54/INF/4</vt:lpstr>
    </vt:vector>
  </TitlesOfParts>
  <Company>UPOV</Company>
  <LinksUpToDate>false</LinksUpToDate>
  <CharactersWithSpaces>107994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C/54/INF/4</dc:title>
  <dc:creator/>
  <cp:lastModifiedBy>SANCHEZ VIZCAINO GOMEZ Rosa Maria</cp:lastModifiedBy>
  <cp:revision>28</cp:revision>
  <cp:lastPrinted>2016-11-22T15:41:00Z</cp:lastPrinted>
  <dcterms:created xsi:type="dcterms:W3CDTF">2020-10-02T17:23:00Z</dcterms:created>
  <dcterms:modified xsi:type="dcterms:W3CDTF">2020-10-16T11:57:00Z</dcterms:modified>
</cp:coreProperties>
</file>