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81EA4" w:rsidTr="00EB4E9C">
        <w:tc>
          <w:tcPr>
            <w:tcW w:w="6522" w:type="dxa"/>
          </w:tcPr>
          <w:p w:rsidR="00DC3802" w:rsidRPr="00981EA4" w:rsidRDefault="00DC3802" w:rsidP="00AC2883">
            <w:pPr>
              <w:rPr>
                <w:lang w:val="es-419"/>
              </w:rPr>
            </w:pPr>
            <w:r w:rsidRPr="00981EA4">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81EA4" w:rsidRDefault="002E5944" w:rsidP="00AC2883">
            <w:pPr>
              <w:pStyle w:val="Lettrine"/>
              <w:rPr>
                <w:lang w:val="es-419"/>
              </w:rPr>
            </w:pPr>
            <w:r w:rsidRPr="00981EA4">
              <w:rPr>
                <w:lang w:val="es-419"/>
              </w:rPr>
              <w:t>S</w:t>
            </w:r>
          </w:p>
        </w:tc>
      </w:tr>
      <w:tr w:rsidR="00DC3802" w:rsidRPr="00981EA4" w:rsidTr="00645CA8">
        <w:trPr>
          <w:trHeight w:val="219"/>
        </w:trPr>
        <w:tc>
          <w:tcPr>
            <w:tcW w:w="6522" w:type="dxa"/>
          </w:tcPr>
          <w:p w:rsidR="00DC3802" w:rsidRPr="00981EA4" w:rsidRDefault="002E5944" w:rsidP="00BC0BD4">
            <w:pPr>
              <w:pStyle w:val="upove"/>
              <w:rPr>
                <w:lang w:val="es-419"/>
              </w:rPr>
            </w:pPr>
            <w:r w:rsidRPr="00981EA4">
              <w:rPr>
                <w:lang w:val="es-419"/>
              </w:rPr>
              <w:t>Unión Internacional para la Protección de las Obtenciones Vegetales</w:t>
            </w:r>
          </w:p>
        </w:tc>
        <w:tc>
          <w:tcPr>
            <w:tcW w:w="3117" w:type="dxa"/>
          </w:tcPr>
          <w:p w:rsidR="00DC3802" w:rsidRPr="00981EA4" w:rsidRDefault="00DC3802" w:rsidP="00DA4973">
            <w:pPr>
              <w:rPr>
                <w:lang w:val="es-419"/>
              </w:rPr>
            </w:pPr>
          </w:p>
        </w:tc>
      </w:tr>
    </w:tbl>
    <w:p w:rsidR="00DC3802" w:rsidRPr="00981EA4" w:rsidRDefault="00DC3802" w:rsidP="00DC3802">
      <w:pPr>
        <w:rPr>
          <w:lang w:val="es-419"/>
        </w:rPr>
      </w:pPr>
    </w:p>
    <w:p w:rsidR="00DA4973" w:rsidRPr="00981EA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81EA4" w:rsidTr="00DB1B19">
        <w:tc>
          <w:tcPr>
            <w:tcW w:w="6512" w:type="dxa"/>
            <w:tcBorders>
              <w:bottom w:val="single" w:sz="4" w:space="0" w:color="auto"/>
            </w:tcBorders>
          </w:tcPr>
          <w:p w:rsidR="00EB4E9C" w:rsidRPr="00DB1B19" w:rsidRDefault="00EA65D2" w:rsidP="00AC2883">
            <w:pPr>
              <w:pStyle w:val="Sessiontc"/>
              <w:spacing w:line="240" w:lineRule="auto"/>
              <w:rPr>
                <w:lang w:val="es-419"/>
              </w:rPr>
            </w:pPr>
            <w:r w:rsidRPr="00DB1B19">
              <w:rPr>
                <w:lang w:val="es-419"/>
              </w:rPr>
              <w:t>Consejo</w:t>
            </w:r>
          </w:p>
          <w:p w:rsidR="00EB4E9C" w:rsidRPr="00DB1B19" w:rsidRDefault="00EA65D2" w:rsidP="001A18EE">
            <w:pPr>
              <w:pStyle w:val="Sessiontcplacedate"/>
              <w:rPr>
                <w:sz w:val="22"/>
                <w:lang w:val="es-419"/>
              </w:rPr>
            </w:pPr>
            <w:r w:rsidRPr="00DB1B19">
              <w:rPr>
                <w:lang w:val="es-419"/>
              </w:rPr>
              <w:t xml:space="preserve">Quincuagésima </w:t>
            </w:r>
            <w:r w:rsidR="001A18EE" w:rsidRPr="00DB1B19">
              <w:rPr>
                <w:lang w:val="es-419"/>
              </w:rPr>
              <w:t xml:space="preserve">cuarta </w:t>
            </w:r>
            <w:r w:rsidR="002E5944" w:rsidRPr="00DB1B19">
              <w:rPr>
                <w:lang w:val="es-419"/>
              </w:rPr>
              <w:t>sesión</w:t>
            </w:r>
            <w:r w:rsidRPr="00DB1B19">
              <w:rPr>
                <w:lang w:val="es-419"/>
              </w:rPr>
              <w:t xml:space="preserve"> ordinaria</w:t>
            </w:r>
            <w:r w:rsidR="00EB4E9C" w:rsidRPr="00DB1B19">
              <w:rPr>
                <w:lang w:val="es-419"/>
              </w:rPr>
              <w:br/>
            </w:r>
            <w:r w:rsidR="002E5944" w:rsidRPr="00DB1B19">
              <w:rPr>
                <w:lang w:val="es-419"/>
              </w:rPr>
              <w:t>Ginebra</w:t>
            </w:r>
            <w:r w:rsidR="00EB4E9C" w:rsidRPr="00DB1B19">
              <w:rPr>
                <w:lang w:val="es-419"/>
              </w:rPr>
              <w:t xml:space="preserve">, </w:t>
            </w:r>
            <w:r w:rsidR="001A18EE" w:rsidRPr="00DB1B19">
              <w:rPr>
                <w:lang w:val="es-419"/>
              </w:rPr>
              <w:t>30 de octubre de 2020</w:t>
            </w:r>
          </w:p>
        </w:tc>
        <w:tc>
          <w:tcPr>
            <w:tcW w:w="3127" w:type="dxa"/>
            <w:tcBorders>
              <w:bottom w:val="single" w:sz="4" w:space="0" w:color="auto"/>
            </w:tcBorders>
          </w:tcPr>
          <w:p w:rsidR="00EB4E9C" w:rsidRPr="00DB1B19" w:rsidRDefault="001A18EE" w:rsidP="003C7FBE">
            <w:pPr>
              <w:pStyle w:val="Doccode"/>
              <w:rPr>
                <w:lang w:val="es-419"/>
              </w:rPr>
            </w:pPr>
            <w:r w:rsidRPr="00DB1B19">
              <w:rPr>
                <w:lang w:val="es-419"/>
              </w:rPr>
              <w:t>C/54</w:t>
            </w:r>
            <w:r w:rsidR="00EB4E9C" w:rsidRPr="00DB1B19">
              <w:rPr>
                <w:lang w:val="es-419"/>
              </w:rPr>
              <w:t>/</w:t>
            </w:r>
            <w:r w:rsidR="0013647A" w:rsidRPr="00DB1B19">
              <w:rPr>
                <w:lang w:val="es-419"/>
              </w:rPr>
              <w:t>4</w:t>
            </w:r>
          </w:p>
          <w:p w:rsidR="00EB4E9C" w:rsidRPr="00DB1B19" w:rsidRDefault="00EB4E9C" w:rsidP="003C7FBE">
            <w:pPr>
              <w:pStyle w:val="Docoriginal"/>
              <w:rPr>
                <w:lang w:val="es-419"/>
              </w:rPr>
            </w:pPr>
            <w:r w:rsidRPr="00DB1B19">
              <w:rPr>
                <w:lang w:val="es-419"/>
              </w:rPr>
              <w:t>Original:</w:t>
            </w:r>
            <w:r w:rsidRPr="00DB1B19">
              <w:rPr>
                <w:b w:val="0"/>
                <w:spacing w:val="0"/>
                <w:lang w:val="es-419"/>
              </w:rPr>
              <w:t xml:space="preserve"> </w:t>
            </w:r>
            <w:r w:rsidR="002E5944" w:rsidRPr="00DB1B19">
              <w:rPr>
                <w:b w:val="0"/>
                <w:spacing w:val="0"/>
                <w:lang w:val="es-419"/>
              </w:rPr>
              <w:t>Inglés</w:t>
            </w:r>
          </w:p>
          <w:p w:rsidR="00EB4E9C" w:rsidRPr="00981EA4" w:rsidRDefault="002E5944" w:rsidP="00DB1B19">
            <w:pPr>
              <w:pStyle w:val="Docoriginal"/>
              <w:rPr>
                <w:lang w:val="es-419"/>
              </w:rPr>
            </w:pPr>
            <w:r w:rsidRPr="00DB1B19">
              <w:rPr>
                <w:lang w:val="es-419"/>
              </w:rPr>
              <w:t>Fecha</w:t>
            </w:r>
            <w:r w:rsidR="00EB4E9C" w:rsidRPr="00DB1B19">
              <w:rPr>
                <w:lang w:val="es-419"/>
              </w:rPr>
              <w:t>:</w:t>
            </w:r>
            <w:r w:rsidR="00EB4E9C" w:rsidRPr="00DB1B19">
              <w:rPr>
                <w:b w:val="0"/>
                <w:spacing w:val="0"/>
                <w:lang w:val="es-419"/>
              </w:rPr>
              <w:t xml:space="preserve"> </w:t>
            </w:r>
            <w:r w:rsidR="00DB1B19" w:rsidRPr="00DB1B19">
              <w:rPr>
                <w:b w:val="0"/>
                <w:spacing w:val="0"/>
                <w:lang w:val="es-419"/>
              </w:rPr>
              <w:t>7</w:t>
            </w:r>
            <w:r w:rsidR="0013647A" w:rsidRPr="00DB1B19">
              <w:rPr>
                <w:b w:val="0"/>
                <w:spacing w:val="0"/>
                <w:lang w:val="es-419"/>
              </w:rPr>
              <w:t xml:space="preserve"> de agosto</w:t>
            </w:r>
            <w:r w:rsidR="00EB4E9C" w:rsidRPr="00DB1B19">
              <w:rPr>
                <w:b w:val="0"/>
                <w:spacing w:val="0"/>
                <w:lang w:val="es-419"/>
              </w:rPr>
              <w:t xml:space="preserve"> </w:t>
            </w:r>
            <w:r w:rsidRPr="00DB1B19">
              <w:rPr>
                <w:b w:val="0"/>
                <w:spacing w:val="0"/>
                <w:lang w:val="es-419"/>
              </w:rPr>
              <w:t xml:space="preserve">de </w:t>
            </w:r>
            <w:r w:rsidR="00EB4E9C" w:rsidRPr="00DB1B19">
              <w:rPr>
                <w:b w:val="0"/>
                <w:spacing w:val="0"/>
                <w:lang w:val="es-419"/>
              </w:rPr>
              <w:t>20</w:t>
            </w:r>
            <w:r w:rsidR="001A18EE" w:rsidRPr="00DB1B19">
              <w:rPr>
                <w:b w:val="0"/>
                <w:spacing w:val="0"/>
                <w:lang w:val="es-419"/>
              </w:rPr>
              <w:t>20</w:t>
            </w:r>
          </w:p>
        </w:tc>
      </w:tr>
      <w:tr w:rsidR="00DB1B19" w:rsidRPr="00DB1B19" w:rsidTr="00DB1B19">
        <w:tc>
          <w:tcPr>
            <w:tcW w:w="6512" w:type="dxa"/>
            <w:tcBorders>
              <w:top w:val="single" w:sz="4" w:space="0" w:color="auto"/>
              <w:bottom w:val="single" w:sz="4" w:space="0" w:color="auto"/>
            </w:tcBorders>
          </w:tcPr>
          <w:p w:rsidR="00DB1B19" w:rsidRPr="00DB1B19" w:rsidRDefault="00DB1B19" w:rsidP="00DB1B19">
            <w:pPr>
              <w:pStyle w:val="Sessiontc"/>
              <w:spacing w:line="240" w:lineRule="auto"/>
              <w:rPr>
                <w:i/>
                <w:lang w:val="es-419"/>
              </w:rPr>
            </w:pPr>
            <w:bookmarkStart w:id="0" w:name="TitleOfDoc"/>
            <w:bookmarkStart w:id="1" w:name="Prepared"/>
            <w:bookmarkEnd w:id="0"/>
            <w:bookmarkEnd w:id="1"/>
            <w:r w:rsidRPr="00DB1B19">
              <w:rPr>
                <w:i/>
                <w:lang w:val="es-419"/>
              </w:rPr>
              <w:t>para el examen por correspondencia</w:t>
            </w:r>
          </w:p>
        </w:tc>
        <w:tc>
          <w:tcPr>
            <w:tcW w:w="3127" w:type="dxa"/>
            <w:tcBorders>
              <w:top w:val="single" w:sz="4" w:space="0" w:color="auto"/>
              <w:bottom w:val="single" w:sz="4" w:space="0" w:color="auto"/>
            </w:tcBorders>
          </w:tcPr>
          <w:p w:rsidR="00DB1B19" w:rsidRPr="00DB1B19" w:rsidRDefault="00DB1B19" w:rsidP="00DB1B19">
            <w:pPr>
              <w:pStyle w:val="Doccode"/>
              <w:rPr>
                <w:i/>
                <w:lang w:val="es-419"/>
              </w:rPr>
            </w:pPr>
          </w:p>
        </w:tc>
      </w:tr>
    </w:tbl>
    <w:p w:rsidR="0013647A" w:rsidRPr="00981EA4" w:rsidRDefault="00C872AF" w:rsidP="0013647A">
      <w:pPr>
        <w:pStyle w:val="Titleofdoc0"/>
        <w:rPr>
          <w:lang w:val="es-419"/>
        </w:rPr>
      </w:pPr>
      <w:r w:rsidRPr="00981EA4">
        <w:rPr>
          <w:lang w:val="es-419"/>
        </w:rPr>
        <w:t>INFORME DE GESTIÓN FINANCIERA DEL BIENIO</w:t>
      </w:r>
      <w:r w:rsidR="0013647A" w:rsidRPr="00981EA4">
        <w:rPr>
          <w:lang w:val="es-419"/>
        </w:rPr>
        <w:t xml:space="preserve"> 2018-2019</w:t>
      </w:r>
    </w:p>
    <w:p w:rsidR="006A644A" w:rsidRPr="00981EA4" w:rsidRDefault="000638A9" w:rsidP="006A644A">
      <w:pPr>
        <w:pStyle w:val="preparedby1"/>
        <w:jc w:val="left"/>
        <w:rPr>
          <w:lang w:val="es-419"/>
        </w:rPr>
      </w:pPr>
      <w:r w:rsidRPr="00981EA4">
        <w:rPr>
          <w:lang w:val="es-419"/>
        </w:rPr>
        <w:t>Documento preparado por la Oficina de la Unión</w:t>
      </w:r>
    </w:p>
    <w:p w:rsidR="00050E16" w:rsidRPr="00981EA4" w:rsidRDefault="000638A9" w:rsidP="006A644A">
      <w:pPr>
        <w:pStyle w:val="Disclaimer"/>
        <w:rPr>
          <w:lang w:val="es-419"/>
        </w:rPr>
      </w:pPr>
      <w:r w:rsidRPr="00981EA4">
        <w:rPr>
          <w:lang w:val="es-419"/>
        </w:rPr>
        <w:t>Descargo de responsabilidad: el presente documento no constituye un documento de política u orientación de la UPOV</w:t>
      </w:r>
    </w:p>
    <w:p w:rsidR="0013647A" w:rsidRPr="00981EA4" w:rsidRDefault="0013647A" w:rsidP="0013647A">
      <w:pPr>
        <w:rPr>
          <w:rFonts w:cs="Arial"/>
          <w:snapToGrid w:val="0"/>
          <w:lang w:val="es-419"/>
        </w:rPr>
      </w:pPr>
      <w:r w:rsidRPr="00981EA4">
        <w:rPr>
          <w:rFonts w:cs="Arial"/>
          <w:caps/>
          <w:snapToGrid w:val="0"/>
          <w:lang w:val="es-419"/>
        </w:rPr>
        <w:fldChar w:fldCharType="begin"/>
      </w:r>
      <w:r w:rsidRPr="00981EA4">
        <w:rPr>
          <w:rFonts w:cs="Arial"/>
          <w:caps/>
          <w:snapToGrid w:val="0"/>
          <w:lang w:val="es-419"/>
        </w:rPr>
        <w:instrText xml:space="preserve"> AUTONUM  </w:instrText>
      </w:r>
      <w:r w:rsidRPr="00981EA4">
        <w:rPr>
          <w:rFonts w:cs="Arial"/>
          <w:caps/>
          <w:snapToGrid w:val="0"/>
          <w:lang w:val="es-419"/>
        </w:rPr>
        <w:fldChar w:fldCharType="end"/>
      </w:r>
      <w:r w:rsidRPr="00981EA4">
        <w:rPr>
          <w:rFonts w:cs="Arial"/>
          <w:caps/>
          <w:snapToGrid w:val="0"/>
          <w:lang w:val="es-419"/>
        </w:rPr>
        <w:tab/>
      </w:r>
      <w:r w:rsidR="00C872AF" w:rsidRPr="00981EA4">
        <w:rPr>
          <w:rFonts w:cs="Arial"/>
          <w:snapToGrid w:val="0"/>
          <w:lang w:val="es-419"/>
        </w:rPr>
        <w:t xml:space="preserve">En el Anexo del presente documento figura el </w:t>
      </w:r>
      <w:r w:rsidR="00AA5BB4" w:rsidRPr="00981EA4">
        <w:rPr>
          <w:rFonts w:cs="Arial"/>
          <w:snapToGrid w:val="0"/>
          <w:lang w:val="es-419"/>
        </w:rPr>
        <w:t>I</w:t>
      </w:r>
      <w:r w:rsidR="00C872AF" w:rsidRPr="00981EA4">
        <w:rPr>
          <w:rFonts w:cs="Arial"/>
          <w:snapToGrid w:val="0"/>
          <w:lang w:val="es-419"/>
        </w:rPr>
        <w:t>nforme de gestión financiera de la Unión Internacional para la Protección de las Obtenciones Vegetales (UPOV) correspondiente al bienio 2018</w:t>
      </w:r>
      <w:r w:rsidR="00C872AF" w:rsidRPr="00981EA4">
        <w:rPr>
          <w:rFonts w:cs="Arial"/>
          <w:snapToGrid w:val="0"/>
          <w:lang w:val="es-419"/>
        </w:rPr>
        <w:noBreakHyphen/>
        <w:t>2019, de conformidad con los artículos 2.14 y 2.14</w:t>
      </w:r>
      <w:r w:rsidR="00C872AF" w:rsidRPr="00981EA4">
        <w:rPr>
          <w:rFonts w:cs="Arial"/>
          <w:i/>
          <w:snapToGrid w:val="0"/>
          <w:lang w:val="es-419"/>
        </w:rPr>
        <w:t>bis</w:t>
      </w:r>
      <w:r w:rsidR="00C872AF" w:rsidRPr="00981EA4">
        <w:rPr>
          <w:rFonts w:cs="Arial"/>
          <w:snapToGrid w:val="0"/>
          <w:lang w:val="es-419"/>
        </w:rPr>
        <w:t xml:space="preserve"> del Reglamento </w:t>
      </w:r>
      <w:r w:rsidR="00AA5BB4" w:rsidRPr="00981EA4">
        <w:rPr>
          <w:rFonts w:cs="Arial"/>
          <w:snapToGrid w:val="0"/>
          <w:lang w:val="es-419"/>
        </w:rPr>
        <w:t>F</w:t>
      </w:r>
      <w:r w:rsidR="00C872AF" w:rsidRPr="00981EA4">
        <w:rPr>
          <w:rFonts w:cs="Arial"/>
          <w:snapToGrid w:val="0"/>
          <w:lang w:val="es-419"/>
        </w:rPr>
        <w:t xml:space="preserve">inanciero y </w:t>
      </w:r>
      <w:r w:rsidR="00AA5BB4" w:rsidRPr="00981EA4">
        <w:rPr>
          <w:rFonts w:cs="Arial"/>
          <w:snapToGrid w:val="0"/>
          <w:lang w:val="es-419"/>
        </w:rPr>
        <w:t>R</w:t>
      </w:r>
      <w:r w:rsidR="00C872AF" w:rsidRPr="00981EA4">
        <w:rPr>
          <w:rFonts w:cs="Arial"/>
          <w:snapToGrid w:val="0"/>
          <w:lang w:val="es-419"/>
        </w:rPr>
        <w:t xml:space="preserve">eglamentación </w:t>
      </w:r>
      <w:r w:rsidR="00AA5BB4" w:rsidRPr="00981EA4">
        <w:rPr>
          <w:rFonts w:cs="Arial"/>
          <w:snapToGrid w:val="0"/>
          <w:lang w:val="es-419"/>
        </w:rPr>
        <w:t>F</w:t>
      </w:r>
      <w:r w:rsidR="00C872AF" w:rsidRPr="00981EA4">
        <w:rPr>
          <w:rFonts w:cs="Arial"/>
          <w:snapToGrid w:val="0"/>
          <w:lang w:val="es-419"/>
        </w:rPr>
        <w:t xml:space="preserve">inanciera de la UPOV (véase el documento UPOV/INF/4/5 “Reglamento </w:t>
      </w:r>
      <w:r w:rsidR="00AA5BB4" w:rsidRPr="00981EA4">
        <w:rPr>
          <w:rFonts w:cs="Arial"/>
          <w:snapToGrid w:val="0"/>
          <w:lang w:val="es-419"/>
        </w:rPr>
        <w:t>F</w:t>
      </w:r>
      <w:r w:rsidR="00C872AF" w:rsidRPr="00981EA4">
        <w:rPr>
          <w:rFonts w:cs="Arial"/>
          <w:snapToGrid w:val="0"/>
          <w:lang w:val="es-419"/>
        </w:rPr>
        <w:t xml:space="preserve">inanciero y </w:t>
      </w:r>
      <w:r w:rsidR="00AA5BB4" w:rsidRPr="00981EA4">
        <w:rPr>
          <w:rFonts w:cs="Arial"/>
          <w:snapToGrid w:val="0"/>
          <w:lang w:val="es-419"/>
        </w:rPr>
        <w:t>R</w:t>
      </w:r>
      <w:r w:rsidR="00C872AF" w:rsidRPr="00981EA4">
        <w:rPr>
          <w:rFonts w:cs="Arial"/>
          <w:snapToGrid w:val="0"/>
          <w:lang w:val="es-419"/>
        </w:rPr>
        <w:t xml:space="preserve">eglamentación </w:t>
      </w:r>
      <w:r w:rsidR="00AA5BB4" w:rsidRPr="00981EA4">
        <w:rPr>
          <w:rFonts w:cs="Arial"/>
          <w:snapToGrid w:val="0"/>
          <w:lang w:val="es-419"/>
        </w:rPr>
        <w:t>F</w:t>
      </w:r>
      <w:r w:rsidR="00C872AF" w:rsidRPr="00981EA4">
        <w:rPr>
          <w:rFonts w:cs="Arial"/>
          <w:snapToGrid w:val="0"/>
          <w:lang w:val="es-419"/>
        </w:rPr>
        <w:t>inanciera de la UPOV”), que se presentará al Consejo para su aprobación</w:t>
      </w:r>
      <w:r w:rsidRPr="00981EA4">
        <w:rPr>
          <w:rFonts w:cs="Arial"/>
          <w:snapToGrid w:val="0"/>
          <w:lang w:val="es-419"/>
        </w:rPr>
        <w:t>.</w:t>
      </w:r>
    </w:p>
    <w:p w:rsidR="0013647A" w:rsidRPr="00981EA4" w:rsidRDefault="0013647A" w:rsidP="0013647A">
      <w:pPr>
        <w:rPr>
          <w:rFonts w:cs="Arial"/>
          <w:snapToGrid w:val="0"/>
          <w:lang w:val="es-419"/>
        </w:rPr>
      </w:pPr>
    </w:p>
    <w:p w:rsidR="0013647A" w:rsidRPr="00981EA4" w:rsidRDefault="0013647A" w:rsidP="0013647A">
      <w:pPr>
        <w:rPr>
          <w:rFonts w:cs="Arial"/>
          <w:snapToGrid w:val="0"/>
          <w:lang w:val="es-419"/>
        </w:rPr>
      </w:pPr>
      <w:r w:rsidRPr="00981EA4">
        <w:rPr>
          <w:rFonts w:cs="Arial"/>
          <w:snapToGrid w:val="0"/>
          <w:lang w:val="es-419"/>
        </w:rPr>
        <w:fldChar w:fldCharType="begin"/>
      </w:r>
      <w:r w:rsidRPr="00981EA4">
        <w:rPr>
          <w:rFonts w:cs="Arial"/>
          <w:snapToGrid w:val="0"/>
          <w:lang w:val="es-419"/>
        </w:rPr>
        <w:instrText xml:space="preserve"> AUTONUM  </w:instrText>
      </w:r>
      <w:r w:rsidRPr="00981EA4">
        <w:rPr>
          <w:rFonts w:cs="Arial"/>
          <w:snapToGrid w:val="0"/>
          <w:lang w:val="es-419"/>
        </w:rPr>
        <w:fldChar w:fldCharType="end"/>
      </w:r>
      <w:r w:rsidRPr="00981EA4">
        <w:rPr>
          <w:rFonts w:cs="Arial"/>
          <w:snapToGrid w:val="0"/>
          <w:lang w:val="es-419"/>
        </w:rPr>
        <w:tab/>
      </w:r>
      <w:r w:rsidR="00C40404" w:rsidRPr="00981EA4">
        <w:rPr>
          <w:rFonts w:cs="Arial"/>
          <w:snapToGrid w:val="0"/>
          <w:lang w:val="es-419"/>
        </w:rPr>
        <w:t>El I</w:t>
      </w:r>
      <w:r w:rsidR="00DD54CA" w:rsidRPr="00981EA4">
        <w:rPr>
          <w:rFonts w:cs="Arial"/>
          <w:snapToGrid w:val="0"/>
          <w:lang w:val="es-419"/>
        </w:rPr>
        <w:t>nforme de gestión financiera de la UPOV no está sujeto a una auditoría externa</w:t>
      </w:r>
      <w:r w:rsidRPr="00981EA4">
        <w:rPr>
          <w:rFonts w:cs="Arial"/>
          <w:snapToGrid w:val="0"/>
          <w:lang w:val="es-419"/>
        </w:rPr>
        <w:t xml:space="preserve">. </w:t>
      </w:r>
    </w:p>
    <w:p w:rsidR="0013647A" w:rsidRPr="00981EA4" w:rsidRDefault="0013647A" w:rsidP="0013647A">
      <w:pPr>
        <w:rPr>
          <w:rFonts w:cs="Arial"/>
          <w:snapToGrid w:val="0"/>
          <w:lang w:val="es-419"/>
        </w:rPr>
      </w:pPr>
    </w:p>
    <w:p w:rsidR="0013647A" w:rsidRPr="00981EA4" w:rsidRDefault="0013647A" w:rsidP="0013647A">
      <w:pPr>
        <w:rPr>
          <w:rFonts w:cs="Arial"/>
          <w:snapToGrid w:val="0"/>
          <w:lang w:val="es-419"/>
        </w:rPr>
      </w:pPr>
      <w:r w:rsidRPr="00981EA4">
        <w:rPr>
          <w:rFonts w:cs="Arial"/>
          <w:snapToGrid w:val="0"/>
          <w:lang w:val="es-419"/>
        </w:rPr>
        <w:fldChar w:fldCharType="begin"/>
      </w:r>
      <w:r w:rsidRPr="00981EA4">
        <w:rPr>
          <w:rFonts w:cs="Arial"/>
          <w:snapToGrid w:val="0"/>
          <w:lang w:val="es-419"/>
        </w:rPr>
        <w:instrText xml:space="preserve"> AUTONUM  </w:instrText>
      </w:r>
      <w:r w:rsidRPr="00981EA4">
        <w:rPr>
          <w:rFonts w:cs="Arial"/>
          <w:snapToGrid w:val="0"/>
          <w:lang w:val="es-419"/>
        </w:rPr>
        <w:fldChar w:fldCharType="end"/>
      </w:r>
      <w:r w:rsidRPr="00981EA4">
        <w:rPr>
          <w:rFonts w:cs="Arial"/>
          <w:snapToGrid w:val="0"/>
          <w:lang w:val="es-419"/>
        </w:rPr>
        <w:tab/>
      </w:r>
      <w:r w:rsidR="00DD54CA" w:rsidRPr="00981EA4">
        <w:rPr>
          <w:rFonts w:cs="Arial"/>
          <w:snapToGrid w:val="0"/>
          <w:lang w:val="es-419"/>
        </w:rPr>
        <w:t xml:space="preserve">En </w:t>
      </w:r>
      <w:r w:rsidR="00146D79" w:rsidRPr="00981EA4">
        <w:rPr>
          <w:rFonts w:cs="Arial"/>
          <w:snapToGrid w:val="0"/>
          <w:lang w:val="es-419"/>
        </w:rPr>
        <w:t>el</w:t>
      </w:r>
      <w:r w:rsidR="00DD54CA" w:rsidRPr="00981EA4">
        <w:rPr>
          <w:rFonts w:cs="Arial"/>
          <w:snapToGrid w:val="0"/>
          <w:lang w:val="es-419"/>
        </w:rPr>
        <w:t xml:space="preserve"> artículo 2.14</w:t>
      </w:r>
      <w:r w:rsidR="00DD54CA" w:rsidRPr="00981EA4">
        <w:rPr>
          <w:rFonts w:cs="Arial"/>
          <w:i/>
          <w:snapToGrid w:val="0"/>
          <w:lang w:val="es-419"/>
        </w:rPr>
        <w:t>bis</w:t>
      </w:r>
      <w:r w:rsidR="00DD54CA" w:rsidRPr="00981EA4">
        <w:rPr>
          <w:rFonts w:cs="Arial"/>
          <w:snapToGrid w:val="0"/>
          <w:lang w:val="es-419"/>
        </w:rPr>
        <w:t xml:space="preserve"> del Reglamento </w:t>
      </w:r>
      <w:r w:rsidR="00AA5BB4" w:rsidRPr="00981EA4">
        <w:rPr>
          <w:rFonts w:cs="Arial"/>
          <w:snapToGrid w:val="0"/>
          <w:lang w:val="es-419"/>
        </w:rPr>
        <w:t>F</w:t>
      </w:r>
      <w:r w:rsidR="00DD54CA" w:rsidRPr="00981EA4">
        <w:rPr>
          <w:rFonts w:cs="Arial"/>
          <w:snapToGrid w:val="0"/>
          <w:lang w:val="es-419"/>
        </w:rPr>
        <w:t xml:space="preserve">inanciero y </w:t>
      </w:r>
      <w:r w:rsidR="00AA5BB4" w:rsidRPr="00981EA4">
        <w:rPr>
          <w:rFonts w:cs="Arial"/>
          <w:snapToGrid w:val="0"/>
          <w:lang w:val="es-419"/>
        </w:rPr>
        <w:t>R</w:t>
      </w:r>
      <w:r w:rsidR="00DD54CA" w:rsidRPr="00981EA4">
        <w:rPr>
          <w:rFonts w:cs="Arial"/>
          <w:snapToGrid w:val="0"/>
          <w:lang w:val="es-419"/>
        </w:rPr>
        <w:t xml:space="preserve">eglamentación </w:t>
      </w:r>
      <w:r w:rsidR="00AA5BB4" w:rsidRPr="00981EA4">
        <w:rPr>
          <w:rFonts w:cs="Arial"/>
          <w:snapToGrid w:val="0"/>
          <w:lang w:val="es-419"/>
        </w:rPr>
        <w:t>F</w:t>
      </w:r>
      <w:r w:rsidR="00DD54CA" w:rsidRPr="00981EA4">
        <w:rPr>
          <w:rFonts w:cs="Arial"/>
          <w:snapToGrid w:val="0"/>
          <w:lang w:val="es-419"/>
        </w:rPr>
        <w:t>inanciera de la UPOV se establece lo siguiente</w:t>
      </w:r>
      <w:r w:rsidRPr="00981EA4">
        <w:rPr>
          <w:rFonts w:cs="Arial"/>
          <w:snapToGrid w:val="0"/>
          <w:lang w:val="es-419"/>
        </w:rPr>
        <w:t xml:space="preserve">: </w:t>
      </w:r>
    </w:p>
    <w:p w:rsidR="0013647A" w:rsidRPr="00981EA4" w:rsidRDefault="0013647A" w:rsidP="0013647A">
      <w:pPr>
        <w:rPr>
          <w:rFonts w:cs="Arial"/>
          <w:snapToGrid w:val="0"/>
          <w:lang w:val="es-419"/>
        </w:rPr>
      </w:pPr>
    </w:p>
    <w:p w:rsidR="0013647A" w:rsidRPr="00624BB1" w:rsidRDefault="00DD54CA" w:rsidP="00624BB1">
      <w:pPr>
        <w:ind w:left="567"/>
        <w:rPr>
          <w:b/>
          <w:sz w:val="18"/>
          <w:szCs w:val="18"/>
          <w:lang w:val="es-419"/>
        </w:rPr>
      </w:pPr>
      <w:bookmarkStart w:id="2" w:name="_Toc532830743"/>
      <w:r w:rsidRPr="00624BB1">
        <w:rPr>
          <w:b/>
          <w:sz w:val="18"/>
          <w:szCs w:val="18"/>
          <w:lang w:val="es-419"/>
        </w:rPr>
        <w:t>Artículo</w:t>
      </w:r>
      <w:r w:rsidR="0013647A" w:rsidRPr="00624BB1">
        <w:rPr>
          <w:b/>
          <w:sz w:val="18"/>
          <w:szCs w:val="18"/>
          <w:lang w:val="es-419"/>
        </w:rPr>
        <w:t xml:space="preserve"> 2.14</w:t>
      </w:r>
      <w:r w:rsidR="0013647A" w:rsidRPr="00624BB1">
        <w:rPr>
          <w:b/>
          <w:i/>
          <w:sz w:val="18"/>
          <w:szCs w:val="18"/>
          <w:lang w:val="es-419"/>
        </w:rPr>
        <w:t>bis</w:t>
      </w:r>
      <w:bookmarkEnd w:id="2"/>
    </w:p>
    <w:p w:rsidR="0013647A" w:rsidRDefault="0013647A" w:rsidP="0013647A">
      <w:pPr>
        <w:pStyle w:val="Inf4Normal"/>
        <w:spacing w:before="80"/>
        <w:ind w:left="567" w:right="567"/>
        <w:rPr>
          <w:sz w:val="18"/>
          <w:szCs w:val="24"/>
          <w:lang w:val="es-419"/>
        </w:rPr>
      </w:pPr>
      <w:r w:rsidRPr="00981EA4">
        <w:rPr>
          <w:sz w:val="18"/>
          <w:szCs w:val="24"/>
          <w:lang w:val="es-419"/>
        </w:rPr>
        <w:t>[…]</w:t>
      </w:r>
    </w:p>
    <w:p w:rsidR="00624BB1" w:rsidRPr="00981EA4" w:rsidRDefault="00624BB1" w:rsidP="0013647A">
      <w:pPr>
        <w:pStyle w:val="Inf4Normal"/>
        <w:spacing w:before="80"/>
        <w:ind w:left="567" w:right="567"/>
        <w:rPr>
          <w:sz w:val="18"/>
          <w:szCs w:val="24"/>
          <w:lang w:val="es-419"/>
        </w:rPr>
      </w:pPr>
    </w:p>
    <w:p w:rsidR="0013647A" w:rsidRPr="00624BB1" w:rsidRDefault="00DD54CA" w:rsidP="00624BB1">
      <w:pPr>
        <w:ind w:left="1134"/>
        <w:rPr>
          <w:b/>
          <w:sz w:val="18"/>
          <w:szCs w:val="18"/>
          <w:lang w:val="es-419"/>
        </w:rPr>
      </w:pPr>
      <w:bookmarkStart w:id="3" w:name="_Toc532830744"/>
      <w:r w:rsidRPr="00624BB1">
        <w:rPr>
          <w:b/>
          <w:sz w:val="18"/>
          <w:szCs w:val="18"/>
          <w:lang w:val="es-419"/>
        </w:rPr>
        <w:t>Regla</w:t>
      </w:r>
      <w:r w:rsidR="0013647A" w:rsidRPr="00624BB1">
        <w:rPr>
          <w:b/>
          <w:sz w:val="18"/>
          <w:szCs w:val="18"/>
          <w:lang w:val="es-419"/>
        </w:rPr>
        <w:t xml:space="preserve"> 102.7</w:t>
      </w:r>
      <w:bookmarkEnd w:id="3"/>
    </w:p>
    <w:p w:rsidR="0013647A" w:rsidRPr="00981EA4" w:rsidRDefault="0013647A" w:rsidP="0013647A">
      <w:pPr>
        <w:pStyle w:val="Inf4Normal"/>
        <w:spacing w:before="80"/>
        <w:ind w:left="1134" w:right="567"/>
        <w:rPr>
          <w:sz w:val="18"/>
          <w:szCs w:val="24"/>
          <w:lang w:val="es-419"/>
        </w:rPr>
      </w:pPr>
      <w:r w:rsidRPr="00981EA4">
        <w:rPr>
          <w:sz w:val="18"/>
          <w:szCs w:val="24"/>
          <w:lang w:val="es-419"/>
        </w:rPr>
        <w:t>a)</w:t>
      </w:r>
      <w:r w:rsidRPr="00981EA4">
        <w:rPr>
          <w:sz w:val="18"/>
          <w:szCs w:val="24"/>
          <w:lang w:val="es-419"/>
        </w:rPr>
        <w:tab/>
      </w:r>
      <w:r w:rsidR="00DD54CA" w:rsidRPr="00981EA4">
        <w:rPr>
          <w:rFonts w:cs="Arial"/>
          <w:sz w:val="18"/>
          <w:lang w:val="es-419"/>
        </w:rPr>
        <w:t>El Contralor de la OMPI preparará el Informe de gestión financiera y de rendimiento de los programas […]</w:t>
      </w:r>
    </w:p>
    <w:p w:rsidR="0013647A" w:rsidRPr="00981EA4" w:rsidRDefault="0013647A" w:rsidP="0013647A">
      <w:pPr>
        <w:pStyle w:val="Inf4Normal"/>
        <w:spacing w:before="80"/>
        <w:ind w:left="1134" w:right="567"/>
        <w:rPr>
          <w:sz w:val="18"/>
          <w:szCs w:val="24"/>
          <w:lang w:val="es-419"/>
        </w:rPr>
      </w:pPr>
      <w:r w:rsidRPr="00981EA4">
        <w:rPr>
          <w:sz w:val="18"/>
          <w:szCs w:val="24"/>
          <w:lang w:val="es-419"/>
        </w:rPr>
        <w:t>b)</w:t>
      </w:r>
      <w:r w:rsidRPr="00981EA4">
        <w:rPr>
          <w:sz w:val="18"/>
          <w:szCs w:val="24"/>
          <w:lang w:val="es-419"/>
        </w:rPr>
        <w:tab/>
      </w:r>
      <w:r w:rsidR="00DD54CA" w:rsidRPr="00981EA4">
        <w:rPr>
          <w:rFonts w:cs="Arial"/>
          <w:sz w:val="18"/>
          <w:lang w:val="es-419"/>
        </w:rPr>
        <w:t>En el plazo de los ocho meses posteriores al cierre del ejercicio económico, el Secretario General someterá al Consejo un informe en el que se expondrá la gestión financiera y de rendimiento de los programas conforme a los artículos 2.14 y 2.14</w:t>
      </w:r>
      <w:r w:rsidR="00DD54CA" w:rsidRPr="00981EA4">
        <w:rPr>
          <w:rFonts w:cs="Arial"/>
          <w:i/>
          <w:sz w:val="18"/>
          <w:lang w:val="es-419"/>
        </w:rPr>
        <w:t>bis</w:t>
      </w:r>
      <w:r w:rsidRPr="00981EA4">
        <w:rPr>
          <w:sz w:val="18"/>
          <w:szCs w:val="24"/>
          <w:lang w:val="es-419"/>
        </w:rPr>
        <w:t>.</w:t>
      </w:r>
    </w:p>
    <w:p w:rsidR="0013647A" w:rsidRPr="00981EA4" w:rsidRDefault="0013647A" w:rsidP="0013647A">
      <w:pPr>
        <w:rPr>
          <w:rFonts w:cs="Arial"/>
          <w:snapToGrid w:val="0"/>
          <w:lang w:val="es-419"/>
        </w:rPr>
      </w:pPr>
    </w:p>
    <w:p w:rsidR="0013647A" w:rsidRPr="00DB1B19" w:rsidRDefault="0013647A" w:rsidP="0013647A">
      <w:pPr>
        <w:tabs>
          <w:tab w:val="left" w:pos="5387"/>
          <w:tab w:val="left" w:pos="5954"/>
        </w:tabs>
        <w:ind w:left="4820"/>
        <w:rPr>
          <w:rFonts w:cs="Arial"/>
          <w:i/>
          <w:spacing w:val="-2"/>
          <w:lang w:val="es-419"/>
        </w:rPr>
      </w:pPr>
      <w:r w:rsidRPr="00DB1B19">
        <w:rPr>
          <w:rFonts w:cs="Arial"/>
          <w:i/>
          <w:spacing w:val="-2"/>
          <w:lang w:val="es-419"/>
        </w:rPr>
        <w:fldChar w:fldCharType="begin"/>
      </w:r>
      <w:r w:rsidRPr="00DB1B19">
        <w:rPr>
          <w:rFonts w:cs="Arial"/>
          <w:i/>
          <w:spacing w:val="-2"/>
          <w:lang w:val="es-419"/>
        </w:rPr>
        <w:instrText xml:space="preserve"> AUTONUM  </w:instrText>
      </w:r>
      <w:r w:rsidRPr="00DB1B19">
        <w:rPr>
          <w:rFonts w:cs="Arial"/>
          <w:i/>
          <w:spacing w:val="-2"/>
          <w:lang w:val="es-419"/>
        </w:rPr>
        <w:fldChar w:fldCharType="end"/>
      </w:r>
      <w:r w:rsidRPr="00DB1B19">
        <w:rPr>
          <w:rFonts w:cs="Arial"/>
          <w:i/>
          <w:spacing w:val="-2"/>
          <w:lang w:val="es-419"/>
        </w:rPr>
        <w:tab/>
      </w:r>
      <w:r w:rsidR="00DD54CA" w:rsidRPr="00DB1B19">
        <w:rPr>
          <w:rFonts w:cs="Arial"/>
          <w:i/>
          <w:spacing w:val="-2"/>
          <w:lang w:val="es-419"/>
        </w:rPr>
        <w:t>Se invita al Consejo a aprobar el informe</w:t>
      </w:r>
      <w:r w:rsidR="00DB1B19">
        <w:rPr>
          <w:rFonts w:cs="Arial"/>
          <w:i/>
          <w:spacing w:val="-2"/>
          <w:lang w:val="es-419"/>
        </w:rPr>
        <w:t xml:space="preserve"> </w:t>
      </w:r>
      <w:r w:rsidR="00DD54CA" w:rsidRPr="00DB1B19">
        <w:rPr>
          <w:rFonts w:cs="Arial"/>
          <w:i/>
          <w:spacing w:val="-2"/>
          <w:lang w:val="es-419"/>
        </w:rPr>
        <w:t>de gestión financiera correspondiente al bienio 2018</w:t>
      </w:r>
      <w:r w:rsidR="00DD54CA" w:rsidRPr="00DB1B19">
        <w:rPr>
          <w:rFonts w:cs="Arial"/>
          <w:i/>
          <w:spacing w:val="-2"/>
          <w:lang w:val="es-419"/>
        </w:rPr>
        <w:noBreakHyphen/>
        <w:t>2019</w:t>
      </w:r>
      <w:r w:rsidRPr="00DB1B19">
        <w:rPr>
          <w:rFonts w:cs="Arial"/>
          <w:i/>
          <w:spacing w:val="-2"/>
          <w:lang w:val="es-419"/>
        </w:rPr>
        <w:t>.</w:t>
      </w:r>
    </w:p>
    <w:p w:rsidR="0013647A" w:rsidRPr="00981EA4" w:rsidRDefault="0013647A" w:rsidP="0013647A">
      <w:pPr>
        <w:rPr>
          <w:lang w:val="es-419"/>
        </w:rPr>
      </w:pPr>
    </w:p>
    <w:p w:rsidR="0013647A" w:rsidRPr="00981EA4" w:rsidRDefault="0013647A" w:rsidP="0013647A">
      <w:pPr>
        <w:rPr>
          <w:lang w:val="es-419"/>
        </w:rPr>
      </w:pPr>
    </w:p>
    <w:p w:rsidR="0013647A" w:rsidRPr="00981EA4" w:rsidRDefault="0013647A" w:rsidP="0013647A">
      <w:pPr>
        <w:rPr>
          <w:lang w:val="es-419"/>
        </w:rPr>
      </w:pPr>
    </w:p>
    <w:p w:rsidR="0013647A" w:rsidRPr="00981EA4" w:rsidRDefault="0013647A" w:rsidP="0013647A">
      <w:pPr>
        <w:spacing w:before="120"/>
        <w:jc w:val="right"/>
        <w:rPr>
          <w:rFonts w:cs="Arial"/>
          <w:lang w:val="es-419"/>
        </w:rPr>
      </w:pPr>
      <w:r w:rsidRPr="00981EA4">
        <w:rPr>
          <w:rFonts w:cs="Arial"/>
          <w:lang w:val="es-419"/>
        </w:rPr>
        <w:t>[</w:t>
      </w:r>
      <w:r w:rsidR="00DD54CA" w:rsidRPr="00981EA4">
        <w:rPr>
          <w:rFonts w:cs="Arial"/>
          <w:lang w:val="es-419"/>
        </w:rPr>
        <w:t>Sigue el Anexo</w:t>
      </w:r>
      <w:r w:rsidRPr="00981EA4">
        <w:rPr>
          <w:rFonts w:cs="Arial"/>
          <w:lang w:val="es-419"/>
        </w:rPr>
        <w:t>]</w:t>
      </w:r>
    </w:p>
    <w:p w:rsidR="0013647A" w:rsidRPr="00981EA4" w:rsidRDefault="0013647A" w:rsidP="0013647A">
      <w:pPr>
        <w:jc w:val="right"/>
        <w:rPr>
          <w:rFonts w:cs="Arial"/>
          <w:lang w:val="es-419"/>
        </w:rPr>
        <w:sectPr w:rsidR="0013647A" w:rsidRPr="00981EA4" w:rsidSect="00AC130F">
          <w:headerReference w:type="even" r:id="rId9"/>
          <w:headerReference w:type="default" r:id="rId10"/>
          <w:footerReference w:type="even" r:id="rId11"/>
          <w:footerReference w:type="default" r:id="rId12"/>
          <w:footerReference w:type="first" r:id="rId13"/>
          <w:pgSz w:w="11907" w:h="16840" w:code="9"/>
          <w:pgMar w:top="510" w:right="1134" w:bottom="709" w:left="1134" w:header="510" w:footer="680" w:gutter="0"/>
          <w:cols w:space="720"/>
          <w:titlePg/>
          <w:docGrid w:linePitch="272"/>
        </w:sectPr>
      </w:pPr>
    </w:p>
    <w:p w:rsidR="0013647A" w:rsidRPr="00981EA4" w:rsidRDefault="0013647A" w:rsidP="0013647A">
      <w:pPr>
        <w:rPr>
          <w:rFonts w:cs="Arial"/>
          <w:lang w:val="es-419"/>
        </w:rPr>
      </w:pPr>
    </w:p>
    <w:p w:rsidR="0013647A" w:rsidRPr="00981EA4" w:rsidRDefault="0013647A" w:rsidP="0013647A">
      <w:pPr>
        <w:rPr>
          <w:rFonts w:cs="Arial"/>
          <w:lang w:val="es-419"/>
        </w:rPr>
      </w:pPr>
    </w:p>
    <w:p w:rsidR="0013647A" w:rsidRPr="00981EA4" w:rsidRDefault="00864C97" w:rsidP="0013647A">
      <w:pPr>
        <w:jc w:val="center"/>
        <w:rPr>
          <w:rFonts w:cs="Arial"/>
          <w:b/>
          <w:lang w:val="es-419"/>
        </w:rPr>
      </w:pPr>
      <w:r w:rsidRPr="00981EA4">
        <w:rPr>
          <w:rFonts w:cs="Arial"/>
          <w:b/>
          <w:snapToGrid w:val="0"/>
          <w:lang w:val="es-419"/>
        </w:rPr>
        <w:t>UNIÓN INTERNACIONAL PARA LA PROTECCIÓN DE LAS OBTENCIONES VEGETALES</w:t>
      </w:r>
    </w:p>
    <w:p w:rsidR="0013647A" w:rsidRPr="00981EA4" w:rsidRDefault="0013647A" w:rsidP="0013647A">
      <w:pPr>
        <w:jc w:val="center"/>
        <w:rPr>
          <w:rFonts w:cs="Arial"/>
          <w:lang w:val="es-419"/>
        </w:rPr>
      </w:pPr>
    </w:p>
    <w:p w:rsidR="0013647A" w:rsidRPr="00981EA4" w:rsidRDefault="00864C97" w:rsidP="0013647A">
      <w:pPr>
        <w:jc w:val="center"/>
        <w:rPr>
          <w:rFonts w:cs="Arial"/>
          <w:lang w:val="es-419"/>
        </w:rPr>
      </w:pPr>
      <w:r w:rsidRPr="00981EA4">
        <w:rPr>
          <w:rFonts w:cs="Arial"/>
          <w:lang w:val="es-419"/>
        </w:rPr>
        <w:t>Informe de gestión financiera del bienio 2018</w:t>
      </w:r>
      <w:r w:rsidRPr="00981EA4">
        <w:rPr>
          <w:rFonts w:cs="Arial"/>
          <w:lang w:val="es-419"/>
        </w:rPr>
        <w:noBreakHyphen/>
        <w:t>2019</w:t>
      </w:r>
    </w:p>
    <w:p w:rsidR="0013647A" w:rsidRPr="00981EA4" w:rsidRDefault="0013647A" w:rsidP="0013647A">
      <w:pPr>
        <w:jc w:val="center"/>
        <w:rPr>
          <w:rFonts w:cs="Arial"/>
          <w:lang w:val="es-419"/>
        </w:rPr>
      </w:pPr>
    </w:p>
    <w:p w:rsidR="0013647A" w:rsidRPr="00981EA4" w:rsidRDefault="0013647A" w:rsidP="0013647A">
      <w:pPr>
        <w:jc w:val="center"/>
        <w:rPr>
          <w:rFonts w:cs="Arial"/>
          <w:lang w:val="es-419"/>
        </w:rPr>
      </w:pPr>
    </w:p>
    <w:p w:rsidR="0013647A" w:rsidRPr="00981EA4" w:rsidRDefault="0013647A" w:rsidP="0013647A">
      <w:pPr>
        <w:tabs>
          <w:tab w:val="right" w:pos="9639"/>
        </w:tabs>
        <w:rPr>
          <w:rFonts w:cs="Arial"/>
          <w:b/>
          <w:lang w:val="es-419"/>
        </w:rPr>
      </w:pPr>
    </w:p>
    <w:p w:rsidR="0013647A" w:rsidRPr="00981EA4" w:rsidRDefault="0013647A" w:rsidP="0013647A">
      <w:pPr>
        <w:tabs>
          <w:tab w:val="right" w:pos="9639"/>
        </w:tabs>
        <w:rPr>
          <w:rFonts w:cs="Arial"/>
          <w:b/>
          <w:lang w:val="es-419"/>
        </w:rPr>
      </w:pPr>
    </w:p>
    <w:p w:rsidR="0013647A" w:rsidRPr="00DB1B19" w:rsidRDefault="00864C97" w:rsidP="00DB1B19">
      <w:pPr>
        <w:tabs>
          <w:tab w:val="right" w:pos="9923"/>
        </w:tabs>
        <w:ind w:right="-284"/>
        <w:rPr>
          <w:rFonts w:cs="Arial"/>
          <w:sz w:val="18"/>
          <w:szCs w:val="18"/>
          <w:lang w:val="es-419"/>
        </w:rPr>
      </w:pPr>
      <w:r w:rsidRPr="00DB1B19">
        <w:rPr>
          <w:rFonts w:cs="Arial"/>
          <w:b/>
          <w:sz w:val="18"/>
          <w:szCs w:val="18"/>
          <w:lang w:val="es-419"/>
        </w:rPr>
        <w:t>ÍNDICE</w:t>
      </w:r>
      <w:r w:rsidR="0013647A" w:rsidRPr="00DB1B19">
        <w:rPr>
          <w:rFonts w:cs="Arial"/>
          <w:b/>
          <w:sz w:val="18"/>
          <w:szCs w:val="18"/>
          <w:lang w:val="es-419"/>
        </w:rPr>
        <w:tab/>
      </w:r>
      <w:r w:rsidRPr="00DB1B19">
        <w:rPr>
          <w:rFonts w:cs="Arial"/>
          <w:b/>
          <w:caps/>
          <w:sz w:val="18"/>
          <w:szCs w:val="18"/>
          <w:lang w:val="es-419"/>
        </w:rPr>
        <w:t>pÁGINA</w:t>
      </w:r>
    </w:p>
    <w:p w:rsidR="0013647A" w:rsidRPr="00981EA4" w:rsidRDefault="0013647A" w:rsidP="0013647A">
      <w:pPr>
        <w:rPr>
          <w:rFonts w:cs="Arial"/>
          <w:lang w:val="es-419"/>
        </w:rPr>
      </w:pPr>
    </w:p>
    <w:p w:rsidR="00401DA6" w:rsidRDefault="0013647A">
      <w:pPr>
        <w:pStyle w:val="TOC1"/>
        <w:rPr>
          <w:rFonts w:asciiTheme="minorHAnsi" w:eastAsiaTheme="minorEastAsia" w:hAnsiTheme="minorHAnsi" w:cstheme="minorBidi"/>
          <w:b w:val="0"/>
          <w:caps w:val="0"/>
          <w:sz w:val="22"/>
          <w:szCs w:val="22"/>
          <w:lang w:val="en-US"/>
        </w:rPr>
      </w:pPr>
      <w:r w:rsidRPr="00DB1B19">
        <w:fldChar w:fldCharType="begin"/>
      </w:r>
      <w:r w:rsidRPr="00DB1B19">
        <w:instrText xml:space="preserve"> TOC \o "1-3" \h \z \u </w:instrText>
      </w:r>
      <w:r w:rsidRPr="00DB1B19">
        <w:fldChar w:fldCharType="separate"/>
      </w:r>
      <w:hyperlink w:anchor="_Toc48829043" w:history="1">
        <w:r w:rsidR="00401DA6" w:rsidRPr="009B6C96">
          <w:rPr>
            <w:rStyle w:val="Hyperlink"/>
          </w:rPr>
          <w:t>RESUMEN Y ANÁLISIS DEL RESULTADO presupuestario</w:t>
        </w:r>
        <w:r w:rsidR="00401DA6">
          <w:rPr>
            <w:webHidden/>
          </w:rPr>
          <w:tab/>
        </w:r>
        <w:r w:rsidR="00401DA6">
          <w:rPr>
            <w:webHidden/>
          </w:rPr>
          <w:fldChar w:fldCharType="begin"/>
        </w:r>
        <w:r w:rsidR="00401DA6">
          <w:rPr>
            <w:webHidden/>
          </w:rPr>
          <w:instrText xml:space="preserve"> PAGEREF _Toc48829043 \h </w:instrText>
        </w:r>
        <w:r w:rsidR="00401DA6">
          <w:rPr>
            <w:webHidden/>
          </w:rPr>
        </w:r>
        <w:r w:rsidR="00401DA6">
          <w:rPr>
            <w:webHidden/>
          </w:rPr>
          <w:fldChar w:fldCharType="separate"/>
        </w:r>
        <w:r w:rsidR="00401DA6">
          <w:rPr>
            <w:webHidden/>
          </w:rPr>
          <w:t>2</w:t>
        </w:r>
        <w:r w:rsidR="00401DA6">
          <w:rPr>
            <w:webHidden/>
          </w:rPr>
          <w:fldChar w:fldCharType="end"/>
        </w:r>
      </w:hyperlink>
    </w:p>
    <w:p w:rsidR="00401DA6" w:rsidRPr="00401DA6" w:rsidRDefault="00AC13B4" w:rsidP="00401DA6">
      <w:pPr>
        <w:pStyle w:val="TOC2"/>
        <w:rPr>
          <w:rFonts w:asciiTheme="minorHAnsi" w:eastAsiaTheme="minorEastAsia" w:hAnsiTheme="minorHAnsi" w:cstheme="minorBidi"/>
          <w:sz w:val="22"/>
          <w:szCs w:val="22"/>
          <w:lang w:val="en-US"/>
        </w:rPr>
      </w:pPr>
      <w:hyperlink w:anchor="_Toc48829044" w:history="1">
        <w:r w:rsidR="00401DA6" w:rsidRPr="00401DA6">
          <w:rPr>
            <w:rStyle w:val="Hyperlink"/>
          </w:rPr>
          <w:t>Cuadro 1. Ingresos, gastos y fondos de reserva y de operaciones (FRO) en el bienio 2018</w:t>
        </w:r>
        <w:r w:rsidR="00401DA6" w:rsidRPr="00401DA6">
          <w:rPr>
            <w:rStyle w:val="Hyperlink"/>
          </w:rPr>
          <w:noBreakHyphen/>
          <w:t>2019</w:t>
        </w:r>
        <w:r w:rsidR="00401DA6" w:rsidRPr="00401DA6">
          <w:rPr>
            <w:webHidden/>
          </w:rPr>
          <w:tab/>
        </w:r>
        <w:r w:rsidR="00401DA6" w:rsidRPr="00401DA6">
          <w:rPr>
            <w:webHidden/>
          </w:rPr>
          <w:fldChar w:fldCharType="begin"/>
        </w:r>
        <w:r w:rsidR="00401DA6" w:rsidRPr="00401DA6">
          <w:rPr>
            <w:webHidden/>
          </w:rPr>
          <w:instrText xml:space="preserve"> PAGEREF _Toc48829044 \h </w:instrText>
        </w:r>
        <w:r w:rsidR="00401DA6" w:rsidRPr="00401DA6">
          <w:rPr>
            <w:webHidden/>
          </w:rPr>
        </w:r>
        <w:r w:rsidR="00401DA6" w:rsidRPr="00401DA6">
          <w:rPr>
            <w:webHidden/>
          </w:rPr>
          <w:fldChar w:fldCharType="separate"/>
        </w:r>
        <w:r w:rsidR="00401DA6" w:rsidRPr="00401DA6">
          <w:rPr>
            <w:webHidden/>
          </w:rPr>
          <w:t>2</w:t>
        </w:r>
        <w:r w:rsidR="00401DA6" w:rsidRP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45" w:history="1">
        <w:r w:rsidR="00401DA6" w:rsidRPr="009B6C96">
          <w:rPr>
            <w:rStyle w:val="Hyperlink"/>
          </w:rPr>
          <w:t>Cuadro 2. Ingresos presupuestados y reales del bienio 2018</w:t>
        </w:r>
        <w:r w:rsidR="00401DA6" w:rsidRPr="009B6C96">
          <w:rPr>
            <w:rStyle w:val="Hyperlink"/>
          </w:rPr>
          <w:noBreakHyphen/>
          <w:t>2019 por fuente</w:t>
        </w:r>
        <w:r w:rsidR="00401DA6">
          <w:rPr>
            <w:webHidden/>
          </w:rPr>
          <w:tab/>
        </w:r>
        <w:r w:rsidR="00401DA6" w:rsidRPr="00401DA6">
          <w:rPr>
            <w:webHidden/>
          </w:rPr>
          <w:fldChar w:fldCharType="begin"/>
        </w:r>
        <w:r w:rsidR="00401DA6" w:rsidRPr="00401DA6">
          <w:rPr>
            <w:webHidden/>
          </w:rPr>
          <w:instrText xml:space="preserve"> PAGEREF _Toc48829045 \h </w:instrText>
        </w:r>
        <w:r w:rsidR="00401DA6" w:rsidRPr="00401DA6">
          <w:rPr>
            <w:webHidden/>
          </w:rPr>
        </w:r>
        <w:r w:rsidR="00401DA6" w:rsidRPr="00401DA6">
          <w:rPr>
            <w:webHidden/>
          </w:rPr>
          <w:fldChar w:fldCharType="separate"/>
        </w:r>
        <w:r w:rsidR="00401DA6" w:rsidRPr="00401DA6">
          <w:rPr>
            <w:webHidden/>
          </w:rPr>
          <w:t>3</w:t>
        </w:r>
        <w:r w:rsidR="00401DA6" w:rsidRP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46" w:history="1">
        <w:r w:rsidR="00401DA6" w:rsidRPr="009B6C96">
          <w:rPr>
            <w:rStyle w:val="Hyperlink"/>
          </w:rPr>
          <w:t>Cuadro 3. Presupuesto aprobado y gastos del bienio 2018</w:t>
        </w:r>
        <w:r w:rsidR="00401DA6" w:rsidRPr="009B6C96">
          <w:rPr>
            <w:rStyle w:val="Hyperlink"/>
          </w:rPr>
          <w:noBreakHyphen/>
          <w:t>2019 por partida de costos</w:t>
        </w:r>
        <w:r w:rsidR="00401DA6">
          <w:rPr>
            <w:webHidden/>
          </w:rPr>
          <w:tab/>
        </w:r>
        <w:r w:rsidR="00401DA6">
          <w:rPr>
            <w:webHidden/>
          </w:rPr>
          <w:fldChar w:fldCharType="begin"/>
        </w:r>
        <w:r w:rsidR="00401DA6">
          <w:rPr>
            <w:webHidden/>
          </w:rPr>
          <w:instrText xml:space="preserve"> PAGEREF _Toc48829046 \h </w:instrText>
        </w:r>
        <w:r w:rsidR="00401DA6">
          <w:rPr>
            <w:webHidden/>
          </w:rPr>
        </w:r>
        <w:r w:rsidR="00401DA6">
          <w:rPr>
            <w:webHidden/>
          </w:rPr>
          <w:fldChar w:fldCharType="separate"/>
        </w:r>
        <w:r w:rsidR="00401DA6">
          <w:rPr>
            <w:webHidden/>
          </w:rPr>
          <w:t>4</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47" w:history="1">
        <w:r w:rsidR="00401DA6" w:rsidRPr="009B6C96">
          <w:rPr>
            <w:rStyle w:val="Hyperlink"/>
          </w:rPr>
          <w:t>Cuadro 4. Presupuesto aprobado y gastos del bienio 2018</w:t>
        </w:r>
        <w:r w:rsidR="00401DA6" w:rsidRPr="009B6C96">
          <w:rPr>
            <w:rStyle w:val="Hyperlink"/>
          </w:rPr>
          <w:noBreakHyphen/>
          <w:t>2019 por subprograma</w:t>
        </w:r>
        <w:r w:rsidR="00401DA6">
          <w:rPr>
            <w:webHidden/>
          </w:rPr>
          <w:tab/>
        </w:r>
        <w:r w:rsidR="00401DA6">
          <w:rPr>
            <w:webHidden/>
          </w:rPr>
          <w:fldChar w:fldCharType="begin"/>
        </w:r>
        <w:r w:rsidR="00401DA6">
          <w:rPr>
            <w:webHidden/>
          </w:rPr>
          <w:instrText xml:space="preserve"> PAGEREF _Toc48829047 \h </w:instrText>
        </w:r>
        <w:r w:rsidR="00401DA6">
          <w:rPr>
            <w:webHidden/>
          </w:rPr>
        </w:r>
        <w:r w:rsidR="00401DA6">
          <w:rPr>
            <w:webHidden/>
          </w:rPr>
          <w:fldChar w:fldCharType="separate"/>
        </w:r>
        <w:r w:rsidR="00401DA6">
          <w:rPr>
            <w:webHidden/>
          </w:rPr>
          <w:t>4</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48" w:history="1">
        <w:r w:rsidR="00401DA6" w:rsidRPr="009B6C96">
          <w:rPr>
            <w:rStyle w:val="Hyperlink"/>
          </w:rPr>
          <w:t>Cuadro 5. Detalle de los gastos del bienio 2018</w:t>
        </w:r>
        <w:r w:rsidR="00401DA6" w:rsidRPr="009B6C96">
          <w:rPr>
            <w:rStyle w:val="Hyperlink"/>
          </w:rPr>
          <w:noBreakHyphen/>
          <w:t>2019 por subprograma</w:t>
        </w:r>
        <w:r w:rsidR="00401DA6">
          <w:rPr>
            <w:webHidden/>
          </w:rPr>
          <w:tab/>
        </w:r>
        <w:r w:rsidR="00401DA6">
          <w:rPr>
            <w:webHidden/>
          </w:rPr>
          <w:fldChar w:fldCharType="begin"/>
        </w:r>
        <w:r w:rsidR="00401DA6">
          <w:rPr>
            <w:webHidden/>
          </w:rPr>
          <w:instrText xml:space="preserve"> PAGEREF _Toc48829048 \h </w:instrText>
        </w:r>
        <w:r w:rsidR="00401DA6">
          <w:rPr>
            <w:webHidden/>
          </w:rPr>
        </w:r>
        <w:r w:rsidR="00401DA6">
          <w:rPr>
            <w:webHidden/>
          </w:rPr>
          <w:fldChar w:fldCharType="separate"/>
        </w:r>
        <w:r w:rsidR="00401DA6">
          <w:rPr>
            <w:webHidden/>
          </w:rPr>
          <w:t>6</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49" w:history="1">
        <w:r w:rsidR="00401DA6" w:rsidRPr="009B6C96">
          <w:rPr>
            <w:rStyle w:val="Hyperlink"/>
          </w:rPr>
          <w:t>Cuadro 6. Puestos presupuestados y efectivos en el bienio 2018-2019</w:t>
        </w:r>
        <w:r w:rsidR="00401DA6">
          <w:rPr>
            <w:webHidden/>
          </w:rPr>
          <w:tab/>
        </w:r>
        <w:r w:rsidR="00401DA6">
          <w:rPr>
            <w:webHidden/>
          </w:rPr>
          <w:fldChar w:fldCharType="begin"/>
        </w:r>
        <w:r w:rsidR="00401DA6">
          <w:rPr>
            <w:webHidden/>
          </w:rPr>
          <w:instrText xml:space="preserve"> PAGEREF _Toc48829049 \h </w:instrText>
        </w:r>
        <w:r w:rsidR="00401DA6">
          <w:rPr>
            <w:webHidden/>
          </w:rPr>
        </w:r>
        <w:r w:rsidR="00401DA6">
          <w:rPr>
            <w:webHidden/>
          </w:rPr>
          <w:fldChar w:fldCharType="separate"/>
        </w:r>
        <w:r w:rsidR="00401DA6">
          <w:rPr>
            <w:webHidden/>
          </w:rPr>
          <w:t>7</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0" w:history="1">
        <w:r w:rsidR="00401DA6" w:rsidRPr="009B6C96">
          <w:rPr>
            <w:rStyle w:val="Hyperlink"/>
          </w:rPr>
          <w:t>Cuadro 7. Evolución de los ingresos y gastos reales entre 2008 y 2019</w:t>
        </w:r>
        <w:r w:rsidR="00401DA6">
          <w:rPr>
            <w:webHidden/>
          </w:rPr>
          <w:tab/>
        </w:r>
        <w:r w:rsidR="00401DA6">
          <w:rPr>
            <w:webHidden/>
          </w:rPr>
          <w:fldChar w:fldCharType="begin"/>
        </w:r>
        <w:r w:rsidR="00401DA6">
          <w:rPr>
            <w:webHidden/>
          </w:rPr>
          <w:instrText xml:space="preserve"> PAGEREF _Toc48829050 \h </w:instrText>
        </w:r>
        <w:r w:rsidR="00401DA6">
          <w:rPr>
            <w:webHidden/>
          </w:rPr>
        </w:r>
        <w:r w:rsidR="00401DA6">
          <w:rPr>
            <w:webHidden/>
          </w:rPr>
          <w:fldChar w:fldCharType="separate"/>
        </w:r>
        <w:r w:rsidR="00401DA6">
          <w:rPr>
            <w:webHidden/>
          </w:rPr>
          <w:t>7</w:t>
        </w:r>
        <w:r w:rsidR="00401DA6">
          <w:rPr>
            <w:webHidden/>
          </w:rPr>
          <w:fldChar w:fldCharType="end"/>
        </w:r>
      </w:hyperlink>
    </w:p>
    <w:p w:rsidR="00401DA6" w:rsidRDefault="00AC13B4">
      <w:pPr>
        <w:pStyle w:val="TOC1"/>
        <w:rPr>
          <w:rFonts w:asciiTheme="minorHAnsi" w:eastAsiaTheme="minorEastAsia" w:hAnsiTheme="minorHAnsi" w:cstheme="minorBidi"/>
          <w:b w:val="0"/>
          <w:caps w:val="0"/>
          <w:sz w:val="22"/>
          <w:szCs w:val="22"/>
          <w:lang w:val="en-US"/>
        </w:rPr>
      </w:pPr>
      <w:hyperlink w:anchor="_Toc48829051" w:history="1">
        <w:r w:rsidR="00401DA6" w:rsidRPr="009B6C96">
          <w:rPr>
            <w:rStyle w:val="Hyperlink"/>
          </w:rPr>
          <w:t>ESTADOS FINANCIEROS</w:t>
        </w:r>
        <w:r w:rsidR="00401DA6">
          <w:rPr>
            <w:webHidden/>
          </w:rPr>
          <w:tab/>
        </w:r>
        <w:r w:rsidR="00401DA6">
          <w:rPr>
            <w:webHidden/>
          </w:rPr>
          <w:fldChar w:fldCharType="begin"/>
        </w:r>
        <w:r w:rsidR="00401DA6">
          <w:rPr>
            <w:webHidden/>
          </w:rPr>
          <w:instrText xml:space="preserve"> PAGEREF _Toc48829051 \h </w:instrText>
        </w:r>
        <w:r w:rsidR="00401DA6">
          <w:rPr>
            <w:webHidden/>
          </w:rPr>
        </w:r>
        <w:r w:rsidR="00401DA6">
          <w:rPr>
            <w:webHidden/>
          </w:rPr>
          <w:fldChar w:fldCharType="separate"/>
        </w:r>
        <w:r w:rsidR="00401DA6">
          <w:rPr>
            <w:webHidden/>
          </w:rPr>
          <w:t>8</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2" w:history="1">
        <w:r w:rsidR="00401DA6" w:rsidRPr="009B6C96">
          <w:rPr>
            <w:rStyle w:val="Hyperlink"/>
          </w:rPr>
          <w:t>Estado financiero I  Estado de la situación financiera</w:t>
        </w:r>
        <w:r w:rsidR="00401DA6">
          <w:rPr>
            <w:webHidden/>
          </w:rPr>
          <w:tab/>
        </w:r>
        <w:r w:rsidR="00401DA6">
          <w:rPr>
            <w:webHidden/>
          </w:rPr>
          <w:fldChar w:fldCharType="begin"/>
        </w:r>
        <w:r w:rsidR="00401DA6">
          <w:rPr>
            <w:webHidden/>
          </w:rPr>
          <w:instrText xml:space="preserve"> PAGEREF _Toc48829052 \h </w:instrText>
        </w:r>
        <w:r w:rsidR="00401DA6">
          <w:rPr>
            <w:webHidden/>
          </w:rPr>
        </w:r>
        <w:r w:rsidR="00401DA6">
          <w:rPr>
            <w:webHidden/>
          </w:rPr>
          <w:fldChar w:fldCharType="separate"/>
        </w:r>
        <w:r w:rsidR="00401DA6">
          <w:rPr>
            <w:webHidden/>
          </w:rPr>
          <w:t>9</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3" w:history="1">
        <w:r w:rsidR="00401DA6" w:rsidRPr="009B6C96">
          <w:rPr>
            <w:rStyle w:val="Hyperlink"/>
          </w:rPr>
          <w:t>Estado financiero II  Estado de rendimiento financiero</w:t>
        </w:r>
        <w:r w:rsidR="00401DA6">
          <w:rPr>
            <w:webHidden/>
          </w:rPr>
          <w:tab/>
        </w:r>
        <w:r w:rsidR="00401DA6">
          <w:rPr>
            <w:webHidden/>
          </w:rPr>
          <w:fldChar w:fldCharType="begin"/>
        </w:r>
        <w:r w:rsidR="00401DA6">
          <w:rPr>
            <w:webHidden/>
          </w:rPr>
          <w:instrText xml:space="preserve"> PAGEREF _Toc48829053 \h </w:instrText>
        </w:r>
        <w:r w:rsidR="00401DA6">
          <w:rPr>
            <w:webHidden/>
          </w:rPr>
        </w:r>
        <w:r w:rsidR="00401DA6">
          <w:rPr>
            <w:webHidden/>
          </w:rPr>
          <w:fldChar w:fldCharType="separate"/>
        </w:r>
        <w:r w:rsidR="00401DA6">
          <w:rPr>
            <w:webHidden/>
          </w:rPr>
          <w:t>10</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4" w:history="1">
        <w:r w:rsidR="00401DA6" w:rsidRPr="009B6C96">
          <w:rPr>
            <w:rStyle w:val="Hyperlink"/>
          </w:rPr>
          <w:t>Estado financiero III  Estado de cambios en los activos netos</w:t>
        </w:r>
        <w:r w:rsidR="00401DA6">
          <w:rPr>
            <w:webHidden/>
          </w:rPr>
          <w:tab/>
        </w:r>
        <w:r w:rsidR="00401DA6">
          <w:rPr>
            <w:webHidden/>
          </w:rPr>
          <w:fldChar w:fldCharType="begin"/>
        </w:r>
        <w:r w:rsidR="00401DA6">
          <w:rPr>
            <w:webHidden/>
          </w:rPr>
          <w:instrText xml:space="preserve"> PAGEREF _Toc48829054 \h </w:instrText>
        </w:r>
        <w:r w:rsidR="00401DA6">
          <w:rPr>
            <w:webHidden/>
          </w:rPr>
        </w:r>
        <w:r w:rsidR="00401DA6">
          <w:rPr>
            <w:webHidden/>
          </w:rPr>
          <w:fldChar w:fldCharType="separate"/>
        </w:r>
        <w:r w:rsidR="00401DA6">
          <w:rPr>
            <w:webHidden/>
          </w:rPr>
          <w:t>11</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5" w:history="1">
        <w:r w:rsidR="00401DA6" w:rsidRPr="009B6C96">
          <w:rPr>
            <w:rStyle w:val="Hyperlink"/>
          </w:rPr>
          <w:t>Estado financiero IV  Estado de flujos de efectivo</w:t>
        </w:r>
        <w:r w:rsidR="00401DA6">
          <w:rPr>
            <w:webHidden/>
          </w:rPr>
          <w:tab/>
        </w:r>
        <w:r w:rsidR="00401DA6">
          <w:rPr>
            <w:webHidden/>
          </w:rPr>
          <w:fldChar w:fldCharType="begin"/>
        </w:r>
        <w:r w:rsidR="00401DA6">
          <w:rPr>
            <w:webHidden/>
          </w:rPr>
          <w:instrText xml:space="preserve"> PAGEREF _Toc48829055 \h </w:instrText>
        </w:r>
        <w:r w:rsidR="00401DA6">
          <w:rPr>
            <w:webHidden/>
          </w:rPr>
        </w:r>
        <w:r w:rsidR="00401DA6">
          <w:rPr>
            <w:webHidden/>
          </w:rPr>
          <w:fldChar w:fldCharType="separate"/>
        </w:r>
        <w:r w:rsidR="00401DA6">
          <w:rPr>
            <w:webHidden/>
          </w:rPr>
          <w:t>12</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6" w:history="1">
        <w:r w:rsidR="00401DA6" w:rsidRPr="009B6C96">
          <w:rPr>
            <w:rStyle w:val="Hyperlink"/>
          </w:rPr>
          <w:t>Estado financiero V  Estado comparativo de importes presupuestados y reales</w:t>
        </w:r>
        <w:r w:rsidR="00401DA6">
          <w:rPr>
            <w:webHidden/>
          </w:rPr>
          <w:tab/>
        </w:r>
        <w:r w:rsidR="00401DA6">
          <w:rPr>
            <w:webHidden/>
          </w:rPr>
          <w:fldChar w:fldCharType="begin"/>
        </w:r>
        <w:r w:rsidR="00401DA6">
          <w:rPr>
            <w:webHidden/>
          </w:rPr>
          <w:instrText xml:space="preserve"> PAGEREF _Toc48829056 \h </w:instrText>
        </w:r>
        <w:r w:rsidR="00401DA6">
          <w:rPr>
            <w:webHidden/>
          </w:rPr>
        </w:r>
        <w:r w:rsidR="00401DA6">
          <w:rPr>
            <w:webHidden/>
          </w:rPr>
          <w:fldChar w:fldCharType="separate"/>
        </w:r>
        <w:r w:rsidR="00401DA6">
          <w:rPr>
            <w:webHidden/>
          </w:rPr>
          <w:t>13</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7" w:history="1">
        <w:r w:rsidR="00401DA6" w:rsidRPr="009B6C96">
          <w:rPr>
            <w:rStyle w:val="Hyperlink"/>
          </w:rPr>
          <w:t>Análisis del estado de la situación financiera</w:t>
        </w:r>
        <w:r w:rsidR="00401DA6">
          <w:rPr>
            <w:webHidden/>
          </w:rPr>
          <w:tab/>
        </w:r>
        <w:r w:rsidR="00401DA6">
          <w:rPr>
            <w:webHidden/>
          </w:rPr>
          <w:fldChar w:fldCharType="begin"/>
        </w:r>
        <w:r w:rsidR="00401DA6">
          <w:rPr>
            <w:webHidden/>
          </w:rPr>
          <w:instrText xml:space="preserve"> PAGEREF _Toc48829057 \h </w:instrText>
        </w:r>
        <w:r w:rsidR="00401DA6">
          <w:rPr>
            <w:webHidden/>
          </w:rPr>
        </w:r>
        <w:r w:rsidR="00401DA6">
          <w:rPr>
            <w:webHidden/>
          </w:rPr>
          <w:fldChar w:fldCharType="separate"/>
        </w:r>
        <w:r w:rsidR="00401DA6">
          <w:rPr>
            <w:webHidden/>
          </w:rPr>
          <w:t>14</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58" w:history="1">
        <w:r w:rsidR="00401DA6" w:rsidRPr="009B6C96">
          <w:rPr>
            <w:rStyle w:val="Hyperlink"/>
          </w:rPr>
          <w:t>Análisis del estado de rendimiento financiero</w:t>
        </w:r>
        <w:r w:rsidR="00401DA6">
          <w:rPr>
            <w:webHidden/>
          </w:rPr>
          <w:tab/>
        </w:r>
        <w:r w:rsidR="00401DA6">
          <w:rPr>
            <w:webHidden/>
          </w:rPr>
          <w:fldChar w:fldCharType="begin"/>
        </w:r>
        <w:r w:rsidR="00401DA6">
          <w:rPr>
            <w:webHidden/>
          </w:rPr>
          <w:instrText xml:space="preserve"> PAGEREF _Toc48829058 \h </w:instrText>
        </w:r>
        <w:r w:rsidR="00401DA6">
          <w:rPr>
            <w:webHidden/>
          </w:rPr>
        </w:r>
        <w:r w:rsidR="00401DA6">
          <w:rPr>
            <w:webHidden/>
          </w:rPr>
          <w:fldChar w:fldCharType="separate"/>
        </w:r>
        <w:r w:rsidR="00401DA6">
          <w:rPr>
            <w:webHidden/>
          </w:rPr>
          <w:t>17</w:t>
        </w:r>
        <w:r w:rsidR="00401DA6">
          <w:rPr>
            <w:webHidden/>
          </w:rPr>
          <w:fldChar w:fldCharType="end"/>
        </w:r>
      </w:hyperlink>
    </w:p>
    <w:p w:rsidR="00401DA6" w:rsidRDefault="00AC13B4">
      <w:pPr>
        <w:pStyle w:val="TOC1"/>
        <w:rPr>
          <w:rFonts w:asciiTheme="minorHAnsi" w:eastAsiaTheme="minorEastAsia" w:hAnsiTheme="minorHAnsi" w:cstheme="minorBidi"/>
          <w:b w:val="0"/>
          <w:caps w:val="0"/>
          <w:sz w:val="22"/>
          <w:szCs w:val="22"/>
          <w:lang w:val="en-US"/>
        </w:rPr>
      </w:pPr>
      <w:hyperlink w:anchor="_Toc48829059" w:history="1">
        <w:r w:rsidR="00401DA6" w:rsidRPr="009B6C96">
          <w:rPr>
            <w:rStyle w:val="Hyperlink"/>
          </w:rPr>
          <w:t>FONDO DE OPERACIONES Y CONTRIBUCIONES</w:t>
        </w:r>
        <w:r w:rsidR="00401DA6">
          <w:rPr>
            <w:webHidden/>
          </w:rPr>
          <w:tab/>
        </w:r>
        <w:r w:rsidR="00401DA6">
          <w:rPr>
            <w:webHidden/>
          </w:rPr>
          <w:fldChar w:fldCharType="begin"/>
        </w:r>
        <w:r w:rsidR="00401DA6">
          <w:rPr>
            <w:webHidden/>
          </w:rPr>
          <w:instrText xml:space="preserve"> PAGEREF _Toc48829059 \h </w:instrText>
        </w:r>
        <w:r w:rsidR="00401DA6">
          <w:rPr>
            <w:webHidden/>
          </w:rPr>
        </w:r>
        <w:r w:rsidR="00401DA6">
          <w:rPr>
            <w:webHidden/>
          </w:rPr>
          <w:fldChar w:fldCharType="separate"/>
        </w:r>
        <w:r w:rsidR="00401DA6">
          <w:rPr>
            <w:webHidden/>
          </w:rPr>
          <w:t>18</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60" w:history="1">
        <w:r w:rsidR="00401DA6" w:rsidRPr="009B6C96">
          <w:rPr>
            <w:rStyle w:val="Hyperlink"/>
          </w:rPr>
          <w:t>Fondo de operaciones al 31 de diciembre de 2019</w:t>
        </w:r>
        <w:r w:rsidR="00401DA6">
          <w:rPr>
            <w:webHidden/>
          </w:rPr>
          <w:tab/>
        </w:r>
        <w:r w:rsidR="00401DA6">
          <w:rPr>
            <w:webHidden/>
          </w:rPr>
          <w:fldChar w:fldCharType="begin"/>
        </w:r>
        <w:r w:rsidR="00401DA6">
          <w:rPr>
            <w:webHidden/>
          </w:rPr>
          <w:instrText xml:space="preserve"> PAGEREF _Toc48829060 \h </w:instrText>
        </w:r>
        <w:r w:rsidR="00401DA6">
          <w:rPr>
            <w:webHidden/>
          </w:rPr>
        </w:r>
        <w:r w:rsidR="00401DA6">
          <w:rPr>
            <w:webHidden/>
          </w:rPr>
          <w:fldChar w:fldCharType="separate"/>
        </w:r>
        <w:r w:rsidR="00401DA6">
          <w:rPr>
            <w:webHidden/>
          </w:rPr>
          <w:t>18</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61" w:history="1">
        <w:r w:rsidR="00401DA6" w:rsidRPr="009B6C96">
          <w:rPr>
            <w:rStyle w:val="Hyperlink"/>
          </w:rPr>
          <w:t>Contribuciones de los miembros de la Unión</w:t>
        </w:r>
        <w:r w:rsidR="00401DA6">
          <w:rPr>
            <w:webHidden/>
          </w:rPr>
          <w:tab/>
        </w:r>
        <w:r w:rsidR="00401DA6">
          <w:rPr>
            <w:webHidden/>
          </w:rPr>
          <w:fldChar w:fldCharType="begin"/>
        </w:r>
        <w:r w:rsidR="00401DA6">
          <w:rPr>
            <w:webHidden/>
          </w:rPr>
          <w:instrText xml:space="preserve"> PAGEREF _Toc48829061 \h </w:instrText>
        </w:r>
        <w:r w:rsidR="00401DA6">
          <w:rPr>
            <w:webHidden/>
          </w:rPr>
        </w:r>
        <w:r w:rsidR="00401DA6">
          <w:rPr>
            <w:webHidden/>
          </w:rPr>
          <w:fldChar w:fldCharType="separate"/>
        </w:r>
        <w:r w:rsidR="00401DA6">
          <w:rPr>
            <w:webHidden/>
          </w:rPr>
          <w:t>19</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62" w:history="1">
        <w:r w:rsidR="00401DA6" w:rsidRPr="009B6C96">
          <w:rPr>
            <w:rStyle w:val="Hyperlink"/>
          </w:rPr>
          <w:t>Contribuciones percibidas por anticipado</w:t>
        </w:r>
        <w:r w:rsidR="00401DA6">
          <w:rPr>
            <w:webHidden/>
          </w:rPr>
          <w:tab/>
        </w:r>
        <w:r w:rsidR="00401DA6">
          <w:rPr>
            <w:webHidden/>
          </w:rPr>
          <w:fldChar w:fldCharType="begin"/>
        </w:r>
        <w:r w:rsidR="00401DA6">
          <w:rPr>
            <w:webHidden/>
          </w:rPr>
          <w:instrText xml:space="preserve"> PAGEREF _Toc48829062 \h </w:instrText>
        </w:r>
        <w:r w:rsidR="00401DA6">
          <w:rPr>
            <w:webHidden/>
          </w:rPr>
        </w:r>
        <w:r w:rsidR="00401DA6">
          <w:rPr>
            <w:webHidden/>
          </w:rPr>
          <w:fldChar w:fldCharType="separate"/>
        </w:r>
        <w:r w:rsidR="00401DA6">
          <w:rPr>
            <w:webHidden/>
          </w:rPr>
          <w:t>21</w:t>
        </w:r>
        <w:r w:rsidR="00401DA6">
          <w:rPr>
            <w:webHidden/>
          </w:rPr>
          <w:fldChar w:fldCharType="end"/>
        </w:r>
      </w:hyperlink>
    </w:p>
    <w:p w:rsidR="00401DA6" w:rsidRDefault="00AC13B4" w:rsidP="00401DA6">
      <w:pPr>
        <w:pStyle w:val="TOC2"/>
        <w:rPr>
          <w:rFonts w:asciiTheme="minorHAnsi" w:eastAsiaTheme="minorEastAsia" w:hAnsiTheme="minorHAnsi" w:cstheme="minorBidi"/>
          <w:sz w:val="22"/>
          <w:szCs w:val="22"/>
          <w:lang w:val="en-US"/>
        </w:rPr>
      </w:pPr>
      <w:hyperlink w:anchor="_Toc48829063" w:history="1">
        <w:r w:rsidR="00401DA6" w:rsidRPr="009B6C96">
          <w:rPr>
            <w:rStyle w:val="Hyperlink"/>
          </w:rPr>
          <w:t>Importes de las contribuciones adeudadas y de la participación en el fondo de operaciones pendiente de pago al 31 de diciembre de 2019</w:t>
        </w:r>
        <w:r w:rsidR="00401DA6">
          <w:rPr>
            <w:webHidden/>
          </w:rPr>
          <w:tab/>
        </w:r>
        <w:r w:rsidR="00401DA6">
          <w:rPr>
            <w:webHidden/>
          </w:rPr>
          <w:fldChar w:fldCharType="begin"/>
        </w:r>
        <w:r w:rsidR="00401DA6">
          <w:rPr>
            <w:webHidden/>
          </w:rPr>
          <w:instrText xml:space="preserve"> PAGEREF _Toc48829063 \h </w:instrText>
        </w:r>
        <w:r w:rsidR="00401DA6">
          <w:rPr>
            <w:webHidden/>
          </w:rPr>
        </w:r>
        <w:r w:rsidR="00401DA6">
          <w:rPr>
            <w:webHidden/>
          </w:rPr>
          <w:fldChar w:fldCharType="separate"/>
        </w:r>
        <w:r w:rsidR="00401DA6">
          <w:rPr>
            <w:webHidden/>
          </w:rPr>
          <w:t>22</w:t>
        </w:r>
        <w:r w:rsidR="00401DA6">
          <w:rPr>
            <w:webHidden/>
          </w:rPr>
          <w:fldChar w:fldCharType="end"/>
        </w:r>
      </w:hyperlink>
    </w:p>
    <w:p w:rsidR="00401DA6" w:rsidRDefault="00AC13B4">
      <w:pPr>
        <w:pStyle w:val="TOC1"/>
        <w:rPr>
          <w:rFonts w:asciiTheme="minorHAnsi" w:eastAsiaTheme="minorEastAsia" w:hAnsiTheme="minorHAnsi" w:cstheme="minorBidi"/>
          <w:b w:val="0"/>
          <w:caps w:val="0"/>
          <w:sz w:val="22"/>
          <w:szCs w:val="22"/>
          <w:lang w:val="en-US"/>
        </w:rPr>
      </w:pPr>
      <w:hyperlink w:anchor="_Toc48829064" w:history="1">
        <w:r w:rsidR="00401DA6" w:rsidRPr="009B6C96">
          <w:rPr>
            <w:rStyle w:val="Hyperlink"/>
          </w:rPr>
          <w:t>FONDOS EXTRAPRESUPUESTARIOS (FONDOS FIDUCIARIOS)</w:t>
        </w:r>
        <w:r w:rsidR="00401DA6">
          <w:rPr>
            <w:webHidden/>
          </w:rPr>
          <w:tab/>
        </w:r>
        <w:r w:rsidR="00401DA6">
          <w:rPr>
            <w:webHidden/>
          </w:rPr>
          <w:fldChar w:fldCharType="begin"/>
        </w:r>
        <w:r w:rsidR="00401DA6">
          <w:rPr>
            <w:webHidden/>
          </w:rPr>
          <w:instrText xml:space="preserve"> PAGEREF _Toc48829064 \h </w:instrText>
        </w:r>
        <w:r w:rsidR="00401DA6">
          <w:rPr>
            <w:webHidden/>
          </w:rPr>
        </w:r>
        <w:r w:rsidR="00401DA6">
          <w:rPr>
            <w:webHidden/>
          </w:rPr>
          <w:fldChar w:fldCharType="separate"/>
        </w:r>
        <w:r w:rsidR="00401DA6">
          <w:rPr>
            <w:webHidden/>
          </w:rPr>
          <w:t>24</w:t>
        </w:r>
        <w:r w:rsidR="00401DA6">
          <w:rPr>
            <w:webHidden/>
          </w:rPr>
          <w:fldChar w:fldCharType="end"/>
        </w:r>
      </w:hyperlink>
    </w:p>
    <w:p w:rsidR="0013647A" w:rsidRPr="00DB1B19" w:rsidRDefault="0013647A" w:rsidP="000F6BA0">
      <w:pPr>
        <w:spacing w:line="360" w:lineRule="auto"/>
        <w:jc w:val="left"/>
        <w:rPr>
          <w:sz w:val="18"/>
          <w:lang w:val="es-419"/>
        </w:rPr>
      </w:pPr>
      <w:r w:rsidRPr="00DB1B19">
        <w:rPr>
          <w:rFonts w:asciiTheme="minorHAnsi" w:hAnsiTheme="minorHAnsi" w:cstheme="minorHAnsi"/>
          <w:b/>
          <w:bCs/>
          <w:sz w:val="18"/>
          <w:lang w:val="es-419"/>
        </w:rPr>
        <w:fldChar w:fldCharType="end"/>
      </w:r>
    </w:p>
    <w:p w:rsidR="0013647A" w:rsidRPr="00DB1B19" w:rsidRDefault="0013647A" w:rsidP="0013647A">
      <w:pPr>
        <w:jc w:val="left"/>
        <w:rPr>
          <w:sz w:val="18"/>
          <w:lang w:val="es-419"/>
        </w:rPr>
      </w:pPr>
    </w:p>
    <w:p w:rsidR="0013647A" w:rsidRPr="00981EA4" w:rsidRDefault="0013647A" w:rsidP="0013647A">
      <w:pPr>
        <w:jc w:val="left"/>
        <w:rPr>
          <w:lang w:val="es-419"/>
        </w:rPr>
      </w:pPr>
    </w:p>
    <w:p w:rsidR="00813583" w:rsidRPr="00981EA4" w:rsidRDefault="00813583">
      <w:pPr>
        <w:jc w:val="left"/>
        <w:rPr>
          <w:lang w:val="es-419"/>
        </w:rPr>
      </w:pPr>
      <w:r w:rsidRPr="00981EA4">
        <w:rPr>
          <w:lang w:val="es-419"/>
        </w:rPr>
        <w:br w:type="page"/>
      </w:r>
    </w:p>
    <w:p w:rsidR="0013647A" w:rsidRPr="00981EA4" w:rsidRDefault="00864C97" w:rsidP="0097505F">
      <w:pPr>
        <w:pStyle w:val="Heading1"/>
        <w:rPr>
          <w:lang w:val="es-419"/>
        </w:rPr>
      </w:pPr>
      <w:bookmarkStart w:id="4" w:name="_Toc48829043"/>
      <w:r w:rsidRPr="00981EA4">
        <w:rPr>
          <w:lang w:val="es-419"/>
        </w:rPr>
        <w:lastRenderedPageBreak/>
        <w:t>RESUMEN Y ANÁLISIS DEL RESULTADO presupuest</w:t>
      </w:r>
      <w:r w:rsidR="00C40404" w:rsidRPr="00981EA4">
        <w:rPr>
          <w:lang w:val="es-419"/>
        </w:rPr>
        <w:t>ari</w:t>
      </w:r>
      <w:r w:rsidRPr="00981EA4">
        <w:rPr>
          <w:lang w:val="es-419"/>
        </w:rPr>
        <w:t>o</w:t>
      </w:r>
      <w:bookmarkEnd w:id="4"/>
    </w:p>
    <w:p w:rsidR="0013647A" w:rsidRPr="00981EA4" w:rsidRDefault="0013647A" w:rsidP="0013647A">
      <w:pPr>
        <w:rPr>
          <w:rFonts w:cs="Arial"/>
          <w:lang w:val="es-419"/>
        </w:rPr>
      </w:pPr>
    </w:p>
    <w:p w:rsidR="0013647A" w:rsidRPr="00981EA4" w:rsidRDefault="00864C97" w:rsidP="0013647A">
      <w:pPr>
        <w:rPr>
          <w:rFonts w:cs="Arial"/>
          <w:lang w:val="es-419"/>
        </w:rPr>
      </w:pPr>
      <w:r w:rsidRPr="00981EA4">
        <w:rPr>
          <w:rFonts w:eastAsiaTheme="minorHAnsi" w:cs="Arial"/>
          <w:lang w:val="es-419"/>
        </w:rPr>
        <w:t>En el cuadro 1 se presenta el resultado presupuestario general para la UPOV correspondiente al bienio 2018</w:t>
      </w:r>
      <w:r w:rsidRPr="00981EA4">
        <w:rPr>
          <w:rFonts w:eastAsiaTheme="minorHAnsi" w:cs="Arial"/>
          <w:lang w:val="es-419"/>
        </w:rPr>
        <w:noBreakHyphen/>
        <w:t>2019, además de los fondos de reserva y de operaciones (FRO) al cierre del ejercicio 2019.</w:t>
      </w:r>
      <w:r w:rsidRPr="00981EA4">
        <w:rPr>
          <w:rFonts w:cs="Arial"/>
          <w:lang w:val="es-419"/>
        </w:rPr>
        <w:t xml:space="preserve"> Los ingresos totales (antes de los ajustes con arreglo a las Normas Internacionales de Contabilidad del Sector Público (IPSAS)) fueron de 6</w:t>
      </w:r>
      <w:r w:rsidR="0052525A" w:rsidRPr="00981EA4">
        <w:rPr>
          <w:rFonts w:cs="Arial"/>
          <w:lang w:val="es-419"/>
        </w:rPr>
        <w:t>.</w:t>
      </w:r>
      <w:r w:rsidRPr="00981EA4">
        <w:rPr>
          <w:rFonts w:cs="Arial"/>
          <w:lang w:val="es-419"/>
        </w:rPr>
        <w:t>930</w:t>
      </w:r>
      <w:r w:rsidR="0052525A" w:rsidRPr="00981EA4">
        <w:rPr>
          <w:rFonts w:cs="Arial"/>
          <w:lang w:val="es-419"/>
        </w:rPr>
        <w:t>.</w:t>
      </w:r>
      <w:r w:rsidRPr="00981EA4">
        <w:rPr>
          <w:rFonts w:cs="Arial"/>
          <w:lang w:val="es-419"/>
        </w:rPr>
        <w:t>932 millones de francos suizos y el gasto presupuestario total fue de </w:t>
      </w:r>
      <w:r w:rsidRPr="00981EA4">
        <w:rPr>
          <w:rFonts w:cs="Arial"/>
          <w:spacing w:val="-2"/>
          <w:lang w:val="es-419"/>
        </w:rPr>
        <w:t>6</w:t>
      </w:r>
      <w:r w:rsidR="0052525A" w:rsidRPr="00981EA4">
        <w:rPr>
          <w:rFonts w:cs="Arial"/>
          <w:spacing w:val="-2"/>
          <w:lang w:val="es-419"/>
        </w:rPr>
        <w:t>.</w:t>
      </w:r>
      <w:r w:rsidRPr="00981EA4">
        <w:rPr>
          <w:rFonts w:cs="Arial"/>
          <w:spacing w:val="-2"/>
          <w:lang w:val="es-419"/>
        </w:rPr>
        <w:t>854</w:t>
      </w:r>
      <w:r w:rsidR="0052525A" w:rsidRPr="00981EA4">
        <w:rPr>
          <w:rFonts w:cs="Arial"/>
          <w:spacing w:val="-2"/>
          <w:lang w:val="es-419"/>
        </w:rPr>
        <w:t>.</w:t>
      </w:r>
      <w:r w:rsidRPr="00981EA4">
        <w:rPr>
          <w:rFonts w:cs="Arial"/>
          <w:spacing w:val="-2"/>
          <w:lang w:val="es-419"/>
        </w:rPr>
        <w:t>494</w:t>
      </w:r>
      <w:r w:rsidRPr="00981EA4">
        <w:rPr>
          <w:rFonts w:cs="Arial"/>
          <w:lang w:val="es-419"/>
        </w:rPr>
        <w:t> millones de francos suizos, lo que arroja un superávit presupuestario de 76</w:t>
      </w:r>
      <w:r w:rsidR="0052525A" w:rsidRPr="00981EA4">
        <w:rPr>
          <w:rFonts w:cs="Arial"/>
          <w:lang w:val="es-419"/>
        </w:rPr>
        <w:t>.</w:t>
      </w:r>
      <w:r w:rsidRPr="00981EA4">
        <w:rPr>
          <w:rFonts w:cs="Arial"/>
          <w:lang w:val="es-419"/>
        </w:rPr>
        <w:t>438 francos suizos para el bienio 2018</w:t>
      </w:r>
      <w:r w:rsidRPr="00981EA4">
        <w:rPr>
          <w:rFonts w:cs="Arial"/>
          <w:lang w:val="es-419"/>
        </w:rPr>
        <w:noBreakHyphen/>
        <w:t>2019</w:t>
      </w:r>
      <w:r w:rsidR="0013647A" w:rsidRPr="00981EA4">
        <w:rPr>
          <w:rFonts w:cs="Arial"/>
          <w:spacing w:val="-2"/>
          <w:lang w:val="es-419"/>
        </w:rPr>
        <w:t>.</w:t>
      </w:r>
    </w:p>
    <w:p w:rsidR="0013647A" w:rsidRPr="00981EA4" w:rsidRDefault="0013647A" w:rsidP="0013647A">
      <w:pPr>
        <w:rPr>
          <w:rFonts w:eastAsiaTheme="minorHAnsi" w:cs="Arial"/>
          <w:lang w:val="es-419"/>
        </w:rPr>
      </w:pPr>
    </w:p>
    <w:p w:rsidR="0013647A" w:rsidRPr="00981EA4" w:rsidRDefault="0052525A" w:rsidP="0013647A">
      <w:pPr>
        <w:rPr>
          <w:rFonts w:eastAsiaTheme="minorHAnsi" w:cs="Arial"/>
          <w:lang w:val="es-419"/>
        </w:rPr>
      </w:pPr>
      <w:r w:rsidRPr="00981EA4">
        <w:rPr>
          <w:rFonts w:eastAsiaTheme="minorHAnsi" w:cs="Arial"/>
          <w:lang w:val="es-419"/>
        </w:rPr>
        <w:t>Al cierre del ejercicio 2019, el total de los FRO ascendía a</w:t>
      </w:r>
      <w:r w:rsidRPr="00981EA4">
        <w:rPr>
          <w:rFonts w:cs="Arial"/>
          <w:lang w:val="es-419"/>
        </w:rPr>
        <w:t xml:space="preserve"> 896.605 francos suizos, </w:t>
      </w:r>
      <w:r w:rsidR="00011F60" w:rsidRPr="00981EA4">
        <w:rPr>
          <w:rFonts w:cs="Arial"/>
          <w:lang w:val="es-419"/>
        </w:rPr>
        <w:t xml:space="preserve">cifra </w:t>
      </w:r>
      <w:r w:rsidR="00011F60" w:rsidRPr="00981EA4">
        <w:rPr>
          <w:rFonts w:eastAsiaTheme="minorHAnsi" w:cs="Arial"/>
          <w:lang w:val="es-419"/>
        </w:rPr>
        <w:t>que comprende</w:t>
      </w:r>
      <w:r w:rsidRPr="00981EA4">
        <w:rPr>
          <w:rFonts w:eastAsiaTheme="minorHAnsi" w:cs="Arial"/>
          <w:lang w:val="es-419"/>
        </w:rPr>
        <w:t> </w:t>
      </w:r>
      <w:r w:rsidRPr="00981EA4">
        <w:rPr>
          <w:rFonts w:cs="Arial"/>
          <w:lang w:val="es-419"/>
        </w:rPr>
        <w:t xml:space="preserve">809.578 francos suizos </w:t>
      </w:r>
      <w:r w:rsidRPr="00981EA4">
        <w:rPr>
          <w:rFonts w:eastAsiaTheme="minorHAnsi" w:cs="Arial"/>
          <w:lang w:val="es-419"/>
        </w:rPr>
        <w:t>del fondo de reserva</w:t>
      </w:r>
      <w:r w:rsidRPr="00981EA4">
        <w:rPr>
          <w:rFonts w:cs="Arial"/>
          <w:lang w:val="es-419"/>
        </w:rPr>
        <w:t xml:space="preserve">, 560.845 francos suizos del fondo de operaciones y unas pérdidas actuariales de 473.818 francos suizos consignadas </w:t>
      </w:r>
      <w:r w:rsidRPr="00981EA4">
        <w:rPr>
          <w:rFonts w:eastAsiaTheme="minorHAnsi" w:cs="Arial"/>
          <w:lang w:val="es-419"/>
        </w:rPr>
        <w:t xml:space="preserve">en los </w:t>
      </w:r>
      <w:r w:rsidRPr="00981EA4">
        <w:rPr>
          <w:rFonts w:cs="Arial"/>
          <w:lang w:val="es-419"/>
        </w:rPr>
        <w:t>activos netos</w:t>
      </w:r>
      <w:r w:rsidR="0013647A" w:rsidRPr="00981EA4">
        <w:rPr>
          <w:rFonts w:eastAsiaTheme="minorHAnsi" w:cs="Arial"/>
          <w:lang w:val="es-419"/>
        </w:rPr>
        <w:t xml:space="preserve">. </w:t>
      </w:r>
    </w:p>
    <w:p w:rsidR="0013647A" w:rsidRPr="00981EA4" w:rsidRDefault="0013647A" w:rsidP="0013647A">
      <w:pPr>
        <w:rPr>
          <w:rFonts w:eastAsiaTheme="minorHAnsi" w:cs="Arial"/>
          <w:highlight w:val="yellow"/>
          <w:lang w:val="es-419"/>
        </w:rPr>
      </w:pPr>
    </w:p>
    <w:p w:rsidR="0052525A" w:rsidRPr="00981EA4" w:rsidRDefault="0052525A" w:rsidP="0078665A">
      <w:pPr>
        <w:pStyle w:val="Heading2"/>
        <w:jc w:val="center"/>
        <w:rPr>
          <w:lang w:val="es-419"/>
        </w:rPr>
      </w:pPr>
      <w:bookmarkStart w:id="5" w:name="_Toc460229912"/>
      <w:bookmarkStart w:id="6" w:name="_Toc523137610"/>
      <w:bookmarkStart w:id="7" w:name="_Toc48829044"/>
      <w:r w:rsidRPr="00981EA4">
        <w:rPr>
          <w:lang w:val="es-419"/>
        </w:rPr>
        <w:t xml:space="preserve">Cuadro 1. </w:t>
      </w:r>
      <w:bookmarkEnd w:id="5"/>
      <w:r w:rsidRPr="00981EA4">
        <w:rPr>
          <w:lang w:val="es-419"/>
        </w:rPr>
        <w:t>Ingresos, gastos y fondos de reserva y de operaciones (FRO) en el bienio 2018</w:t>
      </w:r>
      <w:r w:rsidRPr="00981EA4">
        <w:rPr>
          <w:lang w:val="es-419"/>
        </w:rPr>
        <w:noBreakHyphen/>
        <w:t>201</w:t>
      </w:r>
      <w:bookmarkEnd w:id="6"/>
      <w:r w:rsidRPr="00981EA4">
        <w:rPr>
          <w:lang w:val="es-419"/>
        </w:rPr>
        <w:t>9</w:t>
      </w:r>
      <w:bookmarkEnd w:id="7"/>
    </w:p>
    <w:p w:rsidR="0013647A" w:rsidRPr="00981EA4" w:rsidRDefault="0052525A" w:rsidP="0052525A">
      <w:pPr>
        <w:spacing w:after="200" w:line="276" w:lineRule="auto"/>
        <w:jc w:val="center"/>
        <w:rPr>
          <w:rFonts w:eastAsiaTheme="minorHAnsi" w:cs="Arial"/>
          <w:i/>
          <w:lang w:val="es-419"/>
        </w:rPr>
      </w:pPr>
      <w:r w:rsidRPr="00981EA4">
        <w:rPr>
          <w:rFonts w:eastAsiaTheme="minorHAnsi" w:cs="Arial"/>
          <w:i/>
          <w:lang w:val="es-419"/>
        </w:rPr>
        <w:t>(en miles de francos suizos)</w:t>
      </w:r>
    </w:p>
    <w:p w:rsidR="0013647A" w:rsidRPr="00981EA4" w:rsidRDefault="009B2EF2" w:rsidP="0013647A">
      <w:pPr>
        <w:spacing w:after="200" w:line="276" w:lineRule="auto"/>
        <w:jc w:val="center"/>
        <w:rPr>
          <w:rFonts w:eastAsiaTheme="minorHAnsi" w:cs="Arial"/>
          <w:i/>
          <w:lang w:val="es-419"/>
        </w:rPr>
      </w:pPr>
      <w:r w:rsidRPr="00981EA4">
        <w:rPr>
          <w:rFonts w:eastAsiaTheme="minorHAnsi"/>
          <w:noProof/>
          <w:lang w:val="en-US"/>
        </w:rPr>
        <w:drawing>
          <wp:inline distT="0" distB="0" distL="0" distR="0">
            <wp:extent cx="5860415" cy="2618740"/>
            <wp:effectExtent l="0" t="0" r="698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0415" cy="2618740"/>
                    </a:xfrm>
                    <a:prstGeom prst="rect">
                      <a:avLst/>
                    </a:prstGeom>
                    <a:noFill/>
                    <a:ln>
                      <a:noFill/>
                    </a:ln>
                  </pic:spPr>
                </pic:pic>
              </a:graphicData>
            </a:graphic>
          </wp:inline>
        </w:drawing>
      </w:r>
    </w:p>
    <w:p w:rsidR="0013647A" w:rsidRPr="00981EA4" w:rsidRDefault="0013647A" w:rsidP="0013647A">
      <w:pPr>
        <w:spacing w:line="276" w:lineRule="auto"/>
        <w:jc w:val="center"/>
        <w:rPr>
          <w:rFonts w:eastAsiaTheme="minorHAnsi" w:cs="Arial"/>
          <w:i/>
          <w:sz w:val="22"/>
          <w:szCs w:val="22"/>
          <w:highlight w:val="yellow"/>
          <w:lang w:val="es-419"/>
        </w:rPr>
      </w:pPr>
    </w:p>
    <w:p w:rsidR="0013647A" w:rsidRPr="00981EA4" w:rsidRDefault="00FA07A5" w:rsidP="0013647A">
      <w:pPr>
        <w:spacing w:line="276" w:lineRule="auto"/>
        <w:jc w:val="center"/>
        <w:rPr>
          <w:rFonts w:eastAsiaTheme="minorHAnsi"/>
          <w:lang w:val="es-419"/>
        </w:rPr>
      </w:pPr>
      <w:r w:rsidRPr="00981EA4">
        <w:rPr>
          <w:rFonts w:eastAsiaTheme="minorHAnsi"/>
          <w:noProof/>
          <w:lang w:val="en-US"/>
        </w:rPr>
        <w:drawing>
          <wp:inline distT="0" distB="0" distL="0" distR="0">
            <wp:extent cx="4457700" cy="30029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7700" cy="3002915"/>
                    </a:xfrm>
                    <a:prstGeom prst="rect">
                      <a:avLst/>
                    </a:prstGeom>
                    <a:noFill/>
                    <a:ln>
                      <a:noFill/>
                    </a:ln>
                  </pic:spPr>
                </pic:pic>
              </a:graphicData>
            </a:graphic>
          </wp:inline>
        </w:drawing>
      </w:r>
    </w:p>
    <w:p w:rsidR="0013647A" w:rsidRPr="00981EA4" w:rsidRDefault="0013647A" w:rsidP="0013647A">
      <w:pPr>
        <w:spacing w:line="276" w:lineRule="auto"/>
        <w:jc w:val="center"/>
        <w:rPr>
          <w:rFonts w:eastAsiaTheme="minorHAnsi" w:cs="Arial"/>
          <w:i/>
          <w:sz w:val="22"/>
          <w:szCs w:val="22"/>
          <w:highlight w:val="yellow"/>
          <w:lang w:val="es-419"/>
        </w:rPr>
      </w:pPr>
    </w:p>
    <w:p w:rsidR="0013647A" w:rsidRPr="00981EA4" w:rsidRDefault="0013647A" w:rsidP="0013647A">
      <w:pPr>
        <w:rPr>
          <w:lang w:val="es-419"/>
        </w:rPr>
      </w:pPr>
    </w:p>
    <w:p w:rsidR="0013647A" w:rsidRPr="00981EA4" w:rsidRDefault="0013647A" w:rsidP="0013647A">
      <w:pPr>
        <w:jc w:val="left"/>
        <w:rPr>
          <w:lang w:val="es-419"/>
        </w:rPr>
      </w:pPr>
      <w:r w:rsidRPr="00981EA4">
        <w:rPr>
          <w:lang w:val="es-419"/>
        </w:rPr>
        <w:br w:type="page"/>
      </w:r>
    </w:p>
    <w:p w:rsidR="00ED5410" w:rsidRPr="00981EA4" w:rsidRDefault="00ED5410" w:rsidP="0013647A">
      <w:pPr>
        <w:keepLines/>
        <w:rPr>
          <w:lang w:val="es-419"/>
        </w:rPr>
      </w:pPr>
      <w:r w:rsidRPr="00981EA4">
        <w:rPr>
          <w:lang w:val="es-419"/>
        </w:rPr>
        <w:lastRenderedPageBreak/>
        <w:t>En el bienio 2018</w:t>
      </w:r>
      <w:r w:rsidRPr="00981EA4">
        <w:rPr>
          <w:lang w:val="es-419"/>
        </w:rPr>
        <w:noBreakHyphen/>
        <w:t>2019, los ingresos presupuestarios efectivos fueron de 6,9 millones francos suizos, es decir, 8.894 francos suizos por debajo del objetivo presupuestado (véase el cuadro 2).</w:t>
      </w:r>
    </w:p>
    <w:p w:rsidR="00ED5410" w:rsidRPr="00981EA4" w:rsidRDefault="00ED5410" w:rsidP="0013647A">
      <w:pPr>
        <w:keepLines/>
        <w:rPr>
          <w:lang w:val="es-419"/>
        </w:rPr>
      </w:pPr>
    </w:p>
    <w:p w:rsidR="0013647A" w:rsidRPr="00981EA4" w:rsidRDefault="00ED5410" w:rsidP="0013647A">
      <w:pPr>
        <w:keepLines/>
        <w:rPr>
          <w:lang w:val="es-419"/>
        </w:rPr>
      </w:pPr>
      <w:r w:rsidRPr="00981EA4">
        <w:rPr>
          <w:lang w:val="es-419"/>
        </w:rPr>
        <w:t>Los ingresos procedentes de las contribuciones siguen siendo la mayor fuente individual de ingresos y representan el 98,6% del total, en consonancia con el programa y presupuesto aprobado para el bienio 2018</w:t>
      </w:r>
      <w:r w:rsidRPr="00981EA4">
        <w:rPr>
          <w:lang w:val="es-419"/>
        </w:rPr>
        <w:noBreakHyphen/>
        <w:t>2019. Las contribuciones recibidas en el bienio 2018</w:t>
      </w:r>
      <w:r w:rsidRPr="00981EA4">
        <w:rPr>
          <w:lang w:val="es-419"/>
        </w:rPr>
        <w:noBreakHyphen/>
        <w:t>2019 superaron la cifra presupuestada, debido al incremento en el número de unidades de contribución procedentes de la Federación de Rusia. El número de unidades aumentó desde media unidad (0,5) a dos (2,0) unidades en 2019</w:t>
      </w:r>
      <w:r w:rsidR="0013647A" w:rsidRPr="00981EA4">
        <w:rPr>
          <w:rFonts w:eastAsiaTheme="minorHAnsi"/>
          <w:lang w:val="es-419"/>
        </w:rPr>
        <w:t>.</w:t>
      </w:r>
      <w:r w:rsidR="0013647A" w:rsidRPr="00981EA4">
        <w:rPr>
          <w:lang w:val="es-419"/>
        </w:rPr>
        <w:t xml:space="preserve">  </w:t>
      </w:r>
    </w:p>
    <w:p w:rsidR="00660329" w:rsidRPr="00981EA4" w:rsidRDefault="00660329" w:rsidP="0013647A">
      <w:pPr>
        <w:keepLines/>
        <w:rPr>
          <w:lang w:val="es-419"/>
        </w:rPr>
      </w:pPr>
    </w:p>
    <w:p w:rsidR="0013647A" w:rsidRPr="00981EA4" w:rsidRDefault="00660329" w:rsidP="0013647A">
      <w:pPr>
        <w:keepLines/>
        <w:rPr>
          <w:lang w:val="es-419"/>
        </w:rPr>
      </w:pPr>
      <w:r w:rsidRPr="00981EA4">
        <w:rPr>
          <w:lang w:val="es-419"/>
        </w:rPr>
        <w:t>En el bienio 2018</w:t>
      </w:r>
      <w:r w:rsidRPr="00981EA4">
        <w:rPr>
          <w:lang w:val="es-419"/>
        </w:rPr>
        <w:noBreakHyphen/>
        <w:t>2019 no hubo ingresos procedentes de las publicaciones porque todas ellas se ofrecen gratuitamente</w:t>
      </w:r>
      <w:r w:rsidR="0013647A" w:rsidRPr="00981EA4">
        <w:rPr>
          <w:lang w:val="es-419"/>
        </w:rPr>
        <w:t xml:space="preserve">.  </w:t>
      </w:r>
    </w:p>
    <w:p w:rsidR="0013647A" w:rsidRPr="00981EA4" w:rsidRDefault="0013647A" w:rsidP="0013647A">
      <w:pPr>
        <w:keepLines/>
        <w:rPr>
          <w:lang w:val="es-419"/>
        </w:rPr>
      </w:pPr>
    </w:p>
    <w:p w:rsidR="0013647A" w:rsidRPr="00981EA4" w:rsidRDefault="00ED00D9" w:rsidP="0013647A">
      <w:pPr>
        <w:rPr>
          <w:lang w:val="es-419"/>
        </w:rPr>
      </w:pPr>
      <w:r w:rsidRPr="00981EA4">
        <w:rPr>
          <w:lang w:val="es-419"/>
        </w:rPr>
        <w:t>La partida de otros ingresos ascendió a 97.090 francos suizos, es decir, 78.627 francos suizos por debajo del presupuesto. Dicha partida comprende: i) los ingresos procedentes de los costos por apoyo a los programas (fondos fiduciarios) que, con 58.223 francos suizos, supuso una cifra ligeramente inferior a la del presupuesto de 69.717 francos suizos; y ii) los ingresos procedentes de las tasas abonadas por los participantes en el programa de enseñanza a distancia de la UPOV, que, con 40.000 francos suizos, supuso una cifra considerablemente superior que la del presupuesto de 16.000 francos suizos</w:t>
      </w:r>
      <w:r w:rsidR="0013647A" w:rsidRPr="00981EA4">
        <w:rPr>
          <w:rFonts w:eastAsiaTheme="minorHAnsi"/>
          <w:lang w:val="es-419"/>
        </w:rPr>
        <w:t>.</w:t>
      </w:r>
      <w:r w:rsidR="0013647A" w:rsidRPr="00981EA4">
        <w:rPr>
          <w:lang w:val="es-419"/>
        </w:rPr>
        <w:t xml:space="preserve"> </w:t>
      </w:r>
    </w:p>
    <w:p w:rsidR="0013647A" w:rsidRPr="00981EA4" w:rsidRDefault="0013647A" w:rsidP="0013647A">
      <w:pPr>
        <w:rPr>
          <w:rFonts w:eastAsiaTheme="minorHAnsi" w:cs="Arial"/>
          <w:lang w:val="es-419"/>
        </w:rPr>
      </w:pPr>
    </w:p>
    <w:p w:rsidR="0013647A" w:rsidRPr="00981EA4" w:rsidRDefault="00011F60" w:rsidP="00957FD1">
      <w:pPr>
        <w:rPr>
          <w:rFonts w:eastAsiaTheme="minorHAnsi" w:cs="Arial"/>
          <w:lang w:val="es-419"/>
        </w:rPr>
      </w:pPr>
      <w:r w:rsidRPr="00981EA4">
        <w:rPr>
          <w:rFonts w:eastAsiaTheme="minorHAnsi" w:cs="Arial"/>
          <w:lang w:val="es-419"/>
        </w:rPr>
        <w:t xml:space="preserve">En el bienio 2018-2019, </w:t>
      </w:r>
      <w:r w:rsidR="00957FD1" w:rsidRPr="00981EA4">
        <w:rPr>
          <w:rFonts w:eastAsiaTheme="minorHAnsi" w:cs="Arial"/>
          <w:lang w:val="es-419"/>
        </w:rPr>
        <w:t>se presupuestaron asimismo</w:t>
      </w:r>
      <w:r w:rsidRPr="00981EA4">
        <w:rPr>
          <w:rFonts w:eastAsiaTheme="minorHAnsi" w:cs="Arial"/>
          <w:lang w:val="es-419"/>
        </w:rPr>
        <w:t xml:space="preserve"> en dicha partida</w:t>
      </w:r>
      <w:r w:rsidR="00957FD1" w:rsidRPr="00981EA4">
        <w:rPr>
          <w:rFonts w:eastAsiaTheme="minorHAnsi" w:cs="Arial"/>
          <w:lang w:val="es-419"/>
        </w:rPr>
        <w:t xml:space="preserve"> 90.000 francos suizos por las tasas correspondientes a UPOV PRISMA, pero no se recibieron ingresos a raíz de la decisión de utilizar UPOV</w:t>
      </w:r>
      <w:r w:rsidR="00F6320B" w:rsidRPr="00981EA4">
        <w:rPr>
          <w:rFonts w:eastAsiaTheme="minorHAnsi" w:cs="Arial"/>
          <w:lang w:val="es-419"/>
        </w:rPr>
        <w:t> </w:t>
      </w:r>
      <w:r w:rsidR="00957FD1" w:rsidRPr="00981EA4">
        <w:rPr>
          <w:rFonts w:eastAsiaTheme="minorHAnsi" w:cs="Arial"/>
          <w:lang w:val="es-419"/>
        </w:rPr>
        <w:t xml:space="preserve">PRISMA gratuitamente hasta el final de </w:t>
      </w:r>
      <w:r w:rsidR="0013647A" w:rsidRPr="00981EA4">
        <w:rPr>
          <w:rFonts w:eastAsiaTheme="minorHAnsi" w:cs="Arial"/>
          <w:lang w:val="es-419"/>
        </w:rPr>
        <w:t>2019.</w:t>
      </w:r>
    </w:p>
    <w:p w:rsidR="0013647A" w:rsidRPr="00981EA4" w:rsidRDefault="0013647A" w:rsidP="0013647A">
      <w:pPr>
        <w:keepLines/>
        <w:rPr>
          <w:lang w:val="es-419"/>
        </w:rPr>
      </w:pPr>
    </w:p>
    <w:p w:rsidR="0013647A" w:rsidRPr="00981EA4" w:rsidRDefault="0013647A" w:rsidP="0013647A">
      <w:pPr>
        <w:rPr>
          <w:rFonts w:eastAsiaTheme="minorHAnsi" w:cs="Arial"/>
          <w:b/>
          <w:highlight w:val="yellow"/>
          <w:u w:val="single"/>
          <w:lang w:val="es-419"/>
        </w:rPr>
      </w:pPr>
    </w:p>
    <w:p w:rsidR="00957FD1" w:rsidRPr="00981EA4" w:rsidRDefault="00957FD1" w:rsidP="0078665A">
      <w:pPr>
        <w:pStyle w:val="Heading2"/>
        <w:jc w:val="center"/>
        <w:rPr>
          <w:lang w:val="es-419"/>
        </w:rPr>
      </w:pPr>
      <w:bookmarkStart w:id="8" w:name="_Toc460229913"/>
      <w:bookmarkStart w:id="9" w:name="_Toc523137611"/>
      <w:bookmarkStart w:id="10" w:name="_Toc48829045"/>
      <w:r w:rsidRPr="00981EA4">
        <w:rPr>
          <w:lang w:val="es-419"/>
        </w:rPr>
        <w:t xml:space="preserve">Cuadro 2. </w:t>
      </w:r>
      <w:bookmarkEnd w:id="8"/>
      <w:r w:rsidRPr="00981EA4">
        <w:rPr>
          <w:lang w:val="es-419"/>
        </w:rPr>
        <w:t>Ingresos presupuestados y reales del bienio 2018</w:t>
      </w:r>
      <w:r w:rsidRPr="00981EA4">
        <w:rPr>
          <w:lang w:val="es-419"/>
        </w:rPr>
        <w:noBreakHyphen/>
        <w:t>2019 por fuente</w:t>
      </w:r>
      <w:bookmarkEnd w:id="9"/>
      <w:bookmarkEnd w:id="10"/>
    </w:p>
    <w:p w:rsidR="00957FD1" w:rsidRPr="00981EA4" w:rsidRDefault="00957FD1" w:rsidP="00957FD1">
      <w:pPr>
        <w:spacing w:after="200" w:line="280" w:lineRule="auto"/>
        <w:jc w:val="center"/>
        <w:rPr>
          <w:rFonts w:eastAsiaTheme="minorHAnsi" w:cs="Arial"/>
          <w:i/>
          <w:lang w:val="es-419"/>
        </w:rPr>
      </w:pPr>
      <w:r w:rsidRPr="00981EA4">
        <w:rPr>
          <w:rFonts w:eastAsiaTheme="minorHAnsi" w:cs="Arial"/>
          <w:i/>
          <w:lang w:val="es-419"/>
        </w:rPr>
        <w:t>(en miles de francos suizos)</w:t>
      </w:r>
    </w:p>
    <w:p w:rsidR="0013647A" w:rsidRPr="00981EA4" w:rsidRDefault="009B2EF2" w:rsidP="0013647A">
      <w:pPr>
        <w:spacing w:after="200" w:line="276" w:lineRule="auto"/>
        <w:jc w:val="center"/>
        <w:rPr>
          <w:rFonts w:eastAsiaTheme="minorHAnsi" w:cs="Arial"/>
          <w:b/>
          <w:sz w:val="22"/>
          <w:szCs w:val="22"/>
          <w:highlight w:val="yellow"/>
          <w:lang w:val="es-419"/>
        </w:rPr>
      </w:pPr>
      <w:r w:rsidRPr="00981EA4">
        <w:rPr>
          <w:rFonts w:eastAsiaTheme="minorHAnsi"/>
          <w:noProof/>
          <w:lang w:val="en-US"/>
        </w:rPr>
        <w:drawing>
          <wp:inline distT="0" distB="0" distL="0" distR="0">
            <wp:extent cx="4769485" cy="124714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9485" cy="1247140"/>
                    </a:xfrm>
                    <a:prstGeom prst="rect">
                      <a:avLst/>
                    </a:prstGeom>
                    <a:noFill/>
                    <a:ln>
                      <a:noFill/>
                    </a:ln>
                  </pic:spPr>
                </pic:pic>
              </a:graphicData>
            </a:graphic>
          </wp:inline>
        </w:drawing>
      </w:r>
    </w:p>
    <w:p w:rsidR="0013647A" w:rsidRPr="00981EA4" w:rsidRDefault="0013647A" w:rsidP="0013647A">
      <w:pPr>
        <w:jc w:val="center"/>
        <w:rPr>
          <w:rFonts w:eastAsiaTheme="minorHAnsi"/>
          <w:lang w:val="es-419"/>
        </w:rPr>
      </w:pPr>
    </w:p>
    <w:p w:rsidR="0013647A" w:rsidRPr="00981EA4" w:rsidRDefault="000F444E" w:rsidP="0013647A">
      <w:pPr>
        <w:jc w:val="center"/>
        <w:rPr>
          <w:rFonts w:eastAsiaTheme="minorHAnsi"/>
          <w:lang w:val="es-419"/>
        </w:rPr>
      </w:pPr>
      <w:r w:rsidRPr="00981EA4">
        <w:rPr>
          <w:rFonts w:eastAsiaTheme="minorHAnsi"/>
          <w:noProof/>
          <w:lang w:val="en-US"/>
        </w:rPr>
        <w:drawing>
          <wp:inline distT="0" distB="0" distL="0" distR="0">
            <wp:extent cx="4686300" cy="27330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86300" cy="2733040"/>
                    </a:xfrm>
                    <a:prstGeom prst="rect">
                      <a:avLst/>
                    </a:prstGeom>
                    <a:noFill/>
                    <a:ln>
                      <a:noFill/>
                    </a:ln>
                  </pic:spPr>
                </pic:pic>
              </a:graphicData>
            </a:graphic>
          </wp:inline>
        </w:drawing>
      </w:r>
    </w:p>
    <w:p w:rsidR="0013647A" w:rsidRPr="00981EA4" w:rsidRDefault="0013647A" w:rsidP="0013647A">
      <w:pPr>
        <w:rPr>
          <w:rFonts w:cs="Arial"/>
          <w:lang w:val="es-419"/>
        </w:rPr>
      </w:pPr>
      <w:r w:rsidRPr="00981EA4">
        <w:rPr>
          <w:rFonts w:cs="Arial"/>
          <w:lang w:val="es-419"/>
        </w:rPr>
        <w:br w:type="page"/>
      </w:r>
    </w:p>
    <w:p w:rsidR="0013647A" w:rsidRPr="00981EA4" w:rsidRDefault="00957FD1" w:rsidP="0013647A">
      <w:pPr>
        <w:rPr>
          <w:rFonts w:eastAsiaTheme="minorHAnsi"/>
          <w:sz w:val="22"/>
          <w:szCs w:val="22"/>
          <w:lang w:val="es-419"/>
        </w:rPr>
      </w:pPr>
      <w:r w:rsidRPr="00981EA4">
        <w:rPr>
          <w:lang w:val="es-419"/>
        </w:rPr>
        <w:lastRenderedPageBreak/>
        <w:t>Los gastos reales del bienio 2018</w:t>
      </w:r>
      <w:r w:rsidRPr="00981EA4">
        <w:rPr>
          <w:lang w:val="es-419"/>
        </w:rPr>
        <w:noBreakHyphen/>
        <w:t>2019, en comparación con el programa y presupuesto aprobado para el mismo período, se presentan en el cuadro 3 por partida de costos, y en el cuadro 4 por subprograma</w:t>
      </w:r>
      <w:r w:rsidR="0013647A" w:rsidRPr="00981EA4">
        <w:rPr>
          <w:lang w:val="es-419"/>
        </w:rPr>
        <w:t xml:space="preserve">.  </w:t>
      </w:r>
    </w:p>
    <w:p w:rsidR="0013647A" w:rsidRPr="00981EA4" w:rsidRDefault="0013647A" w:rsidP="0013647A">
      <w:pPr>
        <w:rPr>
          <w:rFonts w:eastAsiaTheme="minorHAnsi"/>
          <w:highlight w:val="yellow"/>
          <w:lang w:val="es-419"/>
        </w:rPr>
      </w:pPr>
    </w:p>
    <w:p w:rsidR="00957FD1" w:rsidRPr="00981EA4" w:rsidRDefault="00957FD1" w:rsidP="0078665A">
      <w:pPr>
        <w:pStyle w:val="Heading2"/>
        <w:jc w:val="center"/>
        <w:rPr>
          <w:lang w:val="es-419"/>
        </w:rPr>
      </w:pPr>
      <w:bookmarkStart w:id="11" w:name="_Toc523137612"/>
      <w:bookmarkStart w:id="12" w:name="_Toc48829046"/>
      <w:r w:rsidRPr="00981EA4">
        <w:rPr>
          <w:lang w:val="es-419"/>
        </w:rPr>
        <w:t>Cuadro 3. Presupuesto aprobado y gastos del bienio 2018</w:t>
      </w:r>
      <w:r w:rsidRPr="00981EA4">
        <w:rPr>
          <w:lang w:val="es-419"/>
        </w:rPr>
        <w:noBreakHyphen/>
        <w:t>2019 por partida de costos</w:t>
      </w:r>
      <w:bookmarkEnd w:id="11"/>
      <w:bookmarkEnd w:id="12"/>
    </w:p>
    <w:p w:rsidR="0013647A" w:rsidRPr="00981EA4" w:rsidRDefault="00957FD1" w:rsidP="00957FD1">
      <w:pPr>
        <w:spacing w:after="200" w:line="276" w:lineRule="auto"/>
        <w:jc w:val="center"/>
        <w:rPr>
          <w:rFonts w:eastAsiaTheme="minorHAnsi" w:cs="Arial"/>
          <w:i/>
          <w:lang w:val="es-419"/>
        </w:rPr>
      </w:pPr>
      <w:r w:rsidRPr="00981EA4">
        <w:rPr>
          <w:rFonts w:eastAsiaTheme="minorHAnsi" w:cs="Arial"/>
          <w:i/>
          <w:lang w:val="es-419"/>
        </w:rPr>
        <w:t>(en miles de francos suizos)</w:t>
      </w:r>
    </w:p>
    <w:p w:rsidR="0013647A" w:rsidRPr="00981EA4" w:rsidRDefault="00E55051" w:rsidP="0013647A">
      <w:pPr>
        <w:spacing w:line="276" w:lineRule="auto"/>
        <w:jc w:val="center"/>
        <w:rPr>
          <w:rFonts w:eastAsiaTheme="minorHAnsi" w:cs="Arial"/>
          <w:sz w:val="22"/>
          <w:szCs w:val="22"/>
          <w:highlight w:val="yellow"/>
          <w:lang w:val="es-419"/>
        </w:rPr>
      </w:pPr>
      <w:r w:rsidRPr="00981EA4">
        <w:rPr>
          <w:rFonts w:eastAsiaTheme="minorHAnsi"/>
          <w:noProof/>
          <w:lang w:val="en-US"/>
        </w:rPr>
        <w:drawing>
          <wp:inline distT="0" distB="0" distL="0" distR="0">
            <wp:extent cx="5839460" cy="522668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9460" cy="5226685"/>
                    </a:xfrm>
                    <a:prstGeom prst="rect">
                      <a:avLst/>
                    </a:prstGeom>
                    <a:noFill/>
                    <a:ln>
                      <a:noFill/>
                    </a:ln>
                  </pic:spPr>
                </pic:pic>
              </a:graphicData>
            </a:graphic>
          </wp:inline>
        </w:drawing>
      </w:r>
    </w:p>
    <w:p w:rsidR="0013647A" w:rsidRPr="00981EA4" w:rsidRDefault="0013647A" w:rsidP="0013647A">
      <w:pPr>
        <w:tabs>
          <w:tab w:val="left" w:pos="567"/>
        </w:tabs>
        <w:spacing w:line="276" w:lineRule="auto"/>
        <w:ind w:left="567" w:right="283" w:hanging="283"/>
        <w:rPr>
          <w:rFonts w:cs="Arial"/>
          <w:sz w:val="18"/>
          <w:szCs w:val="18"/>
          <w:lang w:val="es-419"/>
        </w:rPr>
      </w:pPr>
      <w:r w:rsidRPr="00981EA4">
        <w:rPr>
          <w:rFonts w:eastAsiaTheme="minorHAnsi" w:cs="Arial"/>
          <w:sz w:val="18"/>
          <w:szCs w:val="18"/>
          <w:lang w:val="es-419"/>
        </w:rPr>
        <w:t>*</w:t>
      </w:r>
      <w:r w:rsidRPr="00981EA4">
        <w:rPr>
          <w:rFonts w:eastAsiaTheme="minorHAnsi" w:cs="Arial"/>
          <w:sz w:val="18"/>
          <w:szCs w:val="18"/>
          <w:lang w:val="es-419"/>
        </w:rPr>
        <w:tab/>
      </w:r>
      <w:r w:rsidR="000E072F" w:rsidRPr="00981EA4">
        <w:rPr>
          <w:rFonts w:cs="Arial"/>
          <w:sz w:val="18"/>
          <w:szCs w:val="18"/>
          <w:lang w:val="es-419"/>
        </w:rPr>
        <w:t>Toda diferencia entre las cifras de este cuadro y las de los cuadros correspondientes a los estados financieros se debe al redondeo</w:t>
      </w:r>
      <w:r w:rsidRPr="00981EA4">
        <w:rPr>
          <w:rFonts w:cs="Arial"/>
          <w:sz w:val="18"/>
          <w:szCs w:val="18"/>
          <w:lang w:val="es-419"/>
        </w:rPr>
        <w:t>.</w:t>
      </w:r>
    </w:p>
    <w:p w:rsidR="0013647A" w:rsidRPr="00981EA4" w:rsidRDefault="0013647A" w:rsidP="0013647A">
      <w:pPr>
        <w:tabs>
          <w:tab w:val="left" w:pos="567"/>
        </w:tabs>
        <w:spacing w:line="276" w:lineRule="auto"/>
        <w:ind w:left="567" w:right="283" w:hanging="283"/>
        <w:rPr>
          <w:rFonts w:cs="Arial"/>
          <w:sz w:val="18"/>
          <w:szCs w:val="18"/>
          <w:lang w:val="es-419"/>
        </w:rPr>
      </w:pPr>
    </w:p>
    <w:p w:rsidR="00957FD1" w:rsidRPr="00981EA4" w:rsidRDefault="00957FD1" w:rsidP="0078665A">
      <w:pPr>
        <w:pStyle w:val="Heading2"/>
        <w:jc w:val="center"/>
        <w:rPr>
          <w:lang w:val="es-419"/>
        </w:rPr>
      </w:pPr>
      <w:bookmarkStart w:id="13" w:name="_Toc460229915"/>
      <w:bookmarkStart w:id="14" w:name="_Toc523137613"/>
      <w:bookmarkStart w:id="15" w:name="_Toc48829047"/>
      <w:r w:rsidRPr="00981EA4">
        <w:rPr>
          <w:lang w:val="es-419"/>
        </w:rPr>
        <w:t xml:space="preserve">Cuadro 4. </w:t>
      </w:r>
      <w:bookmarkEnd w:id="13"/>
      <w:r w:rsidRPr="00981EA4">
        <w:rPr>
          <w:lang w:val="es-419"/>
        </w:rPr>
        <w:t>Presupuesto aprobado y gastos del bienio 2018</w:t>
      </w:r>
      <w:r w:rsidRPr="00981EA4">
        <w:rPr>
          <w:lang w:val="es-419"/>
        </w:rPr>
        <w:noBreakHyphen/>
        <w:t>2019 por subprograma</w:t>
      </w:r>
      <w:bookmarkEnd w:id="14"/>
      <w:bookmarkEnd w:id="15"/>
    </w:p>
    <w:p w:rsidR="0013647A" w:rsidRPr="00981EA4" w:rsidRDefault="00957FD1" w:rsidP="00957FD1">
      <w:pPr>
        <w:spacing w:after="200" w:line="276" w:lineRule="auto"/>
        <w:jc w:val="center"/>
        <w:rPr>
          <w:rFonts w:eastAsiaTheme="minorHAnsi" w:cs="Arial"/>
          <w:i/>
          <w:lang w:val="es-419"/>
        </w:rPr>
      </w:pPr>
      <w:r w:rsidRPr="00981EA4">
        <w:rPr>
          <w:rFonts w:eastAsiaTheme="minorHAnsi" w:cs="Arial"/>
          <w:i/>
          <w:lang w:val="es-419"/>
        </w:rPr>
        <w:t>(en miles de francos suizos)</w:t>
      </w:r>
      <w:r w:rsidR="00E55051" w:rsidRPr="00981EA4">
        <w:rPr>
          <w:rFonts w:eastAsiaTheme="minorHAnsi"/>
          <w:noProof/>
          <w:lang w:val="es-419" w:eastAsia="es-ES"/>
        </w:rPr>
        <w:t xml:space="preserve"> </w:t>
      </w:r>
      <w:r w:rsidR="00E55051" w:rsidRPr="00981EA4">
        <w:rPr>
          <w:rFonts w:eastAsiaTheme="minorHAnsi"/>
          <w:noProof/>
          <w:lang w:val="en-US"/>
        </w:rPr>
        <w:drawing>
          <wp:inline distT="0" distB="0" distL="0" distR="0">
            <wp:extent cx="6120765" cy="217973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179732"/>
                    </a:xfrm>
                    <a:prstGeom prst="rect">
                      <a:avLst/>
                    </a:prstGeom>
                    <a:noFill/>
                    <a:ln>
                      <a:noFill/>
                    </a:ln>
                  </pic:spPr>
                </pic:pic>
              </a:graphicData>
            </a:graphic>
          </wp:inline>
        </w:drawing>
      </w:r>
    </w:p>
    <w:p w:rsidR="0013647A" w:rsidRPr="00981EA4" w:rsidRDefault="000E072F" w:rsidP="0013647A">
      <w:pPr>
        <w:rPr>
          <w:rFonts w:cs="Arial"/>
          <w:u w:val="single"/>
          <w:lang w:val="es-419"/>
        </w:rPr>
      </w:pPr>
      <w:r w:rsidRPr="00981EA4">
        <w:rPr>
          <w:rFonts w:cs="Arial"/>
          <w:u w:val="single"/>
          <w:lang w:val="es-419"/>
        </w:rPr>
        <w:lastRenderedPageBreak/>
        <w:t>Recursos de personal</w:t>
      </w:r>
    </w:p>
    <w:p w:rsidR="0013647A" w:rsidRPr="00981EA4" w:rsidRDefault="0013647A" w:rsidP="0013647A">
      <w:pPr>
        <w:rPr>
          <w:rFonts w:cs="Arial"/>
          <w:lang w:val="es-419"/>
        </w:rPr>
      </w:pPr>
    </w:p>
    <w:p w:rsidR="0013647A" w:rsidRPr="00981EA4" w:rsidRDefault="000E072F" w:rsidP="0013647A">
      <w:pPr>
        <w:rPr>
          <w:rFonts w:eastAsiaTheme="minorHAnsi"/>
          <w:lang w:val="es-419"/>
        </w:rPr>
      </w:pPr>
      <w:r w:rsidRPr="00981EA4">
        <w:rPr>
          <w:rFonts w:cs="Arial"/>
          <w:lang w:val="es-419"/>
        </w:rPr>
        <w:t>En el bienio 2018</w:t>
      </w:r>
      <w:r w:rsidRPr="00981EA4">
        <w:rPr>
          <w:rFonts w:cs="Arial"/>
          <w:lang w:val="es-419"/>
        </w:rPr>
        <w:noBreakHyphen/>
        <w:t xml:space="preserve">2019, el gasto en recursos de personal (antes de los ajustes con arreglo a las IPSAS) ascendió a 4,4 millones de francos suizos, </w:t>
      </w:r>
      <w:r w:rsidR="00F6320B" w:rsidRPr="00981EA4">
        <w:rPr>
          <w:rFonts w:cs="Arial"/>
          <w:lang w:val="es-419"/>
        </w:rPr>
        <w:t>esto es,</w:t>
      </w:r>
      <w:r w:rsidRPr="00981EA4">
        <w:rPr>
          <w:rFonts w:cs="Arial"/>
          <w:lang w:val="es-419"/>
        </w:rPr>
        <w:t> 401.577 francos suizos (</w:t>
      </w:r>
      <w:r w:rsidR="00F6320B" w:rsidRPr="00981EA4">
        <w:rPr>
          <w:rFonts w:cs="Arial"/>
          <w:lang w:val="es-419"/>
        </w:rPr>
        <w:t xml:space="preserve">o un </w:t>
      </w:r>
      <w:r w:rsidRPr="00981EA4">
        <w:rPr>
          <w:rFonts w:cs="Arial"/>
          <w:lang w:val="es-419"/>
        </w:rPr>
        <w:t xml:space="preserve">8,4%) </w:t>
      </w:r>
      <w:r w:rsidR="00F6320B" w:rsidRPr="00981EA4">
        <w:rPr>
          <w:rFonts w:cs="Arial"/>
          <w:lang w:val="es-419"/>
        </w:rPr>
        <w:t>menos que la cifra aprobada</w:t>
      </w:r>
      <w:r w:rsidRPr="00981EA4">
        <w:rPr>
          <w:rFonts w:cs="Arial"/>
          <w:lang w:val="es-419"/>
        </w:rPr>
        <w:t xml:space="preserve"> en el programa y presupuesto de 2018</w:t>
      </w:r>
      <w:r w:rsidRPr="00981EA4">
        <w:rPr>
          <w:rFonts w:cs="Arial"/>
          <w:lang w:val="es-419"/>
        </w:rPr>
        <w:noBreakHyphen/>
        <w:t>2019</w:t>
      </w:r>
      <w:r w:rsidR="0013647A" w:rsidRPr="00981EA4">
        <w:rPr>
          <w:rFonts w:eastAsiaTheme="minorHAnsi"/>
          <w:lang w:val="es-419"/>
        </w:rPr>
        <w:t xml:space="preserve">. </w:t>
      </w:r>
    </w:p>
    <w:p w:rsidR="0013647A" w:rsidRPr="0083375A" w:rsidRDefault="0013647A" w:rsidP="0013647A">
      <w:pPr>
        <w:rPr>
          <w:rFonts w:eastAsiaTheme="minorHAnsi"/>
          <w:sz w:val="18"/>
          <w:lang w:val="es-419"/>
        </w:rPr>
      </w:pPr>
    </w:p>
    <w:p w:rsidR="000E072F" w:rsidRPr="00981EA4" w:rsidRDefault="000E072F" w:rsidP="000E072F">
      <w:pPr>
        <w:rPr>
          <w:rFonts w:cs="Arial"/>
          <w:lang w:val="es-419"/>
        </w:rPr>
      </w:pPr>
      <w:r w:rsidRPr="00981EA4">
        <w:rPr>
          <w:rFonts w:cs="Arial"/>
          <w:lang w:val="es-419"/>
        </w:rPr>
        <w:t xml:space="preserve">El gasto en puestos resultó acorde con la cifra presupuestada como consecuencia de lo siguiente: el gasto en dos puestos en la categoría profesional fue superior al presupuestado debido a que los puestos se ocuparon varios meses antes de lo previsto. En compensación, dos puestos de la categoría de servicios </w:t>
      </w:r>
      <w:r w:rsidR="00E36526" w:rsidRPr="00981EA4">
        <w:rPr>
          <w:rFonts w:cs="Arial"/>
          <w:lang w:val="es-419"/>
        </w:rPr>
        <w:t xml:space="preserve">generales </w:t>
      </w:r>
      <w:r w:rsidRPr="00981EA4">
        <w:rPr>
          <w:rFonts w:cs="Arial"/>
          <w:lang w:val="es-419"/>
        </w:rPr>
        <w:t>fueron ocupados en un 80%.</w:t>
      </w:r>
    </w:p>
    <w:p w:rsidR="000E072F" w:rsidRPr="0083375A" w:rsidRDefault="000E072F" w:rsidP="000E072F">
      <w:pPr>
        <w:rPr>
          <w:rFonts w:cs="Arial"/>
          <w:sz w:val="18"/>
          <w:lang w:val="es-419"/>
        </w:rPr>
      </w:pPr>
    </w:p>
    <w:p w:rsidR="0013647A" w:rsidRPr="00981EA4" w:rsidRDefault="000E072F" w:rsidP="000E072F">
      <w:pPr>
        <w:rPr>
          <w:rFonts w:cs="Arial"/>
          <w:lang w:val="es-419"/>
        </w:rPr>
      </w:pPr>
      <w:r w:rsidRPr="00981EA4">
        <w:rPr>
          <w:rFonts w:cs="Arial"/>
          <w:lang w:val="es-419"/>
        </w:rPr>
        <w:t>El gasto en personal temporero supuso un 16,3% de los costos presupuestados para 2018-2019 debido a que dos puestos de la categoría profesional, que inicialmente se cubrieron mediante personal temporero, fueron ocupados antes de lo previsto (véase el inciso i) más arriba) y no se contrató a personal administrativo porque esa labor fue desempeñada por trabajadores de agencias</w:t>
      </w:r>
      <w:r w:rsidR="0013647A" w:rsidRPr="00981EA4">
        <w:rPr>
          <w:rFonts w:eastAsiaTheme="minorHAnsi"/>
          <w:lang w:val="es-419"/>
        </w:rPr>
        <w:t>.</w:t>
      </w:r>
    </w:p>
    <w:p w:rsidR="0013647A" w:rsidRPr="00981EA4" w:rsidRDefault="0013647A" w:rsidP="0013647A">
      <w:pPr>
        <w:rPr>
          <w:rFonts w:cs="Arial"/>
          <w:highlight w:val="yellow"/>
          <w:lang w:val="es-419"/>
        </w:rPr>
      </w:pPr>
    </w:p>
    <w:p w:rsidR="0013647A" w:rsidRPr="00981EA4" w:rsidRDefault="00A72C84" w:rsidP="0013647A">
      <w:pPr>
        <w:rPr>
          <w:rFonts w:cs="Arial"/>
          <w:u w:val="single"/>
          <w:lang w:val="es-419"/>
        </w:rPr>
      </w:pPr>
      <w:r w:rsidRPr="00981EA4">
        <w:rPr>
          <w:rFonts w:cs="Arial"/>
          <w:u w:val="single"/>
          <w:lang w:val="es-419"/>
        </w:rPr>
        <w:t>Recursos no relativos al personal</w:t>
      </w:r>
    </w:p>
    <w:p w:rsidR="0013647A" w:rsidRPr="0083375A" w:rsidRDefault="0013647A" w:rsidP="0013647A">
      <w:pPr>
        <w:rPr>
          <w:rFonts w:cs="Arial"/>
          <w:sz w:val="18"/>
          <w:highlight w:val="yellow"/>
          <w:lang w:val="es-419"/>
        </w:rPr>
      </w:pPr>
    </w:p>
    <w:p w:rsidR="0013647A" w:rsidRPr="00981EA4" w:rsidRDefault="006E2CFB" w:rsidP="0013647A">
      <w:pPr>
        <w:rPr>
          <w:rFonts w:eastAsiaTheme="minorHAnsi"/>
          <w:lang w:val="es-419"/>
        </w:rPr>
      </w:pPr>
      <w:r w:rsidRPr="00981EA4">
        <w:rPr>
          <w:rFonts w:cs="Arial"/>
          <w:lang w:val="es-419"/>
        </w:rPr>
        <w:t>En el bienio 2018</w:t>
      </w:r>
      <w:r w:rsidRPr="00981EA4">
        <w:rPr>
          <w:rFonts w:cs="Arial"/>
          <w:lang w:val="es-419"/>
        </w:rPr>
        <w:noBreakHyphen/>
        <w:t>2019, el gasto en recursos no relativos al personal (antes de los ajustes con arreglo a las IPSAS) ascendió a 2,5 millones de francos suizos, esto es, 316.171 francos suizos, o un 14,6%</w:t>
      </w:r>
      <w:r w:rsidR="0084455A" w:rsidRPr="00981EA4">
        <w:rPr>
          <w:rFonts w:cs="Arial"/>
          <w:lang w:val="es-419"/>
        </w:rPr>
        <w:t>,</w:t>
      </w:r>
      <w:r w:rsidRPr="00981EA4">
        <w:rPr>
          <w:rFonts w:cs="Arial"/>
          <w:lang w:val="es-419"/>
        </w:rPr>
        <w:t xml:space="preserve"> por encima de lo presupuestado. A </w:t>
      </w:r>
      <w:r w:rsidR="000A05C8" w:rsidRPr="00981EA4">
        <w:rPr>
          <w:rFonts w:cs="Arial"/>
          <w:lang w:val="es-419"/>
        </w:rPr>
        <w:t>continuación,</w:t>
      </w:r>
      <w:r w:rsidRPr="00981EA4">
        <w:rPr>
          <w:rFonts w:cs="Arial"/>
          <w:lang w:val="es-419"/>
        </w:rPr>
        <w:t xml:space="preserve"> se facilitan explicaciones por partida de costos</w:t>
      </w:r>
      <w:r w:rsidR="0084455A" w:rsidRPr="00981EA4">
        <w:rPr>
          <w:rFonts w:cs="Arial"/>
          <w:lang w:val="es-419"/>
        </w:rPr>
        <w:t>.</w:t>
      </w:r>
    </w:p>
    <w:p w:rsidR="0013647A" w:rsidRPr="00981EA4" w:rsidRDefault="0013647A" w:rsidP="0013647A">
      <w:pPr>
        <w:rPr>
          <w:rFonts w:cs="Arial"/>
          <w:highlight w:val="yellow"/>
          <w:lang w:val="es-419"/>
        </w:rPr>
      </w:pPr>
    </w:p>
    <w:p w:rsidR="0013647A" w:rsidRPr="00981EA4" w:rsidRDefault="006E2CFB" w:rsidP="0013647A">
      <w:pPr>
        <w:rPr>
          <w:rFonts w:cs="Arial"/>
          <w:i/>
          <w:lang w:val="es-419"/>
        </w:rPr>
      </w:pPr>
      <w:r w:rsidRPr="00981EA4">
        <w:rPr>
          <w:rFonts w:cs="Arial"/>
          <w:i/>
          <w:lang w:val="es-419"/>
        </w:rPr>
        <w:t>Pasantías</w:t>
      </w:r>
    </w:p>
    <w:p w:rsidR="0013647A" w:rsidRPr="0083375A" w:rsidRDefault="0013647A" w:rsidP="0013647A">
      <w:pPr>
        <w:rPr>
          <w:rFonts w:cs="Arial"/>
          <w:i/>
          <w:sz w:val="18"/>
          <w:highlight w:val="yellow"/>
          <w:lang w:val="es-419"/>
        </w:rPr>
      </w:pPr>
    </w:p>
    <w:p w:rsidR="0013647A" w:rsidRPr="00981EA4" w:rsidRDefault="0084455A" w:rsidP="0013647A">
      <w:pPr>
        <w:rPr>
          <w:rFonts w:cs="Arial"/>
          <w:lang w:val="es-419"/>
        </w:rPr>
      </w:pPr>
      <w:r w:rsidRPr="00981EA4">
        <w:rPr>
          <w:rFonts w:cs="Arial"/>
          <w:lang w:val="es-419"/>
        </w:rPr>
        <w:t>En el bienio 2018</w:t>
      </w:r>
      <w:r w:rsidRPr="00981EA4">
        <w:rPr>
          <w:rFonts w:cs="Arial"/>
          <w:lang w:val="es-419"/>
        </w:rPr>
        <w:noBreakHyphen/>
        <w:t>2019</w:t>
      </w:r>
      <w:r w:rsidR="006E2CFB" w:rsidRPr="00981EA4">
        <w:rPr>
          <w:rFonts w:cs="Arial"/>
          <w:lang w:val="es-419"/>
        </w:rPr>
        <w:t xml:space="preserve">, el gasto en pasantías y </w:t>
      </w:r>
      <w:r w:rsidR="000701E0" w:rsidRPr="00981EA4">
        <w:rPr>
          <w:rFonts w:cs="Arial"/>
          <w:lang w:val="es-419"/>
        </w:rPr>
        <w:t>becas</w:t>
      </w:r>
      <w:r w:rsidR="006E2CFB" w:rsidRPr="00981EA4">
        <w:rPr>
          <w:rFonts w:cs="Arial"/>
          <w:lang w:val="es-419"/>
        </w:rPr>
        <w:t xml:space="preserve"> fue de 70.321 francos suizos, una cantidad considerablemente superior al presupuesto (40.000 francos suizos), resultante de la contratación de un pasante de TI para la herramienta UPOV PRISMA, y superior al gasto presupuestado en viajes para becarios.</w:t>
      </w:r>
    </w:p>
    <w:p w:rsidR="006E2CFB" w:rsidRPr="00981EA4" w:rsidRDefault="006E2CFB" w:rsidP="0013647A">
      <w:pPr>
        <w:rPr>
          <w:rFonts w:cs="Arial"/>
          <w:i/>
          <w:highlight w:val="yellow"/>
          <w:lang w:val="es-419"/>
        </w:rPr>
      </w:pPr>
    </w:p>
    <w:p w:rsidR="0013647A" w:rsidRPr="00981EA4" w:rsidRDefault="006E2CFB" w:rsidP="0013647A">
      <w:pPr>
        <w:rPr>
          <w:rFonts w:cs="Arial"/>
          <w:i/>
          <w:lang w:val="es-419"/>
        </w:rPr>
      </w:pPr>
      <w:r w:rsidRPr="00981EA4">
        <w:rPr>
          <w:rFonts w:cs="Arial"/>
          <w:i/>
          <w:lang w:val="es-419"/>
        </w:rPr>
        <w:t>Viajes</w:t>
      </w:r>
    </w:p>
    <w:p w:rsidR="0013647A" w:rsidRPr="0083375A" w:rsidRDefault="0013647A" w:rsidP="0013647A">
      <w:pPr>
        <w:rPr>
          <w:rFonts w:cs="Arial"/>
          <w:i/>
          <w:sz w:val="18"/>
          <w:highlight w:val="yellow"/>
          <w:lang w:val="es-419"/>
        </w:rPr>
      </w:pPr>
    </w:p>
    <w:p w:rsidR="0013647A" w:rsidRPr="00981EA4" w:rsidRDefault="006E2CFB" w:rsidP="0013647A">
      <w:pPr>
        <w:rPr>
          <w:rFonts w:eastAsiaTheme="minorHAnsi"/>
          <w:lang w:val="es-419"/>
        </w:rPr>
      </w:pPr>
      <w:r w:rsidRPr="00981EA4">
        <w:rPr>
          <w:rFonts w:cs="Arial"/>
          <w:lang w:val="es-419"/>
        </w:rPr>
        <w:t>El gasto total en viajes ascendió a 445.548 francos suizos, es decir, 25.548 francos suizos (o el 6,1%) por encima de la cifra presupuestada. No obstante, dicha cifra supuso una reducción del 9,3% en el gasto en viajes con respecto al bienio de 2016-2017 (491.226 francos suizos). El aumento en los costos por encima de lo presupuestado registrado en el bienio 2018-2019 refleja el mayor número de misiones del personal, que pudieron llevarse a cabo tras la decisión de pasar a celebrar una única serie de sesiones de la UPOV</w:t>
      </w:r>
      <w:r w:rsidR="0013647A" w:rsidRPr="00981EA4">
        <w:rPr>
          <w:rFonts w:eastAsiaTheme="minorHAnsi"/>
          <w:lang w:val="es-419"/>
        </w:rPr>
        <w:t xml:space="preserve">.  </w:t>
      </w:r>
    </w:p>
    <w:p w:rsidR="0013647A" w:rsidRPr="00981EA4" w:rsidRDefault="0013647A" w:rsidP="0013647A">
      <w:pPr>
        <w:rPr>
          <w:rFonts w:cs="Arial"/>
          <w:i/>
          <w:lang w:val="es-419"/>
        </w:rPr>
      </w:pPr>
    </w:p>
    <w:p w:rsidR="0013647A" w:rsidRPr="00981EA4" w:rsidRDefault="001244C9" w:rsidP="0013647A">
      <w:pPr>
        <w:rPr>
          <w:rFonts w:cs="Arial"/>
          <w:i/>
          <w:lang w:val="es-419"/>
        </w:rPr>
      </w:pPr>
      <w:r w:rsidRPr="00981EA4">
        <w:rPr>
          <w:rFonts w:cs="Arial"/>
          <w:i/>
          <w:lang w:val="es-419"/>
        </w:rPr>
        <w:t>Servicios contractuales</w:t>
      </w:r>
    </w:p>
    <w:p w:rsidR="0013647A" w:rsidRPr="0083375A" w:rsidRDefault="0013647A" w:rsidP="00F1398F">
      <w:pPr>
        <w:rPr>
          <w:rFonts w:eastAsiaTheme="minorHAnsi"/>
          <w:sz w:val="18"/>
          <w:lang w:val="es-419"/>
        </w:rPr>
      </w:pPr>
    </w:p>
    <w:p w:rsidR="0013647A" w:rsidRPr="00981EA4" w:rsidRDefault="001244C9" w:rsidP="0013647A">
      <w:pPr>
        <w:rPr>
          <w:rFonts w:eastAsiaTheme="minorHAnsi"/>
          <w:lang w:val="es-419"/>
        </w:rPr>
      </w:pPr>
      <w:r w:rsidRPr="00981EA4">
        <w:rPr>
          <w:rFonts w:cs="Arial"/>
          <w:lang w:val="es-419"/>
        </w:rPr>
        <w:t>El gasto total en servicios contractuales fue de 726.475 francos suizos, es decir, 291.475 francos suizos más de lo previsto en el presupuesto, debido a un gasto mayor que el presupuestado en la partida de otros servicios contractuales</w:t>
      </w:r>
      <w:r w:rsidR="0013647A" w:rsidRPr="00981EA4">
        <w:rPr>
          <w:rFonts w:eastAsiaTheme="minorHAnsi"/>
          <w:lang w:val="es-419"/>
        </w:rPr>
        <w:t xml:space="preserve">. </w:t>
      </w:r>
    </w:p>
    <w:p w:rsidR="0013647A" w:rsidRPr="00981EA4" w:rsidRDefault="0013647A" w:rsidP="0013647A">
      <w:pPr>
        <w:rPr>
          <w:rFonts w:eastAsiaTheme="minorHAnsi" w:cs="Arial"/>
          <w:lang w:val="es-419"/>
        </w:rPr>
      </w:pPr>
    </w:p>
    <w:p w:rsidR="0013647A" w:rsidRPr="00981EA4" w:rsidRDefault="00E43002" w:rsidP="0013647A">
      <w:pPr>
        <w:rPr>
          <w:rFonts w:eastAsiaTheme="minorHAnsi" w:cs="Arial"/>
          <w:lang w:val="es-419"/>
        </w:rPr>
      </w:pPr>
      <w:r w:rsidRPr="00981EA4">
        <w:rPr>
          <w:rFonts w:eastAsiaTheme="minorHAnsi" w:cs="Arial"/>
          <w:lang w:val="es-419"/>
        </w:rPr>
        <w:t>El gasto en conferencias, de 139.090 francos suizos, se mantuvo acorde con el presupuesto (140.000</w:t>
      </w:r>
      <w:r w:rsidR="0084455A" w:rsidRPr="00981EA4">
        <w:rPr>
          <w:rFonts w:eastAsiaTheme="minorHAnsi" w:cs="Arial"/>
          <w:lang w:val="es-419"/>
        </w:rPr>
        <w:t> </w:t>
      </w:r>
      <w:r w:rsidRPr="00981EA4">
        <w:rPr>
          <w:rFonts w:eastAsiaTheme="minorHAnsi" w:cs="Arial"/>
          <w:lang w:val="es-419"/>
        </w:rPr>
        <w:t>francos</w:t>
      </w:r>
      <w:r w:rsidR="0084455A" w:rsidRPr="00981EA4">
        <w:rPr>
          <w:rFonts w:eastAsiaTheme="minorHAnsi" w:cs="Arial"/>
          <w:lang w:val="es-419"/>
        </w:rPr>
        <w:t> </w:t>
      </w:r>
      <w:r w:rsidRPr="00981EA4">
        <w:rPr>
          <w:rFonts w:eastAsiaTheme="minorHAnsi" w:cs="Arial"/>
          <w:lang w:val="es-419"/>
        </w:rPr>
        <w:t>suizos). Tras la decisión de pasar a celebrar una única serie de sesiones de la UPOV en Ginebra, el costo de las conferencias disminuyó en un 24,4% (44.821 francos</w:t>
      </w:r>
      <w:r w:rsidR="003B34F2" w:rsidRPr="00981EA4">
        <w:rPr>
          <w:rFonts w:eastAsiaTheme="minorHAnsi" w:cs="Arial"/>
          <w:lang w:val="es-419"/>
        </w:rPr>
        <w:t xml:space="preserve"> suizos) con respecto al bienio </w:t>
      </w:r>
      <w:r w:rsidR="0013647A" w:rsidRPr="00981EA4">
        <w:rPr>
          <w:rFonts w:eastAsiaTheme="minorHAnsi" w:cs="Arial"/>
          <w:lang w:val="es-419"/>
        </w:rPr>
        <w:t>2016</w:t>
      </w:r>
      <w:r w:rsidR="0084455A" w:rsidRPr="00981EA4">
        <w:rPr>
          <w:rFonts w:eastAsiaTheme="minorHAnsi" w:cs="Arial"/>
          <w:lang w:val="es-419"/>
        </w:rPr>
        <w:t>-</w:t>
      </w:r>
      <w:r w:rsidRPr="00981EA4">
        <w:rPr>
          <w:rFonts w:eastAsiaTheme="minorHAnsi" w:cs="Arial"/>
          <w:lang w:val="es-419"/>
        </w:rPr>
        <w:t>20</w:t>
      </w:r>
      <w:r w:rsidR="0013647A" w:rsidRPr="00981EA4">
        <w:rPr>
          <w:rFonts w:eastAsiaTheme="minorHAnsi" w:cs="Arial"/>
          <w:lang w:val="es-419"/>
        </w:rPr>
        <w:t xml:space="preserve">17. </w:t>
      </w:r>
    </w:p>
    <w:p w:rsidR="0013647A" w:rsidRPr="00981EA4" w:rsidRDefault="0013647A" w:rsidP="0013647A">
      <w:pPr>
        <w:rPr>
          <w:rFonts w:eastAsiaTheme="minorHAnsi" w:cs="Arial"/>
          <w:lang w:val="es-419"/>
        </w:rPr>
      </w:pPr>
    </w:p>
    <w:p w:rsidR="0013647A" w:rsidRPr="00981EA4" w:rsidRDefault="000701E0" w:rsidP="0013647A">
      <w:pPr>
        <w:rPr>
          <w:rFonts w:eastAsiaTheme="minorHAnsi" w:cs="Arial"/>
          <w:lang w:val="es-419"/>
        </w:rPr>
      </w:pPr>
      <w:r w:rsidRPr="00981EA4">
        <w:rPr>
          <w:rFonts w:eastAsiaTheme="minorHAnsi" w:cs="Arial"/>
          <w:lang w:val="es-419"/>
        </w:rPr>
        <w:t>El gasto en publicaciones y en servicios contractuales individuales fue mínimo y, en general, acorde al presupuesto.</w:t>
      </w:r>
    </w:p>
    <w:p w:rsidR="0013647A" w:rsidRPr="00981EA4" w:rsidRDefault="0013647A" w:rsidP="0013647A">
      <w:pPr>
        <w:rPr>
          <w:rFonts w:eastAsiaTheme="minorHAnsi" w:cs="Arial"/>
          <w:lang w:val="es-419"/>
        </w:rPr>
      </w:pPr>
    </w:p>
    <w:p w:rsidR="0013647A" w:rsidRPr="00981EA4" w:rsidRDefault="000701E0" w:rsidP="0013647A">
      <w:pPr>
        <w:rPr>
          <w:rFonts w:eastAsiaTheme="minorHAnsi" w:cs="Arial"/>
          <w:lang w:val="es-419"/>
        </w:rPr>
      </w:pPr>
      <w:r w:rsidRPr="00981EA4">
        <w:rPr>
          <w:rFonts w:eastAsiaTheme="minorHAnsi" w:cs="Arial"/>
          <w:lang w:val="es-419"/>
        </w:rPr>
        <w:t xml:space="preserve">El aumento en los gastos en </w:t>
      </w:r>
      <w:r w:rsidR="000A05C8" w:rsidRPr="00981EA4">
        <w:rPr>
          <w:rFonts w:eastAsiaTheme="minorHAnsi" w:cs="Arial"/>
          <w:lang w:val="es-419"/>
        </w:rPr>
        <w:t>otros servicios contractuales</w:t>
      </w:r>
      <w:r w:rsidRPr="00981EA4">
        <w:rPr>
          <w:rFonts w:eastAsiaTheme="minorHAnsi" w:cs="Arial"/>
          <w:lang w:val="es-419"/>
        </w:rPr>
        <w:t xml:space="preserve"> (</w:t>
      </w:r>
      <w:r w:rsidR="0013647A" w:rsidRPr="00981EA4">
        <w:rPr>
          <w:rFonts w:eastAsiaTheme="minorHAnsi" w:cs="Arial"/>
          <w:lang w:val="es-419"/>
        </w:rPr>
        <w:t>580</w:t>
      </w:r>
      <w:r w:rsidRPr="00981EA4">
        <w:rPr>
          <w:rFonts w:eastAsiaTheme="minorHAnsi" w:cs="Arial"/>
          <w:lang w:val="es-419"/>
        </w:rPr>
        <w:t>.</w:t>
      </w:r>
      <w:r w:rsidR="0013647A" w:rsidRPr="00981EA4">
        <w:rPr>
          <w:rFonts w:eastAsiaTheme="minorHAnsi" w:cs="Arial"/>
          <w:lang w:val="es-419"/>
        </w:rPr>
        <w:t>314</w:t>
      </w:r>
      <w:r w:rsidRPr="00981EA4">
        <w:rPr>
          <w:rFonts w:eastAsiaTheme="minorHAnsi" w:cs="Arial"/>
          <w:lang w:val="es-419"/>
        </w:rPr>
        <w:t xml:space="preserve"> francos suizos con respecto al presupuesto de </w:t>
      </w:r>
      <w:r w:rsidR="0013647A" w:rsidRPr="00981EA4">
        <w:rPr>
          <w:rFonts w:eastAsiaTheme="minorHAnsi" w:cs="Arial"/>
          <w:lang w:val="es-419"/>
        </w:rPr>
        <w:t>265</w:t>
      </w:r>
      <w:r w:rsidRPr="00981EA4">
        <w:rPr>
          <w:rFonts w:eastAsiaTheme="minorHAnsi" w:cs="Arial"/>
          <w:lang w:val="es-419"/>
        </w:rPr>
        <w:t>.</w:t>
      </w:r>
      <w:r w:rsidR="0013647A" w:rsidRPr="00981EA4">
        <w:rPr>
          <w:rFonts w:eastAsiaTheme="minorHAnsi" w:cs="Arial"/>
          <w:lang w:val="es-419"/>
        </w:rPr>
        <w:t>000</w:t>
      </w:r>
      <w:r w:rsidRPr="00981EA4">
        <w:rPr>
          <w:rFonts w:eastAsiaTheme="minorHAnsi" w:cs="Arial"/>
          <w:lang w:val="es-419"/>
        </w:rPr>
        <w:t xml:space="preserve"> francos suizos</w:t>
      </w:r>
      <w:r w:rsidR="0013647A" w:rsidRPr="00981EA4">
        <w:rPr>
          <w:rFonts w:eastAsiaTheme="minorHAnsi" w:cs="Arial"/>
          <w:lang w:val="es-419"/>
        </w:rPr>
        <w:t xml:space="preserve">) </w:t>
      </w:r>
      <w:r w:rsidRPr="00981EA4">
        <w:rPr>
          <w:rFonts w:eastAsiaTheme="minorHAnsi" w:cs="Arial"/>
          <w:lang w:val="es-419"/>
        </w:rPr>
        <w:t>fue debido a</w:t>
      </w:r>
      <w:r w:rsidR="0013647A" w:rsidRPr="00981EA4">
        <w:rPr>
          <w:rFonts w:eastAsiaTheme="minorHAnsi" w:cs="Arial"/>
          <w:lang w:val="es-419"/>
        </w:rPr>
        <w:t>:</w:t>
      </w:r>
    </w:p>
    <w:p w:rsidR="0013647A" w:rsidRPr="0083375A" w:rsidRDefault="0013647A" w:rsidP="0013647A">
      <w:pPr>
        <w:rPr>
          <w:rFonts w:eastAsiaTheme="minorHAnsi" w:cs="Arial"/>
          <w:sz w:val="16"/>
          <w:lang w:val="es-419"/>
        </w:rPr>
      </w:pPr>
    </w:p>
    <w:p w:rsidR="0013647A" w:rsidRPr="00981EA4" w:rsidRDefault="000701E0" w:rsidP="0083375A">
      <w:pPr>
        <w:pStyle w:val="ListParagraph"/>
        <w:numPr>
          <w:ilvl w:val="0"/>
          <w:numId w:val="1"/>
        </w:numPr>
        <w:ind w:left="927"/>
        <w:contextualSpacing w:val="0"/>
        <w:rPr>
          <w:rFonts w:eastAsiaTheme="minorHAnsi"/>
          <w:lang w:val="es-419"/>
        </w:rPr>
      </w:pPr>
      <w:r w:rsidRPr="00981EA4">
        <w:rPr>
          <w:rFonts w:eastAsiaTheme="minorHAnsi"/>
          <w:lang w:val="es-419"/>
        </w:rPr>
        <w:t>Gasto adicional de trabajadores de agencias</w:t>
      </w:r>
      <w:r w:rsidR="0013647A" w:rsidRPr="00981EA4">
        <w:rPr>
          <w:rFonts w:eastAsiaTheme="minorHAnsi"/>
          <w:lang w:val="es-419"/>
        </w:rPr>
        <w:t xml:space="preserve"> (324</w:t>
      </w:r>
      <w:r w:rsidRPr="00981EA4">
        <w:rPr>
          <w:rFonts w:eastAsiaTheme="minorHAnsi"/>
          <w:lang w:val="es-419"/>
        </w:rPr>
        <w:t>.</w:t>
      </w:r>
      <w:r w:rsidR="0013647A" w:rsidRPr="00981EA4">
        <w:rPr>
          <w:rFonts w:eastAsiaTheme="minorHAnsi"/>
          <w:lang w:val="es-419"/>
        </w:rPr>
        <w:t>014</w:t>
      </w:r>
      <w:r w:rsidRPr="00981EA4">
        <w:rPr>
          <w:rFonts w:eastAsiaTheme="minorHAnsi"/>
          <w:lang w:val="es-419"/>
        </w:rPr>
        <w:t xml:space="preserve"> francos suizos con respecto al presupuesto de </w:t>
      </w:r>
      <w:r w:rsidR="0013647A" w:rsidRPr="00981EA4">
        <w:rPr>
          <w:rFonts w:eastAsiaTheme="minorHAnsi"/>
          <w:lang w:val="es-419"/>
        </w:rPr>
        <w:t>110</w:t>
      </w:r>
      <w:r w:rsidRPr="00981EA4">
        <w:rPr>
          <w:rFonts w:eastAsiaTheme="minorHAnsi"/>
          <w:lang w:val="es-419"/>
        </w:rPr>
        <w:t>.</w:t>
      </w:r>
      <w:r w:rsidR="0013647A" w:rsidRPr="00981EA4">
        <w:rPr>
          <w:rFonts w:eastAsiaTheme="minorHAnsi"/>
          <w:lang w:val="es-419"/>
        </w:rPr>
        <w:t>000</w:t>
      </w:r>
      <w:r w:rsidRPr="00981EA4">
        <w:rPr>
          <w:rFonts w:eastAsiaTheme="minorHAnsi"/>
          <w:lang w:val="es-419"/>
        </w:rPr>
        <w:t xml:space="preserve"> francos suizos</w:t>
      </w:r>
      <w:r w:rsidR="0013647A" w:rsidRPr="00981EA4">
        <w:rPr>
          <w:rFonts w:eastAsiaTheme="minorHAnsi"/>
          <w:lang w:val="es-419"/>
        </w:rPr>
        <w:t xml:space="preserve">) </w:t>
      </w:r>
      <w:r w:rsidRPr="00981EA4">
        <w:rPr>
          <w:rFonts w:eastAsiaTheme="minorHAnsi"/>
          <w:lang w:val="es-419"/>
        </w:rPr>
        <w:t>para cubrir</w:t>
      </w:r>
      <w:r w:rsidR="0013647A" w:rsidRPr="00981EA4">
        <w:rPr>
          <w:rFonts w:eastAsiaTheme="minorHAnsi"/>
          <w:lang w:val="es-419"/>
        </w:rPr>
        <w:t xml:space="preserve">: i) </w:t>
      </w:r>
      <w:r w:rsidRPr="00981EA4">
        <w:rPr>
          <w:rFonts w:eastAsiaTheme="minorHAnsi"/>
          <w:lang w:val="es-419"/>
        </w:rPr>
        <w:t>los dos puestos de miembros del personal de la categoría de servicios generales a tiempo parcial (80%); y ii) el puesto de temporero vacante en la categoría de persona</w:t>
      </w:r>
      <w:r w:rsidR="00BD2A54" w:rsidRPr="00981EA4">
        <w:rPr>
          <w:rFonts w:eastAsiaTheme="minorHAnsi"/>
          <w:lang w:val="es-419"/>
        </w:rPr>
        <w:t>l</w:t>
      </w:r>
      <w:r w:rsidRPr="00981EA4">
        <w:rPr>
          <w:rFonts w:eastAsiaTheme="minorHAnsi"/>
          <w:lang w:val="es-419"/>
        </w:rPr>
        <w:t xml:space="preserve"> administrativo (véase “Recursos de personal”</w:t>
      </w:r>
      <w:r w:rsidR="0013647A" w:rsidRPr="00981EA4">
        <w:rPr>
          <w:rFonts w:eastAsiaTheme="minorHAnsi"/>
          <w:lang w:val="es-419"/>
        </w:rPr>
        <w:t>).</w:t>
      </w:r>
    </w:p>
    <w:p w:rsidR="0013647A" w:rsidRPr="0083375A" w:rsidRDefault="0013647A" w:rsidP="0083375A">
      <w:pPr>
        <w:pStyle w:val="ListParagraph"/>
        <w:ind w:left="927"/>
        <w:contextualSpacing w:val="0"/>
        <w:rPr>
          <w:rFonts w:eastAsiaTheme="minorHAnsi"/>
          <w:sz w:val="14"/>
          <w:lang w:val="es-419"/>
        </w:rPr>
      </w:pPr>
    </w:p>
    <w:p w:rsidR="0013647A" w:rsidRPr="00981EA4" w:rsidRDefault="000701E0" w:rsidP="0083375A">
      <w:pPr>
        <w:pStyle w:val="ListParagraph"/>
        <w:numPr>
          <w:ilvl w:val="0"/>
          <w:numId w:val="1"/>
        </w:numPr>
        <w:ind w:left="927"/>
        <w:contextualSpacing w:val="0"/>
        <w:rPr>
          <w:rFonts w:eastAsiaTheme="minorHAnsi"/>
          <w:lang w:val="es-419"/>
        </w:rPr>
      </w:pPr>
      <w:r w:rsidRPr="00981EA4">
        <w:rPr>
          <w:rFonts w:eastAsiaTheme="minorHAnsi"/>
          <w:lang w:val="es-419"/>
        </w:rPr>
        <w:t>Los costos de de</w:t>
      </w:r>
      <w:r w:rsidR="0097505F" w:rsidRPr="00981EA4">
        <w:rPr>
          <w:rFonts w:eastAsiaTheme="minorHAnsi"/>
          <w:lang w:val="es-419"/>
        </w:rPr>
        <w:t>sarrollo de TI, superiores a lo presupuestado</w:t>
      </w:r>
      <w:r w:rsidR="00BD2A54" w:rsidRPr="00981EA4">
        <w:rPr>
          <w:rFonts w:eastAsiaTheme="minorHAnsi"/>
          <w:lang w:val="es-419"/>
        </w:rPr>
        <w:t xml:space="preserve"> (</w:t>
      </w:r>
      <w:r w:rsidR="0013647A" w:rsidRPr="00981EA4">
        <w:rPr>
          <w:rFonts w:eastAsiaTheme="minorHAnsi"/>
          <w:lang w:val="es-419"/>
        </w:rPr>
        <w:t>232</w:t>
      </w:r>
      <w:r w:rsidR="00BD2A54" w:rsidRPr="00981EA4">
        <w:rPr>
          <w:rFonts w:eastAsiaTheme="minorHAnsi"/>
          <w:lang w:val="es-419"/>
        </w:rPr>
        <w:t>.</w:t>
      </w:r>
      <w:r w:rsidR="0013647A" w:rsidRPr="00981EA4">
        <w:rPr>
          <w:rFonts w:eastAsiaTheme="minorHAnsi"/>
          <w:lang w:val="es-419"/>
        </w:rPr>
        <w:t>001</w:t>
      </w:r>
      <w:r w:rsidR="00BD2A54" w:rsidRPr="00981EA4">
        <w:rPr>
          <w:rFonts w:eastAsiaTheme="minorHAnsi"/>
          <w:lang w:val="es-419"/>
        </w:rPr>
        <w:t xml:space="preserve"> francos suizos con respecto al presupuesto de 135.000 francos suizos) necesarios para el desarrollo de interfaces de sistema a sistema con </w:t>
      </w:r>
      <w:r w:rsidR="000A05C8" w:rsidRPr="00981EA4">
        <w:rPr>
          <w:rFonts w:eastAsiaTheme="minorHAnsi"/>
          <w:lang w:val="es-419"/>
        </w:rPr>
        <w:t xml:space="preserve">las </w:t>
      </w:r>
      <w:r w:rsidR="00BD2A54" w:rsidRPr="00981EA4">
        <w:rPr>
          <w:rFonts w:eastAsiaTheme="minorHAnsi"/>
          <w:lang w:val="es-419"/>
        </w:rPr>
        <w:t xml:space="preserve">oficinas de </w:t>
      </w:r>
      <w:r w:rsidR="003C5EE5" w:rsidRPr="00981EA4">
        <w:rPr>
          <w:rFonts w:eastAsiaTheme="minorHAnsi"/>
          <w:lang w:val="es-419"/>
        </w:rPr>
        <w:t>protección de las obtenciones vegetales</w:t>
      </w:r>
      <w:r w:rsidR="00BD2A54" w:rsidRPr="00981EA4">
        <w:rPr>
          <w:rFonts w:eastAsiaTheme="minorHAnsi"/>
          <w:lang w:val="es-419"/>
        </w:rPr>
        <w:t xml:space="preserve"> para UPOV PRISMA y para la aplicación de las mejoras introducidas en la interfaz de usuario</w:t>
      </w:r>
      <w:r w:rsidR="0013647A" w:rsidRPr="00981EA4">
        <w:rPr>
          <w:rFonts w:eastAsiaTheme="minorHAnsi"/>
          <w:lang w:val="es-419"/>
        </w:rPr>
        <w:t xml:space="preserve">. </w:t>
      </w:r>
    </w:p>
    <w:p w:rsidR="0013647A" w:rsidRPr="0083375A" w:rsidRDefault="0013647A" w:rsidP="0083375A">
      <w:pPr>
        <w:pStyle w:val="ListParagraph"/>
        <w:ind w:left="927"/>
        <w:contextualSpacing w:val="0"/>
        <w:rPr>
          <w:rFonts w:eastAsiaTheme="minorHAnsi"/>
          <w:sz w:val="14"/>
          <w:lang w:val="es-419"/>
        </w:rPr>
      </w:pPr>
    </w:p>
    <w:p w:rsidR="0013647A" w:rsidRPr="00981EA4" w:rsidRDefault="00BD2A54" w:rsidP="00E75EA8">
      <w:pPr>
        <w:pStyle w:val="ListParagraph"/>
        <w:numPr>
          <w:ilvl w:val="0"/>
          <w:numId w:val="1"/>
        </w:numPr>
        <w:spacing w:after="240"/>
        <w:ind w:left="924" w:hanging="357"/>
        <w:contextualSpacing w:val="0"/>
        <w:rPr>
          <w:rFonts w:eastAsiaTheme="minorHAnsi"/>
          <w:lang w:val="es-419"/>
        </w:rPr>
      </w:pPr>
      <w:r w:rsidRPr="00981EA4">
        <w:rPr>
          <w:rFonts w:eastAsiaTheme="minorHAnsi"/>
          <w:lang w:val="es-419"/>
        </w:rPr>
        <w:t>Gasto en herramientas</w:t>
      </w:r>
      <w:r w:rsidR="00AF473A" w:rsidRPr="00981EA4">
        <w:rPr>
          <w:rFonts w:eastAsiaTheme="minorHAnsi"/>
          <w:lang w:val="es-419"/>
        </w:rPr>
        <w:t xml:space="preserve"> de redes sociales y formación de</w:t>
      </w:r>
      <w:r w:rsidRPr="00981EA4">
        <w:rPr>
          <w:rFonts w:eastAsiaTheme="minorHAnsi"/>
          <w:lang w:val="es-419"/>
        </w:rPr>
        <w:t>l personal externo</w:t>
      </w:r>
      <w:r w:rsidR="0013647A" w:rsidRPr="00981EA4">
        <w:rPr>
          <w:rFonts w:eastAsiaTheme="minorHAnsi"/>
          <w:lang w:val="es-419"/>
        </w:rPr>
        <w:t xml:space="preserve">.  </w:t>
      </w:r>
    </w:p>
    <w:p w:rsidR="0013647A" w:rsidRPr="00981EA4" w:rsidRDefault="00354E17" w:rsidP="0013647A">
      <w:pPr>
        <w:keepNext/>
        <w:rPr>
          <w:rFonts w:cs="Arial"/>
          <w:i/>
          <w:lang w:val="es-419"/>
        </w:rPr>
      </w:pPr>
      <w:r w:rsidRPr="00981EA4">
        <w:rPr>
          <w:rFonts w:cs="Arial"/>
          <w:i/>
          <w:lang w:val="es-419"/>
        </w:rPr>
        <w:lastRenderedPageBreak/>
        <w:t>Gastos de funcionamiento</w:t>
      </w:r>
    </w:p>
    <w:p w:rsidR="0013647A" w:rsidRPr="00981EA4" w:rsidRDefault="0013647A" w:rsidP="0013647A">
      <w:pPr>
        <w:keepNext/>
        <w:rPr>
          <w:rFonts w:cs="Arial"/>
          <w:i/>
          <w:lang w:val="es-419"/>
        </w:rPr>
      </w:pPr>
    </w:p>
    <w:p w:rsidR="0013647A" w:rsidRPr="00981EA4" w:rsidRDefault="00354E17" w:rsidP="0013647A">
      <w:pPr>
        <w:jc w:val="left"/>
        <w:rPr>
          <w:rFonts w:eastAsiaTheme="minorHAnsi"/>
          <w:lang w:val="es-419"/>
        </w:rPr>
      </w:pPr>
      <w:r w:rsidRPr="00981EA4">
        <w:rPr>
          <w:rFonts w:cs="Arial"/>
          <w:lang w:val="es-419"/>
        </w:rPr>
        <w:t>Los gastos de funcionamiento, de 1,2 millones francos suizos, fueron ligeramente inferiores a lo previsto en el presupuesto, debido a la contención de los costos de los servicios suministrados por la Organización Mundial de la Propiedad Intelectual (OMPI) a la UPOV</w:t>
      </w:r>
      <w:r w:rsidR="0013647A" w:rsidRPr="00981EA4">
        <w:rPr>
          <w:rFonts w:eastAsiaTheme="minorHAnsi"/>
          <w:lang w:val="es-419"/>
        </w:rPr>
        <w:t>.</w:t>
      </w:r>
    </w:p>
    <w:p w:rsidR="0013647A" w:rsidRPr="00981EA4" w:rsidRDefault="0013647A" w:rsidP="0013647A">
      <w:pPr>
        <w:tabs>
          <w:tab w:val="left" w:pos="0"/>
        </w:tabs>
        <w:rPr>
          <w:rFonts w:cs="Arial"/>
          <w:lang w:val="es-419"/>
        </w:rPr>
      </w:pPr>
    </w:p>
    <w:p w:rsidR="0013647A" w:rsidRPr="00981EA4" w:rsidRDefault="000B5356" w:rsidP="0013647A">
      <w:pPr>
        <w:keepNext/>
        <w:rPr>
          <w:rFonts w:cs="Arial"/>
          <w:i/>
          <w:lang w:val="es-419"/>
        </w:rPr>
      </w:pPr>
      <w:r w:rsidRPr="00981EA4">
        <w:rPr>
          <w:rFonts w:cs="Arial"/>
          <w:i/>
          <w:lang w:val="es-419"/>
        </w:rPr>
        <w:t>Equipo y suministros</w:t>
      </w:r>
    </w:p>
    <w:p w:rsidR="0013647A" w:rsidRPr="00981EA4" w:rsidRDefault="0013647A" w:rsidP="0013647A">
      <w:pPr>
        <w:keepNext/>
        <w:rPr>
          <w:rFonts w:cs="Arial"/>
          <w:i/>
          <w:lang w:val="es-419"/>
        </w:rPr>
      </w:pPr>
    </w:p>
    <w:p w:rsidR="0013647A" w:rsidRPr="00981EA4" w:rsidRDefault="00065335" w:rsidP="0013647A">
      <w:pPr>
        <w:jc w:val="left"/>
        <w:rPr>
          <w:rFonts w:eastAsiaTheme="minorHAnsi" w:cs="Arial"/>
          <w:lang w:val="es-419"/>
        </w:rPr>
      </w:pPr>
      <w:r w:rsidRPr="00981EA4">
        <w:rPr>
          <w:rFonts w:cs="Arial"/>
          <w:lang w:val="es-419"/>
        </w:rPr>
        <w:t>El gasto en equipo y suministros ascendió a 2.984 francos suizos, es decir, 17.016 francos suizos por debajo de la cifra presupuestada</w:t>
      </w:r>
      <w:r w:rsidR="0013647A" w:rsidRPr="00981EA4">
        <w:rPr>
          <w:rFonts w:eastAsiaTheme="minorHAnsi" w:cs="Arial"/>
          <w:lang w:val="es-419"/>
        </w:rPr>
        <w:t>.</w:t>
      </w:r>
    </w:p>
    <w:p w:rsidR="0013647A" w:rsidRPr="00981EA4" w:rsidRDefault="0013647A" w:rsidP="0013647A">
      <w:pPr>
        <w:rPr>
          <w:rFonts w:eastAsiaTheme="minorHAnsi" w:cs="Arial"/>
          <w:lang w:val="es-419"/>
        </w:rPr>
      </w:pPr>
    </w:p>
    <w:p w:rsidR="0013647A" w:rsidRPr="00981EA4" w:rsidRDefault="00FA25EA" w:rsidP="0013647A">
      <w:pPr>
        <w:rPr>
          <w:rFonts w:eastAsiaTheme="minorHAnsi"/>
          <w:lang w:val="es-419"/>
        </w:rPr>
      </w:pPr>
      <w:r w:rsidRPr="00981EA4">
        <w:rPr>
          <w:rFonts w:eastAsiaTheme="minorHAnsi" w:cs="Arial"/>
          <w:lang w:val="es-419"/>
        </w:rPr>
        <w:t>En el cuadro 5 se ofrece un desglose de los gastos por subprogramas y partidas de costos en el bienio 2018</w:t>
      </w:r>
      <w:r w:rsidRPr="00981EA4">
        <w:rPr>
          <w:rFonts w:eastAsiaTheme="minorHAnsi" w:cs="Arial"/>
          <w:lang w:val="es-419"/>
        </w:rPr>
        <w:noBreakHyphen/>
        <w:t>2019</w:t>
      </w:r>
      <w:r w:rsidR="0013647A" w:rsidRPr="00981EA4">
        <w:rPr>
          <w:rFonts w:eastAsiaTheme="minorHAnsi"/>
          <w:lang w:val="es-419"/>
        </w:rPr>
        <w:t xml:space="preserve">.  </w:t>
      </w:r>
    </w:p>
    <w:p w:rsidR="0013647A" w:rsidRPr="00981EA4" w:rsidRDefault="0013647A" w:rsidP="0013647A">
      <w:pPr>
        <w:rPr>
          <w:rFonts w:eastAsiaTheme="minorHAnsi" w:cs="Arial"/>
          <w:highlight w:val="yellow"/>
          <w:lang w:val="es-419"/>
        </w:rPr>
      </w:pPr>
    </w:p>
    <w:p w:rsidR="00FA25EA" w:rsidRPr="00981EA4" w:rsidRDefault="00FA25EA" w:rsidP="0078665A">
      <w:pPr>
        <w:pStyle w:val="Heading2"/>
        <w:jc w:val="center"/>
        <w:rPr>
          <w:lang w:val="es-419"/>
        </w:rPr>
      </w:pPr>
      <w:bookmarkStart w:id="16" w:name="_Toc460229916"/>
      <w:bookmarkStart w:id="17" w:name="_Toc523137614"/>
      <w:bookmarkStart w:id="18" w:name="_Toc48829048"/>
      <w:r w:rsidRPr="00981EA4">
        <w:rPr>
          <w:lang w:val="es-419"/>
        </w:rPr>
        <w:t xml:space="preserve">Cuadro 5. </w:t>
      </w:r>
      <w:bookmarkEnd w:id="16"/>
      <w:r w:rsidRPr="00981EA4">
        <w:rPr>
          <w:lang w:val="es-419"/>
        </w:rPr>
        <w:t>Detalle de los gastos del bienio 2018</w:t>
      </w:r>
      <w:r w:rsidRPr="00981EA4">
        <w:rPr>
          <w:lang w:val="es-419"/>
        </w:rPr>
        <w:noBreakHyphen/>
        <w:t>2019 por subprograma</w:t>
      </w:r>
      <w:bookmarkEnd w:id="17"/>
      <w:bookmarkEnd w:id="18"/>
    </w:p>
    <w:p w:rsidR="0013647A" w:rsidRPr="00981EA4" w:rsidRDefault="00FA25EA" w:rsidP="00FA25EA">
      <w:pPr>
        <w:spacing w:after="200" w:line="276" w:lineRule="auto"/>
        <w:jc w:val="center"/>
        <w:rPr>
          <w:rFonts w:eastAsiaTheme="minorHAnsi" w:cs="Arial"/>
          <w:i/>
          <w:lang w:val="es-419"/>
        </w:rPr>
      </w:pPr>
      <w:r w:rsidRPr="00981EA4">
        <w:rPr>
          <w:rFonts w:eastAsiaTheme="minorHAnsi" w:cs="Arial"/>
          <w:i/>
          <w:lang w:val="es-419"/>
        </w:rPr>
        <w:t>(en miles de francos suizos)</w:t>
      </w:r>
    </w:p>
    <w:p w:rsidR="0013647A" w:rsidRPr="00981EA4" w:rsidRDefault="002028FE" w:rsidP="0013647A">
      <w:pPr>
        <w:spacing w:after="200" w:line="276" w:lineRule="auto"/>
        <w:jc w:val="center"/>
        <w:rPr>
          <w:rFonts w:eastAsiaTheme="minorHAnsi" w:cs="Arial"/>
          <w:i/>
          <w:lang w:val="es-419"/>
        </w:rPr>
      </w:pPr>
      <w:r w:rsidRPr="00981EA4">
        <w:rPr>
          <w:rFonts w:eastAsiaTheme="minorHAnsi"/>
          <w:noProof/>
          <w:lang w:val="en-US"/>
        </w:rPr>
        <w:drawing>
          <wp:inline distT="0" distB="0" distL="0" distR="0">
            <wp:extent cx="6120765" cy="455976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4559761"/>
                    </a:xfrm>
                    <a:prstGeom prst="rect">
                      <a:avLst/>
                    </a:prstGeom>
                    <a:noFill/>
                    <a:ln>
                      <a:noFill/>
                    </a:ln>
                  </pic:spPr>
                </pic:pic>
              </a:graphicData>
            </a:graphic>
          </wp:inline>
        </w:drawing>
      </w:r>
    </w:p>
    <w:p w:rsidR="0013647A" w:rsidRPr="00981EA4" w:rsidRDefault="0013647A" w:rsidP="0013647A">
      <w:pPr>
        <w:spacing w:line="276" w:lineRule="auto"/>
        <w:ind w:left="284" w:hanging="284"/>
        <w:rPr>
          <w:rFonts w:eastAsiaTheme="minorHAnsi" w:cs="Arial"/>
          <w:sz w:val="18"/>
          <w:szCs w:val="18"/>
          <w:lang w:val="es-419"/>
        </w:rPr>
      </w:pPr>
      <w:r w:rsidRPr="00981EA4">
        <w:rPr>
          <w:rFonts w:eastAsiaTheme="minorHAnsi" w:cs="Arial"/>
          <w:sz w:val="18"/>
          <w:szCs w:val="18"/>
          <w:lang w:val="es-419"/>
        </w:rPr>
        <w:t>*</w:t>
      </w:r>
      <w:r w:rsidRPr="00981EA4">
        <w:rPr>
          <w:rFonts w:eastAsiaTheme="minorHAnsi" w:cs="Arial"/>
          <w:sz w:val="18"/>
          <w:szCs w:val="18"/>
          <w:lang w:val="es-419"/>
        </w:rPr>
        <w:tab/>
      </w:r>
      <w:r w:rsidR="00FA25EA" w:rsidRPr="00981EA4">
        <w:rPr>
          <w:rFonts w:cs="Arial"/>
          <w:sz w:val="18"/>
          <w:szCs w:val="18"/>
          <w:lang w:val="es-419"/>
        </w:rPr>
        <w:t>Toda diferencia entre las cifras de este cuadro y las de los cuadros correspondientes a los estados financieros se debe al redondeo</w:t>
      </w:r>
      <w:r w:rsidRPr="00981EA4">
        <w:rPr>
          <w:rFonts w:cs="Arial"/>
          <w:sz w:val="18"/>
          <w:szCs w:val="18"/>
          <w:lang w:val="es-419"/>
        </w:rPr>
        <w:t>.</w:t>
      </w:r>
    </w:p>
    <w:p w:rsidR="0013647A" w:rsidRPr="00981EA4" w:rsidRDefault="0013647A" w:rsidP="0013647A">
      <w:pPr>
        <w:spacing w:line="276" w:lineRule="auto"/>
        <w:rPr>
          <w:rFonts w:eastAsiaTheme="minorHAnsi" w:cs="Arial"/>
          <w:sz w:val="18"/>
          <w:szCs w:val="18"/>
          <w:highlight w:val="yellow"/>
          <w:lang w:val="es-419"/>
        </w:rPr>
      </w:pPr>
    </w:p>
    <w:p w:rsidR="0013647A" w:rsidRPr="00981EA4" w:rsidRDefault="0013647A" w:rsidP="0013647A">
      <w:pPr>
        <w:rPr>
          <w:rFonts w:eastAsiaTheme="minorHAnsi" w:cs="Arial"/>
          <w:lang w:val="es-419"/>
        </w:rPr>
      </w:pPr>
      <w:r w:rsidRPr="00981EA4">
        <w:rPr>
          <w:rFonts w:eastAsiaTheme="minorHAnsi" w:cs="Arial"/>
          <w:lang w:val="es-419"/>
        </w:rPr>
        <w:br w:type="page"/>
      </w:r>
    </w:p>
    <w:p w:rsidR="0013647A" w:rsidRPr="00981EA4" w:rsidRDefault="00FA25EA" w:rsidP="0013647A">
      <w:pPr>
        <w:rPr>
          <w:rFonts w:eastAsiaTheme="minorHAnsi" w:cs="Arial"/>
          <w:lang w:val="es-419"/>
        </w:rPr>
      </w:pPr>
      <w:r w:rsidRPr="00981EA4">
        <w:rPr>
          <w:rFonts w:eastAsiaTheme="minorHAnsi" w:cs="Arial"/>
          <w:lang w:val="es-419"/>
        </w:rPr>
        <w:lastRenderedPageBreak/>
        <w:t>En el cuadro 6 se presenta un resumen del número de puestos por categoría</w:t>
      </w:r>
      <w:r w:rsidR="0013647A" w:rsidRPr="00981EA4">
        <w:rPr>
          <w:rFonts w:eastAsiaTheme="minorHAnsi" w:cs="Arial"/>
          <w:lang w:val="es-419"/>
        </w:rPr>
        <w:t xml:space="preserve">. </w:t>
      </w:r>
    </w:p>
    <w:p w:rsidR="0013647A" w:rsidRPr="00981EA4" w:rsidRDefault="0013647A" w:rsidP="0013647A">
      <w:pPr>
        <w:rPr>
          <w:rFonts w:eastAsiaTheme="minorHAnsi" w:cs="Arial"/>
          <w:highlight w:val="yellow"/>
          <w:lang w:val="es-419"/>
        </w:rPr>
      </w:pPr>
    </w:p>
    <w:p w:rsidR="0013647A" w:rsidRPr="00981EA4" w:rsidRDefault="00FA25EA" w:rsidP="0078665A">
      <w:pPr>
        <w:pStyle w:val="Heading2"/>
        <w:jc w:val="center"/>
        <w:rPr>
          <w:lang w:val="es-419"/>
        </w:rPr>
      </w:pPr>
      <w:bookmarkStart w:id="19" w:name="_Toc460229917"/>
      <w:bookmarkStart w:id="20" w:name="_Toc523137615"/>
      <w:bookmarkStart w:id="21" w:name="_Toc48829049"/>
      <w:r w:rsidRPr="00981EA4">
        <w:rPr>
          <w:lang w:val="es-419"/>
        </w:rPr>
        <w:t xml:space="preserve">Cuadro 6. </w:t>
      </w:r>
      <w:bookmarkEnd w:id="19"/>
      <w:r w:rsidRPr="00981EA4">
        <w:rPr>
          <w:lang w:val="es-419"/>
        </w:rPr>
        <w:t>Puestos presupuestados y efectivos en el bienio 2018-201</w:t>
      </w:r>
      <w:bookmarkEnd w:id="20"/>
      <w:r w:rsidRPr="00981EA4">
        <w:rPr>
          <w:lang w:val="es-419"/>
        </w:rPr>
        <w:t>9</w:t>
      </w:r>
      <w:bookmarkEnd w:id="21"/>
    </w:p>
    <w:p w:rsidR="0013647A" w:rsidRPr="00981EA4" w:rsidRDefault="0013647A" w:rsidP="0013647A">
      <w:pPr>
        <w:rPr>
          <w:rFonts w:eastAsiaTheme="minorHAnsi" w:cs="Arial"/>
          <w:highlight w:val="yellow"/>
          <w:lang w:val="es-419"/>
        </w:rPr>
      </w:pPr>
    </w:p>
    <w:p w:rsidR="0013647A" w:rsidRPr="00981EA4" w:rsidRDefault="003D1778" w:rsidP="0013647A">
      <w:pPr>
        <w:spacing w:after="200" w:line="276" w:lineRule="auto"/>
        <w:jc w:val="center"/>
        <w:rPr>
          <w:rFonts w:eastAsiaTheme="minorHAnsi" w:cs="Arial"/>
          <w:highlight w:val="yellow"/>
          <w:lang w:val="es-419"/>
        </w:rPr>
      </w:pPr>
      <w:r w:rsidRPr="00981EA4">
        <w:rPr>
          <w:rFonts w:eastAsiaTheme="minorHAnsi"/>
          <w:noProof/>
          <w:lang w:val="en-US"/>
        </w:rPr>
        <w:drawing>
          <wp:inline distT="0" distB="0" distL="0" distR="0">
            <wp:extent cx="3990340" cy="14128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90340" cy="1412875"/>
                    </a:xfrm>
                    <a:prstGeom prst="rect">
                      <a:avLst/>
                    </a:prstGeom>
                    <a:noFill/>
                    <a:ln>
                      <a:noFill/>
                    </a:ln>
                  </pic:spPr>
                </pic:pic>
              </a:graphicData>
            </a:graphic>
          </wp:inline>
        </w:drawing>
      </w:r>
    </w:p>
    <w:p w:rsidR="0013647A" w:rsidRPr="00981EA4" w:rsidRDefault="00710FAD" w:rsidP="0013647A">
      <w:pPr>
        <w:keepNext/>
        <w:rPr>
          <w:rFonts w:cs="Arial"/>
          <w:lang w:val="es-419"/>
        </w:rPr>
      </w:pPr>
      <w:r w:rsidRPr="00981EA4">
        <w:rPr>
          <w:rFonts w:cs="Arial"/>
          <w:lang w:val="es-419"/>
        </w:rPr>
        <w:t>Como se observa en el cuadro 6, no hubo variaciones en el número total de puestos durante el bienio. El mayor número de puestos en la categoría de servicios generales se debió a un retraso que se produjo durante el bienio en la reclasificación prevista de un puesto de servicios generales a la categoría profesional. El puesto del secretario general está incluido en el cómputo de puestos</w:t>
      </w:r>
      <w:r w:rsidR="0097505F" w:rsidRPr="00981EA4">
        <w:rPr>
          <w:rFonts w:cs="Arial"/>
          <w:lang w:val="es-419"/>
        </w:rPr>
        <w:t>,</w:t>
      </w:r>
      <w:r w:rsidRPr="00981EA4">
        <w:rPr>
          <w:rFonts w:cs="Arial"/>
          <w:lang w:val="es-419"/>
        </w:rPr>
        <w:t xml:space="preserve"> aunque sin costo, ya que el actual director general de la OMPI ha declinado recibir sueldo o asignación alguna como secretario general de la UPOV</w:t>
      </w:r>
      <w:r w:rsidR="0013647A" w:rsidRPr="00981EA4">
        <w:rPr>
          <w:rFonts w:cs="Arial"/>
          <w:lang w:val="es-419"/>
        </w:rPr>
        <w:t xml:space="preserve">. </w:t>
      </w:r>
    </w:p>
    <w:p w:rsidR="0013647A" w:rsidRPr="00981EA4" w:rsidRDefault="0013647A" w:rsidP="0013647A">
      <w:pPr>
        <w:keepNext/>
        <w:rPr>
          <w:rFonts w:eastAsiaTheme="minorHAnsi" w:cs="Arial"/>
          <w:lang w:val="es-419"/>
        </w:rPr>
      </w:pPr>
    </w:p>
    <w:p w:rsidR="0013647A" w:rsidRPr="00981EA4" w:rsidRDefault="00710FAD" w:rsidP="0013647A">
      <w:pPr>
        <w:keepNext/>
        <w:rPr>
          <w:rFonts w:eastAsiaTheme="minorHAnsi" w:cs="Arial"/>
          <w:lang w:val="es-419"/>
        </w:rPr>
      </w:pPr>
      <w:r w:rsidRPr="00981EA4">
        <w:rPr>
          <w:rFonts w:eastAsiaTheme="minorHAnsi" w:cs="Arial"/>
          <w:lang w:val="es-419"/>
        </w:rPr>
        <w:t xml:space="preserve">En el cuadro 7 se muestra la evolución global de los ingresos y gastos reales (antes de los ajustes con arreglo a las IPSAS) en el período </w:t>
      </w:r>
      <w:r w:rsidR="003C5EE5" w:rsidRPr="00981EA4">
        <w:rPr>
          <w:rFonts w:eastAsiaTheme="minorHAnsi" w:cs="Arial"/>
          <w:lang w:val="es-419"/>
        </w:rPr>
        <w:t>comprendido entre</w:t>
      </w:r>
      <w:r w:rsidRPr="00981EA4">
        <w:rPr>
          <w:rFonts w:eastAsiaTheme="minorHAnsi" w:cs="Arial"/>
          <w:lang w:val="es-419"/>
        </w:rPr>
        <w:t xml:space="preserve"> 2008 </w:t>
      </w:r>
      <w:r w:rsidR="003C5EE5" w:rsidRPr="00981EA4">
        <w:rPr>
          <w:rFonts w:eastAsiaTheme="minorHAnsi" w:cs="Arial"/>
          <w:lang w:val="es-419"/>
        </w:rPr>
        <w:t>y</w:t>
      </w:r>
      <w:r w:rsidRPr="00981EA4">
        <w:rPr>
          <w:rFonts w:eastAsiaTheme="minorHAnsi" w:cs="Arial"/>
          <w:lang w:val="es-419"/>
        </w:rPr>
        <w:t> 2019</w:t>
      </w:r>
      <w:r w:rsidR="0013647A" w:rsidRPr="00981EA4">
        <w:rPr>
          <w:rFonts w:eastAsiaTheme="minorHAnsi" w:cs="Arial"/>
          <w:lang w:val="es-419"/>
        </w:rPr>
        <w:t xml:space="preserve">. </w:t>
      </w:r>
    </w:p>
    <w:p w:rsidR="0013647A" w:rsidRPr="00981EA4" w:rsidRDefault="0013647A" w:rsidP="0013647A">
      <w:pPr>
        <w:keepNext/>
        <w:rPr>
          <w:rFonts w:eastAsiaTheme="minorHAnsi" w:cs="Arial"/>
          <w:lang w:val="es-419"/>
        </w:rPr>
      </w:pPr>
    </w:p>
    <w:p w:rsidR="0013647A" w:rsidRPr="00981EA4" w:rsidRDefault="0013647A" w:rsidP="0013647A">
      <w:pPr>
        <w:keepNext/>
        <w:rPr>
          <w:rFonts w:eastAsiaTheme="minorHAnsi" w:cs="Arial"/>
          <w:lang w:val="es-419"/>
        </w:rPr>
      </w:pPr>
    </w:p>
    <w:p w:rsidR="00710FAD" w:rsidRPr="00981EA4" w:rsidRDefault="00710FAD" w:rsidP="0078665A">
      <w:pPr>
        <w:pStyle w:val="Heading2"/>
        <w:jc w:val="center"/>
        <w:rPr>
          <w:lang w:val="es-419"/>
        </w:rPr>
      </w:pPr>
      <w:bookmarkStart w:id="22" w:name="_Toc460229918"/>
      <w:bookmarkStart w:id="23" w:name="_Toc523137616"/>
      <w:bookmarkStart w:id="24" w:name="_Toc48829050"/>
      <w:r w:rsidRPr="00981EA4">
        <w:rPr>
          <w:lang w:val="es-419"/>
        </w:rPr>
        <w:t xml:space="preserve">Cuadro 7. </w:t>
      </w:r>
      <w:bookmarkEnd w:id="22"/>
      <w:r w:rsidRPr="00981EA4">
        <w:rPr>
          <w:lang w:val="es-419"/>
        </w:rPr>
        <w:t>Evolución de los ingresos y gastos reales en</w:t>
      </w:r>
      <w:r w:rsidR="00DF67F1" w:rsidRPr="00981EA4">
        <w:rPr>
          <w:lang w:val="es-419"/>
        </w:rPr>
        <w:t>tre</w:t>
      </w:r>
      <w:r w:rsidRPr="00981EA4">
        <w:rPr>
          <w:lang w:val="es-419"/>
        </w:rPr>
        <w:t> 2008</w:t>
      </w:r>
      <w:r w:rsidR="00DF67F1" w:rsidRPr="00981EA4">
        <w:rPr>
          <w:lang w:val="es-419"/>
        </w:rPr>
        <w:t xml:space="preserve"> y </w:t>
      </w:r>
      <w:r w:rsidRPr="00981EA4">
        <w:rPr>
          <w:lang w:val="es-419"/>
        </w:rPr>
        <w:t>201</w:t>
      </w:r>
      <w:bookmarkEnd w:id="23"/>
      <w:r w:rsidRPr="00981EA4">
        <w:rPr>
          <w:lang w:val="es-419"/>
        </w:rPr>
        <w:t>9</w:t>
      </w:r>
      <w:bookmarkEnd w:id="24"/>
    </w:p>
    <w:p w:rsidR="0013647A" w:rsidRPr="00981EA4" w:rsidRDefault="00710FAD" w:rsidP="00710FAD">
      <w:pPr>
        <w:spacing w:after="200" w:line="276" w:lineRule="auto"/>
        <w:jc w:val="center"/>
        <w:rPr>
          <w:rFonts w:eastAsiaTheme="minorHAnsi" w:cs="Arial"/>
          <w:i/>
          <w:lang w:val="es-419"/>
        </w:rPr>
      </w:pPr>
      <w:r w:rsidRPr="00981EA4">
        <w:rPr>
          <w:rFonts w:eastAsiaTheme="minorHAnsi" w:cs="Arial"/>
          <w:i/>
          <w:lang w:val="es-419"/>
        </w:rPr>
        <w:t>(en miles de francos suizos)</w:t>
      </w:r>
    </w:p>
    <w:p w:rsidR="0013647A" w:rsidRPr="00981EA4" w:rsidRDefault="00751925" w:rsidP="0013647A">
      <w:pPr>
        <w:spacing w:after="200" w:line="276" w:lineRule="auto"/>
        <w:jc w:val="center"/>
        <w:rPr>
          <w:rFonts w:eastAsiaTheme="minorHAnsi" w:cs="Arial"/>
          <w:b/>
          <w:sz w:val="22"/>
          <w:szCs w:val="22"/>
          <w:lang w:val="es-419"/>
        </w:rPr>
      </w:pPr>
      <w:r w:rsidRPr="00981EA4">
        <w:rPr>
          <w:rFonts w:eastAsiaTheme="minorHAnsi"/>
          <w:noProof/>
          <w:lang w:val="en-US"/>
        </w:rPr>
        <w:drawing>
          <wp:inline distT="0" distB="0" distL="0" distR="0">
            <wp:extent cx="6120765" cy="89690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896901"/>
                    </a:xfrm>
                    <a:prstGeom prst="rect">
                      <a:avLst/>
                    </a:prstGeom>
                    <a:noFill/>
                    <a:ln>
                      <a:noFill/>
                    </a:ln>
                  </pic:spPr>
                </pic:pic>
              </a:graphicData>
            </a:graphic>
          </wp:inline>
        </w:drawing>
      </w:r>
    </w:p>
    <w:p w:rsidR="00C178E1" w:rsidRPr="00981EA4" w:rsidRDefault="00DD4D3E" w:rsidP="0013647A">
      <w:pPr>
        <w:spacing w:after="200" w:line="276" w:lineRule="auto"/>
        <w:jc w:val="center"/>
        <w:rPr>
          <w:rFonts w:cs="Arial"/>
          <w:lang w:val="es-419"/>
        </w:rPr>
      </w:pPr>
      <w:r w:rsidRPr="00981EA4">
        <w:rPr>
          <w:noProof/>
          <w:lang w:val="en-US"/>
        </w:rPr>
        <w:drawing>
          <wp:inline distT="0" distB="0" distL="0" distR="0">
            <wp:extent cx="5174442" cy="2319775"/>
            <wp:effectExtent l="0" t="0" r="762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92501" cy="2327871"/>
                    </a:xfrm>
                    <a:prstGeom prst="rect">
                      <a:avLst/>
                    </a:prstGeom>
                    <a:noFill/>
                    <a:ln>
                      <a:noFill/>
                    </a:ln>
                  </pic:spPr>
                </pic:pic>
              </a:graphicData>
            </a:graphic>
          </wp:inline>
        </w:drawing>
      </w:r>
    </w:p>
    <w:p w:rsidR="0013647A" w:rsidRPr="00981EA4" w:rsidRDefault="0013647A" w:rsidP="0013647A">
      <w:pPr>
        <w:spacing w:after="200" w:line="276" w:lineRule="auto"/>
        <w:jc w:val="center"/>
        <w:rPr>
          <w:rFonts w:eastAsiaTheme="minorHAnsi" w:cs="Arial"/>
          <w:b/>
          <w:sz w:val="22"/>
          <w:szCs w:val="22"/>
          <w:lang w:val="es-419"/>
        </w:rPr>
      </w:pPr>
      <w:r w:rsidRPr="00981EA4">
        <w:rPr>
          <w:rFonts w:cs="Arial"/>
          <w:lang w:val="es-419"/>
        </w:rPr>
        <w:br w:type="page"/>
      </w:r>
    </w:p>
    <w:p w:rsidR="0013647A" w:rsidRPr="00981EA4" w:rsidRDefault="00874E7C" w:rsidP="0097505F">
      <w:pPr>
        <w:pStyle w:val="Heading1"/>
        <w:rPr>
          <w:lang w:val="es-419"/>
        </w:rPr>
      </w:pPr>
      <w:bookmarkStart w:id="25" w:name="_Toc48829051"/>
      <w:r w:rsidRPr="00981EA4">
        <w:rPr>
          <w:lang w:val="es-419"/>
        </w:rPr>
        <w:lastRenderedPageBreak/>
        <w:t>ESTADOS FINANCIEROS</w:t>
      </w:r>
      <w:bookmarkEnd w:id="25"/>
    </w:p>
    <w:p w:rsidR="0013647A" w:rsidRPr="00981EA4" w:rsidRDefault="0013647A" w:rsidP="0013647A">
      <w:pPr>
        <w:rPr>
          <w:lang w:val="es-419"/>
        </w:rPr>
      </w:pPr>
    </w:p>
    <w:p w:rsidR="0013647A" w:rsidRPr="00981EA4" w:rsidRDefault="00874E7C" w:rsidP="0013647A">
      <w:pPr>
        <w:rPr>
          <w:rFonts w:cs="Arial"/>
          <w:lang w:val="es-419"/>
        </w:rPr>
      </w:pPr>
      <w:r w:rsidRPr="00981EA4">
        <w:rPr>
          <w:rFonts w:cs="Arial"/>
          <w:lang w:val="es-419"/>
        </w:rPr>
        <w:t>Los estados financieros anuales de la UPOV se han elaborado de conformidad con las Normas Internacionales de Contabilidad del Sector Público (IPSAS) para cada año del bienio 2018</w:t>
      </w:r>
      <w:r w:rsidRPr="00981EA4">
        <w:rPr>
          <w:rFonts w:cs="Arial"/>
          <w:lang w:val="es-419"/>
        </w:rPr>
        <w:noBreakHyphen/>
        <w:t>2019</w:t>
      </w:r>
      <w:r w:rsidR="0013647A" w:rsidRPr="00981EA4">
        <w:rPr>
          <w:rFonts w:cs="Arial"/>
          <w:lang w:val="es-419"/>
        </w:rPr>
        <w:t>.</w:t>
      </w:r>
    </w:p>
    <w:p w:rsidR="0013647A" w:rsidRPr="00981EA4" w:rsidRDefault="0013647A" w:rsidP="0013647A">
      <w:pPr>
        <w:rPr>
          <w:rFonts w:cs="Arial"/>
          <w:lang w:val="es-419"/>
        </w:rPr>
      </w:pPr>
    </w:p>
    <w:p w:rsidR="0013647A" w:rsidRPr="00981EA4" w:rsidRDefault="00874E7C" w:rsidP="0013647A">
      <w:pPr>
        <w:rPr>
          <w:rFonts w:cs="Arial"/>
          <w:b/>
          <w:lang w:val="es-419"/>
        </w:rPr>
      </w:pPr>
      <w:r w:rsidRPr="00981EA4">
        <w:rPr>
          <w:rFonts w:cs="Arial"/>
          <w:b/>
          <w:lang w:val="es-419"/>
        </w:rPr>
        <w:t>Contabilidad de los valores devengados con arreglo a las IPSAS</w:t>
      </w:r>
    </w:p>
    <w:p w:rsidR="0013647A" w:rsidRPr="00981EA4" w:rsidRDefault="0013647A" w:rsidP="0013647A">
      <w:pPr>
        <w:autoSpaceDE w:val="0"/>
        <w:autoSpaceDN w:val="0"/>
        <w:adjustRightInd w:val="0"/>
        <w:rPr>
          <w:rFonts w:cs="Arial"/>
          <w:lang w:val="es-419"/>
        </w:rPr>
      </w:pPr>
    </w:p>
    <w:p w:rsidR="00874E7C" w:rsidRPr="00981EA4" w:rsidRDefault="00874E7C" w:rsidP="00874E7C">
      <w:pPr>
        <w:autoSpaceDE w:val="0"/>
        <w:autoSpaceDN w:val="0"/>
        <w:adjustRightInd w:val="0"/>
        <w:rPr>
          <w:rFonts w:cs="Arial"/>
          <w:szCs w:val="22"/>
          <w:lang w:val="es-419"/>
        </w:rPr>
      </w:pPr>
      <w:r w:rsidRPr="00981EA4">
        <w:rPr>
          <w:rFonts w:cs="Arial"/>
          <w:lang w:val="es-419"/>
        </w:rPr>
        <w:t>Las IPSAS obligan a aplicar la base contable integral de acumulación (o devengo) al elaborar los estados financieros. La contabilidad de devengo implica el reconocimiento de las transacciones y de los hechos en el momento en que tienen lugar, lo que significa que se registran en las escrituras contables y se reflejan en los estados financieros de los ejercicios a los que corresponden</w:t>
      </w:r>
      <w:r w:rsidR="0020771E" w:rsidRPr="00981EA4">
        <w:rPr>
          <w:rFonts w:cs="Arial"/>
          <w:lang w:val="es-419"/>
        </w:rPr>
        <w:t>,</w:t>
      </w:r>
      <w:r w:rsidRPr="00981EA4">
        <w:rPr>
          <w:rFonts w:cs="Arial"/>
          <w:lang w:val="es-419"/>
        </w:rPr>
        <w:t xml:space="preserve"> y no solo cuando se percibe o se paga dinero en efectivo o su equivalente.</w:t>
      </w:r>
    </w:p>
    <w:p w:rsidR="00874E7C" w:rsidRPr="00981EA4" w:rsidRDefault="00874E7C" w:rsidP="00874E7C">
      <w:pPr>
        <w:autoSpaceDE w:val="0"/>
        <w:autoSpaceDN w:val="0"/>
        <w:adjustRightInd w:val="0"/>
        <w:rPr>
          <w:rFonts w:cs="Arial"/>
          <w:szCs w:val="22"/>
          <w:lang w:val="es-419"/>
        </w:rPr>
      </w:pPr>
    </w:p>
    <w:p w:rsidR="00874E7C" w:rsidRPr="00981EA4" w:rsidRDefault="00874E7C" w:rsidP="00874E7C">
      <w:pPr>
        <w:autoSpaceDE w:val="0"/>
        <w:autoSpaceDN w:val="0"/>
        <w:adjustRightInd w:val="0"/>
        <w:rPr>
          <w:rFonts w:cs="Arial"/>
          <w:szCs w:val="22"/>
          <w:lang w:val="es-419"/>
        </w:rPr>
      </w:pPr>
      <w:r w:rsidRPr="00981EA4">
        <w:rPr>
          <w:rFonts w:cs="Arial"/>
          <w:lang w:val="es-419"/>
        </w:rPr>
        <w:t xml:space="preserve">Conforme a las IPSAS, los ingresos procedentes de las contribuciones y de los fondos extrapresupuestarios (fondos fiduciarios) se contabilizan en el momento en que se cumple el derecho de la UPOV a percibir la contribución. Las contribuciones que se adeudan a la UPOV se indican en un saldo por cobrar. Los acuerdos de contribución voluntaria se examinan para determinar si es necesario que la UPOV cumpla unas condiciones relativas a resultados específicos, en cuyo caso los ingresos se reconocen únicamente cuando se satisfacen las condiciones. </w:t>
      </w:r>
    </w:p>
    <w:p w:rsidR="00874E7C" w:rsidRPr="00981EA4" w:rsidRDefault="00874E7C" w:rsidP="00874E7C">
      <w:pPr>
        <w:rPr>
          <w:rFonts w:cs="Arial"/>
          <w:szCs w:val="22"/>
          <w:lang w:val="es-419"/>
        </w:rPr>
      </w:pPr>
    </w:p>
    <w:p w:rsidR="00874E7C" w:rsidRPr="00981EA4" w:rsidRDefault="00874E7C" w:rsidP="00874E7C">
      <w:pPr>
        <w:rPr>
          <w:rFonts w:cs="Arial"/>
          <w:lang w:val="es-419"/>
        </w:rPr>
      </w:pPr>
      <w:r w:rsidRPr="00981EA4">
        <w:rPr>
          <w:rFonts w:cs="Arial"/>
          <w:szCs w:val="22"/>
          <w:lang w:val="es-419"/>
        </w:rPr>
        <w:t>El valor de las prestaciones futuras a los empleados (por ejemplo, las vacaciones anuales acumuladas, las primas de repatriación o el seguro médico tras la separación del servicio) que han devengado en favor de los miembros del personal de la UPOV</w:t>
      </w:r>
      <w:r w:rsidR="000923E1" w:rsidRPr="00981EA4">
        <w:rPr>
          <w:rFonts w:cs="Arial"/>
          <w:szCs w:val="22"/>
          <w:lang w:val="es-419"/>
        </w:rPr>
        <w:t>,</w:t>
      </w:r>
      <w:r w:rsidRPr="00981EA4">
        <w:rPr>
          <w:rFonts w:cs="Arial"/>
          <w:szCs w:val="22"/>
          <w:lang w:val="es-419"/>
        </w:rPr>
        <w:t xml:space="preserve"> pero que estos no han percibido aún</w:t>
      </w:r>
      <w:r w:rsidR="000923E1" w:rsidRPr="00981EA4">
        <w:rPr>
          <w:rFonts w:cs="Arial"/>
          <w:szCs w:val="22"/>
          <w:lang w:val="es-419"/>
        </w:rPr>
        <w:t>,</w:t>
      </w:r>
      <w:r w:rsidRPr="00981EA4">
        <w:rPr>
          <w:rFonts w:cs="Arial"/>
          <w:szCs w:val="22"/>
          <w:lang w:val="es-419"/>
        </w:rPr>
        <w:t xml:space="preserve"> se registra para aprehender el pleno costo del empleo de personal.</w:t>
      </w:r>
    </w:p>
    <w:p w:rsidR="00874E7C" w:rsidRPr="00981EA4" w:rsidRDefault="00874E7C" w:rsidP="00874E7C">
      <w:pPr>
        <w:rPr>
          <w:rFonts w:cs="Arial"/>
          <w:szCs w:val="22"/>
          <w:lang w:val="es-419"/>
        </w:rPr>
      </w:pPr>
    </w:p>
    <w:p w:rsidR="0013647A" w:rsidRPr="00E75EA8" w:rsidRDefault="00874E7C" w:rsidP="00874E7C">
      <w:pPr>
        <w:rPr>
          <w:rFonts w:cs="Arial"/>
          <w:spacing w:val="-2"/>
          <w:szCs w:val="22"/>
          <w:lang w:val="es-419"/>
        </w:rPr>
      </w:pPr>
      <w:r w:rsidRPr="00E75EA8">
        <w:rPr>
          <w:rFonts w:cs="Arial"/>
          <w:spacing w:val="-2"/>
          <w:szCs w:val="22"/>
          <w:lang w:val="es-419"/>
        </w:rPr>
        <w:t>El programa y presupuesto de la UPOV se establece sobre una base contable de acumulación (o devengo) modificada, que difiere de la base contable integral de devengo que se aplica a los estados financieros. Otras diferencias entre el resultado presupuestario y el resultado reflejado en los estados financieros se deben a la inclusión en estos últimos de los fondos fiduciarios y el fondo para proyectos especiales, que no están contemplados en el programa y presupuesto de la UPOV. En los estados financieros de la UPOV se facilita una conciliación entre el resultado presupuestario y los estados financieros principales, según exigen las IPSAS</w:t>
      </w:r>
      <w:r w:rsidR="0013647A" w:rsidRPr="00E75EA8">
        <w:rPr>
          <w:rFonts w:cs="Arial"/>
          <w:spacing w:val="-2"/>
          <w:szCs w:val="22"/>
          <w:lang w:val="es-419"/>
        </w:rPr>
        <w:t>.</w:t>
      </w:r>
    </w:p>
    <w:p w:rsidR="0013647A" w:rsidRPr="00981EA4" w:rsidRDefault="0013647A" w:rsidP="0013647A">
      <w:pPr>
        <w:rPr>
          <w:rFonts w:cs="Arial"/>
          <w:szCs w:val="22"/>
          <w:lang w:val="es-419"/>
        </w:rPr>
      </w:pPr>
    </w:p>
    <w:p w:rsidR="0013647A" w:rsidRPr="00981EA4" w:rsidRDefault="00874E7C" w:rsidP="0013647A">
      <w:pPr>
        <w:rPr>
          <w:rFonts w:cs="Arial"/>
          <w:b/>
          <w:szCs w:val="22"/>
          <w:lang w:val="es-419"/>
        </w:rPr>
      </w:pPr>
      <w:r w:rsidRPr="00981EA4">
        <w:rPr>
          <w:rFonts w:cs="Arial"/>
          <w:b/>
          <w:szCs w:val="22"/>
          <w:lang w:val="es-419"/>
        </w:rPr>
        <w:t>Presentación de la información financiera con arreglo a las IPSAS</w:t>
      </w:r>
    </w:p>
    <w:p w:rsidR="0013647A" w:rsidRPr="00981EA4" w:rsidRDefault="0013647A" w:rsidP="0013647A">
      <w:pPr>
        <w:autoSpaceDE w:val="0"/>
        <w:autoSpaceDN w:val="0"/>
        <w:adjustRightInd w:val="0"/>
        <w:rPr>
          <w:rFonts w:cs="Arial"/>
          <w:lang w:val="es-419" w:eastAsia="en-GB"/>
        </w:rPr>
      </w:pPr>
    </w:p>
    <w:p w:rsidR="00874E7C" w:rsidRPr="00981EA4" w:rsidRDefault="00874E7C" w:rsidP="00874E7C">
      <w:pPr>
        <w:autoSpaceDE w:val="0"/>
        <w:autoSpaceDN w:val="0"/>
        <w:adjustRightInd w:val="0"/>
        <w:rPr>
          <w:rFonts w:cs="Arial"/>
          <w:lang w:val="es-419" w:eastAsia="en-GB"/>
        </w:rPr>
      </w:pPr>
      <w:r w:rsidRPr="00981EA4">
        <w:rPr>
          <w:rFonts w:cs="Arial"/>
          <w:lang w:val="es-419" w:eastAsia="en-GB"/>
        </w:rPr>
        <w:t>Dado que las IPSAS exigen la presentación de estados financieros anuales, la UPOV elabora un conjunto de estados financieros para cada año civil del bienio. Dichos estados financieros se presentan separadamente del informe de gestión financiera; para acceder a la información financiera completa de la UPOV pr</w:t>
      </w:r>
      <w:r w:rsidR="0020771E" w:rsidRPr="00981EA4">
        <w:rPr>
          <w:rFonts w:cs="Arial"/>
          <w:lang w:val="es-419" w:eastAsia="en-GB"/>
        </w:rPr>
        <w:t>eparada con arreglo a las IPSAS</w:t>
      </w:r>
      <w:r w:rsidRPr="00981EA4">
        <w:rPr>
          <w:rFonts w:cs="Arial"/>
          <w:lang w:val="es-419" w:eastAsia="en-GB"/>
        </w:rPr>
        <w:t xml:space="preserve"> es preciso consultar los estados financieros anuales de la </w:t>
      </w:r>
      <w:r w:rsidR="003C5EE5" w:rsidRPr="00981EA4">
        <w:rPr>
          <w:rFonts w:cs="Arial"/>
          <w:lang w:val="es-419" w:eastAsia="en-GB"/>
        </w:rPr>
        <w:t>UPOV</w:t>
      </w:r>
      <w:r w:rsidRPr="00981EA4">
        <w:rPr>
          <w:rFonts w:cs="Arial"/>
          <w:lang w:val="es-419" w:eastAsia="en-GB"/>
        </w:rPr>
        <w:t xml:space="preserve">. </w:t>
      </w:r>
    </w:p>
    <w:p w:rsidR="00874E7C" w:rsidRPr="00981EA4" w:rsidRDefault="00874E7C" w:rsidP="00874E7C">
      <w:pPr>
        <w:autoSpaceDE w:val="0"/>
        <w:autoSpaceDN w:val="0"/>
        <w:adjustRightInd w:val="0"/>
        <w:rPr>
          <w:rFonts w:cs="Arial"/>
          <w:lang w:val="es-419" w:eastAsia="en-GB"/>
        </w:rPr>
      </w:pPr>
    </w:p>
    <w:p w:rsidR="00874E7C" w:rsidRPr="00981EA4" w:rsidRDefault="00874E7C" w:rsidP="00874E7C">
      <w:pPr>
        <w:autoSpaceDE w:val="0"/>
        <w:autoSpaceDN w:val="0"/>
        <w:adjustRightInd w:val="0"/>
        <w:rPr>
          <w:rFonts w:cs="Arial"/>
          <w:lang w:val="es-419" w:eastAsia="en-GB"/>
        </w:rPr>
      </w:pPr>
      <w:r w:rsidRPr="00981EA4">
        <w:rPr>
          <w:rFonts w:cs="Arial"/>
          <w:lang w:val="es-419" w:eastAsia="en-GB"/>
        </w:rPr>
        <w:t xml:space="preserve">De conformidad con las IPSAS, los estados financieros comprenden los siguientes elementos: </w:t>
      </w:r>
    </w:p>
    <w:p w:rsidR="00874E7C" w:rsidRPr="00981EA4" w:rsidRDefault="00874E7C" w:rsidP="00874E7C">
      <w:pPr>
        <w:autoSpaceDE w:val="0"/>
        <w:autoSpaceDN w:val="0"/>
        <w:adjustRightInd w:val="0"/>
        <w:rPr>
          <w:rFonts w:cs="Arial"/>
          <w:lang w:val="es-419" w:eastAsia="en-GB"/>
        </w:rPr>
      </w:pP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Estado financiero I: estado de la situación financiera </w:t>
      </w: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Estado financiero II: estado de rendimiento financiero </w:t>
      </w: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Estado financiero III: estado de cambios en los activos netos </w:t>
      </w: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Estado financiero IV: estado de flujos de efectivo </w:t>
      </w: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Estado financiero V: estado comparativo de importes presupuestados y reales </w:t>
      </w:r>
    </w:p>
    <w:p w:rsidR="00874E7C" w:rsidRPr="00981EA4" w:rsidRDefault="00874E7C" w:rsidP="00E75EA8">
      <w:pPr>
        <w:numPr>
          <w:ilvl w:val="1"/>
          <w:numId w:val="2"/>
        </w:numPr>
        <w:autoSpaceDE w:val="0"/>
        <w:autoSpaceDN w:val="0"/>
        <w:adjustRightInd w:val="0"/>
        <w:ind w:left="567"/>
        <w:rPr>
          <w:rFonts w:cs="Arial"/>
          <w:lang w:val="es-419" w:eastAsia="en-GB"/>
        </w:rPr>
      </w:pPr>
      <w:r w:rsidRPr="00981EA4">
        <w:rPr>
          <w:rFonts w:cs="Arial"/>
          <w:lang w:val="es-419" w:eastAsia="en-GB"/>
        </w:rPr>
        <w:t xml:space="preserve">Notas sobre los estados financieros </w:t>
      </w:r>
    </w:p>
    <w:p w:rsidR="00874E7C" w:rsidRPr="00981EA4" w:rsidRDefault="00874E7C" w:rsidP="00874E7C">
      <w:pPr>
        <w:autoSpaceDE w:val="0"/>
        <w:autoSpaceDN w:val="0"/>
        <w:adjustRightInd w:val="0"/>
        <w:rPr>
          <w:rFonts w:cs="Arial"/>
          <w:lang w:val="es-419" w:eastAsia="en-GB"/>
        </w:rPr>
      </w:pPr>
    </w:p>
    <w:p w:rsidR="0013647A" w:rsidRPr="00981EA4" w:rsidRDefault="00874E7C" w:rsidP="00874E7C">
      <w:pPr>
        <w:autoSpaceDE w:val="0"/>
        <w:autoSpaceDN w:val="0"/>
        <w:adjustRightInd w:val="0"/>
        <w:rPr>
          <w:rFonts w:cs="Arial"/>
          <w:lang w:val="es-419" w:eastAsia="en-GB"/>
        </w:rPr>
      </w:pPr>
      <w:r w:rsidRPr="00981EA4">
        <w:rPr>
          <w:rFonts w:cs="Arial"/>
          <w:lang w:val="es-419" w:eastAsia="en-GB"/>
        </w:rPr>
        <w:t>En el informe de gestión financiera se presentan los estados financieros I a V del bienio 2018</w:t>
      </w:r>
      <w:r w:rsidRPr="00981EA4">
        <w:rPr>
          <w:rFonts w:cs="Arial"/>
          <w:lang w:val="es-419" w:eastAsia="en-GB"/>
        </w:rPr>
        <w:noBreakHyphen/>
        <w:t>2019. Se proporciona la información financiera necesaria para la correcta comprensión de las diferencias entre el resultado de la UPOV desde el punto de vista presupuestario y el resultado según los estados financieros elaborados con arreglo a las IPSAS. En otros extractos de los estados financieros anuales se facilitan más detalles acerca de los activos y los pasivos de la UPOV</w:t>
      </w:r>
      <w:r w:rsidR="0013647A" w:rsidRPr="00981EA4">
        <w:rPr>
          <w:rFonts w:cs="Arial"/>
          <w:lang w:val="es-419" w:eastAsia="en-GB"/>
        </w:rPr>
        <w:t>.</w:t>
      </w:r>
    </w:p>
    <w:p w:rsidR="0013647A" w:rsidRPr="00981EA4" w:rsidRDefault="0013647A" w:rsidP="0013647A">
      <w:pPr>
        <w:autoSpaceDE w:val="0"/>
        <w:autoSpaceDN w:val="0"/>
        <w:adjustRightInd w:val="0"/>
        <w:rPr>
          <w:rFonts w:cs="Arial"/>
          <w:lang w:val="es-419" w:eastAsia="en-GB"/>
        </w:rPr>
      </w:pPr>
    </w:p>
    <w:p w:rsidR="0013647A" w:rsidRPr="00981EA4" w:rsidRDefault="0013647A" w:rsidP="0013647A">
      <w:pPr>
        <w:autoSpaceDE w:val="0"/>
        <w:autoSpaceDN w:val="0"/>
        <w:adjustRightInd w:val="0"/>
        <w:rPr>
          <w:rFonts w:cs="Arial"/>
          <w:lang w:val="es-419" w:eastAsia="en-GB"/>
        </w:rPr>
      </w:pPr>
    </w:p>
    <w:p w:rsidR="0013647A" w:rsidRPr="00981EA4" w:rsidRDefault="0013647A" w:rsidP="0013647A">
      <w:pPr>
        <w:autoSpaceDE w:val="0"/>
        <w:autoSpaceDN w:val="0"/>
        <w:adjustRightInd w:val="0"/>
        <w:rPr>
          <w:rFonts w:cs="Arial"/>
          <w:lang w:val="es-419" w:eastAsia="en-GB"/>
        </w:rPr>
      </w:pPr>
    </w:p>
    <w:p w:rsidR="0013647A" w:rsidRPr="00981EA4" w:rsidRDefault="0013647A" w:rsidP="0013647A">
      <w:pPr>
        <w:jc w:val="left"/>
        <w:rPr>
          <w:lang w:val="es-419"/>
        </w:rPr>
      </w:pPr>
      <w:r w:rsidRPr="00981EA4">
        <w:rPr>
          <w:lang w:val="es-419" w:eastAsia="en-GB"/>
        </w:rPr>
        <w:br w:type="page"/>
      </w:r>
    </w:p>
    <w:p w:rsidR="0013647A" w:rsidRPr="00981EA4" w:rsidRDefault="00874E7C" w:rsidP="0078665A">
      <w:pPr>
        <w:pStyle w:val="Heading2"/>
        <w:jc w:val="center"/>
        <w:rPr>
          <w:lang w:val="es-419"/>
        </w:rPr>
      </w:pPr>
      <w:bookmarkStart w:id="26" w:name="_Toc522808852"/>
      <w:bookmarkStart w:id="27" w:name="_Toc48829052"/>
      <w:r w:rsidRPr="00981EA4">
        <w:rPr>
          <w:lang w:val="es-419"/>
        </w:rPr>
        <w:lastRenderedPageBreak/>
        <w:t>Estado financiero</w:t>
      </w:r>
      <w:r w:rsidR="0013647A" w:rsidRPr="00981EA4">
        <w:rPr>
          <w:lang w:val="es-419"/>
        </w:rPr>
        <w:t xml:space="preserve"> I</w:t>
      </w:r>
      <w:r w:rsidR="0013647A" w:rsidRPr="00981EA4">
        <w:rPr>
          <w:lang w:val="es-419"/>
        </w:rPr>
        <w:br/>
      </w:r>
      <w:r w:rsidR="0013647A" w:rsidRPr="00981EA4">
        <w:rPr>
          <w:lang w:val="es-419"/>
        </w:rPr>
        <w:br/>
      </w:r>
      <w:r w:rsidRPr="00981EA4">
        <w:rPr>
          <w:lang w:val="es-419"/>
        </w:rPr>
        <w:t>Estado de la situación financiera</w:t>
      </w:r>
      <w:bookmarkEnd w:id="26"/>
      <w:bookmarkEnd w:id="27"/>
    </w:p>
    <w:p w:rsidR="0013647A" w:rsidRPr="00981EA4" w:rsidRDefault="0013647A" w:rsidP="00624BB1">
      <w:pPr>
        <w:rPr>
          <w:lang w:val="es-419"/>
        </w:rPr>
      </w:pPr>
    </w:p>
    <w:p w:rsidR="0013647A" w:rsidRPr="00981EA4" w:rsidRDefault="00E75EA8" w:rsidP="0013647A">
      <w:pPr>
        <w:jc w:val="center"/>
        <w:rPr>
          <w:rFonts w:cs="Arial"/>
          <w:b/>
          <w:lang w:val="es-419" w:eastAsia="en-GB"/>
        </w:rPr>
      </w:pPr>
      <w:r>
        <w:rPr>
          <w:rFonts w:cs="Arial"/>
          <w:b/>
          <w:lang w:val="es-419" w:eastAsia="en-GB"/>
        </w:rPr>
        <w:t>a</w:t>
      </w:r>
      <w:r w:rsidR="00874E7C" w:rsidRPr="00981EA4">
        <w:rPr>
          <w:rFonts w:cs="Arial"/>
          <w:b/>
          <w:lang w:val="es-419" w:eastAsia="en-GB"/>
        </w:rPr>
        <w:t>l 31 de diciembre de</w:t>
      </w:r>
      <w:r w:rsidR="0013647A" w:rsidRPr="00981EA4">
        <w:rPr>
          <w:rFonts w:cs="Arial"/>
          <w:b/>
          <w:lang w:val="es-419" w:eastAsia="en-GB"/>
        </w:rPr>
        <w:t xml:space="preserve"> 2019</w:t>
      </w:r>
    </w:p>
    <w:p w:rsidR="0013647A" w:rsidRPr="00981EA4" w:rsidRDefault="0013647A" w:rsidP="0013647A">
      <w:pPr>
        <w:jc w:val="center"/>
        <w:rPr>
          <w:rFonts w:cs="Arial"/>
          <w:i/>
          <w:lang w:val="es-419"/>
        </w:rPr>
      </w:pPr>
      <w:r w:rsidRPr="00981EA4">
        <w:rPr>
          <w:rFonts w:cs="Arial"/>
          <w:i/>
          <w:lang w:val="es-419"/>
        </w:rPr>
        <w:t>(</w:t>
      </w:r>
      <w:r w:rsidR="00874E7C" w:rsidRPr="00981EA4">
        <w:rPr>
          <w:rFonts w:cs="Arial"/>
          <w:i/>
          <w:lang w:val="es-419"/>
        </w:rPr>
        <w:t>en francos suizos</w:t>
      </w:r>
      <w:r w:rsidRPr="00981EA4">
        <w:rPr>
          <w:rFonts w:cs="Arial"/>
          <w:i/>
          <w:lang w:val="es-419"/>
        </w:rPr>
        <w:t xml:space="preserve">) </w:t>
      </w:r>
    </w:p>
    <w:p w:rsidR="0013647A" w:rsidRPr="00981EA4" w:rsidRDefault="0013647A" w:rsidP="0013647A">
      <w:pPr>
        <w:spacing w:line="276" w:lineRule="auto"/>
        <w:jc w:val="center"/>
        <w:rPr>
          <w:rFonts w:cs="Arial"/>
          <w:b/>
          <w:lang w:val="es-419"/>
        </w:rPr>
      </w:pPr>
    </w:p>
    <w:p w:rsidR="0013647A" w:rsidRPr="00981EA4" w:rsidRDefault="00E921F6" w:rsidP="0013647A">
      <w:pPr>
        <w:spacing w:line="276" w:lineRule="auto"/>
        <w:jc w:val="center"/>
        <w:rPr>
          <w:rFonts w:cs="Arial"/>
          <w:b/>
          <w:lang w:val="es-419"/>
        </w:rPr>
      </w:pPr>
      <w:r w:rsidRPr="00981EA4">
        <w:rPr>
          <w:noProof/>
          <w:lang w:val="en-US"/>
        </w:rPr>
        <w:drawing>
          <wp:inline distT="0" distB="0" distL="0" distR="0">
            <wp:extent cx="6120765" cy="5216207"/>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5216207"/>
                    </a:xfrm>
                    <a:prstGeom prst="rect">
                      <a:avLst/>
                    </a:prstGeom>
                    <a:noFill/>
                    <a:ln>
                      <a:noFill/>
                    </a:ln>
                  </pic:spPr>
                </pic:pic>
              </a:graphicData>
            </a:graphic>
          </wp:inline>
        </w:drawing>
      </w:r>
    </w:p>
    <w:p w:rsidR="0013647A" w:rsidRPr="00981EA4" w:rsidRDefault="0013647A" w:rsidP="0013647A">
      <w:pPr>
        <w:spacing w:line="276" w:lineRule="auto"/>
        <w:jc w:val="center"/>
        <w:rPr>
          <w:rFonts w:cs="Arial"/>
          <w:b/>
          <w:lang w:val="es-419"/>
        </w:rPr>
      </w:pPr>
    </w:p>
    <w:p w:rsidR="0013647A" w:rsidRPr="00981EA4" w:rsidRDefault="0013647A" w:rsidP="0078665A">
      <w:pPr>
        <w:pStyle w:val="Heading2"/>
        <w:jc w:val="center"/>
        <w:rPr>
          <w:lang w:val="es-419"/>
        </w:rPr>
      </w:pPr>
      <w:r w:rsidRPr="00981EA4">
        <w:rPr>
          <w:lang w:val="es-419"/>
        </w:rPr>
        <w:br w:type="page"/>
      </w:r>
      <w:bookmarkStart w:id="28" w:name="_Toc522808853"/>
      <w:bookmarkStart w:id="29" w:name="_Toc48829053"/>
      <w:r w:rsidR="00874E7C" w:rsidRPr="00981EA4">
        <w:rPr>
          <w:lang w:val="es-419"/>
        </w:rPr>
        <w:lastRenderedPageBreak/>
        <w:t>Estado financiero</w:t>
      </w:r>
      <w:r w:rsidRPr="00981EA4">
        <w:rPr>
          <w:lang w:val="es-419"/>
        </w:rPr>
        <w:t xml:space="preserve"> II</w:t>
      </w:r>
      <w:r w:rsidRPr="00981EA4">
        <w:rPr>
          <w:lang w:val="es-419"/>
        </w:rPr>
        <w:br/>
      </w:r>
      <w:r w:rsidRPr="00981EA4">
        <w:rPr>
          <w:lang w:val="es-419"/>
        </w:rPr>
        <w:br/>
      </w:r>
      <w:r w:rsidR="00874E7C" w:rsidRPr="00981EA4">
        <w:rPr>
          <w:lang w:val="es-419"/>
        </w:rPr>
        <w:t>Estado de rendimiento financiero</w:t>
      </w:r>
      <w:bookmarkEnd w:id="28"/>
      <w:bookmarkEnd w:id="29"/>
    </w:p>
    <w:p w:rsidR="0013647A" w:rsidRPr="00981EA4" w:rsidRDefault="0013647A" w:rsidP="0013647A">
      <w:pPr>
        <w:jc w:val="center"/>
        <w:rPr>
          <w:rFonts w:cs="Arial"/>
          <w:b/>
          <w:lang w:val="es-419" w:eastAsia="en-GB"/>
        </w:rPr>
      </w:pPr>
    </w:p>
    <w:p w:rsidR="0013647A" w:rsidRPr="00981EA4" w:rsidRDefault="00874E7C" w:rsidP="0013647A">
      <w:pPr>
        <w:jc w:val="center"/>
        <w:rPr>
          <w:rFonts w:cs="Arial"/>
          <w:b/>
          <w:lang w:val="es-419" w:eastAsia="en-GB"/>
        </w:rPr>
      </w:pPr>
      <w:r w:rsidRPr="00981EA4">
        <w:rPr>
          <w:rFonts w:cs="Arial"/>
          <w:b/>
          <w:lang w:val="es-419" w:eastAsia="en-GB"/>
        </w:rPr>
        <w:t xml:space="preserve">del bienio concluido el 31 de diciembre de </w:t>
      </w:r>
      <w:r w:rsidR="0013647A" w:rsidRPr="00981EA4">
        <w:rPr>
          <w:rFonts w:cs="Arial"/>
          <w:b/>
          <w:lang w:val="es-419" w:eastAsia="en-GB"/>
        </w:rPr>
        <w:t>2019</w:t>
      </w:r>
    </w:p>
    <w:p w:rsidR="0013647A" w:rsidRPr="00981EA4" w:rsidRDefault="0013647A" w:rsidP="0013647A">
      <w:pPr>
        <w:jc w:val="center"/>
        <w:rPr>
          <w:rFonts w:cs="Arial"/>
          <w:i/>
          <w:lang w:val="es-419"/>
        </w:rPr>
      </w:pPr>
      <w:r w:rsidRPr="00981EA4">
        <w:rPr>
          <w:rFonts w:cs="Arial"/>
          <w:i/>
          <w:lang w:val="es-419"/>
        </w:rPr>
        <w:t>(</w:t>
      </w:r>
      <w:r w:rsidR="00874E7C" w:rsidRPr="00981EA4">
        <w:rPr>
          <w:rFonts w:cs="Arial"/>
          <w:i/>
          <w:lang w:val="es-419"/>
        </w:rPr>
        <w:t>en francos suizos</w:t>
      </w:r>
      <w:r w:rsidRPr="00981EA4">
        <w:rPr>
          <w:rFonts w:cs="Arial"/>
          <w:i/>
          <w:lang w:val="es-419"/>
        </w:rPr>
        <w:t xml:space="preserve">) </w:t>
      </w:r>
    </w:p>
    <w:p w:rsidR="0013647A" w:rsidRPr="00981EA4" w:rsidRDefault="0013647A" w:rsidP="0013647A">
      <w:pPr>
        <w:jc w:val="center"/>
        <w:rPr>
          <w:rFonts w:cs="Arial"/>
          <w:b/>
          <w:lang w:val="es-419"/>
        </w:rPr>
      </w:pPr>
    </w:p>
    <w:p w:rsidR="0013647A" w:rsidRPr="00981EA4" w:rsidRDefault="009A279C" w:rsidP="0013647A">
      <w:pPr>
        <w:spacing w:line="276" w:lineRule="auto"/>
        <w:jc w:val="center"/>
        <w:rPr>
          <w:rFonts w:cs="Arial"/>
          <w:b/>
          <w:lang w:val="es-419"/>
        </w:rPr>
      </w:pPr>
      <w:r w:rsidRPr="00981EA4">
        <w:rPr>
          <w:noProof/>
          <w:lang w:val="en-US"/>
        </w:rPr>
        <w:drawing>
          <wp:inline distT="0" distB="0" distL="0" distR="0">
            <wp:extent cx="5943600" cy="33147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rsidR="0013647A" w:rsidRPr="00981EA4" w:rsidRDefault="0013647A" w:rsidP="0013647A">
      <w:pPr>
        <w:spacing w:line="276" w:lineRule="auto"/>
        <w:jc w:val="center"/>
        <w:rPr>
          <w:rFonts w:cs="Arial"/>
          <w:b/>
          <w:lang w:val="es-419"/>
        </w:rPr>
      </w:pPr>
    </w:p>
    <w:p w:rsidR="0013647A" w:rsidRPr="00981EA4" w:rsidRDefault="0013647A" w:rsidP="0078665A">
      <w:pPr>
        <w:pStyle w:val="Heading2"/>
        <w:jc w:val="center"/>
        <w:rPr>
          <w:lang w:val="es-419"/>
        </w:rPr>
      </w:pPr>
      <w:r w:rsidRPr="00981EA4">
        <w:rPr>
          <w:lang w:val="es-419"/>
        </w:rPr>
        <w:br w:type="page"/>
      </w:r>
      <w:bookmarkStart w:id="30" w:name="_Toc522808854"/>
      <w:bookmarkStart w:id="31" w:name="_Toc48829054"/>
      <w:r w:rsidR="00874E7C" w:rsidRPr="00981EA4">
        <w:rPr>
          <w:lang w:val="es-419"/>
        </w:rPr>
        <w:lastRenderedPageBreak/>
        <w:t>Estado financiero</w:t>
      </w:r>
      <w:r w:rsidRPr="00981EA4">
        <w:rPr>
          <w:lang w:val="es-419"/>
        </w:rPr>
        <w:t xml:space="preserve"> III</w:t>
      </w:r>
      <w:r w:rsidRPr="00981EA4">
        <w:rPr>
          <w:lang w:val="es-419"/>
        </w:rPr>
        <w:br/>
      </w:r>
      <w:r w:rsidRPr="00981EA4">
        <w:rPr>
          <w:lang w:val="es-419"/>
        </w:rPr>
        <w:br/>
      </w:r>
      <w:bookmarkEnd w:id="30"/>
      <w:r w:rsidR="00874E7C" w:rsidRPr="00981EA4">
        <w:rPr>
          <w:lang w:val="es-419"/>
        </w:rPr>
        <w:t>Estado de cambios en los activos netos</w:t>
      </w:r>
      <w:bookmarkEnd w:id="31"/>
    </w:p>
    <w:p w:rsidR="0013647A" w:rsidRPr="00981EA4" w:rsidRDefault="0013647A" w:rsidP="0013647A">
      <w:pPr>
        <w:jc w:val="center"/>
        <w:rPr>
          <w:rFonts w:cs="Arial"/>
          <w:b/>
          <w:lang w:val="es-419" w:eastAsia="en-GB"/>
        </w:rPr>
      </w:pPr>
    </w:p>
    <w:p w:rsidR="0013647A" w:rsidRPr="00981EA4" w:rsidRDefault="00874E7C" w:rsidP="0013647A">
      <w:pPr>
        <w:jc w:val="center"/>
        <w:rPr>
          <w:rFonts w:cs="Arial"/>
          <w:b/>
          <w:lang w:val="es-419" w:eastAsia="en-GB"/>
        </w:rPr>
      </w:pPr>
      <w:r w:rsidRPr="00981EA4">
        <w:rPr>
          <w:rFonts w:cs="Arial"/>
          <w:b/>
          <w:lang w:val="es-419" w:eastAsia="en-GB"/>
        </w:rPr>
        <w:t>del bienio concluido el 31 de diciembre de</w:t>
      </w:r>
      <w:r w:rsidR="0013647A" w:rsidRPr="00981EA4">
        <w:rPr>
          <w:rFonts w:cs="Arial"/>
          <w:b/>
          <w:lang w:val="es-419" w:eastAsia="en-GB"/>
        </w:rPr>
        <w:t xml:space="preserve"> 2019</w:t>
      </w:r>
    </w:p>
    <w:p w:rsidR="0013647A" w:rsidRPr="00981EA4" w:rsidRDefault="0013647A" w:rsidP="0013647A">
      <w:pPr>
        <w:jc w:val="center"/>
        <w:rPr>
          <w:rFonts w:cs="Arial"/>
          <w:i/>
          <w:lang w:val="es-419"/>
        </w:rPr>
      </w:pPr>
      <w:r w:rsidRPr="00981EA4">
        <w:rPr>
          <w:rFonts w:cs="Arial"/>
          <w:i/>
          <w:lang w:val="es-419"/>
        </w:rPr>
        <w:t>(</w:t>
      </w:r>
      <w:r w:rsidR="00874E7C" w:rsidRPr="00981EA4">
        <w:rPr>
          <w:rFonts w:cs="Arial"/>
          <w:i/>
          <w:lang w:val="es-419"/>
        </w:rPr>
        <w:t>en francos suizos</w:t>
      </w:r>
      <w:r w:rsidRPr="00981EA4">
        <w:rPr>
          <w:rFonts w:cs="Arial"/>
          <w:i/>
          <w:lang w:val="es-419"/>
        </w:rPr>
        <w:t xml:space="preserve">) </w:t>
      </w:r>
    </w:p>
    <w:p w:rsidR="0013647A" w:rsidRDefault="0013647A" w:rsidP="0013647A">
      <w:pPr>
        <w:jc w:val="center"/>
        <w:rPr>
          <w:rFonts w:cs="Arial"/>
          <w:b/>
          <w:lang w:val="es-419"/>
        </w:rPr>
      </w:pPr>
    </w:p>
    <w:p w:rsidR="0013647A" w:rsidRPr="00981EA4" w:rsidRDefault="00AF1D65" w:rsidP="0013647A">
      <w:pPr>
        <w:spacing w:line="276" w:lineRule="auto"/>
        <w:jc w:val="center"/>
        <w:rPr>
          <w:rFonts w:cs="Arial"/>
          <w:b/>
          <w:lang w:val="es-419"/>
        </w:rPr>
      </w:pPr>
      <w:r w:rsidRPr="00981EA4">
        <w:rPr>
          <w:noProof/>
          <w:lang w:val="en-US"/>
        </w:rPr>
        <w:drawing>
          <wp:inline distT="0" distB="0" distL="0" distR="0">
            <wp:extent cx="6120765" cy="4107088"/>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4107088"/>
                    </a:xfrm>
                    <a:prstGeom prst="rect">
                      <a:avLst/>
                    </a:prstGeom>
                    <a:noFill/>
                    <a:ln>
                      <a:noFill/>
                    </a:ln>
                  </pic:spPr>
                </pic:pic>
              </a:graphicData>
            </a:graphic>
          </wp:inline>
        </w:drawing>
      </w:r>
    </w:p>
    <w:p w:rsidR="0013647A" w:rsidRPr="00981EA4" w:rsidRDefault="0013647A" w:rsidP="0013647A">
      <w:pPr>
        <w:spacing w:line="276" w:lineRule="auto"/>
        <w:jc w:val="center"/>
        <w:rPr>
          <w:rFonts w:cs="Arial"/>
          <w:b/>
          <w:lang w:val="es-419"/>
        </w:rPr>
      </w:pPr>
    </w:p>
    <w:p w:rsidR="0013647A" w:rsidRPr="00981EA4" w:rsidRDefault="0013647A" w:rsidP="0013647A">
      <w:pPr>
        <w:spacing w:line="276" w:lineRule="auto"/>
        <w:jc w:val="center"/>
        <w:rPr>
          <w:rFonts w:cs="Arial"/>
          <w:lang w:val="es-419"/>
        </w:rPr>
      </w:pPr>
    </w:p>
    <w:p w:rsidR="0013647A" w:rsidRPr="00981EA4" w:rsidRDefault="0013647A" w:rsidP="0078665A">
      <w:pPr>
        <w:pStyle w:val="Heading2"/>
        <w:jc w:val="center"/>
        <w:rPr>
          <w:lang w:val="es-419"/>
        </w:rPr>
      </w:pPr>
      <w:r w:rsidRPr="00981EA4">
        <w:rPr>
          <w:lang w:val="es-419"/>
        </w:rPr>
        <w:br w:type="page"/>
      </w:r>
      <w:bookmarkStart w:id="32" w:name="_Toc522808855"/>
      <w:bookmarkStart w:id="33" w:name="_Toc48829055"/>
      <w:r w:rsidR="00874E7C" w:rsidRPr="00981EA4">
        <w:rPr>
          <w:lang w:val="es-419"/>
        </w:rPr>
        <w:lastRenderedPageBreak/>
        <w:t>Estado financiero</w:t>
      </w:r>
      <w:r w:rsidRPr="00981EA4">
        <w:rPr>
          <w:lang w:val="es-419"/>
        </w:rPr>
        <w:t xml:space="preserve"> IV</w:t>
      </w:r>
      <w:r w:rsidRPr="00981EA4">
        <w:rPr>
          <w:lang w:val="es-419"/>
        </w:rPr>
        <w:br/>
      </w:r>
      <w:r w:rsidRPr="00981EA4">
        <w:rPr>
          <w:lang w:val="es-419"/>
        </w:rPr>
        <w:br/>
      </w:r>
      <w:bookmarkEnd w:id="32"/>
      <w:r w:rsidR="00874E7C" w:rsidRPr="00981EA4">
        <w:rPr>
          <w:lang w:val="es-419"/>
        </w:rPr>
        <w:t>Estado de flujos de efectivo</w:t>
      </w:r>
      <w:bookmarkEnd w:id="33"/>
    </w:p>
    <w:p w:rsidR="0013647A" w:rsidRPr="00981EA4" w:rsidRDefault="0013647A" w:rsidP="0013647A">
      <w:pPr>
        <w:spacing w:line="276" w:lineRule="auto"/>
        <w:jc w:val="center"/>
        <w:rPr>
          <w:rFonts w:cs="Arial"/>
          <w:b/>
          <w:lang w:val="es-419" w:eastAsia="en-GB"/>
        </w:rPr>
      </w:pPr>
    </w:p>
    <w:p w:rsidR="0013647A" w:rsidRPr="00981EA4" w:rsidRDefault="00874E7C" w:rsidP="0013647A">
      <w:pPr>
        <w:spacing w:line="276" w:lineRule="auto"/>
        <w:jc w:val="center"/>
        <w:rPr>
          <w:rFonts w:cs="Arial"/>
          <w:b/>
          <w:lang w:val="es-419" w:eastAsia="en-GB"/>
        </w:rPr>
      </w:pPr>
      <w:r w:rsidRPr="00981EA4">
        <w:rPr>
          <w:rFonts w:cs="Arial"/>
          <w:b/>
          <w:lang w:val="es-419" w:eastAsia="en-GB"/>
        </w:rPr>
        <w:t>del bienio concluido el 31 de diciembre de</w:t>
      </w:r>
      <w:r w:rsidR="0013647A" w:rsidRPr="00981EA4">
        <w:rPr>
          <w:rFonts w:cs="Arial"/>
          <w:b/>
          <w:lang w:val="es-419" w:eastAsia="en-GB"/>
        </w:rPr>
        <w:t xml:space="preserve"> 2019</w:t>
      </w:r>
    </w:p>
    <w:p w:rsidR="0013647A" w:rsidRPr="00981EA4" w:rsidRDefault="0013647A" w:rsidP="0013647A">
      <w:pPr>
        <w:spacing w:line="276" w:lineRule="auto"/>
        <w:jc w:val="center"/>
        <w:rPr>
          <w:rFonts w:cs="Arial"/>
          <w:i/>
          <w:lang w:val="es-419"/>
        </w:rPr>
      </w:pPr>
      <w:r w:rsidRPr="00981EA4">
        <w:rPr>
          <w:rFonts w:cs="Arial"/>
          <w:i/>
          <w:lang w:val="es-419"/>
        </w:rPr>
        <w:t>(</w:t>
      </w:r>
      <w:r w:rsidR="00874E7C" w:rsidRPr="00981EA4">
        <w:rPr>
          <w:rFonts w:cs="Arial"/>
          <w:i/>
          <w:lang w:val="es-419"/>
        </w:rPr>
        <w:t>en francos suizos</w:t>
      </w:r>
      <w:r w:rsidRPr="00981EA4">
        <w:rPr>
          <w:rFonts w:cs="Arial"/>
          <w:i/>
          <w:lang w:val="es-419"/>
        </w:rPr>
        <w:t xml:space="preserve">) </w:t>
      </w:r>
    </w:p>
    <w:p w:rsidR="0013647A" w:rsidRPr="00981EA4" w:rsidRDefault="0013647A" w:rsidP="0013647A">
      <w:pPr>
        <w:spacing w:line="276" w:lineRule="auto"/>
        <w:jc w:val="center"/>
        <w:rPr>
          <w:rFonts w:cs="Arial"/>
          <w:b/>
          <w:lang w:val="es-419"/>
        </w:rPr>
      </w:pPr>
    </w:p>
    <w:p w:rsidR="0013647A" w:rsidRPr="00981EA4" w:rsidRDefault="005777B5" w:rsidP="0013647A">
      <w:pPr>
        <w:spacing w:line="276" w:lineRule="auto"/>
        <w:jc w:val="center"/>
        <w:rPr>
          <w:rFonts w:cs="Arial"/>
          <w:b/>
          <w:lang w:val="es-419"/>
        </w:rPr>
      </w:pPr>
      <w:r w:rsidRPr="00981EA4">
        <w:rPr>
          <w:noProof/>
          <w:lang w:val="en-US"/>
        </w:rPr>
        <w:drawing>
          <wp:inline distT="0" distB="0" distL="0" distR="0">
            <wp:extent cx="6120765" cy="3420159"/>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420159"/>
                    </a:xfrm>
                    <a:prstGeom prst="rect">
                      <a:avLst/>
                    </a:prstGeom>
                    <a:noFill/>
                    <a:ln>
                      <a:noFill/>
                    </a:ln>
                  </pic:spPr>
                </pic:pic>
              </a:graphicData>
            </a:graphic>
          </wp:inline>
        </w:drawing>
      </w:r>
    </w:p>
    <w:p w:rsidR="0013647A" w:rsidRPr="00981EA4" w:rsidRDefault="0013647A" w:rsidP="0013647A">
      <w:pPr>
        <w:spacing w:line="276" w:lineRule="auto"/>
        <w:jc w:val="center"/>
        <w:rPr>
          <w:rFonts w:cs="Arial"/>
          <w:lang w:val="es-419"/>
        </w:rPr>
      </w:pPr>
    </w:p>
    <w:p w:rsidR="0013647A" w:rsidRPr="00981EA4" w:rsidRDefault="0013647A" w:rsidP="0013647A">
      <w:pPr>
        <w:spacing w:line="276" w:lineRule="auto"/>
        <w:jc w:val="center"/>
        <w:rPr>
          <w:rFonts w:cs="Arial"/>
          <w:lang w:val="es-419"/>
        </w:rPr>
      </w:pPr>
    </w:p>
    <w:p w:rsidR="0013647A" w:rsidRPr="00981EA4" w:rsidRDefault="0013647A" w:rsidP="0078665A">
      <w:pPr>
        <w:pStyle w:val="Heading2"/>
        <w:jc w:val="center"/>
        <w:rPr>
          <w:lang w:val="es-419"/>
        </w:rPr>
      </w:pPr>
      <w:r w:rsidRPr="00981EA4">
        <w:rPr>
          <w:lang w:val="es-419"/>
        </w:rPr>
        <w:br w:type="page"/>
      </w:r>
      <w:bookmarkStart w:id="34" w:name="_Toc522808856"/>
      <w:bookmarkStart w:id="35" w:name="_Toc48829056"/>
      <w:r w:rsidR="00874E7C" w:rsidRPr="00981EA4">
        <w:rPr>
          <w:lang w:val="es-419"/>
        </w:rPr>
        <w:lastRenderedPageBreak/>
        <w:t>Estado financiero</w:t>
      </w:r>
      <w:r w:rsidRPr="00981EA4">
        <w:rPr>
          <w:lang w:val="es-419"/>
        </w:rPr>
        <w:t xml:space="preserve"> V</w:t>
      </w:r>
      <w:r w:rsidRPr="00981EA4">
        <w:rPr>
          <w:lang w:val="es-419"/>
        </w:rPr>
        <w:br/>
      </w:r>
      <w:r w:rsidRPr="00981EA4">
        <w:rPr>
          <w:lang w:val="es-419"/>
        </w:rPr>
        <w:br/>
      </w:r>
      <w:r w:rsidR="009C48E8" w:rsidRPr="00981EA4">
        <w:rPr>
          <w:lang w:val="es-419"/>
        </w:rPr>
        <w:t>Estado comparativo de importes presupuestados y reales</w:t>
      </w:r>
      <w:bookmarkEnd w:id="34"/>
      <w:bookmarkEnd w:id="35"/>
    </w:p>
    <w:p w:rsidR="0013647A" w:rsidRPr="00981EA4" w:rsidRDefault="0013647A" w:rsidP="00624BB1">
      <w:pPr>
        <w:rPr>
          <w:lang w:val="es-419" w:eastAsia="en-GB"/>
        </w:rPr>
      </w:pPr>
    </w:p>
    <w:p w:rsidR="0013647A" w:rsidRPr="00981EA4" w:rsidRDefault="009C48E8" w:rsidP="0013647A">
      <w:pPr>
        <w:jc w:val="center"/>
        <w:rPr>
          <w:rFonts w:cs="Arial"/>
          <w:b/>
          <w:lang w:val="es-419" w:eastAsia="en-GB"/>
        </w:rPr>
      </w:pPr>
      <w:r w:rsidRPr="00981EA4">
        <w:rPr>
          <w:rFonts w:cs="Arial"/>
          <w:b/>
          <w:lang w:val="es-419" w:eastAsia="en-GB"/>
        </w:rPr>
        <w:t>del bienio concluido el 31 de diciembre de</w:t>
      </w:r>
      <w:r w:rsidR="0013647A" w:rsidRPr="00981EA4">
        <w:rPr>
          <w:rFonts w:cs="Arial"/>
          <w:b/>
          <w:lang w:val="es-419" w:eastAsia="en-GB"/>
        </w:rPr>
        <w:t xml:space="preserve"> 2019</w:t>
      </w:r>
    </w:p>
    <w:p w:rsidR="0013647A" w:rsidRPr="00981EA4" w:rsidRDefault="0013647A" w:rsidP="0013647A">
      <w:pPr>
        <w:spacing w:line="276" w:lineRule="auto"/>
        <w:jc w:val="center"/>
        <w:rPr>
          <w:rFonts w:cs="Arial"/>
          <w:i/>
          <w:lang w:val="es-419"/>
        </w:rPr>
      </w:pPr>
      <w:r w:rsidRPr="00981EA4">
        <w:rPr>
          <w:rFonts w:cs="Arial"/>
          <w:i/>
          <w:lang w:val="es-419"/>
        </w:rPr>
        <w:t>(</w:t>
      </w:r>
      <w:r w:rsidR="009C48E8" w:rsidRPr="00981EA4">
        <w:rPr>
          <w:rFonts w:cs="Arial"/>
          <w:i/>
          <w:lang w:val="es-419"/>
        </w:rPr>
        <w:t>en miles de francos suizos</w:t>
      </w:r>
      <w:r w:rsidRPr="00981EA4">
        <w:rPr>
          <w:rFonts w:cs="Arial"/>
          <w:i/>
          <w:lang w:val="es-419"/>
        </w:rPr>
        <w:t>)</w:t>
      </w:r>
    </w:p>
    <w:p w:rsidR="0013647A" w:rsidRPr="00981EA4" w:rsidRDefault="0013647A" w:rsidP="0013647A">
      <w:pPr>
        <w:spacing w:line="276" w:lineRule="auto"/>
        <w:jc w:val="center"/>
        <w:rPr>
          <w:rFonts w:cs="Arial"/>
          <w:lang w:val="es-419"/>
        </w:rPr>
      </w:pPr>
    </w:p>
    <w:p w:rsidR="0013647A" w:rsidRPr="00981EA4" w:rsidRDefault="007F28C2" w:rsidP="0013647A">
      <w:pPr>
        <w:spacing w:line="276" w:lineRule="auto"/>
        <w:jc w:val="center"/>
        <w:rPr>
          <w:rFonts w:cs="Arial"/>
          <w:lang w:val="es-419"/>
        </w:rPr>
      </w:pPr>
      <w:r w:rsidRPr="00981EA4">
        <w:rPr>
          <w:noProof/>
          <w:lang w:val="en-US"/>
        </w:rPr>
        <w:drawing>
          <wp:inline distT="0" distB="0" distL="0" distR="0">
            <wp:extent cx="5715000" cy="46342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4634230"/>
                    </a:xfrm>
                    <a:prstGeom prst="rect">
                      <a:avLst/>
                    </a:prstGeom>
                    <a:noFill/>
                    <a:ln>
                      <a:noFill/>
                    </a:ln>
                  </pic:spPr>
                </pic:pic>
              </a:graphicData>
            </a:graphic>
          </wp:inline>
        </w:drawing>
      </w:r>
    </w:p>
    <w:p w:rsidR="0013647A" w:rsidRPr="00981EA4" w:rsidRDefault="0013647A" w:rsidP="0013647A">
      <w:pPr>
        <w:rPr>
          <w:rFonts w:cs="Arial"/>
          <w:lang w:val="es-419"/>
        </w:rPr>
      </w:pPr>
    </w:p>
    <w:p w:rsidR="0013647A" w:rsidRPr="00981EA4" w:rsidRDefault="00E45616" w:rsidP="0013647A">
      <w:pPr>
        <w:numPr>
          <w:ilvl w:val="0"/>
          <w:numId w:val="3"/>
        </w:numPr>
        <w:rPr>
          <w:rFonts w:cs="Arial"/>
          <w:sz w:val="18"/>
          <w:szCs w:val="18"/>
          <w:lang w:val="es-419"/>
        </w:rPr>
      </w:pPr>
      <w:r w:rsidRPr="00981EA4">
        <w:rPr>
          <w:rFonts w:cs="Arial"/>
          <w:sz w:val="18"/>
          <w:szCs w:val="18"/>
          <w:lang w:val="es-419"/>
        </w:rPr>
        <w:t>corresponde al presupuesto aprobado para el programa y presupuesto de 2018-2019</w:t>
      </w:r>
      <w:r w:rsidR="0013647A" w:rsidRPr="00981EA4">
        <w:rPr>
          <w:rFonts w:cs="Arial"/>
          <w:sz w:val="18"/>
          <w:szCs w:val="18"/>
          <w:lang w:val="es-419"/>
        </w:rPr>
        <w:t>;</w:t>
      </w:r>
    </w:p>
    <w:p w:rsidR="0013647A" w:rsidRPr="00981EA4" w:rsidRDefault="00E45616" w:rsidP="0013647A">
      <w:pPr>
        <w:numPr>
          <w:ilvl w:val="0"/>
          <w:numId w:val="3"/>
        </w:numPr>
        <w:rPr>
          <w:rFonts w:cs="Arial"/>
          <w:sz w:val="18"/>
          <w:szCs w:val="18"/>
          <w:lang w:val="es-419"/>
        </w:rPr>
      </w:pPr>
      <w:r w:rsidRPr="00981EA4">
        <w:rPr>
          <w:rFonts w:cs="Arial"/>
          <w:sz w:val="18"/>
          <w:szCs w:val="18"/>
          <w:lang w:val="es-419"/>
        </w:rPr>
        <w:t>corresponde a la diferencia entre el presupuesto final (revisado) y los gastos reales en términos comparables (antes de los ajustes con arreglo a las IPSAS</w:t>
      </w:r>
      <w:r w:rsidR="0013647A" w:rsidRPr="00981EA4">
        <w:rPr>
          <w:rFonts w:cs="Arial"/>
          <w:sz w:val="18"/>
          <w:szCs w:val="18"/>
          <w:lang w:val="es-419"/>
        </w:rPr>
        <w:t>).</w:t>
      </w:r>
    </w:p>
    <w:p w:rsidR="0013647A" w:rsidRPr="00981EA4" w:rsidRDefault="0013647A" w:rsidP="0078665A">
      <w:pPr>
        <w:pStyle w:val="Heading2"/>
        <w:jc w:val="center"/>
        <w:rPr>
          <w:lang w:val="es-419"/>
        </w:rPr>
      </w:pPr>
      <w:r w:rsidRPr="00981EA4">
        <w:rPr>
          <w:lang w:val="es-419"/>
        </w:rPr>
        <w:br w:type="page"/>
      </w:r>
      <w:bookmarkStart w:id="36" w:name="_Toc48829057"/>
      <w:r w:rsidR="00E45616" w:rsidRPr="00981EA4">
        <w:rPr>
          <w:lang w:val="es-419"/>
        </w:rPr>
        <w:lastRenderedPageBreak/>
        <w:t>Análisis del estado de la situación financiera</w:t>
      </w:r>
      <w:bookmarkEnd w:id="36"/>
    </w:p>
    <w:p w:rsidR="0013647A" w:rsidRPr="00981EA4" w:rsidRDefault="0013647A" w:rsidP="00624BB1">
      <w:pPr>
        <w:rPr>
          <w:lang w:val="es-419" w:eastAsia="en-GB"/>
        </w:rPr>
      </w:pPr>
    </w:p>
    <w:p w:rsidR="00E45616" w:rsidRPr="00981EA4" w:rsidRDefault="00E45616" w:rsidP="00E45616">
      <w:pPr>
        <w:autoSpaceDE w:val="0"/>
        <w:autoSpaceDN w:val="0"/>
        <w:adjustRightInd w:val="0"/>
        <w:rPr>
          <w:rFonts w:cs="Arial"/>
          <w:lang w:val="es-419" w:eastAsia="en-GB"/>
        </w:rPr>
      </w:pPr>
      <w:r w:rsidRPr="00981EA4">
        <w:rPr>
          <w:rFonts w:cs="Arial"/>
          <w:b/>
          <w:bCs/>
          <w:lang w:val="es-419" w:eastAsia="en-GB"/>
        </w:rPr>
        <w:t>Movimiento de activos netos</w:t>
      </w:r>
    </w:p>
    <w:p w:rsidR="0013647A" w:rsidRPr="00981EA4" w:rsidRDefault="0013647A" w:rsidP="0013647A">
      <w:pPr>
        <w:rPr>
          <w:rFonts w:cs="Arial"/>
          <w:lang w:val="es-419" w:eastAsia="en-GB"/>
        </w:rPr>
      </w:pPr>
    </w:p>
    <w:p w:rsidR="0013647A" w:rsidRPr="00981EA4" w:rsidRDefault="0073260A" w:rsidP="0073260A">
      <w:pPr>
        <w:rPr>
          <w:rFonts w:cs="Arial"/>
          <w:lang w:val="es-419" w:eastAsia="en-GB"/>
        </w:rPr>
      </w:pPr>
      <w:r w:rsidRPr="00981EA4">
        <w:rPr>
          <w:rFonts w:cs="Arial"/>
          <w:lang w:val="es-419" w:eastAsia="en-GB"/>
        </w:rPr>
        <w:t>Al 31</w:t>
      </w:r>
      <w:r w:rsidR="0003451D" w:rsidRPr="00981EA4">
        <w:rPr>
          <w:rFonts w:cs="Arial"/>
          <w:lang w:val="es-419" w:eastAsia="en-GB"/>
        </w:rPr>
        <w:t xml:space="preserve"> de diciembre de</w:t>
      </w:r>
      <w:r w:rsidR="0013647A" w:rsidRPr="00981EA4">
        <w:rPr>
          <w:rFonts w:cs="Arial"/>
          <w:lang w:val="es-419" w:eastAsia="en-GB"/>
        </w:rPr>
        <w:t xml:space="preserve"> 2019, </w:t>
      </w:r>
      <w:r w:rsidRPr="00981EA4">
        <w:rPr>
          <w:rFonts w:cs="Arial"/>
          <w:lang w:val="es-419" w:eastAsia="en-GB"/>
        </w:rPr>
        <w:t>la UPOV posee unos activos netos con arreglo a las IPSAS de </w:t>
      </w:r>
      <w:r w:rsidR="0013647A" w:rsidRPr="00981EA4">
        <w:rPr>
          <w:rFonts w:cs="Arial"/>
          <w:lang w:val="es-419" w:eastAsia="en-GB"/>
        </w:rPr>
        <w:t>896</w:t>
      </w:r>
      <w:r w:rsidRPr="00981EA4">
        <w:rPr>
          <w:rFonts w:cs="Arial"/>
          <w:lang w:val="es-419" w:eastAsia="en-GB"/>
        </w:rPr>
        <w:t>.</w:t>
      </w:r>
      <w:r w:rsidR="0013647A" w:rsidRPr="00981EA4">
        <w:rPr>
          <w:rFonts w:cs="Arial"/>
          <w:lang w:val="es-419" w:eastAsia="en-GB"/>
        </w:rPr>
        <w:t xml:space="preserve">830 </w:t>
      </w:r>
      <w:r w:rsidRPr="00981EA4">
        <w:rPr>
          <w:rFonts w:cs="Arial"/>
          <w:lang w:val="es-419" w:eastAsia="en-GB"/>
        </w:rPr>
        <w:t>francos suizos</w:t>
      </w:r>
      <w:r w:rsidR="0013647A" w:rsidRPr="00981EA4">
        <w:rPr>
          <w:rFonts w:cs="Arial"/>
          <w:lang w:val="es-419" w:eastAsia="en-GB"/>
        </w:rPr>
        <w:t xml:space="preserve">. </w:t>
      </w:r>
      <w:r w:rsidRPr="00981EA4">
        <w:rPr>
          <w:rFonts w:cs="Arial"/>
          <w:lang w:val="es-419" w:eastAsia="en-GB"/>
        </w:rPr>
        <w:t>Entre</w:t>
      </w:r>
      <w:r w:rsidR="0013647A" w:rsidRPr="00981EA4">
        <w:rPr>
          <w:rFonts w:cs="Arial"/>
          <w:lang w:val="es-419" w:eastAsia="en-GB"/>
        </w:rPr>
        <w:t xml:space="preserve"> 2017 </w:t>
      </w:r>
      <w:r w:rsidRPr="00981EA4">
        <w:rPr>
          <w:rFonts w:cs="Arial"/>
          <w:lang w:val="es-419" w:eastAsia="en-GB"/>
        </w:rPr>
        <w:t>y</w:t>
      </w:r>
      <w:r w:rsidR="0013647A" w:rsidRPr="00981EA4">
        <w:rPr>
          <w:rFonts w:cs="Arial"/>
          <w:lang w:val="es-419" w:eastAsia="en-GB"/>
        </w:rPr>
        <w:t xml:space="preserve"> 2019, </w:t>
      </w:r>
      <w:r w:rsidRPr="00981EA4">
        <w:rPr>
          <w:rFonts w:cs="Arial"/>
          <w:lang w:val="es-419" w:eastAsia="en-GB"/>
        </w:rPr>
        <w:t xml:space="preserve">los activos netos aumentaron en </w:t>
      </w:r>
      <w:r w:rsidR="0013647A" w:rsidRPr="00981EA4">
        <w:rPr>
          <w:rFonts w:cs="Arial"/>
          <w:lang w:val="es-419" w:eastAsia="en-GB"/>
        </w:rPr>
        <w:t>266</w:t>
      </w:r>
      <w:r w:rsidRPr="00981EA4">
        <w:rPr>
          <w:rFonts w:cs="Arial"/>
          <w:lang w:val="es-419" w:eastAsia="en-GB"/>
        </w:rPr>
        <w:t>.</w:t>
      </w:r>
      <w:r w:rsidR="0013647A" w:rsidRPr="00981EA4">
        <w:rPr>
          <w:rFonts w:cs="Arial"/>
          <w:lang w:val="es-419" w:eastAsia="en-GB"/>
        </w:rPr>
        <w:t xml:space="preserve">775 </w:t>
      </w:r>
      <w:r w:rsidRPr="00981EA4">
        <w:rPr>
          <w:rFonts w:cs="Arial"/>
          <w:lang w:val="es-419" w:eastAsia="en-GB"/>
        </w:rPr>
        <w:t>francos suizos, principalmente debido</w:t>
      </w:r>
      <w:r w:rsidR="00875A53" w:rsidRPr="00981EA4">
        <w:rPr>
          <w:rFonts w:cs="Arial"/>
          <w:lang w:val="es-419" w:eastAsia="en-GB"/>
        </w:rPr>
        <w:t xml:space="preserve"> a la incidencia de las ganancias actuariales procedentes de la valoración de las prestaciones </w:t>
      </w:r>
      <w:r w:rsidR="00020DBF" w:rsidRPr="00981EA4">
        <w:rPr>
          <w:rFonts w:cs="Arial"/>
          <w:lang w:val="es-419" w:eastAsia="en-GB"/>
        </w:rPr>
        <w:t>de seguro médico tras la separación del servicio</w:t>
      </w:r>
      <w:r w:rsidR="00875A53" w:rsidRPr="00981EA4">
        <w:rPr>
          <w:rFonts w:cs="Arial"/>
          <w:lang w:val="es-419" w:eastAsia="en-GB"/>
        </w:rPr>
        <w:t xml:space="preserve">, contrarrestadas en parte por los déficits registrados en 2018 y 2019. Además, se hicieron </w:t>
      </w:r>
      <w:r w:rsidR="00FB007B" w:rsidRPr="00981EA4">
        <w:rPr>
          <w:rFonts w:cs="Arial"/>
          <w:lang w:val="es-419" w:eastAsia="en-GB"/>
        </w:rPr>
        <w:t>aportaciones</w:t>
      </w:r>
      <w:r w:rsidR="00875A53" w:rsidRPr="00981EA4">
        <w:rPr>
          <w:rFonts w:cs="Arial"/>
          <w:lang w:val="es-419" w:eastAsia="en-GB"/>
        </w:rPr>
        <w:t xml:space="preserve"> al Fondo de operaciones en ambos años. En el cuadro que figura a continuación se resume el aumento en los activos netos durante el bienio </w:t>
      </w:r>
      <w:r w:rsidR="0013647A" w:rsidRPr="00981EA4">
        <w:rPr>
          <w:rFonts w:cs="Arial"/>
          <w:lang w:val="es-419" w:eastAsia="en-GB"/>
        </w:rPr>
        <w:t>2018-2019:</w:t>
      </w:r>
    </w:p>
    <w:p w:rsidR="0013647A" w:rsidRPr="00981EA4" w:rsidRDefault="0013647A" w:rsidP="0013647A">
      <w:pPr>
        <w:rPr>
          <w:rFonts w:cs="Arial"/>
          <w:lang w:val="es-419" w:eastAsia="en-GB"/>
        </w:rPr>
      </w:pPr>
    </w:p>
    <w:p w:rsidR="0013647A" w:rsidRPr="00981EA4" w:rsidRDefault="00E45616" w:rsidP="0013647A">
      <w:pPr>
        <w:jc w:val="center"/>
        <w:rPr>
          <w:rFonts w:cs="Arial"/>
          <w:lang w:val="es-419" w:eastAsia="en-GB"/>
        </w:rPr>
      </w:pPr>
      <w:r w:rsidRPr="00981EA4">
        <w:rPr>
          <w:rFonts w:cs="Arial"/>
          <w:lang w:val="es-419" w:eastAsia="en-GB"/>
        </w:rPr>
        <w:t>Movimiento de activos netos en</w:t>
      </w:r>
      <w:r w:rsidR="0073260A" w:rsidRPr="00981EA4">
        <w:rPr>
          <w:rFonts w:cs="Arial"/>
          <w:lang w:val="es-419" w:eastAsia="en-GB"/>
        </w:rPr>
        <w:t>tre</w:t>
      </w:r>
      <w:r w:rsidR="0013647A" w:rsidRPr="00981EA4">
        <w:rPr>
          <w:rFonts w:cs="Arial"/>
          <w:lang w:val="es-419" w:eastAsia="en-GB"/>
        </w:rPr>
        <w:t xml:space="preserve"> 2017</w:t>
      </w:r>
      <w:r w:rsidR="0073260A" w:rsidRPr="00981EA4">
        <w:rPr>
          <w:rFonts w:cs="Arial"/>
          <w:lang w:val="es-419" w:eastAsia="en-GB"/>
        </w:rPr>
        <w:t xml:space="preserve"> y </w:t>
      </w:r>
      <w:r w:rsidR="0013647A" w:rsidRPr="00981EA4">
        <w:rPr>
          <w:rFonts w:cs="Arial"/>
          <w:lang w:val="es-419" w:eastAsia="en-GB"/>
        </w:rPr>
        <w:t>2019</w:t>
      </w:r>
    </w:p>
    <w:p w:rsidR="0013647A" w:rsidRPr="00981EA4" w:rsidRDefault="00D33C7D" w:rsidP="0013647A">
      <w:pPr>
        <w:jc w:val="center"/>
        <w:rPr>
          <w:rFonts w:cs="Arial"/>
          <w:lang w:val="es-419"/>
        </w:rPr>
      </w:pPr>
      <w:r w:rsidRPr="00981EA4">
        <w:rPr>
          <w:noProof/>
          <w:lang w:val="en-US"/>
        </w:rPr>
        <w:drawing>
          <wp:inline distT="0" distB="0" distL="0" distR="0">
            <wp:extent cx="5777487" cy="2931781"/>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86652" cy="2936432"/>
                    </a:xfrm>
                    <a:prstGeom prst="rect">
                      <a:avLst/>
                    </a:prstGeom>
                    <a:noFill/>
                    <a:ln>
                      <a:noFill/>
                    </a:ln>
                  </pic:spPr>
                </pic:pic>
              </a:graphicData>
            </a:graphic>
          </wp:inline>
        </w:drawing>
      </w:r>
    </w:p>
    <w:p w:rsidR="0013647A" w:rsidRPr="00981EA4" w:rsidRDefault="0013647A" w:rsidP="0013647A">
      <w:pPr>
        <w:rPr>
          <w:rFonts w:cs="Arial"/>
          <w:lang w:val="es-419"/>
        </w:rPr>
      </w:pPr>
    </w:p>
    <w:p w:rsidR="0013647A" w:rsidRPr="00981EA4" w:rsidRDefault="0013647A" w:rsidP="0013647A">
      <w:pPr>
        <w:rPr>
          <w:lang w:val="es-419"/>
        </w:rPr>
      </w:pPr>
    </w:p>
    <w:p w:rsidR="0013647A" w:rsidRPr="00981EA4" w:rsidRDefault="009C78CF" w:rsidP="0013647A">
      <w:pPr>
        <w:rPr>
          <w:rFonts w:cs="Arial"/>
          <w:b/>
          <w:sz w:val="18"/>
          <w:szCs w:val="18"/>
          <w:lang w:val="es-419"/>
        </w:rPr>
      </w:pPr>
      <w:r w:rsidRPr="00981EA4">
        <w:rPr>
          <w:rFonts w:cs="Arial"/>
          <w:b/>
          <w:sz w:val="18"/>
          <w:szCs w:val="18"/>
          <w:lang w:val="es-419"/>
        </w:rPr>
        <w:t>Resumen del activo y el pasivo</w:t>
      </w:r>
    </w:p>
    <w:p w:rsidR="0013647A" w:rsidRPr="00981EA4" w:rsidRDefault="0013647A" w:rsidP="0013647A">
      <w:pPr>
        <w:rPr>
          <w:lang w:val="es-419"/>
        </w:rPr>
      </w:pPr>
    </w:p>
    <w:p w:rsidR="0013647A" w:rsidRPr="00981EA4" w:rsidRDefault="009C78CF" w:rsidP="0013647A">
      <w:pPr>
        <w:rPr>
          <w:rFonts w:cs="Arial"/>
          <w:lang w:val="es-419"/>
        </w:rPr>
      </w:pPr>
      <w:r w:rsidRPr="00981EA4">
        <w:rPr>
          <w:rFonts w:cs="Arial"/>
          <w:lang w:val="es-419"/>
        </w:rPr>
        <w:t>En el diagrama que se reproduce a continuación se presenta un resumen del estado de la situación financiera de la UPOV al 31 de diciembre de 2019</w:t>
      </w:r>
      <w:r w:rsidR="0013647A" w:rsidRPr="00981EA4">
        <w:rPr>
          <w:rFonts w:cs="Arial"/>
          <w:lang w:val="es-419"/>
        </w:rPr>
        <w:t>:</w:t>
      </w:r>
    </w:p>
    <w:p w:rsidR="009C78CF" w:rsidRPr="00981EA4" w:rsidRDefault="009C78CF" w:rsidP="0013647A">
      <w:pPr>
        <w:rPr>
          <w:rFonts w:cs="Arial"/>
          <w:lang w:val="es-419"/>
        </w:rPr>
      </w:pPr>
    </w:p>
    <w:p w:rsidR="0013647A" w:rsidRPr="00981EA4" w:rsidRDefault="009C78CF" w:rsidP="0013647A">
      <w:pPr>
        <w:jc w:val="center"/>
        <w:rPr>
          <w:rFonts w:cs="Arial"/>
          <w:lang w:val="es-419"/>
        </w:rPr>
      </w:pPr>
      <w:r w:rsidRPr="00981EA4">
        <w:rPr>
          <w:rFonts w:cs="Arial"/>
          <w:lang w:val="es-419"/>
        </w:rPr>
        <w:t>Resumen del activ</w:t>
      </w:r>
      <w:r w:rsidR="0083470B" w:rsidRPr="00981EA4">
        <w:rPr>
          <w:rFonts w:cs="Arial"/>
          <w:lang w:val="es-419"/>
        </w:rPr>
        <w:t>o</w:t>
      </w:r>
      <w:r w:rsidRPr="00981EA4">
        <w:rPr>
          <w:rFonts w:cs="Arial"/>
          <w:lang w:val="es-419"/>
        </w:rPr>
        <w:t xml:space="preserve"> y el pasivo al 31 de diciembre de </w:t>
      </w:r>
      <w:r w:rsidR="0013647A" w:rsidRPr="00981EA4">
        <w:rPr>
          <w:rFonts w:cs="Arial"/>
          <w:lang w:val="es-419"/>
        </w:rPr>
        <w:t>2019</w:t>
      </w:r>
    </w:p>
    <w:p w:rsidR="0013647A" w:rsidRPr="00981EA4" w:rsidRDefault="0013647A" w:rsidP="0013647A">
      <w:pPr>
        <w:rPr>
          <w:rFonts w:cs="Arial"/>
          <w:lang w:val="es-419"/>
        </w:rPr>
      </w:pPr>
    </w:p>
    <w:p w:rsidR="0013647A" w:rsidRPr="00981EA4" w:rsidRDefault="00980F55" w:rsidP="00980F55">
      <w:pPr>
        <w:jc w:val="center"/>
        <w:rPr>
          <w:rFonts w:cs="Arial"/>
          <w:lang w:val="es-419"/>
        </w:rPr>
      </w:pPr>
      <w:r w:rsidRPr="00981EA4">
        <w:rPr>
          <w:noProof/>
          <w:lang w:val="en-US"/>
        </w:rPr>
        <w:drawing>
          <wp:inline distT="0" distB="0" distL="0" distR="0">
            <wp:extent cx="5879874" cy="3190009"/>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0">
                      <a:extLst>
                        <a:ext uri="{28A0092B-C50C-407E-A947-70E740481C1C}">
                          <a14:useLocalDpi xmlns:a14="http://schemas.microsoft.com/office/drawing/2010/main" val="0"/>
                        </a:ext>
                      </a:extLst>
                    </a:blip>
                    <a:srcRect b="5925"/>
                    <a:stretch/>
                  </pic:blipFill>
                  <pic:spPr bwMode="auto">
                    <a:xfrm>
                      <a:off x="0" y="0"/>
                      <a:ext cx="5887032" cy="3193892"/>
                    </a:xfrm>
                    <a:prstGeom prst="rect">
                      <a:avLst/>
                    </a:prstGeom>
                    <a:noFill/>
                    <a:ln>
                      <a:noFill/>
                    </a:ln>
                    <a:extLst>
                      <a:ext uri="{53640926-AAD7-44D8-BBD7-CCE9431645EC}">
                        <a14:shadowObscured xmlns:a14="http://schemas.microsoft.com/office/drawing/2010/main"/>
                      </a:ext>
                    </a:extLst>
                  </pic:spPr>
                </pic:pic>
              </a:graphicData>
            </a:graphic>
          </wp:inline>
        </w:drawing>
      </w:r>
    </w:p>
    <w:p w:rsidR="0013647A" w:rsidRPr="00981EA4" w:rsidRDefault="0083470B" w:rsidP="0013647A">
      <w:pPr>
        <w:rPr>
          <w:rFonts w:cs="Arial"/>
          <w:lang w:val="es-419"/>
        </w:rPr>
      </w:pPr>
      <w:r w:rsidRPr="00981EA4">
        <w:rPr>
          <w:rFonts w:cs="Arial"/>
          <w:lang w:val="es-419"/>
        </w:rPr>
        <w:lastRenderedPageBreak/>
        <w:t>Al 31 de diciembre de 2019, la UPOV poseía saldos de efectivo por valor de 4.763.272 francos suizos, que representan el 97,5% de su activo total. En esta cifra se incluyen importes que están sujetos a restri</w:t>
      </w:r>
      <w:r w:rsidR="00755C68" w:rsidRPr="00981EA4">
        <w:rPr>
          <w:rFonts w:cs="Arial"/>
          <w:lang w:val="es-419"/>
        </w:rPr>
        <w:t>cciones con arreglo a las IPSAS</w:t>
      </w:r>
      <w:r w:rsidRPr="00981EA4">
        <w:rPr>
          <w:rFonts w:cs="Arial"/>
          <w:lang w:val="es-419"/>
        </w:rPr>
        <w:t xml:space="preserve"> así como efectivo estratégico correspondiente a fondos consignados para la financiación futura del pasivo de la UPOV por prestaciones de seguro médico tras la separación del servicio. El resto de los activos son cuentas por cobrar que representan un total de 121.052 francos suizos</w:t>
      </w:r>
      <w:r w:rsidR="0013647A" w:rsidRPr="00981EA4">
        <w:rPr>
          <w:rFonts w:cs="Arial"/>
          <w:lang w:val="es-419"/>
        </w:rPr>
        <w:t xml:space="preserve">. </w:t>
      </w:r>
    </w:p>
    <w:p w:rsidR="0013647A" w:rsidRPr="00981EA4" w:rsidRDefault="0013647A" w:rsidP="0013647A">
      <w:pPr>
        <w:rPr>
          <w:rFonts w:cs="Arial"/>
          <w:lang w:val="es-419"/>
        </w:rPr>
      </w:pPr>
    </w:p>
    <w:p w:rsidR="0013647A" w:rsidRPr="00981EA4" w:rsidRDefault="0083470B" w:rsidP="0013647A">
      <w:pPr>
        <w:rPr>
          <w:rFonts w:cs="Arial"/>
          <w:lang w:val="es-419"/>
        </w:rPr>
      </w:pPr>
      <w:r w:rsidRPr="00981EA4">
        <w:rPr>
          <w:rFonts w:cs="Arial"/>
          <w:lang w:val="es-419"/>
        </w:rPr>
        <w:t>El pasivo más importante de la UPOV, que asciende a 2.356.399 francos suizos, corresponde a las prestaciones a los empleados</w:t>
      </w:r>
      <w:r w:rsidR="00683CEC" w:rsidRPr="00981EA4">
        <w:rPr>
          <w:rFonts w:cs="Arial"/>
          <w:lang w:val="es-419"/>
        </w:rPr>
        <w:t>,</w:t>
      </w:r>
      <w:r w:rsidRPr="00981EA4">
        <w:rPr>
          <w:rFonts w:cs="Arial"/>
          <w:lang w:val="es-419"/>
        </w:rPr>
        <w:t xml:space="preserve"> y está constituido en su mayor parte por el pasivo por prestaciones de seguro médico tras la separación del servicio, valorado en 2.026.390 francos suizos. Los cobros anticipados, por valor de 768.104 francos suizos, comprenden las contribuciones efectuadas por adelantado (423.763 francos suizos) y los ingresos procedentes de los fondos extrapresupuestarios (344.341 francos suizos). Las cuentas por pagar y otros pasivos (863.216 francos suizos) corresponden prácticamente en su totalidad al importe pagadero a la OMPI</w:t>
      </w:r>
      <w:r w:rsidR="0013647A" w:rsidRPr="00981EA4">
        <w:rPr>
          <w:rFonts w:cs="Arial"/>
          <w:lang w:val="es-419"/>
        </w:rPr>
        <w:t>.</w:t>
      </w:r>
    </w:p>
    <w:p w:rsidR="0013647A" w:rsidRPr="00981EA4" w:rsidRDefault="0013647A" w:rsidP="0013647A">
      <w:pPr>
        <w:rPr>
          <w:rFonts w:cs="Arial"/>
          <w:lang w:val="es-419"/>
        </w:rPr>
      </w:pPr>
    </w:p>
    <w:p w:rsidR="0083470B" w:rsidRPr="00981EA4" w:rsidRDefault="0083470B" w:rsidP="0083470B">
      <w:pPr>
        <w:keepNext/>
        <w:rPr>
          <w:rFonts w:cs="Arial"/>
          <w:b/>
          <w:lang w:val="es-419"/>
        </w:rPr>
      </w:pPr>
      <w:r w:rsidRPr="00981EA4">
        <w:rPr>
          <w:rFonts w:cs="Arial"/>
          <w:b/>
          <w:lang w:val="es-419"/>
        </w:rPr>
        <w:t>Efectivo y equivalentes de efectivo</w:t>
      </w:r>
    </w:p>
    <w:p w:rsidR="0013647A" w:rsidRPr="00E75EA8" w:rsidRDefault="0013647A" w:rsidP="00E75EA8">
      <w:pPr>
        <w:rPr>
          <w:sz w:val="16"/>
          <w:lang w:val="es-419"/>
        </w:rPr>
      </w:pPr>
    </w:p>
    <w:p w:rsidR="0013647A" w:rsidRPr="00981EA4" w:rsidRDefault="00E75EA8" w:rsidP="0013647A">
      <w:pPr>
        <w:spacing w:line="276" w:lineRule="auto"/>
        <w:jc w:val="center"/>
        <w:rPr>
          <w:rFonts w:cs="Arial"/>
          <w:b/>
          <w:lang w:val="es-419"/>
        </w:rPr>
      </w:pPr>
      <w:r w:rsidRPr="00E75EA8">
        <w:rPr>
          <w:noProof/>
          <w:lang w:val="en-US"/>
        </w:rPr>
        <w:drawing>
          <wp:inline distT="0" distB="0" distL="0" distR="0">
            <wp:extent cx="6120765" cy="104582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045826"/>
                    </a:xfrm>
                    <a:prstGeom prst="rect">
                      <a:avLst/>
                    </a:prstGeom>
                    <a:noFill/>
                    <a:ln>
                      <a:noFill/>
                    </a:ln>
                  </pic:spPr>
                </pic:pic>
              </a:graphicData>
            </a:graphic>
          </wp:inline>
        </w:drawing>
      </w:r>
    </w:p>
    <w:p w:rsidR="0013647A" w:rsidRPr="00981EA4" w:rsidRDefault="0013647A" w:rsidP="0013647A">
      <w:pPr>
        <w:spacing w:line="276" w:lineRule="auto"/>
        <w:jc w:val="center"/>
        <w:rPr>
          <w:rFonts w:cs="Arial"/>
          <w:b/>
          <w:lang w:val="es-419"/>
        </w:rPr>
      </w:pPr>
    </w:p>
    <w:p w:rsidR="0013647A" w:rsidRPr="00981EA4" w:rsidRDefault="00020DBF" w:rsidP="0013647A">
      <w:pPr>
        <w:pStyle w:val="Style3"/>
        <w:spacing w:after="0"/>
        <w:rPr>
          <w:rFonts w:cs="Arial"/>
          <w:sz w:val="20"/>
          <w:lang w:val="es-419"/>
        </w:rPr>
      </w:pPr>
      <w:r w:rsidRPr="00981EA4">
        <w:rPr>
          <w:rFonts w:cs="Arial"/>
          <w:sz w:val="20"/>
          <w:lang w:val="es-419"/>
        </w:rPr>
        <w:t>El saldo de efectivo y equivalentes de efectivo ha aumentado un 15,7% durante el bienio, entre el 31 de diciembre de 2017 y el 31 de diciembre de 2019. Los depósitos en efectivo se mantienen por lo general en cuentas bancarias de acceso inmediato. A los efectos de la presentación con arreglo a las IPSAS, los saldos de efectivo se clasifican en tres categorías: sujetos a restricciones, no sujetos a restricciones y estratégicos. Los saldos del fondo de operaciones se consideran como saldos sujetos a restricciones, aunque el interés con respecto a dichos saldos se ingresa en el fondo general de la UPOV. Los fondos fiduciarios mantenidos en nombre de donantes de fondos extrapresupuestarios se depositan en la moneda en que se dará cuenta de los gastos, sobre la base de acuerdos con los donantes</w:t>
      </w:r>
      <w:r w:rsidR="0013647A" w:rsidRPr="00981EA4">
        <w:rPr>
          <w:sz w:val="20"/>
          <w:lang w:val="es-419"/>
        </w:rPr>
        <w:t xml:space="preserve">. </w:t>
      </w:r>
    </w:p>
    <w:p w:rsidR="0013647A" w:rsidRPr="00981EA4" w:rsidRDefault="0013647A" w:rsidP="0013647A">
      <w:pPr>
        <w:pStyle w:val="Style3"/>
        <w:spacing w:after="0"/>
        <w:rPr>
          <w:rFonts w:cs="Arial"/>
          <w:sz w:val="20"/>
          <w:lang w:val="es-419"/>
        </w:rPr>
      </w:pPr>
    </w:p>
    <w:p w:rsidR="0013647A" w:rsidRPr="00E75EA8" w:rsidRDefault="00020DBF" w:rsidP="0013647A">
      <w:pPr>
        <w:pStyle w:val="Style3"/>
        <w:spacing w:after="0"/>
        <w:rPr>
          <w:spacing w:val="-2"/>
          <w:sz w:val="20"/>
          <w:lang w:val="es-419"/>
        </w:rPr>
      </w:pPr>
      <w:r w:rsidRPr="00E75EA8">
        <w:rPr>
          <w:spacing w:val="-2"/>
          <w:sz w:val="20"/>
          <w:lang w:val="es-419"/>
        </w:rPr>
        <w:t xml:space="preserve">En su trigésima tercera sesión extraordinaria, celebrada el 17 de marzo de 2016, el Consejo de la UPOV decidió mantener en una cuenta aparte los fondos consignados para la financiación futura del pasivo de la UPOV por prestaciones de seguro </w:t>
      </w:r>
      <w:r w:rsidR="00E75EA8">
        <w:rPr>
          <w:spacing w:val="-2"/>
          <w:sz w:val="20"/>
          <w:lang w:val="es-419"/>
        </w:rPr>
        <w:tab/>
      </w:r>
      <w:r w:rsidRPr="00E75EA8">
        <w:rPr>
          <w:spacing w:val="-2"/>
          <w:sz w:val="20"/>
          <w:lang w:val="es-419"/>
        </w:rPr>
        <w:t>médico tras la separación del servicio</w:t>
      </w:r>
      <w:r w:rsidR="0013647A" w:rsidRPr="00E75EA8">
        <w:rPr>
          <w:spacing w:val="-2"/>
          <w:sz w:val="20"/>
          <w:lang w:val="es-419"/>
        </w:rPr>
        <w:t>.</w:t>
      </w:r>
      <w:r w:rsidRPr="00E75EA8">
        <w:rPr>
          <w:spacing w:val="-2"/>
          <w:sz w:val="20"/>
          <w:lang w:val="es-419"/>
        </w:rPr>
        <w:t xml:space="preserve"> </w:t>
      </w:r>
      <w:r w:rsidR="004B35C3" w:rsidRPr="00E75EA8">
        <w:rPr>
          <w:spacing w:val="-2"/>
          <w:sz w:val="20"/>
          <w:lang w:val="es-419"/>
        </w:rPr>
        <w:t>Al 31 de diciembre de 2019, el saldo total de esos fondos era de 87</w:t>
      </w:r>
      <w:r w:rsidR="00755C68" w:rsidRPr="00E75EA8">
        <w:rPr>
          <w:spacing w:val="-2"/>
          <w:sz w:val="20"/>
          <w:lang w:val="es-419"/>
        </w:rPr>
        <w:t>0</w:t>
      </w:r>
      <w:r w:rsidR="004B35C3" w:rsidRPr="00E75EA8">
        <w:rPr>
          <w:spacing w:val="-2"/>
          <w:sz w:val="20"/>
          <w:lang w:val="es-419"/>
        </w:rPr>
        <w:t>.169 francos suizos (783.128 francos suizos al 31 de diciembre de 201</w:t>
      </w:r>
      <w:r w:rsidR="00755C68" w:rsidRPr="00E75EA8">
        <w:rPr>
          <w:spacing w:val="-2"/>
          <w:sz w:val="20"/>
          <w:lang w:val="es-419"/>
        </w:rPr>
        <w:t>8</w:t>
      </w:r>
      <w:r w:rsidR="004B35C3" w:rsidRPr="00E75EA8">
        <w:rPr>
          <w:spacing w:val="-2"/>
          <w:sz w:val="20"/>
          <w:lang w:val="es-419"/>
        </w:rPr>
        <w:t>). Con arreglo a la decisión adoptada por el Consejo en su quincuagésima tercera sesión ordinaria</w:t>
      </w:r>
      <w:r w:rsidR="00C41167" w:rsidRPr="00E75EA8">
        <w:rPr>
          <w:spacing w:val="-2"/>
          <w:sz w:val="20"/>
          <w:lang w:val="es-419"/>
        </w:rPr>
        <w:t>, celebrada</w:t>
      </w:r>
      <w:r w:rsidR="004B35C3" w:rsidRPr="00E75EA8">
        <w:rPr>
          <w:spacing w:val="-2"/>
          <w:sz w:val="20"/>
          <w:lang w:val="es-419"/>
        </w:rPr>
        <w:t xml:space="preserve"> el 1 de noviembre de 2019, los fondos se mantienen en una de las cuentas bancarias principales de la UPOV, pero se gestionan independientemente de los fondos de explotación gracias a una orden de bloqueo cursada al banco. La UPOV </w:t>
      </w:r>
      <w:r w:rsidR="00C41167" w:rsidRPr="00E75EA8">
        <w:rPr>
          <w:spacing w:val="-2"/>
          <w:sz w:val="20"/>
          <w:lang w:val="es-419"/>
        </w:rPr>
        <w:t xml:space="preserve">gestiona los fondos correspondientes a las </w:t>
      </w:r>
      <w:r w:rsidR="004B35C3" w:rsidRPr="00E75EA8">
        <w:rPr>
          <w:spacing w:val="-2"/>
          <w:sz w:val="20"/>
          <w:lang w:val="es-419"/>
        </w:rPr>
        <w:t>prestaciones de seguro médico tras la separación del servicio con arreglo a la Política de inversiones de la OMPI, según la cual se clasifican como efectivo estratégico</w:t>
      </w:r>
      <w:r w:rsidR="0013647A" w:rsidRPr="00E75EA8">
        <w:rPr>
          <w:spacing w:val="-2"/>
          <w:sz w:val="20"/>
          <w:lang w:val="es-419"/>
        </w:rPr>
        <w:t>.</w:t>
      </w:r>
    </w:p>
    <w:p w:rsidR="0013647A" w:rsidRPr="00981EA4" w:rsidRDefault="0013647A" w:rsidP="0013647A">
      <w:pPr>
        <w:pStyle w:val="Style3"/>
        <w:spacing w:after="0"/>
        <w:rPr>
          <w:sz w:val="20"/>
          <w:lang w:val="es-419"/>
        </w:rPr>
      </w:pPr>
    </w:p>
    <w:p w:rsidR="0013647A" w:rsidRPr="00981EA4" w:rsidRDefault="004B35C3" w:rsidP="0013647A">
      <w:pPr>
        <w:spacing w:line="276" w:lineRule="auto"/>
        <w:rPr>
          <w:rFonts w:cs="Arial"/>
          <w:b/>
          <w:lang w:val="es-419"/>
        </w:rPr>
      </w:pPr>
      <w:r w:rsidRPr="00981EA4">
        <w:rPr>
          <w:rFonts w:cs="Arial"/>
          <w:b/>
          <w:lang w:val="es-419"/>
        </w:rPr>
        <w:t>Cuentas por cobrar</w:t>
      </w:r>
    </w:p>
    <w:p w:rsidR="0013647A" w:rsidRPr="00981EA4" w:rsidRDefault="0013647A" w:rsidP="0013647A">
      <w:pPr>
        <w:spacing w:line="276" w:lineRule="auto"/>
        <w:rPr>
          <w:rFonts w:cs="Arial"/>
          <w:b/>
          <w:lang w:val="es-419"/>
        </w:rPr>
      </w:pPr>
    </w:p>
    <w:p w:rsidR="0013647A" w:rsidRPr="00981EA4" w:rsidRDefault="002C5292" w:rsidP="0013647A">
      <w:pPr>
        <w:spacing w:line="276" w:lineRule="auto"/>
        <w:rPr>
          <w:rFonts w:cs="Arial"/>
          <w:b/>
          <w:lang w:val="es-419"/>
        </w:rPr>
      </w:pPr>
      <w:r w:rsidRPr="002C5292">
        <w:rPr>
          <w:noProof/>
          <w:lang w:val="en-US"/>
        </w:rPr>
        <w:drawing>
          <wp:inline distT="0" distB="0" distL="0" distR="0">
            <wp:extent cx="6120765" cy="17226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722689"/>
                    </a:xfrm>
                    <a:prstGeom prst="rect">
                      <a:avLst/>
                    </a:prstGeom>
                    <a:noFill/>
                    <a:ln>
                      <a:noFill/>
                    </a:ln>
                  </pic:spPr>
                </pic:pic>
              </a:graphicData>
            </a:graphic>
          </wp:inline>
        </w:drawing>
      </w:r>
    </w:p>
    <w:p w:rsidR="005B404A" w:rsidRPr="00981EA4" w:rsidRDefault="005B404A" w:rsidP="0013647A">
      <w:pPr>
        <w:rPr>
          <w:rFonts w:cs="Arial"/>
          <w:szCs w:val="22"/>
          <w:lang w:val="es-419"/>
        </w:rPr>
      </w:pPr>
    </w:p>
    <w:p w:rsidR="00614A02" w:rsidRPr="00981EA4" w:rsidRDefault="00065E1A" w:rsidP="002C5292">
      <w:pPr>
        <w:spacing w:after="240"/>
        <w:rPr>
          <w:rFonts w:cs="Arial"/>
          <w:szCs w:val="22"/>
          <w:lang w:val="es-419"/>
        </w:rPr>
      </w:pPr>
      <w:r w:rsidRPr="00981EA4">
        <w:rPr>
          <w:rFonts w:cs="Arial"/>
          <w:szCs w:val="22"/>
          <w:lang w:val="es-419"/>
        </w:rPr>
        <w:t xml:space="preserve">El total de las cuentas por cobrar </w:t>
      </w:r>
      <w:r w:rsidR="00DD561B" w:rsidRPr="00981EA4">
        <w:rPr>
          <w:rFonts w:cs="Arial"/>
          <w:szCs w:val="22"/>
          <w:lang w:val="es-419"/>
        </w:rPr>
        <w:t xml:space="preserve">al 31 de diciembre de 2019 </w:t>
      </w:r>
      <w:r w:rsidRPr="00981EA4">
        <w:rPr>
          <w:rFonts w:cs="Arial"/>
          <w:szCs w:val="22"/>
          <w:lang w:val="es-419"/>
        </w:rPr>
        <w:t>era de 121.052 francos suizos, frente a</w:t>
      </w:r>
      <w:r w:rsidR="00DD561B" w:rsidRPr="00981EA4">
        <w:rPr>
          <w:rFonts w:cs="Arial"/>
          <w:szCs w:val="22"/>
          <w:lang w:val="es-419"/>
        </w:rPr>
        <w:t xml:space="preserve"> la cifra de</w:t>
      </w:r>
      <w:r w:rsidRPr="00981EA4">
        <w:rPr>
          <w:rFonts w:cs="Arial"/>
          <w:szCs w:val="22"/>
          <w:lang w:val="es-419"/>
        </w:rPr>
        <w:t xml:space="preserve"> 86.196 </w:t>
      </w:r>
      <w:r w:rsidR="00BE72AB" w:rsidRPr="00981EA4">
        <w:rPr>
          <w:rFonts w:cs="Arial"/>
          <w:szCs w:val="22"/>
          <w:lang w:val="es-419"/>
        </w:rPr>
        <w:t xml:space="preserve">francos suizos </w:t>
      </w:r>
      <w:r w:rsidRPr="00981EA4">
        <w:rPr>
          <w:rFonts w:cs="Arial"/>
          <w:szCs w:val="22"/>
          <w:lang w:val="es-419"/>
        </w:rPr>
        <w:t>al 31 de diciembre de 2017. Al cierre del ejercicio</w:t>
      </w:r>
      <w:r w:rsidR="00DD561B" w:rsidRPr="00981EA4">
        <w:rPr>
          <w:rFonts w:cs="Arial"/>
          <w:szCs w:val="22"/>
          <w:lang w:val="es-419"/>
        </w:rPr>
        <w:t xml:space="preserve"> de</w:t>
      </w:r>
      <w:r w:rsidRPr="00981EA4">
        <w:rPr>
          <w:rFonts w:cs="Arial"/>
          <w:szCs w:val="22"/>
          <w:lang w:val="es-419"/>
        </w:rPr>
        <w:t> 2019, el saldo total de las cuentas por cobrar de los fondos extrapresupuestarios (fondos fiduciarios) era de 43.876 francos suizos, mientras que, al cierre del ejercicio</w:t>
      </w:r>
      <w:r w:rsidR="00DD561B" w:rsidRPr="00981EA4">
        <w:rPr>
          <w:rFonts w:cs="Arial"/>
          <w:szCs w:val="22"/>
          <w:lang w:val="es-419"/>
        </w:rPr>
        <w:t xml:space="preserve"> de</w:t>
      </w:r>
      <w:r w:rsidRPr="00981EA4">
        <w:rPr>
          <w:rFonts w:cs="Arial"/>
          <w:szCs w:val="22"/>
          <w:lang w:val="es-419"/>
        </w:rPr>
        <w:t> 2017, no existían cuentas por cobrar de dichos fondos</w:t>
      </w:r>
      <w:r w:rsidR="0013647A" w:rsidRPr="00981EA4">
        <w:rPr>
          <w:rFonts w:cs="Arial"/>
          <w:szCs w:val="22"/>
          <w:lang w:val="es-419"/>
        </w:rPr>
        <w:t>.</w:t>
      </w:r>
    </w:p>
    <w:p w:rsidR="0013647A" w:rsidRPr="00981EA4" w:rsidRDefault="00065E1A" w:rsidP="0013647A">
      <w:pPr>
        <w:rPr>
          <w:rFonts w:cs="Arial"/>
          <w:b/>
          <w:lang w:val="es-419"/>
        </w:rPr>
      </w:pPr>
      <w:r w:rsidRPr="00981EA4">
        <w:rPr>
          <w:rFonts w:cs="Arial"/>
          <w:b/>
          <w:lang w:val="es-419"/>
        </w:rPr>
        <w:lastRenderedPageBreak/>
        <w:t>Prestaciones a los empleados</w:t>
      </w:r>
    </w:p>
    <w:p w:rsidR="0013647A" w:rsidRPr="00981EA4" w:rsidRDefault="0013647A" w:rsidP="0013647A">
      <w:pPr>
        <w:rPr>
          <w:rFonts w:cs="Arial"/>
          <w:b/>
          <w:lang w:val="es-419"/>
        </w:rPr>
      </w:pPr>
    </w:p>
    <w:p w:rsidR="0013647A" w:rsidRPr="00981EA4" w:rsidRDefault="00665B6D" w:rsidP="0013647A">
      <w:pPr>
        <w:spacing w:line="276" w:lineRule="auto"/>
        <w:rPr>
          <w:rFonts w:cs="Arial"/>
          <w:b/>
          <w:lang w:val="es-419"/>
        </w:rPr>
      </w:pPr>
      <w:r w:rsidRPr="00981EA4">
        <w:rPr>
          <w:noProof/>
          <w:lang w:val="en-US"/>
        </w:rPr>
        <w:drawing>
          <wp:inline distT="0" distB="0" distL="0" distR="0">
            <wp:extent cx="6120765" cy="1192141"/>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192141"/>
                    </a:xfrm>
                    <a:prstGeom prst="rect">
                      <a:avLst/>
                    </a:prstGeom>
                    <a:noFill/>
                    <a:ln>
                      <a:noFill/>
                    </a:ln>
                  </pic:spPr>
                </pic:pic>
              </a:graphicData>
            </a:graphic>
          </wp:inline>
        </w:drawing>
      </w:r>
    </w:p>
    <w:p w:rsidR="0013647A" w:rsidRPr="00981EA4" w:rsidRDefault="0013647A" w:rsidP="00401DA6">
      <w:pPr>
        <w:rPr>
          <w:lang w:val="es-419"/>
        </w:rPr>
      </w:pPr>
    </w:p>
    <w:p w:rsidR="0013647A" w:rsidRPr="00981EA4" w:rsidRDefault="002720FF" w:rsidP="0013647A">
      <w:pPr>
        <w:rPr>
          <w:rFonts w:cs="Arial"/>
          <w:lang w:val="es-419"/>
        </w:rPr>
      </w:pPr>
      <w:r w:rsidRPr="00981EA4">
        <w:rPr>
          <w:rFonts w:cs="Arial"/>
          <w:lang w:val="es-419"/>
        </w:rPr>
        <w:t>Como se observa en el cuadro que se reproduce sobre estas líneas, la obligación más importante de la UPOV en concepto de prestaciones a los empleados es la relativa al seguro médico tras la separación del servicio, que, al 31 de diciembre de 2019, representa el 86,0% del pasivo total por prestaciones a los empleados. El pasivo por prestaciones de seguro médico tras la separación del servicio se ha incrementado en 183.071 francos suizos en el transcurso del bienio 2018</w:t>
      </w:r>
      <w:r w:rsidRPr="00981EA4">
        <w:rPr>
          <w:rFonts w:cs="Arial"/>
          <w:lang w:val="es-419"/>
        </w:rPr>
        <w:noBreakHyphen/>
        <w:t>2019; este movimiento se detalla en el cuadro siguiente</w:t>
      </w:r>
      <w:r w:rsidR="0013647A" w:rsidRPr="00981EA4">
        <w:rPr>
          <w:rFonts w:cs="Arial"/>
          <w:lang w:val="es-419"/>
        </w:rPr>
        <w:t>:</w:t>
      </w:r>
    </w:p>
    <w:p w:rsidR="0013647A" w:rsidRPr="00981EA4" w:rsidRDefault="0013647A" w:rsidP="00401DA6">
      <w:pPr>
        <w:rPr>
          <w:lang w:val="es-419"/>
        </w:rPr>
      </w:pPr>
    </w:p>
    <w:p w:rsidR="0013647A" w:rsidRPr="00981EA4" w:rsidRDefault="003D19C8" w:rsidP="0013647A">
      <w:pPr>
        <w:spacing w:line="276" w:lineRule="auto"/>
        <w:jc w:val="center"/>
        <w:rPr>
          <w:rFonts w:cs="Arial"/>
          <w:lang w:val="es-419"/>
        </w:rPr>
      </w:pPr>
      <w:r w:rsidRPr="00981EA4">
        <w:rPr>
          <w:noProof/>
          <w:lang w:val="en-US"/>
        </w:rPr>
        <w:drawing>
          <wp:inline distT="0" distB="0" distL="0" distR="0">
            <wp:extent cx="5216525" cy="1631315"/>
            <wp:effectExtent l="0" t="0" r="3175"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6525" cy="1631315"/>
                    </a:xfrm>
                    <a:prstGeom prst="rect">
                      <a:avLst/>
                    </a:prstGeom>
                    <a:noFill/>
                    <a:ln>
                      <a:noFill/>
                    </a:ln>
                  </pic:spPr>
                </pic:pic>
              </a:graphicData>
            </a:graphic>
          </wp:inline>
        </w:drawing>
      </w:r>
    </w:p>
    <w:p w:rsidR="0013647A" w:rsidRPr="00981EA4" w:rsidRDefault="0013647A" w:rsidP="00401DA6">
      <w:pPr>
        <w:rPr>
          <w:lang w:val="es-419"/>
        </w:rPr>
      </w:pPr>
    </w:p>
    <w:p w:rsidR="0013647A" w:rsidRPr="00981EA4" w:rsidRDefault="002720FF" w:rsidP="0013647A">
      <w:pPr>
        <w:rPr>
          <w:rFonts w:cs="Arial"/>
          <w:b/>
          <w:lang w:val="es-419"/>
        </w:rPr>
      </w:pPr>
      <w:r w:rsidRPr="00981EA4">
        <w:rPr>
          <w:rFonts w:eastAsia="SimSun" w:cs="Arial"/>
          <w:lang w:val="es-419" w:eastAsia="zh-CN"/>
        </w:rPr>
        <w:t xml:space="preserve">Un actuario independiente calcula el pasivo, que refleja el costo total futuro de la parte que la UPOV habrá de abonar por las primas de seguro médico colectivo de los miembros ya jubilados de su personal y del número previsto de miembros del personal en activo que se jubilarán en el futuro. </w:t>
      </w:r>
      <w:r w:rsidRPr="00981EA4">
        <w:rPr>
          <w:rFonts w:cs="Arial"/>
          <w:szCs w:val="22"/>
          <w:lang w:val="es-419"/>
        </w:rPr>
        <w:t>Los costos de servicio corrientes que figuran en el cuadro anterior representan la incidencia neta de los servicios prestados por los empleados durante el bienio 2018</w:t>
      </w:r>
      <w:r w:rsidRPr="00981EA4">
        <w:rPr>
          <w:rFonts w:cs="Arial"/>
          <w:szCs w:val="22"/>
          <w:lang w:val="es-419"/>
        </w:rPr>
        <w:noBreakHyphen/>
        <w:t>2019. Los costos por intereses son el efecto resultante de que cada miembro del personal en activo se acerca cada vez más a la edad en que tiene derecho a participar en el seguro médico tras la separación del servicio. Los beneficios pagados por la UPOV durante el bienio equivalen a las contribuciones mensuales (actualmente un 65,0% de las primas) que la Unión aporta por los jubilados que participan en el seguro médico tras la separación del servicio. Las pérdidas y ganancias actuariales se derivan de los cambios en las hipótesis actuariales, tales como la tasa de descuento, las tasas tendenciales de los costos médicos, los índices de rotación del personal y las tasas de mortalidad</w:t>
      </w:r>
      <w:r w:rsidR="0013647A" w:rsidRPr="00981EA4">
        <w:rPr>
          <w:rFonts w:cs="Arial"/>
          <w:lang w:val="es-419"/>
        </w:rPr>
        <w:t>.</w:t>
      </w:r>
      <w:r w:rsidRPr="00981EA4">
        <w:rPr>
          <w:rFonts w:cs="Arial"/>
          <w:lang w:val="es-419"/>
        </w:rPr>
        <w:t xml:space="preserve"> Por lo que respecta a los cálculos actuariales de 2019</w:t>
      </w:r>
      <w:r w:rsidR="002403A4" w:rsidRPr="00981EA4">
        <w:rPr>
          <w:rFonts w:cs="Arial"/>
          <w:lang w:val="es-419"/>
        </w:rPr>
        <w:t>,</w:t>
      </w:r>
      <w:r w:rsidR="0025420B" w:rsidRPr="00981EA4">
        <w:rPr>
          <w:rFonts w:cs="Arial"/>
          <w:lang w:val="es-419"/>
        </w:rPr>
        <w:t xml:space="preserve"> la UPOV ha modificado algunas hipótesis y metodologías actuariales para que se ajusten más a las características pertinentes de cada prestación a los empleados. Las tasas de descuento de 2019 se establecieron con referencia a la divisa subyacente de las respectivas prestaciones a los empleados. Además, se ha modificado la asignación de los costos para reflejar el período de servicio y la prestación acumulada en la fecha de valoración, en lugar de emplear una atribución lineal a lo largo del período de servicio. Estos cambios, combinados con otras variaciones en las hipótesis actuariales, explican en gran medida las ganancias actuariales con respecto al bienio </w:t>
      </w:r>
      <w:r w:rsidR="0013647A" w:rsidRPr="00981EA4">
        <w:rPr>
          <w:rFonts w:cs="Arial"/>
          <w:lang w:val="es-419"/>
        </w:rPr>
        <w:t>2018-2019</w:t>
      </w:r>
      <w:r w:rsidR="0013647A" w:rsidRPr="00981EA4">
        <w:rPr>
          <w:rFonts w:cs="Arial"/>
          <w:sz w:val="18"/>
          <w:szCs w:val="18"/>
          <w:lang w:val="es-419"/>
        </w:rPr>
        <w:t>.</w:t>
      </w:r>
    </w:p>
    <w:p w:rsidR="0013647A" w:rsidRPr="00981EA4" w:rsidRDefault="0013647A" w:rsidP="0013647A">
      <w:pPr>
        <w:rPr>
          <w:rFonts w:cs="Arial"/>
          <w:b/>
          <w:lang w:val="es-419"/>
        </w:rPr>
      </w:pPr>
    </w:p>
    <w:p w:rsidR="0013647A" w:rsidRPr="00981EA4" w:rsidRDefault="002720FF" w:rsidP="005B404A">
      <w:pPr>
        <w:keepNext/>
        <w:spacing w:line="276" w:lineRule="auto"/>
        <w:rPr>
          <w:rFonts w:cs="Arial"/>
          <w:b/>
          <w:lang w:val="es-419"/>
        </w:rPr>
      </w:pPr>
      <w:r w:rsidRPr="00981EA4">
        <w:rPr>
          <w:rFonts w:cs="Arial"/>
          <w:b/>
          <w:lang w:val="es-419"/>
        </w:rPr>
        <w:t>Cobros anticipados</w:t>
      </w:r>
    </w:p>
    <w:p w:rsidR="0013647A" w:rsidRPr="00981EA4" w:rsidRDefault="0013647A" w:rsidP="00401DA6">
      <w:pPr>
        <w:rPr>
          <w:lang w:val="es-419"/>
        </w:rPr>
      </w:pPr>
    </w:p>
    <w:p w:rsidR="0013647A" w:rsidRPr="00981EA4" w:rsidRDefault="005D4FF9" w:rsidP="005B404A">
      <w:pPr>
        <w:keepNext/>
        <w:spacing w:line="276" w:lineRule="auto"/>
        <w:rPr>
          <w:rFonts w:cs="Arial"/>
          <w:b/>
          <w:lang w:val="es-419"/>
        </w:rPr>
      </w:pPr>
      <w:r w:rsidRPr="00981EA4">
        <w:rPr>
          <w:noProof/>
          <w:lang w:val="en-US"/>
        </w:rPr>
        <w:drawing>
          <wp:inline distT="0" distB="0" distL="0" distR="0">
            <wp:extent cx="6120765" cy="1211706"/>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211706"/>
                    </a:xfrm>
                    <a:prstGeom prst="rect">
                      <a:avLst/>
                    </a:prstGeom>
                    <a:noFill/>
                    <a:ln>
                      <a:noFill/>
                    </a:ln>
                  </pic:spPr>
                </pic:pic>
              </a:graphicData>
            </a:graphic>
          </wp:inline>
        </w:drawing>
      </w:r>
    </w:p>
    <w:p w:rsidR="0013647A" w:rsidRPr="00981EA4" w:rsidRDefault="0013647A" w:rsidP="00401DA6">
      <w:pPr>
        <w:rPr>
          <w:lang w:val="es-419"/>
        </w:rPr>
      </w:pPr>
    </w:p>
    <w:p w:rsidR="0013647A" w:rsidRPr="00981EA4" w:rsidRDefault="002A7B95" w:rsidP="0013647A">
      <w:pPr>
        <w:pStyle w:val="Style3"/>
        <w:spacing w:after="0"/>
        <w:rPr>
          <w:rFonts w:cs="Arial"/>
          <w:lang w:val="es-419"/>
        </w:rPr>
      </w:pPr>
      <w:r w:rsidRPr="00981EA4">
        <w:rPr>
          <w:rFonts w:cs="Arial"/>
          <w:sz w:val="20"/>
          <w:lang w:val="es-419"/>
        </w:rPr>
        <w:t xml:space="preserve">Las contribuciones percibidas por anticipado se registran como pasivo por cobros anticipados y se contabilizan como ingresos en el ejercicio al que corresponden. Los fondos extrapresupuestarios aportados por donantes </w:t>
      </w:r>
      <w:r w:rsidRPr="00981EA4">
        <w:rPr>
          <w:rFonts w:cs="Arial"/>
          <w:sz w:val="20"/>
          <w:lang w:val="es-419"/>
        </w:rPr>
        <w:lastRenderedPageBreak/>
        <w:t xml:space="preserve">a fondos fiduciarios que estén sujetos a condiciones relativas a resultados se </w:t>
      </w:r>
      <w:r w:rsidR="00327657" w:rsidRPr="00981EA4">
        <w:rPr>
          <w:rFonts w:cs="Arial"/>
          <w:sz w:val="20"/>
          <w:lang w:val="es-419"/>
        </w:rPr>
        <w:t>contabilizan</w:t>
      </w:r>
      <w:r w:rsidRPr="00981EA4">
        <w:rPr>
          <w:rFonts w:cs="Arial"/>
          <w:sz w:val="20"/>
          <w:lang w:val="es-419"/>
        </w:rPr>
        <w:t xml:space="preserve"> como ingresos diferidos, y únicamente se reconocen tales ingresos cuando se satisfacen las condiciones</w:t>
      </w:r>
      <w:r w:rsidR="0013647A" w:rsidRPr="00981EA4">
        <w:rPr>
          <w:rFonts w:cs="Arial"/>
          <w:lang w:val="es-419"/>
        </w:rPr>
        <w:t>.</w:t>
      </w:r>
    </w:p>
    <w:p w:rsidR="0013647A" w:rsidRPr="00981EA4" w:rsidRDefault="0013647A" w:rsidP="00401DA6">
      <w:pPr>
        <w:rPr>
          <w:lang w:val="es-419"/>
        </w:rPr>
      </w:pPr>
    </w:p>
    <w:p w:rsidR="002A7B95" w:rsidRPr="00981EA4" w:rsidRDefault="002A7B95" w:rsidP="002A7B95">
      <w:pPr>
        <w:keepNext/>
        <w:spacing w:line="280" w:lineRule="auto"/>
        <w:rPr>
          <w:rFonts w:cs="Arial"/>
          <w:b/>
          <w:lang w:val="es-419"/>
        </w:rPr>
      </w:pPr>
      <w:r w:rsidRPr="00981EA4">
        <w:rPr>
          <w:rFonts w:cs="Arial"/>
          <w:b/>
          <w:lang w:val="es-419"/>
        </w:rPr>
        <w:t>Cuentas por pagar y otros pasivos</w:t>
      </w:r>
    </w:p>
    <w:p w:rsidR="0013647A" w:rsidRPr="00981EA4" w:rsidRDefault="0013647A" w:rsidP="00401DA6">
      <w:pPr>
        <w:rPr>
          <w:lang w:val="es-419"/>
        </w:rPr>
      </w:pPr>
    </w:p>
    <w:p w:rsidR="0013647A" w:rsidRPr="00981EA4" w:rsidRDefault="00E62440" w:rsidP="0013647A">
      <w:pPr>
        <w:spacing w:line="276" w:lineRule="auto"/>
        <w:rPr>
          <w:rFonts w:cs="Arial"/>
          <w:b/>
          <w:lang w:val="es-419"/>
        </w:rPr>
      </w:pPr>
      <w:r w:rsidRPr="00981EA4">
        <w:rPr>
          <w:noProof/>
          <w:lang w:val="en-US"/>
        </w:rPr>
        <w:drawing>
          <wp:inline distT="0" distB="0" distL="0" distR="0">
            <wp:extent cx="6120765" cy="146929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469295"/>
                    </a:xfrm>
                    <a:prstGeom prst="rect">
                      <a:avLst/>
                    </a:prstGeom>
                    <a:noFill/>
                    <a:ln>
                      <a:noFill/>
                    </a:ln>
                  </pic:spPr>
                </pic:pic>
              </a:graphicData>
            </a:graphic>
          </wp:inline>
        </w:drawing>
      </w:r>
    </w:p>
    <w:p w:rsidR="0013647A" w:rsidRPr="00981EA4" w:rsidRDefault="0013647A" w:rsidP="00401DA6">
      <w:pPr>
        <w:rPr>
          <w:lang w:val="es-419"/>
        </w:rPr>
      </w:pPr>
    </w:p>
    <w:p w:rsidR="0013647A" w:rsidRPr="00981EA4" w:rsidRDefault="00005B6A" w:rsidP="0013647A">
      <w:pPr>
        <w:rPr>
          <w:rFonts w:cs="Arial"/>
          <w:lang w:val="es-419"/>
        </w:rPr>
      </w:pPr>
      <w:r w:rsidRPr="00981EA4">
        <w:rPr>
          <w:rFonts w:cs="Arial"/>
          <w:lang w:val="es-419"/>
        </w:rPr>
        <w:t>Las cuentas por pagar y otros pasivos suman un total de 863.216 francos suizos al 31 de diciembre de 2019. Corresponden prácticamente en su totalidad al importe pagadero a la OMPI</w:t>
      </w:r>
      <w:r w:rsidR="0013647A" w:rsidRPr="00981EA4">
        <w:rPr>
          <w:rFonts w:cs="Arial"/>
          <w:lang w:val="es-419"/>
        </w:rPr>
        <w:t>.</w:t>
      </w:r>
    </w:p>
    <w:p w:rsidR="0013647A" w:rsidRPr="00981EA4" w:rsidRDefault="0013647A" w:rsidP="0013647A">
      <w:pPr>
        <w:rPr>
          <w:rFonts w:cs="Arial"/>
          <w:lang w:val="es-419"/>
        </w:rPr>
      </w:pPr>
    </w:p>
    <w:p w:rsidR="0013647A" w:rsidRPr="00981EA4" w:rsidRDefault="0013647A" w:rsidP="00401DA6">
      <w:pPr>
        <w:rPr>
          <w:lang w:val="es-419"/>
        </w:rPr>
      </w:pPr>
    </w:p>
    <w:p w:rsidR="0013647A" w:rsidRPr="00981EA4" w:rsidRDefault="00005B6A" w:rsidP="0078665A">
      <w:pPr>
        <w:pStyle w:val="Heading2"/>
        <w:jc w:val="center"/>
        <w:rPr>
          <w:lang w:val="es-419"/>
        </w:rPr>
      </w:pPr>
      <w:bookmarkStart w:id="37" w:name="_Toc48829058"/>
      <w:r w:rsidRPr="00981EA4">
        <w:rPr>
          <w:lang w:val="es-419"/>
        </w:rPr>
        <w:t>Análisis del estado de rendimiento financiero</w:t>
      </w:r>
      <w:bookmarkEnd w:id="37"/>
    </w:p>
    <w:p w:rsidR="0013647A" w:rsidRPr="00981EA4" w:rsidRDefault="0013647A" w:rsidP="00401DA6">
      <w:pPr>
        <w:rPr>
          <w:lang w:val="es-419"/>
        </w:rPr>
      </w:pPr>
    </w:p>
    <w:p w:rsidR="0013647A" w:rsidRPr="00981EA4" w:rsidRDefault="00005B6A" w:rsidP="0013647A">
      <w:pPr>
        <w:keepNext/>
        <w:spacing w:line="276" w:lineRule="auto"/>
        <w:rPr>
          <w:rFonts w:cs="Arial"/>
          <w:b/>
          <w:lang w:val="es-419"/>
        </w:rPr>
      </w:pPr>
      <w:r w:rsidRPr="00981EA4">
        <w:rPr>
          <w:rFonts w:cs="Arial"/>
          <w:b/>
          <w:lang w:val="es-419"/>
        </w:rPr>
        <w:t>Ingresos</w:t>
      </w:r>
    </w:p>
    <w:p w:rsidR="0013647A" w:rsidRPr="00981EA4" w:rsidRDefault="0013647A" w:rsidP="00401DA6">
      <w:pPr>
        <w:rPr>
          <w:lang w:val="es-419"/>
        </w:rPr>
      </w:pPr>
    </w:p>
    <w:p w:rsidR="0013647A" w:rsidRPr="00981EA4" w:rsidRDefault="00AD0333" w:rsidP="0013647A">
      <w:pPr>
        <w:spacing w:line="276" w:lineRule="auto"/>
        <w:jc w:val="center"/>
        <w:rPr>
          <w:rFonts w:cs="Arial"/>
          <w:b/>
          <w:lang w:val="es-419"/>
        </w:rPr>
      </w:pPr>
      <w:r w:rsidRPr="00981EA4">
        <w:rPr>
          <w:noProof/>
          <w:lang w:val="en-US"/>
        </w:rPr>
        <w:drawing>
          <wp:inline distT="0" distB="0" distL="0" distR="0">
            <wp:extent cx="6120765" cy="1719443"/>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719443"/>
                    </a:xfrm>
                    <a:prstGeom prst="rect">
                      <a:avLst/>
                    </a:prstGeom>
                    <a:noFill/>
                    <a:ln>
                      <a:noFill/>
                    </a:ln>
                  </pic:spPr>
                </pic:pic>
              </a:graphicData>
            </a:graphic>
          </wp:inline>
        </w:drawing>
      </w:r>
    </w:p>
    <w:p w:rsidR="0013647A" w:rsidRPr="00981EA4" w:rsidRDefault="0013647A" w:rsidP="00401DA6">
      <w:pPr>
        <w:rPr>
          <w:lang w:val="es-419"/>
        </w:rPr>
      </w:pPr>
    </w:p>
    <w:p w:rsidR="0013647A" w:rsidRPr="00981EA4" w:rsidRDefault="00005B6A" w:rsidP="0013647A">
      <w:pPr>
        <w:rPr>
          <w:rFonts w:cs="Arial"/>
          <w:b/>
          <w:lang w:val="es-419"/>
        </w:rPr>
      </w:pPr>
      <w:r w:rsidRPr="00981EA4">
        <w:rPr>
          <w:rFonts w:cs="Arial"/>
          <w:szCs w:val="22"/>
          <w:lang w:val="es-419"/>
        </w:rPr>
        <w:t>Las contribuciones contempladas en el programa y presupuesto representan importes pagaderos al inicio de cada año del bienio. Los fondos extrapresupuestarios procedentes de fondos fiduciarios representan ingresos percibidos en relación con las aportaciones efectuadas por donantes a proyectos concretos no incluidos en el programa y presupuesto. Los ingresos derivados de los fondos extrapresupuestarios (fondos fiduciarios) se aplazan hasta su devengo, una vez que se han cumplido las condiciones relativas a resultados estipuladas en el acuerdo con el donante</w:t>
      </w:r>
      <w:r w:rsidR="0013647A" w:rsidRPr="00981EA4">
        <w:rPr>
          <w:rFonts w:cs="Arial"/>
          <w:szCs w:val="22"/>
          <w:lang w:val="es-419"/>
        </w:rPr>
        <w:t>.</w:t>
      </w:r>
    </w:p>
    <w:p w:rsidR="0013647A" w:rsidRPr="00981EA4" w:rsidRDefault="0013647A" w:rsidP="00401DA6">
      <w:pPr>
        <w:rPr>
          <w:lang w:val="es-419"/>
        </w:rPr>
      </w:pPr>
    </w:p>
    <w:p w:rsidR="0013647A" w:rsidRPr="00981EA4" w:rsidRDefault="00005B6A" w:rsidP="00401DA6">
      <w:pPr>
        <w:rPr>
          <w:rFonts w:cs="Arial"/>
          <w:b/>
          <w:lang w:val="es-419"/>
        </w:rPr>
      </w:pPr>
      <w:r w:rsidRPr="00981EA4">
        <w:rPr>
          <w:rFonts w:cs="Arial"/>
          <w:b/>
          <w:lang w:val="es-419"/>
        </w:rPr>
        <w:t>Gastos</w:t>
      </w:r>
    </w:p>
    <w:p w:rsidR="0013647A" w:rsidRPr="00981EA4" w:rsidRDefault="0013647A" w:rsidP="00401DA6">
      <w:pPr>
        <w:rPr>
          <w:lang w:val="es-419"/>
        </w:rPr>
      </w:pPr>
    </w:p>
    <w:p w:rsidR="0013647A" w:rsidRPr="00981EA4" w:rsidRDefault="00E77DEC" w:rsidP="00401DA6">
      <w:pPr>
        <w:spacing w:line="276" w:lineRule="auto"/>
        <w:rPr>
          <w:rFonts w:cs="Arial"/>
          <w:lang w:val="es-419"/>
        </w:rPr>
      </w:pPr>
      <w:r w:rsidRPr="00981EA4">
        <w:rPr>
          <w:noProof/>
          <w:lang w:val="en-US"/>
        </w:rPr>
        <w:drawing>
          <wp:inline distT="0" distB="0" distL="0" distR="0">
            <wp:extent cx="6073140" cy="2399923"/>
            <wp:effectExtent l="0" t="0" r="3810" b="63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076994" cy="2401446"/>
                    </a:xfrm>
                    <a:prstGeom prst="rect">
                      <a:avLst/>
                    </a:prstGeom>
                    <a:noFill/>
                    <a:ln>
                      <a:noFill/>
                    </a:ln>
                  </pic:spPr>
                </pic:pic>
              </a:graphicData>
            </a:graphic>
          </wp:inline>
        </w:drawing>
      </w:r>
    </w:p>
    <w:p w:rsidR="0013647A" w:rsidRPr="00401DA6" w:rsidRDefault="00005B6A" w:rsidP="0013647A">
      <w:pPr>
        <w:pStyle w:val="Styletexte"/>
        <w:spacing w:after="0"/>
        <w:rPr>
          <w:rFonts w:cs="Arial"/>
          <w:spacing w:val="-2"/>
          <w:sz w:val="20"/>
          <w:lang w:val="es-419"/>
        </w:rPr>
      </w:pPr>
      <w:r w:rsidRPr="00401DA6">
        <w:rPr>
          <w:rFonts w:cs="Arial"/>
          <w:spacing w:val="-2"/>
          <w:sz w:val="20"/>
          <w:lang w:val="es-419"/>
        </w:rPr>
        <w:lastRenderedPageBreak/>
        <w:t>En los gastos de personal se incluyen las prestaciones a corto plazo a los empleados tales como el sueldo de base, el reajuste por lugar de destino, las prestaciones por personas a cargo, las aportaciones al fondo de pensiones, las aportaciones al seguro médico y a otros seguros, las vacaciones en el país de origen y otras prestaciones. Como consecuencia de la aplicación de las IPSAS, los gastos de personal incluyen también determinados importes correspondientes a los movimientos registrados en el pasivo por prestaciones a los empleados tras la separación del servicio</w:t>
      </w:r>
      <w:r w:rsidR="0013647A" w:rsidRPr="00401DA6">
        <w:rPr>
          <w:rFonts w:cs="Arial"/>
          <w:spacing w:val="-2"/>
          <w:sz w:val="20"/>
          <w:lang w:val="es-419"/>
        </w:rPr>
        <w:t xml:space="preserve">. </w:t>
      </w:r>
      <w:r w:rsidRPr="00401DA6">
        <w:rPr>
          <w:rFonts w:cs="Arial"/>
          <w:spacing w:val="-2"/>
          <w:sz w:val="20"/>
          <w:lang w:val="es-419"/>
        </w:rPr>
        <w:t>En los gastos de viajes, formación y subsidios se incluyen los costos del pasaje aéreo, las dietas, los pequeños gastos de salida y llegada y otros gastos de viaje del personal relativos a misiones oficiales, así como los gastos de viaje y dietas para participantes y conferenciantes en relación con actividades de formación. En los servicios contractuales se incluyen los honorarios de los traductores e intérpretes y los correspondientes a otros acuerdos de servicios externos. En los gastos de funcionamiento se incluyen gastos tales como el alquiler, el mantenimiento y los cargos bancarios</w:t>
      </w:r>
      <w:r w:rsidR="0013647A" w:rsidRPr="00401DA6">
        <w:rPr>
          <w:rFonts w:cs="Arial"/>
          <w:spacing w:val="-2"/>
          <w:sz w:val="20"/>
          <w:lang w:val="es-419"/>
        </w:rPr>
        <w:t>.</w:t>
      </w:r>
    </w:p>
    <w:p w:rsidR="0013647A" w:rsidRPr="00981EA4" w:rsidRDefault="0013647A" w:rsidP="0013647A">
      <w:pPr>
        <w:jc w:val="left"/>
        <w:rPr>
          <w:lang w:val="es-419"/>
        </w:rPr>
      </w:pPr>
    </w:p>
    <w:p w:rsidR="002C5292" w:rsidRDefault="002C5292">
      <w:pPr>
        <w:jc w:val="left"/>
        <w:rPr>
          <w:rFonts w:cs="Arial"/>
          <w:b/>
          <w:caps/>
          <w:lang w:val="es-419"/>
        </w:rPr>
      </w:pPr>
    </w:p>
    <w:p w:rsidR="0013647A" w:rsidRPr="00981EA4" w:rsidRDefault="00005B6A" w:rsidP="0097505F">
      <w:pPr>
        <w:pStyle w:val="Heading1"/>
        <w:rPr>
          <w:lang w:val="es-419"/>
        </w:rPr>
      </w:pPr>
      <w:bookmarkStart w:id="38" w:name="_Toc48829059"/>
      <w:r w:rsidRPr="00981EA4">
        <w:rPr>
          <w:lang w:val="es-419"/>
        </w:rPr>
        <w:t>FONDO DE OPERACIONES Y CONTRIBUCIONES</w:t>
      </w:r>
      <w:bookmarkEnd w:id="38"/>
    </w:p>
    <w:p w:rsidR="0013647A" w:rsidRPr="00981EA4" w:rsidRDefault="0013647A" w:rsidP="0013647A">
      <w:pPr>
        <w:rPr>
          <w:rFonts w:cs="Arial"/>
          <w:lang w:val="es-419"/>
        </w:rPr>
      </w:pPr>
    </w:p>
    <w:p w:rsidR="0013647A" w:rsidRPr="00981EA4" w:rsidRDefault="00005B6A" w:rsidP="00EB2FD1">
      <w:pPr>
        <w:pStyle w:val="Heading2"/>
        <w:jc w:val="center"/>
        <w:rPr>
          <w:lang w:val="es-419"/>
        </w:rPr>
      </w:pPr>
      <w:bookmarkStart w:id="39" w:name="_Toc523137627"/>
      <w:bookmarkStart w:id="40" w:name="_Toc48829060"/>
      <w:r w:rsidRPr="00981EA4">
        <w:rPr>
          <w:lang w:val="es-419"/>
        </w:rPr>
        <w:t>Fondo de operaciones al 31 de diciembre de 201</w:t>
      </w:r>
      <w:bookmarkEnd w:id="39"/>
      <w:r w:rsidRPr="00981EA4">
        <w:rPr>
          <w:lang w:val="es-419"/>
        </w:rPr>
        <w:t>9</w:t>
      </w:r>
      <w:bookmarkEnd w:id="40"/>
    </w:p>
    <w:p w:rsidR="0013647A" w:rsidRPr="00981EA4" w:rsidRDefault="0013647A" w:rsidP="00624BB1">
      <w:pPr>
        <w:rPr>
          <w:snapToGrid w:val="0"/>
          <w:lang w:val="es-419"/>
        </w:rPr>
      </w:pPr>
    </w:p>
    <w:p w:rsidR="0013647A" w:rsidRPr="00981EA4" w:rsidRDefault="00F539CB" w:rsidP="0013647A">
      <w:pPr>
        <w:rPr>
          <w:rFonts w:cs="Arial"/>
          <w:iCs/>
          <w:lang w:val="es-419"/>
        </w:rPr>
      </w:pPr>
      <w:r w:rsidRPr="00981EA4">
        <w:rPr>
          <w:rFonts w:cs="Arial"/>
          <w:snapToGrid w:val="0"/>
          <w:lang w:val="es-419"/>
        </w:rPr>
        <w:t xml:space="preserve">En virtud del artículo 4.2 de su Reglamento </w:t>
      </w:r>
      <w:r w:rsidR="00327657" w:rsidRPr="00981EA4">
        <w:rPr>
          <w:rFonts w:cs="Arial"/>
          <w:snapToGrid w:val="0"/>
          <w:lang w:val="es-419"/>
        </w:rPr>
        <w:t>F</w:t>
      </w:r>
      <w:r w:rsidRPr="00981EA4">
        <w:rPr>
          <w:rFonts w:cs="Arial"/>
          <w:snapToGrid w:val="0"/>
          <w:lang w:val="es-419"/>
        </w:rPr>
        <w:t xml:space="preserve">inanciero y </w:t>
      </w:r>
      <w:r w:rsidR="00327657" w:rsidRPr="00981EA4">
        <w:rPr>
          <w:rFonts w:cs="Arial"/>
          <w:snapToGrid w:val="0"/>
          <w:lang w:val="es-419"/>
        </w:rPr>
        <w:t>R</w:t>
      </w:r>
      <w:r w:rsidR="00293870" w:rsidRPr="00981EA4">
        <w:rPr>
          <w:rFonts w:cs="Arial"/>
          <w:snapToGrid w:val="0"/>
          <w:lang w:val="es-419"/>
        </w:rPr>
        <w:t xml:space="preserve">eglamentación </w:t>
      </w:r>
      <w:r w:rsidR="00327657" w:rsidRPr="00981EA4">
        <w:rPr>
          <w:rFonts w:cs="Arial"/>
          <w:snapToGrid w:val="0"/>
          <w:lang w:val="es-419"/>
        </w:rPr>
        <w:t>F</w:t>
      </w:r>
      <w:r w:rsidRPr="00981EA4">
        <w:rPr>
          <w:rFonts w:cs="Arial"/>
          <w:snapToGrid w:val="0"/>
          <w:lang w:val="es-419"/>
        </w:rPr>
        <w:t>inanciera (véase el documento UPOV/INF/4/5), la UPOV dispone de un fondo de operaciones. Según el estado de la situación financiera al 31 de diciembre de 2019, el fondo de operaciones asciende a 560.845 francos suizos. La participación de cada miembro de la Unión, calculada de conformidad con la decisión adoptada por el Consejo en su vigésima tercera sesión extraordinaria, celebrada en Ginebra el 7 de abril de 2006 (véase el párrafo 12, Anexo II, del documento C(Extr.)/23/5) “Informe” y el Anexo del documento UPOV/INF/13/2, es la siguiente</w:t>
      </w:r>
      <w:r w:rsidR="0013647A" w:rsidRPr="00981EA4">
        <w:rPr>
          <w:rFonts w:cs="Arial"/>
          <w:iCs/>
          <w:lang w:val="es-419"/>
        </w:rPr>
        <w:t>:</w:t>
      </w:r>
    </w:p>
    <w:p w:rsidR="0013647A" w:rsidRPr="00981EA4" w:rsidRDefault="0013647A" w:rsidP="00D8383A">
      <w:pPr>
        <w:rPr>
          <w:snapToGrid w:val="0"/>
          <w:lang w:val="es-419"/>
        </w:rPr>
      </w:pPr>
    </w:p>
    <w:p w:rsidR="0013647A" w:rsidRPr="00981EA4" w:rsidRDefault="00A80894" w:rsidP="0013647A">
      <w:pPr>
        <w:jc w:val="center"/>
        <w:rPr>
          <w:rFonts w:cs="Arial"/>
          <w:lang w:val="es-419"/>
        </w:rPr>
      </w:pPr>
      <w:r w:rsidRPr="00A80894">
        <w:rPr>
          <w:noProof/>
          <w:lang w:val="en-US"/>
        </w:rPr>
        <w:drawing>
          <wp:inline distT="0" distB="0" distL="0" distR="0">
            <wp:extent cx="6120486" cy="5633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1334"/>
                    <a:stretch/>
                  </pic:blipFill>
                  <pic:spPr bwMode="auto">
                    <a:xfrm>
                      <a:off x="0" y="0"/>
                      <a:ext cx="6120765" cy="5633977"/>
                    </a:xfrm>
                    <a:prstGeom prst="rect">
                      <a:avLst/>
                    </a:prstGeom>
                    <a:noFill/>
                    <a:ln>
                      <a:noFill/>
                    </a:ln>
                    <a:extLst>
                      <a:ext uri="{53640926-AAD7-44D8-BBD7-CCE9431645EC}">
                        <a14:shadowObscured xmlns:a14="http://schemas.microsoft.com/office/drawing/2010/main"/>
                      </a:ext>
                    </a:extLst>
                  </pic:spPr>
                </pic:pic>
              </a:graphicData>
            </a:graphic>
          </wp:inline>
        </w:drawing>
      </w:r>
    </w:p>
    <w:p w:rsidR="0013647A" w:rsidRPr="00981EA4" w:rsidRDefault="0013647A" w:rsidP="00EB2FD1">
      <w:pPr>
        <w:pStyle w:val="Heading2"/>
        <w:jc w:val="center"/>
        <w:rPr>
          <w:lang w:val="es-419"/>
        </w:rPr>
      </w:pPr>
      <w:bookmarkStart w:id="41" w:name="_Toc460229929"/>
      <w:bookmarkStart w:id="42" w:name="_Toc522808861"/>
      <w:bookmarkStart w:id="43" w:name="_Toc48829061"/>
      <w:r w:rsidRPr="00981EA4">
        <w:rPr>
          <w:lang w:val="es-419"/>
        </w:rPr>
        <w:lastRenderedPageBreak/>
        <w:t>Contribu</w:t>
      </w:r>
      <w:r w:rsidR="00631292" w:rsidRPr="00981EA4">
        <w:rPr>
          <w:lang w:val="es-419"/>
        </w:rPr>
        <w:t>ciones de los miembros de la Unión</w:t>
      </w:r>
      <w:bookmarkEnd w:id="41"/>
      <w:bookmarkEnd w:id="42"/>
      <w:bookmarkEnd w:id="43"/>
    </w:p>
    <w:p w:rsidR="0013647A" w:rsidRPr="00981EA4" w:rsidRDefault="0013647A" w:rsidP="0013647A">
      <w:pPr>
        <w:keepNext/>
        <w:jc w:val="center"/>
        <w:rPr>
          <w:rFonts w:cs="Arial"/>
          <w:lang w:val="es-419"/>
        </w:rPr>
      </w:pPr>
      <w:r w:rsidRPr="00981EA4">
        <w:rPr>
          <w:rFonts w:cs="Arial"/>
          <w:i/>
          <w:lang w:val="es-419"/>
        </w:rPr>
        <w:t>(</w:t>
      </w:r>
      <w:r w:rsidR="00631292" w:rsidRPr="00981EA4">
        <w:rPr>
          <w:rFonts w:cs="Arial"/>
          <w:i/>
          <w:lang w:val="es-419"/>
        </w:rPr>
        <w:t>en francos suizos</w:t>
      </w:r>
      <w:r w:rsidRPr="00981EA4">
        <w:rPr>
          <w:rFonts w:cs="Arial"/>
          <w:i/>
          <w:lang w:val="es-419"/>
        </w:rPr>
        <w:t>)</w:t>
      </w:r>
    </w:p>
    <w:p w:rsidR="0013647A" w:rsidRPr="00981EA4" w:rsidRDefault="0013647A" w:rsidP="0013647A">
      <w:pPr>
        <w:keepNext/>
        <w:rPr>
          <w:rFonts w:cs="Arial"/>
          <w:lang w:val="es-419"/>
        </w:rPr>
      </w:pPr>
    </w:p>
    <w:p w:rsidR="0013647A" w:rsidRPr="00981EA4" w:rsidRDefault="00791E60" w:rsidP="0013647A">
      <w:pPr>
        <w:jc w:val="center"/>
        <w:rPr>
          <w:rFonts w:cs="Arial"/>
          <w:lang w:val="es-419"/>
        </w:rPr>
      </w:pPr>
      <w:r w:rsidRPr="00981EA4">
        <w:rPr>
          <w:noProof/>
          <w:lang w:val="en-US"/>
        </w:rPr>
        <w:drawing>
          <wp:inline distT="0" distB="0" distL="0" distR="0">
            <wp:extent cx="4738370" cy="7481570"/>
            <wp:effectExtent l="0" t="0" r="5080" b="508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38370" cy="7481570"/>
                    </a:xfrm>
                    <a:prstGeom prst="rect">
                      <a:avLst/>
                    </a:prstGeom>
                    <a:noFill/>
                    <a:ln>
                      <a:noFill/>
                    </a:ln>
                  </pic:spPr>
                </pic:pic>
              </a:graphicData>
            </a:graphic>
          </wp:inline>
        </w:drawing>
      </w:r>
    </w:p>
    <w:p w:rsidR="0013647A" w:rsidRPr="00981EA4" w:rsidRDefault="0013647A" w:rsidP="0013647A">
      <w:pPr>
        <w:rPr>
          <w:rFonts w:cs="Arial"/>
          <w:lang w:val="es-419"/>
        </w:rPr>
      </w:pPr>
      <w:r w:rsidRPr="00981EA4">
        <w:rPr>
          <w:rFonts w:cs="Arial"/>
          <w:lang w:val="es-419"/>
        </w:rPr>
        <w:br w:type="page"/>
      </w:r>
    </w:p>
    <w:p w:rsidR="0013647A" w:rsidRPr="00981EA4" w:rsidRDefault="00791E60" w:rsidP="0013647A">
      <w:pPr>
        <w:jc w:val="center"/>
        <w:rPr>
          <w:rFonts w:cs="Arial"/>
          <w:lang w:val="es-419"/>
        </w:rPr>
      </w:pPr>
      <w:r w:rsidRPr="00981EA4">
        <w:rPr>
          <w:noProof/>
          <w:lang w:val="en-US"/>
        </w:rPr>
        <w:lastRenderedPageBreak/>
        <w:drawing>
          <wp:inline distT="0" distB="0" distL="0" distR="0">
            <wp:extent cx="4738370" cy="6348730"/>
            <wp:effectExtent l="0" t="0" r="508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38370" cy="6348730"/>
                    </a:xfrm>
                    <a:prstGeom prst="rect">
                      <a:avLst/>
                    </a:prstGeom>
                    <a:noFill/>
                    <a:ln>
                      <a:noFill/>
                    </a:ln>
                  </pic:spPr>
                </pic:pic>
              </a:graphicData>
            </a:graphic>
          </wp:inline>
        </w:drawing>
      </w:r>
    </w:p>
    <w:p w:rsidR="0013647A" w:rsidRPr="00981EA4" w:rsidRDefault="0013647A" w:rsidP="00EB2FD1">
      <w:pPr>
        <w:pStyle w:val="Heading2"/>
        <w:jc w:val="center"/>
        <w:rPr>
          <w:lang w:val="es-419"/>
        </w:rPr>
      </w:pPr>
      <w:r w:rsidRPr="00981EA4">
        <w:rPr>
          <w:lang w:val="es-419"/>
        </w:rPr>
        <w:br w:type="page"/>
      </w:r>
      <w:bookmarkStart w:id="44" w:name="_Toc460229930"/>
      <w:bookmarkStart w:id="45" w:name="_Toc522808862"/>
      <w:bookmarkStart w:id="46" w:name="_Toc48829062"/>
      <w:r w:rsidR="00631292" w:rsidRPr="00981EA4">
        <w:rPr>
          <w:lang w:val="es-419"/>
        </w:rPr>
        <w:lastRenderedPageBreak/>
        <w:t>Contribuciones percibidas por anticipado</w:t>
      </w:r>
      <w:bookmarkEnd w:id="44"/>
      <w:bookmarkEnd w:id="45"/>
      <w:bookmarkEnd w:id="46"/>
    </w:p>
    <w:p w:rsidR="0013647A" w:rsidRPr="00981EA4" w:rsidRDefault="0013647A" w:rsidP="0013647A">
      <w:pPr>
        <w:jc w:val="center"/>
        <w:rPr>
          <w:rFonts w:cs="Arial"/>
          <w:lang w:val="es-419"/>
        </w:rPr>
      </w:pPr>
    </w:p>
    <w:p w:rsidR="0013647A" w:rsidRPr="00981EA4" w:rsidRDefault="000D110E" w:rsidP="0013647A">
      <w:pPr>
        <w:jc w:val="center"/>
        <w:rPr>
          <w:rFonts w:cs="Arial"/>
          <w:u w:val="single"/>
          <w:lang w:val="es-419"/>
        </w:rPr>
      </w:pPr>
      <w:r w:rsidRPr="00981EA4">
        <w:rPr>
          <w:noProof/>
          <w:lang w:val="en-US"/>
        </w:rPr>
        <w:drawing>
          <wp:inline distT="0" distB="0" distL="0" distR="0">
            <wp:extent cx="3948430" cy="505015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48430" cy="5050155"/>
                    </a:xfrm>
                    <a:prstGeom prst="rect">
                      <a:avLst/>
                    </a:prstGeom>
                    <a:noFill/>
                    <a:ln>
                      <a:noFill/>
                    </a:ln>
                  </pic:spPr>
                </pic:pic>
              </a:graphicData>
            </a:graphic>
          </wp:inline>
        </w:drawing>
      </w:r>
    </w:p>
    <w:p w:rsidR="0013647A" w:rsidRPr="00981EA4" w:rsidRDefault="0013647A" w:rsidP="0013647A">
      <w:pPr>
        <w:jc w:val="center"/>
        <w:rPr>
          <w:rFonts w:cs="Arial"/>
          <w:u w:val="single"/>
          <w:lang w:val="es-419"/>
        </w:rPr>
      </w:pPr>
    </w:p>
    <w:p w:rsidR="0013647A" w:rsidRPr="00981EA4" w:rsidRDefault="0013647A" w:rsidP="0013647A">
      <w:pPr>
        <w:jc w:val="center"/>
        <w:rPr>
          <w:rFonts w:cs="Arial"/>
          <w:u w:val="single"/>
          <w:lang w:val="es-419"/>
        </w:rPr>
      </w:pPr>
    </w:p>
    <w:p w:rsidR="0013647A" w:rsidRPr="00981EA4" w:rsidRDefault="0013647A" w:rsidP="0013647A">
      <w:pPr>
        <w:rPr>
          <w:rFonts w:cs="Arial"/>
          <w:u w:val="single"/>
          <w:lang w:val="es-419"/>
        </w:rPr>
      </w:pPr>
      <w:r w:rsidRPr="00981EA4">
        <w:rPr>
          <w:rFonts w:cs="Arial"/>
          <w:lang w:val="es-419"/>
        </w:rPr>
        <w:br w:type="page"/>
      </w:r>
    </w:p>
    <w:p w:rsidR="0013647A" w:rsidRPr="00981EA4" w:rsidRDefault="00631292" w:rsidP="00EB2FD1">
      <w:pPr>
        <w:pStyle w:val="Heading2"/>
        <w:jc w:val="center"/>
        <w:rPr>
          <w:lang w:val="es-419"/>
        </w:rPr>
      </w:pPr>
      <w:bookmarkStart w:id="47" w:name="_Toc523137630"/>
      <w:bookmarkStart w:id="48" w:name="_Toc48829063"/>
      <w:r w:rsidRPr="00981EA4">
        <w:rPr>
          <w:lang w:val="es-419"/>
        </w:rPr>
        <w:lastRenderedPageBreak/>
        <w:t>Importes de las contribuciones adeudadas y de la participación en el fondo de operaciones pendiente de pago al 31 de diciembre de 201</w:t>
      </w:r>
      <w:bookmarkEnd w:id="47"/>
      <w:r w:rsidRPr="00981EA4">
        <w:rPr>
          <w:lang w:val="es-419"/>
        </w:rPr>
        <w:t>9</w:t>
      </w:r>
      <w:bookmarkEnd w:id="48"/>
    </w:p>
    <w:p w:rsidR="0013647A" w:rsidRPr="00981EA4" w:rsidRDefault="0013647A" w:rsidP="0013647A">
      <w:pPr>
        <w:jc w:val="center"/>
        <w:rPr>
          <w:rFonts w:cs="Arial"/>
          <w:lang w:val="es-419"/>
        </w:rPr>
      </w:pPr>
    </w:p>
    <w:p w:rsidR="0013647A" w:rsidRPr="00981EA4" w:rsidRDefault="009259E9" w:rsidP="0013647A">
      <w:pPr>
        <w:jc w:val="center"/>
        <w:rPr>
          <w:rFonts w:cs="Arial"/>
          <w:b/>
          <w:caps/>
          <w:u w:val="single"/>
          <w:lang w:val="es-419"/>
        </w:rPr>
      </w:pPr>
      <w:r w:rsidRPr="00981EA4">
        <w:rPr>
          <w:noProof/>
          <w:lang w:val="en-US"/>
        </w:rPr>
        <w:drawing>
          <wp:inline distT="0" distB="0" distL="0" distR="0">
            <wp:extent cx="5008245" cy="7699375"/>
            <wp:effectExtent l="0" t="0" r="190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08245" cy="7699375"/>
                    </a:xfrm>
                    <a:prstGeom prst="rect">
                      <a:avLst/>
                    </a:prstGeom>
                    <a:noFill/>
                    <a:ln>
                      <a:noFill/>
                    </a:ln>
                  </pic:spPr>
                </pic:pic>
              </a:graphicData>
            </a:graphic>
          </wp:inline>
        </w:drawing>
      </w:r>
      <w:r w:rsidR="0013647A" w:rsidRPr="00981EA4">
        <w:rPr>
          <w:rFonts w:cs="Arial"/>
          <w:lang w:val="es-419"/>
        </w:rPr>
        <w:t xml:space="preserve"> </w:t>
      </w:r>
      <w:r w:rsidR="0013647A" w:rsidRPr="00981EA4">
        <w:rPr>
          <w:rFonts w:cs="Arial"/>
          <w:lang w:val="es-419"/>
        </w:rPr>
        <w:br w:type="page"/>
      </w:r>
    </w:p>
    <w:p w:rsidR="0013647A" w:rsidRPr="00981EA4" w:rsidRDefault="0013647A" w:rsidP="0013647A">
      <w:pPr>
        <w:rPr>
          <w:rFonts w:cs="Arial"/>
          <w:lang w:val="es-419"/>
        </w:rPr>
      </w:pPr>
    </w:p>
    <w:p w:rsidR="0013647A" w:rsidRPr="00981EA4" w:rsidRDefault="001849D4" w:rsidP="0013647A">
      <w:pPr>
        <w:jc w:val="center"/>
        <w:rPr>
          <w:rFonts w:cs="Arial"/>
          <w:lang w:val="es-419"/>
        </w:rPr>
      </w:pPr>
      <w:r w:rsidRPr="00981EA4">
        <w:rPr>
          <w:noProof/>
          <w:lang w:val="en-US"/>
        </w:rPr>
        <w:drawing>
          <wp:inline distT="0" distB="0" distL="0" distR="0">
            <wp:extent cx="5008245" cy="7876540"/>
            <wp:effectExtent l="0" t="0" r="190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08245" cy="7876540"/>
                    </a:xfrm>
                    <a:prstGeom prst="rect">
                      <a:avLst/>
                    </a:prstGeom>
                    <a:noFill/>
                    <a:ln>
                      <a:noFill/>
                    </a:ln>
                  </pic:spPr>
                </pic:pic>
              </a:graphicData>
            </a:graphic>
          </wp:inline>
        </w:drawing>
      </w:r>
    </w:p>
    <w:p w:rsidR="0013647A" w:rsidRPr="00981EA4" w:rsidRDefault="0013647A" w:rsidP="0013647A">
      <w:pPr>
        <w:rPr>
          <w:rFonts w:cs="Arial"/>
          <w:b/>
          <w:u w:val="single"/>
          <w:lang w:val="es-419"/>
        </w:rPr>
      </w:pPr>
      <w:r w:rsidRPr="00981EA4">
        <w:rPr>
          <w:rFonts w:cs="Arial"/>
          <w:b/>
          <w:lang w:val="es-419"/>
        </w:rPr>
        <w:br w:type="page"/>
      </w:r>
    </w:p>
    <w:p w:rsidR="0013647A" w:rsidRPr="00981EA4" w:rsidRDefault="00631292" w:rsidP="0097505F">
      <w:pPr>
        <w:pStyle w:val="Heading1"/>
        <w:rPr>
          <w:lang w:val="es-419"/>
        </w:rPr>
      </w:pPr>
      <w:bookmarkStart w:id="49" w:name="_Toc460229932"/>
      <w:bookmarkStart w:id="50" w:name="_Toc522808864"/>
      <w:bookmarkStart w:id="51" w:name="_Toc48829064"/>
      <w:r w:rsidRPr="00981EA4">
        <w:rPr>
          <w:lang w:val="es-419"/>
        </w:rPr>
        <w:lastRenderedPageBreak/>
        <w:t>FONDOS EXTRAPRESUPUESTARIOS (FONDOS FIDUCIARIOS</w:t>
      </w:r>
      <w:r w:rsidR="0013647A" w:rsidRPr="00981EA4">
        <w:rPr>
          <w:lang w:val="es-419"/>
        </w:rPr>
        <w:t>)</w:t>
      </w:r>
      <w:bookmarkEnd w:id="49"/>
      <w:bookmarkEnd w:id="50"/>
      <w:bookmarkEnd w:id="51"/>
    </w:p>
    <w:p w:rsidR="0013647A" w:rsidRPr="00981EA4" w:rsidRDefault="0013647A" w:rsidP="0097505F">
      <w:pPr>
        <w:pStyle w:val="Heading1"/>
        <w:rPr>
          <w:lang w:val="es-419"/>
        </w:rPr>
      </w:pPr>
    </w:p>
    <w:p w:rsidR="0013647A" w:rsidRPr="00981EA4" w:rsidRDefault="00EF36A7" w:rsidP="0013647A">
      <w:pPr>
        <w:keepNext/>
        <w:rPr>
          <w:rFonts w:cs="Arial"/>
          <w:lang w:val="es-419"/>
        </w:rPr>
      </w:pPr>
      <w:r w:rsidRPr="00981EA4">
        <w:rPr>
          <w:rFonts w:cs="Arial"/>
          <w:lang w:val="es-419"/>
        </w:rPr>
        <w:t>Se presentan a continuación, en cuentas independientes, los fondos extrapresupuestarios (</w:t>
      </w:r>
      <w:r w:rsidR="00293870" w:rsidRPr="00981EA4">
        <w:rPr>
          <w:rFonts w:cs="Arial"/>
          <w:lang w:val="es-419"/>
        </w:rPr>
        <w:t xml:space="preserve">incluidos los </w:t>
      </w:r>
      <w:r w:rsidRPr="00981EA4">
        <w:rPr>
          <w:rFonts w:cs="Arial"/>
          <w:lang w:val="es-419"/>
        </w:rPr>
        <w:t>fondos fiduciarios) consignados por donante</w:t>
      </w:r>
      <w:r w:rsidR="0013647A" w:rsidRPr="00981EA4">
        <w:rPr>
          <w:rFonts w:cs="Arial"/>
          <w:lang w:val="es-419"/>
        </w:rPr>
        <w:t>.</w:t>
      </w:r>
    </w:p>
    <w:p w:rsidR="0013647A" w:rsidRPr="00981EA4" w:rsidRDefault="0013647A" w:rsidP="0013647A">
      <w:pPr>
        <w:keepNext/>
        <w:rPr>
          <w:rFonts w:cs="Arial"/>
          <w:lang w:val="es-419"/>
        </w:rPr>
      </w:pPr>
    </w:p>
    <w:p w:rsidR="0013647A" w:rsidRPr="00981EA4" w:rsidRDefault="0090205F" w:rsidP="0090205F">
      <w:pPr>
        <w:ind w:left="-284"/>
        <w:jc w:val="center"/>
        <w:rPr>
          <w:rFonts w:cs="Arial"/>
          <w:lang w:val="es-419"/>
        </w:rPr>
      </w:pPr>
      <w:r w:rsidRPr="0090205F">
        <w:rPr>
          <w:noProof/>
          <w:lang w:val="en-US"/>
        </w:rPr>
        <w:drawing>
          <wp:inline distT="0" distB="0" distL="0" distR="0">
            <wp:extent cx="6669118" cy="119824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78582" cy="1199945"/>
                    </a:xfrm>
                    <a:prstGeom prst="rect">
                      <a:avLst/>
                    </a:prstGeom>
                    <a:noFill/>
                    <a:ln>
                      <a:noFill/>
                    </a:ln>
                  </pic:spPr>
                </pic:pic>
              </a:graphicData>
            </a:graphic>
          </wp:inline>
        </w:drawing>
      </w:r>
    </w:p>
    <w:p w:rsidR="0013647A" w:rsidRPr="00981EA4" w:rsidRDefault="0013647A" w:rsidP="0013647A">
      <w:pPr>
        <w:rPr>
          <w:rFonts w:cs="Arial"/>
          <w:lang w:val="es-419"/>
        </w:rPr>
      </w:pPr>
    </w:p>
    <w:p w:rsidR="00EF36A7" w:rsidRPr="00981EA4" w:rsidRDefault="00EF36A7" w:rsidP="00EF36A7">
      <w:pPr>
        <w:rPr>
          <w:rFonts w:cs="Arial"/>
          <w:b/>
          <w:lang w:val="es-419"/>
        </w:rPr>
      </w:pPr>
      <w:r w:rsidRPr="00981EA4">
        <w:rPr>
          <w:rFonts w:cs="Arial"/>
          <w:b/>
          <w:lang w:val="es-419"/>
        </w:rPr>
        <w:t>Ingresos y gastos del bienio 2018</w:t>
      </w:r>
      <w:r w:rsidRPr="00981EA4">
        <w:rPr>
          <w:rFonts w:cs="Arial"/>
          <w:b/>
          <w:lang w:val="es-419"/>
        </w:rPr>
        <w:noBreakHyphen/>
        <w:t>2019</w:t>
      </w:r>
    </w:p>
    <w:p w:rsidR="0013647A" w:rsidRPr="00981EA4" w:rsidRDefault="0013647A" w:rsidP="0013647A">
      <w:pPr>
        <w:rPr>
          <w:rFonts w:cs="Arial"/>
          <w:b/>
          <w:lang w:val="es-419"/>
        </w:rPr>
      </w:pPr>
    </w:p>
    <w:p w:rsidR="0013647A" w:rsidRPr="00981EA4" w:rsidRDefault="003E60EC" w:rsidP="00E95681">
      <w:pPr>
        <w:rPr>
          <w:rFonts w:cs="Arial"/>
          <w:b/>
          <w:lang w:val="es-419"/>
        </w:rPr>
      </w:pPr>
      <w:r w:rsidRPr="00981EA4">
        <w:rPr>
          <w:noProof/>
          <w:lang w:val="en-US"/>
        </w:rPr>
        <w:drawing>
          <wp:inline distT="0" distB="0" distL="0" distR="0">
            <wp:extent cx="6120765" cy="2393804"/>
            <wp:effectExtent l="0" t="0" r="0" b="698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7522" cy="2396447"/>
                    </a:xfrm>
                    <a:prstGeom prst="rect">
                      <a:avLst/>
                    </a:prstGeom>
                    <a:noFill/>
                    <a:ln>
                      <a:noFill/>
                    </a:ln>
                  </pic:spPr>
                </pic:pic>
              </a:graphicData>
            </a:graphic>
          </wp:inline>
        </w:drawing>
      </w:r>
    </w:p>
    <w:p w:rsidR="0013647A" w:rsidRPr="00E95681" w:rsidRDefault="0013647A" w:rsidP="0013647A">
      <w:pPr>
        <w:ind w:left="851" w:right="283" w:hanging="567"/>
        <w:rPr>
          <w:rFonts w:cs="Arial"/>
          <w:i/>
          <w:sz w:val="14"/>
          <w:szCs w:val="18"/>
          <w:lang w:val="es-419"/>
        </w:rPr>
      </w:pPr>
    </w:p>
    <w:p w:rsidR="0013647A" w:rsidRPr="00981EA4" w:rsidRDefault="00EF36A7" w:rsidP="00E95681">
      <w:pPr>
        <w:ind w:left="567" w:hanging="567"/>
        <w:rPr>
          <w:rFonts w:cs="Arial"/>
          <w:sz w:val="18"/>
          <w:szCs w:val="18"/>
          <w:lang w:val="es-419"/>
        </w:rPr>
      </w:pPr>
      <w:r w:rsidRPr="00981EA4">
        <w:rPr>
          <w:rFonts w:cs="Arial"/>
          <w:i/>
          <w:sz w:val="18"/>
          <w:szCs w:val="18"/>
          <w:lang w:val="es-419"/>
        </w:rPr>
        <w:t>Nota:</w:t>
      </w:r>
      <w:r w:rsidRPr="00981EA4">
        <w:rPr>
          <w:rFonts w:cs="Arial"/>
          <w:sz w:val="18"/>
          <w:szCs w:val="18"/>
          <w:lang w:val="es-419"/>
        </w:rPr>
        <w:tab/>
        <w:t>Fondos fiduciarios en forma de fondos extrapresupuestarios del Gobierno del Japón destinados a seminarios y talleres regionales sobre la protección de las obtenciones vegetales en la región asiática</w:t>
      </w:r>
      <w:r w:rsidR="0013647A" w:rsidRPr="00981EA4">
        <w:rPr>
          <w:rFonts w:cs="Arial"/>
          <w:sz w:val="18"/>
          <w:szCs w:val="18"/>
          <w:lang w:val="es-419"/>
        </w:rPr>
        <w:t>.</w:t>
      </w:r>
    </w:p>
    <w:p w:rsidR="0013647A" w:rsidRPr="00981EA4" w:rsidRDefault="0013647A" w:rsidP="0013647A">
      <w:pPr>
        <w:ind w:left="567" w:hanging="567"/>
        <w:rPr>
          <w:rFonts w:cs="Arial"/>
          <w:sz w:val="18"/>
          <w:szCs w:val="18"/>
          <w:lang w:val="es-419"/>
        </w:rPr>
      </w:pPr>
    </w:p>
    <w:p w:rsidR="0013647A" w:rsidRPr="00981EA4" w:rsidRDefault="0013647A" w:rsidP="0013647A">
      <w:pPr>
        <w:ind w:left="567" w:hanging="567"/>
        <w:rPr>
          <w:rFonts w:cs="Arial"/>
          <w:sz w:val="18"/>
          <w:szCs w:val="18"/>
          <w:lang w:val="es-419"/>
        </w:rPr>
      </w:pPr>
    </w:p>
    <w:p w:rsidR="0013647A" w:rsidRPr="00981EA4" w:rsidRDefault="003E60EC" w:rsidP="00E95681">
      <w:pPr>
        <w:ind w:left="567" w:hanging="567"/>
        <w:rPr>
          <w:rFonts w:cs="Arial"/>
          <w:sz w:val="18"/>
          <w:szCs w:val="18"/>
          <w:lang w:val="es-419"/>
        </w:rPr>
      </w:pPr>
      <w:r w:rsidRPr="00981EA4">
        <w:rPr>
          <w:noProof/>
          <w:lang w:val="en-US"/>
        </w:rPr>
        <w:drawing>
          <wp:inline distT="0" distB="0" distL="0" distR="0">
            <wp:extent cx="6120765" cy="2568130"/>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51610" cy="2581072"/>
                    </a:xfrm>
                    <a:prstGeom prst="rect">
                      <a:avLst/>
                    </a:prstGeom>
                    <a:noFill/>
                    <a:ln>
                      <a:noFill/>
                    </a:ln>
                  </pic:spPr>
                </pic:pic>
              </a:graphicData>
            </a:graphic>
          </wp:inline>
        </w:drawing>
      </w:r>
    </w:p>
    <w:p w:rsidR="0013647A" w:rsidRPr="00E95681" w:rsidRDefault="0013647A" w:rsidP="00E95681">
      <w:pPr>
        <w:ind w:left="567" w:hanging="567"/>
        <w:rPr>
          <w:rFonts w:cs="Arial"/>
          <w:i/>
          <w:sz w:val="14"/>
          <w:szCs w:val="18"/>
          <w:lang w:val="es-419"/>
        </w:rPr>
      </w:pPr>
    </w:p>
    <w:p w:rsidR="0013647A" w:rsidRPr="00981EA4" w:rsidRDefault="00EF36A7" w:rsidP="00E95681">
      <w:pPr>
        <w:ind w:left="567" w:hanging="567"/>
        <w:rPr>
          <w:rFonts w:cs="Arial"/>
          <w:sz w:val="18"/>
          <w:szCs w:val="18"/>
          <w:lang w:val="es-419"/>
        </w:rPr>
      </w:pPr>
      <w:r w:rsidRPr="00981EA4">
        <w:rPr>
          <w:rFonts w:cs="Arial"/>
          <w:i/>
          <w:sz w:val="18"/>
          <w:szCs w:val="18"/>
          <w:lang w:val="es-419"/>
        </w:rPr>
        <w:t>Nota:</w:t>
      </w:r>
      <w:r w:rsidRPr="00981EA4">
        <w:rPr>
          <w:rFonts w:cs="Arial"/>
          <w:sz w:val="18"/>
          <w:szCs w:val="18"/>
          <w:lang w:val="es-419"/>
        </w:rPr>
        <w:tab/>
        <w:t>Fondos extrapresupuestarios del Gobierno de los Estados Unidos de América destinados a formación sobre protección de la propiedad intelectual en el ámbito de la protección de las variedades vegetales. Las cuentas y los informes financieros relativos a este fondo fiduciario se expresan en dólares EE.UU</w:t>
      </w:r>
      <w:r w:rsidR="0013647A" w:rsidRPr="00981EA4">
        <w:rPr>
          <w:rFonts w:cs="Arial"/>
          <w:sz w:val="18"/>
          <w:szCs w:val="18"/>
          <w:lang w:val="es-419"/>
        </w:rPr>
        <w:t>.</w:t>
      </w:r>
    </w:p>
    <w:p w:rsidR="0013647A" w:rsidRPr="00981EA4" w:rsidRDefault="0013647A" w:rsidP="0013647A">
      <w:pPr>
        <w:rPr>
          <w:rFonts w:cs="Arial"/>
          <w:sz w:val="18"/>
          <w:szCs w:val="18"/>
          <w:lang w:val="es-419"/>
        </w:rPr>
      </w:pPr>
      <w:r w:rsidRPr="00981EA4">
        <w:rPr>
          <w:rFonts w:cs="Arial"/>
          <w:sz w:val="18"/>
          <w:szCs w:val="18"/>
          <w:lang w:val="es-419"/>
        </w:rPr>
        <w:br w:type="page"/>
      </w:r>
    </w:p>
    <w:p w:rsidR="0013647A" w:rsidRPr="00981EA4" w:rsidRDefault="008F0A61" w:rsidP="00E95681">
      <w:pPr>
        <w:ind w:left="567" w:hanging="567"/>
        <w:rPr>
          <w:rFonts w:cs="Arial"/>
          <w:sz w:val="18"/>
          <w:szCs w:val="18"/>
          <w:lang w:val="es-419"/>
        </w:rPr>
      </w:pPr>
      <w:r w:rsidRPr="00981EA4">
        <w:rPr>
          <w:noProof/>
          <w:lang w:val="en-US"/>
        </w:rPr>
        <w:lastRenderedPageBreak/>
        <w:drawing>
          <wp:inline distT="0" distB="0" distL="0" distR="0">
            <wp:extent cx="6134100" cy="2399020"/>
            <wp:effectExtent l="0" t="0" r="0" b="190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96185" cy="2423301"/>
                    </a:xfrm>
                    <a:prstGeom prst="rect">
                      <a:avLst/>
                    </a:prstGeom>
                    <a:noFill/>
                    <a:ln>
                      <a:noFill/>
                    </a:ln>
                  </pic:spPr>
                </pic:pic>
              </a:graphicData>
            </a:graphic>
          </wp:inline>
        </w:drawing>
      </w:r>
    </w:p>
    <w:p w:rsidR="0013647A" w:rsidRPr="00E95681" w:rsidRDefault="0013647A" w:rsidP="0013647A">
      <w:pPr>
        <w:ind w:left="851" w:right="283" w:hanging="567"/>
        <w:rPr>
          <w:rFonts w:cs="Arial"/>
          <w:i/>
          <w:sz w:val="12"/>
          <w:szCs w:val="18"/>
          <w:lang w:val="es-419"/>
        </w:rPr>
      </w:pPr>
    </w:p>
    <w:p w:rsidR="0013647A" w:rsidRPr="00981EA4" w:rsidRDefault="002C7ACB" w:rsidP="00E95681">
      <w:pPr>
        <w:ind w:left="567" w:hanging="567"/>
        <w:rPr>
          <w:rFonts w:cs="Arial"/>
          <w:sz w:val="18"/>
          <w:szCs w:val="18"/>
          <w:lang w:val="es-419"/>
        </w:rPr>
      </w:pPr>
      <w:r w:rsidRPr="00981EA4">
        <w:rPr>
          <w:rFonts w:cs="Arial"/>
          <w:i/>
          <w:sz w:val="18"/>
          <w:szCs w:val="18"/>
          <w:lang w:val="es-419"/>
        </w:rPr>
        <w:t>Nota:</w:t>
      </w:r>
      <w:r w:rsidRPr="00981EA4">
        <w:rPr>
          <w:rFonts w:cs="Arial"/>
          <w:sz w:val="18"/>
          <w:szCs w:val="18"/>
          <w:lang w:val="es-419"/>
        </w:rPr>
        <w:tab/>
        <w:t>Fondo extrapresupuestario de los Países Bajos destinado a proporcionar y fomentar el sistema de la UPOV de protección de las variedades vegetales</w:t>
      </w:r>
      <w:r w:rsidR="0013647A" w:rsidRPr="00981EA4">
        <w:rPr>
          <w:rFonts w:cs="Arial"/>
          <w:sz w:val="18"/>
          <w:szCs w:val="18"/>
          <w:lang w:val="es-419"/>
        </w:rPr>
        <w:t>.</w:t>
      </w:r>
    </w:p>
    <w:p w:rsidR="0013647A" w:rsidRPr="00981EA4" w:rsidRDefault="0013647A" w:rsidP="0013647A">
      <w:pPr>
        <w:ind w:right="283"/>
        <w:rPr>
          <w:rFonts w:cs="Arial"/>
          <w:sz w:val="18"/>
          <w:szCs w:val="18"/>
          <w:lang w:val="es-419"/>
        </w:rPr>
      </w:pPr>
    </w:p>
    <w:p w:rsidR="0013647A" w:rsidRPr="00981EA4" w:rsidRDefault="00E46D16" w:rsidP="00E95681">
      <w:pPr>
        <w:ind w:left="851" w:right="283" w:hanging="851"/>
        <w:jc w:val="left"/>
        <w:rPr>
          <w:rFonts w:cs="Arial"/>
          <w:sz w:val="18"/>
          <w:szCs w:val="18"/>
          <w:lang w:val="es-419"/>
        </w:rPr>
      </w:pPr>
      <w:r w:rsidRPr="00981EA4">
        <w:rPr>
          <w:noProof/>
          <w:lang w:val="en-US"/>
        </w:rPr>
        <w:drawing>
          <wp:inline distT="0" distB="0" distL="0" distR="0">
            <wp:extent cx="6134100" cy="2399019"/>
            <wp:effectExtent l="0" t="0" r="0" b="190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53614" cy="2406651"/>
                    </a:xfrm>
                    <a:prstGeom prst="rect">
                      <a:avLst/>
                    </a:prstGeom>
                    <a:noFill/>
                    <a:ln>
                      <a:noFill/>
                    </a:ln>
                  </pic:spPr>
                </pic:pic>
              </a:graphicData>
            </a:graphic>
          </wp:inline>
        </w:drawing>
      </w:r>
    </w:p>
    <w:p w:rsidR="0013647A" w:rsidRPr="00E95681" w:rsidRDefault="0013647A" w:rsidP="0013647A">
      <w:pPr>
        <w:ind w:left="851" w:right="283" w:hanging="567"/>
        <w:rPr>
          <w:rFonts w:cs="Arial"/>
          <w:i/>
          <w:sz w:val="12"/>
          <w:szCs w:val="18"/>
          <w:lang w:val="es-419"/>
        </w:rPr>
      </w:pPr>
    </w:p>
    <w:p w:rsidR="0013647A" w:rsidRPr="00E95681" w:rsidRDefault="002C7ACB" w:rsidP="00E95681">
      <w:pPr>
        <w:ind w:left="567" w:hanging="567"/>
        <w:rPr>
          <w:rFonts w:cs="Arial"/>
          <w:spacing w:val="-2"/>
          <w:sz w:val="18"/>
          <w:szCs w:val="18"/>
          <w:lang w:val="es-419"/>
        </w:rPr>
      </w:pPr>
      <w:r w:rsidRPr="00E95681">
        <w:rPr>
          <w:rFonts w:cs="Arial"/>
          <w:i/>
          <w:spacing w:val="-2"/>
          <w:sz w:val="18"/>
          <w:szCs w:val="18"/>
          <w:lang w:val="es-419"/>
        </w:rPr>
        <w:t>Nota:</w:t>
      </w:r>
      <w:r w:rsidRPr="00E95681">
        <w:rPr>
          <w:rFonts w:cs="Arial"/>
          <w:spacing w:val="-2"/>
          <w:sz w:val="18"/>
          <w:szCs w:val="18"/>
          <w:lang w:val="es-419"/>
        </w:rPr>
        <w:tab/>
        <w:t xml:space="preserve">Fondo extrapresupuestario de diversas organizaciones, comunidades y federaciones destinado a promover la herramienta de solicitud de derechos de obtentor UPOV PRISMA. UPOV PRISMA es </w:t>
      </w:r>
      <w:r w:rsidR="00293870" w:rsidRPr="00E95681">
        <w:rPr>
          <w:rFonts w:cs="Arial"/>
          <w:spacing w:val="-2"/>
          <w:sz w:val="18"/>
          <w:szCs w:val="18"/>
          <w:lang w:val="es-419"/>
        </w:rPr>
        <w:t>una herramienta</w:t>
      </w:r>
      <w:r w:rsidRPr="00E95681">
        <w:rPr>
          <w:rFonts w:cs="Arial"/>
          <w:spacing w:val="-2"/>
          <w:sz w:val="18"/>
          <w:szCs w:val="18"/>
          <w:lang w:val="es-419"/>
        </w:rPr>
        <w:t xml:space="preserve"> en línea </w:t>
      </w:r>
      <w:r w:rsidR="00B01C6F" w:rsidRPr="00E95681">
        <w:rPr>
          <w:rFonts w:cs="Arial"/>
          <w:spacing w:val="-2"/>
          <w:sz w:val="18"/>
          <w:szCs w:val="18"/>
          <w:lang w:val="es-419"/>
        </w:rPr>
        <w:t>cuyo objeto es prestar</w:t>
      </w:r>
      <w:r w:rsidR="00293870" w:rsidRPr="00E95681">
        <w:rPr>
          <w:rFonts w:cs="Arial"/>
          <w:spacing w:val="-2"/>
          <w:sz w:val="18"/>
          <w:szCs w:val="18"/>
          <w:lang w:val="es-419"/>
        </w:rPr>
        <w:t xml:space="preserve"> asistencia</w:t>
      </w:r>
      <w:r w:rsidRPr="00E95681">
        <w:rPr>
          <w:rFonts w:cs="Arial"/>
          <w:spacing w:val="-2"/>
          <w:sz w:val="18"/>
          <w:szCs w:val="18"/>
          <w:lang w:val="es-419"/>
        </w:rPr>
        <w:t xml:space="preserve"> a las oficinas de protección de las obtenciones vegetales de los miembros de la Unión participantes en la presentación de solicitudes de protección de las obtenciones vegetales</w:t>
      </w:r>
      <w:r w:rsidR="0013647A" w:rsidRPr="00E95681">
        <w:rPr>
          <w:rFonts w:cs="Arial"/>
          <w:spacing w:val="-2"/>
          <w:sz w:val="18"/>
          <w:szCs w:val="18"/>
          <w:lang w:val="es-419"/>
        </w:rPr>
        <w:t>.</w:t>
      </w:r>
    </w:p>
    <w:p w:rsidR="0013647A" w:rsidRPr="00981EA4" w:rsidRDefault="0013647A" w:rsidP="0013647A">
      <w:pPr>
        <w:ind w:left="567" w:hanging="297"/>
        <w:rPr>
          <w:rFonts w:cs="Arial"/>
          <w:sz w:val="18"/>
          <w:szCs w:val="18"/>
          <w:lang w:val="es-419"/>
        </w:rPr>
      </w:pPr>
    </w:p>
    <w:p w:rsidR="0013647A" w:rsidRPr="00981EA4" w:rsidRDefault="00901D60" w:rsidP="0013647A">
      <w:pPr>
        <w:rPr>
          <w:rFonts w:cs="Arial"/>
          <w:sz w:val="16"/>
          <w:szCs w:val="16"/>
          <w:lang w:val="es-419"/>
        </w:rPr>
      </w:pPr>
      <w:r w:rsidRPr="00981EA4">
        <w:rPr>
          <w:noProof/>
          <w:lang w:val="en-US"/>
        </w:rPr>
        <w:drawing>
          <wp:inline distT="0" distB="0" distL="0" distR="0">
            <wp:extent cx="6134100" cy="2399019"/>
            <wp:effectExtent l="0" t="0" r="0" b="190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48770" cy="2404756"/>
                    </a:xfrm>
                    <a:prstGeom prst="rect">
                      <a:avLst/>
                    </a:prstGeom>
                    <a:noFill/>
                    <a:ln>
                      <a:noFill/>
                    </a:ln>
                  </pic:spPr>
                </pic:pic>
              </a:graphicData>
            </a:graphic>
          </wp:inline>
        </w:drawing>
      </w:r>
    </w:p>
    <w:p w:rsidR="0013647A" w:rsidRPr="00981EA4" w:rsidRDefault="0013647A" w:rsidP="0013647A">
      <w:pPr>
        <w:jc w:val="right"/>
        <w:rPr>
          <w:rFonts w:cs="Arial"/>
          <w:sz w:val="12"/>
          <w:szCs w:val="12"/>
          <w:lang w:val="es-419"/>
        </w:rPr>
      </w:pPr>
    </w:p>
    <w:p w:rsidR="0013647A" w:rsidRDefault="0013647A" w:rsidP="00E95681">
      <w:pPr>
        <w:ind w:left="567" w:hanging="567"/>
        <w:rPr>
          <w:rFonts w:cs="Arial"/>
          <w:iCs/>
          <w:color w:val="000000"/>
          <w:sz w:val="18"/>
          <w:szCs w:val="18"/>
          <w:lang w:val="es-419"/>
        </w:rPr>
      </w:pPr>
      <w:r w:rsidRPr="00981EA4">
        <w:rPr>
          <w:rFonts w:cs="Arial"/>
          <w:i/>
          <w:iCs/>
          <w:color w:val="000000"/>
          <w:sz w:val="18"/>
          <w:szCs w:val="18"/>
          <w:lang w:val="es-419"/>
        </w:rPr>
        <w:t>Not</w:t>
      </w:r>
      <w:r w:rsidR="002C7ACB" w:rsidRPr="00981EA4">
        <w:rPr>
          <w:rFonts w:cs="Arial"/>
          <w:i/>
          <w:iCs/>
          <w:color w:val="000000"/>
          <w:sz w:val="18"/>
          <w:szCs w:val="18"/>
          <w:lang w:val="es-419"/>
        </w:rPr>
        <w:t>a</w:t>
      </w:r>
      <w:r w:rsidRPr="00981EA4">
        <w:rPr>
          <w:rFonts w:cs="Arial"/>
          <w:i/>
          <w:iCs/>
          <w:color w:val="000000"/>
          <w:sz w:val="18"/>
          <w:szCs w:val="18"/>
          <w:lang w:val="es-419"/>
        </w:rPr>
        <w:t>:</w:t>
      </w:r>
      <w:r w:rsidRPr="00981EA4">
        <w:rPr>
          <w:rFonts w:cs="Arial"/>
          <w:i/>
          <w:iCs/>
          <w:color w:val="000000"/>
          <w:sz w:val="18"/>
          <w:szCs w:val="18"/>
          <w:lang w:val="es-419"/>
        </w:rPr>
        <w:tab/>
      </w:r>
      <w:r w:rsidR="002C7ACB" w:rsidRPr="00981EA4">
        <w:rPr>
          <w:rFonts w:cs="Arial"/>
          <w:sz w:val="18"/>
          <w:szCs w:val="18"/>
          <w:lang w:val="es-419"/>
        </w:rPr>
        <w:t xml:space="preserve">UPOV PRISMA es </w:t>
      </w:r>
      <w:r w:rsidR="002C19CA" w:rsidRPr="00981EA4">
        <w:rPr>
          <w:rFonts w:cs="Arial"/>
          <w:sz w:val="18"/>
          <w:szCs w:val="18"/>
          <w:lang w:val="es-419"/>
        </w:rPr>
        <w:t>una herramienta</w:t>
      </w:r>
      <w:r w:rsidR="002C7ACB" w:rsidRPr="00981EA4">
        <w:rPr>
          <w:rFonts w:cs="Arial"/>
          <w:sz w:val="18"/>
          <w:szCs w:val="18"/>
          <w:lang w:val="es-419"/>
        </w:rPr>
        <w:t xml:space="preserve"> en línea </w:t>
      </w:r>
      <w:r w:rsidR="00B805D3" w:rsidRPr="00981EA4">
        <w:rPr>
          <w:rFonts w:cs="Arial"/>
          <w:sz w:val="18"/>
          <w:szCs w:val="18"/>
          <w:lang w:val="es-419"/>
        </w:rPr>
        <w:t>cuyo objeto es prestar asistencia a</w:t>
      </w:r>
      <w:r w:rsidR="002C7ACB" w:rsidRPr="00981EA4">
        <w:rPr>
          <w:rFonts w:cs="Arial"/>
          <w:sz w:val="18"/>
          <w:szCs w:val="18"/>
          <w:lang w:val="es-419"/>
        </w:rPr>
        <w:t xml:space="preserve"> las oficinas de protección de las obtenciones vegetales de los miembros de la Unión participantes en la </w:t>
      </w:r>
      <w:bookmarkStart w:id="52" w:name="_GoBack"/>
      <w:bookmarkEnd w:id="52"/>
      <w:r w:rsidR="002C7ACB" w:rsidRPr="00981EA4">
        <w:rPr>
          <w:rFonts w:cs="Arial"/>
          <w:sz w:val="18"/>
          <w:szCs w:val="18"/>
          <w:lang w:val="es-419"/>
        </w:rPr>
        <w:t>presentación de solicitudes de protección de las obtenciones vegetales</w:t>
      </w:r>
      <w:r w:rsidRPr="00981EA4">
        <w:rPr>
          <w:rFonts w:cs="Arial"/>
          <w:iCs/>
          <w:color w:val="000000"/>
          <w:sz w:val="18"/>
          <w:szCs w:val="18"/>
          <w:lang w:val="es-419"/>
        </w:rPr>
        <w:t>. </w:t>
      </w:r>
      <w:r w:rsidR="00A90CE3" w:rsidRPr="00981EA4">
        <w:rPr>
          <w:rFonts w:cs="Arial"/>
          <w:iCs/>
          <w:color w:val="000000"/>
          <w:sz w:val="18"/>
          <w:szCs w:val="18"/>
          <w:lang w:val="es-419"/>
        </w:rPr>
        <w:t>El f</w:t>
      </w:r>
      <w:r w:rsidR="002C7ACB" w:rsidRPr="00981EA4">
        <w:rPr>
          <w:rFonts w:cs="Arial"/>
          <w:iCs/>
          <w:color w:val="000000"/>
          <w:sz w:val="18"/>
          <w:szCs w:val="18"/>
          <w:lang w:val="es-419"/>
        </w:rPr>
        <w:t xml:space="preserve">ondo </w:t>
      </w:r>
      <w:r w:rsidR="00B805D3" w:rsidRPr="00981EA4">
        <w:rPr>
          <w:rFonts w:cs="Arial"/>
          <w:iCs/>
          <w:color w:val="000000"/>
          <w:sz w:val="18"/>
          <w:szCs w:val="18"/>
          <w:lang w:val="es-419"/>
        </w:rPr>
        <w:t>destinado</w:t>
      </w:r>
      <w:r w:rsidR="002C7ACB" w:rsidRPr="00981EA4">
        <w:rPr>
          <w:rFonts w:cs="Arial"/>
          <w:iCs/>
          <w:color w:val="000000"/>
          <w:sz w:val="18"/>
          <w:szCs w:val="18"/>
          <w:lang w:val="es-419"/>
        </w:rPr>
        <w:t xml:space="preserve"> UPOV P</w:t>
      </w:r>
      <w:r w:rsidRPr="00981EA4">
        <w:rPr>
          <w:rFonts w:cs="Arial"/>
          <w:iCs/>
          <w:color w:val="000000"/>
          <w:sz w:val="18"/>
          <w:szCs w:val="18"/>
          <w:lang w:val="es-419"/>
        </w:rPr>
        <w:t xml:space="preserve">RISMA </w:t>
      </w:r>
      <w:r w:rsidR="002C7ACB" w:rsidRPr="00981EA4">
        <w:rPr>
          <w:rFonts w:cs="Arial"/>
          <w:iCs/>
          <w:color w:val="000000"/>
          <w:sz w:val="18"/>
          <w:szCs w:val="18"/>
          <w:lang w:val="es-419"/>
        </w:rPr>
        <w:t xml:space="preserve">es una contribución a cargo de </w:t>
      </w:r>
      <w:r w:rsidRPr="00981EA4">
        <w:rPr>
          <w:rFonts w:cs="Arial"/>
          <w:iCs/>
          <w:color w:val="000000"/>
          <w:sz w:val="18"/>
          <w:szCs w:val="18"/>
          <w:lang w:val="es-419"/>
        </w:rPr>
        <w:t>Naktuinbouw (</w:t>
      </w:r>
      <w:r w:rsidR="002C7ACB" w:rsidRPr="00981EA4">
        <w:rPr>
          <w:rFonts w:cs="Arial"/>
          <w:iCs/>
          <w:color w:val="000000"/>
          <w:sz w:val="18"/>
          <w:szCs w:val="18"/>
          <w:lang w:val="es-419"/>
        </w:rPr>
        <w:t>Países Bajos</w:t>
      </w:r>
      <w:r w:rsidRPr="00981EA4">
        <w:rPr>
          <w:rFonts w:cs="Arial"/>
          <w:iCs/>
          <w:color w:val="000000"/>
          <w:sz w:val="18"/>
          <w:szCs w:val="18"/>
          <w:lang w:val="es-419"/>
        </w:rPr>
        <w:t xml:space="preserve">) </w:t>
      </w:r>
      <w:r w:rsidR="002C7ACB" w:rsidRPr="00981EA4">
        <w:rPr>
          <w:rFonts w:cs="Arial"/>
          <w:iCs/>
          <w:color w:val="000000"/>
          <w:sz w:val="18"/>
          <w:szCs w:val="18"/>
          <w:lang w:val="es-419"/>
        </w:rPr>
        <w:t xml:space="preserve">para </w:t>
      </w:r>
      <w:r w:rsidR="00B805D3" w:rsidRPr="00981EA4">
        <w:rPr>
          <w:rFonts w:cs="Arial"/>
          <w:iCs/>
          <w:color w:val="000000"/>
          <w:sz w:val="18"/>
          <w:szCs w:val="18"/>
          <w:lang w:val="es-419"/>
        </w:rPr>
        <w:t>apoyar</w:t>
      </w:r>
      <w:r w:rsidR="002C7ACB" w:rsidRPr="00981EA4">
        <w:rPr>
          <w:rFonts w:cs="Arial"/>
          <w:iCs/>
          <w:color w:val="000000"/>
          <w:sz w:val="18"/>
          <w:szCs w:val="18"/>
          <w:lang w:val="es-419"/>
        </w:rPr>
        <w:t xml:space="preserve"> el desarrollo de </w:t>
      </w:r>
      <w:r w:rsidRPr="00981EA4">
        <w:rPr>
          <w:rFonts w:cs="Arial"/>
          <w:iCs/>
          <w:color w:val="000000"/>
          <w:sz w:val="18"/>
          <w:szCs w:val="18"/>
          <w:lang w:val="es-419"/>
        </w:rPr>
        <w:t>UPOV PRISMA</w:t>
      </w:r>
      <w:r w:rsidR="00A90CE3" w:rsidRPr="00981EA4">
        <w:rPr>
          <w:rFonts w:cs="Arial"/>
          <w:iCs/>
          <w:color w:val="000000"/>
          <w:sz w:val="18"/>
          <w:szCs w:val="18"/>
          <w:lang w:val="es-419"/>
        </w:rPr>
        <w:t>.</w:t>
      </w:r>
    </w:p>
    <w:p w:rsidR="00E95681" w:rsidRPr="00981EA4" w:rsidRDefault="00E95681" w:rsidP="00E95681">
      <w:pPr>
        <w:ind w:left="567" w:hanging="567"/>
        <w:rPr>
          <w:rFonts w:cs="Arial"/>
          <w:lang w:val="es-419"/>
        </w:rPr>
      </w:pPr>
      <w:r w:rsidRPr="00E95681">
        <w:rPr>
          <w:rFonts w:cs="Arial"/>
          <w:i/>
          <w:iCs/>
          <w:noProof/>
          <w:color w:val="000000"/>
          <w:szCs w:val="18"/>
          <w:lang w:val="en-US"/>
        </w:rPr>
        <mc:AlternateContent>
          <mc:Choice Requires="wps">
            <w:drawing>
              <wp:anchor distT="0" distB="0" distL="114300" distR="114300" simplePos="0" relativeHeight="251659264" behindDoc="0" locked="0" layoutInCell="0" allowOverlap="1">
                <wp:simplePos x="0" y="0"/>
                <wp:positionH relativeFrom="column">
                  <wp:posOffset>4256405</wp:posOffset>
                </wp:positionH>
                <wp:positionV relativeFrom="paragraph">
                  <wp:posOffset>215900</wp:posOffset>
                </wp:positionV>
                <wp:extent cx="1920875" cy="2286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681" w:rsidRPr="009929A5" w:rsidRDefault="00E95681">
                            <w:pPr>
                              <w:ind w:right="53"/>
                              <w:jc w:val="right"/>
                              <w:rPr>
                                <w:rFonts w:cs="Arial"/>
                              </w:rPr>
                            </w:pPr>
                            <w:r w:rsidRPr="00981EA4">
                              <w:rPr>
                                <w:rFonts w:cs="Arial"/>
                                <w:lang w:val="es-419"/>
                              </w:rPr>
                              <w:t>[Fin del Anexo y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5.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w+rgIAAKo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" o:allowincell="f" filled="f" stroked="f">
                <v:textbox inset="0,0,0,0">
                  <w:txbxContent>
                    <w:p w:rsidR="00E95681" w:rsidRPr="009929A5" w:rsidRDefault="00E95681">
                      <w:pPr>
                        <w:ind w:right="53"/>
                        <w:jc w:val="right"/>
                        <w:rPr>
                          <w:rFonts w:cs="Arial"/>
                        </w:rPr>
                      </w:pPr>
                      <w:r w:rsidRPr="00981EA4">
                        <w:rPr>
                          <w:rFonts w:cs="Arial"/>
                          <w:lang w:val="es-419"/>
                        </w:rPr>
                        <w:t>[Fin del Anexo y del documento]</w:t>
                      </w:r>
                    </w:p>
                  </w:txbxContent>
                </v:textbox>
              </v:shape>
            </w:pict>
          </mc:Fallback>
        </mc:AlternateContent>
      </w:r>
    </w:p>
    <w:sectPr w:rsidR="00E95681" w:rsidRPr="00981EA4" w:rsidSect="00DD1FDD">
      <w:headerReference w:type="even" r:id="rId51"/>
      <w:headerReference w:type="default" r:id="rId52"/>
      <w:footerReference w:type="even" r:id="rId53"/>
      <w:footerReference w:type="default" r:id="rId54"/>
      <w:headerReference w:type="first" r:id="rId55"/>
      <w:footerReference w:type="first" r:id="rId5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FE" w:rsidRDefault="00032BFE" w:rsidP="006655D3">
      <w:r>
        <w:separator/>
      </w:r>
    </w:p>
    <w:p w:rsidR="00032BFE" w:rsidRDefault="00032BFE" w:rsidP="006655D3"/>
    <w:p w:rsidR="00032BFE" w:rsidRDefault="00032BFE" w:rsidP="006655D3"/>
  </w:endnote>
  <w:endnote w:type="continuationSeparator" w:id="0">
    <w:p w:rsidR="00032BFE" w:rsidRDefault="00032BFE" w:rsidP="006655D3">
      <w:r>
        <w:separator/>
      </w:r>
    </w:p>
    <w:p w:rsidR="00032BFE" w:rsidRPr="00294751" w:rsidRDefault="00032BFE">
      <w:pPr>
        <w:pStyle w:val="Footer"/>
        <w:spacing w:after="60"/>
        <w:rPr>
          <w:sz w:val="18"/>
          <w:lang w:val="fr-FR"/>
        </w:rPr>
      </w:pPr>
      <w:r w:rsidRPr="00294751">
        <w:rPr>
          <w:sz w:val="18"/>
          <w:lang w:val="fr-FR"/>
        </w:rPr>
        <w:t>[Suite de la note de la page précédente]</w:t>
      </w:r>
    </w:p>
    <w:p w:rsidR="00032BFE" w:rsidRPr="00294751" w:rsidRDefault="00032BFE" w:rsidP="006655D3">
      <w:pPr>
        <w:rPr>
          <w:lang w:val="fr-FR"/>
        </w:rPr>
      </w:pPr>
    </w:p>
    <w:p w:rsidR="00032BFE" w:rsidRPr="00294751" w:rsidRDefault="00032BFE" w:rsidP="006655D3">
      <w:pPr>
        <w:rPr>
          <w:lang w:val="fr-FR"/>
        </w:rPr>
      </w:pPr>
    </w:p>
  </w:endnote>
  <w:endnote w:type="continuationNotice" w:id="1">
    <w:p w:rsidR="00032BFE" w:rsidRPr="00294751" w:rsidRDefault="00032BFE" w:rsidP="006655D3">
      <w:pPr>
        <w:rPr>
          <w:lang w:val="fr-FR"/>
        </w:rPr>
      </w:pPr>
      <w:r w:rsidRPr="00294751">
        <w:rPr>
          <w:lang w:val="fr-FR"/>
        </w:rPr>
        <w:t>[Suite de la note page suivante]</w:t>
      </w:r>
    </w:p>
    <w:p w:rsidR="00032BFE" w:rsidRPr="00294751" w:rsidRDefault="00032BFE" w:rsidP="006655D3">
      <w:pPr>
        <w:rPr>
          <w:lang w:val="fr-FR"/>
        </w:rPr>
      </w:pPr>
    </w:p>
    <w:p w:rsidR="00032BFE" w:rsidRPr="00294751" w:rsidRDefault="00032B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Default="00AC130F" w:rsidP="00AC130F">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130F" w:rsidRDefault="00AC130F" w:rsidP="00AC130F">
                          <w:pPr>
                            <w:jc w:val="center"/>
                          </w:pPr>
                          <w:r w:rsidRPr="00AC130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C130F" w:rsidRDefault="00AC130F" w:rsidP="00AC130F">
                    <w:pPr>
                      <w:jc w:val="center"/>
                    </w:pPr>
                    <w:r w:rsidRPr="00AC130F">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Default="00AC130F">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130F" w:rsidRDefault="00AC130F" w:rsidP="00AC130F">
                          <w:pPr>
                            <w:jc w:val="center"/>
                          </w:pPr>
                          <w:r w:rsidRPr="00AC130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AC130F" w:rsidRDefault="00AC130F" w:rsidP="00AC130F">
                    <w:pPr>
                      <w:jc w:val="center"/>
                    </w:pPr>
                    <w:r w:rsidRPr="00AC130F">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D1" w:rsidRDefault="00957FD1">
    <w:pPr>
      <w:pStyle w:val="Footer"/>
      <w:jc w:val="right"/>
    </w:pPr>
  </w:p>
  <w:p w:rsidR="00957FD1" w:rsidRDefault="00957F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Default="00AC130F" w:rsidP="00AC13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Default="00AC13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Default="00AC130F">
    <w:pPr>
      <w:pStyle w:val="Footer"/>
      <w:jc w:val="right"/>
    </w:pPr>
  </w:p>
  <w:p w:rsidR="00AC130F" w:rsidRDefault="00AC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FE" w:rsidRDefault="00032BFE" w:rsidP="006655D3">
      <w:r>
        <w:separator/>
      </w:r>
    </w:p>
  </w:footnote>
  <w:footnote w:type="continuationSeparator" w:id="0">
    <w:p w:rsidR="00032BFE" w:rsidRDefault="00032BFE" w:rsidP="006655D3">
      <w:r>
        <w:separator/>
      </w:r>
    </w:p>
  </w:footnote>
  <w:footnote w:type="continuationNotice" w:id="1">
    <w:p w:rsidR="00032BFE" w:rsidRPr="00AB530F" w:rsidRDefault="00032BF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Pr="00C5280D" w:rsidRDefault="00AC130F" w:rsidP="00AC130F">
    <w:pPr>
      <w:pStyle w:val="Header"/>
      <w:rPr>
        <w:rStyle w:val="PageNumber"/>
        <w:lang w:val="en-US"/>
      </w:rPr>
    </w:pPr>
    <w:r>
      <w:rPr>
        <w:rStyle w:val="PageNumber"/>
        <w:lang w:val="en-US"/>
      </w:rPr>
      <w:t>C/54/4</w:t>
    </w:r>
  </w:p>
  <w:p w:rsidR="00AC130F" w:rsidRPr="00C5280D" w:rsidRDefault="00AC130F" w:rsidP="00AC130F">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23</w:t>
    </w:r>
    <w:r w:rsidRPr="00C5280D">
      <w:rPr>
        <w:rStyle w:val="PageNumber"/>
        <w:lang w:val="en-US"/>
      </w:rPr>
      <w:fldChar w:fldCharType="end"/>
    </w:r>
  </w:p>
  <w:p w:rsidR="00AC130F" w:rsidRPr="00C5280D" w:rsidRDefault="00AC130F" w:rsidP="00AC130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D1" w:rsidRPr="00C5280D" w:rsidRDefault="00957FD1" w:rsidP="00957FD1">
    <w:pPr>
      <w:pStyle w:val="Header"/>
      <w:rPr>
        <w:rStyle w:val="PageNumber"/>
        <w:lang w:val="en-US"/>
      </w:rPr>
    </w:pPr>
    <w:r>
      <w:rPr>
        <w:rStyle w:val="PageNumber"/>
        <w:lang w:val="en-US"/>
      </w:rPr>
      <w:t>C/54/4</w:t>
    </w:r>
  </w:p>
  <w:p w:rsidR="00957FD1" w:rsidRPr="00C5280D" w:rsidRDefault="00957FD1" w:rsidP="00957FD1">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23</w:t>
    </w:r>
    <w:r w:rsidRPr="00C5280D">
      <w:rPr>
        <w:rStyle w:val="PageNumber"/>
        <w:lang w:val="en-US"/>
      </w:rPr>
      <w:fldChar w:fldCharType="end"/>
    </w:r>
  </w:p>
  <w:p w:rsidR="00957FD1" w:rsidRPr="00C5280D" w:rsidRDefault="00957FD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0F" w:rsidRPr="000A23DC" w:rsidRDefault="00AC130F" w:rsidP="00AC130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130F" w:rsidRDefault="00AC130F" w:rsidP="00AC130F">
                          <w:pPr>
                            <w:jc w:val="center"/>
                          </w:pPr>
                          <w:r w:rsidRPr="00AC130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0u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4x0uqgIAAGQFAAAOAAAAAAAAAAAAAAAA&#10;AC4CAABkcnMvZTJvRG9jLnhtbFBLAQItABQABgAIAAAAIQDN8vMo2gAAAAgBAAAPAAAAAAAAAAAA&#10;AAAAAAQFAABkcnMvZG93bnJldi54bWxQSwUGAAAAAAQABADzAAAACwYAAAAA&#10;" o:allowincell="f" filled="f" stroked="f" strokeweight=".5pt">
              <v:path arrowok="t"/>
              <v:textbox>
                <w:txbxContent>
                  <w:p w:rsidR="00AC130F" w:rsidRDefault="00AC130F" w:rsidP="00AC130F">
                    <w:pPr>
                      <w:jc w:val="center"/>
                    </w:pPr>
                    <w:r w:rsidRPr="00AC130F">
                      <w:rPr>
                        <w:color w:val="000000"/>
                        <w:sz w:val="17"/>
                      </w:rPr>
                      <w:t>WIPO FOR OFFICIAL USE ONLY</w:t>
                    </w:r>
                  </w:p>
                </w:txbxContent>
              </v:textbox>
              <w10:wrap anchorx="margin" anchory="margin"/>
            </v:shape>
          </w:pict>
        </mc:Fallback>
      </mc:AlternateContent>
    </w:r>
    <w:r>
      <w:rPr>
        <w:rStyle w:val="PageNumber"/>
      </w:rPr>
      <w:t>C/54</w:t>
    </w:r>
    <w:r w:rsidRPr="000A23DC">
      <w:rPr>
        <w:rStyle w:val="PageNumber"/>
      </w:rPr>
      <w:t>/</w:t>
    </w:r>
    <w:r>
      <w:rPr>
        <w:rStyle w:val="PageNumber"/>
      </w:rPr>
      <w:t>4</w:t>
    </w:r>
  </w:p>
  <w:p w:rsidR="00AC130F" w:rsidRPr="00202E38" w:rsidRDefault="00AC130F" w:rsidP="00AC130F">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DD1FDD">
      <w:rPr>
        <w:rStyle w:val="PageNumber"/>
        <w:noProof/>
        <w:lang w:val="de-DE"/>
      </w:rPr>
      <w:t>2</w:t>
    </w:r>
    <w:r w:rsidRPr="00202E38">
      <w:rPr>
        <w:rStyle w:val="PageNumber"/>
        <w:lang w:val="de-DE"/>
      </w:rPr>
      <w:fldChar w:fldCharType="end"/>
    </w:r>
  </w:p>
  <w:p w:rsidR="00AC130F" w:rsidRPr="00202E38" w:rsidRDefault="00AC130F" w:rsidP="00AC130F">
    <w:pP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D1" w:rsidRPr="000A23DC" w:rsidRDefault="00957FD1" w:rsidP="000A23DC">
    <w:pPr>
      <w:pStyle w:val="Header"/>
      <w:rPr>
        <w:rStyle w:val="PageNumber"/>
      </w:rPr>
    </w:pPr>
    <w:r>
      <w:rPr>
        <w:rStyle w:val="PageNumber"/>
      </w:rPr>
      <w:t>C/54</w:t>
    </w:r>
    <w:r w:rsidRPr="000A23DC">
      <w:rPr>
        <w:rStyle w:val="PageNumber"/>
      </w:rPr>
      <w:t>/</w:t>
    </w:r>
    <w:r>
      <w:rPr>
        <w:rStyle w:val="PageNumber"/>
      </w:rPr>
      <w:t>4</w:t>
    </w:r>
  </w:p>
  <w:p w:rsidR="00957FD1" w:rsidRPr="00202E38" w:rsidRDefault="00957FD1"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AC13B4">
      <w:rPr>
        <w:rStyle w:val="PageNumber"/>
        <w:noProof/>
        <w:lang w:val="de-DE"/>
      </w:rPr>
      <w:t>25</w:t>
    </w:r>
    <w:r w:rsidRPr="00202E38">
      <w:rPr>
        <w:rStyle w:val="PageNumber"/>
        <w:lang w:val="de-DE"/>
      </w:rPr>
      <w:fldChar w:fldCharType="end"/>
    </w:r>
  </w:p>
  <w:p w:rsidR="00957FD1" w:rsidRPr="00202E38" w:rsidRDefault="00957FD1"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D1" w:rsidRDefault="00957FD1">
    <w:pPr>
      <w:pStyle w:val="Header"/>
      <w:rPr>
        <w:lang w:val="es-ES"/>
      </w:rPr>
    </w:pPr>
    <w:r>
      <w:rPr>
        <w:lang w:val="es-ES"/>
      </w:rPr>
      <w:t>C/54/4</w:t>
    </w:r>
  </w:p>
  <w:p w:rsidR="00957FD1" w:rsidRDefault="00957FD1">
    <w:pPr>
      <w:pStyle w:val="Header"/>
      <w:rPr>
        <w:lang w:val="es-ES"/>
      </w:rPr>
    </w:pPr>
  </w:p>
  <w:p w:rsidR="00957FD1" w:rsidRDefault="00957FD1">
    <w:pPr>
      <w:pStyle w:val="Header"/>
      <w:rPr>
        <w:lang w:val="es-ES"/>
      </w:rPr>
    </w:pPr>
    <w:r>
      <w:rPr>
        <w:lang w:val="es-ES"/>
      </w:rPr>
      <w:t>ANEXO</w:t>
    </w:r>
  </w:p>
  <w:p w:rsidR="00957FD1" w:rsidRPr="00813583" w:rsidRDefault="00957FD1">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6E"/>
    <w:rsid w:val="0000004B"/>
    <w:rsid w:val="00005B6A"/>
    <w:rsid w:val="00010CF3"/>
    <w:rsid w:val="00011E27"/>
    <w:rsid w:val="00011F60"/>
    <w:rsid w:val="000148BC"/>
    <w:rsid w:val="00020DBF"/>
    <w:rsid w:val="00024AB8"/>
    <w:rsid w:val="0002586E"/>
    <w:rsid w:val="00030854"/>
    <w:rsid w:val="00032BFE"/>
    <w:rsid w:val="0003451D"/>
    <w:rsid w:val="00036028"/>
    <w:rsid w:val="00044642"/>
    <w:rsid w:val="000446B9"/>
    <w:rsid w:val="00047E21"/>
    <w:rsid w:val="000502A5"/>
    <w:rsid w:val="00050E16"/>
    <w:rsid w:val="000638A9"/>
    <w:rsid w:val="00065335"/>
    <w:rsid w:val="00065E1A"/>
    <w:rsid w:val="000701E0"/>
    <w:rsid w:val="00085505"/>
    <w:rsid w:val="000923E1"/>
    <w:rsid w:val="000A014B"/>
    <w:rsid w:val="000A05C8"/>
    <w:rsid w:val="000A23DC"/>
    <w:rsid w:val="000A7839"/>
    <w:rsid w:val="000B5356"/>
    <w:rsid w:val="000C4E25"/>
    <w:rsid w:val="000C7021"/>
    <w:rsid w:val="000D110E"/>
    <w:rsid w:val="000D6BBC"/>
    <w:rsid w:val="000D7780"/>
    <w:rsid w:val="000D7E02"/>
    <w:rsid w:val="000E072F"/>
    <w:rsid w:val="000E636A"/>
    <w:rsid w:val="000F2F11"/>
    <w:rsid w:val="000F444E"/>
    <w:rsid w:val="000F6BA0"/>
    <w:rsid w:val="00100E33"/>
    <w:rsid w:val="00105929"/>
    <w:rsid w:val="00110C36"/>
    <w:rsid w:val="001131D5"/>
    <w:rsid w:val="001244C9"/>
    <w:rsid w:val="0013647A"/>
    <w:rsid w:val="00141DB8"/>
    <w:rsid w:val="00146D79"/>
    <w:rsid w:val="001677A8"/>
    <w:rsid w:val="00172084"/>
    <w:rsid w:val="0017474A"/>
    <w:rsid w:val="001758C6"/>
    <w:rsid w:val="00180033"/>
    <w:rsid w:val="00182B99"/>
    <w:rsid w:val="001849D4"/>
    <w:rsid w:val="001A07DC"/>
    <w:rsid w:val="001A18EE"/>
    <w:rsid w:val="001A5D90"/>
    <w:rsid w:val="001C6AB1"/>
    <w:rsid w:val="001F64BF"/>
    <w:rsid w:val="002028FE"/>
    <w:rsid w:val="00202E38"/>
    <w:rsid w:val="00203F6E"/>
    <w:rsid w:val="00206C99"/>
    <w:rsid w:val="0020771E"/>
    <w:rsid w:val="0021332C"/>
    <w:rsid w:val="00213982"/>
    <w:rsid w:val="002403A4"/>
    <w:rsid w:val="0024416D"/>
    <w:rsid w:val="002464A3"/>
    <w:rsid w:val="0025420B"/>
    <w:rsid w:val="002554BA"/>
    <w:rsid w:val="00271911"/>
    <w:rsid w:val="002720FF"/>
    <w:rsid w:val="002766D1"/>
    <w:rsid w:val="002800A0"/>
    <w:rsid w:val="002801B3"/>
    <w:rsid w:val="00281060"/>
    <w:rsid w:val="00287119"/>
    <w:rsid w:val="00293870"/>
    <w:rsid w:val="002940E8"/>
    <w:rsid w:val="00294751"/>
    <w:rsid w:val="002A6E50"/>
    <w:rsid w:val="002A7B95"/>
    <w:rsid w:val="002B4298"/>
    <w:rsid w:val="002C19CA"/>
    <w:rsid w:val="002C256A"/>
    <w:rsid w:val="002C5292"/>
    <w:rsid w:val="002C7ACB"/>
    <w:rsid w:val="002E178F"/>
    <w:rsid w:val="002E5944"/>
    <w:rsid w:val="00305A7F"/>
    <w:rsid w:val="003152FE"/>
    <w:rsid w:val="00327436"/>
    <w:rsid w:val="00327657"/>
    <w:rsid w:val="00344BD6"/>
    <w:rsid w:val="00354E17"/>
    <w:rsid w:val="0035528D"/>
    <w:rsid w:val="00361821"/>
    <w:rsid w:val="00361E9E"/>
    <w:rsid w:val="0036276F"/>
    <w:rsid w:val="003A0C19"/>
    <w:rsid w:val="003B031A"/>
    <w:rsid w:val="003B34F2"/>
    <w:rsid w:val="003C5EE5"/>
    <w:rsid w:val="003C7FBE"/>
    <w:rsid w:val="003D1778"/>
    <w:rsid w:val="003D19C8"/>
    <w:rsid w:val="003D227C"/>
    <w:rsid w:val="003D2B4D"/>
    <w:rsid w:val="003D5DCC"/>
    <w:rsid w:val="003E60EC"/>
    <w:rsid w:val="00401DA6"/>
    <w:rsid w:val="00401DDB"/>
    <w:rsid w:val="0040557F"/>
    <w:rsid w:val="00405DF2"/>
    <w:rsid w:val="00425D19"/>
    <w:rsid w:val="00444A88"/>
    <w:rsid w:val="00474DA4"/>
    <w:rsid w:val="00476B4D"/>
    <w:rsid w:val="004805FA"/>
    <w:rsid w:val="004935D2"/>
    <w:rsid w:val="004B1215"/>
    <w:rsid w:val="004B35C3"/>
    <w:rsid w:val="004D047D"/>
    <w:rsid w:val="004F1E9E"/>
    <w:rsid w:val="004F305A"/>
    <w:rsid w:val="00512164"/>
    <w:rsid w:val="00516248"/>
    <w:rsid w:val="00520297"/>
    <w:rsid w:val="0052525A"/>
    <w:rsid w:val="00525EBF"/>
    <w:rsid w:val="00526280"/>
    <w:rsid w:val="005338F9"/>
    <w:rsid w:val="0054281C"/>
    <w:rsid w:val="00544581"/>
    <w:rsid w:val="00545E42"/>
    <w:rsid w:val="00546828"/>
    <w:rsid w:val="0055268D"/>
    <w:rsid w:val="00576BE4"/>
    <w:rsid w:val="005777B5"/>
    <w:rsid w:val="005A2587"/>
    <w:rsid w:val="005A400A"/>
    <w:rsid w:val="005B404A"/>
    <w:rsid w:val="005D4FF9"/>
    <w:rsid w:val="005F7B92"/>
    <w:rsid w:val="00612379"/>
    <w:rsid w:val="00614A02"/>
    <w:rsid w:val="006153B6"/>
    <w:rsid w:val="0061555F"/>
    <w:rsid w:val="00624BB1"/>
    <w:rsid w:val="00631292"/>
    <w:rsid w:val="00636CA6"/>
    <w:rsid w:val="00636F2D"/>
    <w:rsid w:val="00637EDD"/>
    <w:rsid w:val="00641200"/>
    <w:rsid w:val="00645CA8"/>
    <w:rsid w:val="00660329"/>
    <w:rsid w:val="006655D3"/>
    <w:rsid w:val="00665B6D"/>
    <w:rsid w:val="00667404"/>
    <w:rsid w:val="00683CEC"/>
    <w:rsid w:val="00687EB4"/>
    <w:rsid w:val="00695C56"/>
    <w:rsid w:val="006A32E5"/>
    <w:rsid w:val="006A5CDE"/>
    <w:rsid w:val="006A644A"/>
    <w:rsid w:val="006B17D2"/>
    <w:rsid w:val="006C224E"/>
    <w:rsid w:val="006D780A"/>
    <w:rsid w:val="006E2CFB"/>
    <w:rsid w:val="006F0FF9"/>
    <w:rsid w:val="006F2358"/>
    <w:rsid w:val="00710FAD"/>
    <w:rsid w:val="0071271E"/>
    <w:rsid w:val="00714027"/>
    <w:rsid w:val="00714236"/>
    <w:rsid w:val="00721168"/>
    <w:rsid w:val="0072308B"/>
    <w:rsid w:val="00731E34"/>
    <w:rsid w:val="0073260A"/>
    <w:rsid w:val="00732DEC"/>
    <w:rsid w:val="00735BD5"/>
    <w:rsid w:val="007510FB"/>
    <w:rsid w:val="00751613"/>
    <w:rsid w:val="00751925"/>
    <w:rsid w:val="007556F6"/>
    <w:rsid w:val="00755C68"/>
    <w:rsid w:val="00756712"/>
    <w:rsid w:val="00760EEF"/>
    <w:rsid w:val="00777EE5"/>
    <w:rsid w:val="00783722"/>
    <w:rsid w:val="00784836"/>
    <w:rsid w:val="0078665A"/>
    <w:rsid w:val="0079023E"/>
    <w:rsid w:val="00791E60"/>
    <w:rsid w:val="007A2854"/>
    <w:rsid w:val="007C1D92"/>
    <w:rsid w:val="007C4CB9"/>
    <w:rsid w:val="007D0B9D"/>
    <w:rsid w:val="007D19B0"/>
    <w:rsid w:val="007F28C2"/>
    <w:rsid w:val="007F498F"/>
    <w:rsid w:val="0080679D"/>
    <w:rsid w:val="008108B0"/>
    <w:rsid w:val="00811B20"/>
    <w:rsid w:val="00813583"/>
    <w:rsid w:val="008211B5"/>
    <w:rsid w:val="0082296E"/>
    <w:rsid w:val="00824099"/>
    <w:rsid w:val="008261D2"/>
    <w:rsid w:val="0083375A"/>
    <w:rsid w:val="0083470B"/>
    <w:rsid w:val="0084455A"/>
    <w:rsid w:val="00846D7C"/>
    <w:rsid w:val="00857001"/>
    <w:rsid w:val="008574A4"/>
    <w:rsid w:val="00864C55"/>
    <w:rsid w:val="00864C97"/>
    <w:rsid w:val="00866D74"/>
    <w:rsid w:val="00867AC1"/>
    <w:rsid w:val="00874E7C"/>
    <w:rsid w:val="00875A53"/>
    <w:rsid w:val="00890DF8"/>
    <w:rsid w:val="008A743F"/>
    <w:rsid w:val="008B3D8D"/>
    <w:rsid w:val="008C0970"/>
    <w:rsid w:val="008D0BC5"/>
    <w:rsid w:val="008D2CF7"/>
    <w:rsid w:val="008F0A61"/>
    <w:rsid w:val="00900C26"/>
    <w:rsid w:val="0090197F"/>
    <w:rsid w:val="00901D60"/>
    <w:rsid w:val="0090205F"/>
    <w:rsid w:val="00906188"/>
    <w:rsid w:val="00906DDC"/>
    <w:rsid w:val="009259E9"/>
    <w:rsid w:val="00934E09"/>
    <w:rsid w:val="00936253"/>
    <w:rsid w:val="00940D46"/>
    <w:rsid w:val="00941FB0"/>
    <w:rsid w:val="00952DD4"/>
    <w:rsid w:val="00957FD1"/>
    <w:rsid w:val="0096175D"/>
    <w:rsid w:val="00965AE7"/>
    <w:rsid w:val="00970FED"/>
    <w:rsid w:val="0097505F"/>
    <w:rsid w:val="00976750"/>
    <w:rsid w:val="00980F55"/>
    <w:rsid w:val="00981EA4"/>
    <w:rsid w:val="00992D82"/>
    <w:rsid w:val="00997029"/>
    <w:rsid w:val="009A279C"/>
    <w:rsid w:val="009A7339"/>
    <w:rsid w:val="009B2EF2"/>
    <w:rsid w:val="009B440E"/>
    <w:rsid w:val="009C48E8"/>
    <w:rsid w:val="009C78CF"/>
    <w:rsid w:val="009D690D"/>
    <w:rsid w:val="009E65B6"/>
    <w:rsid w:val="00A20FB2"/>
    <w:rsid w:val="00A24C10"/>
    <w:rsid w:val="00A42AC3"/>
    <w:rsid w:val="00A430CF"/>
    <w:rsid w:val="00A54309"/>
    <w:rsid w:val="00A706D3"/>
    <w:rsid w:val="00A72C84"/>
    <w:rsid w:val="00A80894"/>
    <w:rsid w:val="00A90CE3"/>
    <w:rsid w:val="00AA5BB4"/>
    <w:rsid w:val="00AA73E1"/>
    <w:rsid w:val="00AB0231"/>
    <w:rsid w:val="00AB2B93"/>
    <w:rsid w:val="00AB530F"/>
    <w:rsid w:val="00AB7E5B"/>
    <w:rsid w:val="00AC0D15"/>
    <w:rsid w:val="00AC130F"/>
    <w:rsid w:val="00AC13B4"/>
    <w:rsid w:val="00AC2883"/>
    <w:rsid w:val="00AD0333"/>
    <w:rsid w:val="00AD5A58"/>
    <w:rsid w:val="00AE0EF1"/>
    <w:rsid w:val="00AE2937"/>
    <w:rsid w:val="00AF1D65"/>
    <w:rsid w:val="00AF473A"/>
    <w:rsid w:val="00B01C6F"/>
    <w:rsid w:val="00B07301"/>
    <w:rsid w:val="00B11F3E"/>
    <w:rsid w:val="00B224DE"/>
    <w:rsid w:val="00B324D4"/>
    <w:rsid w:val="00B46575"/>
    <w:rsid w:val="00B61777"/>
    <w:rsid w:val="00B805D3"/>
    <w:rsid w:val="00B8495E"/>
    <w:rsid w:val="00B84BBD"/>
    <w:rsid w:val="00BA43FB"/>
    <w:rsid w:val="00BC0BD4"/>
    <w:rsid w:val="00BC127D"/>
    <w:rsid w:val="00BC1FE6"/>
    <w:rsid w:val="00BD2A54"/>
    <w:rsid w:val="00BD64FE"/>
    <w:rsid w:val="00BE72AB"/>
    <w:rsid w:val="00C061B6"/>
    <w:rsid w:val="00C10A64"/>
    <w:rsid w:val="00C178E1"/>
    <w:rsid w:val="00C2446C"/>
    <w:rsid w:val="00C36AE5"/>
    <w:rsid w:val="00C40404"/>
    <w:rsid w:val="00C405D2"/>
    <w:rsid w:val="00C41167"/>
    <w:rsid w:val="00C41F17"/>
    <w:rsid w:val="00C44407"/>
    <w:rsid w:val="00C527FA"/>
    <w:rsid w:val="00C5280D"/>
    <w:rsid w:val="00C53EB3"/>
    <w:rsid w:val="00C5791C"/>
    <w:rsid w:val="00C61844"/>
    <w:rsid w:val="00C66290"/>
    <w:rsid w:val="00C72B7A"/>
    <w:rsid w:val="00C872AF"/>
    <w:rsid w:val="00C973F2"/>
    <w:rsid w:val="00CA304C"/>
    <w:rsid w:val="00CA774A"/>
    <w:rsid w:val="00CB43A2"/>
    <w:rsid w:val="00CC11B0"/>
    <w:rsid w:val="00CC2841"/>
    <w:rsid w:val="00CF0BE2"/>
    <w:rsid w:val="00CF1330"/>
    <w:rsid w:val="00CF7E36"/>
    <w:rsid w:val="00D24A71"/>
    <w:rsid w:val="00D33C7D"/>
    <w:rsid w:val="00D3708D"/>
    <w:rsid w:val="00D40426"/>
    <w:rsid w:val="00D57C96"/>
    <w:rsid w:val="00D57D18"/>
    <w:rsid w:val="00D8383A"/>
    <w:rsid w:val="00D91203"/>
    <w:rsid w:val="00D95174"/>
    <w:rsid w:val="00D95516"/>
    <w:rsid w:val="00DA4973"/>
    <w:rsid w:val="00DA6F36"/>
    <w:rsid w:val="00DB1B19"/>
    <w:rsid w:val="00DB596E"/>
    <w:rsid w:val="00DB7773"/>
    <w:rsid w:val="00DC00EA"/>
    <w:rsid w:val="00DC3802"/>
    <w:rsid w:val="00DD1FDD"/>
    <w:rsid w:val="00DD4D3E"/>
    <w:rsid w:val="00DD54CA"/>
    <w:rsid w:val="00DD561B"/>
    <w:rsid w:val="00DF67F1"/>
    <w:rsid w:val="00E07D87"/>
    <w:rsid w:val="00E32F7E"/>
    <w:rsid w:val="00E36526"/>
    <w:rsid w:val="00E43002"/>
    <w:rsid w:val="00E45616"/>
    <w:rsid w:val="00E45AF4"/>
    <w:rsid w:val="00E46D16"/>
    <w:rsid w:val="00E5267B"/>
    <w:rsid w:val="00E55051"/>
    <w:rsid w:val="00E62440"/>
    <w:rsid w:val="00E63C0E"/>
    <w:rsid w:val="00E72D49"/>
    <w:rsid w:val="00E7593C"/>
    <w:rsid w:val="00E75EA8"/>
    <w:rsid w:val="00E7678A"/>
    <w:rsid w:val="00E77DEC"/>
    <w:rsid w:val="00E921F6"/>
    <w:rsid w:val="00E935F1"/>
    <w:rsid w:val="00E94A81"/>
    <w:rsid w:val="00E95681"/>
    <w:rsid w:val="00EA1FFB"/>
    <w:rsid w:val="00EA65D2"/>
    <w:rsid w:val="00EB048E"/>
    <w:rsid w:val="00EB2FD1"/>
    <w:rsid w:val="00EB4E9C"/>
    <w:rsid w:val="00EB7224"/>
    <w:rsid w:val="00EC2265"/>
    <w:rsid w:val="00ED00D9"/>
    <w:rsid w:val="00ED5410"/>
    <w:rsid w:val="00EE34DF"/>
    <w:rsid w:val="00EE43DA"/>
    <w:rsid w:val="00EF2F89"/>
    <w:rsid w:val="00EF36A7"/>
    <w:rsid w:val="00F03E98"/>
    <w:rsid w:val="00F1237A"/>
    <w:rsid w:val="00F1398F"/>
    <w:rsid w:val="00F22CBD"/>
    <w:rsid w:val="00F272F1"/>
    <w:rsid w:val="00F45372"/>
    <w:rsid w:val="00F539CB"/>
    <w:rsid w:val="00F560F7"/>
    <w:rsid w:val="00F6320B"/>
    <w:rsid w:val="00F6334D"/>
    <w:rsid w:val="00F65EED"/>
    <w:rsid w:val="00F937A1"/>
    <w:rsid w:val="00FA07A5"/>
    <w:rsid w:val="00FA25EA"/>
    <w:rsid w:val="00FA49AB"/>
    <w:rsid w:val="00FB007B"/>
    <w:rsid w:val="00FD3F87"/>
    <w:rsid w:val="00FE133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45A19B2-1E3F-4492-94ED-E2B172D3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97505F"/>
    <w:pPr>
      <w:keepNext/>
      <w:jc w:val="both"/>
      <w:outlineLvl w:val="0"/>
    </w:pPr>
    <w:rPr>
      <w:rFonts w:ascii="Arial" w:hAnsi="Arial" w:cs="Arial"/>
      <w:b/>
      <w:caps/>
      <w:lang w:val="es-ES"/>
    </w:rPr>
  </w:style>
  <w:style w:type="paragraph" w:styleId="Heading2">
    <w:name w:val="heading 2"/>
    <w:next w:val="Normal"/>
    <w:link w:val="Heading2Char"/>
    <w:autoRedefine/>
    <w:qFormat/>
    <w:rsid w:val="00011F60"/>
    <w:pPr>
      <w:keepNext/>
      <w:jc w:val="both"/>
      <w:outlineLvl w:val="1"/>
    </w:pPr>
    <w:rPr>
      <w:rFonts w:ascii="Arial" w:hAnsi="Arial"/>
      <w:b/>
      <w:u w:val="single"/>
      <w:lang w:val="es-ES_tradn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01DA6"/>
    <w:pPr>
      <w:tabs>
        <w:tab w:val="right" w:leader="dot" w:pos="9639"/>
      </w:tabs>
      <w:spacing w:after="120"/>
      <w:ind w:left="168" w:right="851" w:firstLine="2"/>
    </w:pPr>
    <w:rPr>
      <w:rFonts w:ascii="Arial" w:hAnsi="Arial"/>
      <w:i/>
      <w:noProof/>
      <w:sz w:val="18"/>
      <w:lang w:val="es-419"/>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B1B19"/>
    <w:pPr>
      <w:tabs>
        <w:tab w:val="right" w:leader="dot" w:pos="9639"/>
      </w:tabs>
      <w:spacing w:before="120" w:line="360" w:lineRule="auto"/>
    </w:pPr>
    <w:rPr>
      <w:rFonts w:ascii="Arial" w:hAnsi="Arial"/>
      <w:b/>
      <w:caps/>
      <w:noProof/>
      <w:sz w:val="18"/>
      <w:szCs w:val="18"/>
      <w:lang w:val="es-419"/>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7505F"/>
    <w:rPr>
      <w:rFonts w:ascii="Arial" w:hAnsi="Arial" w:cs="Arial"/>
      <w:b/>
      <w:caps/>
      <w:lang w:val="es-ES"/>
    </w:rPr>
  </w:style>
  <w:style w:type="character" w:customStyle="1" w:styleId="Heading2Char">
    <w:name w:val="Heading 2 Char"/>
    <w:basedOn w:val="DefaultParagraphFont"/>
    <w:link w:val="Heading2"/>
    <w:rsid w:val="00011F60"/>
    <w:rPr>
      <w:rFonts w:ascii="Arial" w:hAnsi="Arial"/>
      <w:b/>
      <w:u w:val="single"/>
      <w:lang w:val="es-ES_tradnl"/>
    </w:rPr>
  </w:style>
  <w:style w:type="character" w:customStyle="1" w:styleId="HeaderChar">
    <w:name w:val="Header Char"/>
    <w:basedOn w:val="DefaultParagraphFont"/>
    <w:link w:val="Header"/>
    <w:uiPriority w:val="99"/>
    <w:rsid w:val="0013647A"/>
    <w:rPr>
      <w:rFonts w:ascii="Arial" w:hAnsi="Arial"/>
      <w:lang w:val="es-ES_tradnl"/>
    </w:rPr>
  </w:style>
  <w:style w:type="character" w:customStyle="1" w:styleId="FooterChar">
    <w:name w:val="Footer Char"/>
    <w:aliases w:val="doc_path_name Char"/>
    <w:basedOn w:val="DefaultParagraphFont"/>
    <w:link w:val="Footer"/>
    <w:uiPriority w:val="99"/>
    <w:rsid w:val="0013647A"/>
    <w:rPr>
      <w:rFonts w:ascii="Arial" w:hAnsi="Arial"/>
      <w:sz w:val="14"/>
    </w:rPr>
  </w:style>
  <w:style w:type="paragraph" w:customStyle="1" w:styleId="Inf4Normal">
    <w:name w:val="Inf_4_Normal"/>
    <w:basedOn w:val="Normal"/>
    <w:rsid w:val="0013647A"/>
    <w:pPr>
      <w:spacing w:before="108"/>
    </w:pPr>
    <w:rPr>
      <w:lang w:val="en-US"/>
    </w:rPr>
  </w:style>
  <w:style w:type="paragraph" w:customStyle="1" w:styleId="Inf4Heading6">
    <w:name w:val="Inf_4_Heading_6"/>
    <w:basedOn w:val="Normal"/>
    <w:rsid w:val="0013647A"/>
    <w:pPr>
      <w:keepNext/>
      <w:spacing w:before="108"/>
      <w:ind w:left="567"/>
      <w:outlineLvl w:val="5"/>
    </w:pPr>
    <w:rPr>
      <w:b/>
      <w:bCs/>
      <w:szCs w:val="24"/>
      <w:lang w:val="en-US"/>
    </w:rPr>
  </w:style>
  <w:style w:type="paragraph" w:customStyle="1" w:styleId="Inf4Heading4">
    <w:name w:val="Inf_4_Heading_4"/>
    <w:basedOn w:val="Inf4Heading6"/>
    <w:next w:val="Normal"/>
    <w:rsid w:val="0013647A"/>
    <w:pPr>
      <w:ind w:left="0"/>
    </w:pPr>
  </w:style>
  <w:style w:type="paragraph" w:styleId="ListParagraph">
    <w:name w:val="List Paragraph"/>
    <w:basedOn w:val="Normal"/>
    <w:uiPriority w:val="34"/>
    <w:qFormat/>
    <w:rsid w:val="0013647A"/>
    <w:pPr>
      <w:ind w:left="720"/>
      <w:contextualSpacing/>
    </w:pPr>
    <w:rPr>
      <w:lang w:val="en-US"/>
    </w:rPr>
  </w:style>
  <w:style w:type="paragraph" w:customStyle="1" w:styleId="Style3">
    <w:name w:val="Style3"/>
    <w:basedOn w:val="Normal"/>
    <w:link w:val="Style3Char"/>
    <w:rsid w:val="0013647A"/>
    <w:pPr>
      <w:spacing w:after="120"/>
    </w:pPr>
    <w:rPr>
      <w:sz w:val="22"/>
      <w:lang w:val="en-US"/>
    </w:rPr>
  </w:style>
  <w:style w:type="character" w:customStyle="1" w:styleId="Style3Char">
    <w:name w:val="Style3 Char"/>
    <w:link w:val="Style3"/>
    <w:locked/>
    <w:rsid w:val="0013647A"/>
    <w:rPr>
      <w:rFonts w:ascii="Arial" w:hAnsi="Arial"/>
      <w:sz w:val="22"/>
    </w:rPr>
  </w:style>
  <w:style w:type="paragraph" w:customStyle="1" w:styleId="Styletexte">
    <w:name w:val="Style texte"/>
    <w:basedOn w:val="Normal"/>
    <w:link w:val="StyletexteChar"/>
    <w:rsid w:val="0013647A"/>
    <w:pPr>
      <w:spacing w:after="120"/>
    </w:pPr>
    <w:rPr>
      <w:sz w:val="22"/>
      <w:lang w:val="en-US"/>
    </w:rPr>
  </w:style>
  <w:style w:type="character" w:customStyle="1" w:styleId="StyletexteChar">
    <w:name w:val="Style texte Char"/>
    <w:link w:val="Styletexte"/>
    <w:locked/>
    <w:rsid w:val="0013647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3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image" Target="media/image35.emf"/><Relationship Id="rId50" Type="http://schemas.openxmlformats.org/officeDocument/2006/relationships/image" Target="media/image38.emf"/><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image" Target="media/image17.emf"/><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emf"/><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emf"/><Relationship Id="rId20" Type="http://schemas.openxmlformats.org/officeDocument/2006/relationships/image" Target="media/image8.emf"/><Relationship Id="rId41" Type="http://schemas.openxmlformats.org/officeDocument/2006/relationships/image" Target="media/image29.emf"/><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image" Target="media/image19.emf"/><Relationship Id="rId44" Type="http://schemas.openxmlformats.org/officeDocument/2006/relationships/image" Target="media/image32.emf"/><Relationship Id="rId5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90606-A9A3-4BE1-8645-332E8315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26</Pages>
  <Words>4510</Words>
  <Characters>23986</Characters>
  <Application>Microsoft Office Word</Application>
  <DocSecurity>0</DocSecurity>
  <Lines>581</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C/54/4</vt:lpstr>
      <vt:lpstr>C/54/4</vt:lpstr>
    </vt:vector>
  </TitlesOfParts>
  <Company>UPOV</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C/54/4</dc:title>
  <dc:creator>CEVALLOS DUQUE Nilo</dc:creator>
  <cp:keywords>FOR OFFICIAL USE ONLY</cp:keywords>
  <cp:lastModifiedBy>BESSE Ariane</cp:lastModifiedBy>
  <cp:revision>9</cp:revision>
  <cp:lastPrinted>2016-11-22T15:41:00Z</cp:lastPrinted>
  <dcterms:created xsi:type="dcterms:W3CDTF">2020-08-18T15:51:00Z</dcterms:created>
  <dcterms:modified xsi:type="dcterms:W3CDTF">2020-08-20T20:12:00Z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3f595897-5e69-43d3-828f-56021ac99c32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