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A14474">
        <w:tc>
          <w:tcPr>
            <w:tcW w:w="6512" w:type="dxa"/>
            <w:tcBorders>
              <w:bottom w:val="single" w:sz="4" w:space="0" w:color="auto"/>
            </w:tcBorders>
          </w:tcPr>
          <w:p w:rsidR="00EB4E9C" w:rsidRPr="00AC2883" w:rsidRDefault="00EA65D2" w:rsidP="00AC2883">
            <w:pPr>
              <w:pStyle w:val="Sessiontc"/>
              <w:spacing w:line="240" w:lineRule="auto"/>
            </w:pPr>
            <w:r>
              <w:t>Consejo</w:t>
            </w:r>
          </w:p>
          <w:p w:rsidR="00EB4E9C" w:rsidRPr="00DC3802" w:rsidRDefault="00EA65D2" w:rsidP="001A18EE">
            <w:pPr>
              <w:pStyle w:val="Sessiontcplacedate"/>
              <w:rPr>
                <w:sz w:val="22"/>
              </w:rPr>
            </w:pPr>
            <w:r>
              <w:t xml:space="preserve">Quincuagésima </w:t>
            </w:r>
            <w:r w:rsidR="001A18EE">
              <w:t xml:space="preserve">cuarta </w:t>
            </w:r>
            <w:r w:rsidR="002E5944">
              <w:t>sesión</w:t>
            </w:r>
            <w:r>
              <w:t xml:space="preserve"> ordinaria</w:t>
            </w:r>
            <w:r w:rsidR="00EB4E9C" w:rsidRPr="00DA4973">
              <w:br/>
            </w:r>
            <w:r w:rsidR="002E5944">
              <w:t>Ginebra</w:t>
            </w:r>
            <w:r w:rsidR="00EB4E9C" w:rsidRPr="00DA4973">
              <w:t xml:space="preserve">, </w:t>
            </w:r>
            <w:r w:rsidR="001A18EE">
              <w:t>30 de octubre de 2020</w:t>
            </w:r>
          </w:p>
        </w:tc>
        <w:tc>
          <w:tcPr>
            <w:tcW w:w="3127" w:type="dxa"/>
            <w:tcBorders>
              <w:bottom w:val="single" w:sz="4" w:space="0" w:color="auto"/>
            </w:tcBorders>
          </w:tcPr>
          <w:p w:rsidR="00EB4E9C" w:rsidRPr="001A18EE" w:rsidRDefault="001A18EE" w:rsidP="003C7FBE">
            <w:pPr>
              <w:pStyle w:val="Doccode"/>
              <w:rPr>
                <w:lang w:val="es-ES"/>
              </w:rPr>
            </w:pPr>
            <w:r w:rsidRPr="001A18EE">
              <w:rPr>
                <w:lang w:val="es-ES"/>
              </w:rPr>
              <w:t>C/54</w:t>
            </w:r>
            <w:r w:rsidR="00EB4E9C" w:rsidRPr="001A18EE">
              <w:rPr>
                <w:lang w:val="es-ES"/>
              </w:rPr>
              <w:t>/</w:t>
            </w:r>
            <w:r w:rsidR="005A088E">
              <w:rPr>
                <w:lang w:val="es-ES"/>
              </w:rPr>
              <w:t>18</w:t>
            </w:r>
          </w:p>
          <w:p w:rsidR="00EB4E9C" w:rsidRPr="003C7FBE" w:rsidRDefault="00EB4E9C" w:rsidP="003C7FBE">
            <w:pPr>
              <w:pStyle w:val="Docoriginal"/>
            </w:pPr>
            <w:r w:rsidRPr="00AC2883">
              <w:t>Original:</w:t>
            </w:r>
            <w:r w:rsidRPr="000E636A">
              <w:rPr>
                <w:b w:val="0"/>
                <w:spacing w:val="0"/>
              </w:rPr>
              <w:t xml:space="preserve">  </w:t>
            </w:r>
            <w:r w:rsidR="002E5944">
              <w:rPr>
                <w:b w:val="0"/>
                <w:spacing w:val="0"/>
              </w:rPr>
              <w:t>Inglés</w:t>
            </w:r>
          </w:p>
          <w:p w:rsidR="00EB4E9C" w:rsidRPr="007C1D92" w:rsidRDefault="002E5944" w:rsidP="001A18EE">
            <w:pPr>
              <w:pStyle w:val="Docoriginal"/>
            </w:pPr>
            <w:r>
              <w:t>Fecha</w:t>
            </w:r>
            <w:r w:rsidR="00EB4E9C" w:rsidRPr="00AC2883">
              <w:t>:</w:t>
            </w:r>
            <w:r w:rsidR="00EB4E9C" w:rsidRPr="000E636A">
              <w:rPr>
                <w:b w:val="0"/>
                <w:spacing w:val="0"/>
              </w:rPr>
              <w:t xml:space="preserve">  </w:t>
            </w:r>
            <w:r w:rsidR="005A088E" w:rsidRPr="00605ECD">
              <w:rPr>
                <w:b w:val="0"/>
                <w:spacing w:val="0"/>
                <w:lang w:val="es-419"/>
              </w:rPr>
              <w:t>25 de septiembre</w:t>
            </w:r>
            <w:r w:rsidR="005A088E">
              <w:rPr>
                <w:b w:val="0"/>
                <w:spacing w:val="0"/>
                <w:lang w:val="es-419"/>
              </w:rPr>
              <w:t xml:space="preserve"> </w:t>
            </w:r>
            <w:r w:rsidR="005A088E" w:rsidRPr="0065784C">
              <w:rPr>
                <w:b w:val="0"/>
                <w:spacing w:val="0"/>
                <w:lang w:val="es-419"/>
              </w:rPr>
              <w:t>de 2020</w:t>
            </w:r>
          </w:p>
        </w:tc>
      </w:tr>
      <w:tr w:rsidR="00A14474" w:rsidRPr="00C5280D" w:rsidTr="00A14474">
        <w:tc>
          <w:tcPr>
            <w:tcW w:w="6512" w:type="dxa"/>
            <w:tcBorders>
              <w:top w:val="single" w:sz="4" w:space="0" w:color="auto"/>
              <w:bottom w:val="single" w:sz="4" w:space="0" w:color="auto"/>
            </w:tcBorders>
          </w:tcPr>
          <w:p w:rsidR="00A14474" w:rsidRPr="001746F5" w:rsidRDefault="00A14474" w:rsidP="00A14474">
            <w:pPr>
              <w:pStyle w:val="Sessiontc"/>
              <w:spacing w:line="240" w:lineRule="auto"/>
              <w:rPr>
                <w:i/>
              </w:rPr>
            </w:pPr>
            <w:r>
              <w:rPr>
                <w:i/>
              </w:rPr>
              <w:t>para el examen por correspondencia</w:t>
            </w:r>
          </w:p>
        </w:tc>
        <w:tc>
          <w:tcPr>
            <w:tcW w:w="3127" w:type="dxa"/>
            <w:tcBorders>
              <w:top w:val="single" w:sz="4" w:space="0" w:color="auto"/>
              <w:bottom w:val="single" w:sz="4" w:space="0" w:color="auto"/>
            </w:tcBorders>
          </w:tcPr>
          <w:p w:rsidR="00A14474" w:rsidRPr="005767D6" w:rsidRDefault="00A14474" w:rsidP="00A14474">
            <w:pPr>
              <w:pStyle w:val="Doccode"/>
              <w:rPr>
                <w:lang w:val="es-ES_tradnl"/>
              </w:rPr>
            </w:pPr>
          </w:p>
        </w:tc>
      </w:tr>
    </w:tbl>
    <w:p w:rsidR="000D7780" w:rsidRPr="006A644A" w:rsidRDefault="00A14474" w:rsidP="006A644A">
      <w:pPr>
        <w:pStyle w:val="Titleofdoc0"/>
      </w:pPr>
      <w:bookmarkStart w:id="0" w:name="TitleOfDoc"/>
      <w:bookmarkEnd w:id="0"/>
      <w:r w:rsidRPr="00A14474">
        <w:t>Consolidación de los informes de gestión financiera y sobre el rendimiento</w:t>
      </w:r>
    </w:p>
    <w:p w:rsidR="006A644A" w:rsidRPr="006A644A" w:rsidRDefault="000638A9" w:rsidP="006A644A">
      <w:pPr>
        <w:pStyle w:val="preparedby1"/>
        <w:jc w:val="left"/>
      </w:pPr>
      <w:bookmarkStart w:id="1" w:name="Prepared"/>
      <w:bookmarkEnd w:id="1"/>
      <w:r>
        <w:t>Documento preparado por la Oficina de la Unión</w:t>
      </w:r>
    </w:p>
    <w:p w:rsidR="00050E16" w:rsidRPr="006A644A" w:rsidRDefault="000638A9" w:rsidP="006A644A">
      <w:pPr>
        <w:pStyle w:val="Disclaimer"/>
      </w:pPr>
      <w:r w:rsidRPr="000638A9">
        <w:t>Descargo de responsabilidad: el presente documento no constituye</w:t>
      </w:r>
      <w:r>
        <w:t xml:space="preserve"> </w:t>
      </w:r>
      <w:r w:rsidRPr="000638A9">
        <w:t>un documento de política u orientación de la UPOV</w:t>
      </w:r>
    </w:p>
    <w:p w:rsidR="00A14474" w:rsidRPr="00F32BFD" w:rsidRDefault="00A14474" w:rsidP="00A14474">
      <w:pPr>
        <w:outlineLvl w:val="0"/>
        <w:rPr>
          <w:caps/>
          <w:snapToGrid w:val="0"/>
          <w:lang w:val="en-US"/>
        </w:rPr>
      </w:pPr>
      <w:r w:rsidRPr="00F32BFD">
        <w:rPr>
          <w:caps/>
          <w:snapToGrid w:val="0"/>
          <w:lang w:val="en-US"/>
        </w:rPr>
        <w:t>RESUMEN</w:t>
      </w:r>
    </w:p>
    <w:p w:rsidR="00F32BFD" w:rsidRPr="00AC5166" w:rsidRDefault="00F32BFD" w:rsidP="00A14474">
      <w:pPr>
        <w:rPr>
          <w:snapToGrid w:val="0"/>
          <w:sz w:val="18"/>
          <w:szCs w:val="18"/>
        </w:rPr>
      </w:pPr>
    </w:p>
    <w:p w:rsidR="00A14474" w:rsidRPr="00A14474" w:rsidRDefault="00A14474" w:rsidP="00A14474">
      <w:pPr>
        <w:rPr>
          <w:snapToGrid w:val="0"/>
          <w:lang w:val="es-ES"/>
        </w:rPr>
      </w:pPr>
      <w:r w:rsidRPr="00A14474">
        <w:rPr>
          <w:snapToGrid w:val="0"/>
        </w:rPr>
        <w:fldChar w:fldCharType="begin"/>
      </w:r>
      <w:r w:rsidRPr="00A14474">
        <w:rPr>
          <w:snapToGrid w:val="0"/>
          <w:lang w:val="es-ES"/>
        </w:rPr>
        <w:instrText xml:space="preserve"> AUTONUM  </w:instrText>
      </w:r>
      <w:r w:rsidRPr="00A14474">
        <w:rPr>
          <w:snapToGrid w:val="0"/>
        </w:rPr>
        <w:fldChar w:fldCharType="end"/>
      </w:r>
      <w:r w:rsidRPr="00A14474">
        <w:rPr>
          <w:snapToGrid w:val="0"/>
          <w:lang w:val="es-ES"/>
        </w:rPr>
        <w:tab/>
      </w:r>
      <w:r w:rsidRPr="00A14474">
        <w:rPr>
          <w:snapToGrid w:val="0"/>
        </w:rPr>
        <w:t>En el presente documento se expone una propuesta de consolidación de los siguientes informes en un “Informe sobre el rendimiento de la UPOV”:</w:t>
      </w:r>
    </w:p>
    <w:p w:rsidR="00A14474" w:rsidRPr="00A14474" w:rsidRDefault="00A14474" w:rsidP="00A14474">
      <w:pPr>
        <w:rPr>
          <w:snapToGrid w:val="0"/>
          <w:lang w:val="es-ES"/>
        </w:rPr>
      </w:pPr>
    </w:p>
    <w:p w:rsidR="00A14474" w:rsidRPr="00A14474" w:rsidRDefault="00A14474" w:rsidP="00A14474">
      <w:pPr>
        <w:numPr>
          <w:ilvl w:val="0"/>
          <w:numId w:val="1"/>
        </w:numPr>
        <w:rPr>
          <w:lang w:val="es-ES"/>
        </w:rPr>
      </w:pPr>
      <w:r w:rsidRPr="00A14474">
        <w:t>Informe sobre el rendimiento en el bienio</w:t>
      </w:r>
    </w:p>
    <w:p w:rsidR="00A14474" w:rsidRPr="00A14474" w:rsidRDefault="00A14474" w:rsidP="00A14474">
      <w:pPr>
        <w:numPr>
          <w:ilvl w:val="0"/>
          <w:numId w:val="1"/>
        </w:numPr>
        <w:rPr>
          <w:lang w:val="en-US"/>
        </w:rPr>
      </w:pPr>
      <w:r w:rsidRPr="00A14474">
        <w:t>Informe anual del Secretario General</w:t>
      </w:r>
    </w:p>
    <w:p w:rsidR="00A14474" w:rsidRPr="00A14474" w:rsidRDefault="00A14474" w:rsidP="00A14474">
      <w:pPr>
        <w:numPr>
          <w:ilvl w:val="0"/>
          <w:numId w:val="1"/>
        </w:numPr>
        <w:rPr>
          <w:lang w:val="es-ES"/>
        </w:rPr>
      </w:pPr>
      <w:r w:rsidRPr="00A14474">
        <w:t>Informe de gestión financiera del bienio</w:t>
      </w:r>
    </w:p>
    <w:p w:rsidR="00A14474" w:rsidRPr="00A14474" w:rsidRDefault="00A14474" w:rsidP="00A14474">
      <w:pPr>
        <w:rPr>
          <w:snapToGrid w:val="0"/>
          <w:lang w:val="es-ES"/>
        </w:rPr>
      </w:pPr>
    </w:p>
    <w:p w:rsidR="00A14474" w:rsidRPr="00A14474" w:rsidRDefault="00A14474" w:rsidP="00A14474">
      <w:pPr>
        <w:rPr>
          <w:snapToGrid w:val="0"/>
          <w:lang w:val="es-ES"/>
        </w:rPr>
      </w:pPr>
      <w:r w:rsidRPr="00C22937">
        <w:rPr>
          <w:snapToGrid w:val="0"/>
        </w:rPr>
        <w:fldChar w:fldCharType="begin"/>
      </w:r>
      <w:r w:rsidRPr="00C22937">
        <w:rPr>
          <w:snapToGrid w:val="0"/>
          <w:lang w:val="es-ES"/>
        </w:rPr>
        <w:instrText xml:space="preserve"> AUTONUM  </w:instrText>
      </w:r>
      <w:r w:rsidRPr="00C22937">
        <w:rPr>
          <w:snapToGrid w:val="0"/>
        </w:rPr>
        <w:fldChar w:fldCharType="end"/>
      </w:r>
      <w:r w:rsidRPr="00C22937">
        <w:rPr>
          <w:snapToGrid w:val="0"/>
          <w:lang w:val="es-ES"/>
        </w:rPr>
        <w:tab/>
      </w:r>
      <w:r w:rsidR="00C22937" w:rsidRPr="00C22937">
        <w:rPr>
          <w:snapToGrid w:val="0"/>
        </w:rPr>
        <w:t>Se invita al Consejo a aprobar la consolidación de los actuales informes financieros y de rendimiento en un “Informe sobre el rendimiento de la UPOV”.</w:t>
      </w:r>
      <w:r w:rsidR="00C22937" w:rsidRPr="00C22937">
        <w:rPr>
          <w:snapToGrid w:val="0"/>
          <w:lang w:val="es-ES"/>
        </w:rPr>
        <w:t xml:space="preserve"> </w:t>
      </w:r>
      <w:r w:rsidR="00C22937" w:rsidRPr="00C22937">
        <w:rPr>
          <w:snapToGrid w:val="0"/>
        </w:rPr>
        <w:t>Este informe se presentará anualmente junto con los estados financieros a partir de los informes correspondientes a 2020, según se indica en los párrafos 9 a 11 y en el Anexo del presente documento</w:t>
      </w:r>
      <w:r w:rsidRPr="00C22937">
        <w:rPr>
          <w:snapToGrid w:val="0"/>
        </w:rPr>
        <w:t>.</w:t>
      </w:r>
    </w:p>
    <w:p w:rsidR="00A14474" w:rsidRPr="00AC5166" w:rsidRDefault="00A14474" w:rsidP="00A14474">
      <w:pPr>
        <w:rPr>
          <w:snapToGrid w:val="0"/>
          <w:sz w:val="16"/>
          <w:lang w:val="es-ES"/>
        </w:rPr>
      </w:pPr>
    </w:p>
    <w:p w:rsidR="00A14474" w:rsidRPr="00AC5166" w:rsidRDefault="00A14474" w:rsidP="00A14474">
      <w:pPr>
        <w:rPr>
          <w:snapToGrid w:val="0"/>
          <w:sz w:val="16"/>
          <w:lang w:val="es-ES"/>
        </w:rPr>
      </w:pPr>
    </w:p>
    <w:p w:rsidR="00F32BFD" w:rsidRPr="00AC5166" w:rsidRDefault="00F32BFD" w:rsidP="00A14474">
      <w:pPr>
        <w:rPr>
          <w:snapToGrid w:val="0"/>
          <w:sz w:val="16"/>
          <w:lang w:val="es-ES"/>
        </w:rPr>
      </w:pPr>
    </w:p>
    <w:p w:rsidR="00A14474" w:rsidRPr="00A14474" w:rsidRDefault="00A14474" w:rsidP="00A14474">
      <w:pPr>
        <w:outlineLvl w:val="0"/>
        <w:rPr>
          <w:caps/>
          <w:snapToGrid w:val="0"/>
          <w:lang w:val="es-ES"/>
        </w:rPr>
      </w:pPr>
      <w:r w:rsidRPr="00A14474">
        <w:rPr>
          <w:caps/>
          <w:snapToGrid w:val="0"/>
        </w:rPr>
        <w:t>ANTECEDENTES</w:t>
      </w:r>
    </w:p>
    <w:p w:rsidR="00A14474" w:rsidRPr="00AC5166" w:rsidRDefault="00A14474" w:rsidP="00A14474">
      <w:pPr>
        <w:rPr>
          <w:snapToGrid w:val="0"/>
          <w:sz w:val="18"/>
          <w:szCs w:val="18"/>
          <w:lang w:val="es-ES"/>
        </w:rPr>
      </w:pPr>
    </w:p>
    <w:p w:rsidR="00A14474" w:rsidRPr="00A14474" w:rsidRDefault="00A14474" w:rsidP="00A14474">
      <w:pPr>
        <w:rPr>
          <w:lang w:val="es-ES"/>
        </w:rPr>
      </w:pPr>
      <w:r w:rsidRPr="00A14474">
        <w:fldChar w:fldCharType="begin"/>
      </w:r>
      <w:r w:rsidRPr="00A14474">
        <w:rPr>
          <w:lang w:val="es-ES"/>
        </w:rPr>
        <w:instrText xml:space="preserve"> AUTONUM  </w:instrText>
      </w:r>
      <w:r w:rsidRPr="00A14474">
        <w:fldChar w:fldCharType="end"/>
      </w:r>
      <w:r w:rsidRPr="00A14474">
        <w:rPr>
          <w:lang w:val="es-ES"/>
        </w:rPr>
        <w:tab/>
      </w:r>
      <w:r w:rsidRPr="00A14474">
        <w:t>En la actualidad, se preparan los siguientes informes para el Consejo:</w:t>
      </w:r>
    </w:p>
    <w:p w:rsidR="00A14474" w:rsidRPr="00A14474" w:rsidRDefault="00A14474" w:rsidP="00A14474">
      <w:pPr>
        <w:rPr>
          <w:lang w:val="es-ES"/>
        </w:rPr>
      </w:pPr>
    </w:p>
    <w:p w:rsidR="00A14474" w:rsidRPr="00A14474" w:rsidRDefault="00A14474" w:rsidP="00A14474">
      <w:pPr>
        <w:numPr>
          <w:ilvl w:val="0"/>
          <w:numId w:val="1"/>
        </w:numPr>
        <w:rPr>
          <w:lang w:val="es-ES"/>
        </w:rPr>
      </w:pPr>
      <w:r w:rsidRPr="00A14474">
        <w:t>Informe sobre el rendimiento en el bienio (por ejemplo, el documento C/52/16)</w:t>
      </w:r>
    </w:p>
    <w:p w:rsidR="00A14474" w:rsidRPr="00A14474" w:rsidRDefault="00A14474" w:rsidP="00A14474">
      <w:pPr>
        <w:numPr>
          <w:ilvl w:val="0"/>
          <w:numId w:val="1"/>
        </w:numPr>
        <w:rPr>
          <w:lang w:val="es-ES"/>
        </w:rPr>
      </w:pPr>
      <w:r w:rsidRPr="00A14474">
        <w:t>Informe anual del Secretario General (por ejemplo, el documento C/53/2)</w:t>
      </w:r>
    </w:p>
    <w:p w:rsidR="00A14474" w:rsidRPr="00A14474" w:rsidRDefault="00A14474" w:rsidP="00A14474">
      <w:pPr>
        <w:numPr>
          <w:ilvl w:val="0"/>
          <w:numId w:val="1"/>
        </w:numPr>
        <w:rPr>
          <w:lang w:val="es-ES"/>
        </w:rPr>
      </w:pPr>
      <w:r w:rsidRPr="00A14474">
        <w:t>Informe de gestión financiera del bienio (por ejemplo, el documento C/52/4)</w:t>
      </w:r>
    </w:p>
    <w:p w:rsidR="00A14474" w:rsidRPr="00A14474" w:rsidRDefault="00A14474" w:rsidP="00A14474">
      <w:pPr>
        <w:numPr>
          <w:ilvl w:val="0"/>
          <w:numId w:val="1"/>
        </w:numPr>
        <w:rPr>
          <w:lang w:val="es-ES"/>
        </w:rPr>
      </w:pPr>
      <w:r w:rsidRPr="00A14474">
        <w:t>Estados financieros (por ejemplo, el documento C/53/5)</w:t>
      </w:r>
      <w:r w:rsidRPr="00A14474">
        <w:rPr>
          <w:lang w:val="es-ES"/>
        </w:rPr>
        <w:t xml:space="preserve"> </w:t>
      </w:r>
    </w:p>
    <w:p w:rsidR="00A14474" w:rsidRPr="00A14474" w:rsidRDefault="00A14474" w:rsidP="00A14474">
      <w:pPr>
        <w:numPr>
          <w:ilvl w:val="0"/>
          <w:numId w:val="1"/>
        </w:numPr>
        <w:rPr>
          <w:lang w:val="es-ES"/>
        </w:rPr>
      </w:pPr>
      <w:r w:rsidRPr="00A14474">
        <w:t>Informe sobre las actividades realizadas en los nueve primeros meses (por ejemplo, el documento C/53/INF/3)</w:t>
      </w:r>
    </w:p>
    <w:p w:rsidR="00A14474" w:rsidRPr="00AC5166" w:rsidRDefault="00A14474" w:rsidP="00A14474">
      <w:pPr>
        <w:rPr>
          <w:sz w:val="18"/>
          <w:szCs w:val="18"/>
          <w:lang w:val="es-ES"/>
        </w:rPr>
      </w:pPr>
    </w:p>
    <w:p w:rsidR="00A14474" w:rsidRPr="00A14474" w:rsidRDefault="00A14474" w:rsidP="00A14474">
      <w:pPr>
        <w:rPr>
          <w:lang w:val="es-ES"/>
        </w:rPr>
      </w:pPr>
      <w:r w:rsidRPr="00A14474">
        <w:fldChar w:fldCharType="begin"/>
      </w:r>
      <w:r w:rsidRPr="00A14474">
        <w:rPr>
          <w:lang w:val="es-ES"/>
        </w:rPr>
        <w:instrText xml:space="preserve"> AUTONUM  </w:instrText>
      </w:r>
      <w:r w:rsidRPr="00A14474">
        <w:fldChar w:fldCharType="end"/>
      </w:r>
      <w:r w:rsidRPr="00A14474">
        <w:rPr>
          <w:lang w:val="es-ES"/>
        </w:rPr>
        <w:tab/>
      </w:r>
      <w:r w:rsidRPr="00A14474">
        <w:t>En el apartado siguiente se describe el contenido actual de dichos documentos y se señalan las coincidencias entre ellos, como base de la propuesta de consolidación del Informe sobre el rendimiento en el bienio, el Informe anual del Secretario General y el Informe de gestión financiera del bienio.</w:t>
      </w:r>
      <w:r w:rsidRPr="00A14474">
        <w:rPr>
          <w:lang w:val="es-ES"/>
        </w:rPr>
        <w:t xml:space="preserve"> </w:t>
      </w:r>
    </w:p>
    <w:p w:rsidR="00A14474" w:rsidRPr="00AC5166" w:rsidRDefault="00A14474" w:rsidP="00A14474">
      <w:pPr>
        <w:rPr>
          <w:sz w:val="16"/>
          <w:lang w:val="es-ES"/>
        </w:rPr>
      </w:pPr>
    </w:p>
    <w:p w:rsidR="00A14474" w:rsidRPr="00AC5166" w:rsidRDefault="00A14474" w:rsidP="00A14474">
      <w:pPr>
        <w:rPr>
          <w:sz w:val="16"/>
          <w:lang w:val="es-ES"/>
        </w:rPr>
      </w:pPr>
    </w:p>
    <w:p w:rsidR="00A14474" w:rsidRPr="00A14474" w:rsidRDefault="00A14474" w:rsidP="00A14474">
      <w:pPr>
        <w:outlineLvl w:val="1"/>
        <w:rPr>
          <w:u w:val="single"/>
          <w:lang w:val="es-ES"/>
        </w:rPr>
      </w:pPr>
      <w:r w:rsidRPr="00A14474">
        <w:rPr>
          <w:u w:val="single"/>
        </w:rPr>
        <w:t>Informe sobre el rendimiento en el bienio e Informe anual del Secretario General</w:t>
      </w:r>
    </w:p>
    <w:p w:rsidR="00A14474" w:rsidRPr="00AC5166" w:rsidRDefault="00A14474" w:rsidP="00A14474">
      <w:pPr>
        <w:rPr>
          <w:spacing w:val="-2"/>
          <w:sz w:val="18"/>
          <w:szCs w:val="18"/>
          <w:lang w:val="es-ES"/>
        </w:rPr>
      </w:pPr>
    </w:p>
    <w:p w:rsidR="00A14474" w:rsidRPr="00A14474" w:rsidRDefault="00A14474" w:rsidP="00A14474">
      <w:pPr>
        <w:rPr>
          <w:snapToGrid w:val="0"/>
          <w:spacing w:val="-2"/>
          <w:lang w:val="es-ES"/>
        </w:rPr>
      </w:pPr>
      <w:r w:rsidRPr="00A14474">
        <w:rPr>
          <w:spacing w:val="-2"/>
        </w:rPr>
        <w:fldChar w:fldCharType="begin"/>
      </w:r>
      <w:r w:rsidRPr="00A14474">
        <w:rPr>
          <w:spacing w:val="-2"/>
          <w:lang w:val="es-ES"/>
        </w:rPr>
        <w:instrText xml:space="preserve"> AUTONUM  </w:instrText>
      </w:r>
      <w:r w:rsidRPr="00A14474">
        <w:rPr>
          <w:spacing w:val="-2"/>
        </w:rPr>
        <w:fldChar w:fldCharType="end"/>
      </w:r>
      <w:r w:rsidRPr="00A14474">
        <w:rPr>
          <w:spacing w:val="-2"/>
          <w:lang w:val="es-ES"/>
        </w:rPr>
        <w:tab/>
      </w:r>
      <w:r w:rsidRPr="00A14474">
        <w:rPr>
          <w:spacing w:val="-2"/>
        </w:rPr>
        <w:t>El Comité Consultivo, en su octogésima quinta sesión, celebrada en Ginebra el 22 de marzo de 2013, aprobó la presentación, en el informe anual del Secretario General, de los resultados e indicadores de rendimiento del año en cuestión, como se expone en los párrafos 2 a 6 del documento CC/85/5 “Preparación de los informes que se presentarán al Consejo” (véase el párrafo 25 del documento CC/85/10 “Informe sobre las conclusiones”).</w:t>
      </w:r>
      <w:r w:rsidRPr="00A14474">
        <w:rPr>
          <w:snapToGrid w:val="0"/>
          <w:spacing w:val="-2"/>
          <w:lang w:val="es-ES"/>
        </w:rPr>
        <w:t xml:space="preserve">  </w:t>
      </w:r>
      <w:r w:rsidRPr="00A14474">
        <w:rPr>
          <w:snapToGrid w:val="0"/>
          <w:spacing w:val="-2"/>
        </w:rPr>
        <w:t>Asimismo, aprobó la presentación del informe sobre el rendimiento del bienio en un documento aparte, con información sobre los gastos, el número total de puestos de la Oficina de la Unión y los resultados e indicadores de rendimiento por subprograma, sobre la base del programa y presupuesto aprobado por el Consejo, como se establece en los párrafos 2 a 9 del documento CC/85/5 (véase el párrafo 26 del documento CC/85/10 “Informe sobre las conclusiones”).</w:t>
      </w:r>
    </w:p>
    <w:p w:rsidR="00A14474" w:rsidRPr="00A14474" w:rsidRDefault="00A14474" w:rsidP="0031420A">
      <w:pPr>
        <w:keepNext/>
        <w:ind w:left="567"/>
        <w:rPr>
          <w:snapToGrid w:val="0"/>
          <w:spacing w:val="-4"/>
          <w:lang w:val="es-ES"/>
        </w:rPr>
      </w:pPr>
      <w:r w:rsidRPr="00A14474">
        <w:rPr>
          <w:snapToGrid w:val="0"/>
          <w:spacing w:val="-4"/>
        </w:rPr>
        <w:lastRenderedPageBreak/>
        <w:t>A continuación se reproducen las propuestas formuladas en los párrafos 6 a 9 del documento CC/85/5:</w:t>
      </w:r>
    </w:p>
    <w:p w:rsidR="00A14474" w:rsidRPr="00A14474" w:rsidRDefault="00A14474" w:rsidP="00A14474">
      <w:pPr>
        <w:keepNext/>
        <w:rPr>
          <w:snapToGrid w:val="0"/>
          <w:lang w:val="es-ES"/>
        </w:rPr>
      </w:pPr>
    </w:p>
    <w:p w:rsidR="00A14474" w:rsidRPr="00A14474" w:rsidRDefault="00A14474" w:rsidP="00A14474">
      <w:pPr>
        <w:keepNext/>
        <w:ind w:left="567" w:right="567"/>
        <w:rPr>
          <w:snapToGrid w:val="0"/>
          <w:sz w:val="18"/>
          <w:szCs w:val="18"/>
          <w:u w:val="single"/>
          <w:lang w:val="es-ES"/>
        </w:rPr>
      </w:pPr>
      <w:r w:rsidRPr="00A14474">
        <w:rPr>
          <w:snapToGrid w:val="0"/>
          <w:sz w:val="18"/>
          <w:szCs w:val="18"/>
        </w:rPr>
        <w:t>“</w:t>
      </w:r>
      <w:r w:rsidRPr="00A14474">
        <w:rPr>
          <w:snapToGrid w:val="0"/>
          <w:sz w:val="18"/>
          <w:szCs w:val="18"/>
          <w:u w:val="single"/>
        </w:rPr>
        <w:t>Propuesta</w:t>
      </w:r>
    </w:p>
    <w:p w:rsidR="00A14474" w:rsidRPr="00A14474" w:rsidRDefault="00A14474" w:rsidP="00A14474">
      <w:pPr>
        <w:keepNext/>
        <w:ind w:left="567" w:right="567"/>
        <w:rPr>
          <w:snapToGrid w:val="0"/>
          <w:sz w:val="18"/>
          <w:szCs w:val="18"/>
          <w:lang w:val="es-ES"/>
        </w:rPr>
      </w:pPr>
    </w:p>
    <w:p w:rsidR="00A14474" w:rsidRPr="00A14474" w:rsidRDefault="00A14474" w:rsidP="00A14474">
      <w:pPr>
        <w:keepNext/>
        <w:ind w:left="567" w:right="567"/>
        <w:rPr>
          <w:i/>
          <w:snapToGrid w:val="0"/>
          <w:sz w:val="18"/>
          <w:szCs w:val="18"/>
          <w:lang w:val="es-ES"/>
        </w:rPr>
      </w:pPr>
      <w:r w:rsidRPr="00A14474">
        <w:rPr>
          <w:i/>
          <w:snapToGrid w:val="0"/>
          <w:sz w:val="18"/>
          <w:szCs w:val="18"/>
        </w:rPr>
        <w:t>Informe anual del Secretario General</w:t>
      </w:r>
      <w:r w:rsidRPr="00A14474">
        <w:rPr>
          <w:i/>
          <w:snapToGrid w:val="0"/>
          <w:sz w:val="18"/>
          <w:szCs w:val="18"/>
          <w:lang w:val="es-ES"/>
        </w:rPr>
        <w:t xml:space="preserve"> </w:t>
      </w:r>
    </w:p>
    <w:p w:rsidR="00A14474" w:rsidRPr="00A14474" w:rsidRDefault="00A14474" w:rsidP="00A14474">
      <w:pPr>
        <w:keepNext/>
        <w:ind w:left="567" w:right="567"/>
        <w:rPr>
          <w:snapToGrid w:val="0"/>
          <w:sz w:val="18"/>
          <w:szCs w:val="18"/>
          <w:lang w:val="es-ES"/>
        </w:rPr>
      </w:pPr>
    </w:p>
    <w:p w:rsidR="00A14474" w:rsidRPr="00A14474" w:rsidRDefault="00A14474" w:rsidP="00A14474">
      <w:pPr>
        <w:ind w:left="567" w:right="567"/>
        <w:rPr>
          <w:snapToGrid w:val="0"/>
          <w:sz w:val="18"/>
          <w:szCs w:val="18"/>
          <w:lang w:val="es-ES"/>
        </w:rPr>
      </w:pPr>
      <w:r w:rsidRPr="00A14474">
        <w:rPr>
          <w:snapToGrid w:val="0"/>
          <w:sz w:val="18"/>
          <w:szCs w:val="18"/>
          <w:lang w:val="es-ES"/>
        </w:rPr>
        <w:t>6.</w:t>
      </w:r>
      <w:r w:rsidRPr="00A14474">
        <w:rPr>
          <w:snapToGrid w:val="0"/>
          <w:sz w:val="18"/>
          <w:szCs w:val="18"/>
          <w:lang w:val="es-ES"/>
        </w:rPr>
        <w:tab/>
      </w:r>
      <w:r w:rsidRPr="00A14474">
        <w:rPr>
          <w:snapToGrid w:val="0"/>
          <w:sz w:val="18"/>
          <w:szCs w:val="18"/>
        </w:rPr>
        <w:t>Se propone que en el informe anual del Secretario General se presenten los resultados y los indicadores de rendimiento con respecto al año en cuestión, del mismo modo en que se presenta la información en el informe anual del Secretario General correspondiente al primer año del bienio (véase, por ejemplo, el documento C/45/2 “Informe anual del Secretario General para 2010”).</w:t>
      </w:r>
      <w:r w:rsidRPr="00A14474">
        <w:rPr>
          <w:snapToGrid w:val="0"/>
          <w:sz w:val="18"/>
          <w:szCs w:val="18"/>
          <w:lang w:val="es-ES"/>
        </w:rPr>
        <w:t xml:space="preserve"> </w:t>
      </w:r>
      <w:r w:rsidRPr="00A14474">
        <w:rPr>
          <w:snapToGrid w:val="0"/>
          <w:sz w:val="18"/>
          <w:szCs w:val="18"/>
        </w:rPr>
        <w:t>Así, el informe sobre el rendimiento en el bienio se presentaría en un documento aparte;</w:t>
      </w:r>
      <w:r w:rsidRPr="00A14474">
        <w:rPr>
          <w:snapToGrid w:val="0"/>
          <w:sz w:val="18"/>
          <w:szCs w:val="18"/>
          <w:lang w:val="es-ES"/>
        </w:rPr>
        <w:t xml:space="preserve"> </w:t>
      </w:r>
      <w:r w:rsidRPr="00A14474">
        <w:rPr>
          <w:snapToGrid w:val="0"/>
          <w:sz w:val="18"/>
          <w:szCs w:val="18"/>
        </w:rPr>
        <w:t>por ejemplo, para el bienio 2014-2015:</w:t>
      </w:r>
      <w:r w:rsidRPr="00A14474">
        <w:rPr>
          <w:snapToGrid w:val="0"/>
          <w:sz w:val="18"/>
          <w:szCs w:val="18"/>
          <w:lang w:val="es-ES"/>
        </w:rPr>
        <w:t xml:space="preserve"> </w:t>
      </w:r>
    </w:p>
    <w:p w:rsidR="00A14474" w:rsidRPr="00A14474" w:rsidRDefault="00A14474" w:rsidP="00A14474">
      <w:pPr>
        <w:ind w:left="567" w:right="567"/>
        <w:rPr>
          <w:snapToGrid w:val="0"/>
          <w:sz w:val="18"/>
          <w:szCs w:val="18"/>
          <w:lang w:val="es-ES"/>
        </w:rPr>
      </w:pPr>
    </w:p>
    <w:p w:rsidR="00A14474" w:rsidRPr="00A14474" w:rsidRDefault="00A14474" w:rsidP="00A14474">
      <w:pPr>
        <w:ind w:left="567" w:right="567"/>
        <w:rPr>
          <w:snapToGrid w:val="0"/>
          <w:sz w:val="18"/>
          <w:szCs w:val="18"/>
          <w:lang w:val="es-ES"/>
        </w:rPr>
      </w:pPr>
      <w:r w:rsidRPr="00A14474">
        <w:rPr>
          <w:snapToGrid w:val="0"/>
          <w:sz w:val="18"/>
          <w:szCs w:val="18"/>
          <w:lang w:val="es-ES"/>
        </w:rPr>
        <w:tab/>
        <w:t>a)</w:t>
      </w:r>
      <w:r w:rsidRPr="00A14474">
        <w:rPr>
          <w:snapToGrid w:val="0"/>
          <w:sz w:val="18"/>
          <w:szCs w:val="18"/>
          <w:lang w:val="es-ES"/>
        </w:rPr>
        <w:tab/>
      </w:r>
      <w:r w:rsidRPr="00A14474">
        <w:rPr>
          <w:snapToGrid w:val="0"/>
          <w:sz w:val="18"/>
          <w:szCs w:val="18"/>
        </w:rPr>
        <w:t>informe anual con los resultados e indicadores de rendimiento para 2014;</w:t>
      </w:r>
    </w:p>
    <w:p w:rsidR="00A14474" w:rsidRPr="00A14474" w:rsidRDefault="00A14474" w:rsidP="00A14474">
      <w:pPr>
        <w:ind w:left="567" w:right="567"/>
        <w:rPr>
          <w:snapToGrid w:val="0"/>
          <w:sz w:val="18"/>
          <w:szCs w:val="18"/>
          <w:lang w:val="es-ES"/>
        </w:rPr>
      </w:pPr>
    </w:p>
    <w:p w:rsidR="00A14474" w:rsidRPr="00A14474" w:rsidRDefault="00A14474" w:rsidP="00A14474">
      <w:pPr>
        <w:ind w:left="567" w:right="567"/>
        <w:rPr>
          <w:snapToGrid w:val="0"/>
          <w:sz w:val="18"/>
          <w:szCs w:val="18"/>
          <w:lang w:val="es-ES"/>
        </w:rPr>
      </w:pPr>
      <w:r w:rsidRPr="00A14474">
        <w:rPr>
          <w:snapToGrid w:val="0"/>
          <w:sz w:val="18"/>
          <w:szCs w:val="18"/>
          <w:lang w:val="es-ES"/>
        </w:rPr>
        <w:tab/>
        <w:t>b)</w:t>
      </w:r>
      <w:r w:rsidRPr="00A14474">
        <w:rPr>
          <w:snapToGrid w:val="0"/>
          <w:sz w:val="18"/>
          <w:szCs w:val="18"/>
          <w:lang w:val="es-ES"/>
        </w:rPr>
        <w:tab/>
      </w:r>
      <w:r w:rsidRPr="00A14474">
        <w:rPr>
          <w:snapToGrid w:val="0"/>
          <w:sz w:val="18"/>
          <w:szCs w:val="18"/>
        </w:rPr>
        <w:t>informe anual con los resultados e indicadores de rendimiento para 2015; e</w:t>
      </w:r>
    </w:p>
    <w:p w:rsidR="00A14474" w:rsidRPr="00A14474" w:rsidRDefault="00A14474" w:rsidP="00A14474">
      <w:pPr>
        <w:ind w:left="567" w:right="567"/>
        <w:rPr>
          <w:snapToGrid w:val="0"/>
          <w:sz w:val="18"/>
          <w:szCs w:val="18"/>
          <w:lang w:val="es-ES"/>
        </w:rPr>
      </w:pPr>
    </w:p>
    <w:p w:rsidR="00A14474" w:rsidRPr="00A14474" w:rsidRDefault="00A14474" w:rsidP="00A14474">
      <w:pPr>
        <w:ind w:left="567" w:right="567"/>
        <w:rPr>
          <w:snapToGrid w:val="0"/>
          <w:sz w:val="18"/>
          <w:szCs w:val="18"/>
          <w:lang w:val="es-ES"/>
        </w:rPr>
      </w:pPr>
      <w:r w:rsidRPr="00A14474">
        <w:rPr>
          <w:snapToGrid w:val="0"/>
          <w:sz w:val="18"/>
          <w:szCs w:val="18"/>
          <w:lang w:val="es-ES"/>
        </w:rPr>
        <w:tab/>
        <w:t>c)</w:t>
      </w:r>
      <w:r w:rsidRPr="00A14474">
        <w:rPr>
          <w:snapToGrid w:val="0"/>
          <w:sz w:val="18"/>
          <w:szCs w:val="18"/>
          <w:lang w:val="es-ES"/>
        </w:rPr>
        <w:tab/>
      </w:r>
      <w:r w:rsidRPr="00A14474">
        <w:rPr>
          <w:snapToGrid w:val="0"/>
          <w:sz w:val="18"/>
          <w:szCs w:val="18"/>
        </w:rPr>
        <w:t>informe sobre el rendimiento en el bienio 2014-2015, que incluiría información sobre el gasto, el número total de puestos de la Oficina de la Unión y resultados e indicadores de rendimiento por subprograma, sobre la base del programa y presupuesto aprobado por el Consejo.</w:t>
      </w:r>
    </w:p>
    <w:p w:rsidR="00A14474" w:rsidRPr="00A14474" w:rsidRDefault="00A14474" w:rsidP="00A14474">
      <w:pPr>
        <w:ind w:left="567" w:right="567"/>
        <w:rPr>
          <w:snapToGrid w:val="0"/>
          <w:sz w:val="18"/>
          <w:szCs w:val="18"/>
          <w:lang w:val="es-ES"/>
        </w:rPr>
      </w:pPr>
    </w:p>
    <w:p w:rsidR="00A14474" w:rsidRPr="00A14474" w:rsidRDefault="00A14474" w:rsidP="00A14474">
      <w:pPr>
        <w:ind w:left="567" w:right="567"/>
        <w:rPr>
          <w:i/>
          <w:snapToGrid w:val="0"/>
          <w:sz w:val="18"/>
          <w:szCs w:val="18"/>
          <w:lang w:val="es-ES"/>
        </w:rPr>
      </w:pPr>
      <w:r w:rsidRPr="00A14474">
        <w:rPr>
          <w:i/>
          <w:snapToGrid w:val="0"/>
          <w:sz w:val="18"/>
          <w:szCs w:val="18"/>
        </w:rPr>
        <w:t>Informe sobre el rendimiento en el bienio</w:t>
      </w:r>
    </w:p>
    <w:p w:rsidR="00A14474" w:rsidRPr="00A14474" w:rsidRDefault="00A14474" w:rsidP="00A14474">
      <w:pPr>
        <w:ind w:left="567" w:right="567"/>
        <w:rPr>
          <w:snapToGrid w:val="0"/>
          <w:sz w:val="18"/>
          <w:szCs w:val="18"/>
          <w:lang w:val="es-ES"/>
        </w:rPr>
      </w:pPr>
    </w:p>
    <w:p w:rsidR="00A14474" w:rsidRPr="00A14474" w:rsidRDefault="00A14474" w:rsidP="00A14474">
      <w:pPr>
        <w:ind w:left="567" w:right="567"/>
        <w:rPr>
          <w:snapToGrid w:val="0"/>
          <w:sz w:val="18"/>
          <w:szCs w:val="18"/>
          <w:lang w:val="es-ES"/>
        </w:rPr>
      </w:pPr>
      <w:r w:rsidRPr="00A14474">
        <w:rPr>
          <w:snapToGrid w:val="0"/>
          <w:sz w:val="18"/>
          <w:szCs w:val="18"/>
          <w:lang w:val="es-ES"/>
        </w:rPr>
        <w:t>7.</w:t>
      </w:r>
      <w:r w:rsidRPr="00A14474">
        <w:rPr>
          <w:snapToGrid w:val="0"/>
          <w:sz w:val="18"/>
          <w:szCs w:val="18"/>
          <w:lang w:val="es-ES"/>
        </w:rPr>
        <w:tab/>
      </w:r>
      <w:r w:rsidRPr="00A14474">
        <w:rPr>
          <w:snapToGrid w:val="0"/>
          <w:sz w:val="18"/>
          <w:szCs w:val="18"/>
        </w:rPr>
        <w:t>En lo que respecta al documento que contiene el informe sobre el rendimiento en el bienio, se propone que dicho documento incluya información sobre el gasto, el número total de puestos para la Oficina de la Unión y los resultados e indicadores de rendimiento por subprograma, sobre la base del programa y presupuesto aprobado por el Consejo (véase, por ejemplo, el documento C/45/4 Rev.2).</w:t>
      </w:r>
      <w:r w:rsidRPr="00A14474">
        <w:rPr>
          <w:snapToGrid w:val="0"/>
          <w:sz w:val="18"/>
          <w:szCs w:val="18"/>
          <w:lang w:val="es-ES"/>
        </w:rPr>
        <w:t xml:space="preserve"> </w:t>
      </w:r>
      <w:r w:rsidRPr="00A14474">
        <w:rPr>
          <w:snapToGrid w:val="0"/>
          <w:sz w:val="18"/>
          <w:szCs w:val="18"/>
        </w:rPr>
        <w:t>La presentación de dicho documento en la sesión del Consejo de octubre / noviembre de 2014 proporcionará asimismo, por ejemplo, un útil documento de referencia al Comité Consultivo, en su sesión de marzo / abril de 2015, para examinar el proyecto de programa y presupuesto en el bienio 2016-2017.</w:t>
      </w:r>
      <w:r w:rsidRPr="00A14474">
        <w:rPr>
          <w:snapToGrid w:val="0"/>
          <w:sz w:val="18"/>
          <w:szCs w:val="18"/>
          <w:lang w:val="es-ES"/>
        </w:rPr>
        <w:t xml:space="preserve"> </w:t>
      </w:r>
    </w:p>
    <w:p w:rsidR="00A14474" w:rsidRPr="00A14474" w:rsidRDefault="00A14474" w:rsidP="00A14474">
      <w:pPr>
        <w:ind w:left="567" w:right="567"/>
        <w:rPr>
          <w:snapToGrid w:val="0"/>
          <w:sz w:val="18"/>
          <w:szCs w:val="18"/>
          <w:lang w:val="es-ES"/>
        </w:rPr>
      </w:pPr>
    </w:p>
    <w:p w:rsidR="00A14474" w:rsidRPr="00A14474" w:rsidRDefault="00A14474" w:rsidP="00A14474">
      <w:pPr>
        <w:ind w:left="567" w:right="567"/>
        <w:rPr>
          <w:snapToGrid w:val="0"/>
          <w:sz w:val="18"/>
          <w:szCs w:val="18"/>
          <w:lang w:val="es-ES"/>
        </w:rPr>
      </w:pPr>
      <w:r w:rsidRPr="00A14474">
        <w:rPr>
          <w:snapToGrid w:val="0"/>
          <w:sz w:val="18"/>
          <w:szCs w:val="18"/>
          <w:lang w:val="es-ES"/>
        </w:rPr>
        <w:t>8.</w:t>
      </w:r>
      <w:r w:rsidRPr="00A14474">
        <w:rPr>
          <w:snapToGrid w:val="0"/>
          <w:sz w:val="18"/>
          <w:szCs w:val="18"/>
          <w:lang w:val="es-ES"/>
        </w:rPr>
        <w:tab/>
      </w:r>
      <w:r w:rsidRPr="00A14474">
        <w:rPr>
          <w:snapToGrid w:val="0"/>
          <w:sz w:val="18"/>
          <w:szCs w:val="18"/>
        </w:rPr>
        <w:t>A fin de presentar los resultados e indicadores de rendimiento del modo más informativo posible, se propone también que, cuando corresponda, se aumente el uso de gráficos y se indiquen las tendencias a lo largo del tiempo.</w:t>
      </w:r>
      <w:r w:rsidRPr="00A14474">
        <w:rPr>
          <w:snapToGrid w:val="0"/>
          <w:sz w:val="18"/>
          <w:szCs w:val="18"/>
          <w:lang w:val="es-ES"/>
        </w:rPr>
        <w:t xml:space="preserve"> […]</w:t>
      </w:r>
    </w:p>
    <w:p w:rsidR="00A14474" w:rsidRPr="00A14474" w:rsidRDefault="00A14474" w:rsidP="00A14474">
      <w:pPr>
        <w:ind w:left="567" w:right="567"/>
        <w:rPr>
          <w:snapToGrid w:val="0"/>
          <w:sz w:val="18"/>
          <w:szCs w:val="18"/>
          <w:lang w:val="es-ES"/>
        </w:rPr>
      </w:pPr>
    </w:p>
    <w:p w:rsidR="00A14474" w:rsidRPr="00A14474" w:rsidRDefault="00A14474" w:rsidP="00A14474">
      <w:pPr>
        <w:ind w:left="567" w:right="567"/>
        <w:rPr>
          <w:snapToGrid w:val="0"/>
          <w:sz w:val="18"/>
          <w:szCs w:val="18"/>
          <w:lang w:val="es-ES"/>
        </w:rPr>
      </w:pPr>
      <w:r w:rsidRPr="00A14474">
        <w:rPr>
          <w:snapToGrid w:val="0"/>
          <w:sz w:val="18"/>
          <w:szCs w:val="18"/>
          <w:lang w:val="es-ES"/>
        </w:rPr>
        <w:t>9.</w:t>
      </w:r>
      <w:r w:rsidRPr="00A14474">
        <w:rPr>
          <w:snapToGrid w:val="0"/>
          <w:sz w:val="18"/>
          <w:szCs w:val="18"/>
          <w:lang w:val="es-ES"/>
        </w:rPr>
        <w:tab/>
      </w:r>
      <w:r w:rsidRPr="00A14474">
        <w:rPr>
          <w:snapToGrid w:val="0"/>
          <w:sz w:val="18"/>
          <w:szCs w:val="18"/>
        </w:rPr>
        <w:t>A fin de evitar duplicaciones innecesarias, en el informe sobre el rendimiento en el bienio se hará asimismo referencia a la información detallada que se facilita en los siguientes documentos:</w:t>
      </w:r>
    </w:p>
    <w:p w:rsidR="00A14474" w:rsidRPr="00A14474" w:rsidRDefault="00A14474" w:rsidP="00A14474">
      <w:pPr>
        <w:ind w:left="567" w:right="567"/>
        <w:rPr>
          <w:snapToGrid w:val="0"/>
          <w:sz w:val="18"/>
          <w:szCs w:val="18"/>
          <w:lang w:val="es-ES"/>
        </w:rPr>
      </w:pPr>
    </w:p>
    <w:p w:rsidR="00A14474" w:rsidRPr="00A14474" w:rsidRDefault="00A14474" w:rsidP="00A14474">
      <w:pPr>
        <w:ind w:left="567" w:right="567"/>
        <w:rPr>
          <w:snapToGrid w:val="0"/>
          <w:sz w:val="18"/>
          <w:szCs w:val="18"/>
          <w:lang w:val="es-ES"/>
        </w:rPr>
      </w:pPr>
      <w:r w:rsidRPr="00A14474">
        <w:rPr>
          <w:snapToGrid w:val="0"/>
          <w:sz w:val="18"/>
          <w:szCs w:val="18"/>
          <w:lang w:val="es-ES"/>
        </w:rPr>
        <w:tab/>
        <w:t>a)</w:t>
      </w:r>
      <w:r w:rsidRPr="00A14474">
        <w:rPr>
          <w:snapToGrid w:val="0"/>
          <w:sz w:val="18"/>
          <w:szCs w:val="18"/>
          <w:lang w:val="es-ES"/>
        </w:rPr>
        <w:tab/>
      </w:r>
      <w:r w:rsidRPr="00A14474">
        <w:rPr>
          <w:snapToGrid w:val="0"/>
          <w:sz w:val="18"/>
          <w:szCs w:val="18"/>
        </w:rPr>
        <w:t>Situación financiera de la Unión Internacional para la Protección de las Obtenciones Vegetales al final del bienio (véase, por ejemplo, el documento C/46/4 “Situación financiera de la Unión Internacional para la Protección de las Obtenciones Vegetales al 31 de diciembre de 2011”);</w:t>
      </w:r>
    </w:p>
    <w:p w:rsidR="00A14474" w:rsidRPr="00A14474" w:rsidRDefault="00A14474" w:rsidP="00A14474">
      <w:pPr>
        <w:ind w:left="567" w:right="567"/>
        <w:rPr>
          <w:snapToGrid w:val="0"/>
          <w:sz w:val="18"/>
          <w:szCs w:val="18"/>
          <w:lang w:val="es-ES"/>
        </w:rPr>
      </w:pPr>
    </w:p>
    <w:p w:rsidR="00A14474" w:rsidRPr="00A14474" w:rsidRDefault="00A14474" w:rsidP="00A14474">
      <w:pPr>
        <w:ind w:left="567" w:right="567"/>
        <w:rPr>
          <w:snapToGrid w:val="0"/>
          <w:sz w:val="18"/>
          <w:szCs w:val="18"/>
          <w:lang w:val="es-ES"/>
        </w:rPr>
      </w:pPr>
      <w:r w:rsidRPr="00A14474">
        <w:rPr>
          <w:snapToGrid w:val="0"/>
          <w:sz w:val="18"/>
          <w:szCs w:val="18"/>
          <w:lang w:val="es-ES"/>
        </w:rPr>
        <w:tab/>
        <w:t>b)</w:t>
      </w:r>
      <w:r w:rsidRPr="00A14474">
        <w:rPr>
          <w:snapToGrid w:val="0"/>
          <w:sz w:val="18"/>
          <w:szCs w:val="18"/>
          <w:lang w:val="es-ES"/>
        </w:rPr>
        <w:tab/>
      </w:r>
      <w:r w:rsidRPr="00A14474">
        <w:rPr>
          <w:snapToGrid w:val="0"/>
          <w:sz w:val="18"/>
          <w:szCs w:val="18"/>
        </w:rPr>
        <w:t>Informe anual del Secretario General (por ejemplo, documento C/45/2);</w:t>
      </w:r>
    </w:p>
    <w:p w:rsidR="00A14474" w:rsidRPr="00A14474" w:rsidRDefault="00A14474" w:rsidP="00A14474">
      <w:pPr>
        <w:ind w:left="567" w:right="567"/>
        <w:rPr>
          <w:snapToGrid w:val="0"/>
          <w:sz w:val="18"/>
          <w:szCs w:val="18"/>
          <w:lang w:val="es-ES"/>
        </w:rPr>
      </w:pPr>
    </w:p>
    <w:p w:rsidR="00A14474" w:rsidRPr="00A14474" w:rsidRDefault="00A14474" w:rsidP="00A14474">
      <w:pPr>
        <w:ind w:left="567" w:right="567"/>
        <w:rPr>
          <w:snapToGrid w:val="0"/>
          <w:sz w:val="18"/>
          <w:szCs w:val="18"/>
          <w:lang w:val="es-ES"/>
        </w:rPr>
      </w:pPr>
      <w:r w:rsidRPr="00A14474">
        <w:rPr>
          <w:snapToGrid w:val="0"/>
          <w:sz w:val="18"/>
          <w:szCs w:val="18"/>
          <w:lang w:val="es-ES"/>
        </w:rPr>
        <w:tab/>
        <w:t>c)</w:t>
      </w:r>
      <w:r w:rsidRPr="00A14474">
        <w:rPr>
          <w:snapToGrid w:val="0"/>
          <w:sz w:val="18"/>
          <w:szCs w:val="18"/>
          <w:lang w:val="es-ES"/>
        </w:rPr>
        <w:tab/>
      </w:r>
      <w:r w:rsidRPr="00A14474">
        <w:rPr>
          <w:snapToGrid w:val="0"/>
          <w:sz w:val="18"/>
          <w:szCs w:val="18"/>
        </w:rPr>
        <w:t>Informe sobre la marcha de los trabajos del Comité Administrativo y Jurídico (por ejemplo, documento C/46/9); e</w:t>
      </w:r>
    </w:p>
    <w:p w:rsidR="00A14474" w:rsidRPr="00A14474" w:rsidRDefault="00A14474" w:rsidP="00A14474">
      <w:pPr>
        <w:ind w:left="567" w:right="567"/>
        <w:rPr>
          <w:snapToGrid w:val="0"/>
          <w:sz w:val="18"/>
          <w:szCs w:val="18"/>
          <w:lang w:val="es-ES"/>
        </w:rPr>
      </w:pPr>
    </w:p>
    <w:p w:rsidR="00A14474" w:rsidRPr="00A14474" w:rsidRDefault="00A14474" w:rsidP="00A14474">
      <w:pPr>
        <w:ind w:left="567" w:right="567"/>
        <w:rPr>
          <w:snapToGrid w:val="0"/>
          <w:lang w:val="es-ES"/>
        </w:rPr>
      </w:pPr>
      <w:r w:rsidRPr="00A14474">
        <w:rPr>
          <w:snapToGrid w:val="0"/>
          <w:sz w:val="18"/>
          <w:szCs w:val="18"/>
          <w:lang w:val="es-ES"/>
        </w:rPr>
        <w:tab/>
        <w:t>d)</w:t>
      </w:r>
      <w:r w:rsidRPr="00A14474">
        <w:rPr>
          <w:snapToGrid w:val="0"/>
          <w:sz w:val="18"/>
          <w:szCs w:val="18"/>
          <w:lang w:val="es-ES"/>
        </w:rPr>
        <w:tab/>
      </w:r>
      <w:r w:rsidRPr="00A14474">
        <w:rPr>
          <w:snapToGrid w:val="0"/>
          <w:sz w:val="18"/>
          <w:szCs w:val="18"/>
        </w:rPr>
        <w:t>Informe sobre la marcha de la labor del Comité Técnico, los Grupos de Trabajo Técnico y el Grupo de Trabajo sobre Técnicas Bioquímicas y Moleculares, y Perfiles de ADN en particular (por ejemplo, documento C/46/10).”</w:t>
      </w:r>
    </w:p>
    <w:p w:rsidR="00A14474" w:rsidRPr="00A14474" w:rsidRDefault="00A14474" w:rsidP="00A14474">
      <w:pPr>
        <w:rPr>
          <w:lang w:val="es-ES"/>
        </w:rPr>
      </w:pPr>
    </w:p>
    <w:p w:rsidR="00A14474" w:rsidRPr="00A14474" w:rsidRDefault="00A14474" w:rsidP="00A14474">
      <w:pPr>
        <w:rPr>
          <w:snapToGrid w:val="0"/>
          <w:lang w:val="es-ES"/>
        </w:rPr>
      </w:pPr>
      <w:r w:rsidRPr="00A14474">
        <w:rPr>
          <w:snapToGrid w:val="0"/>
        </w:rPr>
        <w:fldChar w:fldCharType="begin"/>
      </w:r>
      <w:r w:rsidRPr="00A14474">
        <w:rPr>
          <w:snapToGrid w:val="0"/>
          <w:lang w:val="es-ES"/>
        </w:rPr>
        <w:instrText xml:space="preserve"> AUTONUM  </w:instrText>
      </w:r>
      <w:r w:rsidRPr="00A14474">
        <w:rPr>
          <w:snapToGrid w:val="0"/>
        </w:rPr>
        <w:fldChar w:fldCharType="end"/>
      </w:r>
      <w:r w:rsidRPr="00A14474">
        <w:rPr>
          <w:snapToGrid w:val="0"/>
          <w:lang w:val="es-ES"/>
        </w:rPr>
        <w:tab/>
      </w:r>
      <w:r w:rsidRPr="00A14474">
        <w:t>En su octogésima sexta sesión, celebrada en Ginebra los días 23 y 24 de octubre de 2013, el Comité Consultivo examinó el documento</w:t>
      </w:r>
      <w:r w:rsidRPr="00A14474">
        <w:rPr>
          <w:snapToGrid w:val="0"/>
        </w:rPr>
        <w:t xml:space="preserve"> CC/86/3 “Preparación de los informes que se presentarán al Consejo”.</w:t>
      </w:r>
    </w:p>
    <w:p w:rsidR="00A14474" w:rsidRPr="00A14474" w:rsidRDefault="00A14474" w:rsidP="00A14474">
      <w:pPr>
        <w:rPr>
          <w:snapToGrid w:val="0"/>
          <w:lang w:val="es-ES"/>
        </w:rPr>
      </w:pPr>
    </w:p>
    <w:p w:rsidR="00A14474" w:rsidRPr="00A14474" w:rsidRDefault="00A14474" w:rsidP="00A14474">
      <w:pPr>
        <w:rPr>
          <w:snapToGrid w:val="0"/>
          <w:lang w:val="es-ES"/>
        </w:rPr>
      </w:pPr>
      <w:r w:rsidRPr="00A14474">
        <w:fldChar w:fldCharType="begin"/>
      </w:r>
      <w:r w:rsidRPr="00A14474">
        <w:rPr>
          <w:lang w:val="es-ES"/>
        </w:rPr>
        <w:instrText xml:space="preserve"> AUTONUM  </w:instrText>
      </w:r>
      <w:r w:rsidRPr="00A14474">
        <w:fldChar w:fldCharType="end"/>
      </w:r>
      <w:r w:rsidRPr="00A14474">
        <w:rPr>
          <w:lang w:val="es-ES"/>
        </w:rPr>
        <w:tab/>
      </w:r>
      <w:r w:rsidRPr="00A14474">
        <w:rPr>
          <w:snapToGrid w:val="0"/>
        </w:rPr>
        <w:t xml:space="preserve">El Comité Consultivo aprobó la presentación de información propuesta para el informe sobre el rendimiento en el bienio sobre la base del Anexo del documento CC/86/3, con la recomendación de evitar el uso de gráficos tridimensionales y emplear una combinación de colores adecuada (véanse los </w:t>
      </w:r>
      <w:r w:rsidRPr="00A14474">
        <w:rPr>
          <w:rFonts w:cs="Arial"/>
          <w:snapToGrid w:val="0"/>
        </w:rPr>
        <w:t>párrafos 45 y 46 del documento CC/86/15 “Informe”)</w:t>
      </w:r>
      <w:r w:rsidRPr="00A14474">
        <w:rPr>
          <w:snapToGrid w:val="0"/>
        </w:rPr>
        <w:t>.</w:t>
      </w:r>
      <w:r w:rsidRPr="00A14474">
        <w:rPr>
          <w:snapToGrid w:val="0"/>
          <w:lang w:val="es-ES"/>
        </w:rPr>
        <w:t xml:space="preserve"> </w:t>
      </w:r>
    </w:p>
    <w:p w:rsidR="00A14474" w:rsidRPr="00A14474" w:rsidRDefault="00A14474" w:rsidP="00A14474">
      <w:pPr>
        <w:rPr>
          <w:snapToGrid w:val="0"/>
          <w:lang w:val="es-ES"/>
        </w:rPr>
      </w:pPr>
    </w:p>
    <w:p w:rsidR="00A14474" w:rsidRPr="00A14474" w:rsidRDefault="00A14474" w:rsidP="00A14474">
      <w:pPr>
        <w:rPr>
          <w:snapToGrid w:val="0"/>
          <w:lang w:val="es-ES"/>
        </w:rPr>
      </w:pPr>
    </w:p>
    <w:p w:rsidR="00A14474" w:rsidRPr="00A14474" w:rsidRDefault="00A14474" w:rsidP="0031420A">
      <w:pPr>
        <w:keepNext/>
        <w:outlineLvl w:val="1"/>
        <w:rPr>
          <w:u w:val="single"/>
          <w:lang w:val="es-ES"/>
        </w:rPr>
      </w:pPr>
      <w:r w:rsidRPr="00A14474">
        <w:rPr>
          <w:u w:val="single"/>
        </w:rPr>
        <w:lastRenderedPageBreak/>
        <w:t>Informe de gestión financiera del bienio y Estados financieros</w:t>
      </w:r>
    </w:p>
    <w:p w:rsidR="00A14474" w:rsidRPr="00A14474" w:rsidRDefault="00A14474" w:rsidP="0031420A">
      <w:pPr>
        <w:keepNext/>
        <w:rPr>
          <w:lang w:val="es-ES"/>
        </w:rPr>
      </w:pPr>
    </w:p>
    <w:p w:rsidR="00A14474" w:rsidRPr="00A14474" w:rsidRDefault="00A14474" w:rsidP="0031420A">
      <w:pPr>
        <w:keepNext/>
        <w:rPr>
          <w:lang w:val="es-ES"/>
        </w:rPr>
      </w:pPr>
      <w:r w:rsidRPr="00A14474">
        <w:fldChar w:fldCharType="begin"/>
      </w:r>
      <w:r w:rsidRPr="00A14474">
        <w:rPr>
          <w:lang w:val="es-ES"/>
        </w:rPr>
        <w:instrText xml:space="preserve"> AUTONUM  </w:instrText>
      </w:r>
      <w:r w:rsidRPr="00A14474">
        <w:fldChar w:fldCharType="end"/>
      </w:r>
      <w:r w:rsidRPr="00A14474">
        <w:rPr>
          <w:lang w:val="es-ES"/>
        </w:rPr>
        <w:tab/>
      </w:r>
      <w:r w:rsidRPr="00A14474">
        <w:t>En el documento UPOV/INF/4/5 “Reglamento financiero y reglamentación financiera de la UPOV” se establecen los siguientes requisitos respecto de la presentación de informes:</w:t>
      </w:r>
    </w:p>
    <w:p w:rsidR="00A14474" w:rsidRPr="00A14474" w:rsidRDefault="00A14474" w:rsidP="00A14474">
      <w:pPr>
        <w:keepNext/>
        <w:spacing w:before="240"/>
        <w:ind w:left="567" w:right="567"/>
        <w:outlineLvl w:val="5"/>
        <w:rPr>
          <w:b/>
          <w:bCs/>
          <w:sz w:val="18"/>
          <w:szCs w:val="24"/>
          <w:lang w:val="es-ES"/>
        </w:rPr>
      </w:pPr>
      <w:r w:rsidRPr="00A14474">
        <w:rPr>
          <w:b/>
          <w:bCs/>
          <w:sz w:val="18"/>
          <w:szCs w:val="24"/>
        </w:rPr>
        <w:t>“Desempeño financiero y rendimiento de los programas, y presentación de informes</w:t>
      </w:r>
    </w:p>
    <w:p w:rsidR="00A14474" w:rsidRPr="00A14474" w:rsidRDefault="00A14474" w:rsidP="00A14474">
      <w:pPr>
        <w:keepNext/>
        <w:spacing w:before="100"/>
        <w:ind w:left="567" w:right="567"/>
        <w:outlineLvl w:val="5"/>
        <w:rPr>
          <w:b/>
          <w:bCs/>
          <w:sz w:val="18"/>
          <w:szCs w:val="24"/>
          <w:lang w:val="es-ES"/>
        </w:rPr>
      </w:pPr>
      <w:r w:rsidRPr="00A14474">
        <w:rPr>
          <w:b/>
          <w:bCs/>
          <w:sz w:val="18"/>
          <w:szCs w:val="24"/>
        </w:rPr>
        <w:t>Artículo 2.14</w:t>
      </w:r>
    </w:p>
    <w:p w:rsidR="00A14474" w:rsidRPr="00A14474" w:rsidRDefault="00A14474" w:rsidP="00A14474">
      <w:pPr>
        <w:spacing w:before="100"/>
        <w:ind w:left="567" w:right="567"/>
        <w:rPr>
          <w:sz w:val="18"/>
          <w:lang w:val="es-ES"/>
        </w:rPr>
      </w:pPr>
      <w:r w:rsidRPr="00A14474">
        <w:rPr>
          <w:sz w:val="18"/>
        </w:rPr>
        <w:t xml:space="preserve">El </w:t>
      </w:r>
      <w:r w:rsidRPr="00A14474">
        <w:rPr>
          <w:sz w:val="18"/>
          <w:highlight w:val="lightGray"/>
        </w:rPr>
        <w:t>Secretario General</w:t>
      </w:r>
      <w:r w:rsidRPr="00A14474">
        <w:rPr>
          <w:sz w:val="18"/>
        </w:rPr>
        <w:t xml:space="preserve"> preparará un informe sobre el rendimiento de los programas y la gestión presupuestaria teniendo en cuenta la estructura de los mismos, las perspectivas de resultados, y los parámetros de ejecución que figuran en el presupuesto por programas, de conformidad con el mecanismo adoptado por los </w:t>
      </w:r>
      <w:r w:rsidRPr="00A14474">
        <w:rPr>
          <w:sz w:val="18"/>
          <w:highlight w:val="lightGray"/>
        </w:rPr>
        <w:t>miembros de la UPOV</w:t>
      </w:r>
      <w:r w:rsidRPr="00A14474">
        <w:rPr>
          <w:sz w:val="18"/>
        </w:rPr>
        <w:t xml:space="preserve"> respecto de su participación en la preparación y el seguimiento del programa y presupuesto de la </w:t>
      </w:r>
      <w:r w:rsidRPr="00A14474">
        <w:rPr>
          <w:sz w:val="18"/>
          <w:highlight w:val="lightGray"/>
        </w:rPr>
        <w:t>UPOV</w:t>
      </w:r>
      <w:r w:rsidRPr="00A14474">
        <w:rPr>
          <w:sz w:val="18"/>
        </w:rPr>
        <w:t>.</w:t>
      </w:r>
      <w:r w:rsidRPr="00A14474">
        <w:rPr>
          <w:sz w:val="18"/>
          <w:lang w:val="es-ES"/>
        </w:rPr>
        <w:t xml:space="preserve"> </w:t>
      </w:r>
      <w:r w:rsidRPr="00A14474">
        <w:rPr>
          <w:sz w:val="18"/>
        </w:rPr>
        <w:t>El Informe de gestión financiera y de rendimiento de los programas de i) el primer año del bienio incluirá un informe de situación sobre el desempeño de los programas y la gestión presupuestaria; y el de ii) el segundo año del bienio incluirá un informe sobre los logros alcanzados en el bienio, así como la información acerca de la gestión financiera que exigen el Reglamento Financiero y la Reglamentación Financiera.</w:t>
      </w:r>
    </w:p>
    <w:p w:rsidR="00A14474" w:rsidRPr="00A14474" w:rsidRDefault="00A14474" w:rsidP="00A14474">
      <w:pPr>
        <w:spacing w:before="100"/>
        <w:ind w:left="1134" w:right="567"/>
        <w:outlineLvl w:val="5"/>
        <w:rPr>
          <w:b/>
          <w:bCs/>
          <w:sz w:val="18"/>
          <w:szCs w:val="24"/>
          <w:lang w:val="es-ES"/>
        </w:rPr>
      </w:pPr>
      <w:r w:rsidRPr="00A14474">
        <w:rPr>
          <w:b/>
          <w:bCs/>
          <w:sz w:val="18"/>
          <w:szCs w:val="24"/>
        </w:rPr>
        <w:t>Regla 102.6</w:t>
      </w:r>
    </w:p>
    <w:p w:rsidR="00A14474" w:rsidRPr="00A14474" w:rsidRDefault="00A14474" w:rsidP="00A14474">
      <w:pPr>
        <w:spacing w:before="100"/>
        <w:ind w:left="1134" w:right="567"/>
        <w:rPr>
          <w:sz w:val="18"/>
          <w:szCs w:val="24"/>
          <w:lang w:val="es-ES"/>
        </w:rPr>
      </w:pPr>
      <w:r w:rsidRPr="00A14474">
        <w:rPr>
          <w:sz w:val="18"/>
          <w:szCs w:val="24"/>
          <w:highlight w:val="lightGray"/>
        </w:rPr>
        <w:t>El Secretario General Adjunto</w:t>
      </w:r>
      <w:r w:rsidRPr="00A14474">
        <w:rPr>
          <w:sz w:val="18"/>
          <w:szCs w:val="24"/>
        </w:rPr>
        <w:t xml:space="preserve"> presentará al </w:t>
      </w:r>
      <w:r w:rsidRPr="00A14474">
        <w:rPr>
          <w:sz w:val="18"/>
          <w:szCs w:val="24"/>
          <w:highlight w:val="lightGray"/>
        </w:rPr>
        <w:t>Secretario General</w:t>
      </w:r>
      <w:r w:rsidRPr="00A14474">
        <w:rPr>
          <w:sz w:val="18"/>
          <w:szCs w:val="24"/>
        </w:rPr>
        <w:t xml:space="preserve"> esa información en el momento en que lo prescriba este último para incluirla en el informe sobre el rendimiento de los programas.</w:t>
      </w:r>
    </w:p>
    <w:p w:rsidR="00A14474" w:rsidRPr="00A14474" w:rsidRDefault="00A14474" w:rsidP="00A14474">
      <w:pPr>
        <w:spacing w:before="100"/>
        <w:ind w:left="567" w:right="567"/>
        <w:outlineLvl w:val="5"/>
        <w:rPr>
          <w:b/>
          <w:bCs/>
          <w:sz w:val="18"/>
          <w:szCs w:val="24"/>
          <w:lang w:val="es-ES"/>
        </w:rPr>
      </w:pPr>
      <w:r w:rsidRPr="00A14474">
        <w:rPr>
          <w:b/>
          <w:bCs/>
          <w:sz w:val="18"/>
          <w:szCs w:val="24"/>
        </w:rPr>
        <w:t>Artículo 2.14</w:t>
      </w:r>
      <w:r w:rsidRPr="00A14474">
        <w:rPr>
          <w:b/>
          <w:bCs/>
          <w:i/>
          <w:sz w:val="18"/>
          <w:szCs w:val="24"/>
        </w:rPr>
        <w:t>bis</w:t>
      </w:r>
    </w:p>
    <w:p w:rsidR="00A14474" w:rsidRPr="00A14474" w:rsidRDefault="00A14474" w:rsidP="00A14474">
      <w:pPr>
        <w:spacing w:before="100"/>
        <w:ind w:left="567" w:right="567"/>
        <w:rPr>
          <w:sz w:val="18"/>
          <w:szCs w:val="24"/>
          <w:lang w:val="es-ES"/>
        </w:rPr>
      </w:pPr>
      <w:r w:rsidRPr="00A14474">
        <w:rPr>
          <w:sz w:val="18"/>
          <w:szCs w:val="24"/>
        </w:rPr>
        <w:t>El Informe de gestión financiera y de rendimiento de los programas del segundo año del bienio incluirá la información financiera siguiente:</w:t>
      </w:r>
      <w:r w:rsidRPr="00A14474">
        <w:rPr>
          <w:sz w:val="18"/>
          <w:szCs w:val="24"/>
          <w:lang w:val="es-ES"/>
        </w:rPr>
        <w:t xml:space="preserve"> </w:t>
      </w:r>
    </w:p>
    <w:p w:rsidR="00A14474" w:rsidRPr="00A14474" w:rsidRDefault="00A14474" w:rsidP="00A14474">
      <w:pPr>
        <w:spacing w:before="100"/>
        <w:ind w:left="567" w:right="567"/>
        <w:rPr>
          <w:sz w:val="18"/>
          <w:szCs w:val="24"/>
          <w:lang w:val="es-ES"/>
        </w:rPr>
      </w:pPr>
      <w:r w:rsidRPr="00A14474">
        <w:rPr>
          <w:sz w:val="18"/>
          <w:szCs w:val="24"/>
          <w:lang w:val="es-ES"/>
        </w:rPr>
        <w:t>a)</w:t>
      </w:r>
      <w:r w:rsidRPr="00A14474">
        <w:rPr>
          <w:sz w:val="18"/>
          <w:szCs w:val="24"/>
          <w:lang w:val="es-ES"/>
        </w:rPr>
        <w:tab/>
      </w:r>
      <w:r w:rsidRPr="00A14474">
        <w:rPr>
          <w:sz w:val="18"/>
          <w:szCs w:val="24"/>
        </w:rPr>
        <w:t>un estado de los ingresos y gastos presupuestados y reales correspondientes al ejercicio económico objeto del informe, sobre la misma base contable que el presupuesto aprobado;</w:t>
      </w:r>
    </w:p>
    <w:p w:rsidR="00A14474" w:rsidRPr="00A14474" w:rsidRDefault="00A14474" w:rsidP="00A14474">
      <w:pPr>
        <w:spacing w:before="100"/>
        <w:ind w:left="567" w:right="567"/>
        <w:rPr>
          <w:sz w:val="18"/>
          <w:szCs w:val="24"/>
          <w:lang w:val="es-ES"/>
        </w:rPr>
      </w:pPr>
      <w:r w:rsidRPr="00A14474">
        <w:rPr>
          <w:sz w:val="18"/>
          <w:szCs w:val="24"/>
          <w:lang w:val="es-ES"/>
        </w:rPr>
        <w:t>b)</w:t>
      </w:r>
      <w:r w:rsidRPr="00A14474">
        <w:rPr>
          <w:sz w:val="18"/>
          <w:szCs w:val="24"/>
          <w:lang w:val="es-ES"/>
        </w:rPr>
        <w:tab/>
      </w:r>
      <w:r w:rsidRPr="00A14474">
        <w:rPr>
          <w:sz w:val="18"/>
          <w:szCs w:val="24"/>
        </w:rPr>
        <w:t>el estado de las consignaciones, con inclusión de:</w:t>
      </w:r>
    </w:p>
    <w:p w:rsidR="00A14474" w:rsidRPr="00A14474" w:rsidRDefault="00A14474" w:rsidP="00A14474">
      <w:pPr>
        <w:spacing w:before="100"/>
        <w:ind w:left="1134" w:right="567"/>
        <w:rPr>
          <w:sz w:val="18"/>
          <w:szCs w:val="24"/>
          <w:lang w:val="es-ES"/>
        </w:rPr>
      </w:pPr>
      <w:r w:rsidRPr="00A14474">
        <w:rPr>
          <w:sz w:val="18"/>
          <w:szCs w:val="24"/>
          <w:lang w:val="es-ES"/>
        </w:rPr>
        <w:t>i)</w:t>
      </w:r>
      <w:r w:rsidRPr="00A14474">
        <w:rPr>
          <w:sz w:val="18"/>
          <w:szCs w:val="24"/>
          <w:lang w:val="es-ES"/>
        </w:rPr>
        <w:tab/>
      </w:r>
      <w:r w:rsidRPr="00A14474">
        <w:rPr>
          <w:sz w:val="18"/>
          <w:szCs w:val="24"/>
        </w:rPr>
        <w:t>las consignaciones presupuestarias iniciales;</w:t>
      </w:r>
    </w:p>
    <w:p w:rsidR="00A14474" w:rsidRPr="00A14474" w:rsidRDefault="00A14474" w:rsidP="00A14474">
      <w:pPr>
        <w:spacing w:before="100"/>
        <w:ind w:left="1134" w:right="567"/>
        <w:rPr>
          <w:sz w:val="18"/>
          <w:szCs w:val="24"/>
          <w:highlight w:val="yellow"/>
          <w:lang w:val="es-ES"/>
        </w:rPr>
      </w:pPr>
      <w:r w:rsidRPr="00A14474">
        <w:rPr>
          <w:sz w:val="18"/>
          <w:szCs w:val="24"/>
          <w:highlight w:val="lightGray"/>
          <w:lang w:val="es-ES"/>
        </w:rPr>
        <w:t>ii)</w:t>
      </w:r>
      <w:r w:rsidRPr="00A14474">
        <w:rPr>
          <w:sz w:val="18"/>
          <w:szCs w:val="24"/>
          <w:highlight w:val="lightGray"/>
          <w:lang w:val="es-ES"/>
        </w:rPr>
        <w:tab/>
      </w:r>
      <w:r w:rsidRPr="00A14474">
        <w:rPr>
          <w:sz w:val="18"/>
          <w:szCs w:val="24"/>
          <w:highlight w:val="lightGray"/>
        </w:rPr>
        <w:t>No aplicable a la UPOV</w:t>
      </w:r>
    </w:p>
    <w:p w:rsidR="00A14474" w:rsidRPr="00A14474" w:rsidRDefault="00A14474" w:rsidP="00A14474">
      <w:pPr>
        <w:spacing w:before="100"/>
        <w:ind w:left="1134" w:right="567"/>
        <w:rPr>
          <w:sz w:val="18"/>
          <w:szCs w:val="24"/>
          <w:highlight w:val="lightGray"/>
          <w:lang w:val="es-ES"/>
        </w:rPr>
      </w:pPr>
      <w:r w:rsidRPr="00A14474">
        <w:rPr>
          <w:sz w:val="18"/>
          <w:szCs w:val="24"/>
          <w:highlight w:val="lightGray"/>
          <w:lang w:val="es-ES"/>
        </w:rPr>
        <w:t>iii)</w:t>
      </w:r>
      <w:r w:rsidRPr="00A14474">
        <w:rPr>
          <w:sz w:val="18"/>
          <w:szCs w:val="24"/>
          <w:highlight w:val="lightGray"/>
          <w:lang w:val="es-ES"/>
        </w:rPr>
        <w:tab/>
      </w:r>
      <w:r w:rsidRPr="00A14474">
        <w:rPr>
          <w:sz w:val="18"/>
          <w:szCs w:val="24"/>
          <w:highlight w:val="lightGray"/>
        </w:rPr>
        <w:t>No aplicable a la UPOV.</w:t>
      </w:r>
      <w:r w:rsidRPr="00A14474">
        <w:rPr>
          <w:sz w:val="18"/>
          <w:szCs w:val="24"/>
          <w:highlight w:val="lightGray"/>
          <w:lang w:val="es-ES"/>
        </w:rPr>
        <w:t xml:space="preserve"> </w:t>
      </w:r>
    </w:p>
    <w:p w:rsidR="00A14474" w:rsidRPr="00A14474" w:rsidRDefault="00A14474" w:rsidP="00A14474">
      <w:pPr>
        <w:spacing w:before="100"/>
        <w:ind w:left="567" w:right="567"/>
        <w:rPr>
          <w:sz w:val="18"/>
          <w:szCs w:val="24"/>
          <w:lang w:val="es-ES"/>
        </w:rPr>
      </w:pPr>
      <w:r w:rsidRPr="00A14474">
        <w:rPr>
          <w:sz w:val="18"/>
          <w:szCs w:val="24"/>
        </w:rPr>
        <w:t xml:space="preserve">Asimismo, el </w:t>
      </w:r>
      <w:r w:rsidRPr="00A14474">
        <w:rPr>
          <w:sz w:val="18"/>
          <w:szCs w:val="24"/>
          <w:highlight w:val="lightGray"/>
        </w:rPr>
        <w:t>Secretario General</w:t>
      </w:r>
      <w:r w:rsidRPr="00A14474">
        <w:rPr>
          <w:sz w:val="18"/>
          <w:szCs w:val="24"/>
        </w:rPr>
        <w:t xml:space="preserve"> proporcionará cualquier otra información apropiada a los fines de exponer la situación financiera de </w:t>
      </w:r>
      <w:r w:rsidRPr="00A14474">
        <w:rPr>
          <w:sz w:val="18"/>
          <w:szCs w:val="24"/>
          <w:highlight w:val="lightGray"/>
        </w:rPr>
        <w:t>la UPOV</w:t>
      </w:r>
      <w:r w:rsidRPr="00A14474">
        <w:rPr>
          <w:sz w:val="18"/>
          <w:szCs w:val="24"/>
        </w:rPr>
        <w:t xml:space="preserve"> en un momento determinado.</w:t>
      </w:r>
    </w:p>
    <w:p w:rsidR="00A14474" w:rsidRPr="00A14474" w:rsidRDefault="00A14474" w:rsidP="00A14474">
      <w:pPr>
        <w:spacing w:before="100"/>
        <w:ind w:left="1134" w:right="567"/>
        <w:outlineLvl w:val="5"/>
        <w:rPr>
          <w:b/>
          <w:bCs/>
          <w:sz w:val="18"/>
          <w:szCs w:val="24"/>
          <w:lang w:val="es-ES"/>
        </w:rPr>
      </w:pPr>
      <w:r w:rsidRPr="00A14474">
        <w:rPr>
          <w:b/>
          <w:bCs/>
          <w:sz w:val="18"/>
          <w:szCs w:val="24"/>
        </w:rPr>
        <w:t>Regla 102.7</w:t>
      </w:r>
    </w:p>
    <w:p w:rsidR="00A14474" w:rsidRPr="00A14474" w:rsidRDefault="00A14474" w:rsidP="00A14474">
      <w:pPr>
        <w:spacing w:before="100"/>
        <w:ind w:left="1134" w:right="567"/>
        <w:rPr>
          <w:sz w:val="18"/>
          <w:szCs w:val="24"/>
          <w:lang w:val="es-ES"/>
        </w:rPr>
      </w:pPr>
      <w:r w:rsidRPr="00A14474">
        <w:rPr>
          <w:sz w:val="18"/>
          <w:szCs w:val="24"/>
          <w:highlight w:val="lightGray"/>
          <w:lang w:val="es-ES"/>
        </w:rPr>
        <w:t>a)</w:t>
      </w:r>
      <w:r w:rsidRPr="00A14474">
        <w:rPr>
          <w:sz w:val="18"/>
          <w:szCs w:val="24"/>
          <w:lang w:val="es-ES"/>
        </w:rPr>
        <w:tab/>
      </w:r>
      <w:r w:rsidRPr="00A14474">
        <w:rPr>
          <w:sz w:val="18"/>
          <w:szCs w:val="24"/>
        </w:rPr>
        <w:t xml:space="preserve">El Contralor </w:t>
      </w:r>
      <w:r w:rsidRPr="00A14474">
        <w:rPr>
          <w:sz w:val="18"/>
          <w:szCs w:val="24"/>
          <w:highlight w:val="lightGray"/>
        </w:rPr>
        <w:t>de la OMPI</w:t>
      </w:r>
      <w:r w:rsidRPr="00A14474">
        <w:rPr>
          <w:sz w:val="18"/>
          <w:szCs w:val="24"/>
        </w:rPr>
        <w:t xml:space="preserve"> preparará el Informe de gestión financiera y de rendimiento de los programas de acuerdo con lo establecido en los artículos 2.14 y 2.14</w:t>
      </w:r>
      <w:r w:rsidRPr="00A14474">
        <w:rPr>
          <w:i/>
          <w:sz w:val="18"/>
          <w:szCs w:val="24"/>
        </w:rPr>
        <w:t>bis</w:t>
      </w:r>
      <w:r w:rsidRPr="00A14474">
        <w:rPr>
          <w:sz w:val="18"/>
          <w:szCs w:val="24"/>
        </w:rPr>
        <w:t>,</w:t>
      </w:r>
    </w:p>
    <w:p w:rsidR="00A14474" w:rsidRPr="00A14474" w:rsidRDefault="00A14474" w:rsidP="00A14474">
      <w:pPr>
        <w:spacing w:before="100"/>
        <w:ind w:left="1134" w:right="567"/>
        <w:rPr>
          <w:sz w:val="18"/>
          <w:szCs w:val="24"/>
          <w:lang w:val="es-ES"/>
        </w:rPr>
      </w:pPr>
      <w:r w:rsidRPr="00A14474">
        <w:rPr>
          <w:sz w:val="18"/>
          <w:szCs w:val="24"/>
          <w:highlight w:val="lightGray"/>
          <w:lang w:val="es-ES"/>
        </w:rPr>
        <w:t>b)</w:t>
      </w:r>
      <w:r w:rsidRPr="00A14474">
        <w:rPr>
          <w:sz w:val="18"/>
          <w:szCs w:val="24"/>
          <w:highlight w:val="lightGray"/>
          <w:lang w:val="es-ES"/>
        </w:rPr>
        <w:tab/>
      </w:r>
      <w:r w:rsidRPr="00A14474">
        <w:rPr>
          <w:sz w:val="18"/>
          <w:szCs w:val="24"/>
          <w:highlight w:val="lightGray"/>
        </w:rPr>
        <w:t>En el plazo de los ocho meses posteriores al cierre del ejercicio económico, el Secretario General someterá al Consejo un informe en el que se expondrá la gestión financiera y de rendimiento de los programas conforme a los artículos 2.14 y 2.14</w:t>
      </w:r>
      <w:r w:rsidRPr="00A14474">
        <w:rPr>
          <w:i/>
          <w:sz w:val="18"/>
          <w:szCs w:val="24"/>
          <w:highlight w:val="lightGray"/>
        </w:rPr>
        <w:t>bis</w:t>
      </w:r>
      <w:r w:rsidRPr="00A14474">
        <w:rPr>
          <w:sz w:val="18"/>
          <w:szCs w:val="24"/>
          <w:highlight w:val="lightGray"/>
        </w:rPr>
        <w:t>.</w:t>
      </w:r>
    </w:p>
    <w:p w:rsidR="00A14474" w:rsidRPr="00A14474" w:rsidRDefault="00A14474" w:rsidP="00A14474">
      <w:pPr>
        <w:spacing w:before="108"/>
        <w:ind w:left="1134" w:right="567"/>
        <w:rPr>
          <w:sz w:val="18"/>
          <w:szCs w:val="24"/>
          <w:lang w:val="es-ES"/>
        </w:rPr>
      </w:pPr>
      <w:r w:rsidRPr="00A14474">
        <w:rPr>
          <w:sz w:val="18"/>
          <w:szCs w:val="24"/>
          <w:lang w:val="es-ES"/>
        </w:rPr>
        <w:t>[…]</w:t>
      </w:r>
    </w:p>
    <w:p w:rsidR="00A14474" w:rsidRPr="00A14474" w:rsidRDefault="00A14474" w:rsidP="00A14474">
      <w:pPr>
        <w:spacing w:before="240"/>
        <w:ind w:left="567" w:right="567"/>
        <w:outlineLvl w:val="5"/>
        <w:rPr>
          <w:b/>
          <w:bCs/>
          <w:sz w:val="18"/>
          <w:szCs w:val="24"/>
          <w:lang w:val="es-ES"/>
        </w:rPr>
      </w:pPr>
      <w:bookmarkStart w:id="2" w:name="_Toc173661769"/>
      <w:bookmarkStart w:id="3" w:name="_Toc173748750"/>
      <w:r w:rsidRPr="00A14474">
        <w:rPr>
          <w:b/>
          <w:bCs/>
          <w:sz w:val="18"/>
          <w:szCs w:val="24"/>
        </w:rPr>
        <w:t>“Informes financieros</w:t>
      </w:r>
    </w:p>
    <w:p w:rsidR="00A14474" w:rsidRPr="00A14474" w:rsidRDefault="00A14474" w:rsidP="00A14474">
      <w:pPr>
        <w:spacing w:before="100"/>
        <w:ind w:left="567" w:right="567"/>
        <w:outlineLvl w:val="5"/>
        <w:rPr>
          <w:b/>
          <w:bCs/>
          <w:sz w:val="18"/>
          <w:szCs w:val="24"/>
          <w:lang w:val="es-ES"/>
        </w:rPr>
      </w:pPr>
      <w:r w:rsidRPr="00A14474">
        <w:rPr>
          <w:b/>
          <w:bCs/>
          <w:sz w:val="18"/>
          <w:szCs w:val="24"/>
        </w:rPr>
        <w:t>Artículo 6.5</w:t>
      </w:r>
    </w:p>
    <w:p w:rsidR="00A14474" w:rsidRPr="00A14474" w:rsidRDefault="00A14474" w:rsidP="00A14474">
      <w:pPr>
        <w:spacing w:before="100"/>
        <w:ind w:left="567" w:right="567"/>
        <w:rPr>
          <w:sz w:val="18"/>
          <w:lang w:val="es-ES"/>
        </w:rPr>
      </w:pPr>
      <w:bookmarkStart w:id="4" w:name="_Toc532830934"/>
      <w:r w:rsidRPr="00A14474">
        <w:rPr>
          <w:sz w:val="18"/>
          <w:highlight w:val="lightGray"/>
          <w:lang w:val="es-ES"/>
        </w:rPr>
        <w:t>1)</w:t>
      </w:r>
      <w:r w:rsidRPr="00A14474">
        <w:rPr>
          <w:sz w:val="18"/>
          <w:lang w:val="es-ES"/>
        </w:rPr>
        <w:tab/>
      </w:r>
      <w:r w:rsidRPr="00A14474">
        <w:rPr>
          <w:sz w:val="18"/>
        </w:rPr>
        <w:t xml:space="preserve">El </w:t>
      </w:r>
      <w:r w:rsidRPr="00A14474">
        <w:rPr>
          <w:sz w:val="18"/>
          <w:highlight w:val="lightGray"/>
        </w:rPr>
        <w:t>Secretario General</w:t>
      </w:r>
      <w:r w:rsidRPr="00A14474">
        <w:rPr>
          <w:sz w:val="18"/>
        </w:rPr>
        <w:t xml:space="preserve"> entregará al Auditor Externo los estados financieros anuales correspondientes a cada año civil del ejercicio económico a más tardar el 31 de marzo siguiente a la finalización del año civil al que se refieren.</w:t>
      </w:r>
    </w:p>
    <w:p w:rsidR="00A14474" w:rsidRPr="00A14474" w:rsidRDefault="00A14474" w:rsidP="00A14474">
      <w:pPr>
        <w:spacing w:before="100"/>
        <w:ind w:left="567" w:right="567"/>
        <w:rPr>
          <w:rFonts w:cs="Arial"/>
          <w:sz w:val="18"/>
          <w:lang w:val="es-ES"/>
        </w:rPr>
      </w:pPr>
      <w:r w:rsidRPr="00A14474">
        <w:rPr>
          <w:sz w:val="18"/>
          <w:highlight w:val="lightGray"/>
          <w:lang w:val="es-ES"/>
        </w:rPr>
        <w:t>2)</w:t>
      </w:r>
      <w:r w:rsidRPr="00A14474">
        <w:rPr>
          <w:sz w:val="18"/>
          <w:lang w:val="es-ES"/>
        </w:rPr>
        <w:tab/>
      </w:r>
      <w:r w:rsidRPr="00A14474">
        <w:rPr>
          <w:rFonts w:cs="Arial"/>
          <w:sz w:val="18"/>
          <w:highlight w:val="lightGray"/>
        </w:rPr>
        <w:t>En el plazo de los ocho meses posteriores al cierre de cada año civil, el Secretario General someterá al Consejo el cierre de cuentas, los estados financieros anuales y el informe de auditoría emitido por el Auditor Externo.</w:t>
      </w:r>
    </w:p>
    <w:p w:rsidR="00A14474" w:rsidRPr="00A14474" w:rsidRDefault="00A14474" w:rsidP="00A14474">
      <w:pPr>
        <w:spacing w:before="100"/>
        <w:ind w:left="567" w:right="567"/>
        <w:rPr>
          <w:sz w:val="18"/>
          <w:lang w:val="es-ES"/>
        </w:rPr>
      </w:pPr>
      <w:r w:rsidRPr="00A14474">
        <w:rPr>
          <w:sz w:val="18"/>
          <w:highlight w:val="lightGray"/>
          <w:lang w:val="es-ES"/>
        </w:rPr>
        <w:t>3)</w:t>
      </w:r>
      <w:r w:rsidRPr="00A14474">
        <w:rPr>
          <w:sz w:val="18"/>
          <w:lang w:val="es-ES"/>
        </w:rPr>
        <w:tab/>
      </w:r>
      <w:r w:rsidRPr="00A14474">
        <w:rPr>
          <w:sz w:val="18"/>
          <w:highlight w:val="lightGray"/>
        </w:rPr>
        <w:t>El Consejo procederá a examinar los estados financieros anuales,</w:t>
      </w:r>
      <w:r w:rsidRPr="00A14474">
        <w:rPr>
          <w:sz w:val="18"/>
          <w:highlight w:val="lightGray"/>
          <w:lang w:val="es-ES"/>
        </w:rPr>
        <w:t xml:space="preserve"> </w:t>
      </w:r>
      <w:r w:rsidRPr="00A14474">
        <w:rPr>
          <w:sz w:val="18"/>
          <w:highlight w:val="lightGray"/>
        </w:rPr>
        <w:t>y si apreciase que el Secretario General no ha determinado correctamente la cuota de los gastos comunes</w:t>
      </w:r>
      <w:r w:rsidRPr="00A14474">
        <w:rPr>
          <w:rFonts w:cs="Arial"/>
          <w:color w:val="000000"/>
          <w:sz w:val="18"/>
          <w:highlight w:val="lightGray"/>
          <w:vertAlign w:val="superscript"/>
          <w:lang w:val="en-US"/>
        </w:rPr>
        <w:footnoteReference w:id="2"/>
      </w:r>
      <w:r w:rsidRPr="00A14474">
        <w:rPr>
          <w:sz w:val="18"/>
          <w:highlight w:val="lightGray"/>
        </w:rPr>
        <w:t xml:space="preserve"> que corresponda a la UPOV, podrá señalar los ajustes que se consideren oportunos.</w:t>
      </w:r>
      <w:r w:rsidRPr="00A14474">
        <w:rPr>
          <w:sz w:val="18"/>
          <w:highlight w:val="lightGray"/>
          <w:lang w:val="es-ES"/>
        </w:rPr>
        <w:t xml:space="preserve"> </w:t>
      </w:r>
      <w:r w:rsidRPr="00A14474">
        <w:rPr>
          <w:sz w:val="18"/>
          <w:highlight w:val="lightGray"/>
        </w:rPr>
        <w:t>En tal supuesto, previa consulta con el Comité de Coordinación de la OMPI, el Consejo establecerá la asignación definitiva.</w:t>
      </w:r>
    </w:p>
    <w:p w:rsidR="00A14474" w:rsidRPr="00A14474" w:rsidRDefault="00A14474" w:rsidP="00A14474">
      <w:pPr>
        <w:spacing w:before="100"/>
        <w:ind w:left="567" w:right="567"/>
        <w:rPr>
          <w:rFonts w:cs="Arial"/>
          <w:sz w:val="18"/>
          <w:lang w:val="es-ES"/>
        </w:rPr>
      </w:pPr>
      <w:r w:rsidRPr="00A14474">
        <w:rPr>
          <w:rFonts w:cs="Arial"/>
          <w:sz w:val="18"/>
          <w:highlight w:val="lightGray"/>
          <w:lang w:val="es-ES"/>
        </w:rPr>
        <w:lastRenderedPageBreak/>
        <w:t>4)</w:t>
      </w:r>
      <w:r w:rsidRPr="00A14474">
        <w:rPr>
          <w:rFonts w:cs="Arial"/>
          <w:sz w:val="18"/>
          <w:lang w:val="es-ES"/>
        </w:rPr>
        <w:tab/>
      </w:r>
      <w:r w:rsidRPr="00A14474">
        <w:rPr>
          <w:rFonts w:cs="Arial"/>
          <w:sz w:val="18"/>
          <w:highlight w:val="lightGray"/>
        </w:rPr>
        <w:t>El Consejo aprobará el cierre de los estados financieros anuales una vez cumplida la auditoría que se estipula en el artículo 24 del Convenio de 1961, el artículo 25 del Acta de 1978 y el artículo 29.6) del Acta de 1991.</w:t>
      </w:r>
    </w:p>
    <w:bookmarkEnd w:id="2"/>
    <w:bookmarkEnd w:id="3"/>
    <w:bookmarkEnd w:id="4"/>
    <w:p w:rsidR="00A14474" w:rsidRPr="00A14474" w:rsidRDefault="00A14474" w:rsidP="00A14474">
      <w:pPr>
        <w:jc w:val="left"/>
        <w:rPr>
          <w:b/>
          <w:bCs/>
          <w:sz w:val="18"/>
          <w:szCs w:val="24"/>
        </w:rPr>
      </w:pPr>
    </w:p>
    <w:p w:rsidR="00A14474" w:rsidRPr="00A14474" w:rsidRDefault="00A14474" w:rsidP="00A14474">
      <w:pPr>
        <w:keepNext/>
        <w:spacing w:before="100"/>
        <w:ind w:left="1134" w:right="567"/>
        <w:outlineLvl w:val="5"/>
        <w:rPr>
          <w:b/>
          <w:bCs/>
          <w:sz w:val="18"/>
          <w:szCs w:val="24"/>
          <w:lang w:val="es-ES"/>
        </w:rPr>
      </w:pPr>
      <w:r w:rsidRPr="00A14474">
        <w:rPr>
          <w:b/>
          <w:bCs/>
          <w:sz w:val="18"/>
          <w:szCs w:val="24"/>
        </w:rPr>
        <w:t>Regla 106.11</w:t>
      </w:r>
    </w:p>
    <w:p w:rsidR="00A14474" w:rsidRPr="00A14474" w:rsidRDefault="00A14474" w:rsidP="00A14474">
      <w:pPr>
        <w:spacing w:before="100"/>
        <w:ind w:left="1134" w:right="567"/>
        <w:rPr>
          <w:rFonts w:cs="Arial"/>
          <w:spacing w:val="-2"/>
          <w:sz w:val="18"/>
          <w:lang w:val="es-ES"/>
        </w:rPr>
      </w:pPr>
      <w:r w:rsidRPr="00A14474">
        <w:rPr>
          <w:rFonts w:cs="Arial"/>
          <w:spacing w:val="-2"/>
          <w:sz w:val="18"/>
          <w:lang w:val="es-ES"/>
        </w:rPr>
        <w:t>a)</w:t>
      </w:r>
      <w:r w:rsidRPr="00A14474">
        <w:rPr>
          <w:rFonts w:cs="Arial"/>
          <w:spacing w:val="-2"/>
          <w:sz w:val="18"/>
          <w:lang w:val="es-ES"/>
        </w:rPr>
        <w:tab/>
      </w:r>
      <w:r w:rsidRPr="00A14474">
        <w:rPr>
          <w:rFonts w:cs="Arial"/>
          <w:spacing w:val="-2"/>
          <w:sz w:val="18"/>
        </w:rPr>
        <w:t>Los estados financieros anuales al 31 de diciembre que abarquen cada uno de los años civiles del ejercicio económico se presentarán al Auditor Externo a más tardar el 31 de marzo siguiente a la finalización del año civil al que se refieren.</w:t>
      </w:r>
      <w:r w:rsidRPr="00A14474">
        <w:rPr>
          <w:rFonts w:cs="Arial"/>
          <w:spacing w:val="-2"/>
          <w:sz w:val="18"/>
          <w:lang w:val="es-ES"/>
        </w:rPr>
        <w:t xml:space="preserve"> </w:t>
      </w:r>
      <w:r w:rsidRPr="00A14474">
        <w:rPr>
          <w:rFonts w:cs="Arial"/>
          <w:spacing w:val="-2"/>
          <w:sz w:val="18"/>
        </w:rPr>
        <w:t xml:space="preserve">Los estados financieros anuales incluirán todas las unidades operativas de </w:t>
      </w:r>
      <w:r w:rsidRPr="00A14474">
        <w:rPr>
          <w:rFonts w:cs="Arial"/>
          <w:spacing w:val="-2"/>
          <w:sz w:val="18"/>
          <w:highlight w:val="lightGray"/>
        </w:rPr>
        <w:t>la UPOV</w:t>
      </w:r>
      <w:r w:rsidRPr="00A14474">
        <w:rPr>
          <w:rFonts w:cs="Arial"/>
          <w:spacing w:val="-2"/>
          <w:sz w:val="18"/>
        </w:rPr>
        <w:t>.</w:t>
      </w:r>
      <w:r w:rsidRPr="00A14474">
        <w:rPr>
          <w:rFonts w:cs="Arial"/>
          <w:spacing w:val="-2"/>
          <w:sz w:val="18"/>
          <w:lang w:val="es-ES"/>
        </w:rPr>
        <w:t xml:space="preserve"> </w:t>
      </w:r>
      <w:r w:rsidRPr="00A14474">
        <w:rPr>
          <w:rFonts w:cs="Arial"/>
          <w:spacing w:val="-2"/>
          <w:sz w:val="18"/>
        </w:rPr>
        <w:t xml:space="preserve">Se enviarán también copias de los estados financieros anuales al </w:t>
      </w:r>
      <w:r w:rsidRPr="00A14474">
        <w:rPr>
          <w:rFonts w:cs="Arial"/>
          <w:spacing w:val="-2"/>
          <w:sz w:val="18"/>
          <w:highlight w:val="lightGray"/>
        </w:rPr>
        <w:t>Comité Consultivo</w:t>
      </w:r>
      <w:r w:rsidRPr="00A14474">
        <w:rPr>
          <w:rFonts w:cs="Arial"/>
          <w:spacing w:val="-2"/>
          <w:sz w:val="18"/>
        </w:rPr>
        <w:t>.</w:t>
      </w:r>
      <w:r w:rsidRPr="00A14474">
        <w:rPr>
          <w:rFonts w:cs="Arial"/>
          <w:spacing w:val="-2"/>
          <w:sz w:val="18"/>
          <w:lang w:val="es-ES"/>
        </w:rPr>
        <w:t xml:space="preserve"> </w:t>
      </w:r>
      <w:r w:rsidRPr="00A14474">
        <w:rPr>
          <w:rFonts w:cs="Arial"/>
          <w:spacing w:val="-2"/>
          <w:sz w:val="18"/>
        </w:rPr>
        <w:t xml:space="preserve">Si el Contralor </w:t>
      </w:r>
      <w:r w:rsidRPr="00A14474">
        <w:rPr>
          <w:rFonts w:cs="Arial"/>
          <w:spacing w:val="-2"/>
          <w:sz w:val="18"/>
          <w:highlight w:val="lightGray"/>
        </w:rPr>
        <w:t>de la OMPI</w:t>
      </w:r>
      <w:r w:rsidRPr="00A14474">
        <w:rPr>
          <w:rFonts w:cs="Arial"/>
          <w:spacing w:val="-2"/>
          <w:sz w:val="18"/>
        </w:rPr>
        <w:t xml:space="preserve"> lo considera necesario, se prepararán estados financieros adicionales.</w:t>
      </w:r>
    </w:p>
    <w:p w:rsidR="00A14474" w:rsidRPr="00A14474" w:rsidRDefault="00A14474" w:rsidP="00A14474">
      <w:pPr>
        <w:spacing w:before="100"/>
        <w:ind w:left="1134" w:right="567"/>
        <w:rPr>
          <w:rFonts w:cs="Arial"/>
          <w:sz w:val="18"/>
          <w:lang w:val="es-ES"/>
        </w:rPr>
      </w:pPr>
      <w:r w:rsidRPr="00A14474">
        <w:rPr>
          <w:rFonts w:cs="Arial"/>
          <w:sz w:val="18"/>
          <w:lang w:val="es-ES"/>
        </w:rPr>
        <w:t>b)</w:t>
      </w:r>
      <w:r w:rsidRPr="00A14474">
        <w:rPr>
          <w:rFonts w:cs="Arial"/>
          <w:sz w:val="18"/>
          <w:lang w:val="es-ES"/>
        </w:rPr>
        <w:tab/>
      </w:r>
      <w:r w:rsidRPr="00A14474">
        <w:rPr>
          <w:rFonts w:cs="Arial"/>
          <w:sz w:val="18"/>
        </w:rPr>
        <w:t>En los estados financieros anuales que se presenten al Auditor Externo se incluirán:</w:t>
      </w:r>
    </w:p>
    <w:p w:rsidR="00A14474" w:rsidRPr="00A14474" w:rsidRDefault="00A14474" w:rsidP="00A14474">
      <w:pPr>
        <w:tabs>
          <w:tab w:val="left" w:pos="1701"/>
        </w:tabs>
        <w:spacing w:before="100"/>
        <w:ind w:left="1701" w:right="567"/>
        <w:rPr>
          <w:rFonts w:cs="Arial"/>
          <w:sz w:val="18"/>
          <w:lang w:val="es-ES"/>
        </w:rPr>
      </w:pPr>
      <w:r w:rsidRPr="00A14474">
        <w:rPr>
          <w:rFonts w:cs="Arial"/>
          <w:sz w:val="18"/>
          <w:lang w:val="es-ES"/>
        </w:rPr>
        <w:t>i)</w:t>
      </w:r>
      <w:r w:rsidRPr="00A14474">
        <w:rPr>
          <w:rFonts w:cs="Arial"/>
          <w:sz w:val="18"/>
          <w:lang w:val="es-ES"/>
        </w:rPr>
        <w:tab/>
      </w:r>
      <w:r w:rsidRPr="00A14474">
        <w:rPr>
          <w:rFonts w:cs="Arial"/>
          <w:sz w:val="18"/>
        </w:rPr>
        <w:t>un estado de la situación financiera;</w:t>
      </w:r>
      <w:r w:rsidRPr="00A14474">
        <w:rPr>
          <w:rFonts w:cs="Arial"/>
          <w:sz w:val="18"/>
          <w:lang w:val="es-ES"/>
        </w:rPr>
        <w:t xml:space="preserve"> </w:t>
      </w:r>
    </w:p>
    <w:p w:rsidR="00A14474" w:rsidRPr="00A14474" w:rsidRDefault="00A14474" w:rsidP="00A14474">
      <w:pPr>
        <w:tabs>
          <w:tab w:val="left" w:pos="1701"/>
        </w:tabs>
        <w:spacing w:before="100"/>
        <w:ind w:left="1701" w:right="567"/>
        <w:rPr>
          <w:rFonts w:cs="Arial"/>
          <w:sz w:val="18"/>
          <w:lang w:val="es-ES"/>
        </w:rPr>
      </w:pPr>
      <w:r w:rsidRPr="00A14474">
        <w:rPr>
          <w:rFonts w:cs="Arial"/>
          <w:sz w:val="18"/>
          <w:lang w:val="es-ES"/>
        </w:rPr>
        <w:t>ii)</w:t>
      </w:r>
      <w:r w:rsidRPr="00A14474">
        <w:rPr>
          <w:rFonts w:cs="Arial"/>
          <w:sz w:val="18"/>
          <w:lang w:val="es-ES"/>
        </w:rPr>
        <w:tab/>
      </w:r>
      <w:r w:rsidRPr="00A14474">
        <w:rPr>
          <w:rFonts w:cs="Arial"/>
          <w:sz w:val="18"/>
        </w:rPr>
        <w:t>un estado de rendimiento financiero;</w:t>
      </w:r>
      <w:r w:rsidRPr="00A14474">
        <w:rPr>
          <w:rFonts w:cs="Arial"/>
          <w:sz w:val="18"/>
          <w:lang w:val="es-ES"/>
        </w:rPr>
        <w:t xml:space="preserve"> </w:t>
      </w:r>
    </w:p>
    <w:p w:rsidR="00A14474" w:rsidRPr="00A14474" w:rsidRDefault="00A14474" w:rsidP="00A14474">
      <w:pPr>
        <w:tabs>
          <w:tab w:val="left" w:pos="1701"/>
        </w:tabs>
        <w:spacing w:before="100"/>
        <w:ind w:left="1701" w:right="567"/>
        <w:rPr>
          <w:rFonts w:cs="Arial"/>
          <w:sz w:val="18"/>
          <w:lang w:val="es-ES"/>
        </w:rPr>
      </w:pPr>
      <w:r w:rsidRPr="00A14474">
        <w:rPr>
          <w:rFonts w:cs="Arial"/>
          <w:sz w:val="18"/>
          <w:lang w:val="es-ES"/>
        </w:rPr>
        <w:t>iii)</w:t>
      </w:r>
      <w:r w:rsidRPr="00A14474">
        <w:rPr>
          <w:rFonts w:cs="Arial"/>
          <w:sz w:val="18"/>
          <w:lang w:val="es-ES"/>
        </w:rPr>
        <w:tab/>
      </w:r>
      <w:r w:rsidRPr="00A14474">
        <w:rPr>
          <w:rFonts w:cs="Arial"/>
          <w:sz w:val="18"/>
        </w:rPr>
        <w:t>un estado de los cambios en los activos netos;</w:t>
      </w:r>
    </w:p>
    <w:p w:rsidR="00A14474" w:rsidRPr="00A14474" w:rsidRDefault="00A14474" w:rsidP="00A14474">
      <w:pPr>
        <w:tabs>
          <w:tab w:val="left" w:pos="1701"/>
        </w:tabs>
        <w:spacing w:before="100"/>
        <w:ind w:left="1701" w:right="567"/>
        <w:rPr>
          <w:rFonts w:cs="Arial"/>
          <w:sz w:val="18"/>
          <w:lang w:val="es-ES"/>
        </w:rPr>
      </w:pPr>
      <w:r w:rsidRPr="00A14474">
        <w:rPr>
          <w:rFonts w:cs="Arial"/>
          <w:sz w:val="18"/>
          <w:lang w:val="es-ES"/>
        </w:rPr>
        <w:t>iv)</w:t>
      </w:r>
      <w:r w:rsidRPr="00A14474">
        <w:rPr>
          <w:rFonts w:cs="Arial"/>
          <w:sz w:val="18"/>
          <w:lang w:val="es-ES"/>
        </w:rPr>
        <w:tab/>
      </w:r>
      <w:r w:rsidRPr="00A14474">
        <w:rPr>
          <w:rFonts w:cs="Arial"/>
          <w:sz w:val="18"/>
        </w:rPr>
        <w:t>un estado de flujos de efectivo;</w:t>
      </w:r>
      <w:r w:rsidRPr="00A14474">
        <w:rPr>
          <w:rFonts w:cs="Arial"/>
          <w:sz w:val="18"/>
          <w:lang w:val="es-ES"/>
        </w:rPr>
        <w:t xml:space="preserve"> </w:t>
      </w:r>
    </w:p>
    <w:p w:rsidR="00A14474" w:rsidRPr="00A14474" w:rsidRDefault="00A14474" w:rsidP="00A14474">
      <w:pPr>
        <w:tabs>
          <w:tab w:val="left" w:pos="1701"/>
        </w:tabs>
        <w:spacing w:before="100"/>
        <w:ind w:left="1701" w:right="567"/>
        <w:rPr>
          <w:rFonts w:cs="Arial"/>
          <w:sz w:val="18"/>
          <w:lang w:val="es-ES"/>
        </w:rPr>
      </w:pPr>
      <w:r w:rsidRPr="00A14474">
        <w:rPr>
          <w:rFonts w:cs="Arial"/>
          <w:sz w:val="18"/>
          <w:lang w:val="es-ES"/>
        </w:rPr>
        <w:t>v)</w:t>
      </w:r>
      <w:r w:rsidRPr="00A14474">
        <w:rPr>
          <w:rFonts w:cs="Arial"/>
          <w:sz w:val="18"/>
          <w:lang w:val="es-ES"/>
        </w:rPr>
        <w:tab/>
      </w:r>
      <w:r w:rsidRPr="00A14474">
        <w:rPr>
          <w:rFonts w:cs="Arial"/>
          <w:sz w:val="18"/>
        </w:rPr>
        <w:t>un estado comparativo de importes presupuestados y reales;</w:t>
      </w:r>
      <w:r w:rsidRPr="00A14474">
        <w:rPr>
          <w:rFonts w:cs="Arial"/>
          <w:sz w:val="18"/>
          <w:lang w:val="es-ES"/>
        </w:rPr>
        <w:t xml:space="preserve"> </w:t>
      </w:r>
    </w:p>
    <w:p w:rsidR="00A14474" w:rsidRPr="00A14474" w:rsidRDefault="00A14474" w:rsidP="00A14474">
      <w:pPr>
        <w:tabs>
          <w:tab w:val="left" w:pos="1701"/>
        </w:tabs>
        <w:spacing w:before="100"/>
        <w:ind w:left="1701" w:right="567"/>
        <w:rPr>
          <w:rFonts w:cs="Arial"/>
          <w:sz w:val="18"/>
          <w:lang w:val="es-ES"/>
        </w:rPr>
      </w:pPr>
      <w:r w:rsidRPr="00A14474">
        <w:rPr>
          <w:rFonts w:cs="Arial"/>
          <w:sz w:val="18"/>
          <w:lang w:val="es-ES"/>
        </w:rPr>
        <w:t>vi)</w:t>
      </w:r>
      <w:r w:rsidRPr="00A14474">
        <w:rPr>
          <w:rFonts w:cs="Arial"/>
          <w:sz w:val="18"/>
          <w:lang w:val="es-ES"/>
        </w:rPr>
        <w:tab/>
      </w:r>
      <w:r w:rsidRPr="00A14474">
        <w:rPr>
          <w:rFonts w:cs="Arial"/>
          <w:sz w:val="18"/>
        </w:rPr>
        <w:t>notas, incluido un resumen de los principios contables pertinentes y demás notas explicativas.</w:t>
      </w:r>
    </w:p>
    <w:p w:rsidR="00A14474" w:rsidRPr="00A14474" w:rsidRDefault="00A14474" w:rsidP="00A14474">
      <w:pPr>
        <w:spacing w:before="100"/>
        <w:ind w:left="1134" w:right="567"/>
        <w:rPr>
          <w:rFonts w:cs="Arial"/>
          <w:sz w:val="18"/>
          <w:lang w:val="es-ES"/>
        </w:rPr>
      </w:pPr>
      <w:r w:rsidRPr="00A14474">
        <w:rPr>
          <w:rFonts w:cs="Arial"/>
          <w:sz w:val="18"/>
        </w:rPr>
        <w:t xml:space="preserve">Se considerará que los incisos i) a v), </w:t>
      </w:r>
      <w:r w:rsidRPr="00A14474">
        <w:rPr>
          <w:rFonts w:cs="Arial"/>
          <w:i/>
          <w:sz w:val="18"/>
        </w:rPr>
        <w:t>supra</w:t>
      </w:r>
      <w:r w:rsidRPr="00A14474">
        <w:rPr>
          <w:rFonts w:cs="Arial"/>
          <w:sz w:val="18"/>
        </w:rPr>
        <w:t>, constituyen los estados financieros principales.</w:t>
      </w:r>
    </w:p>
    <w:p w:rsidR="00A14474" w:rsidRPr="00A14474" w:rsidRDefault="00A14474" w:rsidP="00A14474">
      <w:pPr>
        <w:spacing w:before="100"/>
        <w:ind w:left="1134" w:right="567"/>
        <w:outlineLvl w:val="5"/>
        <w:rPr>
          <w:b/>
          <w:bCs/>
          <w:sz w:val="18"/>
          <w:szCs w:val="24"/>
          <w:lang w:val="es-ES"/>
        </w:rPr>
      </w:pPr>
      <w:r w:rsidRPr="00A14474">
        <w:rPr>
          <w:b/>
          <w:bCs/>
          <w:sz w:val="18"/>
          <w:szCs w:val="24"/>
        </w:rPr>
        <w:t>Regla 106.11</w:t>
      </w:r>
      <w:r w:rsidRPr="00A14474">
        <w:rPr>
          <w:b/>
          <w:bCs/>
          <w:i/>
          <w:sz w:val="18"/>
          <w:szCs w:val="24"/>
        </w:rPr>
        <w:t>bis</w:t>
      </w:r>
    </w:p>
    <w:p w:rsidR="00A14474" w:rsidRPr="00A14474" w:rsidRDefault="00A14474" w:rsidP="00A14474">
      <w:pPr>
        <w:spacing w:before="100"/>
        <w:ind w:left="1134" w:right="567"/>
        <w:rPr>
          <w:rFonts w:cs="Arial"/>
          <w:sz w:val="18"/>
          <w:lang w:val="es-ES"/>
        </w:rPr>
      </w:pPr>
      <w:r w:rsidRPr="00A14474">
        <w:rPr>
          <w:rFonts w:cs="Arial"/>
          <w:sz w:val="18"/>
        </w:rPr>
        <w:t>Los estados financieros del segundo año del bienio proporcionarán la información siguiente:</w:t>
      </w:r>
    </w:p>
    <w:p w:rsidR="00A14474" w:rsidRPr="00A14474" w:rsidRDefault="00A14474" w:rsidP="00A14474">
      <w:pPr>
        <w:tabs>
          <w:tab w:val="left" w:pos="1701"/>
        </w:tabs>
        <w:spacing w:before="100"/>
        <w:ind w:left="1134" w:right="567" w:firstLine="567"/>
        <w:rPr>
          <w:rFonts w:cs="Arial"/>
          <w:sz w:val="18"/>
          <w:lang w:val="es-ES"/>
        </w:rPr>
      </w:pPr>
      <w:r w:rsidRPr="00A14474">
        <w:rPr>
          <w:rFonts w:cs="Arial"/>
          <w:sz w:val="18"/>
          <w:lang w:val="es-ES"/>
        </w:rPr>
        <w:t>a)</w:t>
      </w:r>
      <w:r w:rsidRPr="00A14474">
        <w:rPr>
          <w:rFonts w:cs="Arial"/>
          <w:sz w:val="18"/>
          <w:lang w:val="es-ES"/>
        </w:rPr>
        <w:tab/>
      </w:r>
      <w:r w:rsidRPr="00A14474">
        <w:rPr>
          <w:rFonts w:cs="Arial"/>
          <w:sz w:val="18"/>
        </w:rPr>
        <w:t>los ingresos y los gastos de todos los fondos;</w:t>
      </w:r>
    </w:p>
    <w:p w:rsidR="00A14474" w:rsidRPr="00A14474" w:rsidRDefault="00A14474" w:rsidP="00A14474">
      <w:pPr>
        <w:tabs>
          <w:tab w:val="left" w:pos="1701"/>
        </w:tabs>
        <w:spacing w:before="100"/>
        <w:ind w:left="1134" w:right="567" w:firstLine="567"/>
        <w:rPr>
          <w:rFonts w:cs="Arial"/>
          <w:sz w:val="18"/>
          <w:lang w:val="es-ES"/>
        </w:rPr>
      </w:pPr>
      <w:r w:rsidRPr="00A14474">
        <w:rPr>
          <w:rFonts w:cs="Arial"/>
          <w:sz w:val="18"/>
          <w:lang w:val="es-ES"/>
        </w:rPr>
        <w:t>b)</w:t>
      </w:r>
      <w:r w:rsidRPr="00A14474">
        <w:rPr>
          <w:rFonts w:cs="Arial"/>
          <w:sz w:val="18"/>
          <w:lang w:val="es-ES"/>
        </w:rPr>
        <w:tab/>
      </w:r>
      <w:r w:rsidRPr="00A14474">
        <w:rPr>
          <w:rFonts w:cs="Arial"/>
          <w:sz w:val="18"/>
        </w:rPr>
        <w:t>los créditos, de haberlos, cuando no se trate de las consignaciones aprobadas para el bienio, así como las cantidades imputables a estos (estos datos se presentarán en un cuadro detallado);</w:t>
      </w:r>
    </w:p>
    <w:p w:rsidR="00A14474" w:rsidRPr="00A14474" w:rsidRDefault="00A14474" w:rsidP="00A14474">
      <w:pPr>
        <w:tabs>
          <w:tab w:val="left" w:pos="1701"/>
        </w:tabs>
        <w:spacing w:before="100"/>
        <w:ind w:left="1134" w:right="567" w:firstLine="567"/>
        <w:rPr>
          <w:rFonts w:cs="Arial"/>
          <w:sz w:val="18"/>
          <w:lang w:val="es-ES"/>
        </w:rPr>
      </w:pPr>
      <w:r w:rsidRPr="00A14474">
        <w:rPr>
          <w:rFonts w:cs="Arial"/>
          <w:sz w:val="18"/>
          <w:lang w:val="es-ES"/>
        </w:rPr>
        <w:t>c)</w:t>
      </w:r>
      <w:r w:rsidRPr="00A14474">
        <w:rPr>
          <w:rFonts w:cs="Arial"/>
          <w:sz w:val="18"/>
          <w:lang w:val="es-ES"/>
        </w:rPr>
        <w:tab/>
      </w:r>
      <w:r w:rsidRPr="00A14474">
        <w:rPr>
          <w:rFonts w:cs="Arial"/>
          <w:sz w:val="18"/>
        </w:rPr>
        <w:t>dentro del apartado de discusión y análisis de los estados financieros, información financiera para el ejercicio económico extraída de los estados financieros originales preparados para cada año civil;</w:t>
      </w:r>
    </w:p>
    <w:p w:rsidR="00A14474" w:rsidRPr="00A14474" w:rsidRDefault="00A14474" w:rsidP="00A14474">
      <w:pPr>
        <w:tabs>
          <w:tab w:val="left" w:pos="1701"/>
        </w:tabs>
        <w:spacing w:before="100"/>
        <w:ind w:left="1134" w:right="567" w:firstLine="567"/>
        <w:rPr>
          <w:rFonts w:cs="Arial"/>
          <w:sz w:val="18"/>
          <w:lang w:val="es-ES"/>
        </w:rPr>
      </w:pPr>
      <w:r w:rsidRPr="00A14474">
        <w:rPr>
          <w:rFonts w:cs="Arial"/>
          <w:sz w:val="18"/>
          <w:lang w:val="es-ES"/>
        </w:rPr>
        <w:t>d)</w:t>
      </w:r>
      <w:r w:rsidRPr="00A14474">
        <w:rPr>
          <w:rFonts w:cs="Arial"/>
          <w:sz w:val="18"/>
          <w:lang w:val="es-ES"/>
        </w:rPr>
        <w:tab/>
      </w:r>
      <w:r w:rsidRPr="00A14474">
        <w:rPr>
          <w:rFonts w:cs="Arial"/>
          <w:sz w:val="18"/>
        </w:rPr>
        <w:t>un informe sobre las inversiones, que se incluirá dentro de las notas de los estados financieros.”</w:t>
      </w:r>
    </w:p>
    <w:p w:rsidR="00A14474" w:rsidRDefault="00A14474" w:rsidP="00A14474">
      <w:pPr>
        <w:rPr>
          <w:lang w:val="es-ES"/>
        </w:rPr>
      </w:pPr>
    </w:p>
    <w:p w:rsidR="0031420A" w:rsidRPr="00A14474" w:rsidRDefault="0031420A" w:rsidP="00A14474">
      <w:pPr>
        <w:rPr>
          <w:lang w:val="es-ES"/>
        </w:rPr>
      </w:pPr>
    </w:p>
    <w:p w:rsidR="00A14474" w:rsidRPr="00A14474" w:rsidRDefault="00A14474" w:rsidP="00A14474">
      <w:pPr>
        <w:rPr>
          <w:lang w:val="es-ES"/>
        </w:rPr>
      </w:pPr>
    </w:p>
    <w:p w:rsidR="00A14474" w:rsidRPr="00A14474" w:rsidRDefault="00A14474" w:rsidP="00A14474">
      <w:pPr>
        <w:outlineLvl w:val="0"/>
        <w:rPr>
          <w:caps/>
          <w:lang w:val="es-ES"/>
        </w:rPr>
      </w:pPr>
      <w:r w:rsidRPr="00A14474">
        <w:rPr>
          <w:caps/>
        </w:rPr>
        <w:t>PROPUESTA</w:t>
      </w:r>
    </w:p>
    <w:p w:rsidR="00A14474" w:rsidRPr="00A14474" w:rsidRDefault="00A14474" w:rsidP="00A14474">
      <w:pPr>
        <w:rPr>
          <w:lang w:val="es-ES"/>
        </w:rPr>
      </w:pPr>
    </w:p>
    <w:p w:rsidR="00A14474" w:rsidRPr="00A14474" w:rsidRDefault="00A14474" w:rsidP="00A14474">
      <w:pPr>
        <w:rPr>
          <w:lang w:val="es-ES"/>
        </w:rPr>
      </w:pPr>
      <w:r w:rsidRPr="00A14474">
        <w:fldChar w:fldCharType="begin"/>
      </w:r>
      <w:r w:rsidRPr="00A14474">
        <w:rPr>
          <w:lang w:val="es-ES"/>
        </w:rPr>
        <w:instrText xml:space="preserve"> AUTONUM  </w:instrText>
      </w:r>
      <w:r w:rsidRPr="00A14474">
        <w:fldChar w:fldCharType="end"/>
      </w:r>
      <w:r w:rsidRPr="00A14474">
        <w:rPr>
          <w:lang w:val="es-ES"/>
        </w:rPr>
        <w:tab/>
      </w:r>
      <w:r w:rsidRPr="00A14474">
        <w:t>El contenido del Informe de gestión financiera del bienio presenta coincidencias con el del Informe sobre el rendimiento en el bienio y el de los Estados financieros.</w:t>
      </w:r>
      <w:r w:rsidRPr="00A14474">
        <w:rPr>
          <w:lang w:val="es-ES"/>
        </w:rPr>
        <w:t xml:space="preserve">  </w:t>
      </w:r>
      <w:r w:rsidRPr="00A14474">
        <w:t>Asimismo, como se explica en el párrafo 6 anterior, el contenido del Informe sobre el rendimiento en el bienio presenta coincidencias con el Informe anual del Secretario General.</w:t>
      </w:r>
      <w:r w:rsidRPr="00A14474">
        <w:rPr>
          <w:lang w:val="es-ES"/>
        </w:rPr>
        <w:t xml:space="preserve">  </w:t>
      </w:r>
      <w:r w:rsidRPr="00A14474">
        <w:t>Por consiguiente, se propone consolidar el Informe sobre el rendimiento en el bienio y el Informe de gestión financiera del bienio en un solo “Informe sobre el rendimiento de la UPOV” y presentar este anualmente en sustitución del Informe anual del Secretario General.</w:t>
      </w:r>
      <w:r w:rsidRPr="00A14474">
        <w:rPr>
          <w:lang w:val="es-ES"/>
        </w:rPr>
        <w:t xml:space="preserve">  </w:t>
      </w:r>
      <w:r w:rsidRPr="00A14474">
        <w:t>Los Estados financieros seguirían presentándose como hasta ahora.</w:t>
      </w:r>
      <w:r w:rsidRPr="00A14474">
        <w:rPr>
          <w:lang w:val="es-ES"/>
        </w:rPr>
        <w:t xml:space="preserve"> </w:t>
      </w:r>
    </w:p>
    <w:p w:rsidR="00A14474" w:rsidRPr="00A14474" w:rsidRDefault="00A14474" w:rsidP="00A14474">
      <w:pPr>
        <w:rPr>
          <w:lang w:val="es-ES"/>
        </w:rPr>
      </w:pPr>
    </w:p>
    <w:p w:rsidR="00A14474" w:rsidRPr="00A14474" w:rsidRDefault="00A14474" w:rsidP="00A14474">
      <w:pPr>
        <w:rPr>
          <w:lang w:val="es-ES"/>
        </w:rPr>
      </w:pPr>
      <w:r w:rsidRPr="00A14474">
        <w:fldChar w:fldCharType="begin"/>
      </w:r>
      <w:r w:rsidRPr="00A14474">
        <w:rPr>
          <w:lang w:val="es-ES"/>
        </w:rPr>
        <w:instrText xml:space="preserve"> AUTONUM  </w:instrText>
      </w:r>
      <w:r w:rsidRPr="00A14474">
        <w:fldChar w:fldCharType="end"/>
      </w:r>
      <w:r w:rsidRPr="00A14474">
        <w:rPr>
          <w:lang w:val="es-ES"/>
        </w:rPr>
        <w:tab/>
      </w:r>
      <w:r w:rsidRPr="00A14474">
        <w:t>En el Anexo del presente documento se ofrece un esquema del contenido del Informe sobre el rendimiento en el bienio, el Informe anual del Secretario General, el Informe de gestión financiera del bienio y los Estados financieros, y del contenido propuesto para el “Informe sobre el rendimiento de la UPOV” y para los Estados financieros (sin cambios).</w:t>
      </w:r>
      <w:r w:rsidRPr="00A14474">
        <w:rPr>
          <w:lang w:val="es-ES"/>
        </w:rPr>
        <w:t xml:space="preserve"> </w:t>
      </w:r>
    </w:p>
    <w:p w:rsidR="00A14474" w:rsidRPr="00A14474" w:rsidRDefault="00A14474" w:rsidP="00A14474">
      <w:pPr>
        <w:rPr>
          <w:lang w:val="es-ES"/>
        </w:rPr>
      </w:pPr>
    </w:p>
    <w:p w:rsidR="00A14474" w:rsidRPr="00A14474" w:rsidRDefault="00A14474" w:rsidP="00A14474">
      <w:pPr>
        <w:rPr>
          <w:lang w:val="es-ES"/>
        </w:rPr>
      </w:pPr>
      <w:r w:rsidRPr="00A14474">
        <w:fldChar w:fldCharType="begin"/>
      </w:r>
      <w:r w:rsidRPr="00A14474">
        <w:rPr>
          <w:lang w:val="es-ES"/>
        </w:rPr>
        <w:instrText xml:space="preserve"> AUTONUM  </w:instrText>
      </w:r>
      <w:r w:rsidRPr="00A14474">
        <w:fldChar w:fldCharType="end"/>
      </w:r>
      <w:r w:rsidRPr="00A14474">
        <w:rPr>
          <w:lang w:val="es-ES"/>
        </w:rPr>
        <w:tab/>
      </w:r>
      <w:r w:rsidRPr="00A14474">
        <w:t>Con el “Informe sobre el rendimiento de la UPOV”, en el que se proporcionará un examen exhaustivo y transparente del rendimiento programático y financiero, se eliminará la duplicación de información entre el Informe de gestión financiera del bienio, el Informe sobre el rendimiento en el bienio, el Informe anual del Secretario General y los Estados financieros.</w:t>
      </w:r>
      <w:r w:rsidRPr="00A14474">
        <w:rPr>
          <w:lang w:val="es-ES"/>
        </w:rPr>
        <w:t xml:space="preserve"> </w:t>
      </w:r>
      <w:r w:rsidRPr="00A14474">
        <w:t>E l “Informe sobre el rendimiento de la UPOV” se preparará de conformidad con los artículos 2.14 y 2.14</w:t>
      </w:r>
      <w:r w:rsidRPr="00A14474">
        <w:rPr>
          <w:i/>
        </w:rPr>
        <w:t>bis</w:t>
      </w:r>
      <w:r w:rsidRPr="00A14474">
        <w:t xml:space="preserve"> del Reglamento financiero y reglamentación financiera de la UPOV (véase el documento UPOV/INF/4/5) y en él se dará cuenta del rendimiento en función de los indicadores de rendimiento establecidos en el programa y presupuesto del bienio de que se trate.</w:t>
      </w:r>
      <w:r w:rsidRPr="00A14474">
        <w:rPr>
          <w:lang w:val="es-ES"/>
        </w:rPr>
        <w:t xml:space="preserve">  </w:t>
      </w:r>
      <w:r w:rsidRPr="00A14474">
        <w:t>Se propone introducir el “Informe sobre el rendimiento de la UPOV” a partir de los informes correspondientes a 2020.</w:t>
      </w:r>
      <w:r w:rsidRPr="00A14474">
        <w:rPr>
          <w:lang w:val="es-ES"/>
        </w:rPr>
        <w:t xml:space="preserve"> </w:t>
      </w:r>
    </w:p>
    <w:p w:rsidR="00A14474" w:rsidRPr="00A14474" w:rsidRDefault="00A14474" w:rsidP="00A14474">
      <w:pPr>
        <w:rPr>
          <w:lang w:val="es-ES"/>
        </w:rPr>
      </w:pPr>
      <w:bookmarkStart w:id="5" w:name="_GoBack"/>
      <w:bookmarkEnd w:id="5"/>
    </w:p>
    <w:p w:rsidR="00A14474" w:rsidRPr="00A14474" w:rsidRDefault="00A14474" w:rsidP="00A14474">
      <w:pPr>
        <w:keepLines/>
        <w:tabs>
          <w:tab w:val="left" w:pos="5387"/>
          <w:tab w:val="left" w:pos="5954"/>
        </w:tabs>
        <w:ind w:left="4820"/>
        <w:rPr>
          <w:i/>
          <w:lang w:val="es-ES"/>
        </w:rPr>
      </w:pPr>
      <w:r w:rsidRPr="0004717D">
        <w:rPr>
          <w:i/>
        </w:rPr>
        <w:lastRenderedPageBreak/>
        <w:fldChar w:fldCharType="begin"/>
      </w:r>
      <w:r w:rsidRPr="0004717D">
        <w:rPr>
          <w:i/>
          <w:lang w:val="es-ES"/>
        </w:rPr>
        <w:instrText xml:space="preserve"> AUTONUM  </w:instrText>
      </w:r>
      <w:r w:rsidRPr="0004717D">
        <w:rPr>
          <w:i/>
        </w:rPr>
        <w:fldChar w:fldCharType="end"/>
      </w:r>
      <w:r w:rsidRPr="0004717D">
        <w:rPr>
          <w:i/>
          <w:lang w:val="es-ES"/>
        </w:rPr>
        <w:tab/>
      </w:r>
      <w:r w:rsidR="00AC5166" w:rsidRPr="0004717D">
        <w:rPr>
          <w:i/>
          <w:snapToGrid w:val="0"/>
        </w:rPr>
        <w:t>Se invita al Consejo a aprobar la consolidación de los actuales informes financieros y de rendimiento en un “Informe sobre el rendimiento de la UPOV”.</w:t>
      </w:r>
      <w:r w:rsidR="00AC5166" w:rsidRPr="0004717D">
        <w:rPr>
          <w:i/>
          <w:snapToGrid w:val="0"/>
          <w:lang w:val="es-ES"/>
        </w:rPr>
        <w:t xml:space="preserve">  </w:t>
      </w:r>
      <w:r w:rsidR="00AC5166" w:rsidRPr="0004717D">
        <w:rPr>
          <w:i/>
          <w:snapToGrid w:val="0"/>
        </w:rPr>
        <w:t>Este informe se presentará anualmente junto con los estados financieros a partir de los informes correspondientes a 2020, según se indica en los párrafos 9 a 11 y en el Anexo del presente documento</w:t>
      </w:r>
      <w:r w:rsidRPr="0004717D">
        <w:rPr>
          <w:i/>
          <w:snapToGrid w:val="0"/>
        </w:rPr>
        <w:t>.</w:t>
      </w:r>
    </w:p>
    <w:p w:rsidR="00A14474" w:rsidRPr="00A14474" w:rsidRDefault="00A14474" w:rsidP="00A14474">
      <w:pPr>
        <w:tabs>
          <w:tab w:val="left" w:pos="5387"/>
          <w:tab w:val="left" w:pos="5954"/>
        </w:tabs>
        <w:ind w:left="4820"/>
        <w:rPr>
          <w:i/>
          <w:lang w:val="es-ES"/>
        </w:rPr>
      </w:pPr>
    </w:p>
    <w:p w:rsidR="00A14474" w:rsidRPr="00A14474" w:rsidRDefault="00A14474" w:rsidP="00A14474">
      <w:pPr>
        <w:tabs>
          <w:tab w:val="left" w:pos="5387"/>
          <w:tab w:val="left" w:pos="5954"/>
        </w:tabs>
        <w:ind w:left="4820"/>
        <w:rPr>
          <w:i/>
          <w:lang w:val="es-ES"/>
        </w:rPr>
      </w:pPr>
    </w:p>
    <w:p w:rsidR="00A14474" w:rsidRPr="00A14474" w:rsidRDefault="00A14474" w:rsidP="00A14474">
      <w:pPr>
        <w:jc w:val="right"/>
        <w:sectPr w:rsidR="00A14474" w:rsidRPr="00A14474" w:rsidSect="00906DDC">
          <w:headerReference w:type="default" r:id="rId8"/>
          <w:pgSz w:w="11907" w:h="16840" w:code="9"/>
          <w:pgMar w:top="510" w:right="1134" w:bottom="1134" w:left="1134" w:header="510" w:footer="680" w:gutter="0"/>
          <w:cols w:space="720"/>
          <w:titlePg/>
        </w:sectPr>
      </w:pPr>
      <w:r w:rsidRPr="00A14474">
        <w:t>[Sigue el Anexo]</w:t>
      </w:r>
    </w:p>
    <w:p w:rsidR="0031420A" w:rsidRPr="00C5280D" w:rsidRDefault="0031420A" w:rsidP="0031420A">
      <w:pPr>
        <w:spacing w:after="240"/>
        <w:jc w:val="center"/>
      </w:pPr>
      <w:r>
        <w:rPr>
          <w:noProof/>
          <w:lang w:val="en-US"/>
        </w:rPr>
        <w:lastRenderedPageBreak/>
        <mc:AlternateContent>
          <mc:Choice Requires="wps">
            <w:drawing>
              <wp:anchor distT="0" distB="0" distL="114300" distR="114300" simplePos="0" relativeHeight="251659264" behindDoc="0" locked="0" layoutInCell="1" allowOverlap="1">
                <wp:simplePos x="0" y="0"/>
                <wp:positionH relativeFrom="column">
                  <wp:posOffset>7176135</wp:posOffset>
                </wp:positionH>
                <wp:positionV relativeFrom="paragraph">
                  <wp:posOffset>6461760</wp:posOffset>
                </wp:positionV>
                <wp:extent cx="2038350" cy="276225"/>
                <wp:effectExtent l="0" t="0" r="0" b="0"/>
                <wp:wrapNone/>
                <wp:docPr id="1" name="Text Box 1"/>
                <wp:cNvGraphicFramePr/>
                <a:graphic xmlns:a="http://schemas.openxmlformats.org/drawingml/2006/main">
                  <a:graphicData uri="http://schemas.microsoft.com/office/word/2010/wordprocessingShape">
                    <wps:wsp>
                      <wps:cNvSpPr txBox="1"/>
                      <wps:spPr>
                        <a:xfrm>
                          <a:off x="0" y="0"/>
                          <a:ext cx="2038350" cy="276225"/>
                        </a:xfrm>
                        <a:prstGeom prst="rect">
                          <a:avLst/>
                        </a:prstGeom>
                        <a:noFill/>
                        <a:ln w="6350">
                          <a:noFill/>
                        </a:ln>
                      </wps:spPr>
                      <wps:txbx>
                        <w:txbxContent>
                          <w:p w:rsidR="0031420A" w:rsidRDefault="0031420A">
                            <w:r w:rsidRPr="000177FF">
                              <w:t>[Fin del Anexo y del documento]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65.05pt;margin-top:508.8pt;width:160.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hhKgIAAFEEAAAOAAAAZHJzL2Uyb0RvYy54bWysVFFv2jAQfp+0/2D5fQRSoF1EqFgrpkmo&#10;rQRTn41jQyTb59mGhP36nZ1AWbenaS/mfHd8d/fd58zuW63IUThfgynpaDCkRBgOVW12Jf2+WX66&#10;o8QHZiqmwIiSnoSn9/OPH2aNLUQOe1CVcARBjC8aW9J9CLbIMs/3QjM/ACsMBiU4zQJe3S6rHGsQ&#10;XassHw6nWQOusg648B69j12QzhO+lIKHZym9CESVFHsL6XTp3MYzm89YsXPM7mvet8H+oQvNaoNF&#10;L1CPLDBycPUfULrmDjzIMOCgM5Cy5iLNgNOMhu+mWe+ZFWkWJMfbC03+/8Hyp+OLI3WFu6PEMI0r&#10;2og2kC/QklFkp7G+wKS1xbTQojtm9n6Pzjh0K52OvzgOwTjyfLpwG8E4OvPhzd3NBEMcY/ntNM8n&#10;ESZ7+7d1PnwVoEk0Supwd4lSdlz50KWeU2IxA8taKfSzQhnSlHQa4X+LILgyWCPO0PUardBu236A&#10;LVQnnMtBpwtv+bLG4ivmwwtzKATsF8UdnvGQCrAI9BYle3A//+aP+bgfjFLSoLBK6n8cmBOUqG8G&#10;N/d5NB5HJabLeHKb48VdR7bXEXPQD4Daxe1gd8mM+UGdTelAv+IbWMSqGGKGY+2ShrP5EDq54xvi&#10;YrFISag9y8LKrC2P0JG0SO2mfWXO9vwH3NwTnCXIindr6HI7uheHALJOO4oEd6z2vKNu05b7NxYf&#10;xvU9Zb19Cea/AAAA//8DAFBLAwQUAAYACAAAACEAEucpf+EAAAAPAQAADwAAAGRycy9kb3ducmV2&#10;LnhtbExPQU7DMBC8I/EHa5G4UduFhiqNU1WRKiQEh5ZeetvEbhIR2yF228Dr2ZzgNjM7mp3J1qPt&#10;2MUMofVOgZwJYMZVXreuVnD42D4sgYWITmPnnVHwbQKs89ubDFPtr25nLvtYMwpxIUUFTYx9ynmo&#10;GmMxzHxvHN1OfrAYiQ411wNeKdx2fC5Ewi22jj402JuiMdXn/mwVvBbbd9yVc7v86YqXt9Om/zoc&#10;F0rd342bFbBoxvhnhqk+VYecOpX+7HRgHXH5KCR5CQn5nACbPE8LSVo5aQkhnmf8/478FwAA//8D&#10;AFBLAQItABQABgAIAAAAIQC2gziS/gAAAOEBAAATAAAAAAAAAAAAAAAAAAAAAABbQ29udGVudF9U&#10;eXBlc10ueG1sUEsBAi0AFAAGAAgAAAAhADj9If/WAAAAlAEAAAsAAAAAAAAAAAAAAAAALwEAAF9y&#10;ZWxzLy5yZWxzUEsBAi0AFAAGAAgAAAAhAGRZ6GEqAgAAUQQAAA4AAAAAAAAAAAAAAAAALgIAAGRy&#10;cy9lMm9Eb2MueG1sUEsBAi0AFAAGAAgAAAAhABLnKX/hAAAADwEAAA8AAAAAAAAAAAAAAAAAhAQA&#10;AGRycy9kb3ducmV2LnhtbFBLBQYAAAAABAAEAPMAAACSBQAAAAA=&#10;" filled="f" stroked="f" strokeweight=".5pt">
                <v:textbox>
                  <w:txbxContent>
                    <w:p w:rsidR="0031420A" w:rsidRDefault="0031420A">
                      <w:r w:rsidRPr="000177FF">
                        <w:t>[Fin del Anexo y del documento]</w:t>
                      </w:r>
                    </w:p>
                  </w:txbxContent>
                </v:textbox>
              </v:shape>
            </w:pict>
          </mc:Fallback>
        </mc:AlternateContent>
      </w:r>
      <w:r w:rsidR="00A14474" w:rsidRPr="00A14474">
        <w:t xml:space="preserve"> </w:t>
      </w:r>
      <w:r w:rsidR="00A14474" w:rsidRPr="00A14474">
        <w:rPr>
          <w:noProof/>
          <w:lang w:val="en-US"/>
        </w:rPr>
        <w:drawing>
          <wp:inline distT="0" distB="0" distL="0" distR="0" wp14:anchorId="068630CE" wp14:editId="650B0036">
            <wp:extent cx="8477250" cy="6395733"/>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8480463" cy="6398157"/>
                    </a:xfrm>
                    <a:prstGeom prst="rect">
                      <a:avLst/>
                    </a:prstGeom>
                    <a:noFill/>
                    <a:ln w="9525">
                      <a:noFill/>
                      <a:miter lim="800000"/>
                      <a:headEnd/>
                      <a:tailEnd/>
                    </a:ln>
                  </pic:spPr>
                </pic:pic>
              </a:graphicData>
            </a:graphic>
          </wp:inline>
        </w:drawing>
      </w:r>
    </w:p>
    <w:sectPr w:rsidR="0031420A" w:rsidRPr="00C5280D" w:rsidSect="0031420A">
      <w:headerReference w:type="default" r:id="rId10"/>
      <w:headerReference w:type="first" r:id="rId11"/>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88E" w:rsidRDefault="005A088E" w:rsidP="006655D3">
      <w:r>
        <w:separator/>
      </w:r>
    </w:p>
    <w:p w:rsidR="005A088E" w:rsidRDefault="005A088E" w:rsidP="006655D3"/>
    <w:p w:rsidR="005A088E" w:rsidRDefault="005A088E" w:rsidP="006655D3"/>
  </w:endnote>
  <w:endnote w:type="continuationSeparator" w:id="0">
    <w:p w:rsidR="005A088E" w:rsidRDefault="005A088E" w:rsidP="006655D3">
      <w:r>
        <w:separator/>
      </w:r>
    </w:p>
    <w:p w:rsidR="005A088E" w:rsidRPr="00294751" w:rsidRDefault="005A088E">
      <w:pPr>
        <w:pStyle w:val="Footer"/>
        <w:spacing w:after="60"/>
        <w:rPr>
          <w:sz w:val="18"/>
          <w:lang w:val="fr-FR"/>
        </w:rPr>
      </w:pPr>
      <w:r w:rsidRPr="00294751">
        <w:rPr>
          <w:sz w:val="18"/>
          <w:lang w:val="fr-FR"/>
        </w:rPr>
        <w:t>[Suite de la note de la page précédente]</w:t>
      </w:r>
    </w:p>
    <w:p w:rsidR="005A088E" w:rsidRPr="00294751" w:rsidRDefault="005A088E" w:rsidP="006655D3">
      <w:pPr>
        <w:rPr>
          <w:lang w:val="fr-FR"/>
        </w:rPr>
      </w:pPr>
    </w:p>
    <w:p w:rsidR="005A088E" w:rsidRPr="00294751" w:rsidRDefault="005A088E" w:rsidP="006655D3">
      <w:pPr>
        <w:rPr>
          <w:lang w:val="fr-FR"/>
        </w:rPr>
      </w:pPr>
    </w:p>
  </w:endnote>
  <w:endnote w:type="continuationNotice" w:id="1">
    <w:p w:rsidR="005A088E" w:rsidRPr="00294751" w:rsidRDefault="005A088E" w:rsidP="006655D3">
      <w:pPr>
        <w:rPr>
          <w:lang w:val="fr-FR"/>
        </w:rPr>
      </w:pPr>
      <w:r w:rsidRPr="00294751">
        <w:rPr>
          <w:lang w:val="fr-FR"/>
        </w:rPr>
        <w:t>[Suite de la note page suivante]</w:t>
      </w:r>
    </w:p>
    <w:p w:rsidR="005A088E" w:rsidRPr="00294751" w:rsidRDefault="005A088E" w:rsidP="006655D3">
      <w:pPr>
        <w:rPr>
          <w:lang w:val="fr-FR"/>
        </w:rPr>
      </w:pPr>
    </w:p>
    <w:p w:rsidR="005A088E" w:rsidRPr="00294751" w:rsidRDefault="005A088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88E" w:rsidRDefault="005A088E" w:rsidP="006655D3">
      <w:r>
        <w:separator/>
      </w:r>
    </w:p>
  </w:footnote>
  <w:footnote w:type="continuationSeparator" w:id="0">
    <w:p w:rsidR="005A088E" w:rsidRDefault="005A088E" w:rsidP="006655D3">
      <w:r>
        <w:separator/>
      </w:r>
    </w:p>
  </w:footnote>
  <w:footnote w:type="continuationNotice" w:id="1">
    <w:p w:rsidR="005A088E" w:rsidRPr="00AB530F" w:rsidRDefault="005A088E" w:rsidP="00AB530F">
      <w:pPr>
        <w:pStyle w:val="Footer"/>
      </w:pPr>
    </w:p>
  </w:footnote>
  <w:footnote w:id="2">
    <w:p w:rsidR="00A14474" w:rsidRPr="00A14474" w:rsidRDefault="00A14474" w:rsidP="00A14474">
      <w:pPr>
        <w:pStyle w:val="FootnoteText"/>
        <w:rPr>
          <w:u w:val="single"/>
          <w:lang w:val="es-ES"/>
        </w:rPr>
      </w:pPr>
      <w:r w:rsidRPr="00835AD2">
        <w:rPr>
          <w:rStyle w:val="FootnoteReference"/>
        </w:rPr>
        <w:footnoteRef/>
      </w:r>
      <w:r w:rsidRPr="00A14474">
        <w:rPr>
          <w:lang w:val="es-ES"/>
        </w:rPr>
        <w:tab/>
      </w:r>
      <w:r w:rsidRPr="009A1D43">
        <w:rPr>
          <w:highlight w:val="lightGray"/>
        </w:rPr>
        <w:t>En los apartados</w:t>
      </w:r>
      <w:r>
        <w:rPr>
          <w:highlight w:val="lightGray"/>
        </w:rPr>
        <w:t> 2) y 3) del artículo </w:t>
      </w:r>
      <w:r w:rsidRPr="009A1D43">
        <w:rPr>
          <w:highlight w:val="lightGray"/>
        </w:rPr>
        <w:t>2 del Acuerdo OMPI/UPOV (documento UPOV/INF/8) se establece que:</w:t>
      </w:r>
      <w:r w:rsidRPr="00A14474">
        <w:rPr>
          <w:highlight w:val="lightGray"/>
          <w:lang w:val="es-ES"/>
        </w:rPr>
        <w:t xml:space="preserve"> </w:t>
      </w:r>
      <w:r w:rsidRPr="009A1D43">
        <w:rPr>
          <w:highlight w:val="lightGray"/>
        </w:rPr>
        <w:t>“2)</w:t>
      </w:r>
      <w:r>
        <w:rPr>
          <w:highlight w:val="lightGray"/>
        </w:rPr>
        <w:t> </w:t>
      </w:r>
      <w:r w:rsidRPr="009A1D43">
        <w:rPr>
          <w:highlight w:val="lightGray"/>
        </w:rPr>
        <w:t>Cuando cualquiera de los servicios prestados por la</w:t>
      </w:r>
      <w:r>
        <w:rPr>
          <w:highlight w:val="lightGray"/>
        </w:rPr>
        <w:t> OMPI tanto a la </w:t>
      </w:r>
      <w:r w:rsidRPr="009A1D43">
        <w:rPr>
          <w:highlight w:val="lightGray"/>
        </w:rPr>
        <w:t>UPOV como a una o más de las Uniones administradas por la</w:t>
      </w:r>
      <w:r>
        <w:rPr>
          <w:highlight w:val="lightGray"/>
        </w:rPr>
        <w:t> </w:t>
      </w:r>
      <w:r w:rsidRPr="009A1D43">
        <w:rPr>
          <w:highlight w:val="lightGray"/>
        </w:rPr>
        <w:t>OMPI (denominados en adelante “servicios comunes”), o c</w:t>
      </w:r>
      <w:r>
        <w:rPr>
          <w:highlight w:val="lightGray"/>
        </w:rPr>
        <w:t>uando cualquier gasto en que la OMPI incurra concierna a la </w:t>
      </w:r>
      <w:r w:rsidRPr="009A1D43">
        <w:rPr>
          <w:highlight w:val="lightGray"/>
        </w:rPr>
        <w:t>UPOV y a una o más de las Uniones administradas por la</w:t>
      </w:r>
      <w:r>
        <w:rPr>
          <w:highlight w:val="lightGray"/>
        </w:rPr>
        <w:t> </w:t>
      </w:r>
      <w:r w:rsidRPr="009A1D43">
        <w:rPr>
          <w:highlight w:val="lightGray"/>
        </w:rPr>
        <w:t>OMPI (denominados en adelante los “gastos comunes”), los importes de la indemnización que deba pagar la</w:t>
      </w:r>
      <w:r>
        <w:rPr>
          <w:highlight w:val="lightGray"/>
        </w:rPr>
        <w:t> </w:t>
      </w:r>
      <w:r w:rsidRPr="009A1D43">
        <w:rPr>
          <w:highlight w:val="lightGray"/>
        </w:rPr>
        <w:t xml:space="preserve">UPOV </w:t>
      </w:r>
      <w:r>
        <w:rPr>
          <w:highlight w:val="lightGray"/>
        </w:rPr>
        <w:t>a la </w:t>
      </w:r>
      <w:r w:rsidRPr="009A1D43">
        <w:rPr>
          <w:highlight w:val="lightGray"/>
        </w:rPr>
        <w:t>OMPI serán establecidos en proporción al interés de la</w:t>
      </w:r>
      <w:r>
        <w:rPr>
          <w:highlight w:val="lightGray"/>
        </w:rPr>
        <w:t> </w:t>
      </w:r>
      <w:r w:rsidRPr="009A1D43">
        <w:rPr>
          <w:highlight w:val="lightGray"/>
        </w:rPr>
        <w:t>UPOV en dicho servicio o gasto.”</w:t>
      </w:r>
      <w:r w:rsidRPr="00A14474">
        <w:rPr>
          <w:highlight w:val="lightGray"/>
          <w:lang w:val="es-ES"/>
        </w:rPr>
        <w:t xml:space="preserve"> </w:t>
      </w:r>
      <w:r w:rsidRPr="009A1D43">
        <w:rPr>
          <w:highlight w:val="lightGray"/>
        </w:rPr>
        <w:t>“3)</w:t>
      </w:r>
      <w:r>
        <w:rPr>
          <w:highlight w:val="lightGray"/>
        </w:rPr>
        <w:t> </w:t>
      </w:r>
      <w:r w:rsidRPr="009A1D43">
        <w:rPr>
          <w:highlight w:val="lightGray"/>
        </w:rPr>
        <w:t>El valor de cualquiera de los servicios prestados exclusivamente a la</w:t>
      </w:r>
      <w:r>
        <w:rPr>
          <w:highlight w:val="lightGray"/>
        </w:rPr>
        <w:t> </w:t>
      </w:r>
      <w:r w:rsidRPr="009A1D43">
        <w:rPr>
          <w:highlight w:val="lightGray"/>
        </w:rPr>
        <w:t>UPOV por la</w:t>
      </w:r>
      <w:r>
        <w:rPr>
          <w:highlight w:val="lightGray"/>
        </w:rPr>
        <w:t> </w:t>
      </w:r>
      <w:r w:rsidRPr="009A1D43">
        <w:rPr>
          <w:highlight w:val="lightGray"/>
        </w:rPr>
        <w:t>OMPI y la evaluación del interés de la</w:t>
      </w:r>
      <w:r>
        <w:rPr>
          <w:highlight w:val="lightGray"/>
        </w:rPr>
        <w:t> </w:t>
      </w:r>
      <w:r w:rsidRPr="009A1D43">
        <w:rPr>
          <w:highlight w:val="lightGray"/>
        </w:rPr>
        <w:t>UPOV en los servicios comunes y en los gastos comunes serán establecidos por el Consejo de la</w:t>
      </w:r>
      <w:r>
        <w:rPr>
          <w:highlight w:val="lightGray"/>
        </w:rPr>
        <w:t> </w:t>
      </w:r>
      <w:r w:rsidRPr="009A1D43">
        <w:rPr>
          <w:highlight w:val="lightGray"/>
        </w:rPr>
        <w:t xml:space="preserve">UPOV </w:t>
      </w:r>
      <w:r>
        <w:rPr>
          <w:highlight w:val="lightGray"/>
        </w:rPr>
        <w:t>y por el Director General de la </w:t>
      </w:r>
      <w:r w:rsidRPr="009A1D43">
        <w:rPr>
          <w:highlight w:val="lightGray"/>
        </w:rPr>
        <w:t>OMPI.”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74" w:rsidRPr="001463D6" w:rsidRDefault="0031420A" w:rsidP="001463D6">
    <w:pPr>
      <w:pStyle w:val="Header"/>
      <w:rPr>
        <w:rStyle w:val="PageNumber"/>
      </w:rPr>
    </w:pPr>
    <w:r>
      <w:rPr>
        <w:rStyle w:val="PageNumber"/>
      </w:rPr>
      <w:t>C/54</w:t>
    </w:r>
    <w:r w:rsidR="00A14474" w:rsidRPr="001463D6">
      <w:rPr>
        <w:rStyle w:val="PageNumber"/>
      </w:rPr>
      <w:t>/</w:t>
    </w:r>
    <w:r>
      <w:rPr>
        <w:rStyle w:val="PageNumber"/>
      </w:rPr>
      <w:t>18</w:t>
    </w:r>
  </w:p>
  <w:p w:rsidR="00A14474" w:rsidRPr="001463D6" w:rsidRDefault="00A14474" w:rsidP="001463D6">
    <w:pPr>
      <w:pStyle w:val="Header"/>
    </w:pPr>
    <w:r w:rsidRPr="001463D6">
      <w:t xml:space="preserve">página </w:t>
    </w:r>
    <w:r w:rsidRPr="001463D6">
      <w:rPr>
        <w:rStyle w:val="PageNumber"/>
      </w:rPr>
      <w:fldChar w:fldCharType="begin"/>
    </w:r>
    <w:r w:rsidRPr="001463D6">
      <w:rPr>
        <w:rStyle w:val="PageNumber"/>
      </w:rPr>
      <w:instrText xml:space="preserve"> PAGE </w:instrText>
    </w:r>
    <w:r w:rsidRPr="001463D6">
      <w:rPr>
        <w:rStyle w:val="PageNumber"/>
      </w:rPr>
      <w:fldChar w:fldCharType="separate"/>
    </w:r>
    <w:r w:rsidR="00C22937">
      <w:rPr>
        <w:rStyle w:val="PageNumber"/>
        <w:noProof/>
      </w:rPr>
      <w:t>2</w:t>
    </w:r>
    <w:r w:rsidRPr="001463D6">
      <w:rPr>
        <w:rStyle w:val="PageNumber"/>
      </w:rPr>
      <w:fldChar w:fldCharType="end"/>
    </w:r>
  </w:p>
  <w:p w:rsidR="00A14474" w:rsidRPr="001463D6" w:rsidRDefault="00A14474" w:rsidP="001463D6">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0A23DC" w:rsidRDefault="001A18EE" w:rsidP="000A23DC">
    <w:pPr>
      <w:pStyle w:val="Header"/>
      <w:rPr>
        <w:rStyle w:val="PageNumber"/>
      </w:rPr>
    </w:pPr>
    <w:r>
      <w:rPr>
        <w:rStyle w:val="PageNumber"/>
      </w:rPr>
      <w:t>C/54</w:t>
    </w:r>
    <w:r w:rsidR="00667404" w:rsidRPr="000A23DC">
      <w:rPr>
        <w:rStyle w:val="PageNumber"/>
      </w:rPr>
      <w:t>/</w:t>
    </w:r>
  </w:p>
  <w:p w:rsidR="00182B99" w:rsidRPr="00202E38" w:rsidRDefault="008B3D8D" w:rsidP="008B3D8D">
    <w:pPr>
      <w:pStyle w:val="Header"/>
      <w:rPr>
        <w:lang w:val="de-DE"/>
      </w:rPr>
    </w:pPr>
    <w:r w:rsidRPr="008B3D8D">
      <w:t>página</w:t>
    </w:r>
    <w:r w:rsidR="00182B99" w:rsidRPr="00202E38">
      <w:rPr>
        <w:lang w:val="de-DE"/>
      </w:rPr>
      <w:t xml:space="preserve"> </w:t>
    </w:r>
    <w:r w:rsidR="00182B99" w:rsidRPr="00202E38">
      <w:rPr>
        <w:rStyle w:val="PageNumber"/>
        <w:lang w:val="de-DE"/>
      </w:rPr>
      <w:fldChar w:fldCharType="begin"/>
    </w:r>
    <w:r w:rsidR="00182B99" w:rsidRPr="00202E38">
      <w:rPr>
        <w:rStyle w:val="PageNumber"/>
        <w:lang w:val="de-DE"/>
      </w:rPr>
      <w:instrText xml:space="preserve"> PAGE </w:instrText>
    </w:r>
    <w:r w:rsidR="00182B99" w:rsidRPr="00202E38">
      <w:rPr>
        <w:rStyle w:val="PageNumber"/>
        <w:lang w:val="de-DE"/>
      </w:rPr>
      <w:fldChar w:fldCharType="separate"/>
    </w:r>
    <w:r w:rsidR="0031420A">
      <w:rPr>
        <w:rStyle w:val="PageNumber"/>
        <w:noProof/>
        <w:lang w:val="de-DE"/>
      </w:rPr>
      <w:t>7</w:t>
    </w:r>
    <w:r w:rsidR="00182B99" w:rsidRPr="00202E38">
      <w:rPr>
        <w:rStyle w:val="PageNumber"/>
        <w:lang w:val="de-DE"/>
      </w:rPr>
      <w:fldChar w:fldCharType="end"/>
    </w:r>
  </w:p>
  <w:p w:rsidR="00182B99" w:rsidRPr="00202E38" w:rsidRDefault="00182B99" w:rsidP="006655D3">
    <w:pPr>
      <w:rPr>
        <w:lang w:val="de-DE"/>
      </w:rPr>
    </w:pPr>
  </w:p>
  <w:p w:rsidR="002541CB" w:rsidRDefault="002541C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0A" w:rsidRDefault="0031420A" w:rsidP="0031420A">
    <w:pPr>
      <w:pStyle w:val="Header"/>
      <w:spacing w:after="60"/>
    </w:pPr>
    <w:r>
      <w:t>C/54/18</w:t>
    </w:r>
  </w:p>
  <w:p w:rsidR="0031420A" w:rsidRDefault="0031420A" w:rsidP="0031420A">
    <w:pPr>
      <w:pStyle w:val="Header"/>
      <w:spacing w:after="60"/>
    </w:pPr>
    <w:r>
      <w:t>ANEXO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6139F"/>
    <w:multiLevelType w:val="hybridMultilevel"/>
    <w:tmpl w:val="C49E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88E"/>
    <w:rsid w:val="00010CF3"/>
    <w:rsid w:val="00011E27"/>
    <w:rsid w:val="000148BC"/>
    <w:rsid w:val="00024AB8"/>
    <w:rsid w:val="00030854"/>
    <w:rsid w:val="00036028"/>
    <w:rsid w:val="00044642"/>
    <w:rsid w:val="000446B9"/>
    <w:rsid w:val="0004717D"/>
    <w:rsid w:val="00047E21"/>
    <w:rsid w:val="00050E16"/>
    <w:rsid w:val="000638A9"/>
    <w:rsid w:val="00085505"/>
    <w:rsid w:val="000A014B"/>
    <w:rsid w:val="000A23DC"/>
    <w:rsid w:val="000A7839"/>
    <w:rsid w:val="000C4E25"/>
    <w:rsid w:val="000C7021"/>
    <w:rsid w:val="000D6BBC"/>
    <w:rsid w:val="000D7780"/>
    <w:rsid w:val="000E636A"/>
    <w:rsid w:val="000F2F11"/>
    <w:rsid w:val="00105929"/>
    <w:rsid w:val="00110C36"/>
    <w:rsid w:val="001131D5"/>
    <w:rsid w:val="00141DB8"/>
    <w:rsid w:val="001677A8"/>
    <w:rsid w:val="00172084"/>
    <w:rsid w:val="0017474A"/>
    <w:rsid w:val="001758C6"/>
    <w:rsid w:val="00182B99"/>
    <w:rsid w:val="001A18EE"/>
    <w:rsid w:val="001F64BF"/>
    <w:rsid w:val="00202E38"/>
    <w:rsid w:val="0021332C"/>
    <w:rsid w:val="00213982"/>
    <w:rsid w:val="0024416D"/>
    <w:rsid w:val="002464A3"/>
    <w:rsid w:val="002541CB"/>
    <w:rsid w:val="00271911"/>
    <w:rsid w:val="002800A0"/>
    <w:rsid w:val="002801B3"/>
    <w:rsid w:val="00281060"/>
    <w:rsid w:val="002940E8"/>
    <w:rsid w:val="00294751"/>
    <w:rsid w:val="002A6E50"/>
    <w:rsid w:val="002B4298"/>
    <w:rsid w:val="002C256A"/>
    <w:rsid w:val="002E2991"/>
    <w:rsid w:val="002E5944"/>
    <w:rsid w:val="00305A7F"/>
    <w:rsid w:val="0031420A"/>
    <w:rsid w:val="003152FE"/>
    <w:rsid w:val="00327436"/>
    <w:rsid w:val="00344BD6"/>
    <w:rsid w:val="0035528D"/>
    <w:rsid w:val="00361821"/>
    <w:rsid w:val="00361E9E"/>
    <w:rsid w:val="003B031A"/>
    <w:rsid w:val="003C7FBE"/>
    <w:rsid w:val="003D227C"/>
    <w:rsid w:val="003D2B4D"/>
    <w:rsid w:val="003D5DCC"/>
    <w:rsid w:val="00401DDB"/>
    <w:rsid w:val="0040557F"/>
    <w:rsid w:val="00405DF2"/>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76BE4"/>
    <w:rsid w:val="005A088E"/>
    <w:rsid w:val="005A400A"/>
    <w:rsid w:val="005F7B92"/>
    <w:rsid w:val="00612379"/>
    <w:rsid w:val="006153B6"/>
    <w:rsid w:val="0061555F"/>
    <w:rsid w:val="00636CA6"/>
    <w:rsid w:val="00637EDD"/>
    <w:rsid w:val="00641200"/>
    <w:rsid w:val="00645CA8"/>
    <w:rsid w:val="006655D3"/>
    <w:rsid w:val="00667404"/>
    <w:rsid w:val="00687EB4"/>
    <w:rsid w:val="00695C56"/>
    <w:rsid w:val="006A32E5"/>
    <w:rsid w:val="006A5CDE"/>
    <w:rsid w:val="006A644A"/>
    <w:rsid w:val="006B17D2"/>
    <w:rsid w:val="006C224E"/>
    <w:rsid w:val="006D780A"/>
    <w:rsid w:val="0071271E"/>
    <w:rsid w:val="00732DEC"/>
    <w:rsid w:val="00735BD5"/>
    <w:rsid w:val="00751613"/>
    <w:rsid w:val="007556F6"/>
    <w:rsid w:val="00760EEF"/>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574A4"/>
    <w:rsid w:val="00864C55"/>
    <w:rsid w:val="00867AC1"/>
    <w:rsid w:val="00890DF8"/>
    <w:rsid w:val="008A743F"/>
    <w:rsid w:val="008B3D8D"/>
    <w:rsid w:val="008C0970"/>
    <w:rsid w:val="008D0BC5"/>
    <w:rsid w:val="008D2CF7"/>
    <w:rsid w:val="00900C26"/>
    <w:rsid w:val="0090197F"/>
    <w:rsid w:val="00906DDC"/>
    <w:rsid w:val="00934E09"/>
    <w:rsid w:val="00936253"/>
    <w:rsid w:val="00940D46"/>
    <w:rsid w:val="00952DD4"/>
    <w:rsid w:val="0096175D"/>
    <w:rsid w:val="00965AE7"/>
    <w:rsid w:val="00970FED"/>
    <w:rsid w:val="00992D82"/>
    <w:rsid w:val="00997029"/>
    <w:rsid w:val="009A7339"/>
    <w:rsid w:val="009B440E"/>
    <w:rsid w:val="009D690D"/>
    <w:rsid w:val="009E65B6"/>
    <w:rsid w:val="00A14474"/>
    <w:rsid w:val="00A20FB2"/>
    <w:rsid w:val="00A24C10"/>
    <w:rsid w:val="00A42AC3"/>
    <w:rsid w:val="00A430CF"/>
    <w:rsid w:val="00A54309"/>
    <w:rsid w:val="00A706D3"/>
    <w:rsid w:val="00AB2B93"/>
    <w:rsid w:val="00AB530F"/>
    <w:rsid w:val="00AB7E5B"/>
    <w:rsid w:val="00AC2883"/>
    <w:rsid w:val="00AC5166"/>
    <w:rsid w:val="00AE0EF1"/>
    <w:rsid w:val="00AE2937"/>
    <w:rsid w:val="00B07301"/>
    <w:rsid w:val="00B11F3E"/>
    <w:rsid w:val="00B224DE"/>
    <w:rsid w:val="00B324D4"/>
    <w:rsid w:val="00B46575"/>
    <w:rsid w:val="00B61777"/>
    <w:rsid w:val="00B84BBD"/>
    <w:rsid w:val="00BA43FB"/>
    <w:rsid w:val="00BC0BD4"/>
    <w:rsid w:val="00BC127D"/>
    <w:rsid w:val="00BC1FE6"/>
    <w:rsid w:val="00C061B6"/>
    <w:rsid w:val="00C22937"/>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A65D2"/>
    <w:rsid w:val="00EB048E"/>
    <w:rsid w:val="00EB4E9C"/>
    <w:rsid w:val="00EB7224"/>
    <w:rsid w:val="00EC2265"/>
    <w:rsid w:val="00EE34DF"/>
    <w:rsid w:val="00EF2F89"/>
    <w:rsid w:val="00F03E98"/>
    <w:rsid w:val="00F1237A"/>
    <w:rsid w:val="00F22CBD"/>
    <w:rsid w:val="00F272F1"/>
    <w:rsid w:val="00F32BFD"/>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F715169-740E-4D71-B301-251437A1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4\templates\c_54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c_54_ES.dotx</Template>
  <TotalTime>26</TotalTime>
  <Pages>6</Pages>
  <Words>2212</Words>
  <Characters>11886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C/54</vt:lpstr>
    </vt:vector>
  </TitlesOfParts>
  <Company>UPOV</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dc:title>
  <dc:creator>SANTOS Carla Marina</dc:creator>
  <cp:lastModifiedBy>SANTOS Carla Marina</cp:lastModifiedBy>
  <cp:revision>4</cp:revision>
  <cp:lastPrinted>2016-11-22T15:41:00Z</cp:lastPrinted>
  <dcterms:created xsi:type="dcterms:W3CDTF">2020-10-02T08:50:00Z</dcterms:created>
  <dcterms:modified xsi:type="dcterms:W3CDTF">2020-10-08T09:49:00Z</dcterms:modified>
</cp:coreProperties>
</file>