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059D4" w:rsidRPr="00DC2FAE" w:rsidTr="003A6EBE">
        <w:tc>
          <w:tcPr>
            <w:tcW w:w="6522" w:type="dxa"/>
          </w:tcPr>
          <w:p w:rsidR="001059D4" w:rsidRPr="00DC2FAE" w:rsidRDefault="001059D4" w:rsidP="003A6EBE">
            <w:pPr>
              <w:rPr>
                <w:dstrike/>
                <w:lang w:val="es-419"/>
              </w:rPr>
            </w:pPr>
            <w:bookmarkStart w:id="0" w:name="TitleOfDoc"/>
            <w:bookmarkEnd w:id="0"/>
            <w:r w:rsidRPr="00DC2FAE">
              <w:rPr>
                <w:noProof/>
              </w:rPr>
              <w:drawing>
                <wp:inline distT="0" distB="0" distL="0" distR="0" wp14:anchorId="67BC7310" wp14:editId="43970C1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059D4" w:rsidRPr="00DC2FAE" w:rsidRDefault="001059D4" w:rsidP="003A6EBE">
            <w:pPr>
              <w:pStyle w:val="Lettrine"/>
              <w:rPr>
                <w:lang w:val="es-419"/>
              </w:rPr>
            </w:pPr>
            <w:r w:rsidRPr="00DC2FAE">
              <w:rPr>
                <w:lang w:val="es-419"/>
              </w:rPr>
              <w:t>S</w:t>
            </w:r>
          </w:p>
        </w:tc>
      </w:tr>
      <w:tr w:rsidR="001059D4" w:rsidRPr="000B163D" w:rsidTr="003A6EBE">
        <w:trPr>
          <w:trHeight w:val="219"/>
        </w:trPr>
        <w:tc>
          <w:tcPr>
            <w:tcW w:w="6522" w:type="dxa"/>
          </w:tcPr>
          <w:p w:rsidR="001059D4" w:rsidRPr="00DC2FAE" w:rsidRDefault="001059D4" w:rsidP="003A6EBE">
            <w:pPr>
              <w:pStyle w:val="upove"/>
              <w:rPr>
                <w:dstrike/>
                <w:lang w:val="es-419"/>
              </w:rPr>
            </w:pPr>
            <w:r w:rsidRPr="00DC2FAE">
              <w:rPr>
                <w:lang w:val="es-419"/>
              </w:rPr>
              <w:t>Unión Internacional para la Protección de las Obtenciones Vegetales</w:t>
            </w:r>
          </w:p>
        </w:tc>
        <w:tc>
          <w:tcPr>
            <w:tcW w:w="3117" w:type="dxa"/>
          </w:tcPr>
          <w:p w:rsidR="001059D4" w:rsidRPr="00DC2FAE" w:rsidRDefault="001059D4" w:rsidP="003A6EBE">
            <w:pPr>
              <w:rPr>
                <w:lang w:val="es-419"/>
              </w:rPr>
            </w:pPr>
          </w:p>
        </w:tc>
      </w:tr>
    </w:tbl>
    <w:p w:rsidR="001059D4" w:rsidRPr="00DC2FAE" w:rsidRDefault="001059D4" w:rsidP="001059D4">
      <w:pPr>
        <w:rPr>
          <w:lang w:val="es-419"/>
        </w:rPr>
      </w:pPr>
    </w:p>
    <w:p w:rsidR="001059D4" w:rsidRPr="00DC2FAE" w:rsidRDefault="001059D4" w:rsidP="001059D4">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059D4" w:rsidRPr="000B163D" w:rsidTr="003A6EBE">
        <w:tc>
          <w:tcPr>
            <w:tcW w:w="6512" w:type="dxa"/>
          </w:tcPr>
          <w:p w:rsidR="001059D4" w:rsidRPr="00DC2FAE" w:rsidRDefault="001059D4" w:rsidP="003A6EBE">
            <w:pPr>
              <w:pStyle w:val="Sessiontc"/>
              <w:spacing w:line="240" w:lineRule="auto"/>
              <w:rPr>
                <w:lang w:val="es-419"/>
              </w:rPr>
            </w:pPr>
            <w:r w:rsidRPr="00DC2FAE">
              <w:rPr>
                <w:lang w:val="es-419"/>
              </w:rPr>
              <w:t>Consejo</w:t>
            </w:r>
          </w:p>
          <w:p w:rsidR="001059D4" w:rsidRPr="00DC2FAE" w:rsidRDefault="001059D4" w:rsidP="003A6EBE">
            <w:pPr>
              <w:pStyle w:val="Sessiontcplacedate"/>
              <w:rPr>
                <w:dstrike/>
                <w:sz w:val="22"/>
                <w:lang w:val="es-419"/>
              </w:rPr>
            </w:pPr>
            <w:r w:rsidRPr="00DC2FAE">
              <w:rPr>
                <w:lang w:val="es-419"/>
              </w:rPr>
              <w:t>Quincuagésima cuarta sesión ordinaria</w:t>
            </w:r>
            <w:r w:rsidRPr="00DC2FAE">
              <w:rPr>
                <w:lang w:val="es-419"/>
              </w:rPr>
              <w:br/>
              <w:t>Ginebra, 30 de octubre de 2020</w:t>
            </w:r>
          </w:p>
        </w:tc>
        <w:tc>
          <w:tcPr>
            <w:tcW w:w="3127" w:type="dxa"/>
          </w:tcPr>
          <w:p w:rsidR="001059D4" w:rsidRPr="00DC2FAE" w:rsidRDefault="001059D4" w:rsidP="003A6EBE">
            <w:pPr>
              <w:pStyle w:val="Doccode"/>
              <w:rPr>
                <w:lang w:val="es-419"/>
              </w:rPr>
            </w:pPr>
            <w:r w:rsidRPr="00DC2FAE">
              <w:rPr>
                <w:lang w:val="es-419"/>
              </w:rPr>
              <w:t>C/54/11</w:t>
            </w:r>
          </w:p>
          <w:p w:rsidR="001059D4" w:rsidRPr="00DC2FAE" w:rsidRDefault="001059D4" w:rsidP="003A6EBE">
            <w:pPr>
              <w:pStyle w:val="Docoriginal"/>
              <w:rPr>
                <w:lang w:val="es-419"/>
              </w:rPr>
            </w:pPr>
            <w:r w:rsidRPr="00DC2FAE">
              <w:rPr>
                <w:lang w:val="es-419"/>
              </w:rPr>
              <w:t>Original:</w:t>
            </w:r>
            <w:r w:rsidRPr="00DC2FAE">
              <w:rPr>
                <w:b w:val="0"/>
                <w:spacing w:val="0"/>
                <w:lang w:val="es-419"/>
              </w:rPr>
              <w:t xml:space="preserve"> Inglés</w:t>
            </w:r>
          </w:p>
          <w:p w:rsidR="001059D4" w:rsidRPr="00DC2FAE" w:rsidRDefault="001059D4" w:rsidP="000C7A87">
            <w:pPr>
              <w:pStyle w:val="Docoriginal"/>
              <w:rPr>
                <w:lang w:val="es-419"/>
              </w:rPr>
            </w:pPr>
            <w:r w:rsidRPr="00DC2FAE">
              <w:rPr>
                <w:lang w:val="es-419"/>
              </w:rPr>
              <w:t>Fecha:</w:t>
            </w:r>
            <w:r w:rsidRPr="00DC2FAE">
              <w:rPr>
                <w:b w:val="0"/>
                <w:spacing w:val="0"/>
                <w:lang w:val="es-419"/>
              </w:rPr>
              <w:t xml:space="preserve"> </w:t>
            </w:r>
            <w:r w:rsidR="000C7A87">
              <w:rPr>
                <w:b w:val="0"/>
                <w:spacing w:val="0"/>
                <w:lang w:val="es-419"/>
              </w:rPr>
              <w:t>6 de julio de 2020</w:t>
            </w:r>
          </w:p>
        </w:tc>
      </w:tr>
      <w:tr w:rsidR="00A11828" w:rsidRPr="000515A5" w:rsidTr="00934AE4">
        <w:tc>
          <w:tcPr>
            <w:tcW w:w="6512" w:type="dxa"/>
            <w:tcBorders>
              <w:top w:val="single" w:sz="4" w:space="0" w:color="auto"/>
              <w:bottom w:val="single" w:sz="4" w:space="0" w:color="auto"/>
            </w:tcBorders>
          </w:tcPr>
          <w:p w:rsidR="00A11828" w:rsidRPr="001746F5" w:rsidRDefault="00A11828" w:rsidP="00934AE4">
            <w:pPr>
              <w:pStyle w:val="Sessiontc"/>
              <w:spacing w:line="240" w:lineRule="auto"/>
              <w:rPr>
                <w:i/>
                <w:lang w:val="es-ES_tradnl"/>
              </w:rPr>
            </w:pPr>
            <w:r>
              <w:rPr>
                <w:i/>
                <w:lang w:val="es-ES_tradnl"/>
              </w:rPr>
              <w:t>para el examen por correspondencia</w:t>
            </w:r>
          </w:p>
        </w:tc>
        <w:tc>
          <w:tcPr>
            <w:tcW w:w="3127" w:type="dxa"/>
            <w:tcBorders>
              <w:top w:val="single" w:sz="4" w:space="0" w:color="auto"/>
              <w:bottom w:val="single" w:sz="4" w:space="0" w:color="auto"/>
            </w:tcBorders>
          </w:tcPr>
          <w:p w:rsidR="00A11828" w:rsidRPr="005767D6" w:rsidRDefault="00A11828" w:rsidP="00934AE4">
            <w:pPr>
              <w:pStyle w:val="Doccode"/>
              <w:rPr>
                <w:lang w:val="es-ES_tradnl"/>
              </w:rPr>
            </w:pPr>
          </w:p>
        </w:tc>
      </w:tr>
    </w:tbl>
    <w:p w:rsidR="001059D4" w:rsidRPr="00DC2FAE" w:rsidRDefault="001059D4" w:rsidP="001059D4">
      <w:pPr>
        <w:pStyle w:val="Titleofdoc0"/>
        <w:rPr>
          <w:lang w:val="es-419"/>
        </w:rPr>
      </w:pPr>
      <w:bookmarkStart w:id="1" w:name="Prepared"/>
      <w:bookmarkEnd w:id="1"/>
      <w:r w:rsidRPr="00DC2FAE">
        <w:rPr>
          <w:lang w:val="es-419"/>
        </w:rPr>
        <w:t>NOMBRAMIENTO DEL SECRETARIO GENERAL</w:t>
      </w:r>
    </w:p>
    <w:p w:rsidR="006A644A" w:rsidRPr="00DC2FAE" w:rsidRDefault="00AE0EF1" w:rsidP="006A644A">
      <w:pPr>
        <w:pStyle w:val="preparedby1"/>
        <w:jc w:val="left"/>
        <w:rPr>
          <w:lang w:val="es-419"/>
        </w:rPr>
      </w:pPr>
      <w:r w:rsidRPr="00DC2FAE">
        <w:rPr>
          <w:lang w:val="es-419"/>
        </w:rPr>
        <w:t>Document</w:t>
      </w:r>
      <w:r w:rsidR="001059D4" w:rsidRPr="00DC2FAE">
        <w:rPr>
          <w:lang w:val="es-419"/>
        </w:rPr>
        <w:t>o preparado por la Oficina de la Unión</w:t>
      </w:r>
    </w:p>
    <w:p w:rsidR="00050E16" w:rsidRPr="00DC2FAE" w:rsidRDefault="00050E16" w:rsidP="006A644A">
      <w:pPr>
        <w:pStyle w:val="Disclaimer"/>
        <w:rPr>
          <w:lang w:val="es-419"/>
        </w:rPr>
      </w:pPr>
      <w:r w:rsidRPr="00DC2FAE">
        <w:rPr>
          <w:lang w:val="es-419"/>
        </w:rPr>
        <w:t>D</w:t>
      </w:r>
      <w:r w:rsidR="001059D4" w:rsidRPr="00DC2FAE">
        <w:rPr>
          <w:lang w:val="es-419"/>
        </w:rPr>
        <w:t>escargo de responsabilidad</w:t>
      </w:r>
      <w:r w:rsidRPr="00DC2FAE">
        <w:rPr>
          <w:lang w:val="es-419"/>
        </w:rPr>
        <w:t>:</w:t>
      </w:r>
      <w:r w:rsidR="001059D4" w:rsidRPr="00DC2FAE">
        <w:rPr>
          <w:lang w:val="es-419"/>
        </w:rPr>
        <w:t xml:space="preserve"> el presente documento no constituye un documento de política o de orientación de la UPOV</w:t>
      </w:r>
    </w:p>
    <w:p w:rsidR="001059D4" w:rsidRPr="00DC2FAE" w:rsidRDefault="001059D4" w:rsidP="001059D4">
      <w:pPr>
        <w:rPr>
          <w:u w:val="single"/>
          <w:lang w:val="es-419"/>
        </w:rPr>
      </w:pPr>
      <w:r w:rsidRPr="00DC2FAE">
        <w:rPr>
          <w:u w:val="single"/>
          <w:lang w:val="es-419"/>
        </w:rPr>
        <w:t>Introducción</w:t>
      </w:r>
    </w:p>
    <w:p w:rsidR="001059D4" w:rsidRPr="00DC2FAE" w:rsidRDefault="001059D4" w:rsidP="001059D4">
      <w:pPr>
        <w:rPr>
          <w:u w:val="single"/>
          <w:lang w:val="es-419"/>
        </w:rPr>
      </w:pPr>
    </w:p>
    <w:p w:rsidR="001059D4" w:rsidRPr="00DC2FAE" w:rsidRDefault="001059D4" w:rsidP="001059D4">
      <w:pPr>
        <w:rPr>
          <w:lang w:val="es-419"/>
        </w:rPr>
      </w:pPr>
      <w:r w:rsidRPr="00DC2FAE">
        <w:rPr>
          <w:lang w:val="es-419"/>
        </w:rPr>
        <w:fldChar w:fldCharType="begin"/>
      </w:r>
      <w:r w:rsidRPr="00DC2FAE">
        <w:rPr>
          <w:lang w:val="es-419"/>
        </w:rPr>
        <w:instrText xml:space="preserve"> AUTONUM  </w:instrText>
      </w:r>
      <w:r w:rsidRPr="00DC2FAE">
        <w:rPr>
          <w:lang w:val="es-419"/>
        </w:rPr>
        <w:fldChar w:fldCharType="end"/>
      </w:r>
      <w:r w:rsidRPr="00DC2FAE">
        <w:rPr>
          <w:lang w:val="es-419"/>
        </w:rPr>
        <w:tab/>
        <w:t>En el Convenio de la UPOV (artículo 26.5)iii) del Acta de 1991 y artículo 21.b) del Acta de 1978) se dispone que e</w:t>
      </w:r>
      <w:r w:rsidR="000925AA" w:rsidRPr="00DC2FAE">
        <w:rPr>
          <w:lang w:val="es-419"/>
        </w:rPr>
        <w:t xml:space="preserve">l Consejo de la UPOV nombra al </w:t>
      </w:r>
      <w:r w:rsidR="007712B8" w:rsidRPr="00DC2FAE">
        <w:rPr>
          <w:lang w:val="es-419"/>
        </w:rPr>
        <w:t xml:space="preserve">Secretario General </w:t>
      </w:r>
      <w:r w:rsidRPr="00DC2FAE">
        <w:rPr>
          <w:lang w:val="es-419"/>
        </w:rPr>
        <w:t xml:space="preserve">de la UPOV y fija las condiciones de su nombramiento. </w:t>
      </w:r>
    </w:p>
    <w:p w:rsidR="001059D4" w:rsidRPr="00DC2FAE" w:rsidRDefault="001059D4" w:rsidP="001059D4">
      <w:pPr>
        <w:rPr>
          <w:lang w:val="es-419"/>
        </w:rPr>
      </w:pPr>
    </w:p>
    <w:p w:rsidR="001059D4" w:rsidRPr="00DC2FAE" w:rsidRDefault="001059D4" w:rsidP="001059D4">
      <w:pPr>
        <w:rPr>
          <w:lang w:val="es-419"/>
        </w:rPr>
      </w:pPr>
      <w:r w:rsidRPr="00DC2FAE">
        <w:rPr>
          <w:lang w:val="es-419"/>
        </w:rPr>
        <w:fldChar w:fldCharType="begin"/>
      </w:r>
      <w:r w:rsidRPr="00DC2FAE">
        <w:rPr>
          <w:lang w:val="es-419"/>
        </w:rPr>
        <w:instrText xml:space="preserve"> AUTONUM  </w:instrText>
      </w:r>
      <w:r w:rsidRPr="00DC2FAE">
        <w:rPr>
          <w:lang w:val="es-419"/>
        </w:rPr>
        <w:fldChar w:fldCharType="end"/>
      </w:r>
      <w:r w:rsidRPr="00DC2FAE">
        <w:rPr>
          <w:lang w:val="es-419"/>
        </w:rPr>
        <w:tab/>
      </w:r>
      <w:r w:rsidRPr="007712B8">
        <w:rPr>
          <w:spacing w:val="-2"/>
          <w:lang w:val="es-419"/>
        </w:rPr>
        <w:t>En el artículo 4 del Acuerdo entre la Organización Mundial de la Propiedad Intelectual y la Unión Internacional para la Protección de las Obte</w:t>
      </w:r>
      <w:r w:rsidR="007712B8" w:rsidRPr="007712B8">
        <w:rPr>
          <w:spacing w:val="-2"/>
          <w:lang w:val="es-419"/>
        </w:rPr>
        <w:t>nciones Vegetales (Acuerdo OMPI/</w:t>
      </w:r>
      <w:r w:rsidRPr="007712B8">
        <w:rPr>
          <w:spacing w:val="-2"/>
          <w:lang w:val="es-419"/>
        </w:rPr>
        <w:t>UPOV, documento UPOV/INF/8)</w:t>
      </w:r>
      <w:r w:rsidRPr="00DC2FAE">
        <w:rPr>
          <w:lang w:val="es-419"/>
        </w:rPr>
        <w:t>, firmado el 26 de noviembre de 1982, se dispone lo siguiente:</w:t>
      </w:r>
    </w:p>
    <w:p w:rsidR="001059D4" w:rsidRPr="00DC2FAE" w:rsidRDefault="001059D4" w:rsidP="001059D4">
      <w:pPr>
        <w:rPr>
          <w:lang w:val="es-419"/>
        </w:rPr>
      </w:pPr>
    </w:p>
    <w:p w:rsidR="001059D4" w:rsidRPr="00DC2FAE" w:rsidRDefault="001059D4" w:rsidP="001059D4">
      <w:pPr>
        <w:spacing w:after="120"/>
        <w:ind w:left="567" w:right="567"/>
        <w:rPr>
          <w:lang w:val="es-419"/>
        </w:rPr>
      </w:pPr>
      <w:r w:rsidRPr="00DC2FAE">
        <w:rPr>
          <w:lang w:val="es-419"/>
        </w:rPr>
        <w:tab/>
        <w:t>“1)</w:t>
      </w:r>
      <w:r w:rsidRPr="00DC2FAE">
        <w:rPr>
          <w:lang w:val="es-419"/>
        </w:rPr>
        <w:tab/>
        <w:t>El Co</w:t>
      </w:r>
      <w:r w:rsidR="000925AA" w:rsidRPr="00DC2FAE">
        <w:rPr>
          <w:lang w:val="es-419"/>
        </w:rPr>
        <w:t xml:space="preserve">nsejo de la UPOV nombrará como </w:t>
      </w:r>
      <w:r w:rsidR="007712B8" w:rsidRPr="00DC2FAE">
        <w:rPr>
          <w:lang w:val="es-419"/>
        </w:rPr>
        <w:t xml:space="preserve">Secretario General </w:t>
      </w:r>
      <w:r w:rsidRPr="00DC2FAE">
        <w:rPr>
          <w:lang w:val="es-419"/>
        </w:rPr>
        <w:t xml:space="preserve">de la UPOV al </w:t>
      </w:r>
      <w:r w:rsidR="007712B8">
        <w:rPr>
          <w:lang w:val="es-419"/>
        </w:rPr>
        <w:t>Director </w:t>
      </w:r>
      <w:r w:rsidR="007712B8" w:rsidRPr="00DC2FAE">
        <w:rPr>
          <w:lang w:val="es-419"/>
        </w:rPr>
        <w:t xml:space="preserve">General </w:t>
      </w:r>
      <w:r w:rsidRPr="00DC2FAE">
        <w:rPr>
          <w:lang w:val="es-419"/>
        </w:rPr>
        <w:t>de la OMPI.</w:t>
      </w:r>
    </w:p>
    <w:p w:rsidR="001059D4" w:rsidRPr="00DC2FAE" w:rsidRDefault="001059D4" w:rsidP="001059D4">
      <w:pPr>
        <w:spacing w:after="120"/>
        <w:ind w:left="567" w:right="567"/>
        <w:rPr>
          <w:lang w:val="es-419"/>
        </w:rPr>
      </w:pPr>
      <w:r w:rsidRPr="00DC2FAE">
        <w:rPr>
          <w:lang w:val="es-419"/>
        </w:rPr>
        <w:tab/>
        <w:t>2)</w:t>
      </w:r>
      <w:r w:rsidRPr="00DC2FAE">
        <w:rPr>
          <w:lang w:val="es-419"/>
        </w:rPr>
        <w:tab/>
        <w:t xml:space="preserve">Cuando el puesto de </w:t>
      </w:r>
      <w:r w:rsidR="007712B8" w:rsidRPr="00DC2FAE">
        <w:rPr>
          <w:lang w:val="es-419"/>
        </w:rPr>
        <w:t xml:space="preserve">Director General </w:t>
      </w:r>
      <w:r w:rsidRPr="00DC2FAE">
        <w:rPr>
          <w:lang w:val="es-419"/>
        </w:rPr>
        <w:t xml:space="preserve">de la OMPI esté vacante, y por todo el tiempo que dicho puesto quede vacante, la persona que actúe como </w:t>
      </w:r>
      <w:r w:rsidR="007712B8" w:rsidRPr="00DC2FAE">
        <w:rPr>
          <w:lang w:val="es-419"/>
        </w:rPr>
        <w:t xml:space="preserve">Director General </w:t>
      </w:r>
      <w:r w:rsidRPr="00DC2FAE">
        <w:rPr>
          <w:lang w:val="es-419"/>
        </w:rPr>
        <w:t xml:space="preserve">de la OMPI será el </w:t>
      </w:r>
      <w:r w:rsidR="007712B8" w:rsidRPr="00DC2FAE">
        <w:rPr>
          <w:lang w:val="es-419"/>
        </w:rPr>
        <w:t>Secretario General</w:t>
      </w:r>
      <w:r w:rsidRPr="00DC2FAE">
        <w:rPr>
          <w:lang w:val="es-419"/>
        </w:rPr>
        <w:t xml:space="preserve"> de la UPOV en funciones.</w:t>
      </w:r>
    </w:p>
    <w:p w:rsidR="001059D4" w:rsidRPr="00DC2FAE" w:rsidRDefault="001059D4" w:rsidP="001059D4">
      <w:pPr>
        <w:spacing w:after="120"/>
        <w:ind w:left="567" w:right="567"/>
        <w:rPr>
          <w:lang w:val="es-419"/>
        </w:rPr>
      </w:pPr>
      <w:r w:rsidRPr="00DC2FAE">
        <w:rPr>
          <w:lang w:val="es-419"/>
        </w:rPr>
        <w:tab/>
        <w:t>3)</w:t>
      </w:r>
      <w:r w:rsidRPr="00DC2FAE">
        <w:rPr>
          <w:lang w:val="es-419"/>
        </w:rPr>
        <w:tab/>
        <w:t xml:space="preserve">Durante el período entre la fecha efectiva del nombramiento del </w:t>
      </w:r>
      <w:r w:rsidR="007712B8" w:rsidRPr="00DC2FAE">
        <w:rPr>
          <w:lang w:val="es-419"/>
        </w:rPr>
        <w:t>Director Gener</w:t>
      </w:r>
      <w:r w:rsidRPr="00DC2FAE">
        <w:rPr>
          <w:lang w:val="es-419"/>
        </w:rPr>
        <w:t xml:space="preserve">al de </w:t>
      </w:r>
      <w:r w:rsidR="000925AA" w:rsidRPr="00DC2FAE">
        <w:rPr>
          <w:lang w:val="es-419"/>
        </w:rPr>
        <w:t xml:space="preserve">la OMPI y su nombramiento como </w:t>
      </w:r>
      <w:r w:rsidR="007712B8" w:rsidRPr="00DC2FAE">
        <w:rPr>
          <w:lang w:val="es-419"/>
        </w:rPr>
        <w:t>Secretario General</w:t>
      </w:r>
      <w:r w:rsidRPr="00DC2FAE">
        <w:rPr>
          <w:lang w:val="es-419"/>
        </w:rPr>
        <w:t xml:space="preserve"> de la UPOV, será </w:t>
      </w:r>
      <w:r w:rsidR="007712B8" w:rsidRPr="00DC2FAE">
        <w:rPr>
          <w:lang w:val="es-419"/>
        </w:rPr>
        <w:t xml:space="preserve">Secretario General </w:t>
      </w:r>
      <w:r w:rsidRPr="00DC2FAE">
        <w:rPr>
          <w:lang w:val="es-419"/>
        </w:rPr>
        <w:t>de la UPOV en funciones.</w:t>
      </w:r>
    </w:p>
    <w:p w:rsidR="001059D4" w:rsidRPr="00DC2FAE" w:rsidRDefault="001059D4" w:rsidP="001059D4">
      <w:pPr>
        <w:spacing w:after="120"/>
        <w:ind w:left="567" w:right="567"/>
        <w:rPr>
          <w:lang w:val="es-419"/>
        </w:rPr>
      </w:pPr>
      <w:r w:rsidRPr="00DC2FAE">
        <w:rPr>
          <w:lang w:val="es-419"/>
        </w:rPr>
        <w:tab/>
        <w:t>4)</w:t>
      </w:r>
      <w:r w:rsidRPr="00DC2FAE">
        <w:rPr>
          <w:lang w:val="es-419"/>
        </w:rPr>
        <w:tab/>
      </w:r>
      <w:r w:rsidR="00537D34" w:rsidRPr="00DC2FAE">
        <w:rPr>
          <w:lang w:val="es-419"/>
        </w:rPr>
        <w:t xml:space="preserve">El nombramiento del </w:t>
      </w:r>
      <w:r w:rsidR="007712B8" w:rsidRPr="00DC2FAE">
        <w:rPr>
          <w:lang w:val="es-419"/>
        </w:rPr>
        <w:t xml:space="preserve">Secretario General </w:t>
      </w:r>
      <w:r w:rsidRPr="00DC2FAE">
        <w:rPr>
          <w:lang w:val="es-419"/>
        </w:rPr>
        <w:t xml:space="preserve">de la UPOV durará tanto tiempo como sea </w:t>
      </w:r>
      <w:r w:rsidR="007712B8" w:rsidRPr="00DC2FAE">
        <w:rPr>
          <w:lang w:val="es-419"/>
        </w:rPr>
        <w:t xml:space="preserve">Director General </w:t>
      </w:r>
      <w:r w:rsidRPr="00DC2FAE">
        <w:rPr>
          <w:lang w:val="es-419"/>
        </w:rPr>
        <w:t>de la OMPI y cesará el día en</w:t>
      </w:r>
      <w:r w:rsidR="00537D34" w:rsidRPr="00DC2FAE">
        <w:rPr>
          <w:lang w:val="es-419"/>
        </w:rPr>
        <w:t xml:space="preserve"> que cese su nombramiento como </w:t>
      </w:r>
      <w:r w:rsidR="007712B8" w:rsidRPr="00DC2FAE">
        <w:rPr>
          <w:lang w:val="es-419"/>
        </w:rPr>
        <w:t xml:space="preserve">Director General </w:t>
      </w:r>
      <w:r w:rsidRPr="00DC2FAE">
        <w:rPr>
          <w:lang w:val="es-419"/>
        </w:rPr>
        <w:t>de la OMPI.</w:t>
      </w:r>
    </w:p>
    <w:p w:rsidR="00215F2E" w:rsidRPr="00DC2FAE" w:rsidRDefault="001059D4" w:rsidP="001059D4">
      <w:pPr>
        <w:ind w:left="567" w:right="566"/>
        <w:rPr>
          <w:lang w:val="es-419"/>
        </w:rPr>
      </w:pPr>
      <w:r w:rsidRPr="00DC2FAE">
        <w:rPr>
          <w:lang w:val="es-419"/>
        </w:rPr>
        <w:tab/>
        <w:t>5)</w:t>
      </w:r>
      <w:r w:rsidRPr="00DC2FAE">
        <w:rPr>
          <w:lang w:val="es-419"/>
        </w:rPr>
        <w:tab/>
      </w:r>
      <w:r w:rsidR="00537D34" w:rsidRPr="00DC2FAE">
        <w:rPr>
          <w:lang w:val="es-419"/>
        </w:rPr>
        <w:t xml:space="preserve">La remuneración del </w:t>
      </w:r>
      <w:r w:rsidR="007712B8" w:rsidRPr="00DC2FAE">
        <w:rPr>
          <w:lang w:val="es-419"/>
        </w:rPr>
        <w:t xml:space="preserve">Secretario General </w:t>
      </w:r>
      <w:r w:rsidRPr="00DC2FAE">
        <w:rPr>
          <w:lang w:val="es-419"/>
        </w:rPr>
        <w:t>de la UPOV, pagadera por la UPOV, será determinada por el Consejo de la UPOV.”</w:t>
      </w:r>
    </w:p>
    <w:p w:rsidR="00215F2E" w:rsidRPr="00DC2FAE" w:rsidRDefault="00215F2E" w:rsidP="00215F2E">
      <w:pPr>
        <w:rPr>
          <w:lang w:val="es-419"/>
        </w:rPr>
      </w:pPr>
    </w:p>
    <w:p w:rsidR="00215F2E" w:rsidRPr="00DC2FAE" w:rsidRDefault="00215F2E" w:rsidP="00215F2E">
      <w:pPr>
        <w:rPr>
          <w:lang w:val="es-419"/>
        </w:rPr>
      </w:pPr>
      <w:r w:rsidRPr="00DC2FAE">
        <w:rPr>
          <w:lang w:val="es-419"/>
        </w:rPr>
        <w:fldChar w:fldCharType="begin"/>
      </w:r>
      <w:r w:rsidRPr="00DC2FAE">
        <w:rPr>
          <w:lang w:val="es-419"/>
        </w:rPr>
        <w:instrText xml:space="preserve"> AUTONUM  </w:instrText>
      </w:r>
      <w:r w:rsidRPr="00DC2FAE">
        <w:rPr>
          <w:lang w:val="es-419"/>
        </w:rPr>
        <w:fldChar w:fldCharType="end"/>
      </w:r>
      <w:r w:rsidRPr="00DC2FAE">
        <w:rPr>
          <w:lang w:val="es-419"/>
        </w:rPr>
        <w:tab/>
      </w:r>
      <w:r w:rsidR="001059D4" w:rsidRPr="00DC2FAE">
        <w:rPr>
          <w:lang w:val="es-419"/>
        </w:rPr>
        <w:t>En su cuadragésima octava sesión ordinaria, celebrada en Ginebra el 16 de octubre de 2014, el Consejo decidi</w:t>
      </w:r>
      <w:r w:rsidR="00537D34" w:rsidRPr="00DC2FAE">
        <w:rPr>
          <w:lang w:val="es-419"/>
        </w:rPr>
        <w:t xml:space="preserve">ó </w:t>
      </w:r>
      <w:r w:rsidR="000925AA" w:rsidRPr="00DC2FAE">
        <w:rPr>
          <w:lang w:val="es-419"/>
        </w:rPr>
        <w:t>designar</w:t>
      </w:r>
      <w:r w:rsidR="007712B8">
        <w:rPr>
          <w:lang w:val="es-419"/>
        </w:rPr>
        <w:t xml:space="preserve"> nuevamente</w:t>
      </w:r>
      <w:r w:rsidR="00537D34" w:rsidRPr="00DC2FAE">
        <w:rPr>
          <w:lang w:val="es-419"/>
        </w:rPr>
        <w:t xml:space="preserve"> al Sr. Francis Gurry </w:t>
      </w:r>
      <w:r w:rsidR="007712B8" w:rsidRPr="00DC2FAE">
        <w:rPr>
          <w:lang w:val="es-419"/>
        </w:rPr>
        <w:t xml:space="preserve">Secretario General </w:t>
      </w:r>
      <w:r w:rsidR="001059D4" w:rsidRPr="00DC2FAE">
        <w:rPr>
          <w:lang w:val="es-419"/>
        </w:rPr>
        <w:t>de la UPOV para el período comprendido entre el 16 de octubre de 2014 y el 30 de septiembre de 2020</w:t>
      </w:r>
      <w:r w:rsidRPr="00DC2FAE">
        <w:rPr>
          <w:lang w:val="es-419"/>
        </w:rPr>
        <w:t>.</w:t>
      </w:r>
    </w:p>
    <w:p w:rsidR="00215F2E" w:rsidRPr="00DC2FAE" w:rsidRDefault="00215F2E" w:rsidP="00215F2E">
      <w:pPr>
        <w:rPr>
          <w:lang w:val="es-419"/>
        </w:rPr>
      </w:pPr>
    </w:p>
    <w:p w:rsidR="00DC2FAE" w:rsidRPr="00DC2FAE" w:rsidRDefault="00DC2FAE" w:rsidP="00215F2E">
      <w:pPr>
        <w:rPr>
          <w:lang w:val="es-419"/>
        </w:rPr>
      </w:pPr>
    </w:p>
    <w:p w:rsidR="00537D34" w:rsidRPr="00DC2FAE" w:rsidRDefault="000B163D" w:rsidP="00537D34">
      <w:pPr>
        <w:rPr>
          <w:szCs w:val="24"/>
          <w:u w:val="single"/>
          <w:lang w:val="es-419"/>
        </w:rPr>
      </w:pPr>
      <w:r>
        <w:rPr>
          <w:szCs w:val="24"/>
          <w:u w:val="single"/>
          <w:lang w:val="es-419"/>
        </w:rPr>
        <w:t xml:space="preserve">Nombramiento </w:t>
      </w:r>
      <w:r w:rsidR="00537D34" w:rsidRPr="00DC2FAE">
        <w:rPr>
          <w:szCs w:val="24"/>
          <w:u w:val="single"/>
          <w:lang w:val="es-419"/>
        </w:rPr>
        <w:t xml:space="preserve">del </w:t>
      </w:r>
      <w:r w:rsidR="007712B8" w:rsidRPr="00DC2FAE">
        <w:rPr>
          <w:szCs w:val="24"/>
          <w:u w:val="single"/>
          <w:lang w:val="es-419"/>
        </w:rPr>
        <w:t xml:space="preserve">Director General </w:t>
      </w:r>
      <w:r w:rsidR="00537D34" w:rsidRPr="00DC2FAE">
        <w:rPr>
          <w:szCs w:val="24"/>
          <w:u w:val="single"/>
          <w:lang w:val="es-419"/>
        </w:rPr>
        <w:t>de la OMPI</w:t>
      </w:r>
    </w:p>
    <w:p w:rsidR="00537D34" w:rsidRPr="00DC2FAE" w:rsidRDefault="00537D34" w:rsidP="00537D34">
      <w:pPr>
        <w:rPr>
          <w:szCs w:val="24"/>
          <w:u w:val="single"/>
          <w:lang w:val="es-419"/>
        </w:rPr>
      </w:pPr>
    </w:p>
    <w:p w:rsidR="00537D34" w:rsidRPr="00DC2FAE" w:rsidRDefault="00537D34" w:rsidP="00537D34">
      <w:pPr>
        <w:pStyle w:val="Closing"/>
        <w:tabs>
          <w:tab w:val="left" w:pos="0"/>
        </w:tabs>
        <w:ind w:left="0"/>
        <w:jc w:val="both"/>
        <w:rPr>
          <w:szCs w:val="24"/>
          <w:u w:val="single"/>
          <w:lang w:val="es-419"/>
        </w:rPr>
      </w:pPr>
      <w:r w:rsidRPr="00DC2FAE">
        <w:rPr>
          <w:szCs w:val="24"/>
          <w:lang w:val="es-419"/>
        </w:rPr>
        <w:fldChar w:fldCharType="begin"/>
      </w:r>
      <w:r w:rsidRPr="00DC2FAE">
        <w:rPr>
          <w:szCs w:val="24"/>
          <w:lang w:val="es-419"/>
        </w:rPr>
        <w:instrText xml:space="preserve"> AUTONUM  </w:instrText>
      </w:r>
      <w:r w:rsidRPr="00DC2FAE">
        <w:rPr>
          <w:szCs w:val="24"/>
          <w:lang w:val="es-419"/>
        </w:rPr>
        <w:fldChar w:fldCharType="end"/>
      </w:r>
      <w:r w:rsidRPr="00DC2FAE">
        <w:rPr>
          <w:szCs w:val="24"/>
          <w:lang w:val="es-419"/>
        </w:rPr>
        <w:tab/>
        <w:t>En su quincuagésimo segundo período de sesiones (28º extraordinario), celebrado los 7 y </w:t>
      </w:r>
      <w:r w:rsidR="007712B8">
        <w:rPr>
          <w:szCs w:val="24"/>
          <w:lang w:val="es-419"/>
        </w:rPr>
        <w:t xml:space="preserve">8 de mayo de 2020 </w:t>
      </w:r>
      <w:r w:rsidRPr="00DC2FAE">
        <w:rPr>
          <w:szCs w:val="24"/>
          <w:lang w:val="es-419"/>
        </w:rPr>
        <w:t xml:space="preserve">en forma de procedimiento escrito, la Asamblea General de la OMPI </w:t>
      </w:r>
      <w:r w:rsidR="00A11828">
        <w:rPr>
          <w:szCs w:val="24"/>
          <w:lang w:val="es-419"/>
        </w:rPr>
        <w:t>nombró</w:t>
      </w:r>
      <w:r w:rsidRPr="00DC2FAE">
        <w:rPr>
          <w:szCs w:val="24"/>
          <w:lang w:val="es-419"/>
        </w:rPr>
        <w:t xml:space="preserve"> </w:t>
      </w:r>
      <w:r w:rsidR="007712B8" w:rsidRPr="00DC2FAE">
        <w:rPr>
          <w:szCs w:val="24"/>
          <w:lang w:val="es-419"/>
        </w:rPr>
        <w:t xml:space="preserve">Director General </w:t>
      </w:r>
      <w:r w:rsidR="007712B8">
        <w:rPr>
          <w:szCs w:val="24"/>
          <w:lang w:val="es-419"/>
        </w:rPr>
        <w:t>de la </w:t>
      </w:r>
      <w:r w:rsidRPr="00DC2FAE">
        <w:rPr>
          <w:szCs w:val="24"/>
          <w:lang w:val="es-419"/>
        </w:rPr>
        <w:t>OMPI al Sr. Daren Tang para el período comprendido entre el 1 de octubre de 2020 y el 30 de septiembre de 2026.</w:t>
      </w:r>
    </w:p>
    <w:p w:rsidR="00537D34" w:rsidRPr="00DC2FAE" w:rsidRDefault="00537D34" w:rsidP="00537D34">
      <w:pPr>
        <w:rPr>
          <w:szCs w:val="24"/>
          <w:u w:val="single"/>
          <w:lang w:val="es-419"/>
        </w:rPr>
      </w:pPr>
    </w:p>
    <w:p w:rsidR="00537D34" w:rsidRPr="00DC2FAE" w:rsidRDefault="00537D34" w:rsidP="00DC2FAE">
      <w:pPr>
        <w:tabs>
          <w:tab w:val="left" w:pos="0"/>
        </w:tabs>
        <w:rPr>
          <w:szCs w:val="24"/>
          <w:lang w:val="es-419"/>
        </w:rPr>
      </w:pPr>
      <w:r w:rsidRPr="00DC2FAE">
        <w:rPr>
          <w:szCs w:val="24"/>
          <w:lang w:val="es-419"/>
        </w:rPr>
        <w:fldChar w:fldCharType="begin"/>
      </w:r>
      <w:r w:rsidRPr="00DC2FAE">
        <w:rPr>
          <w:szCs w:val="24"/>
          <w:lang w:val="es-419"/>
        </w:rPr>
        <w:instrText xml:space="preserve"> AUTONUM  </w:instrText>
      </w:r>
      <w:r w:rsidRPr="00DC2FAE">
        <w:rPr>
          <w:szCs w:val="24"/>
          <w:lang w:val="es-419"/>
        </w:rPr>
        <w:fldChar w:fldCharType="end"/>
      </w:r>
      <w:r w:rsidRPr="00DC2FAE">
        <w:rPr>
          <w:szCs w:val="24"/>
          <w:lang w:val="es-419"/>
        </w:rPr>
        <w:tab/>
      </w:r>
      <w:r w:rsidRPr="00DC2FAE">
        <w:rPr>
          <w:spacing w:val="-2"/>
          <w:szCs w:val="24"/>
          <w:lang w:val="es-419"/>
        </w:rPr>
        <w:t>De conformidad con lo dispuesto en el artículo 4</w:t>
      </w:r>
      <w:r w:rsidR="007712B8">
        <w:rPr>
          <w:spacing w:val="-2"/>
          <w:szCs w:val="24"/>
          <w:lang w:val="es-419"/>
        </w:rPr>
        <w:t>.3) del Acuerdo OMPI/</w:t>
      </w:r>
      <w:r w:rsidRPr="00DC2FAE">
        <w:rPr>
          <w:rFonts w:cs="Arial"/>
          <w:spacing w:val="-2"/>
          <w:szCs w:val="24"/>
          <w:lang w:val="es-419"/>
        </w:rPr>
        <w:t>UPOV</w:t>
      </w:r>
      <w:r w:rsidRPr="00DC2FAE">
        <w:rPr>
          <w:spacing w:val="-2"/>
          <w:szCs w:val="24"/>
          <w:lang w:val="es-419"/>
        </w:rPr>
        <w:t xml:space="preserve">, el Sr. </w:t>
      </w:r>
      <w:proofErr w:type="spellStart"/>
      <w:r w:rsidRPr="00DC2FAE">
        <w:rPr>
          <w:spacing w:val="-2"/>
          <w:szCs w:val="24"/>
          <w:lang w:val="es-419"/>
        </w:rPr>
        <w:t>Tang</w:t>
      </w:r>
      <w:proofErr w:type="spellEnd"/>
      <w:r w:rsidRPr="00DC2FAE">
        <w:rPr>
          <w:spacing w:val="-2"/>
          <w:szCs w:val="24"/>
          <w:lang w:val="es-419"/>
        </w:rPr>
        <w:t xml:space="preserve"> será el </w:t>
      </w:r>
      <w:r w:rsidR="007712B8" w:rsidRPr="00DC2FAE">
        <w:rPr>
          <w:spacing w:val="-2"/>
          <w:szCs w:val="24"/>
          <w:lang w:val="es-419"/>
        </w:rPr>
        <w:t xml:space="preserve">Secretario General </w:t>
      </w:r>
      <w:r w:rsidRPr="00DC2FAE">
        <w:rPr>
          <w:spacing w:val="-2"/>
          <w:szCs w:val="24"/>
          <w:lang w:val="es-419"/>
        </w:rPr>
        <w:t>en funciones de la UPOV a partir del 1 de octubre de 2020.</w:t>
      </w:r>
    </w:p>
    <w:p w:rsidR="00537D34" w:rsidRPr="00DC2FAE" w:rsidRDefault="00537D34" w:rsidP="00537D34">
      <w:pPr>
        <w:rPr>
          <w:szCs w:val="24"/>
          <w:lang w:val="es-419"/>
        </w:rPr>
      </w:pPr>
    </w:p>
    <w:p w:rsidR="00537D34" w:rsidRPr="00DC2FAE" w:rsidRDefault="000B163D" w:rsidP="00DC2FAE">
      <w:pPr>
        <w:keepNext/>
        <w:rPr>
          <w:szCs w:val="24"/>
          <w:u w:val="single"/>
          <w:lang w:val="es-419"/>
        </w:rPr>
      </w:pPr>
      <w:r>
        <w:rPr>
          <w:szCs w:val="24"/>
          <w:u w:val="single"/>
          <w:lang w:val="es-419"/>
        </w:rPr>
        <w:lastRenderedPageBreak/>
        <w:t>Nombramiento</w:t>
      </w:r>
      <w:r w:rsidRPr="00DC2FAE">
        <w:rPr>
          <w:szCs w:val="24"/>
          <w:u w:val="single"/>
          <w:lang w:val="es-419"/>
        </w:rPr>
        <w:t xml:space="preserve"> </w:t>
      </w:r>
      <w:r w:rsidR="00537D34" w:rsidRPr="00DC2FAE">
        <w:rPr>
          <w:szCs w:val="24"/>
          <w:u w:val="single"/>
          <w:lang w:val="es-419"/>
        </w:rPr>
        <w:t xml:space="preserve">del </w:t>
      </w:r>
      <w:r w:rsidR="007712B8" w:rsidRPr="00DC2FAE">
        <w:rPr>
          <w:szCs w:val="24"/>
          <w:u w:val="single"/>
          <w:lang w:val="es-419"/>
        </w:rPr>
        <w:t xml:space="preserve">Secretario General </w:t>
      </w:r>
      <w:r w:rsidR="00537D34" w:rsidRPr="00DC2FAE">
        <w:rPr>
          <w:szCs w:val="24"/>
          <w:u w:val="single"/>
          <w:lang w:val="es-419"/>
        </w:rPr>
        <w:t>de la UPOV</w:t>
      </w:r>
    </w:p>
    <w:p w:rsidR="00537D34" w:rsidRPr="00DC2FAE" w:rsidRDefault="00537D34" w:rsidP="00DC2FAE">
      <w:pPr>
        <w:keepNext/>
        <w:rPr>
          <w:szCs w:val="24"/>
          <w:u w:val="single"/>
          <w:lang w:val="es-419"/>
        </w:rPr>
      </w:pPr>
    </w:p>
    <w:p w:rsidR="00537D34" w:rsidRPr="00DC2FAE" w:rsidRDefault="00537D34" w:rsidP="00DC2FAE">
      <w:pPr>
        <w:pStyle w:val="Closing"/>
        <w:keepNext/>
        <w:tabs>
          <w:tab w:val="left" w:pos="0"/>
        </w:tabs>
        <w:ind w:left="0"/>
        <w:jc w:val="both"/>
        <w:rPr>
          <w:lang w:val="es-419"/>
        </w:rPr>
      </w:pPr>
      <w:r w:rsidRPr="00DC2FAE">
        <w:rPr>
          <w:lang w:val="es-419"/>
        </w:rPr>
        <w:fldChar w:fldCharType="begin"/>
      </w:r>
      <w:r w:rsidRPr="00DC2FAE">
        <w:rPr>
          <w:lang w:val="es-419"/>
        </w:rPr>
        <w:instrText xml:space="preserve"> AUTONUM  </w:instrText>
      </w:r>
      <w:r w:rsidRPr="00DC2FAE">
        <w:rPr>
          <w:lang w:val="es-419"/>
        </w:rPr>
        <w:fldChar w:fldCharType="end"/>
      </w:r>
      <w:r w:rsidRPr="00DC2FAE">
        <w:rPr>
          <w:lang w:val="es-419"/>
        </w:rPr>
        <w:tab/>
        <w:t>Con arreglo a las disposiciones pertinentes del Convenio de la UPOV (artículo 26.5)iii) del Acta de 1991 y artículo 21.b) del A</w:t>
      </w:r>
      <w:r w:rsidR="007712B8">
        <w:rPr>
          <w:lang w:val="es-419"/>
        </w:rPr>
        <w:t>cta de 1978) y del Acuerdo OMPI/</w:t>
      </w:r>
      <w:r w:rsidRPr="00DC2FAE">
        <w:rPr>
          <w:lang w:val="es-419"/>
        </w:rPr>
        <w:t xml:space="preserve">UPOV (véanse los párrafos 1 y 2 del presente documento), se invita al Consejo a </w:t>
      </w:r>
      <w:r w:rsidR="000B163D">
        <w:rPr>
          <w:lang w:val="es-419"/>
        </w:rPr>
        <w:t>nombrar</w:t>
      </w:r>
      <w:r w:rsidR="000B163D" w:rsidRPr="00DC2FAE">
        <w:rPr>
          <w:lang w:val="es-419"/>
        </w:rPr>
        <w:t xml:space="preserve"> </w:t>
      </w:r>
      <w:r w:rsidRPr="00DC2FAE">
        <w:rPr>
          <w:lang w:val="es-419"/>
        </w:rPr>
        <w:t>al Sr. </w:t>
      </w:r>
      <w:proofErr w:type="spellStart"/>
      <w:r w:rsidR="00075500" w:rsidRPr="00DC2FAE">
        <w:rPr>
          <w:lang w:val="es-419"/>
        </w:rPr>
        <w:t>Tang</w:t>
      </w:r>
      <w:proofErr w:type="spellEnd"/>
      <w:r w:rsidRPr="00DC2FAE">
        <w:rPr>
          <w:lang w:val="es-419"/>
        </w:rPr>
        <w:t xml:space="preserve"> </w:t>
      </w:r>
      <w:r w:rsidR="007712B8" w:rsidRPr="00DC2FAE">
        <w:rPr>
          <w:lang w:val="es-419"/>
        </w:rPr>
        <w:t xml:space="preserve">Secretario General </w:t>
      </w:r>
      <w:r w:rsidRPr="00DC2FAE">
        <w:rPr>
          <w:lang w:val="es-419"/>
        </w:rPr>
        <w:t>de la UPOV para el período comprendido entre el </w:t>
      </w:r>
      <w:r w:rsidR="00075500" w:rsidRPr="00DC2FAE">
        <w:rPr>
          <w:lang w:val="es-419"/>
        </w:rPr>
        <w:t>30</w:t>
      </w:r>
      <w:r w:rsidRPr="00DC2FAE">
        <w:rPr>
          <w:lang w:val="es-419"/>
        </w:rPr>
        <w:t xml:space="preserve"> de octubre de 20</w:t>
      </w:r>
      <w:r w:rsidR="00075500" w:rsidRPr="00DC2FAE">
        <w:rPr>
          <w:lang w:val="es-419"/>
        </w:rPr>
        <w:t>20</w:t>
      </w:r>
      <w:r w:rsidRPr="00DC2FAE">
        <w:rPr>
          <w:lang w:val="es-419"/>
        </w:rPr>
        <w:t xml:space="preserve"> y el 30 de septiembre de 202</w:t>
      </w:r>
      <w:r w:rsidR="00075500" w:rsidRPr="00DC2FAE">
        <w:rPr>
          <w:lang w:val="es-419"/>
        </w:rPr>
        <w:t>6</w:t>
      </w:r>
      <w:r w:rsidRPr="00DC2FAE">
        <w:rPr>
          <w:lang w:val="es-419"/>
        </w:rPr>
        <w:t xml:space="preserve">. </w:t>
      </w:r>
      <w:r w:rsidR="00CC3223">
        <w:rPr>
          <w:lang w:val="es-419"/>
        </w:rPr>
        <w:t xml:space="preserve"> </w:t>
      </w:r>
      <w:bookmarkStart w:id="2" w:name="_GoBack"/>
      <w:bookmarkEnd w:id="2"/>
      <w:r w:rsidRPr="00DC2FAE">
        <w:rPr>
          <w:lang w:val="es-419"/>
        </w:rPr>
        <w:t>En el Anexo del presente documento figura el currículum vítae del Sr. </w:t>
      </w:r>
      <w:r w:rsidR="00075500" w:rsidRPr="00DC2FAE">
        <w:rPr>
          <w:lang w:val="es-419"/>
        </w:rPr>
        <w:t>Tang</w:t>
      </w:r>
      <w:r w:rsidRPr="00DC2FAE">
        <w:rPr>
          <w:lang w:val="es-419"/>
        </w:rPr>
        <w:t>.</w:t>
      </w:r>
    </w:p>
    <w:p w:rsidR="00537D34" w:rsidRPr="00DC2FAE" w:rsidRDefault="00537D34" w:rsidP="00537D34">
      <w:pPr>
        <w:pStyle w:val="Closing"/>
        <w:tabs>
          <w:tab w:val="left" w:pos="0"/>
        </w:tabs>
        <w:ind w:left="0"/>
        <w:jc w:val="both"/>
        <w:rPr>
          <w:lang w:val="es-419"/>
        </w:rPr>
      </w:pPr>
    </w:p>
    <w:p w:rsidR="00537D34" w:rsidRPr="00DC2FAE" w:rsidRDefault="00537D34" w:rsidP="00537D34">
      <w:pPr>
        <w:pStyle w:val="Closing"/>
        <w:tabs>
          <w:tab w:val="left" w:pos="0"/>
        </w:tabs>
        <w:ind w:left="0"/>
        <w:jc w:val="both"/>
        <w:rPr>
          <w:lang w:val="es-419"/>
        </w:rPr>
      </w:pPr>
      <w:r w:rsidRPr="00DC2FAE">
        <w:rPr>
          <w:lang w:val="es-419"/>
        </w:rPr>
        <w:fldChar w:fldCharType="begin"/>
      </w:r>
      <w:r w:rsidRPr="00DC2FAE">
        <w:rPr>
          <w:lang w:val="es-419"/>
        </w:rPr>
        <w:instrText xml:space="preserve"> AUTONUM  </w:instrText>
      </w:r>
      <w:r w:rsidRPr="00DC2FAE">
        <w:rPr>
          <w:lang w:val="es-419"/>
        </w:rPr>
        <w:fldChar w:fldCharType="end"/>
      </w:r>
      <w:r w:rsidRPr="00DC2FAE">
        <w:rPr>
          <w:lang w:val="es-419"/>
        </w:rPr>
        <w:tab/>
        <w:t>Por otra parte, en el artículo 4.5) del Ac</w:t>
      </w:r>
      <w:r w:rsidR="007712B8">
        <w:rPr>
          <w:lang w:val="es-419"/>
        </w:rPr>
        <w:t>uerdo OMPI/</w:t>
      </w:r>
      <w:r w:rsidRPr="00DC2FAE">
        <w:rPr>
          <w:lang w:val="es-419"/>
        </w:rPr>
        <w:t>UPOV se est</w:t>
      </w:r>
      <w:r w:rsidR="000925AA" w:rsidRPr="00DC2FAE">
        <w:rPr>
          <w:lang w:val="es-419"/>
        </w:rPr>
        <w:t xml:space="preserve">ipula que “la remuneración del </w:t>
      </w:r>
      <w:r w:rsidR="007712B8" w:rsidRPr="00DC2FAE">
        <w:rPr>
          <w:lang w:val="es-419"/>
        </w:rPr>
        <w:t xml:space="preserve">Secretario General </w:t>
      </w:r>
      <w:r w:rsidRPr="00DC2FAE">
        <w:rPr>
          <w:lang w:val="es-419"/>
        </w:rPr>
        <w:t>de la UPOV, pagadera por la UPOV, será determinada por el Consejo de la UPOV.”</w:t>
      </w:r>
    </w:p>
    <w:p w:rsidR="00537D34" w:rsidRPr="00DC2FAE" w:rsidRDefault="00537D34" w:rsidP="00537D34">
      <w:pPr>
        <w:pStyle w:val="Closing"/>
        <w:tabs>
          <w:tab w:val="left" w:pos="0"/>
        </w:tabs>
        <w:ind w:left="0"/>
        <w:jc w:val="both"/>
        <w:rPr>
          <w:lang w:val="es-419"/>
        </w:rPr>
      </w:pPr>
    </w:p>
    <w:p w:rsidR="00537D34" w:rsidRPr="00DC2FAE" w:rsidRDefault="00537D34" w:rsidP="00537D34">
      <w:pPr>
        <w:pStyle w:val="Closing"/>
        <w:tabs>
          <w:tab w:val="left" w:pos="0"/>
        </w:tabs>
        <w:ind w:left="0"/>
        <w:jc w:val="both"/>
        <w:rPr>
          <w:lang w:val="es-419"/>
        </w:rPr>
      </w:pPr>
      <w:r w:rsidRPr="00DC2FAE">
        <w:rPr>
          <w:lang w:val="es-419"/>
        </w:rPr>
        <w:fldChar w:fldCharType="begin"/>
      </w:r>
      <w:r w:rsidRPr="00DC2FAE">
        <w:rPr>
          <w:lang w:val="es-419"/>
        </w:rPr>
        <w:instrText xml:space="preserve"> AUTONUM  </w:instrText>
      </w:r>
      <w:r w:rsidRPr="00DC2FAE">
        <w:rPr>
          <w:lang w:val="es-419"/>
        </w:rPr>
        <w:fldChar w:fldCharType="end"/>
      </w:r>
      <w:r w:rsidRPr="00DC2FAE">
        <w:rPr>
          <w:lang w:val="es-419"/>
        </w:rPr>
        <w:tab/>
        <w:t xml:space="preserve">De conformidad con las decisiones del Consejo, la remuneración del </w:t>
      </w:r>
      <w:r w:rsidR="007712B8" w:rsidRPr="00DC2FAE">
        <w:rPr>
          <w:lang w:val="es-419"/>
        </w:rPr>
        <w:t xml:space="preserve">Secretario General </w:t>
      </w:r>
      <w:r w:rsidRPr="00DC2FAE">
        <w:rPr>
          <w:lang w:val="es-419"/>
        </w:rPr>
        <w:t xml:space="preserve">de la UPOV </w:t>
      </w:r>
      <w:r w:rsidR="007712B8">
        <w:rPr>
          <w:lang w:val="es-419"/>
        </w:rPr>
        <w:t>es</w:t>
      </w:r>
      <w:r w:rsidRPr="00DC2FAE">
        <w:rPr>
          <w:lang w:val="es-419"/>
        </w:rPr>
        <w:t xml:space="preserve"> equivalente al 20% del sueldo, incluido el importe correspondiente al ajuste por lugar de destino, que recibe en su ca</w:t>
      </w:r>
      <w:r w:rsidR="000925AA" w:rsidRPr="00DC2FAE">
        <w:rPr>
          <w:lang w:val="es-419"/>
        </w:rPr>
        <w:t xml:space="preserve">lidad de </w:t>
      </w:r>
      <w:r w:rsidR="007712B8" w:rsidRPr="00DC2FAE">
        <w:rPr>
          <w:lang w:val="es-419"/>
        </w:rPr>
        <w:t xml:space="preserve">Director General </w:t>
      </w:r>
      <w:r w:rsidRPr="00DC2FAE">
        <w:rPr>
          <w:lang w:val="es-419"/>
        </w:rPr>
        <w:t>de la OMPI.</w:t>
      </w:r>
    </w:p>
    <w:p w:rsidR="00537D34" w:rsidRPr="00DC2FAE" w:rsidRDefault="00537D34" w:rsidP="00537D34">
      <w:pPr>
        <w:pStyle w:val="Closing"/>
        <w:tabs>
          <w:tab w:val="left" w:pos="0"/>
        </w:tabs>
        <w:ind w:left="0"/>
        <w:jc w:val="both"/>
        <w:rPr>
          <w:lang w:val="es-419"/>
        </w:rPr>
      </w:pPr>
    </w:p>
    <w:p w:rsidR="00537D34" w:rsidRPr="00DC2FAE" w:rsidRDefault="00537D34" w:rsidP="00537D34">
      <w:pPr>
        <w:pStyle w:val="Closing"/>
        <w:tabs>
          <w:tab w:val="left" w:pos="0"/>
        </w:tabs>
        <w:ind w:left="0"/>
        <w:jc w:val="both"/>
        <w:rPr>
          <w:szCs w:val="24"/>
          <w:lang w:val="es-419"/>
        </w:rPr>
      </w:pPr>
      <w:r w:rsidRPr="00DC2FAE">
        <w:rPr>
          <w:szCs w:val="24"/>
          <w:lang w:val="es-419"/>
        </w:rPr>
        <w:fldChar w:fldCharType="begin"/>
      </w:r>
      <w:r w:rsidRPr="00DC2FAE">
        <w:rPr>
          <w:szCs w:val="24"/>
          <w:lang w:val="es-419"/>
        </w:rPr>
        <w:instrText xml:space="preserve"> AUTONUM  </w:instrText>
      </w:r>
      <w:r w:rsidRPr="00DC2FAE">
        <w:rPr>
          <w:szCs w:val="24"/>
          <w:lang w:val="es-419"/>
        </w:rPr>
        <w:fldChar w:fldCharType="end"/>
      </w:r>
      <w:r w:rsidRPr="00DC2FAE">
        <w:rPr>
          <w:szCs w:val="24"/>
          <w:lang w:val="es-419"/>
        </w:rPr>
        <w:tab/>
        <w:t>El Sr. </w:t>
      </w:r>
      <w:r w:rsidR="00075500" w:rsidRPr="00DC2FAE">
        <w:rPr>
          <w:szCs w:val="24"/>
          <w:lang w:val="es-419"/>
        </w:rPr>
        <w:t>Tang</w:t>
      </w:r>
      <w:r w:rsidRPr="00DC2FAE">
        <w:rPr>
          <w:szCs w:val="24"/>
          <w:lang w:val="es-419"/>
        </w:rPr>
        <w:t xml:space="preserve"> ha expresado el deseo de no recibir la remune</w:t>
      </w:r>
      <w:r w:rsidR="0094622E" w:rsidRPr="00DC2FAE">
        <w:rPr>
          <w:szCs w:val="24"/>
          <w:lang w:val="es-419"/>
        </w:rPr>
        <w:t xml:space="preserve">ración que le corresponde como </w:t>
      </w:r>
      <w:r w:rsidR="007712B8" w:rsidRPr="00DC2FAE">
        <w:rPr>
          <w:szCs w:val="24"/>
          <w:lang w:val="es-419"/>
        </w:rPr>
        <w:t>S</w:t>
      </w:r>
      <w:r w:rsidR="007712B8">
        <w:rPr>
          <w:szCs w:val="24"/>
          <w:lang w:val="es-419"/>
        </w:rPr>
        <w:t>ecretario </w:t>
      </w:r>
      <w:r w:rsidR="007712B8" w:rsidRPr="00DC2FAE">
        <w:rPr>
          <w:szCs w:val="24"/>
          <w:lang w:val="es-419"/>
        </w:rPr>
        <w:t xml:space="preserve">General </w:t>
      </w:r>
      <w:r w:rsidRPr="00DC2FAE">
        <w:rPr>
          <w:szCs w:val="24"/>
          <w:lang w:val="es-419"/>
        </w:rPr>
        <w:t>de la UPOV y de que se destine esa suma a</w:t>
      </w:r>
      <w:r w:rsidR="007712B8">
        <w:rPr>
          <w:szCs w:val="24"/>
          <w:lang w:val="es-419"/>
        </w:rPr>
        <w:t>l programa y</w:t>
      </w:r>
      <w:r w:rsidRPr="00DC2FAE">
        <w:rPr>
          <w:szCs w:val="24"/>
          <w:lang w:val="es-419"/>
        </w:rPr>
        <w:t xml:space="preserve"> </w:t>
      </w:r>
      <w:r w:rsidR="00075500" w:rsidRPr="00DC2FAE">
        <w:rPr>
          <w:szCs w:val="24"/>
          <w:lang w:val="es-419"/>
        </w:rPr>
        <w:t xml:space="preserve">presupuesto </w:t>
      </w:r>
      <w:r w:rsidRPr="00DC2FAE">
        <w:rPr>
          <w:szCs w:val="24"/>
          <w:lang w:val="es-419"/>
        </w:rPr>
        <w:t>de la UPOV con el fin de financiar actividades de especial interés para los países en desarrollo</w:t>
      </w:r>
      <w:r w:rsidRPr="00DC2FAE">
        <w:rPr>
          <w:lang w:val="es-419"/>
        </w:rPr>
        <w:t>.</w:t>
      </w:r>
    </w:p>
    <w:p w:rsidR="00537D34" w:rsidRPr="00DC2FAE" w:rsidRDefault="00537D34" w:rsidP="00537D34">
      <w:pPr>
        <w:rPr>
          <w:lang w:val="es-419"/>
        </w:rPr>
      </w:pPr>
    </w:p>
    <w:p w:rsidR="00537D34" w:rsidRPr="00DC2FAE" w:rsidRDefault="00537D34" w:rsidP="00537D34">
      <w:pPr>
        <w:ind w:left="4536"/>
        <w:rPr>
          <w:i/>
          <w:lang w:val="es-419"/>
        </w:rPr>
      </w:pPr>
      <w:r w:rsidRPr="00DC2FAE">
        <w:rPr>
          <w:lang w:val="es-419"/>
        </w:rPr>
        <w:fldChar w:fldCharType="begin"/>
      </w:r>
      <w:r w:rsidRPr="00DC2FAE">
        <w:rPr>
          <w:lang w:val="es-419"/>
        </w:rPr>
        <w:instrText xml:space="preserve"> AUTONUM  </w:instrText>
      </w:r>
      <w:r w:rsidRPr="00DC2FAE">
        <w:rPr>
          <w:lang w:val="es-419"/>
        </w:rPr>
        <w:fldChar w:fldCharType="end"/>
      </w:r>
      <w:r w:rsidRPr="00DC2FAE">
        <w:rPr>
          <w:lang w:val="es-419"/>
        </w:rPr>
        <w:tab/>
      </w:r>
      <w:r w:rsidRPr="00DC2FAE">
        <w:rPr>
          <w:i/>
          <w:lang w:val="es-419"/>
        </w:rPr>
        <w:t>Se invita al Consejo a nombrar al Sr. </w:t>
      </w:r>
      <w:r w:rsidR="00075500" w:rsidRPr="00DC2FAE">
        <w:rPr>
          <w:i/>
          <w:lang w:val="es-419"/>
        </w:rPr>
        <w:t xml:space="preserve">Daren </w:t>
      </w:r>
      <w:proofErr w:type="spellStart"/>
      <w:r w:rsidR="00075500" w:rsidRPr="00DC2FAE">
        <w:rPr>
          <w:i/>
          <w:lang w:val="es-419"/>
        </w:rPr>
        <w:t>Tang</w:t>
      </w:r>
      <w:proofErr w:type="spellEnd"/>
      <w:r w:rsidR="00075500" w:rsidRPr="00DC2FAE">
        <w:rPr>
          <w:i/>
          <w:lang w:val="es-419"/>
        </w:rPr>
        <w:t xml:space="preserve"> </w:t>
      </w:r>
      <w:r w:rsidR="007712B8" w:rsidRPr="00DC2FAE">
        <w:rPr>
          <w:i/>
          <w:lang w:val="es-419"/>
        </w:rPr>
        <w:t xml:space="preserve">Secretario General </w:t>
      </w:r>
      <w:r w:rsidRPr="00DC2FAE">
        <w:rPr>
          <w:i/>
          <w:lang w:val="es-419"/>
        </w:rPr>
        <w:t xml:space="preserve">de la UPOV para </w:t>
      </w:r>
      <w:r w:rsidR="007712B8">
        <w:rPr>
          <w:i/>
          <w:lang w:val="es-419"/>
        </w:rPr>
        <w:t xml:space="preserve">el período comprendido entre el </w:t>
      </w:r>
      <w:r w:rsidR="00075500" w:rsidRPr="00DC2FAE">
        <w:rPr>
          <w:i/>
          <w:lang w:val="es-419"/>
        </w:rPr>
        <w:t>30</w:t>
      </w:r>
      <w:r w:rsidRPr="00DC2FAE">
        <w:rPr>
          <w:i/>
          <w:lang w:val="es-419"/>
        </w:rPr>
        <w:t xml:space="preserve"> de octubre de 20</w:t>
      </w:r>
      <w:r w:rsidR="00075500" w:rsidRPr="00DC2FAE">
        <w:rPr>
          <w:i/>
          <w:lang w:val="es-419"/>
        </w:rPr>
        <w:t>20</w:t>
      </w:r>
      <w:r w:rsidR="007712B8">
        <w:rPr>
          <w:i/>
          <w:lang w:val="es-419"/>
        </w:rPr>
        <w:t xml:space="preserve"> y el</w:t>
      </w:r>
      <w:r w:rsidR="007712B8">
        <w:rPr>
          <w:i/>
          <w:lang w:val="es-419"/>
        </w:rPr>
        <w:br/>
      </w:r>
      <w:r w:rsidRPr="00DC2FAE">
        <w:rPr>
          <w:i/>
          <w:lang w:val="es-419"/>
        </w:rPr>
        <w:t>30 de septiembre de 202</w:t>
      </w:r>
      <w:r w:rsidR="00075500" w:rsidRPr="00DC2FAE">
        <w:rPr>
          <w:i/>
          <w:lang w:val="es-419"/>
        </w:rPr>
        <w:t>6</w:t>
      </w:r>
      <w:r w:rsidRPr="00DC2FAE">
        <w:rPr>
          <w:i/>
          <w:lang w:val="es-419"/>
        </w:rPr>
        <w:t>.</w:t>
      </w:r>
    </w:p>
    <w:p w:rsidR="00537D34" w:rsidRPr="00DC2FAE" w:rsidRDefault="00537D34" w:rsidP="00537D34">
      <w:pPr>
        <w:rPr>
          <w:lang w:val="es-419"/>
        </w:rPr>
      </w:pPr>
    </w:p>
    <w:p w:rsidR="00537D34" w:rsidRPr="00DC2FAE" w:rsidRDefault="00537D34" w:rsidP="00537D34">
      <w:pPr>
        <w:rPr>
          <w:lang w:val="es-419"/>
        </w:rPr>
      </w:pPr>
    </w:p>
    <w:p w:rsidR="00537D34" w:rsidRPr="00DC2FAE" w:rsidRDefault="00537D34" w:rsidP="00537D34">
      <w:pPr>
        <w:rPr>
          <w:lang w:val="es-419"/>
        </w:rPr>
      </w:pPr>
    </w:p>
    <w:p w:rsidR="00215F2E" w:rsidRPr="00DC2FAE" w:rsidRDefault="00537D34" w:rsidP="00537D34">
      <w:pPr>
        <w:jc w:val="right"/>
        <w:rPr>
          <w:lang w:val="es-419"/>
        </w:rPr>
      </w:pPr>
      <w:r w:rsidRPr="00DC2FAE">
        <w:rPr>
          <w:lang w:val="es-419"/>
        </w:rPr>
        <w:t>[Sigue el Anexo]</w:t>
      </w:r>
    </w:p>
    <w:p w:rsidR="00544581" w:rsidRPr="00DC2FAE" w:rsidRDefault="00544581">
      <w:pPr>
        <w:jc w:val="left"/>
        <w:rPr>
          <w:lang w:val="es-419"/>
        </w:rPr>
      </w:pPr>
    </w:p>
    <w:p w:rsidR="00050E16" w:rsidRPr="00DC2FAE" w:rsidRDefault="00050E16" w:rsidP="00050E16">
      <w:pPr>
        <w:rPr>
          <w:lang w:val="es-419"/>
        </w:rPr>
      </w:pPr>
    </w:p>
    <w:p w:rsidR="00215AEF" w:rsidRPr="00DC2FAE" w:rsidRDefault="00215AEF" w:rsidP="009B440E">
      <w:pPr>
        <w:jc w:val="left"/>
        <w:rPr>
          <w:lang w:val="es-419"/>
        </w:rPr>
        <w:sectPr w:rsidR="00215AEF" w:rsidRPr="00DC2FAE" w:rsidSect="00906DDC">
          <w:headerReference w:type="default" r:id="rId8"/>
          <w:pgSz w:w="11907" w:h="16840" w:code="9"/>
          <w:pgMar w:top="510" w:right="1134" w:bottom="1134" w:left="1134" w:header="510" w:footer="680" w:gutter="0"/>
          <w:cols w:space="720"/>
          <w:titlePg/>
        </w:sectPr>
      </w:pPr>
    </w:p>
    <w:p w:rsidR="007F400C" w:rsidRPr="00DC2FAE" w:rsidRDefault="007F400C" w:rsidP="007F400C">
      <w:pPr>
        <w:widowControl w:val="0"/>
        <w:autoSpaceDE w:val="0"/>
        <w:autoSpaceDN w:val="0"/>
        <w:jc w:val="center"/>
        <w:rPr>
          <w:szCs w:val="22"/>
          <w:lang w:val="es-419"/>
        </w:rPr>
      </w:pPr>
      <w:r w:rsidRPr="00DC2FAE">
        <w:rPr>
          <w:szCs w:val="22"/>
          <w:lang w:val="es-419"/>
        </w:rPr>
        <w:lastRenderedPageBreak/>
        <w:t>Currículum del Sr. Daren Tang</w:t>
      </w:r>
    </w:p>
    <w:p w:rsidR="007F400C" w:rsidRPr="00DC2FAE" w:rsidRDefault="007F400C" w:rsidP="007F400C">
      <w:pPr>
        <w:widowControl w:val="0"/>
        <w:autoSpaceDE w:val="0"/>
        <w:autoSpaceDN w:val="0"/>
        <w:spacing w:after="360"/>
        <w:jc w:val="center"/>
        <w:rPr>
          <w:szCs w:val="22"/>
          <w:lang w:val="es-419"/>
        </w:rPr>
      </w:pPr>
      <w:r w:rsidRPr="00DC2FAE">
        <w:rPr>
          <w:noProof/>
          <w:szCs w:val="22"/>
        </w:rPr>
        <w:drawing>
          <wp:anchor distT="0" distB="0" distL="114300" distR="114300" simplePos="0" relativeHeight="251659264" behindDoc="0" locked="0" layoutInCell="1" allowOverlap="1" wp14:anchorId="42AC7221" wp14:editId="6CA34170">
            <wp:simplePos x="0" y="0"/>
            <wp:positionH relativeFrom="column">
              <wp:posOffset>4433570</wp:posOffset>
            </wp:positionH>
            <wp:positionV relativeFrom="paragraph">
              <wp:posOffset>386080</wp:posOffset>
            </wp:positionV>
            <wp:extent cx="1463040" cy="1957070"/>
            <wp:effectExtent l="0" t="0" r="3810" b="5080"/>
            <wp:wrapSquare wrapText="bothSides"/>
            <wp:docPr id="1" name="Picture 1" descr="Foto del Sr. Daren 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957070"/>
                    </a:xfrm>
                    <a:prstGeom prst="rect">
                      <a:avLst/>
                    </a:prstGeom>
                    <a:noFill/>
                  </pic:spPr>
                </pic:pic>
              </a:graphicData>
            </a:graphic>
            <wp14:sizeRelH relativeFrom="page">
              <wp14:pctWidth>0</wp14:pctWidth>
            </wp14:sizeRelH>
            <wp14:sizeRelV relativeFrom="page">
              <wp14:pctHeight>0</wp14:pctHeight>
            </wp14:sizeRelV>
          </wp:anchor>
        </w:drawing>
      </w:r>
      <w:r w:rsidRPr="00DC2FAE">
        <w:rPr>
          <w:szCs w:val="22"/>
          <w:lang w:val="es-419"/>
        </w:rPr>
        <w:t>(Director ejecutivo, Oficina de Propiedad Intelectual de Singapur)</w:t>
      </w:r>
    </w:p>
    <w:p w:rsidR="007F400C" w:rsidRPr="00DC2FAE" w:rsidRDefault="007F400C" w:rsidP="007F400C">
      <w:pPr>
        <w:widowControl w:val="0"/>
        <w:autoSpaceDE w:val="0"/>
        <w:autoSpaceDN w:val="0"/>
        <w:spacing w:after="240"/>
        <w:rPr>
          <w:szCs w:val="22"/>
          <w:lang w:val="es-419"/>
        </w:rPr>
      </w:pPr>
      <w:r w:rsidRPr="00DC2FAE">
        <w:rPr>
          <w:szCs w:val="22"/>
          <w:lang w:val="es-419"/>
        </w:rPr>
        <w:t>Año de nacimiento: 1972</w:t>
      </w:r>
    </w:p>
    <w:p w:rsidR="007F400C" w:rsidRPr="00DC2FAE" w:rsidRDefault="007F400C" w:rsidP="007F400C">
      <w:pPr>
        <w:widowControl w:val="0"/>
        <w:autoSpaceDE w:val="0"/>
        <w:autoSpaceDN w:val="0"/>
        <w:spacing w:after="240"/>
        <w:rPr>
          <w:szCs w:val="22"/>
          <w:lang w:val="es-419"/>
        </w:rPr>
      </w:pPr>
      <w:r w:rsidRPr="00DC2FAE">
        <w:rPr>
          <w:szCs w:val="22"/>
          <w:lang w:val="es-419"/>
        </w:rPr>
        <w:t>Nacionalidad: singapurense</w:t>
      </w:r>
    </w:p>
    <w:p w:rsidR="007F400C" w:rsidRPr="00DC2FAE" w:rsidRDefault="007F400C" w:rsidP="007F400C">
      <w:pPr>
        <w:spacing w:after="240"/>
        <w:rPr>
          <w:b/>
          <w:lang w:val="es-419"/>
        </w:rPr>
      </w:pPr>
      <w:r w:rsidRPr="00DC2FAE">
        <w:rPr>
          <w:b/>
          <w:lang w:val="es-419"/>
        </w:rPr>
        <w:t>FORMACIÓN ACADÉMICA</w:t>
      </w:r>
    </w:p>
    <w:p w:rsidR="007F400C" w:rsidRPr="00DC2FAE" w:rsidRDefault="007F400C" w:rsidP="007F400C">
      <w:pPr>
        <w:tabs>
          <w:tab w:val="left" w:pos="1418"/>
        </w:tabs>
        <w:rPr>
          <w:b/>
          <w:lang w:val="es-419"/>
        </w:rPr>
      </w:pPr>
      <w:r w:rsidRPr="00DC2FAE">
        <w:rPr>
          <w:b/>
          <w:lang w:val="es-419"/>
        </w:rPr>
        <w:t>2013</w:t>
      </w:r>
      <w:r w:rsidRPr="00DC2FAE">
        <w:rPr>
          <w:b/>
          <w:lang w:val="es-419"/>
        </w:rPr>
        <w:tab/>
        <w:t>Programa de gestión avanzada</w:t>
      </w:r>
    </w:p>
    <w:p w:rsidR="007F400C" w:rsidRPr="00DC2FAE" w:rsidRDefault="007F400C" w:rsidP="007F400C">
      <w:pPr>
        <w:tabs>
          <w:tab w:val="left" w:pos="1418"/>
        </w:tabs>
        <w:spacing w:after="240"/>
        <w:rPr>
          <w:lang w:val="es-419"/>
        </w:rPr>
      </w:pPr>
      <w:r w:rsidRPr="00DC2FAE">
        <w:rPr>
          <w:i/>
          <w:lang w:val="es-419"/>
        </w:rPr>
        <w:tab/>
        <w:t>Harvard Business School</w:t>
      </w:r>
      <w:r w:rsidRPr="00DC2FAE">
        <w:rPr>
          <w:lang w:val="es-419"/>
        </w:rPr>
        <w:t>, EE.UU.</w:t>
      </w:r>
    </w:p>
    <w:p w:rsidR="007F400C" w:rsidRPr="00DC2FAE" w:rsidRDefault="007F400C" w:rsidP="007F400C">
      <w:pPr>
        <w:tabs>
          <w:tab w:val="left" w:pos="1418"/>
        </w:tabs>
        <w:rPr>
          <w:lang w:val="es-419"/>
        </w:rPr>
      </w:pPr>
      <w:r w:rsidRPr="00DC2FAE">
        <w:rPr>
          <w:b/>
          <w:lang w:val="es-419"/>
        </w:rPr>
        <w:t>2006</w:t>
      </w:r>
      <w:r w:rsidRPr="00DC2FAE">
        <w:rPr>
          <w:b/>
          <w:lang w:val="es-419"/>
        </w:rPr>
        <w:tab/>
        <w:t>Maestría en Derecho (LL.M), sobresaliente</w:t>
      </w:r>
    </w:p>
    <w:p w:rsidR="007F400C" w:rsidRPr="000C7A87" w:rsidRDefault="007F400C" w:rsidP="007F400C">
      <w:pPr>
        <w:tabs>
          <w:tab w:val="left" w:pos="1418"/>
        </w:tabs>
      </w:pPr>
      <w:r w:rsidRPr="00DC2FAE">
        <w:rPr>
          <w:lang w:val="es-419"/>
        </w:rPr>
        <w:tab/>
      </w:r>
      <w:r w:rsidRPr="000C7A87">
        <w:rPr>
          <w:i/>
        </w:rPr>
        <w:t>Georgetown University Law Centre</w:t>
      </w:r>
      <w:r w:rsidRPr="000C7A87">
        <w:t>, EE.UU.</w:t>
      </w:r>
    </w:p>
    <w:p w:rsidR="007F400C" w:rsidRPr="00DC2FAE" w:rsidRDefault="007F400C" w:rsidP="007F400C">
      <w:pPr>
        <w:tabs>
          <w:tab w:val="left" w:pos="1418"/>
        </w:tabs>
        <w:spacing w:after="240"/>
        <w:rPr>
          <w:i/>
          <w:lang w:val="es-419"/>
        </w:rPr>
      </w:pPr>
      <w:r w:rsidRPr="000C7A87">
        <w:tab/>
      </w:r>
      <w:r w:rsidRPr="00DC2FAE">
        <w:rPr>
          <w:lang w:val="es-419"/>
        </w:rPr>
        <w:t xml:space="preserve">Miembro del </w:t>
      </w:r>
      <w:proofErr w:type="spellStart"/>
      <w:r w:rsidRPr="00DC2FAE">
        <w:rPr>
          <w:i/>
          <w:lang w:val="es-419"/>
        </w:rPr>
        <w:t>Institute</w:t>
      </w:r>
      <w:proofErr w:type="spellEnd"/>
      <w:r w:rsidRPr="00DC2FAE">
        <w:rPr>
          <w:i/>
          <w:lang w:val="es-419"/>
        </w:rPr>
        <w:t xml:space="preserve"> of International </w:t>
      </w:r>
      <w:proofErr w:type="spellStart"/>
      <w:r w:rsidRPr="00DC2FAE">
        <w:rPr>
          <w:i/>
          <w:lang w:val="es-419"/>
        </w:rPr>
        <w:t>Economic</w:t>
      </w:r>
      <w:proofErr w:type="spellEnd"/>
      <w:r w:rsidRPr="00DC2FAE">
        <w:rPr>
          <w:i/>
          <w:lang w:val="es-419"/>
        </w:rPr>
        <w:t xml:space="preserve"> Law</w:t>
      </w:r>
    </w:p>
    <w:p w:rsidR="007F400C" w:rsidRPr="00DC2FAE" w:rsidRDefault="007F400C" w:rsidP="007F400C">
      <w:pPr>
        <w:tabs>
          <w:tab w:val="left" w:pos="1418"/>
        </w:tabs>
        <w:rPr>
          <w:lang w:val="es-419"/>
        </w:rPr>
      </w:pPr>
      <w:r w:rsidRPr="00DC2FAE">
        <w:rPr>
          <w:b/>
          <w:lang w:val="es-419"/>
        </w:rPr>
        <w:t>1997</w:t>
      </w:r>
      <w:r w:rsidRPr="00DC2FAE">
        <w:rPr>
          <w:b/>
          <w:lang w:val="es-419"/>
        </w:rPr>
        <w:tab/>
        <w:t>Licenciatura en Derecho (LL.B), con honores</w:t>
      </w:r>
    </w:p>
    <w:p w:rsidR="007F400C" w:rsidRPr="000C7A87" w:rsidRDefault="007F400C" w:rsidP="007F400C">
      <w:pPr>
        <w:tabs>
          <w:tab w:val="left" w:pos="1418"/>
        </w:tabs>
        <w:spacing w:after="480"/>
        <w:rPr>
          <w:i/>
        </w:rPr>
      </w:pPr>
      <w:r w:rsidRPr="00DC2FAE">
        <w:rPr>
          <w:i/>
          <w:lang w:val="es-419"/>
        </w:rPr>
        <w:tab/>
      </w:r>
      <w:r w:rsidRPr="000C7A87">
        <w:rPr>
          <w:i/>
        </w:rPr>
        <w:t>National University of Singapore</w:t>
      </w:r>
    </w:p>
    <w:p w:rsidR="007F400C" w:rsidRPr="000C7A87" w:rsidRDefault="007F400C" w:rsidP="007F400C">
      <w:pPr>
        <w:spacing w:before="240" w:after="240"/>
        <w:rPr>
          <w:b/>
        </w:rPr>
      </w:pPr>
      <w:r w:rsidRPr="000C7A87">
        <w:rPr>
          <w:b/>
        </w:rPr>
        <w:t>EXPERIENCIA PROFESIONAL</w:t>
      </w:r>
    </w:p>
    <w:p w:rsidR="007F400C" w:rsidRPr="00DC2FAE" w:rsidRDefault="007F400C" w:rsidP="007F400C">
      <w:pPr>
        <w:tabs>
          <w:tab w:val="left" w:pos="1985"/>
        </w:tabs>
        <w:rPr>
          <w:b/>
          <w:lang w:val="es-419"/>
        </w:rPr>
      </w:pPr>
      <w:r w:rsidRPr="00DC2FAE">
        <w:rPr>
          <w:b/>
          <w:lang w:val="es-419"/>
        </w:rPr>
        <w:t xml:space="preserve">Desde 2015 </w:t>
      </w:r>
      <w:r w:rsidRPr="00DC2FAE">
        <w:rPr>
          <w:b/>
          <w:lang w:val="es-419"/>
        </w:rPr>
        <w:tab/>
        <w:t>Director ejecutivo</w:t>
      </w:r>
    </w:p>
    <w:p w:rsidR="007F400C" w:rsidRPr="00DC2FAE" w:rsidRDefault="007F400C" w:rsidP="007F400C">
      <w:pPr>
        <w:spacing w:after="240"/>
        <w:ind w:left="1985" w:hanging="1985"/>
        <w:rPr>
          <w:lang w:val="es-419"/>
        </w:rPr>
      </w:pPr>
      <w:r w:rsidRPr="00DC2FAE">
        <w:rPr>
          <w:b/>
          <w:lang w:val="es-419"/>
        </w:rPr>
        <w:t>hasta el presente</w:t>
      </w:r>
      <w:r w:rsidRPr="00DC2FAE">
        <w:rPr>
          <w:lang w:val="es-419"/>
        </w:rPr>
        <w:tab/>
        <w:t>Oficina de Propiedad Intelectual de Singapur (IPOS), Ministerio de Justicia, Singapur</w:t>
      </w:r>
    </w:p>
    <w:p w:rsidR="007F400C" w:rsidRPr="00DC2FAE" w:rsidRDefault="007F400C" w:rsidP="00767F03">
      <w:pPr>
        <w:spacing w:after="240" w:line="360" w:lineRule="auto"/>
        <w:ind w:left="1985"/>
        <w:rPr>
          <w:lang w:val="es-419"/>
        </w:rPr>
      </w:pPr>
      <w:r w:rsidRPr="00DC2FAE">
        <w:rPr>
          <w:lang w:val="es-419"/>
        </w:rPr>
        <w:t>Dirigió la transformación estratégica de la IPOS, que pasó de ser una entidad de registro y reglamentación de la propiedad intelectual (PI) a ser un organismo de fomento de la innovación que contribuye a plasmar la economía del futuro en Singapur.</w:t>
      </w:r>
    </w:p>
    <w:p w:rsidR="007F400C" w:rsidRPr="00170F11" w:rsidRDefault="007F400C" w:rsidP="00767F03">
      <w:pPr>
        <w:pStyle w:val="ListParagraph"/>
        <w:numPr>
          <w:ilvl w:val="0"/>
          <w:numId w:val="3"/>
        </w:numPr>
        <w:spacing w:after="240" w:line="360" w:lineRule="auto"/>
        <w:ind w:left="2552" w:hanging="567"/>
        <w:contextualSpacing w:val="0"/>
        <w:jc w:val="both"/>
        <w:rPr>
          <w:rFonts w:eastAsia="Times New Roman"/>
          <w:sz w:val="20"/>
          <w:lang w:val="es-419" w:eastAsia="en-US"/>
        </w:rPr>
      </w:pPr>
      <w:r w:rsidRPr="00170F11">
        <w:rPr>
          <w:rFonts w:eastAsia="Times New Roman"/>
          <w:sz w:val="20"/>
          <w:lang w:val="es-419" w:eastAsia="en-US"/>
        </w:rPr>
        <w:t>Lanzó una serie de productos de PI que constituyeron primicias mundiales, por ejemplo, una aplicación móvil para la solicitud de registro de marcas y un marco de competencias y empleo de alcance nacional. Dio inicio y supervisó la colaboración con una universidad local para crear uno de los pocos programas de posgrado en gestión de la PI y la innovación que existen en el mundo.</w:t>
      </w:r>
    </w:p>
    <w:p w:rsidR="007F400C" w:rsidRPr="00170F11" w:rsidRDefault="007F400C" w:rsidP="00767F03">
      <w:pPr>
        <w:pStyle w:val="ListParagraph"/>
        <w:numPr>
          <w:ilvl w:val="0"/>
          <w:numId w:val="3"/>
        </w:numPr>
        <w:spacing w:after="240" w:line="360" w:lineRule="auto"/>
        <w:ind w:left="2552" w:hanging="567"/>
        <w:contextualSpacing w:val="0"/>
        <w:jc w:val="both"/>
        <w:rPr>
          <w:rFonts w:eastAsia="Times New Roman"/>
          <w:sz w:val="20"/>
          <w:lang w:val="es-419" w:eastAsia="en-US"/>
        </w:rPr>
      </w:pPr>
      <w:r w:rsidRPr="00170F11">
        <w:rPr>
          <w:rFonts w:eastAsia="Times New Roman"/>
          <w:sz w:val="20"/>
          <w:lang w:val="es-419" w:eastAsia="en-US"/>
        </w:rPr>
        <w:t>Estableció reformas legislativas en relación con el régimen de litigios de PI en el ámbito civil, con el fin de hacerlo más accesible a las pymes y reforzar la mediación en el ámbito de la PI.</w:t>
      </w:r>
    </w:p>
    <w:p w:rsidR="007F400C" w:rsidRPr="00170F11" w:rsidRDefault="007F400C" w:rsidP="00767F03">
      <w:pPr>
        <w:pStyle w:val="ListParagraph"/>
        <w:numPr>
          <w:ilvl w:val="0"/>
          <w:numId w:val="3"/>
        </w:numPr>
        <w:spacing w:after="240" w:line="360" w:lineRule="auto"/>
        <w:ind w:left="2552" w:hanging="567"/>
        <w:contextualSpacing w:val="0"/>
        <w:jc w:val="both"/>
        <w:rPr>
          <w:rFonts w:eastAsia="Times New Roman"/>
          <w:sz w:val="20"/>
          <w:lang w:val="es-419" w:eastAsia="en-US"/>
        </w:rPr>
      </w:pPr>
      <w:r w:rsidRPr="00170F11">
        <w:rPr>
          <w:rFonts w:eastAsia="Times New Roman"/>
          <w:sz w:val="20"/>
          <w:lang w:val="es-419" w:eastAsia="en-US"/>
        </w:rPr>
        <w:t>Desarrolló nuevas capacidades en la IPOS, que abarcan la estrategia de PI y el análisis de patentes, al igual que la puesta en el mercado la primera aplicación móvil para el registro de marcas del mundo.</w:t>
      </w:r>
    </w:p>
    <w:p w:rsidR="007F400C" w:rsidRPr="00170F11" w:rsidRDefault="007F400C" w:rsidP="00767F03">
      <w:pPr>
        <w:pStyle w:val="ListParagraph"/>
        <w:numPr>
          <w:ilvl w:val="0"/>
          <w:numId w:val="3"/>
        </w:numPr>
        <w:spacing w:after="240" w:line="360" w:lineRule="auto"/>
        <w:ind w:left="2552" w:hanging="567"/>
        <w:contextualSpacing w:val="0"/>
        <w:jc w:val="both"/>
        <w:rPr>
          <w:rFonts w:eastAsia="Times New Roman"/>
          <w:sz w:val="20"/>
          <w:lang w:val="es-419" w:eastAsia="en-US"/>
        </w:rPr>
      </w:pPr>
      <w:r w:rsidRPr="00170F11">
        <w:rPr>
          <w:rFonts w:eastAsia="Times New Roman"/>
          <w:sz w:val="20"/>
          <w:lang w:val="es-419" w:eastAsia="en-US"/>
        </w:rPr>
        <w:t>Respaldó el uso de la PI por las empresas en pos de su crecimiento, mediante la formación de 5000 personas en 2018, la contratación de 800 empresas entre 2017 y 2018 y la colaboración con el sector privado para proporcionar seguros de PI a las empresas.</w:t>
      </w:r>
    </w:p>
    <w:p w:rsidR="007F400C" w:rsidRPr="00DC2FAE" w:rsidRDefault="007F400C" w:rsidP="00767F03">
      <w:pPr>
        <w:spacing w:after="240" w:line="360" w:lineRule="auto"/>
        <w:ind w:left="1985"/>
        <w:rPr>
          <w:lang w:val="es-419"/>
        </w:rPr>
      </w:pPr>
      <w:r w:rsidRPr="00DC2FAE">
        <w:rPr>
          <w:lang w:val="es-419"/>
        </w:rPr>
        <w:t xml:space="preserve">Gracias a esos esfuerzos, la IPOS ha sido reconocida como la Oficina de PI más innovadora de Asia, situándose en el segundo puesto de la </w:t>
      </w:r>
      <w:r w:rsidRPr="00DC2FAE">
        <w:rPr>
          <w:i/>
          <w:lang w:val="es-419"/>
        </w:rPr>
        <w:t>World Trademark Review</w:t>
      </w:r>
      <w:r w:rsidRPr="00DC2FAE">
        <w:rPr>
          <w:lang w:val="es-419"/>
        </w:rPr>
        <w:t xml:space="preserve"> </w:t>
      </w:r>
      <w:r w:rsidRPr="00DC2FAE">
        <w:rPr>
          <w:lang w:val="es-419"/>
        </w:rPr>
        <w:lastRenderedPageBreak/>
        <w:t>en 2019. Por otra parte, Singapur ocupó el segundo puesto mundial en cuanto a la protección de la PI conforme al Foro Económico Mundial</w:t>
      </w:r>
      <w:r w:rsidR="00DC2FAE">
        <w:rPr>
          <w:lang w:val="es-419"/>
        </w:rPr>
        <w:t xml:space="preserve"> (2018/2019) y figura entre los </w:t>
      </w:r>
      <w:r w:rsidRPr="00DC2FAE">
        <w:rPr>
          <w:lang w:val="es-419"/>
        </w:rPr>
        <w:t>10 principales países en el Índice Mundial de Innovación, de la OMPI (2015 a 2019).</w:t>
      </w:r>
    </w:p>
    <w:p w:rsidR="007F400C" w:rsidRPr="00DC2FAE" w:rsidRDefault="007F400C" w:rsidP="00767F03">
      <w:pPr>
        <w:spacing w:after="240" w:line="360" w:lineRule="auto"/>
        <w:ind w:left="1985"/>
        <w:rPr>
          <w:lang w:val="es-419"/>
        </w:rPr>
      </w:pPr>
      <w:r w:rsidRPr="00DC2FAE">
        <w:rPr>
          <w:lang w:val="es-419"/>
        </w:rPr>
        <w:t>El Sr. Tang es miembro de la Comisión para el Futuro de la Economía, encargada de examinar las estrategias económicas de Singapur. En 2017, actualizó el Plan rector del Centro de PI con el fin de ampliar el mandato de la IPOS para incluir la comercialización de la PI. Celebró acuerdos con asociados regionales e internacionales que abarcan más de 70 mercados.</w:t>
      </w:r>
    </w:p>
    <w:p w:rsidR="007F400C" w:rsidRPr="00DC2FAE" w:rsidRDefault="007F400C" w:rsidP="00767F03">
      <w:pPr>
        <w:tabs>
          <w:tab w:val="left" w:pos="1985"/>
        </w:tabs>
        <w:rPr>
          <w:b/>
          <w:lang w:val="es-419"/>
        </w:rPr>
      </w:pPr>
      <w:r w:rsidRPr="00DC2FAE">
        <w:rPr>
          <w:b/>
          <w:lang w:val="es-419"/>
        </w:rPr>
        <w:t>2012 – 2015</w:t>
      </w:r>
      <w:r w:rsidRPr="00DC2FAE">
        <w:rPr>
          <w:b/>
          <w:lang w:val="es-419"/>
        </w:rPr>
        <w:tab/>
        <w:t>Director ejecutivo adjunto y consejero jurídico jefe</w:t>
      </w:r>
    </w:p>
    <w:p w:rsidR="007F400C" w:rsidRPr="00DC2FAE" w:rsidRDefault="007F400C" w:rsidP="00767F03">
      <w:pPr>
        <w:tabs>
          <w:tab w:val="left" w:pos="1985"/>
        </w:tabs>
        <w:ind w:left="1985"/>
        <w:rPr>
          <w:lang w:val="es-419"/>
        </w:rPr>
      </w:pPr>
      <w:r w:rsidRPr="00DC2FAE">
        <w:rPr>
          <w:lang w:val="es-419"/>
        </w:rPr>
        <w:t xml:space="preserve">Oficina de Propiedad Intelectual de Singapur, </w:t>
      </w:r>
    </w:p>
    <w:p w:rsidR="007F400C" w:rsidRPr="00DC2FAE" w:rsidRDefault="007F400C" w:rsidP="00767F03">
      <w:pPr>
        <w:tabs>
          <w:tab w:val="left" w:pos="1985"/>
        </w:tabs>
        <w:spacing w:after="240" w:line="360" w:lineRule="auto"/>
        <w:ind w:left="1985"/>
        <w:rPr>
          <w:lang w:val="es-419"/>
        </w:rPr>
      </w:pPr>
      <w:r w:rsidRPr="00DC2FAE">
        <w:rPr>
          <w:lang w:val="es-419"/>
        </w:rPr>
        <w:t>Ministerio de Justicia, Singapur</w:t>
      </w:r>
    </w:p>
    <w:p w:rsidR="007F400C" w:rsidRPr="00DC2FAE" w:rsidRDefault="007F400C" w:rsidP="00767F03">
      <w:pPr>
        <w:tabs>
          <w:tab w:val="left" w:pos="1985"/>
        </w:tabs>
        <w:spacing w:after="240" w:line="360" w:lineRule="auto"/>
        <w:ind w:left="1985"/>
        <w:rPr>
          <w:lang w:val="es-419"/>
        </w:rPr>
      </w:pPr>
      <w:r w:rsidRPr="00DC2FAE">
        <w:rPr>
          <w:lang w:val="es-419"/>
        </w:rPr>
        <w:t>Supervisó proyectos fundamentales en el contexto de la ampliación de la misión de la IPOS y el desarrollo de sus redes regionales e internacionales:</w:t>
      </w:r>
    </w:p>
    <w:p w:rsidR="007F400C" w:rsidRPr="00170F11" w:rsidRDefault="007F400C" w:rsidP="00767F03">
      <w:pPr>
        <w:pStyle w:val="ListParagraph"/>
        <w:numPr>
          <w:ilvl w:val="0"/>
          <w:numId w:val="4"/>
        </w:numPr>
        <w:spacing w:after="240" w:line="360" w:lineRule="auto"/>
        <w:ind w:left="2552" w:hanging="567"/>
        <w:contextualSpacing w:val="0"/>
        <w:jc w:val="both"/>
        <w:rPr>
          <w:rFonts w:eastAsia="Times New Roman"/>
          <w:sz w:val="20"/>
          <w:lang w:val="es-419" w:eastAsia="en-US"/>
        </w:rPr>
      </w:pPr>
      <w:r w:rsidRPr="00170F11">
        <w:rPr>
          <w:rFonts w:eastAsia="Times New Roman"/>
          <w:sz w:val="20"/>
          <w:lang w:val="es-419" w:eastAsia="en-US"/>
        </w:rPr>
        <w:t>La designación de Singapur como 19ª Administración encargada de la búsqueda internacional y del examen preliminar internacional, siendo la primera en la ASEAN en el marco del Tratado de Cooperación en materia de Patentes, de la OMPI.</w:t>
      </w:r>
    </w:p>
    <w:p w:rsidR="007F400C" w:rsidRPr="00170F11" w:rsidRDefault="007F400C" w:rsidP="00767F03">
      <w:pPr>
        <w:pStyle w:val="ListParagraph"/>
        <w:numPr>
          <w:ilvl w:val="0"/>
          <w:numId w:val="4"/>
        </w:numPr>
        <w:spacing w:after="240" w:line="360" w:lineRule="auto"/>
        <w:ind w:left="2552" w:hanging="567"/>
        <w:contextualSpacing w:val="0"/>
        <w:jc w:val="both"/>
        <w:rPr>
          <w:rFonts w:eastAsia="Times New Roman"/>
          <w:sz w:val="20"/>
          <w:lang w:val="es-419" w:eastAsia="en-US"/>
        </w:rPr>
      </w:pPr>
      <w:r w:rsidRPr="00170F11">
        <w:rPr>
          <w:rFonts w:eastAsia="Times New Roman"/>
          <w:sz w:val="20"/>
          <w:lang w:val="es-419" w:eastAsia="en-US"/>
        </w:rPr>
        <w:t>La adhesión de Singapur al Tratado de Marrakech y su ratificación.</w:t>
      </w:r>
    </w:p>
    <w:p w:rsidR="007F400C" w:rsidRPr="00170F11" w:rsidRDefault="007F400C" w:rsidP="00767F03">
      <w:pPr>
        <w:pStyle w:val="ListParagraph"/>
        <w:numPr>
          <w:ilvl w:val="0"/>
          <w:numId w:val="4"/>
        </w:numPr>
        <w:spacing w:after="240" w:line="360" w:lineRule="auto"/>
        <w:ind w:left="2552" w:hanging="567"/>
        <w:contextualSpacing w:val="0"/>
        <w:jc w:val="both"/>
        <w:rPr>
          <w:rFonts w:eastAsia="Times New Roman"/>
          <w:sz w:val="20"/>
          <w:lang w:val="es-419" w:eastAsia="en-US"/>
        </w:rPr>
      </w:pPr>
      <w:r w:rsidRPr="00170F11">
        <w:rPr>
          <w:rFonts w:eastAsia="Times New Roman"/>
          <w:sz w:val="20"/>
          <w:lang w:val="es-419" w:eastAsia="en-US"/>
        </w:rPr>
        <w:t>El establecimiento del Plan rector del Centro de PI, de 2013, un marco referencial de 10 años para guiar el desarrollo de Singapur como Centro mundial de PI en Asia.</w:t>
      </w:r>
    </w:p>
    <w:p w:rsidR="007F400C" w:rsidRPr="00170F11" w:rsidRDefault="007F400C" w:rsidP="00767F03">
      <w:pPr>
        <w:pStyle w:val="ListParagraph"/>
        <w:numPr>
          <w:ilvl w:val="0"/>
          <w:numId w:val="4"/>
        </w:numPr>
        <w:spacing w:after="240" w:line="360" w:lineRule="auto"/>
        <w:ind w:left="2552" w:hanging="567"/>
        <w:contextualSpacing w:val="0"/>
        <w:jc w:val="both"/>
        <w:rPr>
          <w:rFonts w:eastAsia="Times New Roman"/>
          <w:sz w:val="20"/>
          <w:lang w:val="es-419" w:eastAsia="en-US"/>
        </w:rPr>
      </w:pPr>
      <w:r w:rsidRPr="00170F11">
        <w:rPr>
          <w:rFonts w:eastAsia="Times New Roman"/>
          <w:sz w:val="20"/>
          <w:lang w:val="es-419" w:eastAsia="en-US"/>
        </w:rPr>
        <w:t>La reestructuración del sistema de presentación de solicitudes del registro de la IPOS y la puesta en marca de IP</w:t>
      </w:r>
      <w:r w:rsidRPr="00170F11">
        <w:rPr>
          <w:rFonts w:eastAsia="Times New Roman"/>
          <w:sz w:val="20"/>
          <w:vertAlign w:val="superscript"/>
          <w:lang w:val="es-419" w:eastAsia="en-US"/>
        </w:rPr>
        <w:t>2</w:t>
      </w:r>
      <w:r w:rsidRPr="00170F11">
        <w:rPr>
          <w:rFonts w:eastAsia="Times New Roman"/>
          <w:sz w:val="20"/>
          <w:lang w:val="es-419" w:eastAsia="en-US"/>
        </w:rPr>
        <w:t>SG, una plataforma única integrada para el registro de títulos de PI en Singapur.</w:t>
      </w:r>
    </w:p>
    <w:p w:rsidR="007F400C" w:rsidRPr="00170F11" w:rsidRDefault="007F400C" w:rsidP="00767F03">
      <w:pPr>
        <w:pStyle w:val="ListParagraph"/>
        <w:numPr>
          <w:ilvl w:val="0"/>
          <w:numId w:val="4"/>
        </w:numPr>
        <w:spacing w:after="240" w:line="360" w:lineRule="auto"/>
        <w:ind w:left="2552" w:hanging="567"/>
        <w:contextualSpacing w:val="0"/>
        <w:jc w:val="both"/>
        <w:rPr>
          <w:rFonts w:eastAsia="Times New Roman"/>
          <w:sz w:val="20"/>
          <w:lang w:val="es-419" w:eastAsia="en-US"/>
        </w:rPr>
      </w:pPr>
      <w:r w:rsidRPr="00170F11">
        <w:rPr>
          <w:rFonts w:eastAsia="Times New Roman"/>
          <w:sz w:val="20"/>
          <w:lang w:val="es-419" w:eastAsia="en-US"/>
        </w:rPr>
        <w:t>Importantes reformas legislativas y de políticas de PI de Singapur en el ámbito de los regímenes de patentes, marcas, diseños registrados y derecho de autor.</w:t>
      </w:r>
    </w:p>
    <w:p w:rsidR="007F400C" w:rsidRPr="00DC2FAE" w:rsidRDefault="007F400C" w:rsidP="00767F03">
      <w:pPr>
        <w:spacing w:after="240" w:line="360" w:lineRule="auto"/>
        <w:ind w:left="1985"/>
        <w:rPr>
          <w:lang w:val="es-419"/>
        </w:rPr>
      </w:pPr>
      <w:r w:rsidRPr="00DC2FAE">
        <w:rPr>
          <w:lang w:val="es-419"/>
        </w:rPr>
        <w:t>Ayudó a dirigir la agenda de PI de la ASEAN durante el mandato de Singapur en la presidencia del Grupo de Trabajo de la ASEAN sobre Cooperación en materia de PI (AWGIPC) y fortaleció el ecosistema de patentes de la ASEAN. El AWGIPC abarcó 28 iniciativas y produjo 108 resultados concretos en el marco del Plan de acción de revisión de la PI, entre otras cosas, acogiendo en Singapur el Portal de PI de la ASEAN –un centro de PI integrado que vincula a todas las oficinas de PI de la ASEAN en lo que atañe a las cuestiones relacionadas con la PI.</w:t>
      </w:r>
    </w:p>
    <w:p w:rsidR="007F400C" w:rsidRPr="00DC2FAE" w:rsidRDefault="007F400C" w:rsidP="00767F03">
      <w:pPr>
        <w:spacing w:after="240" w:line="360" w:lineRule="auto"/>
        <w:ind w:left="1985"/>
        <w:rPr>
          <w:lang w:val="es-419"/>
        </w:rPr>
      </w:pPr>
      <w:r w:rsidRPr="00DC2FAE">
        <w:rPr>
          <w:lang w:val="es-419"/>
        </w:rPr>
        <w:t xml:space="preserve">Presidió las negociaciones sobre PI en acuerdos de libre comercio, entre otros, el Acuerdo de Asociación Transpacífico y el Acuerdo de Asociación Económica Integral </w:t>
      </w:r>
      <w:r w:rsidRPr="00DC2FAE">
        <w:rPr>
          <w:lang w:val="es-419"/>
        </w:rPr>
        <w:lastRenderedPageBreak/>
        <w:t>Regional. Dirigió y llevó a término las negociaciones relativas al capítulo sobre PI del Acuerdo de Libre Comercio entre la UE y Singapur.</w:t>
      </w:r>
    </w:p>
    <w:p w:rsidR="007F400C" w:rsidRPr="00DC2FAE" w:rsidRDefault="007F400C" w:rsidP="00767F03">
      <w:pPr>
        <w:keepNext/>
        <w:tabs>
          <w:tab w:val="left" w:pos="1985"/>
        </w:tabs>
        <w:rPr>
          <w:b/>
          <w:lang w:val="es-419"/>
        </w:rPr>
      </w:pPr>
      <w:r w:rsidRPr="00DC2FAE">
        <w:rPr>
          <w:b/>
          <w:lang w:val="es-419"/>
        </w:rPr>
        <w:t>2003 – 2012</w:t>
      </w:r>
      <w:r w:rsidRPr="00DC2FAE">
        <w:rPr>
          <w:b/>
          <w:lang w:val="es-419"/>
        </w:rPr>
        <w:tab/>
        <w:t>Fiscal superior del Estado</w:t>
      </w:r>
    </w:p>
    <w:p w:rsidR="007F400C" w:rsidRPr="00DC2FAE" w:rsidRDefault="007F400C" w:rsidP="00767F03">
      <w:pPr>
        <w:keepNext/>
        <w:ind w:left="1985"/>
        <w:rPr>
          <w:lang w:val="es-419"/>
        </w:rPr>
      </w:pPr>
      <w:r w:rsidRPr="00DC2FAE">
        <w:rPr>
          <w:lang w:val="es-419"/>
        </w:rPr>
        <w:t>División de Asuntos Internacionales</w:t>
      </w:r>
    </w:p>
    <w:p w:rsidR="007F400C" w:rsidRPr="00DC2FAE" w:rsidRDefault="007F400C" w:rsidP="00767F03">
      <w:pPr>
        <w:keepNext/>
        <w:spacing w:after="240" w:line="360" w:lineRule="auto"/>
        <w:ind w:left="1985"/>
        <w:rPr>
          <w:lang w:val="es-419"/>
        </w:rPr>
      </w:pPr>
      <w:r w:rsidRPr="00DC2FAE">
        <w:rPr>
          <w:lang w:val="es-419"/>
        </w:rPr>
        <w:t>Oficina del Fiscal General, Singapur</w:t>
      </w:r>
    </w:p>
    <w:p w:rsidR="007F400C" w:rsidRPr="00DC2FAE" w:rsidRDefault="007F400C" w:rsidP="00767F03">
      <w:pPr>
        <w:spacing w:after="240" w:line="360" w:lineRule="auto"/>
        <w:ind w:left="1985"/>
        <w:rPr>
          <w:lang w:val="es-419"/>
        </w:rPr>
      </w:pPr>
      <w:r w:rsidRPr="00DC2FAE">
        <w:rPr>
          <w:lang w:val="es-419"/>
        </w:rPr>
        <w:t>Consejero jurídico jefe y negociador respecto de distintas cuestiones de Derecho internacional de importancia vital para Singapur, entre otras, acuerdos de libre comercio, acuerdos de doble imposición tributaria, acuerdos de inversión internacional, asuntos relativos al Derecho marítimo, acuerdos regionales de la ASEAN y cuestiones relacionadas con la ONU. Formó parte del equipo jurídico de Singapur que formuló alegaciones en una controversia territorial ante la Corte Internacional de Justicia.</w:t>
      </w:r>
    </w:p>
    <w:p w:rsidR="007F400C" w:rsidRPr="00DC2FAE" w:rsidRDefault="007F400C" w:rsidP="00767F03">
      <w:pPr>
        <w:tabs>
          <w:tab w:val="left" w:pos="1985"/>
        </w:tabs>
        <w:rPr>
          <w:b/>
          <w:lang w:val="es-419"/>
        </w:rPr>
      </w:pPr>
      <w:r w:rsidRPr="00DC2FAE">
        <w:rPr>
          <w:b/>
          <w:lang w:val="es-419"/>
        </w:rPr>
        <w:t>2001 – 2003</w:t>
      </w:r>
      <w:r w:rsidRPr="00DC2FAE">
        <w:rPr>
          <w:b/>
          <w:lang w:val="es-419"/>
        </w:rPr>
        <w:tab/>
        <w:t>Consejero jurídico</w:t>
      </w:r>
    </w:p>
    <w:p w:rsidR="007F400C" w:rsidRPr="00DC2FAE" w:rsidRDefault="007F400C" w:rsidP="00767F03">
      <w:pPr>
        <w:spacing w:after="240" w:line="360" w:lineRule="auto"/>
        <w:ind w:left="1985"/>
        <w:rPr>
          <w:lang w:val="es-419"/>
        </w:rPr>
      </w:pPr>
      <w:r w:rsidRPr="00DC2FAE">
        <w:rPr>
          <w:lang w:val="es-419"/>
        </w:rPr>
        <w:t>Ministerio de Industria y Comercio, Singapur</w:t>
      </w:r>
    </w:p>
    <w:p w:rsidR="007F400C" w:rsidRPr="00DC2FAE" w:rsidRDefault="007F400C" w:rsidP="00767F03">
      <w:pPr>
        <w:spacing w:after="240" w:line="360" w:lineRule="auto"/>
        <w:ind w:left="1985"/>
        <w:rPr>
          <w:lang w:val="es-419"/>
        </w:rPr>
      </w:pPr>
      <w:r w:rsidRPr="00DC2FAE">
        <w:rPr>
          <w:lang w:val="es-419"/>
        </w:rPr>
        <w:t>Negociador principal y consejero jurídico para Singapur en el Acuerdo de Libre Comercio entre los EE.UU. y Singapur, el primer tratado de libre comercio de los EE.UU. con una nación de Asia.</w:t>
      </w:r>
    </w:p>
    <w:p w:rsidR="007F400C" w:rsidRPr="00DC2FAE" w:rsidRDefault="007F400C" w:rsidP="00767F03">
      <w:pPr>
        <w:tabs>
          <w:tab w:val="left" w:pos="1985"/>
        </w:tabs>
        <w:spacing w:after="240" w:line="360" w:lineRule="auto"/>
        <w:rPr>
          <w:b/>
          <w:lang w:val="es-419"/>
        </w:rPr>
      </w:pPr>
      <w:r w:rsidRPr="00DC2FAE">
        <w:rPr>
          <w:b/>
          <w:lang w:val="es-419"/>
        </w:rPr>
        <w:t>1997 – 2001</w:t>
      </w:r>
      <w:r w:rsidRPr="00DC2FAE">
        <w:rPr>
          <w:b/>
          <w:lang w:val="es-419"/>
        </w:rPr>
        <w:tab/>
        <w:t>Fiscal nacional/Fiscal adjunto</w:t>
      </w:r>
    </w:p>
    <w:p w:rsidR="007F400C" w:rsidRPr="00DC2FAE" w:rsidRDefault="007F400C" w:rsidP="00767F03">
      <w:pPr>
        <w:spacing w:after="240" w:line="360" w:lineRule="auto"/>
        <w:ind w:left="1985"/>
        <w:rPr>
          <w:lang w:val="es-419"/>
        </w:rPr>
      </w:pPr>
      <w:r w:rsidRPr="00DC2FAE">
        <w:rPr>
          <w:lang w:val="es-419"/>
        </w:rPr>
        <w:t>Cubrió varios cargos tanto en la Oficina del Fiscal General como en el Ministerio de Asuntos Interiores de Singapur.</w:t>
      </w:r>
    </w:p>
    <w:p w:rsidR="007F400C" w:rsidRPr="00DC2FAE" w:rsidRDefault="007F400C" w:rsidP="00767F03">
      <w:pPr>
        <w:widowControl w:val="0"/>
        <w:autoSpaceDE w:val="0"/>
        <w:autoSpaceDN w:val="0"/>
        <w:spacing w:before="480" w:after="240" w:line="360" w:lineRule="auto"/>
        <w:rPr>
          <w:b/>
          <w:szCs w:val="22"/>
          <w:lang w:val="es-419"/>
        </w:rPr>
      </w:pPr>
      <w:r w:rsidRPr="00DC2FAE">
        <w:rPr>
          <w:b/>
          <w:szCs w:val="22"/>
          <w:lang w:val="es-419"/>
        </w:rPr>
        <w:t>CARGOS ACTUALES</w:t>
      </w:r>
    </w:p>
    <w:p w:rsidR="007F400C" w:rsidRPr="00DC2FAE" w:rsidRDefault="007F400C" w:rsidP="00767F03">
      <w:pPr>
        <w:widowControl w:val="0"/>
        <w:autoSpaceDE w:val="0"/>
        <w:autoSpaceDN w:val="0"/>
        <w:spacing w:line="360" w:lineRule="auto"/>
        <w:rPr>
          <w:b/>
          <w:szCs w:val="22"/>
          <w:lang w:val="es-419"/>
        </w:rPr>
      </w:pPr>
      <w:r w:rsidRPr="00DC2FAE">
        <w:rPr>
          <w:b/>
          <w:szCs w:val="22"/>
          <w:lang w:val="es-419"/>
        </w:rPr>
        <w:t>Presidente, Comité Permanente de Derecho de Autor y Derechos Conexos (SCCR), OMPI.</w:t>
      </w:r>
    </w:p>
    <w:p w:rsidR="007F400C" w:rsidRPr="00DC2FAE" w:rsidRDefault="007F400C" w:rsidP="00767F03">
      <w:pPr>
        <w:widowControl w:val="0"/>
        <w:autoSpaceDE w:val="0"/>
        <w:autoSpaceDN w:val="0"/>
        <w:spacing w:after="240" w:line="360" w:lineRule="auto"/>
        <w:rPr>
          <w:szCs w:val="22"/>
          <w:lang w:val="es-419"/>
        </w:rPr>
      </w:pPr>
      <w:r w:rsidRPr="00DC2FAE">
        <w:rPr>
          <w:szCs w:val="22"/>
          <w:lang w:val="es-419"/>
        </w:rPr>
        <w:t>Designado presidente en mayo de 2017. Hizo avanzar los debates entre los Estados miembros sobre distintos puntos el orden del día del SCCR, por ejemplo, el tratado de protección de los organismos de radiodifusión, y las limitaciones y excepciones. Logró que se llegue al consenso para que los miembros del SCCR formulen a la Asamblea General de la OMPI una recomendación relativa al tratado de radiodifusión en 2018 y 2019.</w:t>
      </w:r>
    </w:p>
    <w:p w:rsidR="007F400C" w:rsidRPr="00DC2FAE" w:rsidRDefault="007F400C" w:rsidP="00767F03">
      <w:pPr>
        <w:widowControl w:val="0"/>
        <w:autoSpaceDE w:val="0"/>
        <w:autoSpaceDN w:val="0"/>
        <w:spacing w:line="360" w:lineRule="auto"/>
        <w:rPr>
          <w:b/>
          <w:szCs w:val="22"/>
          <w:lang w:val="es-419"/>
        </w:rPr>
      </w:pPr>
      <w:r w:rsidRPr="00DC2FAE">
        <w:rPr>
          <w:b/>
          <w:szCs w:val="22"/>
          <w:lang w:val="es-419"/>
        </w:rPr>
        <w:t>Miembro, Consejo de Colaboración Singapur-Guangdong (SGCC)</w:t>
      </w:r>
    </w:p>
    <w:p w:rsidR="007F400C" w:rsidRPr="00DC2FAE" w:rsidRDefault="007F400C" w:rsidP="00767F03">
      <w:pPr>
        <w:widowControl w:val="0"/>
        <w:autoSpaceDE w:val="0"/>
        <w:autoSpaceDN w:val="0"/>
        <w:spacing w:after="240" w:line="360" w:lineRule="auto"/>
        <w:rPr>
          <w:szCs w:val="22"/>
          <w:lang w:val="es-419"/>
        </w:rPr>
      </w:pPr>
      <w:r w:rsidRPr="00DC2FAE">
        <w:rPr>
          <w:szCs w:val="22"/>
          <w:lang w:val="es-419"/>
        </w:rPr>
        <w:t>Estableció una iniciativa de colaboración intergubernamental en materia de PI en la Ciudad de los Conocimientos sino-singapurense de Guangzhou.</w:t>
      </w:r>
    </w:p>
    <w:p w:rsidR="007F400C" w:rsidRPr="00DC2FAE" w:rsidRDefault="007F400C" w:rsidP="00767F03">
      <w:pPr>
        <w:widowControl w:val="0"/>
        <w:autoSpaceDE w:val="0"/>
        <w:autoSpaceDN w:val="0"/>
        <w:spacing w:after="240"/>
        <w:rPr>
          <w:b/>
          <w:szCs w:val="22"/>
          <w:lang w:val="es-419"/>
        </w:rPr>
      </w:pPr>
      <w:r w:rsidRPr="00DC2FAE">
        <w:rPr>
          <w:b/>
          <w:szCs w:val="22"/>
          <w:lang w:val="es-419"/>
        </w:rPr>
        <w:t>Miembro, Subcomité de Fabricación del Consejo para el Futuro de la Economía, Singapur</w:t>
      </w:r>
    </w:p>
    <w:p w:rsidR="007F400C" w:rsidRPr="00DC2FAE" w:rsidRDefault="007F400C" w:rsidP="00767F03">
      <w:pPr>
        <w:widowControl w:val="0"/>
        <w:autoSpaceDE w:val="0"/>
        <w:autoSpaceDN w:val="0"/>
        <w:spacing w:after="240"/>
        <w:rPr>
          <w:b/>
          <w:szCs w:val="22"/>
          <w:lang w:val="es-419"/>
        </w:rPr>
      </w:pPr>
      <w:r w:rsidRPr="00DC2FAE">
        <w:rPr>
          <w:b/>
          <w:szCs w:val="22"/>
          <w:lang w:val="es-419"/>
        </w:rPr>
        <w:t>Miembro, Subcomité de Servicios Modernos del Consejo para el Futuro de la Economía, Singapur</w:t>
      </w:r>
    </w:p>
    <w:p w:rsidR="007F400C" w:rsidRPr="00DC2FAE" w:rsidRDefault="007F400C" w:rsidP="00767F03">
      <w:pPr>
        <w:widowControl w:val="0"/>
        <w:autoSpaceDE w:val="0"/>
        <w:autoSpaceDN w:val="0"/>
        <w:spacing w:after="240"/>
        <w:rPr>
          <w:b/>
          <w:szCs w:val="22"/>
          <w:lang w:val="es-419"/>
        </w:rPr>
      </w:pPr>
      <w:r w:rsidRPr="00DC2FAE">
        <w:rPr>
          <w:b/>
          <w:szCs w:val="22"/>
          <w:lang w:val="es-419"/>
        </w:rPr>
        <w:t>Miembro, Comité de Estrategias de Investigación, Innovación y Empresa (RIE SC), Oficina del Primer Ministro, Singapur</w:t>
      </w:r>
    </w:p>
    <w:p w:rsidR="007F400C" w:rsidRPr="00DC2FAE" w:rsidRDefault="007F400C" w:rsidP="00767F03">
      <w:pPr>
        <w:widowControl w:val="0"/>
        <w:autoSpaceDE w:val="0"/>
        <w:autoSpaceDN w:val="0"/>
        <w:spacing w:after="240"/>
        <w:rPr>
          <w:b/>
          <w:szCs w:val="22"/>
          <w:lang w:val="es-419"/>
        </w:rPr>
      </w:pPr>
      <w:r w:rsidRPr="00DC2FAE">
        <w:rPr>
          <w:b/>
          <w:szCs w:val="22"/>
          <w:lang w:val="es-419"/>
        </w:rPr>
        <w:t>Miembro, Comité Ejecutivo de Investigación, Innovación y Empresa (RIE Exco), Oficina del Primer Ministro, Singapur</w:t>
      </w:r>
    </w:p>
    <w:p w:rsidR="007F400C" w:rsidRPr="00DC2FAE" w:rsidRDefault="007F400C" w:rsidP="00767F03">
      <w:pPr>
        <w:widowControl w:val="0"/>
        <w:autoSpaceDE w:val="0"/>
        <w:autoSpaceDN w:val="0"/>
        <w:spacing w:after="240"/>
        <w:rPr>
          <w:b/>
          <w:szCs w:val="22"/>
          <w:lang w:val="es-419"/>
        </w:rPr>
      </w:pPr>
      <w:r w:rsidRPr="00DC2FAE">
        <w:rPr>
          <w:b/>
          <w:szCs w:val="22"/>
          <w:lang w:val="es-419"/>
        </w:rPr>
        <w:t>Copresidente, Grupo Nacional de Trabajo sobre PI, Oficina del Primer Ministro, Singapur</w:t>
      </w:r>
    </w:p>
    <w:p w:rsidR="007F400C" w:rsidRPr="00DC2FAE" w:rsidRDefault="007F400C" w:rsidP="00767F03">
      <w:pPr>
        <w:widowControl w:val="0"/>
        <w:autoSpaceDE w:val="0"/>
        <w:autoSpaceDN w:val="0"/>
        <w:spacing w:after="240"/>
        <w:rPr>
          <w:b/>
          <w:szCs w:val="22"/>
          <w:lang w:val="es-419"/>
        </w:rPr>
      </w:pPr>
      <w:r w:rsidRPr="00DC2FAE">
        <w:rPr>
          <w:b/>
          <w:szCs w:val="22"/>
          <w:lang w:val="es-419"/>
        </w:rPr>
        <w:lastRenderedPageBreak/>
        <w:t>Miembro, Junta Asesora, Autoridad Saudita para la Propiedad Intelectual (SAIP)</w:t>
      </w:r>
    </w:p>
    <w:p w:rsidR="007F400C" w:rsidRPr="00DC2FAE" w:rsidRDefault="007F400C" w:rsidP="00767F03">
      <w:pPr>
        <w:widowControl w:val="0"/>
        <w:autoSpaceDE w:val="0"/>
        <w:autoSpaceDN w:val="0"/>
        <w:spacing w:after="240"/>
        <w:rPr>
          <w:b/>
          <w:szCs w:val="22"/>
          <w:lang w:val="es-419"/>
        </w:rPr>
      </w:pPr>
      <w:r w:rsidRPr="00DC2FAE">
        <w:rPr>
          <w:b/>
          <w:szCs w:val="22"/>
          <w:lang w:val="es-419"/>
        </w:rPr>
        <w:t>Miembro, Grupo de Expertos del Proyecto sobre la Oficina de PI del futuro, Asociación Internacional de Marcas (INTA)</w:t>
      </w:r>
    </w:p>
    <w:p w:rsidR="007F400C" w:rsidRPr="00DC2FAE" w:rsidRDefault="007F400C" w:rsidP="00767F03">
      <w:pPr>
        <w:widowControl w:val="0"/>
        <w:autoSpaceDE w:val="0"/>
        <w:autoSpaceDN w:val="0"/>
        <w:spacing w:after="240"/>
        <w:rPr>
          <w:b/>
          <w:szCs w:val="22"/>
          <w:lang w:val="es-419"/>
        </w:rPr>
      </w:pPr>
      <w:r w:rsidRPr="00DC2FAE">
        <w:rPr>
          <w:b/>
          <w:szCs w:val="22"/>
          <w:lang w:val="es-419"/>
        </w:rPr>
        <w:t xml:space="preserve">Presidente de la Junta, </w:t>
      </w:r>
      <w:r w:rsidRPr="00DC2FAE">
        <w:rPr>
          <w:b/>
          <w:i/>
          <w:szCs w:val="22"/>
          <w:lang w:val="es-419"/>
        </w:rPr>
        <w:t>IPOS International</w:t>
      </w:r>
    </w:p>
    <w:p w:rsidR="007F400C" w:rsidRPr="000B163D" w:rsidRDefault="007F400C" w:rsidP="00767F03">
      <w:pPr>
        <w:keepNext/>
        <w:keepLines/>
        <w:widowControl w:val="0"/>
        <w:autoSpaceDE w:val="0"/>
        <w:autoSpaceDN w:val="0"/>
        <w:spacing w:after="240"/>
        <w:rPr>
          <w:b/>
          <w:szCs w:val="22"/>
          <w:rPrChange w:id="3" w:author="HUERTA-CASADO Yolanda" w:date="2020-07-27T12:39:00Z">
            <w:rPr>
              <w:b/>
              <w:szCs w:val="22"/>
              <w:lang w:val="es-419"/>
            </w:rPr>
          </w:rPrChange>
        </w:rPr>
      </w:pPr>
      <w:proofErr w:type="spellStart"/>
      <w:r w:rsidRPr="000B163D">
        <w:rPr>
          <w:b/>
          <w:szCs w:val="22"/>
          <w:rPrChange w:id="4" w:author="HUERTA-CASADO Yolanda" w:date="2020-07-27T12:39:00Z">
            <w:rPr>
              <w:b/>
              <w:szCs w:val="22"/>
              <w:lang w:val="es-419"/>
            </w:rPr>
          </w:rPrChange>
        </w:rPr>
        <w:t>Miembro</w:t>
      </w:r>
      <w:proofErr w:type="spellEnd"/>
      <w:r w:rsidRPr="000B163D">
        <w:rPr>
          <w:b/>
          <w:szCs w:val="22"/>
          <w:rPrChange w:id="5" w:author="HUERTA-CASADO Yolanda" w:date="2020-07-27T12:39:00Z">
            <w:rPr>
              <w:b/>
              <w:szCs w:val="22"/>
              <w:lang w:val="es-419"/>
            </w:rPr>
          </w:rPrChange>
        </w:rPr>
        <w:t xml:space="preserve"> de la Junta, </w:t>
      </w:r>
      <w:r w:rsidRPr="000B163D">
        <w:rPr>
          <w:b/>
          <w:i/>
          <w:szCs w:val="22"/>
          <w:rPrChange w:id="6" w:author="HUERTA-CASADO Yolanda" w:date="2020-07-27T12:39:00Z">
            <w:rPr>
              <w:b/>
              <w:i/>
              <w:szCs w:val="22"/>
              <w:lang w:val="es-419"/>
            </w:rPr>
          </w:rPrChange>
        </w:rPr>
        <w:t>EW Barker Centre for Law &amp; Business, National University of Singapore</w:t>
      </w:r>
    </w:p>
    <w:p w:rsidR="007F400C" w:rsidRPr="00DC2FAE" w:rsidRDefault="007F400C" w:rsidP="00767F03">
      <w:pPr>
        <w:widowControl w:val="0"/>
        <w:autoSpaceDE w:val="0"/>
        <w:autoSpaceDN w:val="0"/>
        <w:spacing w:after="240"/>
        <w:rPr>
          <w:b/>
          <w:szCs w:val="22"/>
          <w:lang w:val="es-419"/>
        </w:rPr>
      </w:pPr>
      <w:r w:rsidRPr="00DC2FAE">
        <w:rPr>
          <w:b/>
          <w:szCs w:val="22"/>
          <w:lang w:val="es-419"/>
        </w:rPr>
        <w:t xml:space="preserve">Director de la Junta, </w:t>
      </w:r>
      <w:r w:rsidRPr="00DC2FAE">
        <w:rPr>
          <w:b/>
          <w:i/>
          <w:szCs w:val="22"/>
          <w:lang w:val="es-419"/>
        </w:rPr>
        <w:t>Fraunhofer Singapore</w:t>
      </w:r>
    </w:p>
    <w:p w:rsidR="007F400C" w:rsidRPr="00DC2FAE" w:rsidRDefault="007F400C" w:rsidP="00767F03">
      <w:pPr>
        <w:widowControl w:val="0"/>
        <w:autoSpaceDE w:val="0"/>
        <w:autoSpaceDN w:val="0"/>
        <w:spacing w:after="240"/>
        <w:rPr>
          <w:b/>
          <w:szCs w:val="22"/>
          <w:lang w:val="es-419"/>
        </w:rPr>
      </w:pPr>
      <w:r w:rsidRPr="00DC2FAE">
        <w:rPr>
          <w:b/>
          <w:szCs w:val="22"/>
          <w:lang w:val="es-419"/>
        </w:rPr>
        <w:t xml:space="preserve">Coordinador y Examinador Principal, Curso de Derecho de Propiedad Intelectual para el examen de admisión al ejercicio de la profesión organizado por el </w:t>
      </w:r>
      <w:r w:rsidRPr="00DC2FAE">
        <w:rPr>
          <w:b/>
          <w:i/>
          <w:szCs w:val="22"/>
          <w:lang w:val="es-419"/>
        </w:rPr>
        <w:t>Singapore Institute of Legal Education</w:t>
      </w:r>
    </w:p>
    <w:p w:rsidR="007F400C" w:rsidRPr="00DC2FAE" w:rsidRDefault="007F400C" w:rsidP="00767F03">
      <w:pPr>
        <w:spacing w:before="480" w:after="240" w:line="360" w:lineRule="auto"/>
        <w:rPr>
          <w:b/>
          <w:lang w:val="es-419"/>
        </w:rPr>
      </w:pPr>
      <w:r w:rsidRPr="00DC2FAE">
        <w:rPr>
          <w:b/>
          <w:lang w:val="es-419"/>
        </w:rPr>
        <w:t>HONORES</w:t>
      </w:r>
    </w:p>
    <w:p w:rsidR="007F400C" w:rsidRPr="00DC2FAE" w:rsidRDefault="007F400C" w:rsidP="00767F03">
      <w:pPr>
        <w:tabs>
          <w:tab w:val="left" w:pos="1985"/>
        </w:tabs>
        <w:rPr>
          <w:lang w:val="es-419"/>
        </w:rPr>
      </w:pPr>
      <w:r w:rsidRPr="00DC2FAE">
        <w:rPr>
          <w:b/>
          <w:lang w:val="es-419"/>
        </w:rPr>
        <w:t>2016</w:t>
      </w:r>
      <w:r w:rsidRPr="00DC2FAE">
        <w:rPr>
          <w:b/>
          <w:lang w:val="es-419"/>
        </w:rPr>
        <w:tab/>
      </w:r>
      <w:r w:rsidRPr="00DC2FAE">
        <w:rPr>
          <w:lang w:val="es-419"/>
        </w:rPr>
        <w:t>Medalla de plata de la Administración Pública</w:t>
      </w:r>
    </w:p>
    <w:p w:rsidR="007F400C" w:rsidRPr="00DC2FAE" w:rsidRDefault="007F400C" w:rsidP="00767F03">
      <w:pPr>
        <w:spacing w:after="240"/>
        <w:ind w:left="1985"/>
        <w:rPr>
          <w:lang w:val="es-419"/>
        </w:rPr>
      </w:pPr>
      <w:r w:rsidRPr="00DC2FAE">
        <w:rPr>
          <w:lang w:val="es-419"/>
        </w:rPr>
        <w:t>Oficina del Primer Ministro, Singapur</w:t>
      </w:r>
    </w:p>
    <w:p w:rsidR="007F400C" w:rsidRPr="00DC2FAE" w:rsidRDefault="007F400C" w:rsidP="00767F03">
      <w:pPr>
        <w:tabs>
          <w:tab w:val="left" w:pos="1985"/>
        </w:tabs>
        <w:rPr>
          <w:lang w:val="es-419"/>
        </w:rPr>
      </w:pPr>
      <w:r w:rsidRPr="00DC2FAE">
        <w:rPr>
          <w:b/>
          <w:lang w:val="es-419"/>
        </w:rPr>
        <w:t>2006</w:t>
      </w:r>
      <w:r w:rsidRPr="00DC2FAE">
        <w:rPr>
          <w:b/>
          <w:lang w:val="es-419"/>
        </w:rPr>
        <w:tab/>
      </w:r>
      <w:r w:rsidRPr="00DC2FAE">
        <w:rPr>
          <w:lang w:val="es-419"/>
        </w:rPr>
        <w:t>Título de miembro</w:t>
      </w:r>
    </w:p>
    <w:p w:rsidR="007F400C" w:rsidRPr="000B163D" w:rsidRDefault="007F400C" w:rsidP="00767F03">
      <w:pPr>
        <w:ind w:left="1985"/>
        <w:rPr>
          <w:rPrChange w:id="7" w:author="HUERTA-CASADO Yolanda" w:date="2020-07-27T12:39:00Z">
            <w:rPr>
              <w:lang w:val="es-419"/>
            </w:rPr>
          </w:rPrChange>
        </w:rPr>
      </w:pPr>
      <w:r w:rsidRPr="000B163D">
        <w:rPr>
          <w:i/>
          <w:rPrChange w:id="8" w:author="HUERTA-CASADO Yolanda" w:date="2020-07-27T12:39:00Z">
            <w:rPr>
              <w:i/>
              <w:lang w:val="es-419"/>
            </w:rPr>
          </w:rPrChange>
        </w:rPr>
        <w:t>Institute of International Economic Law, Georgetown University</w:t>
      </w:r>
      <w:r w:rsidRPr="000B163D">
        <w:rPr>
          <w:rPrChange w:id="9" w:author="HUERTA-CASADO Yolanda" w:date="2020-07-27T12:39:00Z">
            <w:rPr>
              <w:lang w:val="es-419"/>
            </w:rPr>
          </w:rPrChange>
        </w:rPr>
        <w:t>, EE.UU.</w:t>
      </w:r>
    </w:p>
    <w:p w:rsidR="007F400C" w:rsidRPr="00DC2FAE" w:rsidRDefault="007F400C" w:rsidP="00767F03">
      <w:pPr>
        <w:widowControl w:val="0"/>
        <w:autoSpaceDE w:val="0"/>
        <w:autoSpaceDN w:val="0"/>
        <w:spacing w:before="360"/>
        <w:rPr>
          <w:b/>
          <w:szCs w:val="22"/>
          <w:lang w:val="es-419"/>
        </w:rPr>
      </w:pPr>
      <w:r w:rsidRPr="00DC2FAE">
        <w:rPr>
          <w:b/>
          <w:szCs w:val="22"/>
          <w:lang w:val="es-419"/>
        </w:rPr>
        <w:t>IDIOMAS</w:t>
      </w:r>
    </w:p>
    <w:p w:rsidR="007F400C" w:rsidRPr="000B163D" w:rsidRDefault="007F400C" w:rsidP="00767F03">
      <w:pPr>
        <w:rPr>
          <w:lang w:val="es-AR"/>
          <w:rPrChange w:id="10" w:author="HUERTA-CASADO Yolanda" w:date="2020-07-27T12:39:00Z">
            <w:rPr/>
          </w:rPrChange>
        </w:rPr>
      </w:pPr>
      <w:r w:rsidRPr="00DC2FAE">
        <w:rPr>
          <w:lang w:val="es-419"/>
        </w:rPr>
        <w:t>Inglés - chino</w:t>
      </w:r>
    </w:p>
    <w:p w:rsidR="00170F11" w:rsidRDefault="00170F11" w:rsidP="00170F11">
      <w:pPr>
        <w:jc w:val="right"/>
        <w:rPr>
          <w:lang w:val="es-419"/>
        </w:rPr>
      </w:pPr>
    </w:p>
    <w:p w:rsidR="00170F11" w:rsidRDefault="00170F11" w:rsidP="00170F11">
      <w:pPr>
        <w:jc w:val="right"/>
        <w:rPr>
          <w:lang w:val="es-419"/>
        </w:rPr>
      </w:pPr>
    </w:p>
    <w:p w:rsidR="00170F11" w:rsidRDefault="00170F11" w:rsidP="00170F11">
      <w:pPr>
        <w:jc w:val="right"/>
        <w:rPr>
          <w:lang w:val="es-419"/>
        </w:rPr>
      </w:pPr>
    </w:p>
    <w:p w:rsidR="00254AE7" w:rsidRPr="00DC2FAE" w:rsidRDefault="007F400C" w:rsidP="00170F11">
      <w:pPr>
        <w:jc w:val="right"/>
        <w:rPr>
          <w:lang w:val="es-419"/>
        </w:rPr>
      </w:pPr>
      <w:r w:rsidRPr="00DC2FAE">
        <w:rPr>
          <w:lang w:val="es-419"/>
        </w:rPr>
        <w:t>[Fin del Anexo y del documento]</w:t>
      </w:r>
    </w:p>
    <w:p w:rsidR="00050E16" w:rsidRPr="00DC2FAE" w:rsidRDefault="00050E16" w:rsidP="009B440E">
      <w:pPr>
        <w:jc w:val="left"/>
        <w:rPr>
          <w:lang w:val="es-419"/>
        </w:rPr>
      </w:pPr>
    </w:p>
    <w:sectPr w:rsidR="00050E16" w:rsidRPr="00DC2FAE" w:rsidSect="00170F11">
      <w:headerReference w:type="default" r:id="rId10"/>
      <w:footerReference w:type="default" r:id="rId11"/>
      <w:headerReference w:type="first" r:id="rId12"/>
      <w:pgSz w:w="11907" w:h="16840"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07" w:rsidRDefault="00F97E07" w:rsidP="006655D3">
      <w:r>
        <w:separator/>
      </w:r>
    </w:p>
    <w:p w:rsidR="00F97E07" w:rsidRDefault="00F97E07" w:rsidP="006655D3"/>
    <w:p w:rsidR="00F97E07" w:rsidRDefault="00F97E07" w:rsidP="006655D3"/>
  </w:endnote>
  <w:endnote w:type="continuationSeparator" w:id="0">
    <w:p w:rsidR="00F97E07" w:rsidRDefault="00F97E07" w:rsidP="006655D3">
      <w:r>
        <w:separator/>
      </w:r>
    </w:p>
    <w:p w:rsidR="00F97E07" w:rsidRPr="00294751" w:rsidRDefault="00F97E07">
      <w:pPr>
        <w:pStyle w:val="Footer"/>
        <w:spacing w:after="60"/>
        <w:rPr>
          <w:sz w:val="18"/>
          <w:lang w:val="fr-FR"/>
        </w:rPr>
      </w:pPr>
      <w:r w:rsidRPr="00294751">
        <w:rPr>
          <w:sz w:val="18"/>
          <w:lang w:val="fr-FR"/>
        </w:rPr>
        <w:t>[Suite de la note de la page précédente]</w:t>
      </w:r>
    </w:p>
    <w:p w:rsidR="00F97E07" w:rsidRPr="00294751" w:rsidRDefault="00F97E07" w:rsidP="006655D3">
      <w:pPr>
        <w:rPr>
          <w:lang w:val="fr-FR"/>
        </w:rPr>
      </w:pPr>
    </w:p>
    <w:p w:rsidR="00F97E07" w:rsidRPr="00294751" w:rsidRDefault="00F97E07" w:rsidP="006655D3">
      <w:pPr>
        <w:rPr>
          <w:lang w:val="fr-FR"/>
        </w:rPr>
      </w:pPr>
    </w:p>
  </w:endnote>
  <w:endnote w:type="continuationNotice" w:id="1">
    <w:p w:rsidR="00F97E07" w:rsidRPr="00294751" w:rsidRDefault="00F97E07" w:rsidP="006655D3">
      <w:pPr>
        <w:rPr>
          <w:lang w:val="fr-FR"/>
        </w:rPr>
      </w:pPr>
      <w:r w:rsidRPr="00294751">
        <w:rPr>
          <w:lang w:val="fr-FR"/>
        </w:rPr>
        <w:t>[Suite de la note page suivante]</w:t>
      </w:r>
    </w:p>
    <w:p w:rsidR="00F97E07" w:rsidRPr="00294751" w:rsidRDefault="00F97E07" w:rsidP="006655D3">
      <w:pPr>
        <w:rPr>
          <w:lang w:val="fr-FR"/>
        </w:rPr>
      </w:pPr>
    </w:p>
    <w:p w:rsidR="00F97E07" w:rsidRPr="00294751" w:rsidRDefault="00F97E0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254AE7" w:rsidRDefault="00254AE7" w:rsidP="00254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07" w:rsidRDefault="00F97E07" w:rsidP="006655D3">
      <w:r>
        <w:separator/>
      </w:r>
    </w:p>
  </w:footnote>
  <w:footnote w:type="continuationSeparator" w:id="0">
    <w:p w:rsidR="00F97E07" w:rsidRDefault="00F97E07" w:rsidP="006655D3">
      <w:r>
        <w:separator/>
      </w:r>
    </w:p>
  </w:footnote>
  <w:footnote w:type="continuationNotice" w:id="1">
    <w:p w:rsidR="00F97E07" w:rsidRPr="00AB530F" w:rsidRDefault="00F97E0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5A3094" w:rsidP="00EB048E">
    <w:pPr>
      <w:pStyle w:val="Header"/>
      <w:rPr>
        <w:rStyle w:val="PageNumber"/>
        <w:lang w:val="en-US"/>
      </w:rPr>
    </w:pPr>
    <w:r>
      <w:rPr>
        <w:rStyle w:val="PageNumber"/>
        <w:lang w:val="en-US"/>
      </w:rPr>
      <w:t>C/54/11</w:t>
    </w:r>
  </w:p>
  <w:p w:rsidR="00182B99" w:rsidRPr="00C5280D" w:rsidRDefault="00075500" w:rsidP="00EB048E">
    <w:pPr>
      <w:pStyle w:val="Header"/>
      <w:rPr>
        <w:lang w:val="en-US"/>
      </w:rPr>
    </w:pPr>
    <w:r>
      <w:rPr>
        <w:lang w:val="en-US"/>
      </w:rPr>
      <w:t>página</w:t>
    </w:r>
    <w:r w:rsidR="00182B99" w:rsidRPr="00C5280D">
      <w:rPr>
        <w:lang w:val="en-US"/>
      </w:rPr>
      <w:t xml:space="preserv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CC3223">
      <w:rPr>
        <w:rStyle w:val="PageNumber"/>
        <w:noProof/>
        <w:lang w:val="en-US"/>
      </w:rPr>
      <w:t>2</w:t>
    </w:r>
    <w:r w:rsidR="00182B99"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C5280D" w:rsidRDefault="00254AE7" w:rsidP="00254AE7">
    <w:pPr>
      <w:pStyle w:val="Header"/>
      <w:rPr>
        <w:rStyle w:val="PageNumber"/>
        <w:lang w:val="en-US"/>
      </w:rPr>
    </w:pPr>
    <w:r>
      <w:rPr>
        <w:rStyle w:val="PageNumber"/>
        <w:lang w:val="en-US"/>
      </w:rPr>
      <w:t>C/54/11</w:t>
    </w:r>
  </w:p>
  <w:p w:rsidR="00254AE7" w:rsidRDefault="00254AE7" w:rsidP="00254AE7">
    <w:pPr>
      <w:pStyle w:val="Header"/>
    </w:pPr>
    <w:r>
      <w:t>Anex</w:t>
    </w:r>
    <w:r w:rsidR="007F400C">
      <w:t>o, página</w:t>
    </w:r>
    <w:r>
      <w:t xml:space="preserve"> </w:t>
    </w:r>
    <w:r>
      <w:fldChar w:fldCharType="begin"/>
    </w:r>
    <w:r>
      <w:instrText xml:space="preserve"> PAGE   \* MERGEFORMAT </w:instrText>
    </w:r>
    <w:r>
      <w:fldChar w:fldCharType="separate"/>
    </w:r>
    <w:r w:rsidR="00CC3223">
      <w:rPr>
        <w:noProof/>
      </w:rPr>
      <w:t>4</w:t>
    </w:r>
    <w:r>
      <w:rPr>
        <w:noProof/>
      </w:rPr>
      <w:fldChar w:fldCharType="end"/>
    </w:r>
  </w:p>
  <w:p w:rsidR="00254AE7" w:rsidRDefault="00254AE7" w:rsidP="00254AE7">
    <w:pPr>
      <w:pStyle w:val="Header"/>
    </w:pPr>
  </w:p>
  <w:p w:rsidR="00254AE7" w:rsidRPr="00254AE7" w:rsidRDefault="00254AE7" w:rsidP="00254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C5280D" w:rsidRDefault="00254AE7" w:rsidP="00254AE7">
    <w:pPr>
      <w:pStyle w:val="Header"/>
      <w:rPr>
        <w:rStyle w:val="PageNumber"/>
        <w:lang w:val="en-US"/>
      </w:rPr>
    </w:pPr>
    <w:r>
      <w:rPr>
        <w:rStyle w:val="PageNumber"/>
        <w:lang w:val="en-US"/>
      </w:rPr>
      <w:t>C/54/11</w:t>
    </w:r>
  </w:p>
  <w:p w:rsidR="00254AE7" w:rsidRDefault="00254AE7">
    <w:pPr>
      <w:pStyle w:val="Header"/>
    </w:pPr>
  </w:p>
  <w:p w:rsidR="00254AE7" w:rsidRDefault="00254AE7">
    <w:pPr>
      <w:pStyle w:val="Header"/>
    </w:pPr>
    <w:r>
      <w:t>ANEX</w:t>
    </w:r>
    <w:r w:rsidR="007F400C">
      <w:t>O</w:t>
    </w:r>
  </w:p>
  <w:p w:rsidR="00254AE7" w:rsidRDefault="00254AE7">
    <w:pPr>
      <w:pStyle w:val="Header"/>
    </w:pPr>
  </w:p>
  <w:p w:rsidR="00254AE7" w:rsidRDefault="00254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9F1"/>
    <w:multiLevelType w:val="hybridMultilevel"/>
    <w:tmpl w:val="30C8F914"/>
    <w:lvl w:ilvl="0" w:tplc="1BA29F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5E4F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7807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A8CF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A40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0BB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E0D3E">
      <w:start w:val="1"/>
      <w:numFmt w:val="bullet"/>
      <w:lvlText w:val="•"/>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A8F02">
      <w:start w:val="1"/>
      <w:numFmt w:val="bullet"/>
      <w:lvlText w:val="o"/>
      <w:lvlJc w:val="left"/>
      <w:pPr>
        <w:ind w:left="7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CE180">
      <w:start w:val="1"/>
      <w:numFmt w:val="bullet"/>
      <w:lvlText w:val="▪"/>
      <w:lvlJc w:val="left"/>
      <w:pPr>
        <w:ind w:left="8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1B68F0"/>
    <w:multiLevelType w:val="hybridMultilevel"/>
    <w:tmpl w:val="FF308A70"/>
    <w:lvl w:ilvl="0" w:tplc="5D94948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AB37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E8BE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AEA5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A99B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813F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49CC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CE04E">
      <w:start w:val="1"/>
      <w:numFmt w:val="bullet"/>
      <w:lvlText w:val="o"/>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6F628">
      <w:start w:val="1"/>
      <w:numFmt w:val="bullet"/>
      <w:lvlText w:val="▪"/>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902382"/>
    <w:multiLevelType w:val="hybridMultilevel"/>
    <w:tmpl w:val="F8CC7778"/>
    <w:lvl w:ilvl="0" w:tplc="BA6AEA5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AF3D3D"/>
    <w:multiLevelType w:val="hybridMultilevel"/>
    <w:tmpl w:val="08062196"/>
    <w:lvl w:ilvl="0" w:tplc="BA6AEA5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ERTA-CASADO Yolanda">
    <w15:presenceInfo w15:providerId="AD" w15:userId="S-1-5-21-3637208745-3825800285-422149103-2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10CF3"/>
    <w:rsid w:val="00011E27"/>
    <w:rsid w:val="000148BC"/>
    <w:rsid w:val="00021AC2"/>
    <w:rsid w:val="00024AB8"/>
    <w:rsid w:val="00030854"/>
    <w:rsid w:val="00036028"/>
    <w:rsid w:val="00044642"/>
    <w:rsid w:val="000446B9"/>
    <w:rsid w:val="000450F0"/>
    <w:rsid w:val="00047E21"/>
    <w:rsid w:val="00050E16"/>
    <w:rsid w:val="00075500"/>
    <w:rsid w:val="00085505"/>
    <w:rsid w:val="000925AA"/>
    <w:rsid w:val="000B163D"/>
    <w:rsid w:val="000C4E25"/>
    <w:rsid w:val="000C7021"/>
    <w:rsid w:val="000C7A87"/>
    <w:rsid w:val="000D6BBC"/>
    <w:rsid w:val="000D7780"/>
    <w:rsid w:val="000E063B"/>
    <w:rsid w:val="000E636A"/>
    <w:rsid w:val="000F2F11"/>
    <w:rsid w:val="00105929"/>
    <w:rsid w:val="001059D4"/>
    <w:rsid w:val="00110C36"/>
    <w:rsid w:val="001131D5"/>
    <w:rsid w:val="00141DB8"/>
    <w:rsid w:val="00170F11"/>
    <w:rsid w:val="00172084"/>
    <w:rsid w:val="0017474A"/>
    <w:rsid w:val="001758C6"/>
    <w:rsid w:val="00182B99"/>
    <w:rsid w:val="001C1525"/>
    <w:rsid w:val="0020304B"/>
    <w:rsid w:val="0021269D"/>
    <w:rsid w:val="0021332C"/>
    <w:rsid w:val="00213982"/>
    <w:rsid w:val="00214C72"/>
    <w:rsid w:val="00215AEF"/>
    <w:rsid w:val="00215F2E"/>
    <w:rsid w:val="00242F64"/>
    <w:rsid w:val="0024416D"/>
    <w:rsid w:val="00254AE7"/>
    <w:rsid w:val="00256BFA"/>
    <w:rsid w:val="00271911"/>
    <w:rsid w:val="002800A0"/>
    <w:rsid w:val="002801B3"/>
    <w:rsid w:val="00281060"/>
    <w:rsid w:val="00285D56"/>
    <w:rsid w:val="002940E8"/>
    <w:rsid w:val="00294751"/>
    <w:rsid w:val="002A6E50"/>
    <w:rsid w:val="002B4298"/>
    <w:rsid w:val="002C256A"/>
    <w:rsid w:val="00305A7F"/>
    <w:rsid w:val="003152FE"/>
    <w:rsid w:val="00327436"/>
    <w:rsid w:val="00344BD6"/>
    <w:rsid w:val="0035528D"/>
    <w:rsid w:val="00361821"/>
    <w:rsid w:val="00361E9E"/>
    <w:rsid w:val="0039633A"/>
    <w:rsid w:val="003C7FBE"/>
    <w:rsid w:val="003D227C"/>
    <w:rsid w:val="003D2B4D"/>
    <w:rsid w:val="003F5F2B"/>
    <w:rsid w:val="00443C89"/>
    <w:rsid w:val="00444A88"/>
    <w:rsid w:val="00474DA4"/>
    <w:rsid w:val="00476B4D"/>
    <w:rsid w:val="004805FA"/>
    <w:rsid w:val="004872DD"/>
    <w:rsid w:val="004935D2"/>
    <w:rsid w:val="004B1215"/>
    <w:rsid w:val="004D047D"/>
    <w:rsid w:val="004E0C8F"/>
    <w:rsid w:val="004F1E9E"/>
    <w:rsid w:val="004F305A"/>
    <w:rsid w:val="00512164"/>
    <w:rsid w:val="00520297"/>
    <w:rsid w:val="005338F9"/>
    <w:rsid w:val="00537D34"/>
    <w:rsid w:val="0054281C"/>
    <w:rsid w:val="00544581"/>
    <w:rsid w:val="0055268D"/>
    <w:rsid w:val="00576BE4"/>
    <w:rsid w:val="00594C5C"/>
    <w:rsid w:val="005A3094"/>
    <w:rsid w:val="005A400A"/>
    <w:rsid w:val="005B42B9"/>
    <w:rsid w:val="005F0496"/>
    <w:rsid w:val="005F7B92"/>
    <w:rsid w:val="00612379"/>
    <w:rsid w:val="006153B6"/>
    <w:rsid w:val="0061555F"/>
    <w:rsid w:val="00632176"/>
    <w:rsid w:val="00636CA6"/>
    <w:rsid w:val="00641200"/>
    <w:rsid w:val="00645CA8"/>
    <w:rsid w:val="006655D3"/>
    <w:rsid w:val="00667404"/>
    <w:rsid w:val="00687EB4"/>
    <w:rsid w:val="00695C56"/>
    <w:rsid w:val="006A5CDE"/>
    <w:rsid w:val="006A644A"/>
    <w:rsid w:val="006B17D2"/>
    <w:rsid w:val="006C224E"/>
    <w:rsid w:val="006C63FB"/>
    <w:rsid w:val="006D780A"/>
    <w:rsid w:val="0071271E"/>
    <w:rsid w:val="00732DEC"/>
    <w:rsid w:val="00735BD5"/>
    <w:rsid w:val="007451EC"/>
    <w:rsid w:val="00750CF0"/>
    <w:rsid w:val="00751613"/>
    <w:rsid w:val="007556F6"/>
    <w:rsid w:val="00760EEF"/>
    <w:rsid w:val="0076178B"/>
    <w:rsid w:val="00767F03"/>
    <w:rsid w:val="007712B8"/>
    <w:rsid w:val="00777EE5"/>
    <w:rsid w:val="00782255"/>
    <w:rsid w:val="00784836"/>
    <w:rsid w:val="0079023E"/>
    <w:rsid w:val="007A2854"/>
    <w:rsid w:val="007C1D92"/>
    <w:rsid w:val="007C3C19"/>
    <w:rsid w:val="007C4CB9"/>
    <w:rsid w:val="007D0B9D"/>
    <w:rsid w:val="007D19B0"/>
    <w:rsid w:val="007D4635"/>
    <w:rsid w:val="007F400C"/>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4622E"/>
    <w:rsid w:val="00952DD4"/>
    <w:rsid w:val="00965AE7"/>
    <w:rsid w:val="00970FED"/>
    <w:rsid w:val="009904BF"/>
    <w:rsid w:val="00992D82"/>
    <w:rsid w:val="00997029"/>
    <w:rsid w:val="009A5002"/>
    <w:rsid w:val="009A7339"/>
    <w:rsid w:val="009B440E"/>
    <w:rsid w:val="009D690D"/>
    <w:rsid w:val="009E65B6"/>
    <w:rsid w:val="009F48C3"/>
    <w:rsid w:val="009F77CF"/>
    <w:rsid w:val="00A11828"/>
    <w:rsid w:val="00A24C10"/>
    <w:rsid w:val="00A3365A"/>
    <w:rsid w:val="00A42AC3"/>
    <w:rsid w:val="00A430CF"/>
    <w:rsid w:val="00A54309"/>
    <w:rsid w:val="00AB2B93"/>
    <w:rsid w:val="00AB530F"/>
    <w:rsid w:val="00AB7E5B"/>
    <w:rsid w:val="00AC2883"/>
    <w:rsid w:val="00AD168C"/>
    <w:rsid w:val="00AE0EF1"/>
    <w:rsid w:val="00AE2937"/>
    <w:rsid w:val="00B07301"/>
    <w:rsid w:val="00B11F3E"/>
    <w:rsid w:val="00B224DE"/>
    <w:rsid w:val="00B324D4"/>
    <w:rsid w:val="00B422B6"/>
    <w:rsid w:val="00B46575"/>
    <w:rsid w:val="00B61777"/>
    <w:rsid w:val="00B807B4"/>
    <w:rsid w:val="00B84BBD"/>
    <w:rsid w:val="00B92671"/>
    <w:rsid w:val="00BA43FB"/>
    <w:rsid w:val="00BB37CA"/>
    <w:rsid w:val="00BC127D"/>
    <w:rsid w:val="00BC1FE6"/>
    <w:rsid w:val="00BF541C"/>
    <w:rsid w:val="00C0361E"/>
    <w:rsid w:val="00C061B6"/>
    <w:rsid w:val="00C22FDB"/>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3223"/>
    <w:rsid w:val="00CF1330"/>
    <w:rsid w:val="00CF7E36"/>
    <w:rsid w:val="00D3708D"/>
    <w:rsid w:val="00D40426"/>
    <w:rsid w:val="00D57C96"/>
    <w:rsid w:val="00D57D18"/>
    <w:rsid w:val="00D70B56"/>
    <w:rsid w:val="00D91203"/>
    <w:rsid w:val="00D95174"/>
    <w:rsid w:val="00DA4973"/>
    <w:rsid w:val="00DA6F36"/>
    <w:rsid w:val="00DB3A67"/>
    <w:rsid w:val="00DB596E"/>
    <w:rsid w:val="00DB7773"/>
    <w:rsid w:val="00DC00EA"/>
    <w:rsid w:val="00DC2FAE"/>
    <w:rsid w:val="00DC3802"/>
    <w:rsid w:val="00DD0917"/>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122"/>
    <w:rsid w:val="00F45372"/>
    <w:rsid w:val="00F560F7"/>
    <w:rsid w:val="00F6334D"/>
    <w:rsid w:val="00F63599"/>
    <w:rsid w:val="00F97E07"/>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1FA5441"/>
  <w15:docId w15:val="{8912A5F8-B9D6-4FB5-9D37-794E49D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uiPriority w:val="99"/>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Endofdocument-Annex">
    <w:name w:val="[End of document - Annex]"/>
    <w:basedOn w:val="Normal"/>
    <w:rsid w:val="00254AE7"/>
    <w:pPr>
      <w:ind w:left="5534"/>
      <w:jc w:val="left"/>
    </w:pPr>
    <w:rPr>
      <w:rFonts w:eastAsia="SimSun" w:cs="Arial"/>
      <w:sz w:val="22"/>
      <w:lang w:eastAsia="zh-CN"/>
    </w:rPr>
  </w:style>
  <w:style w:type="paragraph" w:styleId="ListParagraph">
    <w:name w:val="List Paragraph"/>
    <w:basedOn w:val="Normal"/>
    <w:uiPriority w:val="34"/>
    <w:qFormat/>
    <w:rsid w:val="00254AE7"/>
    <w:pPr>
      <w:ind w:left="720"/>
      <w:contextualSpacing/>
      <w:jc w:val="left"/>
    </w:pPr>
    <w:rPr>
      <w:rFonts w:eastAsia="SimSun" w:cs="Arial"/>
      <w:sz w:val="22"/>
      <w:lang w:eastAsia="zh-CN"/>
    </w:rPr>
  </w:style>
  <w:style w:type="character" w:customStyle="1" w:styleId="ClosingChar">
    <w:name w:val="Closing Char"/>
    <w:basedOn w:val="DefaultParagraphFont"/>
    <w:link w:val="Closing"/>
    <w:uiPriority w:val="99"/>
    <w:locked/>
    <w:rsid w:val="00537D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1910</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C/54/11</vt:lpstr>
    </vt:vector>
  </TitlesOfParts>
  <Company>UPOV</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C/54/11</dc:title>
  <dc:creator>SANCHEZ VIZCAINO GOMEZ Rosa Maria</dc:creator>
  <cp:lastModifiedBy>SANCHEZ VIZCAINO GOMEZ Rosa Maria</cp:lastModifiedBy>
  <cp:revision>12</cp:revision>
  <cp:lastPrinted>2016-11-22T15:41:00Z</cp:lastPrinted>
  <dcterms:created xsi:type="dcterms:W3CDTF">2020-07-06T12:00:00Z</dcterms:created>
  <dcterms:modified xsi:type="dcterms:W3CDTF">2020-07-27T17:01:00Z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6bd21154-4e82-49f7-bd0f-266167873179</vt:lpwstr>
  </property>
</Properties>
</file>