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21577" w:rsidTr="00EB4E9C">
        <w:tc>
          <w:tcPr>
            <w:tcW w:w="6522" w:type="dxa"/>
          </w:tcPr>
          <w:p w:rsidR="00DC3802" w:rsidRPr="00E21577" w:rsidRDefault="00DC3802" w:rsidP="00AC2883">
            <w:pPr>
              <w:rPr>
                <w:lang w:val="es-ES_tradnl"/>
              </w:rPr>
            </w:pPr>
            <w:r w:rsidRPr="00E21577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21577" w:rsidRDefault="004D71A3" w:rsidP="00AC2883">
            <w:pPr>
              <w:pStyle w:val="Lettrine"/>
              <w:rPr>
                <w:lang w:val="es-ES_tradnl"/>
              </w:rPr>
            </w:pPr>
            <w:r w:rsidRPr="00E21577">
              <w:rPr>
                <w:lang w:val="es-ES_tradnl"/>
              </w:rPr>
              <w:t>S</w:t>
            </w:r>
          </w:p>
        </w:tc>
      </w:tr>
      <w:tr w:rsidR="00DC3802" w:rsidRPr="00E21577" w:rsidTr="007F7156">
        <w:trPr>
          <w:trHeight w:val="219"/>
        </w:trPr>
        <w:tc>
          <w:tcPr>
            <w:tcW w:w="6522" w:type="dxa"/>
          </w:tcPr>
          <w:p w:rsidR="00DC3802" w:rsidRPr="00E21577" w:rsidRDefault="00D6359E" w:rsidP="006422F8">
            <w:pPr>
              <w:pStyle w:val="upove"/>
              <w:rPr>
                <w:lang w:val="es-ES_tradnl"/>
              </w:rPr>
            </w:pPr>
            <w:r w:rsidRPr="00E21577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21577" w:rsidRDefault="00DC3802" w:rsidP="00DA4973">
            <w:pPr>
              <w:rPr>
                <w:lang w:val="es-ES_tradnl"/>
              </w:rPr>
            </w:pPr>
          </w:p>
        </w:tc>
      </w:tr>
    </w:tbl>
    <w:p w:rsidR="00C91841" w:rsidRPr="00E21577" w:rsidRDefault="00C91841" w:rsidP="00DC3802">
      <w:pPr>
        <w:rPr>
          <w:lang w:val="es-ES_tradnl"/>
        </w:rPr>
      </w:pPr>
    </w:p>
    <w:p w:rsidR="00DA4973" w:rsidRPr="00E21577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21577" w:rsidTr="00EB4E9C">
        <w:tc>
          <w:tcPr>
            <w:tcW w:w="6512" w:type="dxa"/>
          </w:tcPr>
          <w:p w:rsidR="00C91841" w:rsidRPr="006E0A91" w:rsidRDefault="00D6359E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6E0A91">
              <w:rPr>
                <w:lang w:val="es-ES_tradnl"/>
              </w:rPr>
              <w:t>Consejo</w:t>
            </w:r>
          </w:p>
          <w:p w:rsidR="00EB4E9C" w:rsidRPr="006E0A91" w:rsidRDefault="00D6359E" w:rsidP="006422F8">
            <w:pPr>
              <w:pStyle w:val="Sessiontcplacedate"/>
              <w:rPr>
                <w:sz w:val="22"/>
                <w:lang w:val="es-ES_tradnl"/>
              </w:rPr>
            </w:pPr>
            <w:r w:rsidRPr="006E0A91">
              <w:rPr>
                <w:lang w:val="es-ES_tradnl"/>
              </w:rPr>
              <w:t>Quincuagésima tercera sesión ordinaria</w:t>
            </w:r>
            <w:r w:rsidR="00EB4E9C" w:rsidRPr="006E0A91">
              <w:rPr>
                <w:lang w:val="es-ES_tradnl"/>
              </w:rPr>
              <w:br/>
            </w:r>
            <w:r w:rsidRPr="006E0A91">
              <w:rPr>
                <w:lang w:val="es-ES_tradnl"/>
              </w:rPr>
              <w:t>Ginebra, 1 de noviembre de</w:t>
            </w:r>
            <w:r w:rsidR="00297D71" w:rsidRPr="006E0A91">
              <w:rPr>
                <w:lang w:val="es-ES_tradnl"/>
              </w:rPr>
              <w:t xml:space="preserve"> </w:t>
            </w:r>
            <w:r w:rsidRPr="006E0A91">
              <w:rPr>
                <w:lang w:val="es-ES_tradnl"/>
              </w:rPr>
              <w:t>2019</w:t>
            </w:r>
          </w:p>
        </w:tc>
        <w:tc>
          <w:tcPr>
            <w:tcW w:w="3127" w:type="dxa"/>
          </w:tcPr>
          <w:p w:rsidR="00C91841" w:rsidRPr="006E0A91" w:rsidRDefault="00782255" w:rsidP="003C7FBE">
            <w:pPr>
              <w:pStyle w:val="Doccode"/>
              <w:rPr>
                <w:lang w:val="es-ES_tradnl"/>
              </w:rPr>
            </w:pPr>
            <w:r w:rsidRPr="006E0A91">
              <w:rPr>
                <w:lang w:val="es-ES_tradnl"/>
              </w:rPr>
              <w:t>C</w:t>
            </w:r>
            <w:r w:rsidR="00D32A63" w:rsidRPr="006E0A91">
              <w:rPr>
                <w:lang w:val="es-ES_tradnl"/>
              </w:rPr>
              <w:t>/53/6</w:t>
            </w:r>
          </w:p>
          <w:p w:rsidR="00C91841" w:rsidRPr="006E0A91" w:rsidRDefault="00D6359E" w:rsidP="007F7156">
            <w:pPr>
              <w:pStyle w:val="Docoriginal"/>
              <w:rPr>
                <w:lang w:val="es-ES_tradnl"/>
              </w:rPr>
            </w:pPr>
            <w:r w:rsidRPr="006E0A91">
              <w:rPr>
                <w:lang w:val="es-ES_tradnl"/>
              </w:rPr>
              <w:t>Original:</w:t>
            </w:r>
            <w:r w:rsidRPr="006E0A91">
              <w:rPr>
                <w:b w:val="0"/>
                <w:spacing w:val="0"/>
                <w:lang w:val="es-ES_tradnl"/>
              </w:rPr>
              <w:t xml:space="preserve"> Inglés</w:t>
            </w:r>
          </w:p>
          <w:p w:rsidR="00EB4E9C" w:rsidRPr="00E21577" w:rsidRDefault="00D6359E" w:rsidP="00A73150">
            <w:pPr>
              <w:pStyle w:val="Docoriginal"/>
              <w:rPr>
                <w:lang w:val="es-ES_tradnl"/>
              </w:rPr>
            </w:pPr>
            <w:r w:rsidRPr="006E0A91">
              <w:rPr>
                <w:lang w:val="es-ES_tradnl"/>
              </w:rPr>
              <w:t>Fecha:</w:t>
            </w:r>
            <w:r w:rsidRPr="006E0A91">
              <w:rPr>
                <w:b w:val="0"/>
                <w:spacing w:val="0"/>
                <w:lang w:val="es-ES_tradnl"/>
              </w:rPr>
              <w:t xml:space="preserve"> </w:t>
            </w:r>
            <w:r w:rsidR="00A73150">
              <w:rPr>
                <w:b w:val="0"/>
                <w:spacing w:val="0"/>
                <w:lang w:val="es-ES_tradnl"/>
              </w:rPr>
              <w:t>5</w:t>
            </w:r>
            <w:r w:rsidRPr="006E0A91">
              <w:rPr>
                <w:b w:val="0"/>
                <w:spacing w:val="0"/>
                <w:lang w:val="es-ES_tradnl"/>
              </w:rPr>
              <w:t xml:space="preserve"> de </w:t>
            </w:r>
            <w:r w:rsidR="006E0A91" w:rsidRPr="006E0A91">
              <w:rPr>
                <w:b w:val="0"/>
                <w:spacing w:val="0"/>
                <w:lang w:val="es-ES_tradnl"/>
              </w:rPr>
              <w:t xml:space="preserve">agosto </w:t>
            </w:r>
            <w:r w:rsidRPr="006E0A91">
              <w:rPr>
                <w:b w:val="0"/>
                <w:spacing w:val="0"/>
                <w:lang w:val="es-ES_tradnl"/>
              </w:rPr>
              <w:t>de</w:t>
            </w:r>
            <w:r w:rsidR="00297D71" w:rsidRPr="006E0A91">
              <w:rPr>
                <w:b w:val="0"/>
                <w:spacing w:val="0"/>
                <w:lang w:val="es-ES_tradnl"/>
              </w:rPr>
              <w:t xml:space="preserve"> </w:t>
            </w:r>
            <w:r w:rsidRPr="006E0A91">
              <w:rPr>
                <w:b w:val="0"/>
                <w:spacing w:val="0"/>
                <w:lang w:val="es-ES_tradnl"/>
              </w:rPr>
              <w:t>2019</w:t>
            </w:r>
          </w:p>
        </w:tc>
      </w:tr>
    </w:tbl>
    <w:p w:rsidR="00C91841" w:rsidRPr="00E21577" w:rsidRDefault="00D6359E" w:rsidP="007F7156">
      <w:pPr>
        <w:pStyle w:val="Titleofdoc0"/>
        <w:rPr>
          <w:lang w:val="es-ES_tradnl"/>
        </w:rPr>
      </w:pPr>
      <w:bookmarkStart w:id="0" w:name="TitleOfDoc"/>
      <w:bookmarkEnd w:id="0"/>
      <w:r w:rsidRPr="00E21577">
        <w:rPr>
          <w:lang w:val="es-ES_tradnl"/>
        </w:rPr>
        <w:t>INFORME DEL AUDITOR EXTERNO</w:t>
      </w:r>
    </w:p>
    <w:p w:rsidR="00C91841" w:rsidRPr="00E21577" w:rsidRDefault="00D6359E" w:rsidP="007F7156">
      <w:pPr>
        <w:pStyle w:val="preparedby1"/>
        <w:jc w:val="left"/>
        <w:rPr>
          <w:lang w:val="es-ES_tradnl"/>
        </w:rPr>
      </w:pPr>
      <w:bookmarkStart w:id="1" w:name="Prepared"/>
      <w:bookmarkEnd w:id="1"/>
      <w:r w:rsidRPr="00E21577">
        <w:rPr>
          <w:lang w:val="es-ES_tradnl"/>
        </w:rPr>
        <w:t>Documento preparado por la Oficina de la Unión</w:t>
      </w:r>
    </w:p>
    <w:p w:rsidR="00C91841" w:rsidRPr="00E21577" w:rsidRDefault="00D6359E" w:rsidP="007F7156">
      <w:pPr>
        <w:pStyle w:val="Disclaimer"/>
        <w:rPr>
          <w:lang w:val="es-ES_tradnl"/>
        </w:rPr>
      </w:pPr>
      <w:r w:rsidRPr="00E21577">
        <w:rPr>
          <w:lang w:val="es-ES_tradnl"/>
        </w:rPr>
        <w:t xml:space="preserve">Descargo de responsabilidad: el presente documento no constituye un documento </w:t>
      </w:r>
      <w:r w:rsidR="007F7156" w:rsidRPr="00E21577">
        <w:rPr>
          <w:lang w:val="es-ES_tradnl"/>
        </w:rPr>
        <w:t>de política u orientación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</w:t>
      </w:r>
    </w:p>
    <w:p w:rsidR="00C91841" w:rsidRPr="00E21577" w:rsidRDefault="009103D9" w:rsidP="00FF5C42">
      <w:pPr>
        <w:rPr>
          <w:lang w:val="es-ES_tradnl"/>
        </w:rPr>
      </w:pPr>
      <w:r w:rsidRPr="00E21577">
        <w:rPr>
          <w:lang w:val="es-ES_tradnl"/>
        </w:rPr>
        <w:fldChar w:fldCharType="begin"/>
      </w:r>
      <w:r w:rsidR="00FF5C42" w:rsidRPr="00E21577">
        <w:rPr>
          <w:lang w:val="es-ES_tradnl"/>
        </w:rPr>
        <w:instrText xml:space="preserve"> AUTONUM  </w:instrText>
      </w:r>
      <w:r w:rsidRPr="00E21577">
        <w:rPr>
          <w:lang w:val="es-ES_tradnl"/>
        </w:rPr>
        <w:fldChar w:fldCharType="end"/>
      </w:r>
      <w:r w:rsidR="00FF5C42" w:rsidRPr="00E21577">
        <w:rPr>
          <w:lang w:val="es-ES_tradnl"/>
        </w:rPr>
        <w:tab/>
      </w:r>
      <w:r w:rsidR="00D6359E" w:rsidRPr="00E21577">
        <w:rPr>
          <w:lang w:val="es-ES_tradnl"/>
        </w:rPr>
        <w:t>Los estados financieros de la Unión Internacional para la Protección de las Obtenciones Vegetales (UPOV) correspondientes al ejercicio finalizado el</w:t>
      </w:r>
      <w:r w:rsidR="00297D71" w:rsidRPr="00E21577">
        <w:rPr>
          <w:lang w:val="es-ES_tradnl"/>
        </w:rPr>
        <w:t xml:space="preserve"> </w:t>
      </w:r>
      <w:r w:rsidR="00295370"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="00D6359E" w:rsidRPr="00E21577">
        <w:rPr>
          <w:lang w:val="es-ES_tradnl"/>
        </w:rPr>
        <w:t>2018</w:t>
      </w:r>
      <w:r w:rsidR="00295370" w:rsidRPr="00E21577">
        <w:rPr>
          <w:lang w:val="es-ES_tradnl"/>
        </w:rPr>
        <w:t xml:space="preserve"> y el informe del auditor externo se transmiten</w:t>
      </w:r>
      <w:r w:rsidR="00D6359E" w:rsidRPr="00E21577">
        <w:rPr>
          <w:lang w:val="es-ES_tradnl"/>
        </w:rPr>
        <w:t xml:space="preserve"> al Consejo de conformidad con lo dispuesto en el artículo</w:t>
      </w:r>
      <w:r w:rsidR="00297D71" w:rsidRPr="00E21577">
        <w:rPr>
          <w:lang w:val="es-ES_tradnl"/>
        </w:rPr>
        <w:t xml:space="preserve"> </w:t>
      </w:r>
      <w:r w:rsidR="00D6359E" w:rsidRPr="00E21577">
        <w:rPr>
          <w:lang w:val="es-ES_tradnl"/>
        </w:rPr>
        <w:t>6.5 del Reglamento Financiero y la Reglamentación Financiera de la</w:t>
      </w:r>
      <w:r w:rsidR="00297D71" w:rsidRPr="00E21577">
        <w:rPr>
          <w:lang w:val="es-ES_tradnl"/>
        </w:rPr>
        <w:t xml:space="preserve"> </w:t>
      </w:r>
      <w:r w:rsidR="00D6359E" w:rsidRPr="00E21577">
        <w:rPr>
          <w:lang w:val="es-ES_tradnl"/>
        </w:rPr>
        <w:t xml:space="preserve">UPOV (documento UPOV/INF/4/5), que establece el requisito de que los estados financieros sean examinados y aprobados por el Consejo. </w:t>
      </w:r>
      <w:r w:rsidR="008C27E1" w:rsidRPr="00E21577">
        <w:rPr>
          <w:lang w:val="es-ES_tradnl"/>
        </w:rPr>
        <w:t xml:space="preserve"> </w:t>
      </w:r>
      <w:r w:rsidR="002C1878" w:rsidRPr="00E21577">
        <w:rPr>
          <w:lang w:val="es-ES_tradnl"/>
        </w:rPr>
        <w:t>Los estados financieros de</w:t>
      </w:r>
      <w:r w:rsidR="00297D71" w:rsidRPr="00E21577">
        <w:rPr>
          <w:lang w:val="es-ES_tradnl"/>
        </w:rPr>
        <w:t xml:space="preserve"> </w:t>
      </w:r>
      <w:r w:rsidR="002C1878" w:rsidRPr="00E21577">
        <w:rPr>
          <w:lang w:val="es-ES_tradnl"/>
        </w:rPr>
        <w:t>2018 figuran en el documento C/53/5.</w:t>
      </w:r>
      <w:r w:rsidR="00D6359E" w:rsidRPr="00E21577">
        <w:rPr>
          <w:lang w:val="es-ES_tradnl"/>
        </w:rPr>
        <w:t xml:space="preserve"> </w:t>
      </w:r>
      <w:r w:rsidR="008C27E1" w:rsidRPr="00E21577">
        <w:rPr>
          <w:lang w:val="es-ES_tradnl"/>
        </w:rPr>
        <w:t xml:space="preserve"> </w:t>
      </w:r>
      <w:r w:rsidR="002C1878" w:rsidRPr="00E21577">
        <w:rPr>
          <w:lang w:val="es-ES_tradnl"/>
        </w:rPr>
        <w:t>El Anexo del presente documento contiene el informe de auditoría del auditor externo.</w:t>
      </w:r>
    </w:p>
    <w:p w:rsidR="00C91841" w:rsidRPr="00E21577" w:rsidRDefault="00C91841" w:rsidP="00FF5C42">
      <w:pPr>
        <w:rPr>
          <w:lang w:val="es-ES_tradnl"/>
        </w:rPr>
      </w:pPr>
    </w:p>
    <w:p w:rsidR="00C91841" w:rsidRPr="00E21577" w:rsidRDefault="009103D9" w:rsidP="00FF5C42">
      <w:pPr>
        <w:pStyle w:val="DecisionParagraphs"/>
        <w:rPr>
          <w:rFonts w:cs="Arial"/>
          <w:lang w:val="es-ES_tradnl"/>
        </w:rPr>
      </w:pPr>
      <w:r w:rsidRPr="00E21577">
        <w:rPr>
          <w:rFonts w:cs="Arial"/>
          <w:lang w:val="es-ES_tradnl"/>
        </w:rPr>
        <w:fldChar w:fldCharType="begin"/>
      </w:r>
      <w:r w:rsidR="00FF5C42" w:rsidRPr="00E21577">
        <w:rPr>
          <w:rFonts w:cs="Arial"/>
          <w:lang w:val="es-ES_tradnl"/>
        </w:rPr>
        <w:instrText xml:space="preserve"> AUTONUM  </w:instrText>
      </w:r>
      <w:r w:rsidRPr="00E21577">
        <w:rPr>
          <w:rFonts w:cs="Arial"/>
          <w:lang w:val="es-ES_tradnl"/>
        </w:rPr>
        <w:fldChar w:fldCharType="end"/>
      </w:r>
      <w:r w:rsidR="00FF5C42" w:rsidRPr="00E21577">
        <w:rPr>
          <w:rFonts w:cs="Arial"/>
          <w:lang w:val="es-ES_tradnl"/>
        </w:rPr>
        <w:tab/>
      </w:r>
      <w:r w:rsidR="002C1878" w:rsidRPr="00E21577">
        <w:rPr>
          <w:rFonts w:cs="Arial"/>
          <w:lang w:val="es-ES_tradnl"/>
        </w:rPr>
        <w:t>Se invita al Consejo a tomar nota del contenido del presente documento.</w:t>
      </w:r>
    </w:p>
    <w:p w:rsidR="00C91841" w:rsidRPr="00E21577" w:rsidRDefault="00C91841" w:rsidP="00FF5C42">
      <w:pPr>
        <w:jc w:val="left"/>
        <w:rPr>
          <w:lang w:val="es-ES_tradnl"/>
        </w:rPr>
      </w:pPr>
    </w:p>
    <w:p w:rsidR="00C91841" w:rsidRPr="00E21577" w:rsidRDefault="00C91841" w:rsidP="00FF5C42">
      <w:pPr>
        <w:rPr>
          <w:lang w:val="es-ES_tradnl"/>
        </w:rPr>
      </w:pPr>
    </w:p>
    <w:p w:rsidR="00C91841" w:rsidRPr="00E21577" w:rsidRDefault="00C91841" w:rsidP="00FF5C42">
      <w:pPr>
        <w:rPr>
          <w:lang w:val="es-ES_tradnl"/>
        </w:rPr>
      </w:pPr>
    </w:p>
    <w:p w:rsidR="00C91841" w:rsidRPr="00E21577" w:rsidRDefault="002C1878" w:rsidP="00FF5C42">
      <w:pPr>
        <w:jc w:val="right"/>
        <w:rPr>
          <w:lang w:val="es-ES_tradnl"/>
        </w:rPr>
      </w:pPr>
      <w:r w:rsidRPr="00E21577">
        <w:rPr>
          <w:lang w:val="es-ES_tradnl"/>
        </w:rPr>
        <w:t>[Sigue el Anexo]</w:t>
      </w:r>
    </w:p>
    <w:p w:rsidR="00C91841" w:rsidRPr="00E21577" w:rsidRDefault="00C91841" w:rsidP="004B1215">
      <w:pPr>
        <w:rPr>
          <w:lang w:val="es-ES_tradnl"/>
        </w:rPr>
      </w:pPr>
    </w:p>
    <w:p w:rsidR="00C91841" w:rsidRPr="00E21577" w:rsidRDefault="00C91841" w:rsidP="00050E16">
      <w:pPr>
        <w:rPr>
          <w:lang w:val="es-ES_tradnl"/>
        </w:rPr>
      </w:pPr>
    </w:p>
    <w:p w:rsidR="00C91841" w:rsidRPr="00E21577" w:rsidRDefault="00C91841">
      <w:pPr>
        <w:jc w:val="left"/>
        <w:rPr>
          <w:lang w:val="es-ES_tradnl"/>
        </w:rPr>
      </w:pPr>
    </w:p>
    <w:p w:rsidR="00C355C3" w:rsidRPr="00E21577" w:rsidRDefault="00C355C3" w:rsidP="009B440E">
      <w:pPr>
        <w:jc w:val="left"/>
        <w:rPr>
          <w:lang w:val="es-ES_tradnl"/>
        </w:rPr>
        <w:sectPr w:rsidR="00C355C3" w:rsidRPr="00E21577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tbl>
      <w:tblPr>
        <w:tblpPr w:leftFromText="181" w:rightFromText="181" w:vertAnchor="text" w:horzAnchor="margin" w:tblpXSpec="right" w:tblpY="1"/>
        <w:tblW w:w="985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55"/>
      </w:tblGrid>
      <w:tr w:rsidR="00E124B9" w:rsidRPr="00E21577" w:rsidTr="007F7156">
        <w:trPr>
          <w:trHeight w:val="4143"/>
        </w:trPr>
        <w:tc>
          <w:tcPr>
            <w:tcW w:w="9855" w:type="dxa"/>
            <w:tcBorders>
              <w:bottom w:val="single" w:sz="4" w:space="0" w:color="auto"/>
            </w:tcBorders>
          </w:tcPr>
          <w:p w:rsidR="00C91841" w:rsidRPr="00E21577" w:rsidRDefault="00900563" w:rsidP="007F7156">
            <w:pPr>
              <w:pStyle w:val="zzDocType"/>
              <w:spacing w:after="160"/>
              <w:rPr>
                <w:lang w:val="es-ES_tradnl"/>
              </w:rPr>
            </w:pPr>
            <w:bookmarkStart w:id="2" w:name="SW0000"/>
            <w:r w:rsidRPr="00E21577">
              <w:rPr>
                <w:lang w:val="es-ES_tradnl"/>
              </w:rPr>
              <w:lastRenderedPageBreak/>
              <w:t>MAYO</w:t>
            </w:r>
            <w:r w:rsidR="007B6E4A" w:rsidRPr="00E21577">
              <w:rPr>
                <w:lang w:val="es-ES_tradnl"/>
              </w:rPr>
              <w:t xml:space="preserve"> DE</w:t>
            </w:r>
            <w:r w:rsidR="00297D71" w:rsidRPr="00E21577">
              <w:rPr>
                <w:lang w:val="es-ES_tradnl"/>
              </w:rPr>
              <w:t xml:space="preserve"> </w:t>
            </w:r>
            <w:r w:rsidR="007B6E4A" w:rsidRPr="00E21577">
              <w:rPr>
                <w:lang w:val="es-ES_tradnl"/>
              </w:rPr>
              <w:t>2019</w:t>
            </w:r>
          </w:p>
          <w:p w:rsidR="00C91841" w:rsidRPr="00E21577" w:rsidRDefault="00C91841" w:rsidP="00E124B9">
            <w:pPr>
              <w:pStyle w:val="BodyText"/>
              <w:rPr>
                <w:lang w:val="es-ES_tradnl"/>
              </w:rPr>
            </w:pPr>
          </w:p>
          <w:p w:rsidR="00E124B9" w:rsidRPr="00E21577" w:rsidRDefault="00E124B9" w:rsidP="00E124B9">
            <w:pPr>
              <w:pStyle w:val="BodyText"/>
              <w:rPr>
                <w:lang w:val="es-ES_tradnl"/>
              </w:rPr>
            </w:pPr>
          </w:p>
        </w:tc>
      </w:tr>
      <w:tr w:rsidR="00E124B9" w:rsidRPr="00E21577" w:rsidTr="007F7156">
        <w:trPr>
          <w:trHeight w:val="5561"/>
        </w:trPr>
        <w:tc>
          <w:tcPr>
            <w:tcW w:w="9855" w:type="dxa"/>
            <w:tcBorders>
              <w:top w:val="single" w:sz="4" w:space="0" w:color="auto"/>
            </w:tcBorders>
          </w:tcPr>
          <w:p w:rsidR="00C91841" w:rsidRPr="00E21577" w:rsidRDefault="007B6E4A" w:rsidP="00E124B9">
            <w:pPr>
              <w:pStyle w:val="zzDepartmentname"/>
              <w:rPr>
                <w:lang w:val="es-ES_tradnl"/>
              </w:rPr>
            </w:pPr>
            <w:r w:rsidRPr="00E21577">
              <w:rPr>
                <w:lang w:val="es-ES_tradnl"/>
              </w:rPr>
              <w:t>Unión Internacional para la Protección de las Obtenciones Vegetales</w:t>
            </w:r>
          </w:p>
          <w:p w:rsidR="00E124B9" w:rsidRPr="00E21577" w:rsidRDefault="007B6E4A" w:rsidP="00900563">
            <w:pPr>
              <w:pStyle w:val="zzReporttitle"/>
              <w:spacing w:line="240" w:lineRule="auto"/>
              <w:rPr>
                <w:spacing w:val="0"/>
                <w:lang w:val="es-ES_tradnl"/>
              </w:rPr>
            </w:pPr>
            <w:r w:rsidRPr="00E21577">
              <w:rPr>
                <w:spacing w:val="0"/>
                <w:lang w:val="es-ES_tradnl"/>
              </w:rPr>
              <w:t>Informe del au</w:t>
            </w:r>
            <w:r w:rsidR="00900563" w:rsidRPr="00E21577">
              <w:rPr>
                <w:spacing w:val="0"/>
                <w:lang w:val="es-ES_tradnl"/>
              </w:rPr>
              <w:t>ditor externo sobre los estados</w:t>
            </w:r>
            <w:r w:rsidR="00297D71" w:rsidRPr="00E21577">
              <w:rPr>
                <w:spacing w:val="0"/>
                <w:lang w:val="es-ES_tradnl"/>
              </w:rPr>
              <w:t xml:space="preserve"> </w:t>
            </w:r>
            <w:r w:rsidRPr="00E21577">
              <w:rPr>
                <w:spacing w:val="0"/>
                <w:lang w:val="es-ES_tradnl"/>
              </w:rPr>
              <w:t>financieros de la</w:t>
            </w:r>
            <w:r w:rsidR="00297D71" w:rsidRPr="00E21577">
              <w:rPr>
                <w:spacing w:val="0"/>
                <w:lang w:val="es-ES_tradnl"/>
              </w:rPr>
              <w:t xml:space="preserve"> </w:t>
            </w:r>
            <w:r w:rsidRPr="00E21577">
              <w:rPr>
                <w:spacing w:val="0"/>
                <w:lang w:val="es-ES_tradnl"/>
              </w:rPr>
              <w:t xml:space="preserve">UPOV </w:t>
            </w:r>
            <w:r w:rsidR="00900563" w:rsidRPr="00E21577">
              <w:rPr>
                <w:spacing w:val="0"/>
                <w:lang w:val="es-ES_tradnl"/>
              </w:rPr>
              <w:t xml:space="preserve">de </w:t>
            </w:r>
            <w:r w:rsidRPr="00E21577">
              <w:rPr>
                <w:spacing w:val="0"/>
                <w:lang w:val="es-ES_tradnl"/>
              </w:rPr>
              <w:t>2018</w:t>
            </w:r>
          </w:p>
        </w:tc>
      </w:tr>
      <w:tr w:rsidR="00E124B9" w:rsidRPr="00E21577" w:rsidTr="007F7156">
        <w:trPr>
          <w:trHeight w:val="2351"/>
        </w:trPr>
        <w:tc>
          <w:tcPr>
            <w:tcW w:w="9855" w:type="dxa"/>
            <w:vAlign w:val="bottom"/>
          </w:tcPr>
          <w:p w:rsidR="00E124B9" w:rsidRPr="00E21577" w:rsidRDefault="00E124B9" w:rsidP="00E124B9">
            <w:pPr>
              <w:rPr>
                <w:lang w:val="es-ES_tradnl"/>
              </w:rPr>
            </w:pPr>
            <w:bookmarkStart w:id="3" w:name="CoverPageText"/>
          </w:p>
        </w:tc>
      </w:tr>
      <w:bookmarkEnd w:id="3"/>
    </w:tbl>
    <w:p w:rsidR="00C91841" w:rsidRPr="00E21577" w:rsidRDefault="00C91841" w:rsidP="00E124B9">
      <w:pPr>
        <w:pStyle w:val="BodyText"/>
        <w:rPr>
          <w:lang w:val="es-ES_tradnl"/>
        </w:rPr>
      </w:pPr>
    </w:p>
    <w:p w:rsidR="00C91841" w:rsidRPr="00E21577" w:rsidRDefault="00C91841" w:rsidP="00E124B9">
      <w:pPr>
        <w:pStyle w:val="BodyText"/>
        <w:jc w:val="right"/>
        <w:rPr>
          <w:lang w:val="es-ES_tradnl"/>
        </w:rPr>
      </w:pPr>
    </w:p>
    <w:p w:rsidR="00E124B9" w:rsidRPr="00E21577" w:rsidRDefault="00E124B9" w:rsidP="00E124B9">
      <w:pPr>
        <w:rPr>
          <w:lang w:val="es-ES_tradnl"/>
        </w:rPr>
      </w:pPr>
    </w:p>
    <w:tbl>
      <w:tblPr>
        <w:tblW w:w="7371" w:type="dxa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E124B9" w:rsidRPr="00E21577" w:rsidTr="00297D71">
        <w:trPr>
          <w:trHeight w:val="7382"/>
        </w:trPr>
        <w:tc>
          <w:tcPr>
            <w:tcW w:w="7371" w:type="dxa"/>
          </w:tcPr>
          <w:bookmarkEnd w:id="2"/>
          <w:p w:rsidR="00C91841" w:rsidRPr="00E21577" w:rsidRDefault="00445AD9" w:rsidP="00297D71">
            <w:pPr>
              <w:pStyle w:val="Mission"/>
              <w:rPr>
                <w:lang w:val="es-ES_tradnl"/>
              </w:rPr>
            </w:pPr>
            <w:r w:rsidRPr="00E21577">
              <w:rPr>
                <w:lang w:val="es-ES_tradnl"/>
              </w:rPr>
              <w:lastRenderedPageBreak/>
              <w:t>La auditoría tiene por finalidad proporcionar garantías independientes a los miembros, añadir valor a la gestión financiera y a la gobernanza de la</w:t>
            </w:r>
            <w:r w:rsidR="00297D71" w:rsidRPr="00E21577">
              <w:rPr>
                <w:lang w:val="es-ES_tradnl"/>
              </w:rPr>
              <w:t xml:space="preserve"> </w:t>
            </w:r>
            <w:r w:rsidRPr="00E21577">
              <w:rPr>
                <w:lang w:val="es-ES_tradnl"/>
              </w:rPr>
              <w:t>UPOV y apoyar sus objetivos a través del proceso de auditoría externa</w:t>
            </w:r>
            <w:r w:rsidR="007B6E4A" w:rsidRPr="00E21577">
              <w:rPr>
                <w:lang w:val="es-ES_tradnl"/>
              </w:rPr>
              <w:t>.</w:t>
            </w:r>
          </w:p>
          <w:p w:rsidR="00E124B9" w:rsidRPr="00E21577" w:rsidRDefault="00E124B9" w:rsidP="00E124B9">
            <w:pPr>
              <w:pStyle w:val="Mission"/>
              <w:rPr>
                <w:lang w:val="es-ES_tradnl"/>
              </w:rPr>
            </w:pPr>
          </w:p>
        </w:tc>
      </w:tr>
      <w:tr w:rsidR="00E124B9" w:rsidRPr="00E21577" w:rsidTr="00297D71">
        <w:trPr>
          <w:cantSplit/>
          <w:trHeight w:val="5043"/>
        </w:trPr>
        <w:tc>
          <w:tcPr>
            <w:tcW w:w="7371" w:type="dxa"/>
            <w:vAlign w:val="bottom"/>
          </w:tcPr>
          <w:p w:rsidR="00C91841" w:rsidRPr="00E21577" w:rsidRDefault="00E92BAD" w:rsidP="00297D71">
            <w:pPr>
              <w:pStyle w:val="zzDoNotRemove"/>
              <w:spacing w:after="160"/>
              <w:rPr>
                <w:lang w:val="es-ES_tradnl"/>
              </w:rPr>
            </w:pPr>
            <w:r w:rsidRPr="00E21577">
              <w:rPr>
                <w:lang w:val="es-ES_tradnl"/>
              </w:rPr>
              <w:t xml:space="preserve">El contralor y auditor general es el jefe de la </w:t>
            </w:r>
            <w:r w:rsidR="00DB7160" w:rsidRPr="00E21577">
              <w:rPr>
                <w:lang w:val="es-ES_tradnl"/>
              </w:rPr>
              <w:t>Oficina Nacional de Auditoría</w:t>
            </w:r>
            <w:r w:rsidR="00297D71" w:rsidRPr="00E21577">
              <w:rPr>
                <w:lang w:val="es-ES_tradnl"/>
              </w:rPr>
              <w:t xml:space="preserve">, la </w:t>
            </w:r>
            <w:r w:rsidRPr="00E21577">
              <w:rPr>
                <w:lang w:val="es-ES_tradnl"/>
              </w:rPr>
              <w:t>entidad suprema de auditoría del Reino</w:t>
            </w:r>
            <w:r w:rsidR="00297D71" w:rsidRPr="00E21577">
              <w:rPr>
                <w:lang w:val="es-ES_tradnl"/>
              </w:rPr>
              <w:t xml:space="preserve"> </w:t>
            </w:r>
            <w:r w:rsidRPr="00E21577">
              <w:rPr>
                <w:lang w:val="es-ES_tradnl"/>
              </w:rPr>
              <w:t>Unido</w:t>
            </w:r>
            <w:r w:rsidR="00B10646" w:rsidRPr="00E21577">
              <w:rPr>
                <w:lang w:val="es-ES_tradnl"/>
              </w:rPr>
              <w:t>.</w:t>
            </w:r>
            <w:r w:rsidR="00E124B9" w:rsidRPr="00E21577">
              <w:rPr>
                <w:lang w:val="es-ES_tradnl"/>
              </w:rPr>
              <w:t xml:space="preserve"> </w:t>
            </w:r>
            <w:r w:rsidRPr="00E21577">
              <w:rPr>
                <w:lang w:val="es-ES_tradnl"/>
              </w:rPr>
              <w:t>El c</w:t>
            </w:r>
            <w:r w:rsidR="00297D71" w:rsidRPr="00E21577">
              <w:rPr>
                <w:lang w:val="es-ES_tradnl"/>
              </w:rPr>
              <w:t xml:space="preserve">ontralor y auditor general y la </w:t>
            </w:r>
            <w:r w:rsidR="00DB7160" w:rsidRPr="00E21577">
              <w:rPr>
                <w:lang w:val="es-ES_tradnl"/>
              </w:rPr>
              <w:t>Oficina Nacional de Auditoría</w:t>
            </w:r>
            <w:r w:rsidRPr="00E21577">
              <w:rPr>
                <w:lang w:val="es-ES_tradnl"/>
              </w:rPr>
              <w:t xml:space="preserve"> son independientes del Gobierno del Reino</w:t>
            </w:r>
            <w:r w:rsidR="00297D71" w:rsidRPr="00E21577">
              <w:rPr>
                <w:lang w:val="es-ES_tradnl"/>
              </w:rPr>
              <w:t xml:space="preserve"> </w:t>
            </w:r>
            <w:r w:rsidRPr="00E21577">
              <w:rPr>
                <w:lang w:val="es-ES_tradnl"/>
              </w:rPr>
              <w:t>Unido y garantizan el gasto adecuado y eficiente de los fondos públicos y la rendición de cuentas ante el Parlamento del Reino</w:t>
            </w:r>
            <w:r w:rsidR="00297D71" w:rsidRPr="00E21577">
              <w:rPr>
                <w:lang w:val="es-ES_tradnl"/>
              </w:rPr>
              <w:t xml:space="preserve"> </w:t>
            </w:r>
            <w:r w:rsidRPr="00E21577">
              <w:rPr>
                <w:lang w:val="es-ES_tradnl"/>
              </w:rPr>
              <w:t>Unido.</w:t>
            </w:r>
            <w:r w:rsidR="00E124B9" w:rsidRPr="00E21577">
              <w:rPr>
                <w:lang w:val="es-ES_tradnl"/>
              </w:rPr>
              <w:t xml:space="preserve"> </w:t>
            </w:r>
            <w:r w:rsidRPr="00E21577">
              <w:rPr>
                <w:lang w:val="es-ES_tradnl"/>
              </w:rPr>
              <w:t xml:space="preserve">La </w:t>
            </w:r>
            <w:r w:rsidR="00DB7160" w:rsidRPr="00E21577">
              <w:rPr>
                <w:lang w:val="es-ES_tradnl"/>
              </w:rPr>
              <w:t>Oficina Nacional de Auditoría</w:t>
            </w:r>
            <w:r w:rsidRPr="00E21577">
              <w:rPr>
                <w:lang w:val="es-ES_tradnl"/>
              </w:rPr>
              <w:t xml:space="preserve"> presta servicios de auditoría externa a varias organizaciones internacionales, independientemente de su función de entidad suprema de auditoría del Reino</w:t>
            </w:r>
            <w:r w:rsidR="00694232" w:rsidRPr="00E21577">
              <w:rPr>
                <w:lang w:val="es-ES_tradnl"/>
              </w:rPr>
              <w:t> </w:t>
            </w:r>
            <w:r w:rsidRPr="00E21577">
              <w:rPr>
                <w:lang w:val="es-ES_tradnl"/>
              </w:rPr>
              <w:t>Unido.</w:t>
            </w:r>
          </w:p>
          <w:p w:rsidR="00E124B9" w:rsidRPr="00E21577" w:rsidRDefault="00E124B9" w:rsidP="00E124B9">
            <w:pPr>
              <w:pStyle w:val="zzDoNotRemove"/>
              <w:rPr>
                <w:lang w:val="es-ES_tradnl"/>
              </w:rPr>
            </w:pPr>
          </w:p>
        </w:tc>
      </w:tr>
    </w:tbl>
    <w:p w:rsidR="00E124B9" w:rsidRPr="00E21577" w:rsidRDefault="00E124B9" w:rsidP="00E124B9">
      <w:pPr>
        <w:rPr>
          <w:lang w:val="es-ES_tradnl"/>
        </w:rPr>
        <w:sectPr w:rsidR="00E124B9" w:rsidRPr="00E21577" w:rsidSect="00E124B9">
          <w:headerReference w:type="default" r:id="rId10"/>
          <w:headerReference w:type="first" r:id="rId11"/>
          <w:pgSz w:w="11907" w:h="16840" w:code="9"/>
          <w:pgMar w:top="2438" w:right="1134" w:bottom="1134" w:left="1134" w:header="510" w:footer="680" w:gutter="0"/>
          <w:pgNumType w:start="1"/>
          <w:cols w:space="720"/>
          <w:titlePg/>
        </w:sectPr>
      </w:pPr>
    </w:p>
    <w:p w:rsidR="00C91841" w:rsidRPr="00E21577" w:rsidRDefault="00E92BAD" w:rsidP="007F7156">
      <w:pPr>
        <w:pStyle w:val="zzContentsHeader"/>
        <w:rPr>
          <w:lang w:val="es-ES_tradnl"/>
        </w:rPr>
      </w:pPr>
      <w:r w:rsidRPr="00E21577">
        <w:rPr>
          <w:lang w:val="es-ES_tradnl"/>
        </w:rPr>
        <w:lastRenderedPageBreak/>
        <w:t>Índice</w:t>
      </w:r>
    </w:p>
    <w:p w:rsidR="00297D71" w:rsidRPr="00E21577" w:rsidRDefault="00766372">
      <w:pPr>
        <w:pStyle w:val="TOC1"/>
        <w:rPr>
          <w:rFonts w:asciiTheme="minorHAnsi" w:eastAsiaTheme="minorEastAsia" w:hAnsiTheme="minorHAnsi" w:cstheme="minorBidi"/>
          <w:b w:val="0"/>
          <w:bCs w:val="0"/>
          <w:color w:val="auto"/>
          <w:szCs w:val="22"/>
          <w:lang w:val="es-ES_tradnl"/>
        </w:rPr>
      </w:pPr>
      <w:r w:rsidRPr="00E21577">
        <w:rPr>
          <w:noProof w:val="0"/>
          <w:lang w:val="es-ES_tradnl"/>
        </w:rPr>
        <w:fldChar w:fldCharType="begin"/>
      </w:r>
      <w:r w:rsidRPr="00E21577">
        <w:rPr>
          <w:noProof w:val="0"/>
          <w:lang w:val="es-ES_tradnl"/>
        </w:rPr>
        <w:instrText xml:space="preserve"> TOC \o "1-2" \h \z \u </w:instrText>
      </w:r>
      <w:r w:rsidRPr="00E21577">
        <w:rPr>
          <w:noProof w:val="0"/>
          <w:lang w:val="es-ES_tradnl"/>
        </w:rPr>
        <w:fldChar w:fldCharType="separate"/>
      </w:r>
      <w:hyperlink w:anchor="_Toc15484875" w:history="1">
        <w:r w:rsidR="00297D71" w:rsidRPr="00E21577">
          <w:rPr>
            <w:rStyle w:val="Hyperlink"/>
            <w:lang w:val="es-ES_tradnl"/>
          </w:rPr>
          <w:t>Introducción</w:t>
        </w:r>
        <w:r w:rsidR="00297D71" w:rsidRPr="00E21577">
          <w:rPr>
            <w:webHidden/>
            <w:lang w:val="es-ES_tradnl"/>
          </w:rPr>
          <w:tab/>
        </w:r>
        <w:r w:rsidR="00297D71" w:rsidRPr="00E21577">
          <w:rPr>
            <w:webHidden/>
            <w:lang w:val="es-ES_tradnl"/>
          </w:rPr>
          <w:fldChar w:fldCharType="begin"/>
        </w:r>
        <w:r w:rsidR="00297D71" w:rsidRPr="00E21577">
          <w:rPr>
            <w:webHidden/>
            <w:lang w:val="es-ES_tradnl"/>
          </w:rPr>
          <w:instrText xml:space="preserve"> PAGEREF _Toc15484875 \h </w:instrText>
        </w:r>
        <w:r w:rsidR="00297D71" w:rsidRPr="00E21577">
          <w:rPr>
            <w:webHidden/>
            <w:lang w:val="es-ES_tradnl"/>
          </w:rPr>
        </w:r>
        <w:r w:rsidR="00297D71" w:rsidRPr="00E21577">
          <w:rPr>
            <w:webHidden/>
            <w:lang w:val="es-ES_tradnl"/>
          </w:rPr>
          <w:fldChar w:fldCharType="separate"/>
        </w:r>
        <w:r w:rsidR="00950210">
          <w:rPr>
            <w:webHidden/>
            <w:lang w:val="es-ES_tradnl"/>
          </w:rPr>
          <w:t>4</w:t>
        </w:r>
        <w:r w:rsidR="00297D71" w:rsidRPr="00E21577">
          <w:rPr>
            <w:webHidden/>
            <w:lang w:val="es-ES_tradnl"/>
          </w:rPr>
          <w:fldChar w:fldCharType="end"/>
        </w:r>
      </w:hyperlink>
    </w:p>
    <w:p w:rsidR="00297D71" w:rsidRPr="00E21577" w:rsidRDefault="00950210">
      <w:pPr>
        <w:pStyle w:val="TOC2"/>
        <w:rPr>
          <w:rFonts w:asciiTheme="minorHAnsi" w:eastAsiaTheme="minorEastAsia" w:hAnsiTheme="minorHAnsi" w:cstheme="minorBidi"/>
          <w:color w:val="auto"/>
          <w:szCs w:val="22"/>
          <w:lang w:val="es-ES_tradnl"/>
        </w:rPr>
      </w:pPr>
      <w:hyperlink w:anchor="_Toc15484876" w:history="1">
        <w:r w:rsidR="00297D71" w:rsidRPr="00E21577">
          <w:rPr>
            <w:rStyle w:val="Hyperlink"/>
            <w:lang w:val="es-ES_tradnl"/>
          </w:rPr>
          <w:t>Resultados generales de la auditoría</w:t>
        </w:r>
        <w:r w:rsidR="00297D71" w:rsidRPr="00E21577">
          <w:rPr>
            <w:webHidden/>
            <w:lang w:val="es-ES_tradnl"/>
          </w:rPr>
          <w:tab/>
        </w:r>
        <w:r w:rsidR="00297D71" w:rsidRPr="00E21577">
          <w:rPr>
            <w:webHidden/>
            <w:lang w:val="es-ES_tradnl"/>
          </w:rPr>
          <w:fldChar w:fldCharType="begin"/>
        </w:r>
        <w:r w:rsidR="00297D71" w:rsidRPr="00E21577">
          <w:rPr>
            <w:webHidden/>
            <w:lang w:val="es-ES_tradnl"/>
          </w:rPr>
          <w:instrText xml:space="preserve"> PAGEREF _Toc15484876 \h </w:instrText>
        </w:r>
        <w:r w:rsidR="00297D71" w:rsidRPr="00E21577">
          <w:rPr>
            <w:webHidden/>
            <w:lang w:val="es-ES_tradnl"/>
          </w:rPr>
        </w:r>
        <w:r w:rsidR="00297D71" w:rsidRPr="00E21577">
          <w:rPr>
            <w:webHidden/>
            <w:lang w:val="es-ES_tradnl"/>
          </w:rPr>
          <w:fldChar w:fldCharType="separate"/>
        </w:r>
        <w:r>
          <w:rPr>
            <w:webHidden/>
            <w:lang w:val="es-ES_tradnl"/>
          </w:rPr>
          <w:t>4</w:t>
        </w:r>
        <w:r w:rsidR="00297D71" w:rsidRPr="00E21577">
          <w:rPr>
            <w:webHidden/>
            <w:lang w:val="es-ES_tradnl"/>
          </w:rPr>
          <w:fldChar w:fldCharType="end"/>
        </w:r>
      </w:hyperlink>
    </w:p>
    <w:p w:rsidR="00297D71" w:rsidRPr="00E21577" w:rsidRDefault="00950210">
      <w:pPr>
        <w:pStyle w:val="TOC2"/>
        <w:rPr>
          <w:rFonts w:asciiTheme="minorHAnsi" w:eastAsiaTheme="minorEastAsia" w:hAnsiTheme="minorHAnsi" w:cstheme="minorBidi"/>
          <w:color w:val="auto"/>
          <w:szCs w:val="22"/>
          <w:lang w:val="es-ES_tradnl"/>
        </w:rPr>
      </w:pPr>
      <w:hyperlink w:anchor="_Toc15484877" w:history="1">
        <w:r w:rsidR="00297D71" w:rsidRPr="00E21577">
          <w:rPr>
            <w:rStyle w:val="Hyperlink"/>
            <w:lang w:val="es-ES_tradnl"/>
          </w:rPr>
          <w:t>Observaciones financieras</w:t>
        </w:r>
        <w:r w:rsidR="00297D71" w:rsidRPr="00E21577">
          <w:rPr>
            <w:webHidden/>
            <w:lang w:val="es-ES_tradnl"/>
          </w:rPr>
          <w:tab/>
        </w:r>
        <w:r w:rsidR="00297D71" w:rsidRPr="00E21577">
          <w:rPr>
            <w:webHidden/>
            <w:lang w:val="es-ES_tradnl"/>
          </w:rPr>
          <w:fldChar w:fldCharType="begin"/>
        </w:r>
        <w:r w:rsidR="00297D71" w:rsidRPr="00E21577">
          <w:rPr>
            <w:webHidden/>
            <w:lang w:val="es-ES_tradnl"/>
          </w:rPr>
          <w:instrText xml:space="preserve"> PAGEREF _Toc15484877 \h </w:instrText>
        </w:r>
        <w:r w:rsidR="00297D71" w:rsidRPr="00E21577">
          <w:rPr>
            <w:webHidden/>
            <w:lang w:val="es-ES_tradnl"/>
          </w:rPr>
        </w:r>
        <w:r w:rsidR="00297D71" w:rsidRPr="00E21577">
          <w:rPr>
            <w:webHidden/>
            <w:lang w:val="es-ES_tradnl"/>
          </w:rPr>
          <w:fldChar w:fldCharType="separate"/>
        </w:r>
        <w:r>
          <w:rPr>
            <w:webHidden/>
            <w:lang w:val="es-ES_tradnl"/>
          </w:rPr>
          <w:t>7</w:t>
        </w:r>
        <w:r w:rsidR="00297D71" w:rsidRPr="00E21577">
          <w:rPr>
            <w:webHidden/>
            <w:lang w:val="es-ES_tradnl"/>
          </w:rPr>
          <w:fldChar w:fldCharType="end"/>
        </w:r>
      </w:hyperlink>
    </w:p>
    <w:p w:rsidR="00297D71" w:rsidRPr="00E21577" w:rsidRDefault="00950210">
      <w:pPr>
        <w:pStyle w:val="TOC2"/>
        <w:rPr>
          <w:rFonts w:asciiTheme="minorHAnsi" w:eastAsiaTheme="minorEastAsia" w:hAnsiTheme="minorHAnsi" w:cstheme="minorBidi"/>
          <w:color w:val="auto"/>
          <w:szCs w:val="22"/>
          <w:lang w:val="es-ES_tradnl"/>
        </w:rPr>
      </w:pPr>
      <w:hyperlink w:anchor="_Toc15484878" w:history="1">
        <w:r w:rsidR="00297D71" w:rsidRPr="00E21577">
          <w:rPr>
            <w:rStyle w:val="Hyperlink"/>
            <w:lang w:val="es-ES_tradnl"/>
          </w:rPr>
          <w:t>Novedades operativas</w:t>
        </w:r>
        <w:r w:rsidR="00297D71" w:rsidRPr="00E21577">
          <w:rPr>
            <w:webHidden/>
            <w:lang w:val="es-ES_tradnl"/>
          </w:rPr>
          <w:tab/>
        </w:r>
        <w:r w:rsidR="00297D71" w:rsidRPr="00E21577">
          <w:rPr>
            <w:webHidden/>
            <w:lang w:val="es-ES_tradnl"/>
          </w:rPr>
          <w:fldChar w:fldCharType="begin"/>
        </w:r>
        <w:r w:rsidR="00297D71" w:rsidRPr="00E21577">
          <w:rPr>
            <w:webHidden/>
            <w:lang w:val="es-ES_tradnl"/>
          </w:rPr>
          <w:instrText xml:space="preserve"> PAGEREF _Toc15484878 \h </w:instrText>
        </w:r>
        <w:r w:rsidR="00297D71" w:rsidRPr="00E21577">
          <w:rPr>
            <w:webHidden/>
            <w:lang w:val="es-ES_tradnl"/>
          </w:rPr>
        </w:r>
        <w:r w:rsidR="00297D71" w:rsidRPr="00E21577">
          <w:rPr>
            <w:webHidden/>
            <w:lang w:val="es-ES_tradnl"/>
          </w:rPr>
          <w:fldChar w:fldCharType="separate"/>
        </w:r>
        <w:r>
          <w:rPr>
            <w:webHidden/>
            <w:lang w:val="es-ES_tradnl"/>
          </w:rPr>
          <w:t>11</w:t>
        </w:r>
        <w:r w:rsidR="00297D71" w:rsidRPr="00E21577">
          <w:rPr>
            <w:webHidden/>
            <w:lang w:val="es-ES_tradnl"/>
          </w:rPr>
          <w:fldChar w:fldCharType="end"/>
        </w:r>
      </w:hyperlink>
    </w:p>
    <w:p w:rsidR="00297D71" w:rsidRPr="00E21577" w:rsidRDefault="00950210">
      <w:pPr>
        <w:pStyle w:val="TOC2"/>
        <w:rPr>
          <w:rFonts w:asciiTheme="minorHAnsi" w:eastAsiaTheme="minorEastAsia" w:hAnsiTheme="minorHAnsi" w:cstheme="minorBidi"/>
          <w:color w:val="auto"/>
          <w:szCs w:val="22"/>
          <w:lang w:val="es-ES_tradnl"/>
        </w:rPr>
      </w:pPr>
      <w:hyperlink w:anchor="_Toc15484879" w:history="1">
        <w:r w:rsidR="00297D71" w:rsidRPr="00E21577">
          <w:rPr>
            <w:rStyle w:val="Hyperlink"/>
            <w:lang w:val="es-ES_tradnl"/>
          </w:rPr>
          <w:t>Fraude, pagos a título graciable y condonaciones de deuda</w:t>
        </w:r>
        <w:r w:rsidR="00297D71" w:rsidRPr="00E21577">
          <w:rPr>
            <w:webHidden/>
            <w:lang w:val="es-ES_tradnl"/>
          </w:rPr>
          <w:tab/>
        </w:r>
        <w:r w:rsidR="00297D71" w:rsidRPr="00E21577">
          <w:rPr>
            <w:webHidden/>
            <w:lang w:val="es-ES_tradnl"/>
          </w:rPr>
          <w:fldChar w:fldCharType="begin"/>
        </w:r>
        <w:r w:rsidR="00297D71" w:rsidRPr="00E21577">
          <w:rPr>
            <w:webHidden/>
            <w:lang w:val="es-ES_tradnl"/>
          </w:rPr>
          <w:instrText xml:space="preserve"> PAGEREF _Toc15484879 \h </w:instrText>
        </w:r>
        <w:r w:rsidR="00297D71" w:rsidRPr="00E21577">
          <w:rPr>
            <w:webHidden/>
            <w:lang w:val="es-ES_tradnl"/>
          </w:rPr>
        </w:r>
        <w:r w:rsidR="00297D71" w:rsidRPr="00E21577">
          <w:rPr>
            <w:webHidden/>
            <w:lang w:val="es-ES_tradnl"/>
          </w:rPr>
          <w:fldChar w:fldCharType="separate"/>
        </w:r>
        <w:r>
          <w:rPr>
            <w:webHidden/>
            <w:lang w:val="es-ES_tradnl"/>
          </w:rPr>
          <w:t>12</w:t>
        </w:r>
        <w:r w:rsidR="00297D71" w:rsidRPr="00E21577">
          <w:rPr>
            <w:webHidden/>
            <w:lang w:val="es-ES_tradnl"/>
          </w:rPr>
          <w:fldChar w:fldCharType="end"/>
        </w:r>
      </w:hyperlink>
    </w:p>
    <w:p w:rsidR="00297D71" w:rsidRPr="00E21577" w:rsidRDefault="00950210">
      <w:pPr>
        <w:pStyle w:val="TOC2"/>
        <w:rPr>
          <w:rFonts w:asciiTheme="minorHAnsi" w:eastAsiaTheme="minorEastAsia" w:hAnsiTheme="minorHAnsi" w:cstheme="minorBidi"/>
          <w:color w:val="auto"/>
          <w:szCs w:val="22"/>
          <w:lang w:val="es-ES_tradnl"/>
        </w:rPr>
      </w:pPr>
      <w:hyperlink w:anchor="_Toc15484880" w:history="1">
        <w:r w:rsidR="00297D71" w:rsidRPr="00E21577">
          <w:rPr>
            <w:rStyle w:val="Hyperlink"/>
            <w:lang w:val="es-ES_tradnl"/>
          </w:rPr>
          <w:t>Recomendaciones de años anteriores</w:t>
        </w:r>
        <w:r w:rsidR="00297D71" w:rsidRPr="00E21577">
          <w:rPr>
            <w:webHidden/>
            <w:lang w:val="es-ES_tradnl"/>
          </w:rPr>
          <w:tab/>
        </w:r>
        <w:r w:rsidR="00297D71" w:rsidRPr="00E21577">
          <w:rPr>
            <w:webHidden/>
            <w:lang w:val="es-ES_tradnl"/>
          </w:rPr>
          <w:fldChar w:fldCharType="begin"/>
        </w:r>
        <w:r w:rsidR="00297D71" w:rsidRPr="00E21577">
          <w:rPr>
            <w:webHidden/>
            <w:lang w:val="es-ES_tradnl"/>
          </w:rPr>
          <w:instrText xml:space="preserve"> PAGEREF _Toc15484880 \h </w:instrText>
        </w:r>
        <w:r w:rsidR="00297D71" w:rsidRPr="00E21577">
          <w:rPr>
            <w:webHidden/>
            <w:lang w:val="es-ES_tradnl"/>
          </w:rPr>
        </w:r>
        <w:r w:rsidR="00297D71" w:rsidRPr="00E21577">
          <w:rPr>
            <w:webHidden/>
            <w:lang w:val="es-ES_tradnl"/>
          </w:rPr>
          <w:fldChar w:fldCharType="separate"/>
        </w:r>
        <w:r>
          <w:rPr>
            <w:webHidden/>
            <w:lang w:val="es-ES_tradnl"/>
          </w:rPr>
          <w:t>12</w:t>
        </w:r>
        <w:r w:rsidR="00297D71" w:rsidRPr="00E21577">
          <w:rPr>
            <w:webHidden/>
            <w:lang w:val="es-ES_tradnl"/>
          </w:rPr>
          <w:fldChar w:fldCharType="end"/>
        </w:r>
      </w:hyperlink>
    </w:p>
    <w:p w:rsidR="00297D71" w:rsidRPr="00E21577" w:rsidRDefault="00950210">
      <w:pPr>
        <w:pStyle w:val="TOC2"/>
        <w:rPr>
          <w:rFonts w:asciiTheme="minorHAnsi" w:eastAsiaTheme="minorEastAsia" w:hAnsiTheme="minorHAnsi" w:cstheme="minorBidi"/>
          <w:color w:val="auto"/>
          <w:szCs w:val="22"/>
          <w:lang w:val="es-ES_tradnl"/>
        </w:rPr>
      </w:pPr>
      <w:hyperlink w:anchor="_Toc15484881" w:history="1">
        <w:r w:rsidR="00297D71" w:rsidRPr="00E21577">
          <w:rPr>
            <w:rStyle w:val="Hyperlink"/>
            <w:lang w:val="es-ES_tradnl"/>
          </w:rPr>
          <w:t>Agradecimientos</w:t>
        </w:r>
        <w:r w:rsidR="00297D71" w:rsidRPr="00E21577">
          <w:rPr>
            <w:webHidden/>
            <w:lang w:val="es-ES_tradnl"/>
          </w:rPr>
          <w:tab/>
        </w:r>
        <w:r w:rsidR="00297D71" w:rsidRPr="00E21577">
          <w:rPr>
            <w:webHidden/>
            <w:lang w:val="es-ES_tradnl"/>
          </w:rPr>
          <w:fldChar w:fldCharType="begin"/>
        </w:r>
        <w:r w:rsidR="00297D71" w:rsidRPr="00E21577">
          <w:rPr>
            <w:webHidden/>
            <w:lang w:val="es-ES_tradnl"/>
          </w:rPr>
          <w:instrText xml:space="preserve"> PAGEREF _Toc15484881 \h </w:instrText>
        </w:r>
        <w:r w:rsidR="00297D71" w:rsidRPr="00E21577">
          <w:rPr>
            <w:webHidden/>
            <w:lang w:val="es-ES_tradnl"/>
          </w:rPr>
        </w:r>
        <w:r w:rsidR="00297D71" w:rsidRPr="00E21577">
          <w:rPr>
            <w:webHidden/>
            <w:lang w:val="es-ES_tradnl"/>
          </w:rPr>
          <w:fldChar w:fldCharType="separate"/>
        </w:r>
        <w:r>
          <w:rPr>
            <w:webHidden/>
            <w:lang w:val="es-ES_tradnl"/>
          </w:rPr>
          <w:t>12</w:t>
        </w:r>
        <w:r w:rsidR="00297D71" w:rsidRPr="00E21577">
          <w:rPr>
            <w:webHidden/>
            <w:lang w:val="es-ES_tradnl"/>
          </w:rPr>
          <w:fldChar w:fldCharType="end"/>
        </w:r>
      </w:hyperlink>
    </w:p>
    <w:p w:rsidR="00766372" w:rsidRPr="00E21577" w:rsidRDefault="00766372" w:rsidP="00E124B9">
      <w:pPr>
        <w:jc w:val="left"/>
        <w:rPr>
          <w:lang w:val="es-ES_tradnl"/>
        </w:rPr>
      </w:pPr>
      <w:r w:rsidRPr="00E21577">
        <w:rPr>
          <w:lang w:val="es-ES_tradnl"/>
        </w:rPr>
        <w:fldChar w:fldCharType="end"/>
      </w:r>
    </w:p>
    <w:p w:rsidR="00C91841" w:rsidRPr="00E21577" w:rsidRDefault="00E124B9">
      <w:pPr>
        <w:jc w:val="left"/>
        <w:rPr>
          <w:lang w:val="es-ES_tradnl"/>
        </w:rPr>
      </w:pPr>
      <w:r w:rsidRPr="00E21577">
        <w:rPr>
          <w:lang w:val="es-ES_tradnl"/>
        </w:rPr>
        <w:br w:type="page"/>
      </w:r>
    </w:p>
    <w:p w:rsidR="00C91841" w:rsidRPr="00E21577" w:rsidRDefault="00E92BAD" w:rsidP="007F7156">
      <w:pPr>
        <w:pStyle w:val="Heading1"/>
        <w:numPr>
          <w:ilvl w:val="0"/>
          <w:numId w:val="0"/>
        </w:numPr>
        <w:spacing w:line="240" w:lineRule="auto"/>
        <w:rPr>
          <w:lang w:val="es-ES_tradnl"/>
        </w:rPr>
      </w:pPr>
      <w:bookmarkStart w:id="4" w:name="_Toc15484875"/>
      <w:bookmarkStart w:id="5" w:name="Type_NAO_VFM_1"/>
      <w:r w:rsidRPr="00E21577">
        <w:rPr>
          <w:lang w:val="es-ES_tradnl"/>
        </w:rPr>
        <w:lastRenderedPageBreak/>
        <w:t>Introducción</w:t>
      </w:r>
      <w:bookmarkEnd w:id="4"/>
    </w:p>
    <w:p w:rsidR="00C91841" w:rsidRPr="00E21577" w:rsidRDefault="00E92BAD" w:rsidP="007F7156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La Unión Internacional para la Protección de las Obtenciones Vegetales (UPOV) fue constituida en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1961 por el Convenio Internacional para la Protección de las Obtenciones Vegetales </w:t>
      </w:r>
      <w:r w:rsidR="00465887" w:rsidRPr="00E21577">
        <w:rPr>
          <w:lang w:val="es-ES_tradnl"/>
        </w:rPr>
        <w:t>con el objetivo</w:t>
      </w:r>
      <w:r w:rsidR="00303804" w:rsidRPr="00E21577">
        <w:rPr>
          <w:lang w:val="es-ES_tradnl"/>
        </w:rPr>
        <w:t xml:space="preserve"> de proporcionar y fomentar un sistema eficaz de protección de las variedades vegetales</w:t>
      </w:r>
      <w:r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297D71" w:rsidRPr="00E21577">
        <w:rPr>
          <w:lang w:val="es-ES_tradnl"/>
        </w:rPr>
        <w:t xml:space="preserve">La Unión cuenta con unos 75 </w:t>
      </w:r>
      <w:r w:rsidR="00465887" w:rsidRPr="00E21577">
        <w:rPr>
          <w:lang w:val="es-ES_tradnl"/>
        </w:rPr>
        <w:t>miembros, que</w:t>
      </w:r>
      <w:r w:rsidR="00297D71" w:rsidRPr="00E21577">
        <w:rPr>
          <w:lang w:val="es-ES_tradnl"/>
        </w:rPr>
        <w:t xml:space="preserve"> sufragan las actividades de la </w:t>
      </w:r>
      <w:r w:rsidR="00465887" w:rsidRPr="00E21577">
        <w:rPr>
          <w:lang w:val="es-ES_tradnl"/>
        </w:rPr>
        <w:t>UPOV mediante contribuciones directas y fondos fiduciarios extrapresupuestarios para proyectos específicos.</w:t>
      </w:r>
    </w:p>
    <w:p w:rsidR="00C91841" w:rsidRPr="00E21577" w:rsidRDefault="00465887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El contralor y auditor general del Reino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Unido fue designado auditor externo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 con un ma</w:t>
      </w:r>
      <w:r w:rsidR="00297D71" w:rsidRPr="00E21577">
        <w:rPr>
          <w:lang w:val="es-ES_tradnl"/>
        </w:rPr>
        <w:t xml:space="preserve">ndato de seis años a partir del </w:t>
      </w:r>
      <w:r w:rsidRPr="00E21577">
        <w:rPr>
          <w:lang w:val="es-ES_tradnl"/>
        </w:rPr>
        <w:t>1 de enero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2018.</w:t>
      </w:r>
      <w:r w:rsidR="00E124B9" w:rsidRPr="00E21577">
        <w:rPr>
          <w:lang w:val="es-ES_tradnl"/>
        </w:rPr>
        <w:t xml:space="preserve"> 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El auditor externo llevó a cabo la auditoría d</w:t>
      </w:r>
      <w:r w:rsidR="00297D71" w:rsidRPr="00E21577">
        <w:rPr>
          <w:lang w:val="es-ES_tradnl"/>
        </w:rPr>
        <w:t xml:space="preserve">e los estados financieros de la </w:t>
      </w:r>
      <w:r w:rsidRPr="00E21577">
        <w:rPr>
          <w:lang w:val="es-ES_tradnl"/>
        </w:rPr>
        <w:t xml:space="preserve">UPOV </w:t>
      </w:r>
      <w:r w:rsidR="00105D6D" w:rsidRPr="00E21577">
        <w:rPr>
          <w:lang w:val="es-ES_tradnl"/>
        </w:rPr>
        <w:t>correspondientes al</w:t>
      </w:r>
      <w:r w:rsidRPr="00E21577">
        <w:rPr>
          <w:lang w:val="es-ES_tradnl"/>
        </w:rPr>
        <w:t xml:space="preserve"> </w:t>
      </w:r>
      <w:r w:rsidR="00105D6D" w:rsidRPr="00E21577">
        <w:rPr>
          <w:lang w:val="es-ES_tradnl"/>
        </w:rPr>
        <w:t xml:space="preserve">ejercicio </w:t>
      </w:r>
      <w:r w:rsidR="00C172D7" w:rsidRPr="00E21577">
        <w:rPr>
          <w:lang w:val="es-ES_tradnl"/>
        </w:rPr>
        <w:t xml:space="preserve">concluido </w:t>
      </w:r>
      <w:r w:rsidR="00105D6D" w:rsidRPr="00E21577">
        <w:rPr>
          <w:lang w:val="es-ES_tradnl"/>
        </w:rPr>
        <w:t>el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31</w:t>
      </w:r>
      <w:r w:rsidR="00105D6D" w:rsidRPr="00E21577">
        <w:rPr>
          <w:lang w:val="es-ES_tradnl"/>
        </w:rPr>
        <w:t xml:space="preserve"> de diciembre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2018, de conformidad con el capítulo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8 del Reglamento Financiero y la </w:t>
      </w:r>
      <w:r w:rsidR="00105D6D" w:rsidRPr="00E21577">
        <w:rPr>
          <w:lang w:val="es-ES_tradnl"/>
        </w:rPr>
        <w:t>Reglamentación Financiera de la</w:t>
      </w:r>
      <w:r w:rsidR="00297D71" w:rsidRPr="00E21577">
        <w:rPr>
          <w:lang w:val="es-ES_tradnl"/>
        </w:rPr>
        <w:t> </w:t>
      </w:r>
      <w:r w:rsidRPr="00E21577">
        <w:rPr>
          <w:lang w:val="es-ES_tradnl"/>
        </w:rPr>
        <w:t>UPOV.</w:t>
      </w:r>
      <w:r w:rsidR="00E124B9" w:rsidRPr="00E21577">
        <w:rPr>
          <w:lang w:val="es-ES_tradnl"/>
        </w:rPr>
        <w:t xml:space="preserve"> </w:t>
      </w:r>
      <w:r w:rsidR="00297D71" w:rsidRPr="00E21577">
        <w:rPr>
          <w:lang w:val="es-ES_tradnl"/>
        </w:rPr>
        <w:t xml:space="preserve"> </w:t>
      </w:r>
      <w:r w:rsidR="00105D6D" w:rsidRPr="00E21577">
        <w:rPr>
          <w:lang w:val="es-ES_tradnl"/>
        </w:rPr>
        <w:t>La auditoría fue realizada de conformidad con las Normas Internacionales de Auditoría.</w:t>
      </w:r>
      <w:r w:rsidR="00E124B9" w:rsidRPr="00E21577">
        <w:rPr>
          <w:lang w:val="es-ES_tradnl"/>
        </w:rPr>
        <w:t xml:space="preserve"> </w:t>
      </w:r>
      <w:r w:rsidR="00297D71" w:rsidRPr="00E21577">
        <w:rPr>
          <w:lang w:val="es-ES_tradnl"/>
        </w:rPr>
        <w:t xml:space="preserve"> </w:t>
      </w:r>
      <w:r w:rsidR="00105D6D" w:rsidRPr="00E21577">
        <w:rPr>
          <w:lang w:val="es-ES_tradnl"/>
        </w:rPr>
        <w:t xml:space="preserve">Con arreglo a esas normas, el auditor externo y su equipo deben cumplir los </w:t>
      </w:r>
      <w:r w:rsidR="00232BE7" w:rsidRPr="00E21577">
        <w:rPr>
          <w:lang w:val="es-ES_tradnl"/>
        </w:rPr>
        <w:t>requisitos deontológicos</w:t>
      </w:r>
      <w:r w:rsidR="00105D6D" w:rsidRPr="00E21577">
        <w:rPr>
          <w:lang w:val="es-ES_tradnl"/>
        </w:rPr>
        <w:t xml:space="preserve"> y planificar y realizar la auditoría de manera que </w:t>
      </w:r>
      <w:r w:rsidR="00771745" w:rsidRPr="00E21577">
        <w:rPr>
          <w:lang w:val="es-ES_tradnl"/>
        </w:rPr>
        <w:t>permita obtener una seguridad razonable</w:t>
      </w:r>
      <w:r w:rsidR="00105D6D" w:rsidRPr="00E21577">
        <w:rPr>
          <w:lang w:val="es-ES_tradnl"/>
        </w:rPr>
        <w:t xml:space="preserve"> de que los estados financieros no contienen inexactitudes </w:t>
      </w:r>
      <w:r w:rsidR="00E84C91" w:rsidRPr="00E21577">
        <w:rPr>
          <w:lang w:val="es-ES_tradnl"/>
        </w:rPr>
        <w:t>significativas</w:t>
      </w:r>
      <w:r w:rsidR="00105D6D" w:rsidRPr="00E21577">
        <w:rPr>
          <w:lang w:val="es-ES_tradnl"/>
        </w:rPr>
        <w:t>.</w:t>
      </w:r>
    </w:p>
    <w:p w:rsidR="00C91841" w:rsidRPr="00E21577" w:rsidRDefault="00105D6D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bookmarkStart w:id="6" w:name="SW0002"/>
      <w:r w:rsidRPr="00E21577">
        <w:rPr>
          <w:lang w:val="es-ES_tradnl"/>
        </w:rPr>
        <w:t>Además de nuestros dictámenes sobre los estados financieros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UPOV, en este informe se presentan las principales conclusiones derivadas de nuestra labor.</w:t>
      </w:r>
      <w:r w:rsidR="00E124B9" w:rsidRPr="00E21577">
        <w:rPr>
          <w:lang w:val="es-ES_tradnl"/>
        </w:rPr>
        <w:t xml:space="preserve"> 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Nuestros predecesores no han formulado recomendaciones que requieran seguimiento.</w:t>
      </w:r>
    </w:p>
    <w:p w:rsidR="00C91841" w:rsidRPr="00E21577" w:rsidRDefault="00B30A1F" w:rsidP="00C172D7">
      <w:pPr>
        <w:pStyle w:val="Heading2"/>
        <w:spacing w:after="120" w:line="240" w:lineRule="auto"/>
        <w:rPr>
          <w:lang w:val="es-ES_tradnl"/>
        </w:rPr>
      </w:pPr>
      <w:bookmarkStart w:id="7" w:name="_Toc15484876"/>
      <w:bookmarkStart w:id="8" w:name="SW0003"/>
      <w:bookmarkStart w:id="9" w:name="Investigation_Delete"/>
      <w:bookmarkEnd w:id="5"/>
      <w:bookmarkEnd w:id="6"/>
      <w:r w:rsidRPr="00E21577">
        <w:rPr>
          <w:lang w:val="es-ES_tradnl"/>
        </w:rPr>
        <w:t>Resultados generales de la auditoría</w:t>
      </w:r>
      <w:bookmarkEnd w:id="7"/>
    </w:p>
    <w:p w:rsidR="00C91841" w:rsidRPr="00E21577" w:rsidRDefault="00B30A1F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bookmarkStart w:id="10" w:name="SW0004"/>
      <w:bookmarkEnd w:id="8"/>
      <w:r w:rsidRPr="00E21577">
        <w:rPr>
          <w:lang w:val="es-ES_tradnl"/>
        </w:rPr>
        <w:t xml:space="preserve">El auditor externo </w:t>
      </w:r>
      <w:r w:rsidR="00E509EC" w:rsidRPr="00E21577">
        <w:rPr>
          <w:lang w:val="es-ES_tradnl"/>
        </w:rPr>
        <w:t>ha verificado</w:t>
      </w:r>
      <w:r w:rsidRPr="00E21577">
        <w:rPr>
          <w:lang w:val="es-ES_tradnl"/>
        </w:rPr>
        <w:t xml:space="preserve"> los estados financieros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 correspondientes al ejercicio concluido el</w:t>
      </w:r>
      <w:r w:rsidR="00297D71" w:rsidRPr="00E21577">
        <w:rPr>
          <w:lang w:val="es-ES_tradnl"/>
        </w:rPr>
        <w:t xml:space="preserve"> </w:t>
      </w:r>
      <w:r w:rsidR="00FF16F1"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2018, compuestos por el estado de situación financiera, el estado de rendimiento financiero, el estado de flujos de efectivo, el estado de cambios en los activos netos</w:t>
      </w:r>
      <w:r w:rsidR="00B953E2" w:rsidRPr="00E21577">
        <w:rPr>
          <w:lang w:val="es-ES_tradnl"/>
        </w:rPr>
        <w:t xml:space="preserve"> y</w:t>
      </w:r>
      <w:r w:rsidRPr="00E21577">
        <w:rPr>
          <w:lang w:val="es-ES_tradnl"/>
        </w:rPr>
        <w:t xml:space="preserve"> el estado comparativo de importes presupuestados y reales, </w:t>
      </w:r>
      <w:r w:rsidR="00E509EC" w:rsidRPr="00E21577">
        <w:rPr>
          <w:lang w:val="es-ES_tradnl"/>
        </w:rPr>
        <w:t>así como</w:t>
      </w:r>
      <w:r w:rsidRPr="00E21577">
        <w:rPr>
          <w:lang w:val="es-ES_tradnl"/>
        </w:rPr>
        <w:t xml:space="preserve"> las notas </w:t>
      </w:r>
      <w:r w:rsidR="00FF16F1" w:rsidRPr="00E21577">
        <w:rPr>
          <w:lang w:val="es-ES_tradnl"/>
        </w:rPr>
        <w:t>conexas</w:t>
      </w:r>
      <w:r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297D71" w:rsidRPr="00E21577">
        <w:rPr>
          <w:lang w:val="es-ES_tradnl"/>
        </w:rPr>
        <w:t xml:space="preserve"> </w:t>
      </w:r>
      <w:r w:rsidR="00FF16F1" w:rsidRPr="00E21577">
        <w:rPr>
          <w:lang w:val="es-ES_tradnl"/>
        </w:rPr>
        <w:t>Dichos estados financieros se han preparado de conformidad con las Normas Internacionales de Contabilidad del Sector Público (IPSAS</w:t>
      </w:r>
      <w:r w:rsidR="00CD7D26" w:rsidRPr="00E21577">
        <w:rPr>
          <w:lang w:val="es-ES_tradnl"/>
        </w:rPr>
        <w:t>, por sus siglas en inglés</w:t>
      </w:r>
      <w:r w:rsidR="00FF16F1" w:rsidRPr="00E21577">
        <w:rPr>
          <w:lang w:val="es-ES_tradnl"/>
        </w:rPr>
        <w:t>).</w:t>
      </w:r>
    </w:p>
    <w:p w:rsidR="00C91841" w:rsidRPr="00E21577" w:rsidRDefault="00FF16F1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A nuestro juicio, los estados financieros dan cuenta fidedigna de la situación financiera de </w:t>
      </w:r>
      <w:r w:rsidR="00B7795D"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B7795D" w:rsidRPr="00E21577">
        <w:rPr>
          <w:lang w:val="es-ES_tradnl"/>
        </w:rPr>
        <w:t>UPOV al</w:t>
      </w:r>
      <w:r w:rsidR="00297D71" w:rsidRPr="00E21577">
        <w:rPr>
          <w:lang w:val="es-ES_tradnl"/>
        </w:rPr>
        <w:t xml:space="preserve"> </w:t>
      </w:r>
      <w:r w:rsidR="00B7795D"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="00B7795D" w:rsidRPr="00E21577">
        <w:rPr>
          <w:lang w:val="es-ES_tradnl"/>
        </w:rPr>
        <w:t xml:space="preserve">2018, </w:t>
      </w:r>
      <w:r w:rsidR="00021739" w:rsidRPr="00E21577">
        <w:rPr>
          <w:lang w:val="es-ES_tradnl"/>
        </w:rPr>
        <w:t>de su</w:t>
      </w:r>
      <w:r w:rsidRPr="00E21577">
        <w:rPr>
          <w:lang w:val="es-ES_tradnl"/>
        </w:rPr>
        <w:t xml:space="preserve"> rendimiento financiero y </w:t>
      </w:r>
      <w:r w:rsidR="00021739" w:rsidRPr="00E21577">
        <w:rPr>
          <w:lang w:val="es-ES_tradnl"/>
        </w:rPr>
        <w:t xml:space="preserve">de sus </w:t>
      </w:r>
      <w:r w:rsidRPr="00E21577">
        <w:rPr>
          <w:lang w:val="es-ES_tradnl"/>
        </w:rPr>
        <w:t>flujos de efectivo correspondientes al ejercicio finalizado en esa fecha, de conformidad con las IPSAS.</w:t>
      </w:r>
    </w:p>
    <w:p w:rsidR="00C91841" w:rsidRPr="00E21577" w:rsidRDefault="004B5CA3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La auditoría ha confirmado asimismo que, en todos los aspectos esenciales, los ingresos y los gastos se han aplicado a los fines previstos por el Consejo y las transacciones financieras se ajustan al Reglamento Financiero y la Reglamentación Financiera de la organización.</w:t>
      </w:r>
    </w:p>
    <w:p w:rsidR="00C91841" w:rsidRPr="00E21577" w:rsidRDefault="004B5CA3" w:rsidP="00C172D7">
      <w:pPr>
        <w:pStyle w:val="Heading4"/>
        <w:spacing w:after="160" w:line="240" w:lineRule="auto"/>
        <w:rPr>
          <w:lang w:val="es-ES_tradnl"/>
        </w:rPr>
      </w:pPr>
      <w:r w:rsidRPr="00E21577">
        <w:rPr>
          <w:lang w:val="es-ES_tradnl"/>
        </w:rPr>
        <w:lastRenderedPageBreak/>
        <w:t>Resultados de la auditoría</w:t>
      </w:r>
    </w:p>
    <w:p w:rsidR="00C91841" w:rsidRPr="00E21577" w:rsidRDefault="004C4586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Los</w:t>
      </w:r>
      <w:r w:rsidR="004B5CA3" w:rsidRPr="00E21577">
        <w:rPr>
          <w:lang w:val="es-ES_tradnl"/>
        </w:rPr>
        <w:t xml:space="preserve"> </w:t>
      </w:r>
      <w:r w:rsidRPr="00E21577">
        <w:rPr>
          <w:lang w:val="es-ES_tradnl"/>
        </w:rPr>
        <w:t>estados financieros anuales de</w:t>
      </w:r>
      <w:r w:rsidR="00297D71" w:rsidRPr="00E21577">
        <w:rPr>
          <w:lang w:val="es-ES_tradnl"/>
        </w:rPr>
        <w:t xml:space="preserve"> </w:t>
      </w:r>
      <w:r w:rsidR="004B5CA3" w:rsidRPr="00E21577">
        <w:rPr>
          <w:lang w:val="es-ES_tradnl"/>
        </w:rPr>
        <w:t xml:space="preserve">2018 y </w:t>
      </w:r>
      <w:r w:rsidRPr="00E21577">
        <w:rPr>
          <w:lang w:val="es-ES_tradnl"/>
        </w:rPr>
        <w:t xml:space="preserve">las correspondientes observaciones sobre los resultados del ejercicio financiero proporcionan un panorama general de la situación financiera </w:t>
      </w:r>
      <w:r w:rsidR="004B5CA3" w:rsidRPr="00E21577">
        <w:rPr>
          <w:lang w:val="es-ES_tradnl"/>
        </w:rPr>
        <w:t>de la</w:t>
      </w:r>
      <w:r w:rsidR="00297D71" w:rsidRPr="00E21577">
        <w:rPr>
          <w:lang w:val="es-ES_tradnl"/>
        </w:rPr>
        <w:t xml:space="preserve"> </w:t>
      </w:r>
      <w:r w:rsidR="004B5CA3" w:rsidRPr="00E21577">
        <w:rPr>
          <w:lang w:val="es-ES_tradnl"/>
        </w:rPr>
        <w:t>UPOV.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La calidad de los estados financieros presentados para su auditoría es elevada y, en </w:t>
      </w:r>
      <w:r w:rsidR="0002522D" w:rsidRPr="00E21577">
        <w:rPr>
          <w:lang w:val="es-ES_tradnl"/>
        </w:rPr>
        <w:t>cuanto</w:t>
      </w:r>
      <w:r w:rsidRPr="00E21577">
        <w:rPr>
          <w:lang w:val="es-ES_tradnl"/>
        </w:rPr>
        <w:t xml:space="preserve"> a los principales juicios contables, la </w:t>
      </w:r>
      <w:r w:rsidR="00E84C91" w:rsidRPr="00E21577">
        <w:rPr>
          <w:lang w:val="es-ES_tradnl"/>
        </w:rPr>
        <w:t xml:space="preserve">Dirección </w:t>
      </w:r>
      <w:r w:rsidR="0002522D" w:rsidRPr="00E21577">
        <w:rPr>
          <w:lang w:val="es-ES_tradnl"/>
        </w:rPr>
        <w:t xml:space="preserve">ha </w:t>
      </w:r>
      <w:r w:rsidR="00031F4B" w:rsidRPr="00E21577">
        <w:rPr>
          <w:lang w:val="es-ES_tradnl"/>
        </w:rPr>
        <w:t>expres</w:t>
      </w:r>
      <w:r w:rsidR="0002522D" w:rsidRPr="00E21577">
        <w:rPr>
          <w:lang w:val="es-ES_tradnl"/>
        </w:rPr>
        <w:t xml:space="preserve">ado su punto de vista respecto de cuestiones clave </w:t>
      </w:r>
      <w:r w:rsidR="00F411F1" w:rsidRPr="00E21577">
        <w:rPr>
          <w:lang w:val="es-ES_tradnl"/>
        </w:rPr>
        <w:t>relativas a la</w:t>
      </w:r>
      <w:r w:rsidR="00297D71" w:rsidRPr="00E21577">
        <w:rPr>
          <w:lang w:val="es-ES_tradnl"/>
        </w:rPr>
        <w:t xml:space="preserve"> </w:t>
      </w:r>
      <w:r w:rsidR="00F411F1" w:rsidRPr="00E21577">
        <w:rPr>
          <w:lang w:val="es-ES_tradnl"/>
        </w:rPr>
        <w:t xml:space="preserve">UPOV </w:t>
      </w:r>
      <w:r w:rsidRPr="00E21577">
        <w:rPr>
          <w:lang w:val="es-ES_tradnl"/>
        </w:rPr>
        <w:t xml:space="preserve">y </w:t>
      </w:r>
      <w:r w:rsidR="00F411F1" w:rsidRPr="00E21577">
        <w:rPr>
          <w:lang w:val="es-ES_tradnl"/>
        </w:rPr>
        <w:t xml:space="preserve">el modo en que </w:t>
      </w:r>
      <w:r w:rsidR="00031F4B" w:rsidRPr="00E21577">
        <w:rPr>
          <w:lang w:val="es-ES_tradnl"/>
        </w:rPr>
        <w:t>se ajustan a</w:t>
      </w:r>
      <w:r w:rsidR="0002522D" w:rsidRPr="00E21577">
        <w:rPr>
          <w:lang w:val="es-ES_tradnl"/>
        </w:rPr>
        <w:t xml:space="preserve"> </w:t>
      </w:r>
      <w:r w:rsidRPr="00E21577">
        <w:rPr>
          <w:lang w:val="es-ES_tradnl"/>
        </w:rPr>
        <w:t>los requisitos de las IPSAS</w:t>
      </w:r>
      <w:r w:rsidR="00F411F1"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br/>
      </w:r>
      <w:r w:rsidR="007E2CA5" w:rsidRPr="00E21577">
        <w:rPr>
          <w:lang w:val="es-ES_tradnl"/>
        </w:rPr>
        <w:t xml:space="preserve">A </w:t>
      </w:r>
      <w:r w:rsidR="00C172D7" w:rsidRPr="00E21577">
        <w:rPr>
          <w:lang w:val="es-ES_tradnl"/>
        </w:rPr>
        <w:t xml:space="preserve">título </w:t>
      </w:r>
      <w:r w:rsidR="007E2CA5" w:rsidRPr="00E21577">
        <w:rPr>
          <w:lang w:val="es-ES_tradnl"/>
        </w:rPr>
        <w:t xml:space="preserve">de ejemplo, la </w:t>
      </w:r>
      <w:r w:rsidR="00E84C91" w:rsidRPr="00E21577">
        <w:rPr>
          <w:lang w:val="es-ES_tradnl"/>
        </w:rPr>
        <w:t xml:space="preserve">Dirección </w:t>
      </w:r>
      <w:r w:rsidR="001F6411" w:rsidRPr="00E21577">
        <w:rPr>
          <w:lang w:val="es-ES_tradnl"/>
        </w:rPr>
        <w:t xml:space="preserve">ha </w:t>
      </w:r>
      <w:r w:rsidR="007E2CA5" w:rsidRPr="00E21577">
        <w:rPr>
          <w:lang w:val="es-ES_tradnl"/>
        </w:rPr>
        <w:t>efect</w:t>
      </w:r>
      <w:r w:rsidR="001F6411" w:rsidRPr="00E21577">
        <w:rPr>
          <w:lang w:val="es-ES_tradnl"/>
        </w:rPr>
        <w:t>uado</w:t>
      </w:r>
      <w:r w:rsidR="007E2CA5" w:rsidRPr="00E21577">
        <w:rPr>
          <w:lang w:val="es-ES_tradnl"/>
        </w:rPr>
        <w:t xml:space="preserve"> un detallado examen de las distintas hipótesis utilizadas por el actuario para determinar el pasivo por prestaciones de seguro médico tras la separación del servicio y ha concluido que dichas hipótesis son apropiadas.</w:t>
      </w:r>
    </w:p>
    <w:p w:rsidR="00C91841" w:rsidRPr="00E21577" w:rsidRDefault="001F6411" w:rsidP="00C172D7">
      <w:pPr>
        <w:pStyle w:val="Heading4"/>
        <w:spacing w:after="160" w:line="240" w:lineRule="auto"/>
        <w:rPr>
          <w:lang w:val="es-ES_tradnl"/>
        </w:rPr>
      </w:pPr>
      <w:r w:rsidRPr="00E21577">
        <w:rPr>
          <w:lang w:val="es-ES_tradnl"/>
        </w:rPr>
        <w:t>Alcance de la auditoría</w:t>
      </w:r>
    </w:p>
    <w:p w:rsidR="00C91841" w:rsidRPr="00E21577" w:rsidRDefault="001F6411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Hemos llevado a cabo la auditoría </w:t>
      </w:r>
      <w:r w:rsidR="00E826FD" w:rsidRPr="00E21577">
        <w:rPr>
          <w:lang w:val="es-ES_tradnl"/>
        </w:rPr>
        <w:t xml:space="preserve">con arreglo </w:t>
      </w:r>
      <w:r w:rsidRPr="00E21577">
        <w:rPr>
          <w:lang w:val="es-ES_tradnl"/>
        </w:rPr>
        <w:t>a las Normas Internacionales de Auditoría.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581B9D" w:rsidRPr="00E21577">
        <w:rPr>
          <w:lang w:val="es-ES_tradnl"/>
        </w:rPr>
        <w:t>Nuestra entidad es independiente de la</w:t>
      </w:r>
      <w:r w:rsidR="00297D71" w:rsidRPr="00E21577">
        <w:rPr>
          <w:lang w:val="es-ES_tradnl"/>
        </w:rPr>
        <w:t xml:space="preserve"> </w:t>
      </w:r>
      <w:r w:rsidR="00581B9D" w:rsidRPr="00E21577">
        <w:rPr>
          <w:lang w:val="es-ES_tradnl"/>
        </w:rPr>
        <w:t xml:space="preserve">UPOV de </w:t>
      </w:r>
      <w:r w:rsidR="00910ACB" w:rsidRPr="00E21577">
        <w:rPr>
          <w:lang w:val="es-ES_tradnl"/>
        </w:rPr>
        <w:t xml:space="preserve">conformidad con los </w:t>
      </w:r>
      <w:r w:rsidR="00232BE7" w:rsidRPr="00E21577">
        <w:rPr>
          <w:lang w:val="es-ES_tradnl"/>
        </w:rPr>
        <w:t>requisitos deontológicos</w:t>
      </w:r>
      <w:r w:rsidR="00910ACB" w:rsidRPr="00E21577">
        <w:rPr>
          <w:lang w:val="es-ES_tradnl"/>
        </w:rPr>
        <w:t xml:space="preserve"> aplicables a la auditoría de los estados financieros</w:t>
      </w:r>
      <w:r w:rsidR="00D54AE2" w:rsidRPr="00E21577">
        <w:rPr>
          <w:lang w:val="es-ES_tradnl"/>
        </w:rPr>
        <w:t>.</w:t>
      </w:r>
    </w:p>
    <w:p w:rsidR="00C91841" w:rsidRPr="00E21577" w:rsidRDefault="00A01A67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Con arreglo a las </w:t>
      </w:r>
      <w:r w:rsidR="00CD7D26" w:rsidRPr="00E21577">
        <w:rPr>
          <w:lang w:val="es-ES_tradnl"/>
        </w:rPr>
        <w:t>Normas Internacionales de Auditoría</w:t>
      </w:r>
      <w:r w:rsidRPr="00E21577">
        <w:rPr>
          <w:lang w:val="es-ES_tradnl"/>
        </w:rPr>
        <w:t xml:space="preserve">, debemos obtener </w:t>
      </w:r>
      <w:r w:rsidR="00771745" w:rsidRPr="00E21577">
        <w:rPr>
          <w:lang w:val="es-ES_tradnl"/>
        </w:rPr>
        <w:t xml:space="preserve">una seguridad razonable </w:t>
      </w:r>
      <w:r w:rsidR="00444534" w:rsidRPr="00E21577">
        <w:rPr>
          <w:lang w:val="es-ES_tradnl"/>
        </w:rPr>
        <w:t xml:space="preserve">de que los estados financieros, considerados en su conjunto, no contienen inexactitudes </w:t>
      </w:r>
      <w:r w:rsidRPr="00E21577">
        <w:rPr>
          <w:lang w:val="es-ES_tradnl"/>
        </w:rPr>
        <w:t xml:space="preserve">significativas, sean debidas a fraude o a error, y emitir un informe </w:t>
      </w:r>
      <w:r w:rsidR="00444534" w:rsidRPr="00E21577">
        <w:rPr>
          <w:lang w:val="es-ES_tradnl"/>
        </w:rPr>
        <w:t>de auditoría</w:t>
      </w:r>
      <w:r w:rsidRPr="00E21577">
        <w:rPr>
          <w:lang w:val="es-ES_tradnl"/>
        </w:rPr>
        <w:t xml:space="preserve"> que incluya </w:t>
      </w:r>
      <w:r w:rsidR="00444534" w:rsidRPr="00E21577">
        <w:rPr>
          <w:lang w:val="es-ES_tradnl"/>
        </w:rPr>
        <w:t xml:space="preserve">nuestro </w:t>
      </w:r>
      <w:r w:rsidRPr="00E21577">
        <w:rPr>
          <w:lang w:val="es-ES_tradnl"/>
        </w:rPr>
        <w:t>dictamen.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444534" w:rsidRPr="00E21577">
        <w:rPr>
          <w:lang w:val="es-ES_tradnl"/>
        </w:rPr>
        <w:t xml:space="preserve">Las responsabilidades que </w:t>
      </w:r>
      <w:r w:rsidR="00720ADA" w:rsidRPr="00E21577">
        <w:rPr>
          <w:lang w:val="es-ES_tradnl"/>
        </w:rPr>
        <w:t>nos</w:t>
      </w:r>
      <w:r w:rsidR="00444534" w:rsidRPr="00E21577">
        <w:rPr>
          <w:lang w:val="es-ES_tradnl"/>
        </w:rPr>
        <w:t xml:space="preserve"> competen </w:t>
      </w:r>
      <w:r w:rsidR="00581B9D" w:rsidRPr="00E21577">
        <w:rPr>
          <w:lang w:val="es-ES_tradnl"/>
        </w:rPr>
        <w:t>en virtud de esas normas</w:t>
      </w:r>
      <w:r w:rsidR="00444534" w:rsidRPr="00E21577">
        <w:rPr>
          <w:lang w:val="es-ES_tradnl"/>
        </w:rPr>
        <w:t xml:space="preserve"> se detallan en el apartado “Responsabilidades del auditor respecto de la auditoría de los estados financieros” de </w:t>
      </w:r>
      <w:r w:rsidR="00720ADA" w:rsidRPr="00E21577">
        <w:rPr>
          <w:lang w:val="es-ES_tradnl"/>
        </w:rPr>
        <w:t>nuestro dictamen de auditoría</w:t>
      </w:r>
      <w:r w:rsidR="00444534" w:rsidRPr="00E21577">
        <w:rPr>
          <w:lang w:val="es-ES_tradnl"/>
        </w:rPr>
        <w:t>.</w:t>
      </w:r>
    </w:p>
    <w:p w:rsidR="00C91841" w:rsidRPr="00E21577" w:rsidRDefault="000D1566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Principalmente, la </w:t>
      </w:r>
      <w:r w:rsidR="00B975D4" w:rsidRPr="00E21577">
        <w:rPr>
          <w:lang w:val="es-ES_tradnl"/>
        </w:rPr>
        <w:t xml:space="preserve">auditoría </w:t>
      </w:r>
      <w:r w:rsidRPr="00E21577">
        <w:rPr>
          <w:lang w:val="es-ES_tradnl"/>
        </w:rPr>
        <w:t>tenía por objeto</w:t>
      </w:r>
      <w:r w:rsidR="00B15DDD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formarse una opinión sobre </w:t>
      </w:r>
      <w:r w:rsidR="00B975D4" w:rsidRPr="00E21577">
        <w:rPr>
          <w:lang w:val="es-ES_tradnl"/>
        </w:rPr>
        <w:t>si los estados financieros dan cuenta fidedigna de la situación financiera de la</w:t>
      </w:r>
      <w:r w:rsidR="00297D71" w:rsidRPr="00E21577">
        <w:rPr>
          <w:lang w:val="es-ES_tradnl"/>
        </w:rPr>
        <w:t xml:space="preserve"> </w:t>
      </w:r>
      <w:r w:rsidR="00B975D4" w:rsidRPr="00E21577">
        <w:rPr>
          <w:lang w:val="es-ES_tradnl"/>
        </w:rPr>
        <w:t>UPOV al</w:t>
      </w:r>
      <w:r w:rsidR="00297D71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br/>
      </w:r>
      <w:r w:rsidR="00B975D4"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="00B975D4" w:rsidRPr="00E21577">
        <w:rPr>
          <w:lang w:val="es-ES_tradnl"/>
        </w:rPr>
        <w:t xml:space="preserve">2018, </w:t>
      </w:r>
      <w:r w:rsidR="0029291B" w:rsidRPr="00E21577">
        <w:rPr>
          <w:lang w:val="es-ES_tradnl"/>
        </w:rPr>
        <w:t xml:space="preserve">de su rendimiento financiero y de sus flujos de efectivo </w:t>
      </w:r>
      <w:r w:rsidR="00B975D4" w:rsidRPr="00E21577">
        <w:rPr>
          <w:lang w:val="es-ES_tradnl"/>
        </w:rPr>
        <w:t>correspondientes al ejercicio finalizado en esa fecha</w:t>
      </w:r>
      <w:r w:rsidR="00C172D7" w:rsidRPr="00E21577">
        <w:rPr>
          <w:lang w:val="es-ES_tradnl"/>
        </w:rPr>
        <w:t>,</w:t>
      </w:r>
      <w:r w:rsidR="00B975D4" w:rsidRPr="00E21577">
        <w:rPr>
          <w:lang w:val="es-ES_tradnl"/>
        </w:rPr>
        <w:t xml:space="preserve"> de conformidad con las IPSAS.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E71132" w:rsidRPr="00E21577">
        <w:rPr>
          <w:lang w:val="es-ES_tradnl"/>
        </w:rPr>
        <w:t>Para ello, se ha</w:t>
      </w:r>
      <w:r w:rsidR="00B15DDD" w:rsidRPr="00E21577">
        <w:rPr>
          <w:lang w:val="es-ES_tradnl"/>
        </w:rPr>
        <w:t xml:space="preserve"> </w:t>
      </w:r>
      <w:r w:rsidR="00314D61" w:rsidRPr="00E21577">
        <w:rPr>
          <w:lang w:val="es-ES_tradnl"/>
        </w:rPr>
        <w:t>comprobado</w:t>
      </w:r>
      <w:r w:rsidR="00E71132" w:rsidRPr="00E21577">
        <w:rPr>
          <w:lang w:val="es-ES_tradnl"/>
        </w:rPr>
        <w:t xml:space="preserve"> </w:t>
      </w:r>
      <w:r w:rsidR="00B15DDD" w:rsidRPr="00E21577">
        <w:rPr>
          <w:lang w:val="es-ES_tradnl"/>
        </w:rPr>
        <w:t xml:space="preserve">si </w:t>
      </w:r>
      <w:r w:rsidR="00E71132" w:rsidRPr="00E21577">
        <w:rPr>
          <w:lang w:val="es-ES_tradnl"/>
        </w:rPr>
        <w:t xml:space="preserve">los </w:t>
      </w:r>
      <w:r w:rsidR="00B15DDD" w:rsidRPr="00E21577">
        <w:rPr>
          <w:lang w:val="es-ES_tradnl"/>
        </w:rPr>
        <w:t xml:space="preserve">gastos </w:t>
      </w:r>
      <w:r w:rsidR="00E71132" w:rsidRPr="00E21577">
        <w:rPr>
          <w:lang w:val="es-ES_tradnl"/>
        </w:rPr>
        <w:t xml:space="preserve">consignados </w:t>
      </w:r>
      <w:r w:rsidR="00B15DDD" w:rsidRPr="00E21577">
        <w:rPr>
          <w:lang w:val="es-ES_tradnl"/>
        </w:rPr>
        <w:t xml:space="preserve">en </w:t>
      </w:r>
      <w:r w:rsidR="00E71132" w:rsidRPr="00E21577">
        <w:rPr>
          <w:lang w:val="es-ES_tradnl"/>
        </w:rPr>
        <w:t>los</w:t>
      </w:r>
      <w:r w:rsidR="00B15DDD" w:rsidRPr="00E21577">
        <w:rPr>
          <w:lang w:val="es-ES_tradnl"/>
        </w:rPr>
        <w:t xml:space="preserve"> estados financieros </w:t>
      </w:r>
      <w:r w:rsidR="00E71132" w:rsidRPr="00E21577">
        <w:rPr>
          <w:lang w:val="es-ES_tradnl"/>
        </w:rPr>
        <w:t xml:space="preserve">se han destinado a los fines aprobados por el Consejo </w:t>
      </w:r>
      <w:r w:rsidR="00B15DDD" w:rsidRPr="00E21577">
        <w:rPr>
          <w:lang w:val="es-ES_tradnl"/>
        </w:rPr>
        <w:t xml:space="preserve">y si </w:t>
      </w:r>
      <w:r w:rsidR="00E71132" w:rsidRPr="00E21577">
        <w:rPr>
          <w:lang w:val="es-ES_tradnl"/>
        </w:rPr>
        <w:t xml:space="preserve">los </w:t>
      </w:r>
      <w:r w:rsidR="00B15DDD" w:rsidRPr="00E21577">
        <w:rPr>
          <w:lang w:val="es-ES_tradnl"/>
        </w:rPr>
        <w:t xml:space="preserve">ingresos y </w:t>
      </w:r>
      <w:r w:rsidR="00E71132" w:rsidRPr="00E21577">
        <w:rPr>
          <w:lang w:val="es-ES_tradnl"/>
        </w:rPr>
        <w:t xml:space="preserve">los </w:t>
      </w:r>
      <w:r w:rsidR="00B15DDD" w:rsidRPr="00E21577">
        <w:rPr>
          <w:lang w:val="es-ES_tradnl"/>
        </w:rPr>
        <w:t xml:space="preserve">gastos </w:t>
      </w:r>
      <w:r w:rsidR="00E71132" w:rsidRPr="00E21577">
        <w:rPr>
          <w:lang w:val="es-ES_tradnl"/>
        </w:rPr>
        <w:t>han sido</w:t>
      </w:r>
      <w:r w:rsidR="00B15DDD" w:rsidRPr="00E21577">
        <w:rPr>
          <w:lang w:val="es-ES_tradnl"/>
        </w:rPr>
        <w:t xml:space="preserve"> </w:t>
      </w:r>
      <w:r w:rsidR="00E71132" w:rsidRPr="00E21577">
        <w:rPr>
          <w:lang w:val="es-ES_tradnl"/>
        </w:rPr>
        <w:t>debidamente</w:t>
      </w:r>
      <w:r w:rsidR="00B15DDD" w:rsidRPr="00E21577">
        <w:rPr>
          <w:lang w:val="es-ES_tradnl"/>
        </w:rPr>
        <w:t xml:space="preserve"> clasifi</w:t>
      </w:r>
      <w:r w:rsidR="00E71132" w:rsidRPr="00E21577">
        <w:rPr>
          <w:lang w:val="es-ES_tradnl"/>
        </w:rPr>
        <w:t xml:space="preserve">cados </w:t>
      </w:r>
      <w:r w:rsidR="00B15DDD" w:rsidRPr="00E21577">
        <w:rPr>
          <w:lang w:val="es-ES_tradnl"/>
        </w:rPr>
        <w:t>y re</w:t>
      </w:r>
      <w:r w:rsidR="00E71132" w:rsidRPr="00E21577">
        <w:rPr>
          <w:lang w:val="es-ES_tradnl"/>
        </w:rPr>
        <w:t xml:space="preserve">gistrados </w:t>
      </w:r>
      <w:r w:rsidR="00B15DDD" w:rsidRPr="00E21577">
        <w:rPr>
          <w:lang w:val="es-ES_tradnl"/>
        </w:rPr>
        <w:t xml:space="preserve">de conformidad con </w:t>
      </w:r>
      <w:r w:rsidR="00E71132" w:rsidRPr="00E21577">
        <w:rPr>
          <w:lang w:val="es-ES_tradnl"/>
        </w:rPr>
        <w:t>el Reglamento Financiero y la Reglamentación Financiera de la</w:t>
      </w:r>
      <w:r w:rsidR="00297D71" w:rsidRPr="00E21577">
        <w:rPr>
          <w:lang w:val="es-ES_tradnl"/>
        </w:rPr>
        <w:t xml:space="preserve"> </w:t>
      </w:r>
      <w:r w:rsidR="00E71132" w:rsidRPr="00E21577">
        <w:rPr>
          <w:lang w:val="es-ES_tradnl"/>
        </w:rPr>
        <w:t>UPOV</w:t>
      </w:r>
      <w:r w:rsidR="00B15DDD"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9400F6" w:rsidRPr="00E21577">
        <w:rPr>
          <w:lang w:val="es-ES_tradnl"/>
        </w:rPr>
        <w:t xml:space="preserve">La </w:t>
      </w:r>
      <w:r w:rsidR="00BC14C9" w:rsidRPr="00E21577">
        <w:rPr>
          <w:lang w:val="es-ES_tradnl"/>
        </w:rPr>
        <w:t xml:space="preserve">auditoría </w:t>
      </w:r>
      <w:r w:rsidR="009400F6" w:rsidRPr="00E21577">
        <w:rPr>
          <w:lang w:val="es-ES_tradnl"/>
        </w:rPr>
        <w:t xml:space="preserve">incluía </w:t>
      </w:r>
      <w:r w:rsidR="00DE21A5" w:rsidRPr="00E21577">
        <w:rPr>
          <w:lang w:val="es-ES_tradnl"/>
        </w:rPr>
        <w:t>un</w:t>
      </w:r>
      <w:r w:rsidR="00F06A1F" w:rsidRPr="00E21577">
        <w:rPr>
          <w:lang w:val="es-ES_tradnl"/>
        </w:rPr>
        <w:t>a</w:t>
      </w:r>
      <w:r w:rsidR="00DE21A5" w:rsidRPr="00E21577">
        <w:rPr>
          <w:lang w:val="es-ES_tradnl"/>
        </w:rPr>
        <w:t xml:space="preserve"> </w:t>
      </w:r>
      <w:r w:rsidR="00F06A1F" w:rsidRPr="00E21577">
        <w:rPr>
          <w:lang w:val="es-ES_tradnl"/>
        </w:rPr>
        <w:t xml:space="preserve">revisión </w:t>
      </w:r>
      <w:r w:rsidR="00024DD4" w:rsidRPr="00E21577">
        <w:rPr>
          <w:lang w:val="es-ES_tradnl"/>
        </w:rPr>
        <w:t xml:space="preserve">general de </w:t>
      </w:r>
      <w:r w:rsidR="00DE21A5" w:rsidRPr="00E21577">
        <w:rPr>
          <w:lang w:val="es-ES_tradnl"/>
        </w:rPr>
        <w:t xml:space="preserve">los sistemas </w:t>
      </w:r>
      <w:r w:rsidR="00024DD4" w:rsidRPr="00E21577">
        <w:rPr>
          <w:lang w:val="es-ES_tradnl"/>
        </w:rPr>
        <w:t>financi</w:t>
      </w:r>
      <w:r w:rsidR="00DE21A5" w:rsidRPr="00E21577">
        <w:rPr>
          <w:lang w:val="es-ES_tradnl"/>
        </w:rPr>
        <w:t>eros</w:t>
      </w:r>
      <w:r w:rsidR="00024DD4" w:rsidRPr="00E21577">
        <w:rPr>
          <w:lang w:val="es-ES_tradnl"/>
        </w:rPr>
        <w:t xml:space="preserve"> y </w:t>
      </w:r>
      <w:r w:rsidR="00631BBA" w:rsidRPr="00E21577">
        <w:rPr>
          <w:lang w:val="es-ES_tradnl"/>
        </w:rPr>
        <w:t xml:space="preserve">de </w:t>
      </w:r>
      <w:r w:rsidR="00DE21A5" w:rsidRPr="00E21577">
        <w:rPr>
          <w:lang w:val="es-ES_tradnl"/>
        </w:rPr>
        <w:t xml:space="preserve">los controles internos </w:t>
      </w:r>
      <w:r w:rsidR="00024DD4" w:rsidRPr="00E21577">
        <w:rPr>
          <w:lang w:val="es-ES_tradnl"/>
        </w:rPr>
        <w:t xml:space="preserve">y </w:t>
      </w:r>
      <w:r w:rsidR="009400F6" w:rsidRPr="00E21577">
        <w:rPr>
          <w:lang w:val="es-ES_tradnl"/>
        </w:rPr>
        <w:t>un</w:t>
      </w:r>
      <w:r w:rsidR="00024DD4" w:rsidRPr="00E21577">
        <w:rPr>
          <w:lang w:val="es-ES_tradnl"/>
        </w:rPr>
        <w:t xml:space="preserve"> examen </w:t>
      </w:r>
      <w:r w:rsidR="00631BBA" w:rsidRPr="00E21577">
        <w:rPr>
          <w:lang w:val="es-ES_tradnl"/>
        </w:rPr>
        <w:t xml:space="preserve">por sondeo </w:t>
      </w:r>
      <w:r w:rsidR="00024DD4" w:rsidRPr="00E21577">
        <w:rPr>
          <w:lang w:val="es-ES_tradnl"/>
        </w:rPr>
        <w:t xml:space="preserve">de </w:t>
      </w:r>
      <w:r w:rsidR="009400F6" w:rsidRPr="00E21577">
        <w:rPr>
          <w:lang w:val="es-ES_tradnl"/>
        </w:rPr>
        <w:t>l</w:t>
      </w:r>
      <w:r w:rsidR="00F06A1F" w:rsidRPr="00E21577">
        <w:rPr>
          <w:lang w:val="es-ES_tradnl"/>
        </w:rPr>
        <w:t>o</w:t>
      </w:r>
      <w:r w:rsidR="009400F6" w:rsidRPr="00E21577">
        <w:rPr>
          <w:lang w:val="es-ES_tradnl"/>
        </w:rPr>
        <w:t xml:space="preserve">s </w:t>
      </w:r>
      <w:r w:rsidR="00F06A1F" w:rsidRPr="00E21577">
        <w:rPr>
          <w:lang w:val="es-ES_tradnl"/>
        </w:rPr>
        <w:t>registros</w:t>
      </w:r>
      <w:r w:rsidR="009400F6" w:rsidRPr="00E21577">
        <w:rPr>
          <w:lang w:val="es-ES_tradnl"/>
        </w:rPr>
        <w:t xml:space="preserve"> contables </w:t>
      </w:r>
      <w:r w:rsidR="00024DD4" w:rsidRPr="00E21577">
        <w:rPr>
          <w:lang w:val="es-ES_tradnl"/>
        </w:rPr>
        <w:t xml:space="preserve">y </w:t>
      </w:r>
      <w:r w:rsidR="00631BBA" w:rsidRPr="00E21577">
        <w:rPr>
          <w:lang w:val="es-ES_tradnl"/>
        </w:rPr>
        <w:t xml:space="preserve">de </w:t>
      </w:r>
      <w:r w:rsidR="00F06A1F" w:rsidRPr="00E21577">
        <w:rPr>
          <w:lang w:val="es-ES_tradnl"/>
        </w:rPr>
        <w:t>otra documentación justificativa</w:t>
      </w:r>
      <w:r w:rsidR="002572A6" w:rsidRPr="00E21577">
        <w:rPr>
          <w:lang w:val="es-ES_tradnl"/>
        </w:rPr>
        <w:t>,</w:t>
      </w:r>
      <w:r w:rsidR="00F06A1F" w:rsidRPr="00E21577">
        <w:rPr>
          <w:lang w:val="es-ES_tradnl"/>
        </w:rPr>
        <w:t xml:space="preserve"> en la medida en que se</w:t>
      </w:r>
      <w:r w:rsidR="00024DD4" w:rsidRPr="00E21577">
        <w:rPr>
          <w:lang w:val="es-ES_tradnl"/>
        </w:rPr>
        <w:t xml:space="preserve"> </w:t>
      </w:r>
      <w:r w:rsidR="00F06A1F" w:rsidRPr="00E21577">
        <w:rPr>
          <w:lang w:val="es-ES_tradnl"/>
        </w:rPr>
        <w:t>consideró necesario para formarse una opinión sobre los estados financieros</w:t>
      </w:r>
      <w:r w:rsidR="00024DD4" w:rsidRPr="00E21577">
        <w:rPr>
          <w:lang w:val="es-ES_tradnl"/>
        </w:rPr>
        <w:t>.</w:t>
      </w:r>
    </w:p>
    <w:p w:rsidR="00C91841" w:rsidRPr="00E21577" w:rsidRDefault="00383304" w:rsidP="00C172D7">
      <w:pPr>
        <w:pStyle w:val="Heading4"/>
        <w:spacing w:after="160" w:line="240" w:lineRule="auto"/>
        <w:rPr>
          <w:lang w:val="es-ES_tradnl"/>
        </w:rPr>
      </w:pPr>
      <w:r w:rsidRPr="00E21577">
        <w:rPr>
          <w:lang w:val="es-ES_tradnl"/>
        </w:rPr>
        <w:t>Nombramiento del auditor externo</w:t>
      </w:r>
    </w:p>
    <w:p w:rsidR="00C91841" w:rsidRPr="00E21577" w:rsidRDefault="00383304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En </w:t>
      </w:r>
      <w:r w:rsidR="009E33AB" w:rsidRPr="00E21577">
        <w:rPr>
          <w:lang w:val="es-ES_tradnl"/>
        </w:rPr>
        <w:t xml:space="preserve">el </w:t>
      </w:r>
      <w:r w:rsidRPr="00E21577">
        <w:rPr>
          <w:lang w:val="es-ES_tradnl"/>
        </w:rPr>
        <w:t xml:space="preserve">Reglamento financiero </w:t>
      </w:r>
      <w:r w:rsidR="009E33AB" w:rsidRPr="00E21577">
        <w:rPr>
          <w:lang w:val="es-ES_tradnl"/>
        </w:rPr>
        <w:t>y la Reglamentación Financiera de la</w:t>
      </w:r>
      <w:r w:rsidR="00297D71" w:rsidRPr="00E21577">
        <w:rPr>
          <w:lang w:val="es-ES_tradnl"/>
        </w:rPr>
        <w:t xml:space="preserve"> </w:t>
      </w:r>
      <w:r w:rsidR="009E33AB" w:rsidRPr="00E21577">
        <w:rPr>
          <w:lang w:val="es-ES_tradnl"/>
        </w:rPr>
        <w:t xml:space="preserve">UPOV </w:t>
      </w:r>
      <w:r w:rsidRPr="00E21577">
        <w:rPr>
          <w:lang w:val="es-ES_tradnl"/>
        </w:rPr>
        <w:t>se dispone que</w:t>
      </w:r>
      <w:r w:rsidR="009E33AB" w:rsidRPr="00E21577">
        <w:rPr>
          <w:lang w:val="es-ES_tradnl"/>
        </w:rPr>
        <w:t>,</w:t>
      </w:r>
      <w:r w:rsidRPr="00E21577">
        <w:rPr>
          <w:lang w:val="es-ES_tradnl"/>
        </w:rPr>
        <w:t xml:space="preserve"> </w:t>
      </w:r>
      <w:r w:rsidR="009E33AB" w:rsidRPr="00E21577">
        <w:rPr>
          <w:lang w:val="es-ES_tradnl"/>
        </w:rPr>
        <w:t xml:space="preserve">si </w:t>
      </w:r>
      <w:r w:rsidRPr="00E21577">
        <w:rPr>
          <w:lang w:val="es-ES_tradnl"/>
        </w:rPr>
        <w:t xml:space="preserve">el </w:t>
      </w:r>
      <w:r w:rsidR="009E33AB" w:rsidRPr="00E21577">
        <w:rPr>
          <w:lang w:val="es-ES_tradnl"/>
        </w:rPr>
        <w:t>auditor externo de la</w:t>
      </w:r>
      <w:r w:rsidR="004F07A4" w:rsidRPr="00E21577">
        <w:rPr>
          <w:lang w:val="es-ES_tradnl"/>
        </w:rPr>
        <w:t xml:space="preserve"> Organización Mundial de la Propiedad Intelectual (OMPI) </w:t>
      </w:r>
      <w:r w:rsidRPr="00E21577">
        <w:rPr>
          <w:lang w:val="es-ES_tradnl"/>
        </w:rPr>
        <w:t xml:space="preserve">es el </w:t>
      </w:r>
      <w:r w:rsidR="009E33AB" w:rsidRPr="00E21577">
        <w:rPr>
          <w:lang w:val="es-ES_tradnl"/>
        </w:rPr>
        <w:t>auditor general de un Estado miembro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UPOV, el Consejo designará </w:t>
      </w:r>
      <w:r w:rsidR="009E33AB" w:rsidRPr="00E21577">
        <w:rPr>
          <w:lang w:val="es-ES_tradnl"/>
        </w:rPr>
        <w:t>auditor externo</w:t>
      </w:r>
      <w:r w:rsidRPr="00E21577">
        <w:rPr>
          <w:lang w:val="es-ES_tradnl"/>
        </w:rPr>
        <w:t xml:space="preserve">, con el acuerdo de este último, al </w:t>
      </w:r>
      <w:r w:rsidR="009E33AB" w:rsidRPr="00E21577">
        <w:rPr>
          <w:lang w:val="es-ES_tradnl"/>
        </w:rPr>
        <w:t>auditor externo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OMPI.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DB7160" w:rsidRPr="00E21577">
        <w:rPr>
          <w:lang w:val="es-ES_tradnl"/>
        </w:rPr>
        <w:t>La Oficina Nacional de Auditoría</w:t>
      </w:r>
      <w:r w:rsidR="009E33AB" w:rsidRPr="00E21577">
        <w:rPr>
          <w:lang w:val="es-ES_tradnl"/>
        </w:rPr>
        <w:t xml:space="preserve"> </w:t>
      </w:r>
      <w:r w:rsidR="00DB7160" w:rsidRPr="00E21577">
        <w:rPr>
          <w:lang w:val="es-ES_tradnl"/>
        </w:rPr>
        <w:t>del Reino</w:t>
      </w:r>
      <w:r w:rsidR="00297D71" w:rsidRPr="00E21577">
        <w:rPr>
          <w:lang w:val="es-ES_tradnl"/>
        </w:rPr>
        <w:t xml:space="preserve"> </w:t>
      </w:r>
      <w:r w:rsidR="00DB7160" w:rsidRPr="00E21577">
        <w:rPr>
          <w:lang w:val="es-ES_tradnl"/>
        </w:rPr>
        <w:t>Unido fue designad</w:t>
      </w:r>
      <w:r w:rsidR="00FE584B" w:rsidRPr="00E21577">
        <w:rPr>
          <w:lang w:val="es-ES_tradnl"/>
        </w:rPr>
        <w:t>a</w:t>
      </w:r>
      <w:r w:rsidR="00DB7160" w:rsidRPr="00E21577">
        <w:rPr>
          <w:lang w:val="es-ES_tradnl"/>
        </w:rPr>
        <w:t xml:space="preserve"> auditor externo de la</w:t>
      </w:r>
      <w:r w:rsidR="00297D71" w:rsidRPr="00E21577">
        <w:rPr>
          <w:lang w:val="es-ES_tradnl"/>
        </w:rPr>
        <w:t xml:space="preserve"> </w:t>
      </w:r>
      <w:r w:rsidR="009E33AB" w:rsidRPr="00E21577">
        <w:rPr>
          <w:lang w:val="es-ES_tradnl"/>
        </w:rPr>
        <w:t>OMPI con un mandato de seis años a partir del</w:t>
      </w:r>
      <w:r w:rsidR="00297D71" w:rsidRPr="00E21577">
        <w:rPr>
          <w:lang w:val="es-ES_tradnl"/>
        </w:rPr>
        <w:t xml:space="preserve"> </w:t>
      </w:r>
      <w:r w:rsidR="009E33AB" w:rsidRPr="00E21577">
        <w:rPr>
          <w:lang w:val="es-ES_tradnl"/>
        </w:rPr>
        <w:t>1 de enero de</w:t>
      </w:r>
      <w:r w:rsidR="00297D71" w:rsidRPr="00E21577">
        <w:rPr>
          <w:lang w:val="es-ES_tradnl"/>
        </w:rPr>
        <w:t xml:space="preserve"> </w:t>
      </w:r>
      <w:r w:rsidR="009E33AB" w:rsidRPr="00E21577">
        <w:rPr>
          <w:lang w:val="es-ES_tradnl"/>
        </w:rPr>
        <w:t>2018.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br/>
      </w:r>
      <w:r w:rsidR="00FE584B" w:rsidRPr="00E21577">
        <w:rPr>
          <w:lang w:val="es-ES_tradnl"/>
        </w:rPr>
        <w:t>En octubre de</w:t>
      </w:r>
      <w:r w:rsidR="00297D71" w:rsidRPr="00E21577">
        <w:rPr>
          <w:lang w:val="es-ES_tradnl"/>
        </w:rPr>
        <w:t xml:space="preserve"> </w:t>
      </w:r>
      <w:r w:rsidR="00FE584B" w:rsidRPr="00E21577">
        <w:rPr>
          <w:lang w:val="es-ES_tradnl"/>
        </w:rPr>
        <w:t xml:space="preserve">2017, el Consejo ratificó el nombramiento de la Oficina Nacional de Auditoría </w:t>
      </w:r>
      <w:r w:rsidR="00256546" w:rsidRPr="00E21577">
        <w:rPr>
          <w:lang w:val="es-ES_tradnl"/>
        </w:rPr>
        <w:t>del Reino</w:t>
      </w:r>
      <w:r w:rsidR="00297D71" w:rsidRPr="00E21577">
        <w:rPr>
          <w:lang w:val="es-ES_tradnl"/>
        </w:rPr>
        <w:t xml:space="preserve"> </w:t>
      </w:r>
      <w:r w:rsidR="00256546" w:rsidRPr="00E21577">
        <w:rPr>
          <w:lang w:val="es-ES_tradnl"/>
        </w:rPr>
        <w:t xml:space="preserve">Unido </w:t>
      </w:r>
      <w:r w:rsidR="00FE584B" w:rsidRPr="00E21577">
        <w:rPr>
          <w:lang w:val="es-ES_tradnl"/>
        </w:rPr>
        <w:t>como auditor externo de la</w:t>
      </w:r>
      <w:r w:rsidR="00297D71" w:rsidRPr="00E21577">
        <w:rPr>
          <w:lang w:val="es-ES_tradnl"/>
        </w:rPr>
        <w:t xml:space="preserve"> </w:t>
      </w:r>
      <w:r w:rsidR="00FE584B" w:rsidRPr="00E21577">
        <w:rPr>
          <w:lang w:val="es-ES_tradnl"/>
        </w:rPr>
        <w:t>UPOV.</w:t>
      </w:r>
    </w:p>
    <w:p w:rsidR="00C91841" w:rsidRPr="00E21577" w:rsidRDefault="007B554A" w:rsidP="00C172D7">
      <w:pPr>
        <w:pStyle w:val="Heading4"/>
        <w:spacing w:after="160" w:line="240" w:lineRule="auto"/>
        <w:rPr>
          <w:lang w:val="es-ES_tradnl"/>
        </w:rPr>
      </w:pPr>
      <w:r w:rsidRPr="00E21577">
        <w:rPr>
          <w:lang w:val="es-ES_tradnl"/>
        </w:rPr>
        <w:lastRenderedPageBreak/>
        <w:t>Preparativos para el relevo</w:t>
      </w:r>
    </w:p>
    <w:p w:rsidR="00C91841" w:rsidRPr="00E21577" w:rsidRDefault="00A11B98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De </w:t>
      </w:r>
      <w:r w:rsidR="00971F09" w:rsidRPr="00E21577">
        <w:rPr>
          <w:lang w:val="es-ES_tradnl"/>
        </w:rPr>
        <w:t>conformidad con los protocolos consensuados del Grupo de Auditores Externos de las Naciones</w:t>
      </w:r>
      <w:r w:rsidR="00297D71" w:rsidRPr="00E21577">
        <w:rPr>
          <w:lang w:val="es-ES_tradnl"/>
        </w:rPr>
        <w:t xml:space="preserve"> </w:t>
      </w:r>
      <w:r w:rsidR="00971F09" w:rsidRPr="00E21577">
        <w:rPr>
          <w:lang w:val="es-ES_tradnl"/>
        </w:rPr>
        <w:t>Unidas</w:t>
      </w:r>
      <w:r w:rsidRPr="00E21577">
        <w:rPr>
          <w:lang w:val="es-ES_tradnl"/>
        </w:rPr>
        <w:t xml:space="preserve">, </w:t>
      </w:r>
      <w:r w:rsidR="00EC762E" w:rsidRPr="00E21577">
        <w:rPr>
          <w:lang w:val="es-ES_tradnl"/>
        </w:rPr>
        <w:t xml:space="preserve">hemos </w:t>
      </w:r>
      <w:r w:rsidR="003A07DB" w:rsidRPr="00E21577">
        <w:rPr>
          <w:lang w:val="es-ES_tradnl"/>
        </w:rPr>
        <w:t>realizado</w:t>
      </w:r>
      <w:r w:rsidR="00EC762E" w:rsidRPr="00E21577">
        <w:rPr>
          <w:lang w:val="es-ES_tradnl"/>
        </w:rPr>
        <w:t xml:space="preserve"> las </w:t>
      </w:r>
      <w:r w:rsidR="003A07DB" w:rsidRPr="00E21577">
        <w:rPr>
          <w:lang w:val="es-ES_tradnl"/>
        </w:rPr>
        <w:t xml:space="preserve">consultas </w:t>
      </w:r>
      <w:r w:rsidR="00EC762E" w:rsidRPr="00E21577">
        <w:rPr>
          <w:lang w:val="es-ES_tradnl"/>
        </w:rPr>
        <w:t xml:space="preserve">oportunas </w:t>
      </w:r>
      <w:r w:rsidR="0038103F" w:rsidRPr="00E21577">
        <w:rPr>
          <w:lang w:val="es-ES_tradnl"/>
        </w:rPr>
        <w:t xml:space="preserve">a </w:t>
      </w:r>
      <w:r w:rsidR="00971F09" w:rsidRPr="00E21577">
        <w:rPr>
          <w:lang w:val="es-ES_tradnl"/>
        </w:rPr>
        <w:t>la Oficina Federal de Auditoría de la Confederación Suiza</w:t>
      </w:r>
      <w:r w:rsidR="00EC762E" w:rsidRPr="00E21577">
        <w:rPr>
          <w:lang w:val="es-ES_tradnl"/>
        </w:rPr>
        <w:t xml:space="preserve">, que </w:t>
      </w:r>
      <w:r w:rsidR="006A0DC1" w:rsidRPr="00E21577">
        <w:rPr>
          <w:lang w:val="es-ES_tradnl"/>
        </w:rPr>
        <w:t xml:space="preserve">nos </w:t>
      </w:r>
      <w:r w:rsidR="00FA0156" w:rsidRPr="00E21577">
        <w:rPr>
          <w:lang w:val="es-ES_tradnl"/>
        </w:rPr>
        <w:t xml:space="preserve">ha </w:t>
      </w:r>
      <w:r w:rsidR="006A0DC1" w:rsidRPr="00E21577">
        <w:rPr>
          <w:lang w:val="es-ES_tradnl"/>
        </w:rPr>
        <w:t xml:space="preserve">facilitado </w:t>
      </w:r>
      <w:r w:rsidRPr="00E21577">
        <w:rPr>
          <w:lang w:val="es-ES_tradnl"/>
        </w:rPr>
        <w:t>tod</w:t>
      </w:r>
      <w:r w:rsidR="00EC762E" w:rsidRPr="00E21577">
        <w:rPr>
          <w:lang w:val="es-ES_tradnl"/>
        </w:rPr>
        <w:t>a la</w:t>
      </w:r>
      <w:r w:rsidRPr="00E21577">
        <w:rPr>
          <w:lang w:val="es-ES_tradnl"/>
        </w:rPr>
        <w:t xml:space="preserve"> información </w:t>
      </w:r>
      <w:r w:rsidR="00EC762E" w:rsidRPr="00E21577">
        <w:rPr>
          <w:lang w:val="es-ES_tradnl"/>
        </w:rPr>
        <w:t>solicitada</w:t>
      </w:r>
      <w:r w:rsidRPr="00E21577">
        <w:rPr>
          <w:lang w:val="es-ES_tradnl"/>
        </w:rPr>
        <w:t>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522C8F" w:rsidRPr="00E21577">
        <w:rPr>
          <w:lang w:val="es-ES_tradnl"/>
        </w:rPr>
        <w:t>Asimismo</w:t>
      </w:r>
      <w:r w:rsidR="00CD7D26" w:rsidRPr="00E21577">
        <w:rPr>
          <w:lang w:val="es-ES_tradnl"/>
        </w:rPr>
        <w:t xml:space="preserve">, </w:t>
      </w:r>
      <w:r w:rsidR="00522C8F" w:rsidRPr="00E21577">
        <w:rPr>
          <w:lang w:val="es-ES_tradnl"/>
        </w:rPr>
        <w:t>como exigen las</w:t>
      </w:r>
      <w:r w:rsidR="00CD7D26" w:rsidRPr="00E21577">
        <w:rPr>
          <w:lang w:val="es-ES_tradnl"/>
        </w:rPr>
        <w:t xml:space="preserve"> </w:t>
      </w:r>
      <w:r w:rsidR="00522C8F" w:rsidRPr="00E21577">
        <w:rPr>
          <w:lang w:val="es-ES_tradnl"/>
        </w:rPr>
        <w:t>Normas Internacionales de Auditoría</w:t>
      </w:r>
      <w:r w:rsidR="00CD7D26" w:rsidRPr="00E21577">
        <w:rPr>
          <w:lang w:val="es-ES_tradnl"/>
        </w:rPr>
        <w:t xml:space="preserve">, </w:t>
      </w:r>
      <w:r w:rsidR="00522C8F" w:rsidRPr="00E21577">
        <w:rPr>
          <w:lang w:val="es-ES_tradnl"/>
        </w:rPr>
        <w:t xml:space="preserve">hemos </w:t>
      </w:r>
      <w:r w:rsidR="00C11792" w:rsidRPr="00E21577">
        <w:rPr>
          <w:lang w:val="es-ES_tradnl"/>
        </w:rPr>
        <w:t>emple</w:t>
      </w:r>
      <w:r w:rsidR="00522C8F" w:rsidRPr="00E21577">
        <w:rPr>
          <w:lang w:val="es-ES_tradnl"/>
        </w:rPr>
        <w:t>ado los</w:t>
      </w:r>
      <w:r w:rsidR="00CD7D26" w:rsidRPr="00E21577">
        <w:rPr>
          <w:lang w:val="es-ES_tradnl"/>
        </w:rPr>
        <w:t xml:space="preserve"> procedimientos </w:t>
      </w:r>
      <w:r w:rsidR="00522C8F" w:rsidRPr="00E21577">
        <w:rPr>
          <w:lang w:val="es-ES_tradnl"/>
        </w:rPr>
        <w:t>adecuados para verificar los</w:t>
      </w:r>
      <w:r w:rsidR="00CD7D26" w:rsidRPr="00E21577">
        <w:rPr>
          <w:lang w:val="es-ES_tradnl"/>
        </w:rPr>
        <w:t xml:space="preserve"> saldos </w:t>
      </w:r>
      <w:r w:rsidR="00522C8F" w:rsidRPr="00E21577">
        <w:rPr>
          <w:lang w:val="es-ES_tradnl"/>
        </w:rPr>
        <w:t xml:space="preserve">declarados </w:t>
      </w:r>
      <w:r w:rsidR="00CD7D26" w:rsidRPr="00E21577">
        <w:rPr>
          <w:lang w:val="es-ES_tradnl"/>
        </w:rPr>
        <w:t>a</w:t>
      </w:r>
      <w:r w:rsidR="00522C8F" w:rsidRPr="00E21577">
        <w:rPr>
          <w:lang w:val="es-ES_tradnl"/>
        </w:rPr>
        <w:t>l</w:t>
      </w:r>
      <w:r w:rsidR="00297D71" w:rsidRPr="00E21577">
        <w:rPr>
          <w:lang w:val="es-ES_tradnl"/>
        </w:rPr>
        <w:t xml:space="preserve"> </w:t>
      </w:r>
      <w:r w:rsidR="00CD7D26" w:rsidRPr="00E21577">
        <w:rPr>
          <w:lang w:val="es-ES_tradnl"/>
        </w:rPr>
        <w:t xml:space="preserve">1 </w:t>
      </w:r>
      <w:r w:rsidR="00522C8F" w:rsidRPr="00E21577">
        <w:rPr>
          <w:lang w:val="es-ES_tradnl"/>
        </w:rPr>
        <w:t>de enero de</w:t>
      </w:r>
      <w:r w:rsidR="00297D71" w:rsidRPr="00E21577">
        <w:rPr>
          <w:lang w:val="es-ES_tradnl"/>
        </w:rPr>
        <w:t xml:space="preserve"> </w:t>
      </w:r>
      <w:r w:rsidR="00CD7D26" w:rsidRPr="00E21577">
        <w:rPr>
          <w:lang w:val="es-ES_tradnl"/>
        </w:rPr>
        <w:t>2018.</w:t>
      </w:r>
    </w:p>
    <w:p w:rsidR="00C91841" w:rsidRPr="00E21577" w:rsidRDefault="004F07A4" w:rsidP="00C172D7">
      <w:pPr>
        <w:pStyle w:val="Heading4"/>
        <w:spacing w:after="160" w:line="240" w:lineRule="auto"/>
        <w:rPr>
          <w:lang w:val="es-ES_tradnl"/>
        </w:rPr>
      </w:pPr>
      <w:r w:rsidRPr="00E21577">
        <w:rPr>
          <w:lang w:val="es-ES_tradnl"/>
        </w:rPr>
        <w:t>Entorno de control de la</w:t>
      </w:r>
      <w:r w:rsidR="00297D71" w:rsidRPr="00E21577">
        <w:rPr>
          <w:lang w:val="es-ES_tradnl"/>
        </w:rPr>
        <w:t xml:space="preserve"> </w:t>
      </w:r>
      <w:r w:rsidR="00522C8F" w:rsidRPr="00E21577">
        <w:rPr>
          <w:lang w:val="es-ES_tradnl"/>
        </w:rPr>
        <w:t>UPOV</w:t>
      </w:r>
    </w:p>
    <w:p w:rsidR="00C91841" w:rsidRPr="00E21577" w:rsidRDefault="004F07A4" w:rsidP="00C172D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En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1982,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UPOV y </w:t>
      </w:r>
      <w:r w:rsidR="004608C2"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Organización Mundial de la Propiedad Intelectual (OMPI) </w:t>
      </w:r>
      <w:r w:rsidR="005155B4" w:rsidRPr="00E21577">
        <w:rPr>
          <w:lang w:val="es-ES_tradnl"/>
        </w:rPr>
        <w:t>suscribieron un</w:t>
      </w:r>
      <w:r w:rsidRPr="00E21577">
        <w:rPr>
          <w:lang w:val="es-ES_tradnl"/>
        </w:rPr>
        <w:t xml:space="preserve"> acuerdo</w:t>
      </w:r>
      <w:r w:rsidR="005155B4" w:rsidRPr="00E21577">
        <w:rPr>
          <w:lang w:val="es-ES_tradnl"/>
        </w:rPr>
        <w:t xml:space="preserve"> en virtud del cual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OMPI </w:t>
      </w:r>
      <w:r w:rsidR="00676C08" w:rsidRPr="00E21577">
        <w:rPr>
          <w:lang w:val="es-ES_tradnl"/>
        </w:rPr>
        <w:t xml:space="preserve">se </w:t>
      </w:r>
      <w:r w:rsidR="0067326A" w:rsidRPr="00E21577">
        <w:rPr>
          <w:lang w:val="es-ES_tradnl"/>
        </w:rPr>
        <w:t>ocupa</w:t>
      </w:r>
      <w:r w:rsidR="00676C08" w:rsidRPr="00E21577">
        <w:rPr>
          <w:lang w:val="es-ES_tradnl"/>
        </w:rPr>
        <w:t xml:space="preserve"> de</w:t>
      </w:r>
      <w:r w:rsidRPr="00E21577">
        <w:rPr>
          <w:lang w:val="es-ES_tradnl"/>
        </w:rPr>
        <w:t xml:space="preserve"> </w:t>
      </w:r>
      <w:r w:rsidR="00BB66B2" w:rsidRPr="00E21577">
        <w:rPr>
          <w:lang w:val="es-ES_tradnl"/>
        </w:rPr>
        <w:t xml:space="preserve">las </w:t>
      </w:r>
      <w:r w:rsidR="00F57885" w:rsidRPr="00E21577">
        <w:rPr>
          <w:lang w:val="es-ES_tradnl"/>
        </w:rPr>
        <w:t>necesidades</w:t>
      </w:r>
      <w:r w:rsidR="00BB66B2" w:rsidRPr="00E21577">
        <w:rPr>
          <w:lang w:val="es-ES_tradnl"/>
        </w:rPr>
        <w:t xml:space="preserve"> administrativas de la</w:t>
      </w:r>
      <w:r w:rsidR="00297D71" w:rsidRPr="00E21577">
        <w:rPr>
          <w:lang w:val="es-ES_tradnl"/>
        </w:rPr>
        <w:t xml:space="preserve"> </w:t>
      </w:r>
      <w:r w:rsidR="00BB66B2" w:rsidRPr="00E21577">
        <w:rPr>
          <w:lang w:val="es-ES_tradnl"/>
        </w:rPr>
        <w:t>UPOV, entre ellas</w:t>
      </w:r>
      <w:r w:rsidRPr="00E21577">
        <w:rPr>
          <w:lang w:val="es-ES_tradnl"/>
        </w:rPr>
        <w:t xml:space="preserve"> </w:t>
      </w:r>
      <w:r w:rsidR="00BB66B2" w:rsidRPr="00E21577">
        <w:rPr>
          <w:lang w:val="es-ES_tradnl"/>
        </w:rPr>
        <w:t>toda</w:t>
      </w:r>
      <w:r w:rsidRPr="00E21577">
        <w:rPr>
          <w:lang w:val="es-ES_tradnl"/>
        </w:rPr>
        <w:t xml:space="preserve">s </w:t>
      </w:r>
      <w:r w:rsidR="00BB66B2" w:rsidRPr="00E21577">
        <w:rPr>
          <w:lang w:val="es-ES_tradnl"/>
        </w:rPr>
        <w:t xml:space="preserve">las </w:t>
      </w:r>
      <w:r w:rsidRPr="00E21577">
        <w:rPr>
          <w:lang w:val="es-ES_tradnl"/>
        </w:rPr>
        <w:t xml:space="preserve">cuestiones </w:t>
      </w:r>
      <w:r w:rsidR="00BB66B2" w:rsidRPr="00E21577">
        <w:rPr>
          <w:lang w:val="es-ES_tradnl"/>
        </w:rPr>
        <w:t xml:space="preserve">relacionadas con la administración financiera, </w:t>
      </w:r>
      <w:r w:rsidRPr="00E21577">
        <w:rPr>
          <w:lang w:val="es-ES_tradnl"/>
        </w:rPr>
        <w:t>inclu</w:t>
      </w:r>
      <w:r w:rsidR="00BB66B2" w:rsidRPr="00E21577">
        <w:rPr>
          <w:lang w:val="es-ES_tradnl"/>
        </w:rPr>
        <w:t xml:space="preserve">ida la preparación </w:t>
      </w:r>
      <w:r w:rsidRPr="00E21577">
        <w:rPr>
          <w:lang w:val="es-ES_tradnl"/>
        </w:rPr>
        <w:t xml:space="preserve">de </w:t>
      </w:r>
      <w:r w:rsidR="00BB66B2" w:rsidRPr="00E21577">
        <w:rPr>
          <w:lang w:val="es-ES_tradnl"/>
        </w:rPr>
        <w:t xml:space="preserve">los estados financieros </w:t>
      </w:r>
      <w:r w:rsidRPr="00E21577">
        <w:rPr>
          <w:lang w:val="es-ES_tradnl"/>
        </w:rPr>
        <w:t>anual</w:t>
      </w:r>
      <w:r w:rsidR="00BB66B2" w:rsidRPr="00E21577">
        <w:rPr>
          <w:lang w:val="es-ES_tradnl"/>
        </w:rPr>
        <w:t>es</w:t>
      </w:r>
      <w:r w:rsidRPr="00E21577">
        <w:rPr>
          <w:lang w:val="es-ES_tradnl"/>
        </w:rPr>
        <w:t>.</w:t>
      </w:r>
    </w:p>
    <w:p w:rsidR="00C91841" w:rsidRPr="00E21577" w:rsidRDefault="0067326A" w:rsidP="00BB4654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El nombramiento del auditor externo que se encarga de auditar a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 y a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OMPI se realiza de modo concertado</w:t>
      </w:r>
      <w:r w:rsidR="00756E0C" w:rsidRPr="00E21577">
        <w:rPr>
          <w:lang w:val="es-ES_tradnl"/>
        </w:rPr>
        <w:t>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C202F1" w:rsidRPr="00E21577">
        <w:rPr>
          <w:lang w:val="es-ES_tradnl"/>
        </w:rPr>
        <w:t xml:space="preserve">No obstante, de conformidad con las Normas Internacionales de Auditoría, </w:t>
      </w:r>
      <w:r w:rsidRPr="00E21577">
        <w:rPr>
          <w:lang w:val="es-ES_tradnl"/>
        </w:rPr>
        <w:t xml:space="preserve">cada auditoría se ha planificado y llevado a cabo </w:t>
      </w:r>
      <w:r w:rsidR="00C202F1" w:rsidRPr="00E21577">
        <w:rPr>
          <w:lang w:val="es-ES_tradnl"/>
        </w:rPr>
        <w:t>por separado.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D8075E" w:rsidRPr="00E21577">
        <w:rPr>
          <w:lang w:val="es-ES_tradnl"/>
        </w:rPr>
        <w:t xml:space="preserve">Una de </w:t>
      </w:r>
      <w:r w:rsidR="002F63B7" w:rsidRPr="00E21577">
        <w:rPr>
          <w:lang w:val="es-ES_tradnl"/>
        </w:rPr>
        <w:t xml:space="preserve">nuestras </w:t>
      </w:r>
      <w:r w:rsidR="00C202F1" w:rsidRPr="00E21577">
        <w:rPr>
          <w:lang w:val="es-ES_tradnl"/>
        </w:rPr>
        <w:t xml:space="preserve">responsabilidades </w:t>
      </w:r>
      <w:r w:rsidR="00AA00C5" w:rsidRPr="00E21577">
        <w:rPr>
          <w:lang w:val="es-ES_tradnl"/>
        </w:rPr>
        <w:t>respecto de</w:t>
      </w:r>
      <w:r w:rsidR="00C202F1" w:rsidRPr="00E21577">
        <w:rPr>
          <w:lang w:val="es-ES_tradnl"/>
        </w:rPr>
        <w:t xml:space="preserve"> la auditoría de </w:t>
      </w:r>
      <w:r w:rsidR="00694232" w:rsidRPr="00E21577">
        <w:rPr>
          <w:lang w:val="es-ES_tradnl"/>
        </w:rPr>
        <w:br/>
      </w:r>
      <w:r w:rsidR="00C202F1"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C202F1" w:rsidRPr="00E21577">
        <w:rPr>
          <w:lang w:val="es-ES_tradnl"/>
        </w:rPr>
        <w:t xml:space="preserve">UPOV </w:t>
      </w:r>
      <w:r w:rsidR="00D8075E" w:rsidRPr="00E21577">
        <w:rPr>
          <w:lang w:val="es-ES_tradnl"/>
        </w:rPr>
        <w:t xml:space="preserve">consiste en </w:t>
      </w:r>
      <w:r w:rsidR="00C202F1" w:rsidRPr="00E21577">
        <w:rPr>
          <w:lang w:val="es-ES_tradnl"/>
        </w:rPr>
        <w:t xml:space="preserve">adquirir un </w:t>
      </w:r>
      <w:r w:rsidR="00FC2ECA" w:rsidRPr="00E21577">
        <w:rPr>
          <w:lang w:val="es-ES_tradnl"/>
        </w:rPr>
        <w:t>grado</w:t>
      </w:r>
      <w:r w:rsidR="00C202F1" w:rsidRPr="00E21577">
        <w:rPr>
          <w:lang w:val="es-ES_tradnl"/>
        </w:rPr>
        <w:t xml:space="preserve"> de comprensión de los sistemas de control interno pertinentes a efectos de la auditoría </w:t>
      </w:r>
      <w:r w:rsidR="002F63B7" w:rsidRPr="00E21577">
        <w:rPr>
          <w:lang w:val="es-ES_tradnl"/>
        </w:rPr>
        <w:t xml:space="preserve">que </w:t>
      </w:r>
      <w:r w:rsidR="00FC2ECA" w:rsidRPr="00E21577">
        <w:rPr>
          <w:lang w:val="es-ES_tradnl"/>
        </w:rPr>
        <w:t>nos permita</w:t>
      </w:r>
      <w:r w:rsidR="00C202F1" w:rsidRPr="00E21577">
        <w:rPr>
          <w:lang w:val="es-ES_tradnl"/>
        </w:rPr>
        <w:t xml:space="preserve"> diseñar unos procedimientos de auditoría adecuados a las circunstancias.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194E0D" w:rsidRPr="00E21577">
        <w:rPr>
          <w:lang w:val="es-ES_tradnl"/>
        </w:rPr>
        <w:t>Con arreglo a las</w:t>
      </w:r>
      <w:r w:rsidR="00C202F1" w:rsidRPr="00E21577">
        <w:rPr>
          <w:lang w:val="es-ES_tradnl"/>
        </w:rPr>
        <w:t xml:space="preserve"> </w:t>
      </w:r>
      <w:r w:rsidR="00194E0D" w:rsidRPr="00E21577">
        <w:rPr>
          <w:lang w:val="es-ES_tradnl"/>
        </w:rPr>
        <w:t>Normas Internacionales de Auditoría</w:t>
      </w:r>
      <w:r w:rsidR="00C202F1" w:rsidRPr="00E21577">
        <w:rPr>
          <w:lang w:val="es-ES_tradnl"/>
        </w:rPr>
        <w:t xml:space="preserve">, </w:t>
      </w:r>
      <w:r w:rsidR="00E71B18" w:rsidRPr="00E21577">
        <w:rPr>
          <w:lang w:val="es-ES_tradnl"/>
        </w:rPr>
        <w:t>hemos establecido</w:t>
      </w:r>
      <w:r w:rsidR="00C202F1" w:rsidRPr="00E21577">
        <w:rPr>
          <w:lang w:val="es-ES_tradnl"/>
        </w:rPr>
        <w:t xml:space="preserve"> </w:t>
      </w:r>
      <w:r w:rsidR="00E71B18" w:rsidRPr="00E21577">
        <w:rPr>
          <w:lang w:val="es-ES_tradnl"/>
        </w:rPr>
        <w:t xml:space="preserve">procedimientos </w:t>
      </w:r>
      <w:r w:rsidR="00C202F1" w:rsidRPr="00E21577">
        <w:rPr>
          <w:lang w:val="es-ES_tradnl"/>
        </w:rPr>
        <w:t>formal</w:t>
      </w:r>
      <w:r w:rsidR="00E71B18" w:rsidRPr="00E21577">
        <w:rPr>
          <w:lang w:val="es-ES_tradnl"/>
        </w:rPr>
        <w:t>es</w:t>
      </w:r>
      <w:r w:rsidR="00C202F1" w:rsidRPr="00E21577">
        <w:rPr>
          <w:lang w:val="es-ES_tradnl"/>
        </w:rPr>
        <w:t xml:space="preserve"> </w:t>
      </w:r>
      <w:r w:rsidR="00543465" w:rsidRPr="00E21577">
        <w:rPr>
          <w:lang w:val="es-ES_tradnl"/>
        </w:rPr>
        <w:t xml:space="preserve">para </w:t>
      </w:r>
      <w:r w:rsidR="00B9614C" w:rsidRPr="00E21577">
        <w:rPr>
          <w:lang w:val="es-ES_tradnl"/>
        </w:rPr>
        <w:t xml:space="preserve">poder </w:t>
      </w:r>
      <w:r w:rsidR="00543465" w:rsidRPr="00E21577">
        <w:rPr>
          <w:lang w:val="es-ES_tradnl"/>
        </w:rPr>
        <w:t>basarnos en la</w:t>
      </w:r>
      <w:r w:rsidR="00C202F1" w:rsidRPr="00E21577">
        <w:rPr>
          <w:lang w:val="es-ES_tradnl"/>
        </w:rPr>
        <w:t xml:space="preserve"> </w:t>
      </w:r>
      <w:r w:rsidR="00E71B18" w:rsidRPr="00E21577">
        <w:rPr>
          <w:lang w:val="es-ES_tradnl"/>
        </w:rPr>
        <w:t xml:space="preserve">labor de auditoría que </w:t>
      </w:r>
      <w:r w:rsidR="00C202F1" w:rsidRPr="00E21577">
        <w:rPr>
          <w:lang w:val="es-ES_tradnl"/>
        </w:rPr>
        <w:t xml:space="preserve">nuestros </w:t>
      </w:r>
      <w:r w:rsidR="00E71B18" w:rsidRPr="00E21577">
        <w:rPr>
          <w:lang w:val="es-ES_tradnl"/>
        </w:rPr>
        <w:t xml:space="preserve">equipos han llevado a cabo </w:t>
      </w:r>
      <w:r w:rsidR="00543465" w:rsidRPr="00E21577">
        <w:rPr>
          <w:lang w:val="es-ES_tradnl"/>
        </w:rPr>
        <w:t>sobre</w:t>
      </w:r>
      <w:r w:rsidR="00E71B18" w:rsidRPr="00E21577">
        <w:rPr>
          <w:lang w:val="es-ES_tradnl"/>
        </w:rPr>
        <w:t xml:space="preserve"> los sistemas de la</w:t>
      </w:r>
      <w:r w:rsidR="00297D71" w:rsidRPr="00E21577">
        <w:rPr>
          <w:lang w:val="es-ES_tradnl"/>
        </w:rPr>
        <w:t xml:space="preserve"> </w:t>
      </w:r>
      <w:r w:rsidR="00C202F1" w:rsidRPr="00E21577">
        <w:rPr>
          <w:lang w:val="es-ES_tradnl"/>
        </w:rPr>
        <w:t>OMPI.</w:t>
      </w:r>
    </w:p>
    <w:p w:rsidR="00C91841" w:rsidRPr="00E21577" w:rsidRDefault="002E6DBA" w:rsidP="00BB4654">
      <w:pPr>
        <w:pStyle w:val="Heading4"/>
        <w:spacing w:after="160" w:line="240" w:lineRule="auto"/>
        <w:rPr>
          <w:lang w:val="es-ES_tradnl"/>
        </w:rPr>
      </w:pPr>
      <w:r w:rsidRPr="00E21577">
        <w:rPr>
          <w:lang w:val="es-ES_tradnl"/>
        </w:rPr>
        <w:t xml:space="preserve">Declaración </w:t>
      </w:r>
      <w:r w:rsidR="00D06278" w:rsidRPr="00E21577">
        <w:rPr>
          <w:lang w:val="es-ES_tradnl"/>
        </w:rPr>
        <w:t xml:space="preserve">sobre el </w:t>
      </w:r>
      <w:r w:rsidRPr="00E21577">
        <w:rPr>
          <w:lang w:val="es-ES_tradnl"/>
        </w:rPr>
        <w:t>control interno</w:t>
      </w:r>
    </w:p>
    <w:p w:rsidR="00C91841" w:rsidRPr="00E21577" w:rsidRDefault="00D06278" w:rsidP="00BB4654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La declaración sobre el control interno tiene por </w:t>
      </w:r>
      <w:r w:rsidR="00F77378" w:rsidRPr="00E21577">
        <w:rPr>
          <w:lang w:val="es-ES_tradnl"/>
        </w:rPr>
        <w:t>finalidad</w:t>
      </w:r>
      <w:r w:rsidRPr="00E21577">
        <w:rPr>
          <w:lang w:val="es-ES_tradnl"/>
        </w:rPr>
        <w:t xml:space="preserve"> proporcionar un informe transparente y responsable sobre el entorno de control y los riesgos a los que se enfrentan las organizaciones.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F77378" w:rsidRPr="00E21577">
        <w:rPr>
          <w:lang w:val="es-ES_tradnl"/>
        </w:rPr>
        <w:t>Debe ser fruto de los procesos diarios y basarse en los elementos y las interacciones esenciales dentro de un marco de gobernanza y control interno que funcione correctamente.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F77378" w:rsidRPr="00E21577">
        <w:rPr>
          <w:lang w:val="es-ES_tradnl"/>
        </w:rPr>
        <w:t xml:space="preserve">La eficacia de los controles internos descritos en la declaración debe ser objeto de una revisión constante, basada en las aportaciones de los </w:t>
      </w:r>
      <w:r w:rsidR="003340F4" w:rsidRPr="00E21577">
        <w:rPr>
          <w:lang w:val="es-ES_tradnl"/>
        </w:rPr>
        <w:t>proveedores de garantías y en los resultados de los controles de conformidad realizados por la Dirección</w:t>
      </w:r>
      <w:r w:rsidR="0000420E"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F218DB" w:rsidRPr="00E21577">
        <w:rPr>
          <w:lang w:val="es-ES_tradnl"/>
        </w:rPr>
        <w:t xml:space="preserve">En la declaración se </w:t>
      </w:r>
      <w:r w:rsidR="000F737C" w:rsidRPr="00E21577">
        <w:rPr>
          <w:lang w:val="es-ES_tradnl"/>
        </w:rPr>
        <w:t xml:space="preserve">reúnen </w:t>
      </w:r>
      <w:r w:rsidR="00F218DB" w:rsidRPr="00E21577">
        <w:rPr>
          <w:lang w:val="es-ES_tradnl"/>
        </w:rPr>
        <w:t>los resultados de estas garantías y se utilizan para forjar una perspectiva sobre el funcionamiento de los procesos de control.</w:t>
      </w:r>
    </w:p>
    <w:p w:rsidR="00C91841" w:rsidRPr="00E21577" w:rsidRDefault="00BA0D07" w:rsidP="00BB4654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A</w:t>
      </w:r>
      <w:r w:rsidR="00F7549D" w:rsidRPr="00E21577">
        <w:rPr>
          <w:lang w:val="es-ES_tradnl"/>
        </w:rPr>
        <w:t xml:space="preserve"> consecuencia del acuerdo administrativo suscrito</w:t>
      </w:r>
      <w:r w:rsidR="00134535" w:rsidRPr="00E21577">
        <w:rPr>
          <w:lang w:val="es-ES_tradnl"/>
        </w:rPr>
        <w:t xml:space="preserve"> entre ambas organizaciones</w:t>
      </w:r>
      <w:r w:rsidR="00F7549D" w:rsidRPr="00E21577">
        <w:rPr>
          <w:lang w:val="es-ES_tradnl"/>
        </w:rPr>
        <w:t>, la declaración sobre el control interno de la</w:t>
      </w:r>
      <w:r w:rsidR="00297D71" w:rsidRPr="00E21577">
        <w:rPr>
          <w:lang w:val="es-ES_tradnl"/>
        </w:rPr>
        <w:t xml:space="preserve"> </w:t>
      </w:r>
      <w:r w:rsidR="00F7549D" w:rsidRPr="00E21577">
        <w:rPr>
          <w:lang w:val="es-ES_tradnl"/>
        </w:rPr>
        <w:t>UPOV se basa en gran medida en el entorno operativo y el marco de rendición de cuentas de la</w:t>
      </w:r>
      <w:r w:rsidR="00297D71" w:rsidRPr="00E21577">
        <w:rPr>
          <w:lang w:val="es-ES_tradnl"/>
        </w:rPr>
        <w:t xml:space="preserve"> </w:t>
      </w:r>
      <w:r w:rsidR="00F7549D" w:rsidRPr="00E21577">
        <w:rPr>
          <w:lang w:val="es-ES_tradnl"/>
        </w:rPr>
        <w:t>OMPI.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402FF9" w:rsidRPr="00E21577">
        <w:rPr>
          <w:lang w:val="es-ES_tradnl"/>
        </w:rPr>
        <w:t>Hemos evaluado</w:t>
      </w:r>
      <w:r w:rsidR="00134535" w:rsidRPr="00E21577">
        <w:rPr>
          <w:lang w:val="es-ES_tradnl"/>
        </w:rPr>
        <w:t xml:space="preserve"> si </w:t>
      </w:r>
      <w:r w:rsidR="00402FF9" w:rsidRPr="00E21577">
        <w:rPr>
          <w:lang w:val="es-ES_tradnl"/>
        </w:rPr>
        <w:t xml:space="preserve">la </w:t>
      </w:r>
      <w:r w:rsidR="00134535" w:rsidRPr="00E21577">
        <w:rPr>
          <w:lang w:val="es-ES_tradnl"/>
        </w:rPr>
        <w:t xml:space="preserve">información </w:t>
      </w:r>
      <w:r w:rsidR="00F21173" w:rsidRPr="00E21577">
        <w:rPr>
          <w:lang w:val="es-ES_tradnl"/>
        </w:rPr>
        <w:t xml:space="preserve">que </w:t>
      </w:r>
      <w:r w:rsidR="00134535" w:rsidRPr="00E21577">
        <w:rPr>
          <w:lang w:val="es-ES_tradnl"/>
        </w:rPr>
        <w:t>cont</w:t>
      </w:r>
      <w:r w:rsidR="00F21173" w:rsidRPr="00E21577">
        <w:rPr>
          <w:lang w:val="es-ES_tradnl"/>
        </w:rPr>
        <w:t>iene</w:t>
      </w:r>
      <w:r w:rsidR="00134535" w:rsidRPr="00E21577">
        <w:rPr>
          <w:lang w:val="es-ES_tradnl"/>
        </w:rPr>
        <w:t xml:space="preserve"> </w:t>
      </w:r>
      <w:r w:rsidR="00402FF9" w:rsidRPr="00E21577">
        <w:rPr>
          <w:lang w:val="es-ES_tradnl"/>
        </w:rPr>
        <w:t>la declaración sobre el control interno guarda coherencia con nuestr</w:t>
      </w:r>
      <w:r w:rsidR="001D49C8" w:rsidRPr="00E21577">
        <w:rPr>
          <w:lang w:val="es-ES_tradnl"/>
        </w:rPr>
        <w:t>o</w:t>
      </w:r>
      <w:r w:rsidR="00402FF9" w:rsidRPr="00E21577">
        <w:rPr>
          <w:lang w:val="es-ES_tradnl"/>
        </w:rPr>
        <w:t xml:space="preserve"> </w:t>
      </w:r>
      <w:r w:rsidR="001D49C8" w:rsidRPr="00E21577">
        <w:rPr>
          <w:lang w:val="es-ES_tradnl"/>
        </w:rPr>
        <w:t>conocimiento</w:t>
      </w:r>
      <w:r w:rsidR="00402FF9" w:rsidRPr="00E21577">
        <w:rPr>
          <w:lang w:val="es-ES_tradnl"/>
        </w:rPr>
        <w:t xml:space="preserve"> de la</w:t>
      </w:r>
      <w:r w:rsidR="00297D71" w:rsidRPr="00E21577">
        <w:rPr>
          <w:lang w:val="es-ES_tradnl"/>
        </w:rPr>
        <w:t xml:space="preserve"> </w:t>
      </w:r>
      <w:r w:rsidR="00134535" w:rsidRPr="00E21577">
        <w:rPr>
          <w:lang w:val="es-ES_tradnl"/>
        </w:rPr>
        <w:t xml:space="preserve">UPOV y </w:t>
      </w:r>
      <w:r w:rsidR="00402FF9" w:rsidRPr="00E21577">
        <w:rPr>
          <w:lang w:val="es-ES_tradnl"/>
        </w:rPr>
        <w:t xml:space="preserve">no </w:t>
      </w:r>
      <w:r w:rsidR="00134535" w:rsidRPr="00E21577">
        <w:rPr>
          <w:lang w:val="es-ES_tradnl"/>
        </w:rPr>
        <w:t>h</w:t>
      </w:r>
      <w:r w:rsidR="00402FF9" w:rsidRPr="00E21577">
        <w:rPr>
          <w:lang w:val="es-ES_tradnl"/>
        </w:rPr>
        <w:t xml:space="preserve">emos hallado </w:t>
      </w:r>
      <w:r w:rsidR="000706C2" w:rsidRPr="00E21577">
        <w:rPr>
          <w:lang w:val="es-ES_tradnl"/>
        </w:rPr>
        <w:t xml:space="preserve">discordancias </w:t>
      </w:r>
      <w:r w:rsidR="00402FF9" w:rsidRPr="00E21577">
        <w:rPr>
          <w:lang w:val="es-ES_tradnl"/>
        </w:rPr>
        <w:t>significativas</w:t>
      </w:r>
      <w:r w:rsidR="00134535" w:rsidRPr="00E21577">
        <w:rPr>
          <w:lang w:val="es-ES_tradnl"/>
        </w:rPr>
        <w:t xml:space="preserve"> </w:t>
      </w:r>
      <w:r w:rsidR="00F21173" w:rsidRPr="00E21577">
        <w:rPr>
          <w:lang w:val="es-ES_tradnl"/>
        </w:rPr>
        <w:t xml:space="preserve">respecto de </w:t>
      </w:r>
      <w:r w:rsidR="00134535" w:rsidRPr="00E21577">
        <w:rPr>
          <w:lang w:val="es-ES_tradnl"/>
        </w:rPr>
        <w:t>nuestr</w:t>
      </w:r>
      <w:r w:rsidR="001D49C8" w:rsidRPr="00E21577">
        <w:rPr>
          <w:lang w:val="es-ES_tradnl"/>
        </w:rPr>
        <w:t>a</w:t>
      </w:r>
      <w:r w:rsidR="00134535" w:rsidRPr="00E21577">
        <w:rPr>
          <w:lang w:val="es-ES_tradnl"/>
        </w:rPr>
        <w:t xml:space="preserve"> </w:t>
      </w:r>
      <w:r w:rsidR="001D49C8" w:rsidRPr="00E21577">
        <w:rPr>
          <w:lang w:val="es-ES_tradnl"/>
        </w:rPr>
        <w:t>interpretación</w:t>
      </w:r>
      <w:r w:rsidR="00134535" w:rsidRPr="00E21577">
        <w:rPr>
          <w:lang w:val="es-ES_tradnl"/>
        </w:rPr>
        <w:t xml:space="preserve"> de</w:t>
      </w:r>
      <w:r w:rsidR="001D49C8" w:rsidRPr="00E21577">
        <w:rPr>
          <w:lang w:val="es-ES_tradnl"/>
        </w:rPr>
        <w:t>l</w:t>
      </w:r>
      <w:r w:rsidR="00134535" w:rsidRPr="00E21577">
        <w:rPr>
          <w:lang w:val="es-ES_tradnl"/>
        </w:rPr>
        <w:t xml:space="preserve"> </w:t>
      </w:r>
      <w:r w:rsidR="001D49C8" w:rsidRPr="00E21577">
        <w:rPr>
          <w:lang w:val="es-ES_tradnl"/>
        </w:rPr>
        <w:t>entorno</w:t>
      </w:r>
      <w:r w:rsidR="00134535" w:rsidRPr="00E21577">
        <w:rPr>
          <w:lang w:val="es-ES_tradnl"/>
        </w:rPr>
        <w:t>.</w:t>
      </w:r>
    </w:p>
    <w:p w:rsidR="00C91841" w:rsidRPr="00E21577" w:rsidRDefault="006E6DBC" w:rsidP="00694232">
      <w:pPr>
        <w:pStyle w:val="Number1"/>
        <w:keepLines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lastRenderedPageBreak/>
        <w:t>No obstante, convendría</w:t>
      </w:r>
      <w:r w:rsidR="00EE069A" w:rsidRPr="00E21577">
        <w:rPr>
          <w:lang w:val="es-ES_tradnl"/>
        </w:rPr>
        <w:t xml:space="preserve"> </w:t>
      </w:r>
      <w:r w:rsidR="006C467E" w:rsidRPr="00E21577">
        <w:rPr>
          <w:lang w:val="es-ES_tradnl"/>
        </w:rPr>
        <w:t>que la</w:t>
      </w:r>
      <w:r w:rsidR="00297D71" w:rsidRPr="00E21577">
        <w:rPr>
          <w:lang w:val="es-ES_tradnl"/>
        </w:rPr>
        <w:t xml:space="preserve"> </w:t>
      </w:r>
      <w:r w:rsidR="001D49C8" w:rsidRPr="00E21577">
        <w:rPr>
          <w:lang w:val="es-ES_tradnl"/>
        </w:rPr>
        <w:t xml:space="preserve">UPOV </w:t>
      </w:r>
      <w:r w:rsidR="005D291A" w:rsidRPr="00E21577">
        <w:rPr>
          <w:lang w:val="es-ES_tradnl"/>
        </w:rPr>
        <w:t>analice</w:t>
      </w:r>
      <w:r w:rsidR="001D49C8" w:rsidRPr="00E21577">
        <w:rPr>
          <w:lang w:val="es-ES_tradnl"/>
        </w:rPr>
        <w:t xml:space="preserve"> </w:t>
      </w:r>
      <w:r w:rsidR="006C467E" w:rsidRPr="00E21577">
        <w:rPr>
          <w:lang w:val="es-ES_tradnl"/>
        </w:rPr>
        <w:t xml:space="preserve">en profundidad las garantías que </w:t>
      </w:r>
      <w:r w:rsidR="001D49C8" w:rsidRPr="00E21577">
        <w:rPr>
          <w:lang w:val="es-ES_tradnl"/>
        </w:rPr>
        <w:t>rec</w:t>
      </w:r>
      <w:r w:rsidR="006C467E" w:rsidRPr="00E21577">
        <w:rPr>
          <w:lang w:val="es-ES_tradnl"/>
        </w:rPr>
        <w:t>ibe</w:t>
      </w:r>
      <w:r w:rsidR="001D49C8" w:rsidRPr="00E21577">
        <w:rPr>
          <w:lang w:val="es-ES_tradnl"/>
        </w:rPr>
        <w:t xml:space="preserve"> directamente</w:t>
      </w:r>
      <w:r w:rsidR="006C467E" w:rsidRPr="00E21577">
        <w:rPr>
          <w:lang w:val="es-ES_tradnl"/>
        </w:rPr>
        <w:t xml:space="preserve"> de la</w:t>
      </w:r>
      <w:r w:rsidR="00297D71" w:rsidRPr="00E21577">
        <w:rPr>
          <w:lang w:val="es-ES_tradnl"/>
        </w:rPr>
        <w:t xml:space="preserve"> </w:t>
      </w:r>
      <w:r w:rsidR="00B90435" w:rsidRPr="00E21577">
        <w:rPr>
          <w:lang w:val="es-ES_tradnl"/>
        </w:rPr>
        <w:t>OMPI a fin de</w:t>
      </w:r>
      <w:r w:rsidR="001D49C8" w:rsidRPr="00E21577">
        <w:rPr>
          <w:lang w:val="es-ES_tradnl"/>
        </w:rPr>
        <w:t xml:space="preserve"> </w:t>
      </w:r>
      <w:r w:rsidR="00B90435" w:rsidRPr="00E21577">
        <w:rPr>
          <w:lang w:val="es-ES_tradnl"/>
        </w:rPr>
        <w:t>cerciorarse</w:t>
      </w:r>
      <w:r w:rsidR="001D49C8" w:rsidRPr="00E21577">
        <w:rPr>
          <w:lang w:val="es-ES_tradnl"/>
        </w:rPr>
        <w:t xml:space="preserve"> de </w:t>
      </w:r>
      <w:r w:rsidR="00B90435" w:rsidRPr="00E21577">
        <w:rPr>
          <w:lang w:val="es-ES_tradnl"/>
        </w:rPr>
        <w:t>la</w:t>
      </w:r>
      <w:r w:rsidR="001D49C8" w:rsidRPr="00E21577">
        <w:rPr>
          <w:lang w:val="es-ES_tradnl"/>
        </w:rPr>
        <w:t xml:space="preserve"> </w:t>
      </w:r>
      <w:r w:rsidR="00B90435" w:rsidRPr="00E21577">
        <w:rPr>
          <w:lang w:val="es-ES_tradnl"/>
        </w:rPr>
        <w:t xml:space="preserve">eficacia operativa </w:t>
      </w:r>
      <w:r w:rsidR="001D49C8" w:rsidRPr="00E21577">
        <w:rPr>
          <w:lang w:val="es-ES_tradnl"/>
        </w:rPr>
        <w:t xml:space="preserve">de </w:t>
      </w:r>
      <w:r w:rsidR="00B90435" w:rsidRPr="00E21577">
        <w:rPr>
          <w:lang w:val="es-ES_tradnl"/>
        </w:rPr>
        <w:t xml:space="preserve">los </w:t>
      </w:r>
      <w:r w:rsidR="001D49C8" w:rsidRPr="00E21577">
        <w:rPr>
          <w:lang w:val="es-ES_tradnl"/>
        </w:rPr>
        <w:t>control</w:t>
      </w:r>
      <w:r w:rsidR="00B90435" w:rsidRPr="00E21577">
        <w:rPr>
          <w:lang w:val="es-ES_tradnl"/>
        </w:rPr>
        <w:t>e</w:t>
      </w:r>
      <w:r w:rsidR="001D49C8" w:rsidRPr="00E21577">
        <w:rPr>
          <w:lang w:val="es-ES_tradnl"/>
        </w:rPr>
        <w:t>s.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5D291A" w:rsidRPr="00E21577">
        <w:rPr>
          <w:lang w:val="es-ES_tradnl"/>
        </w:rPr>
        <w:t xml:space="preserve">Convendría </w:t>
      </w:r>
      <w:r w:rsidR="00B90435" w:rsidRPr="00E21577">
        <w:rPr>
          <w:lang w:val="es-ES_tradnl"/>
        </w:rPr>
        <w:t xml:space="preserve">asimismo </w:t>
      </w:r>
      <w:r w:rsidR="0088715B" w:rsidRPr="00E21577">
        <w:rPr>
          <w:lang w:val="es-ES_tradnl"/>
        </w:rPr>
        <w:t>que la</w:t>
      </w:r>
      <w:r w:rsidR="00297D71" w:rsidRPr="00E21577">
        <w:rPr>
          <w:lang w:val="es-ES_tradnl"/>
        </w:rPr>
        <w:t xml:space="preserve"> </w:t>
      </w:r>
      <w:r w:rsidR="00B90435" w:rsidRPr="00E21577">
        <w:rPr>
          <w:lang w:val="es-ES_tradnl"/>
        </w:rPr>
        <w:t xml:space="preserve">UPOV </w:t>
      </w:r>
      <w:r w:rsidR="005D291A" w:rsidRPr="00E21577">
        <w:rPr>
          <w:lang w:val="es-ES_tradnl"/>
        </w:rPr>
        <w:t>examine</w:t>
      </w:r>
      <w:r w:rsidR="00B90435" w:rsidRPr="00E21577">
        <w:rPr>
          <w:lang w:val="es-ES_tradnl"/>
        </w:rPr>
        <w:t xml:space="preserve"> </w:t>
      </w:r>
      <w:r w:rsidR="0088715B" w:rsidRPr="00E21577">
        <w:rPr>
          <w:lang w:val="es-ES_tradnl"/>
        </w:rPr>
        <w:t>el marco de rendición de cuentas de la</w:t>
      </w:r>
      <w:r w:rsidR="00297D71" w:rsidRPr="00E21577">
        <w:rPr>
          <w:lang w:val="es-ES_tradnl"/>
        </w:rPr>
        <w:t xml:space="preserve"> </w:t>
      </w:r>
      <w:r w:rsidR="00B90435" w:rsidRPr="00E21577">
        <w:rPr>
          <w:lang w:val="es-ES_tradnl"/>
        </w:rPr>
        <w:t>OMPI y</w:t>
      </w:r>
      <w:r w:rsidR="007F757D" w:rsidRPr="00E21577">
        <w:rPr>
          <w:lang w:val="es-ES_tradnl"/>
        </w:rPr>
        <w:t>, en caso necesario,</w:t>
      </w:r>
      <w:r w:rsidR="00B90435" w:rsidRPr="00E21577">
        <w:rPr>
          <w:lang w:val="es-ES_tradnl"/>
        </w:rPr>
        <w:t xml:space="preserve"> </w:t>
      </w:r>
      <w:r w:rsidR="00F86576" w:rsidRPr="00E21577">
        <w:rPr>
          <w:lang w:val="es-ES_tradnl"/>
        </w:rPr>
        <w:t>valore</w:t>
      </w:r>
      <w:r w:rsidR="00B90435" w:rsidRPr="00E21577">
        <w:rPr>
          <w:lang w:val="es-ES_tradnl"/>
        </w:rPr>
        <w:t xml:space="preserve"> </w:t>
      </w:r>
      <w:r w:rsidR="008F5DDD" w:rsidRPr="00E21577">
        <w:rPr>
          <w:lang w:val="es-ES_tradnl"/>
        </w:rPr>
        <w:t>en qué</w:t>
      </w:r>
      <w:r w:rsidR="00B90435" w:rsidRPr="00E21577">
        <w:rPr>
          <w:lang w:val="es-ES_tradnl"/>
        </w:rPr>
        <w:t xml:space="preserve"> </w:t>
      </w:r>
      <w:r w:rsidR="008F5DDD" w:rsidRPr="00E21577">
        <w:rPr>
          <w:lang w:val="es-ES_tradnl"/>
        </w:rPr>
        <w:t xml:space="preserve">medida se ha reproducido </w:t>
      </w:r>
      <w:r w:rsidR="00B90435" w:rsidRPr="00E21577">
        <w:rPr>
          <w:lang w:val="es-ES_tradnl"/>
        </w:rPr>
        <w:t xml:space="preserve">en </w:t>
      </w:r>
      <w:r w:rsidR="008F5DDD" w:rsidRPr="00E21577">
        <w:rPr>
          <w:lang w:val="es-ES_tradnl"/>
        </w:rPr>
        <w:t>sus</w:t>
      </w:r>
      <w:r w:rsidR="00B90435" w:rsidRPr="00E21577">
        <w:rPr>
          <w:lang w:val="es-ES_tradnl"/>
        </w:rPr>
        <w:t xml:space="preserve"> propio</w:t>
      </w:r>
      <w:r w:rsidR="008F5DDD" w:rsidRPr="00E21577">
        <w:rPr>
          <w:lang w:val="es-ES_tradnl"/>
        </w:rPr>
        <w:t>s</w:t>
      </w:r>
      <w:r w:rsidR="00B90435" w:rsidRPr="00E21577">
        <w:rPr>
          <w:lang w:val="es-ES_tradnl"/>
        </w:rPr>
        <w:t xml:space="preserve"> </w:t>
      </w:r>
      <w:r w:rsidR="008F5DDD" w:rsidRPr="00E21577">
        <w:rPr>
          <w:lang w:val="es-ES_tradnl"/>
        </w:rPr>
        <w:t>procesos de control interno</w:t>
      </w:r>
      <w:r w:rsidR="00B90435" w:rsidRPr="00E21577">
        <w:rPr>
          <w:lang w:val="es-ES_tradnl"/>
        </w:rPr>
        <w:t>.</w:t>
      </w:r>
    </w:p>
    <w:p w:rsidR="00C91841" w:rsidRPr="00E21577" w:rsidRDefault="00EF4A24" w:rsidP="00BB4654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vanish/>
          <w:lang w:val="es-ES_tradnl"/>
        </w:rPr>
      </w:pPr>
      <w:r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7F757D" w:rsidRPr="00E21577">
        <w:rPr>
          <w:lang w:val="es-ES_tradnl"/>
        </w:rPr>
        <w:t xml:space="preserve">UPOV </w:t>
      </w:r>
      <w:r w:rsidRPr="00E21577">
        <w:rPr>
          <w:lang w:val="es-ES_tradnl"/>
        </w:rPr>
        <w:t>debe</w:t>
      </w:r>
      <w:r w:rsidR="00454696" w:rsidRPr="00E21577">
        <w:rPr>
          <w:lang w:val="es-ES_tradnl"/>
        </w:rPr>
        <w:t>ría</w:t>
      </w:r>
      <w:r w:rsidRPr="00E21577">
        <w:rPr>
          <w:lang w:val="es-ES_tradnl"/>
        </w:rPr>
        <w:t xml:space="preserve"> </w:t>
      </w:r>
      <w:r w:rsidR="00214C68" w:rsidRPr="00E21577">
        <w:rPr>
          <w:lang w:val="es-ES_tradnl"/>
        </w:rPr>
        <w:t xml:space="preserve">evaluar </w:t>
      </w:r>
      <w:r w:rsidR="007F757D" w:rsidRPr="00E21577">
        <w:rPr>
          <w:lang w:val="es-ES_tradnl"/>
        </w:rPr>
        <w:t>también</w:t>
      </w:r>
      <w:r w:rsidRPr="00E21577">
        <w:rPr>
          <w:lang w:val="es-ES_tradnl"/>
        </w:rPr>
        <w:t xml:space="preserve"> </w:t>
      </w:r>
      <w:r w:rsidR="00454696" w:rsidRPr="00E21577">
        <w:rPr>
          <w:lang w:val="es-ES_tradnl"/>
        </w:rPr>
        <w:t>lo</w:t>
      </w:r>
      <w:r w:rsidRPr="00E21577">
        <w:rPr>
          <w:lang w:val="es-ES_tradnl"/>
        </w:rPr>
        <w:t xml:space="preserve">s procedimientos de gestión de riesgos </w:t>
      </w:r>
      <w:r w:rsidR="00454696" w:rsidRPr="00E21577">
        <w:rPr>
          <w:lang w:val="es-ES_tradnl"/>
        </w:rPr>
        <w:t xml:space="preserve">descritos </w:t>
      </w:r>
      <w:r w:rsidRPr="00E21577">
        <w:rPr>
          <w:lang w:val="es-ES_tradnl"/>
        </w:rPr>
        <w:t xml:space="preserve">en la declaración </w:t>
      </w:r>
      <w:r w:rsidR="007F757D" w:rsidRPr="00E21577">
        <w:rPr>
          <w:lang w:val="es-ES_tradnl"/>
        </w:rPr>
        <w:t xml:space="preserve">y </w:t>
      </w:r>
      <w:r w:rsidRPr="00E21577">
        <w:rPr>
          <w:lang w:val="es-ES_tradnl"/>
        </w:rPr>
        <w:t xml:space="preserve">la </w:t>
      </w:r>
      <w:r w:rsidR="007F757D" w:rsidRPr="00E21577">
        <w:rPr>
          <w:lang w:val="es-ES_tradnl"/>
        </w:rPr>
        <w:t xml:space="preserve">eficacia de </w:t>
      </w:r>
      <w:r w:rsidRPr="00E21577">
        <w:rPr>
          <w:lang w:val="es-ES_tradnl"/>
        </w:rPr>
        <w:t xml:space="preserve">los </w:t>
      </w:r>
      <w:r w:rsidR="007F757D" w:rsidRPr="00E21577">
        <w:rPr>
          <w:lang w:val="es-ES_tradnl"/>
        </w:rPr>
        <w:t>control</w:t>
      </w:r>
      <w:r w:rsidRPr="00E21577">
        <w:rPr>
          <w:lang w:val="es-ES_tradnl"/>
        </w:rPr>
        <w:t>e</w:t>
      </w:r>
      <w:r w:rsidR="007F757D" w:rsidRPr="00E21577">
        <w:rPr>
          <w:lang w:val="es-ES_tradnl"/>
        </w:rPr>
        <w:t xml:space="preserve">s </w:t>
      </w:r>
      <w:r w:rsidR="00454696" w:rsidRPr="00E21577">
        <w:rPr>
          <w:lang w:val="es-ES_tradnl"/>
        </w:rPr>
        <w:t xml:space="preserve">que </w:t>
      </w:r>
      <w:r w:rsidRPr="00E21577">
        <w:rPr>
          <w:lang w:val="es-ES_tradnl"/>
        </w:rPr>
        <w:t>lleva a cabo</w:t>
      </w:r>
      <w:r w:rsidR="007F757D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la </w:t>
      </w:r>
      <w:r w:rsidR="00E84C91" w:rsidRPr="00E21577">
        <w:rPr>
          <w:lang w:val="es-ES_tradnl"/>
        </w:rPr>
        <w:t xml:space="preserve">Dirección </w:t>
      </w:r>
      <w:r w:rsidRPr="00E21577">
        <w:rPr>
          <w:lang w:val="es-ES_tradnl"/>
        </w:rPr>
        <w:t>de la</w:t>
      </w:r>
      <w:r w:rsidR="00297D71" w:rsidRPr="00E21577">
        <w:rPr>
          <w:lang w:val="es-ES_tradnl"/>
        </w:rPr>
        <w:t xml:space="preserve"> </w:t>
      </w:r>
      <w:r w:rsidR="007F757D" w:rsidRPr="00E21577">
        <w:rPr>
          <w:lang w:val="es-ES_tradnl"/>
        </w:rPr>
        <w:t xml:space="preserve">UPOV </w:t>
      </w:r>
      <w:r w:rsidR="00454696" w:rsidRPr="00E21577">
        <w:rPr>
          <w:lang w:val="es-ES_tradnl"/>
        </w:rPr>
        <w:t>frente a</w:t>
      </w:r>
      <w:r w:rsidRPr="00E21577">
        <w:rPr>
          <w:lang w:val="es-ES_tradnl"/>
        </w:rPr>
        <w:t xml:space="preserve"> los que se </w:t>
      </w:r>
      <w:r w:rsidR="00454696" w:rsidRPr="00E21577">
        <w:rPr>
          <w:lang w:val="es-ES_tradnl"/>
        </w:rPr>
        <w:t xml:space="preserve">llevan a cabo </w:t>
      </w:r>
      <w:r w:rsidRPr="00E21577">
        <w:rPr>
          <w:lang w:val="es-ES_tradnl"/>
        </w:rPr>
        <w:t>en el entorno</w:t>
      </w:r>
      <w:r w:rsidR="007F757D" w:rsidRPr="00E21577">
        <w:rPr>
          <w:lang w:val="es-ES_tradnl"/>
        </w:rPr>
        <w:t xml:space="preserve"> de </w:t>
      </w:r>
      <w:r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7F757D" w:rsidRPr="00E21577">
        <w:rPr>
          <w:lang w:val="es-ES_tradnl"/>
        </w:rPr>
        <w:t>OMPI.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A0634C" w:rsidRPr="00E21577">
        <w:rPr>
          <w:lang w:val="es-ES_tradnl"/>
        </w:rPr>
        <w:t>Se obtendría así una</w:t>
      </w:r>
      <w:r w:rsidR="005A72FD" w:rsidRPr="00E21577">
        <w:rPr>
          <w:lang w:val="es-ES_tradnl"/>
        </w:rPr>
        <w:t xml:space="preserve"> mayor transparencia </w:t>
      </w:r>
      <w:r w:rsidR="00A0634C" w:rsidRPr="00E21577">
        <w:rPr>
          <w:lang w:val="es-ES_tradnl"/>
        </w:rPr>
        <w:t>en cuanto al</w:t>
      </w:r>
      <w:r w:rsidR="004B339B" w:rsidRPr="00E21577">
        <w:rPr>
          <w:lang w:val="es-ES_tradnl"/>
        </w:rPr>
        <w:t xml:space="preserve"> modo de</w:t>
      </w:r>
      <w:r w:rsidRPr="00E21577">
        <w:rPr>
          <w:lang w:val="es-ES_tradnl"/>
        </w:rPr>
        <w:t xml:space="preserve"> </w:t>
      </w:r>
      <w:r w:rsidR="00A0634C" w:rsidRPr="00E21577">
        <w:rPr>
          <w:lang w:val="es-ES_tradnl"/>
        </w:rPr>
        <w:t>paliar</w:t>
      </w:r>
      <w:r w:rsidR="004B339B" w:rsidRPr="00E21577">
        <w:rPr>
          <w:lang w:val="es-ES_tradnl"/>
        </w:rPr>
        <w:t xml:space="preserve"> los</w:t>
      </w:r>
      <w:r w:rsidRPr="00E21577">
        <w:rPr>
          <w:lang w:val="es-ES_tradnl"/>
        </w:rPr>
        <w:t xml:space="preserve"> riesgos </w:t>
      </w:r>
      <w:r w:rsidR="008E2B82" w:rsidRPr="00E21577">
        <w:rPr>
          <w:lang w:val="es-ES_tradnl"/>
        </w:rPr>
        <w:t>para el logro</w:t>
      </w:r>
      <w:r w:rsidRPr="00E21577">
        <w:rPr>
          <w:lang w:val="es-ES_tradnl"/>
        </w:rPr>
        <w:t xml:space="preserve"> de </w:t>
      </w:r>
      <w:r w:rsidR="008E2B82" w:rsidRPr="00E21577">
        <w:rPr>
          <w:lang w:val="es-ES_tradnl"/>
        </w:rPr>
        <w:t>los objetivos de la organización</w:t>
      </w:r>
      <w:r w:rsidRPr="00E21577">
        <w:rPr>
          <w:lang w:val="es-ES_tradnl"/>
        </w:rPr>
        <w:t>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864FA0" w:rsidRPr="00E21577">
        <w:rPr>
          <w:lang w:val="es-ES_tradnl"/>
        </w:rPr>
        <w:t>Estas</w:t>
      </w:r>
      <w:r w:rsidR="008E2B82" w:rsidRPr="00E21577">
        <w:rPr>
          <w:lang w:val="es-ES_tradnl"/>
        </w:rPr>
        <w:t xml:space="preserve"> </w:t>
      </w:r>
      <w:r w:rsidR="00864FA0" w:rsidRPr="00E21577">
        <w:rPr>
          <w:lang w:val="es-ES_tradnl"/>
        </w:rPr>
        <w:t xml:space="preserve">prácticas de gestión de riesgos cobrarán </w:t>
      </w:r>
      <w:r w:rsidR="003D1639" w:rsidRPr="00E21577">
        <w:rPr>
          <w:lang w:val="es-ES_tradnl"/>
        </w:rPr>
        <w:t>cada vez más</w:t>
      </w:r>
      <w:r w:rsidR="00864FA0" w:rsidRPr="00E21577">
        <w:rPr>
          <w:lang w:val="es-ES_tradnl"/>
        </w:rPr>
        <w:t xml:space="preserve"> </w:t>
      </w:r>
      <w:r w:rsidR="001D29EC" w:rsidRPr="00E21577">
        <w:rPr>
          <w:lang w:val="es-ES_tradnl"/>
        </w:rPr>
        <w:t>relev</w:t>
      </w:r>
      <w:r w:rsidR="008E2B82" w:rsidRPr="00E21577">
        <w:rPr>
          <w:lang w:val="es-ES_tradnl"/>
        </w:rPr>
        <w:t>an</w:t>
      </w:r>
      <w:r w:rsidR="00864FA0" w:rsidRPr="00E21577">
        <w:rPr>
          <w:lang w:val="es-ES_tradnl"/>
        </w:rPr>
        <w:t>cia</w:t>
      </w:r>
      <w:r w:rsidR="008E2B82" w:rsidRPr="00E21577">
        <w:rPr>
          <w:lang w:val="es-ES_tradnl"/>
        </w:rPr>
        <w:t xml:space="preserve"> a </w:t>
      </w:r>
      <w:r w:rsidR="00864FA0" w:rsidRPr="00E21577">
        <w:rPr>
          <w:lang w:val="es-ES_tradnl"/>
        </w:rPr>
        <w:t xml:space="preserve">medida que </w:t>
      </w:r>
      <w:r w:rsidR="009E777F" w:rsidRPr="00E21577">
        <w:rPr>
          <w:lang w:val="es-ES_tradnl"/>
        </w:rPr>
        <w:t>au</w:t>
      </w:r>
      <w:r w:rsidR="00864FA0" w:rsidRPr="00E21577">
        <w:rPr>
          <w:lang w:val="es-ES_tradnl"/>
        </w:rPr>
        <w:t>menten las actividades comerciales de la</w:t>
      </w:r>
      <w:r w:rsidR="00297D71" w:rsidRPr="00E21577">
        <w:rPr>
          <w:lang w:val="es-ES_tradnl"/>
        </w:rPr>
        <w:t xml:space="preserve"> </w:t>
      </w:r>
      <w:r w:rsidR="008E2B82" w:rsidRPr="00E21577">
        <w:rPr>
          <w:lang w:val="es-ES_tradnl"/>
        </w:rPr>
        <w:t xml:space="preserve">UPOV </w:t>
      </w:r>
      <w:r w:rsidR="00864FA0" w:rsidRPr="00E21577">
        <w:rPr>
          <w:lang w:val="es-ES_tradnl"/>
        </w:rPr>
        <w:t>con arreglo a su</w:t>
      </w:r>
      <w:r w:rsidR="008E2B82" w:rsidRPr="00E21577">
        <w:rPr>
          <w:lang w:val="es-ES_tradnl"/>
        </w:rPr>
        <w:t xml:space="preserve"> </w:t>
      </w:r>
      <w:r w:rsidR="00864FA0" w:rsidRPr="00E21577">
        <w:rPr>
          <w:lang w:val="es-ES_tradnl"/>
        </w:rPr>
        <w:t>plan operativo</w:t>
      </w:r>
      <w:r w:rsidR="008E2B82" w:rsidRPr="00E21577">
        <w:rPr>
          <w:lang w:val="es-ES_tradnl"/>
        </w:rPr>
        <w:t>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864FA0" w:rsidRPr="00E21577">
        <w:rPr>
          <w:lang w:val="es-ES_tradnl"/>
        </w:rPr>
        <w:t xml:space="preserve">Habida cuenta de </w:t>
      </w:r>
      <w:r w:rsidR="00BB4654" w:rsidRPr="00E21577">
        <w:rPr>
          <w:lang w:val="es-ES_tradnl"/>
        </w:rPr>
        <w:t>su</w:t>
      </w:r>
      <w:r w:rsidR="00864FA0" w:rsidRPr="00E21577">
        <w:rPr>
          <w:lang w:val="es-ES_tradnl"/>
        </w:rPr>
        <w:t xml:space="preserve"> importancia y </w:t>
      </w:r>
      <w:r w:rsidR="0049002C" w:rsidRPr="00E21577">
        <w:rPr>
          <w:lang w:val="es-ES_tradnl"/>
        </w:rPr>
        <w:t xml:space="preserve">de </w:t>
      </w:r>
      <w:r w:rsidR="00864FA0" w:rsidRPr="00E21577">
        <w:rPr>
          <w:lang w:val="es-ES_tradnl"/>
        </w:rPr>
        <w:t xml:space="preserve">su valor como documento de rendición de cuentas, </w:t>
      </w:r>
      <w:r w:rsidR="00A81623"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864FA0" w:rsidRPr="00E21577">
        <w:rPr>
          <w:lang w:val="es-ES_tradnl"/>
        </w:rPr>
        <w:t xml:space="preserve">UPOV </w:t>
      </w:r>
      <w:r w:rsidR="00A81623" w:rsidRPr="00E21577">
        <w:rPr>
          <w:lang w:val="es-ES_tradnl"/>
        </w:rPr>
        <w:t>debería</w:t>
      </w:r>
      <w:r w:rsidR="00864FA0" w:rsidRPr="00E21577">
        <w:rPr>
          <w:lang w:val="es-ES_tradnl"/>
        </w:rPr>
        <w:t xml:space="preserve"> consider</w:t>
      </w:r>
      <w:r w:rsidR="00A81623" w:rsidRPr="00E21577">
        <w:rPr>
          <w:lang w:val="es-ES_tradnl"/>
        </w:rPr>
        <w:t>ar</w:t>
      </w:r>
      <w:r w:rsidR="00864FA0" w:rsidRPr="00E21577">
        <w:rPr>
          <w:lang w:val="es-ES_tradnl"/>
        </w:rPr>
        <w:t xml:space="preserve"> </w:t>
      </w:r>
      <w:r w:rsidR="00AA2AF4" w:rsidRPr="00E21577">
        <w:rPr>
          <w:lang w:val="es-ES_tradnl"/>
        </w:rPr>
        <w:t xml:space="preserve">la posibilidad de </w:t>
      </w:r>
      <w:r w:rsidR="00364F4B" w:rsidRPr="00E21577">
        <w:rPr>
          <w:lang w:val="es-ES_tradnl"/>
        </w:rPr>
        <w:t xml:space="preserve">que </w:t>
      </w:r>
      <w:r w:rsidR="00BB4654" w:rsidRPr="00E21577">
        <w:rPr>
          <w:lang w:val="es-ES_tradnl"/>
        </w:rPr>
        <w:t xml:space="preserve">la declaración sobre el control interno </w:t>
      </w:r>
      <w:r w:rsidR="00364F4B" w:rsidRPr="00E21577">
        <w:rPr>
          <w:lang w:val="es-ES_tradnl"/>
        </w:rPr>
        <w:t xml:space="preserve">se presente al Consejo </w:t>
      </w:r>
      <w:r w:rsidR="00A81623" w:rsidRPr="00E21577">
        <w:rPr>
          <w:lang w:val="es-ES_tradnl"/>
        </w:rPr>
        <w:t>junto con los</w:t>
      </w:r>
      <w:r w:rsidR="00864FA0" w:rsidRPr="00E21577">
        <w:rPr>
          <w:lang w:val="es-ES_tradnl"/>
        </w:rPr>
        <w:t xml:space="preserve"> estados financieros.</w:t>
      </w:r>
    </w:p>
    <w:p w:rsidR="00C91841" w:rsidRPr="00E21577" w:rsidRDefault="00A81623" w:rsidP="00BB4654">
      <w:pPr>
        <w:pStyle w:val="Number1"/>
        <w:spacing w:after="160"/>
        <w:jc w:val="both"/>
        <w:rPr>
          <w:b/>
          <w:lang w:val="es-ES_tradnl"/>
        </w:rPr>
      </w:pPr>
      <w:r w:rsidRPr="00E21577">
        <w:rPr>
          <w:b/>
          <w:lang w:val="es-ES_tradnl"/>
        </w:rPr>
        <w:t>La</w:t>
      </w:r>
      <w:r w:rsidR="00297D71" w:rsidRPr="00E21577">
        <w:rPr>
          <w:b/>
          <w:lang w:val="es-ES_tradnl"/>
        </w:rPr>
        <w:t xml:space="preserve"> </w:t>
      </w:r>
      <w:r w:rsidRPr="00E21577">
        <w:rPr>
          <w:b/>
          <w:lang w:val="es-ES_tradnl"/>
        </w:rPr>
        <w:t>UPOV debe:</w:t>
      </w:r>
    </w:p>
    <w:p w:rsidR="00C91841" w:rsidRPr="00E21577" w:rsidRDefault="00E124B9" w:rsidP="00BB4654">
      <w:pPr>
        <w:pStyle w:val="Number1"/>
        <w:spacing w:after="160"/>
        <w:jc w:val="both"/>
        <w:rPr>
          <w:b/>
          <w:lang w:val="es-ES_tradnl"/>
        </w:rPr>
      </w:pPr>
      <w:r w:rsidRPr="00E21577">
        <w:rPr>
          <w:b/>
          <w:lang w:val="es-ES_tradnl"/>
        </w:rPr>
        <w:t xml:space="preserve">R1. </w:t>
      </w:r>
      <w:r w:rsidR="00555CB0" w:rsidRPr="00E21577">
        <w:rPr>
          <w:b/>
          <w:lang w:val="es-ES_tradnl"/>
        </w:rPr>
        <w:t xml:space="preserve">considerar </w:t>
      </w:r>
      <w:r w:rsidR="008B2688" w:rsidRPr="00E21577">
        <w:rPr>
          <w:b/>
          <w:lang w:val="es-ES_tradnl"/>
        </w:rPr>
        <w:t xml:space="preserve">si procede </w:t>
      </w:r>
      <w:r w:rsidR="00762BF8" w:rsidRPr="00E21577">
        <w:rPr>
          <w:b/>
          <w:lang w:val="es-ES_tradnl"/>
        </w:rPr>
        <w:t>revi</w:t>
      </w:r>
      <w:r w:rsidR="00D46E93" w:rsidRPr="00E21577">
        <w:rPr>
          <w:b/>
          <w:lang w:val="es-ES_tradnl"/>
        </w:rPr>
        <w:t xml:space="preserve">sar el </w:t>
      </w:r>
      <w:r w:rsidR="00762BF8" w:rsidRPr="00E21577">
        <w:rPr>
          <w:b/>
          <w:lang w:val="es-ES_tradnl"/>
        </w:rPr>
        <w:t xml:space="preserve">contenido </w:t>
      </w:r>
      <w:r w:rsidR="00D46E93" w:rsidRPr="00E21577">
        <w:rPr>
          <w:b/>
          <w:lang w:val="es-ES_tradnl"/>
        </w:rPr>
        <w:t xml:space="preserve">actual </w:t>
      </w:r>
      <w:r w:rsidR="00762BF8" w:rsidRPr="00E21577">
        <w:rPr>
          <w:b/>
          <w:lang w:val="es-ES_tradnl"/>
        </w:rPr>
        <w:t xml:space="preserve">de la declaración sobre el control interno </w:t>
      </w:r>
      <w:r w:rsidR="00760E26" w:rsidRPr="00E21577">
        <w:rPr>
          <w:b/>
          <w:lang w:val="es-ES_tradnl"/>
        </w:rPr>
        <w:t>y</w:t>
      </w:r>
      <w:r w:rsidR="00762BF8" w:rsidRPr="00E21577">
        <w:rPr>
          <w:b/>
          <w:lang w:val="es-ES_tradnl"/>
        </w:rPr>
        <w:t xml:space="preserve"> </w:t>
      </w:r>
      <w:r w:rsidR="00156CC9" w:rsidRPr="00E21577">
        <w:rPr>
          <w:b/>
          <w:lang w:val="es-ES_tradnl"/>
        </w:rPr>
        <w:t xml:space="preserve">si </w:t>
      </w:r>
      <w:r w:rsidR="00992533" w:rsidRPr="00E21577">
        <w:rPr>
          <w:b/>
          <w:lang w:val="es-ES_tradnl"/>
        </w:rPr>
        <w:t xml:space="preserve">sería conveniente </w:t>
      </w:r>
      <w:r w:rsidR="00760E26" w:rsidRPr="00E21577">
        <w:rPr>
          <w:b/>
          <w:lang w:val="es-ES_tradnl"/>
        </w:rPr>
        <w:t>recurrir a</w:t>
      </w:r>
      <w:r w:rsidR="00D46E93" w:rsidRPr="00E21577">
        <w:rPr>
          <w:b/>
          <w:lang w:val="es-ES_tradnl"/>
        </w:rPr>
        <w:t xml:space="preserve"> las nuevas prácticas </w:t>
      </w:r>
      <w:r w:rsidR="0006403C" w:rsidRPr="00E21577">
        <w:rPr>
          <w:b/>
          <w:lang w:val="es-ES_tradnl"/>
        </w:rPr>
        <w:t xml:space="preserve">que </w:t>
      </w:r>
      <w:r w:rsidR="00156CC9" w:rsidRPr="00E21577">
        <w:rPr>
          <w:b/>
          <w:lang w:val="es-ES_tradnl"/>
        </w:rPr>
        <w:t xml:space="preserve">emplea </w:t>
      </w:r>
      <w:r w:rsidR="00AF1811" w:rsidRPr="00E21577">
        <w:rPr>
          <w:b/>
          <w:lang w:val="es-ES_tradnl"/>
        </w:rPr>
        <w:t>la</w:t>
      </w:r>
      <w:r w:rsidR="00297D71" w:rsidRPr="00E21577">
        <w:rPr>
          <w:b/>
          <w:lang w:val="es-ES_tradnl"/>
        </w:rPr>
        <w:t xml:space="preserve"> </w:t>
      </w:r>
      <w:r w:rsidR="00AF1811" w:rsidRPr="00E21577">
        <w:rPr>
          <w:b/>
          <w:lang w:val="es-ES_tradnl"/>
        </w:rPr>
        <w:t xml:space="preserve">OMPI </w:t>
      </w:r>
      <w:r w:rsidR="006E380E" w:rsidRPr="00E21577">
        <w:rPr>
          <w:b/>
          <w:lang w:val="es-ES_tradnl"/>
        </w:rPr>
        <w:t>par</w:t>
      </w:r>
      <w:r w:rsidR="00762BF8" w:rsidRPr="00E21577">
        <w:rPr>
          <w:b/>
          <w:lang w:val="es-ES_tradnl"/>
        </w:rPr>
        <w:t xml:space="preserve">a </w:t>
      </w:r>
      <w:r w:rsidR="002458F7" w:rsidRPr="00E21577">
        <w:rPr>
          <w:b/>
          <w:lang w:val="es-ES_tradnl"/>
        </w:rPr>
        <w:t>fundam</w:t>
      </w:r>
      <w:r w:rsidR="00357B02" w:rsidRPr="00E21577">
        <w:rPr>
          <w:b/>
          <w:lang w:val="es-ES_tradnl"/>
        </w:rPr>
        <w:t>entar</w:t>
      </w:r>
      <w:r w:rsidR="00762BF8" w:rsidRPr="00E21577">
        <w:rPr>
          <w:b/>
          <w:lang w:val="es-ES_tradnl"/>
        </w:rPr>
        <w:t xml:space="preserve"> </w:t>
      </w:r>
      <w:r w:rsidR="00AF1811" w:rsidRPr="00E21577">
        <w:rPr>
          <w:b/>
          <w:lang w:val="es-ES_tradnl"/>
        </w:rPr>
        <w:t>su propia</w:t>
      </w:r>
      <w:r w:rsidR="006E380E" w:rsidRPr="00E21577">
        <w:rPr>
          <w:b/>
          <w:lang w:val="es-ES_tradnl"/>
        </w:rPr>
        <w:t xml:space="preserve"> declaración </w:t>
      </w:r>
      <w:r w:rsidR="00762BF8" w:rsidRPr="00E21577">
        <w:rPr>
          <w:b/>
          <w:lang w:val="es-ES_tradnl"/>
        </w:rPr>
        <w:t xml:space="preserve">y </w:t>
      </w:r>
      <w:r w:rsidR="006E380E" w:rsidRPr="00E21577">
        <w:rPr>
          <w:b/>
          <w:lang w:val="es-ES_tradnl"/>
        </w:rPr>
        <w:t xml:space="preserve">las </w:t>
      </w:r>
      <w:r w:rsidR="002458F7" w:rsidRPr="00E21577">
        <w:rPr>
          <w:b/>
          <w:lang w:val="es-ES_tradnl"/>
        </w:rPr>
        <w:t>garantías</w:t>
      </w:r>
      <w:r w:rsidR="00D5352B" w:rsidRPr="00E21577">
        <w:rPr>
          <w:b/>
          <w:lang w:val="es-ES_tradnl"/>
        </w:rPr>
        <w:t xml:space="preserve"> </w:t>
      </w:r>
      <w:r w:rsidR="00E51CCC" w:rsidRPr="00E21577">
        <w:rPr>
          <w:b/>
          <w:lang w:val="es-ES_tradnl"/>
        </w:rPr>
        <w:t>en que se basa</w:t>
      </w:r>
      <w:r w:rsidR="00762BF8" w:rsidRPr="00E21577">
        <w:rPr>
          <w:b/>
          <w:lang w:val="es-ES_tradnl"/>
        </w:rPr>
        <w:t>.</w:t>
      </w:r>
    </w:p>
    <w:p w:rsidR="00C91841" w:rsidRPr="00E21577" w:rsidRDefault="00E124B9" w:rsidP="00932B8B">
      <w:pPr>
        <w:pStyle w:val="Number1"/>
        <w:spacing w:after="160"/>
        <w:jc w:val="both"/>
        <w:rPr>
          <w:b/>
          <w:lang w:val="es-ES_tradnl"/>
        </w:rPr>
      </w:pPr>
      <w:r w:rsidRPr="00E21577">
        <w:rPr>
          <w:b/>
          <w:lang w:val="es-ES_tradnl"/>
        </w:rPr>
        <w:t xml:space="preserve">R2. </w:t>
      </w:r>
      <w:r w:rsidR="000D1BE8" w:rsidRPr="00E21577">
        <w:rPr>
          <w:b/>
          <w:lang w:val="es-ES_tradnl"/>
        </w:rPr>
        <w:t>mejorar</w:t>
      </w:r>
      <w:r w:rsidR="003543AB" w:rsidRPr="00E21577">
        <w:rPr>
          <w:b/>
          <w:lang w:val="es-ES_tradnl"/>
        </w:rPr>
        <w:t xml:space="preserve"> la información </w:t>
      </w:r>
      <w:r w:rsidR="005D508E" w:rsidRPr="00E21577">
        <w:rPr>
          <w:b/>
          <w:lang w:val="es-ES_tradnl"/>
        </w:rPr>
        <w:t xml:space="preserve">que se suministra en la declaración </w:t>
      </w:r>
      <w:r w:rsidR="0065573C" w:rsidRPr="00E21577">
        <w:rPr>
          <w:b/>
          <w:lang w:val="es-ES_tradnl"/>
        </w:rPr>
        <w:t xml:space="preserve">sobre el control interno </w:t>
      </w:r>
      <w:r w:rsidR="00BB4654" w:rsidRPr="00E21577">
        <w:rPr>
          <w:b/>
          <w:lang w:val="es-ES_tradnl"/>
        </w:rPr>
        <w:t>acerca de la gestión de riesgos que lleva a cabo la</w:t>
      </w:r>
      <w:r w:rsidR="00297D71" w:rsidRPr="00E21577">
        <w:rPr>
          <w:b/>
          <w:lang w:val="es-ES_tradnl"/>
        </w:rPr>
        <w:t xml:space="preserve"> </w:t>
      </w:r>
      <w:r w:rsidR="00BB4654" w:rsidRPr="00E21577">
        <w:rPr>
          <w:b/>
          <w:lang w:val="es-ES_tradnl"/>
        </w:rPr>
        <w:t>UPOV y de los riesgos operativos a que está expuesta</w:t>
      </w:r>
      <w:r w:rsidR="006E380E" w:rsidRPr="00E21577">
        <w:rPr>
          <w:b/>
          <w:lang w:val="es-ES_tradnl"/>
        </w:rPr>
        <w:t>.</w:t>
      </w:r>
    </w:p>
    <w:p w:rsidR="00C91841" w:rsidRPr="00E21577" w:rsidRDefault="00061985" w:rsidP="00E57348">
      <w:pPr>
        <w:pStyle w:val="Heading2"/>
        <w:spacing w:after="120" w:line="240" w:lineRule="auto"/>
        <w:rPr>
          <w:lang w:val="es-ES_tradnl"/>
        </w:rPr>
      </w:pPr>
      <w:bookmarkStart w:id="11" w:name="_Toc15484877"/>
      <w:r w:rsidRPr="00E21577">
        <w:rPr>
          <w:lang w:val="es-ES_tradnl"/>
        </w:rPr>
        <w:t>Observaciones financieras</w:t>
      </w:r>
      <w:bookmarkEnd w:id="11"/>
    </w:p>
    <w:p w:rsidR="00C91841" w:rsidRPr="00E21577" w:rsidRDefault="00061985" w:rsidP="00E57348">
      <w:pPr>
        <w:pStyle w:val="Heading4"/>
        <w:spacing w:after="160" w:line="240" w:lineRule="auto"/>
        <w:rPr>
          <w:lang w:val="es-ES_tradnl"/>
        </w:rPr>
      </w:pPr>
      <w:r w:rsidRPr="00E21577">
        <w:rPr>
          <w:lang w:val="es-ES_tradnl"/>
        </w:rPr>
        <w:t>Rendimiento del presupuesto</w:t>
      </w:r>
    </w:p>
    <w:p w:rsidR="00C91841" w:rsidRPr="00E21577" w:rsidRDefault="003E08DF" w:rsidP="00E57348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El ejercicio económico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2018 </w:t>
      </w:r>
      <w:r w:rsidR="00336F24" w:rsidRPr="00E21577">
        <w:rPr>
          <w:lang w:val="es-ES_tradnl"/>
        </w:rPr>
        <w:t xml:space="preserve">corresponde al </w:t>
      </w:r>
      <w:r w:rsidRPr="00E21577">
        <w:rPr>
          <w:lang w:val="es-ES_tradnl"/>
        </w:rPr>
        <w:t>primer</w:t>
      </w:r>
      <w:r w:rsidR="00336F24" w:rsidRPr="00E21577">
        <w:rPr>
          <w:lang w:val="es-ES_tradnl"/>
        </w:rPr>
        <w:t xml:space="preserve"> año </w:t>
      </w:r>
      <w:r w:rsidRPr="00E21577">
        <w:rPr>
          <w:lang w:val="es-ES_tradnl"/>
        </w:rPr>
        <w:t xml:space="preserve">del </w:t>
      </w:r>
      <w:r w:rsidR="00DB1BE7" w:rsidRPr="00E21577">
        <w:rPr>
          <w:lang w:val="es-ES_tradnl"/>
        </w:rPr>
        <w:t>programa y presupuesto para el bienio</w:t>
      </w:r>
      <w:r w:rsidR="00297D71" w:rsidRPr="00E21577">
        <w:rPr>
          <w:lang w:val="es-ES_tradnl"/>
        </w:rPr>
        <w:t xml:space="preserve"> </w:t>
      </w:r>
      <w:r w:rsidR="00DB1BE7" w:rsidRPr="00E21577">
        <w:rPr>
          <w:lang w:val="es-ES_tradnl"/>
        </w:rPr>
        <w:t>2018-2019</w:t>
      </w:r>
      <w:r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DB1BE7" w:rsidRPr="00E21577">
        <w:rPr>
          <w:lang w:val="es-ES_tradnl"/>
        </w:rPr>
        <w:t>El presupuesto aprobado de la</w:t>
      </w:r>
      <w:r w:rsidR="00297D71" w:rsidRPr="00E21577">
        <w:rPr>
          <w:lang w:val="es-ES_tradnl"/>
        </w:rPr>
        <w:t xml:space="preserve"> </w:t>
      </w:r>
      <w:r w:rsidR="00DB1BE7" w:rsidRPr="00E21577">
        <w:rPr>
          <w:lang w:val="es-ES_tradnl"/>
        </w:rPr>
        <w:t xml:space="preserve">UPOV se elabora con arreglo al criterio de devengo modificado, </w:t>
      </w:r>
      <w:r w:rsidR="00336F24" w:rsidRPr="00E21577">
        <w:rPr>
          <w:lang w:val="es-ES_tradnl"/>
        </w:rPr>
        <w:t xml:space="preserve">lo que implica que el </w:t>
      </w:r>
      <w:r w:rsidR="00DB1BE7" w:rsidRPr="00E21577">
        <w:rPr>
          <w:lang w:val="es-ES_tradnl"/>
        </w:rPr>
        <w:t xml:space="preserve">presupuesto y </w:t>
      </w:r>
      <w:r w:rsidR="00336F24" w:rsidRPr="00E21577">
        <w:rPr>
          <w:lang w:val="es-ES_tradnl"/>
        </w:rPr>
        <w:t xml:space="preserve">los </w:t>
      </w:r>
      <w:r w:rsidR="00DB1BE7" w:rsidRPr="00E21577">
        <w:rPr>
          <w:lang w:val="es-ES_tradnl"/>
        </w:rPr>
        <w:t xml:space="preserve">estados financieros </w:t>
      </w:r>
      <w:r w:rsidR="00336F24" w:rsidRPr="00E21577">
        <w:rPr>
          <w:lang w:val="es-ES_tradnl"/>
        </w:rPr>
        <w:t xml:space="preserve">se </w:t>
      </w:r>
      <w:r w:rsidR="00DB1BE7" w:rsidRPr="00E21577">
        <w:rPr>
          <w:lang w:val="es-ES_tradnl"/>
        </w:rPr>
        <w:t>present</w:t>
      </w:r>
      <w:r w:rsidR="00336F24" w:rsidRPr="00E21577">
        <w:rPr>
          <w:lang w:val="es-ES_tradnl"/>
        </w:rPr>
        <w:t>an conforme a dos bases contables distintas</w:t>
      </w:r>
      <w:r w:rsidR="00DB1BE7" w:rsidRPr="00E21577">
        <w:rPr>
          <w:lang w:val="es-ES_tradnl"/>
        </w:rPr>
        <w:t>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8F4292" w:rsidRPr="00E21577">
        <w:rPr>
          <w:color w:val="auto"/>
          <w:lang w:val="es-ES_tradnl"/>
        </w:rPr>
        <w:t>Por ese motivo</w:t>
      </w:r>
      <w:r w:rsidR="00DE4190" w:rsidRPr="00E21577">
        <w:rPr>
          <w:color w:val="auto"/>
          <w:lang w:val="es-ES_tradnl"/>
        </w:rPr>
        <w:t xml:space="preserve">, </w:t>
      </w:r>
      <w:r w:rsidR="008F4292" w:rsidRPr="00E21577">
        <w:rPr>
          <w:color w:val="auto"/>
          <w:lang w:val="es-ES_tradnl"/>
        </w:rPr>
        <w:t xml:space="preserve">en </w:t>
      </w:r>
      <w:r w:rsidR="00DE4190" w:rsidRPr="00E21577">
        <w:rPr>
          <w:color w:val="auto"/>
          <w:lang w:val="es-ES_tradnl"/>
        </w:rPr>
        <w:t>la</w:t>
      </w:r>
      <w:r w:rsidR="00336F24" w:rsidRPr="00E21577">
        <w:rPr>
          <w:color w:val="auto"/>
          <w:lang w:val="es-ES_tradnl"/>
        </w:rPr>
        <w:t xml:space="preserve"> </w:t>
      </w:r>
      <w:r w:rsidR="00DE4190" w:rsidRPr="00E21577">
        <w:rPr>
          <w:color w:val="auto"/>
          <w:lang w:val="es-ES_tradnl"/>
        </w:rPr>
        <w:t>nota</w:t>
      </w:r>
      <w:r w:rsidR="00297D71" w:rsidRPr="00E21577">
        <w:rPr>
          <w:color w:val="auto"/>
          <w:lang w:val="es-ES_tradnl"/>
        </w:rPr>
        <w:t xml:space="preserve"> </w:t>
      </w:r>
      <w:r w:rsidR="00336F24" w:rsidRPr="00E21577">
        <w:rPr>
          <w:color w:val="auto"/>
          <w:lang w:val="es-ES_tradnl"/>
        </w:rPr>
        <w:t xml:space="preserve">13 </w:t>
      </w:r>
      <w:r w:rsidR="00DE4190" w:rsidRPr="00E21577">
        <w:rPr>
          <w:color w:val="auto"/>
          <w:lang w:val="es-ES_tradnl"/>
        </w:rPr>
        <w:t xml:space="preserve">de los </w:t>
      </w:r>
      <w:r w:rsidR="00336F24" w:rsidRPr="00E21577">
        <w:rPr>
          <w:color w:val="auto"/>
          <w:lang w:val="es-ES_tradnl"/>
        </w:rPr>
        <w:t xml:space="preserve">estados financieros </w:t>
      </w:r>
      <w:r w:rsidR="008F4292" w:rsidRPr="00E21577">
        <w:rPr>
          <w:color w:val="auto"/>
          <w:lang w:val="es-ES_tradnl"/>
        </w:rPr>
        <w:t>se ofrece</w:t>
      </w:r>
      <w:r w:rsidR="00DE4190" w:rsidRPr="00E21577">
        <w:rPr>
          <w:color w:val="auto"/>
          <w:lang w:val="es-ES_tradnl"/>
        </w:rPr>
        <w:t xml:space="preserve"> un</w:t>
      </w:r>
      <w:r w:rsidR="00336F24" w:rsidRPr="00E21577">
        <w:rPr>
          <w:color w:val="auto"/>
          <w:lang w:val="es-ES_tradnl"/>
        </w:rPr>
        <w:t xml:space="preserve">a </w:t>
      </w:r>
      <w:r w:rsidR="00DE4190" w:rsidRPr="00E21577">
        <w:rPr>
          <w:color w:val="auto"/>
          <w:lang w:val="es-ES_tradnl"/>
        </w:rPr>
        <w:t>conciliación del estado comparativo de importes presupuestados y reales (estado financiero</w:t>
      </w:r>
      <w:r w:rsidR="00297D71" w:rsidRPr="00E21577">
        <w:rPr>
          <w:color w:val="auto"/>
          <w:lang w:val="es-ES_tradnl"/>
        </w:rPr>
        <w:t xml:space="preserve"> </w:t>
      </w:r>
      <w:r w:rsidR="00DE4190" w:rsidRPr="00E21577">
        <w:rPr>
          <w:color w:val="auto"/>
          <w:lang w:val="es-ES_tradnl"/>
        </w:rPr>
        <w:t xml:space="preserve">V) y del </w:t>
      </w:r>
      <w:r w:rsidR="00336F24" w:rsidRPr="00E21577">
        <w:rPr>
          <w:color w:val="auto"/>
          <w:lang w:val="es-ES_tradnl"/>
        </w:rPr>
        <w:t>estado de rendimiento financiero (estado financiero</w:t>
      </w:r>
      <w:r w:rsidR="00297D71" w:rsidRPr="00E21577">
        <w:rPr>
          <w:color w:val="auto"/>
          <w:lang w:val="es-ES_tradnl"/>
        </w:rPr>
        <w:t xml:space="preserve"> </w:t>
      </w:r>
      <w:r w:rsidR="00336F24" w:rsidRPr="00E21577">
        <w:rPr>
          <w:color w:val="auto"/>
          <w:lang w:val="es-ES_tradnl"/>
        </w:rPr>
        <w:t>II)</w:t>
      </w:r>
      <w:r w:rsidR="00DE4190" w:rsidRPr="00E21577">
        <w:rPr>
          <w:color w:val="auto"/>
          <w:lang w:val="es-ES_tradnl"/>
        </w:rPr>
        <w:t>.</w:t>
      </w:r>
    </w:p>
    <w:p w:rsidR="00C91841" w:rsidRPr="00E21577" w:rsidRDefault="00E03651" w:rsidP="00451318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Los</w:t>
      </w:r>
      <w:r w:rsidR="00F354DC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presupuestos inicial </w:t>
      </w:r>
      <w:r w:rsidR="00F354DC" w:rsidRPr="00E21577">
        <w:rPr>
          <w:lang w:val="es-ES_tradnl"/>
        </w:rPr>
        <w:t xml:space="preserve">y </w:t>
      </w:r>
      <w:r w:rsidRPr="00E21577">
        <w:rPr>
          <w:lang w:val="es-ES_tradnl"/>
        </w:rPr>
        <w:t xml:space="preserve">definitivo </w:t>
      </w:r>
      <w:r w:rsidR="008C266D" w:rsidRPr="00E21577">
        <w:rPr>
          <w:lang w:val="es-ES_tradnl"/>
        </w:rPr>
        <w:t>de la</w:t>
      </w:r>
      <w:r w:rsidR="00297D71" w:rsidRPr="00E21577">
        <w:rPr>
          <w:lang w:val="es-ES_tradnl"/>
        </w:rPr>
        <w:t xml:space="preserve"> </w:t>
      </w:r>
      <w:r w:rsidR="008C266D" w:rsidRPr="00E21577">
        <w:rPr>
          <w:lang w:val="es-ES_tradnl"/>
        </w:rPr>
        <w:t xml:space="preserve">UPOV </w:t>
      </w:r>
      <w:r w:rsidRPr="00E21577">
        <w:rPr>
          <w:lang w:val="es-ES_tradnl"/>
        </w:rPr>
        <w:t>para</w:t>
      </w:r>
      <w:r w:rsidR="00297D71" w:rsidRPr="00E21577">
        <w:rPr>
          <w:lang w:val="es-ES_tradnl"/>
        </w:rPr>
        <w:t xml:space="preserve"> </w:t>
      </w:r>
      <w:r w:rsidR="00F354DC" w:rsidRPr="00E21577">
        <w:rPr>
          <w:lang w:val="es-ES_tradnl"/>
        </w:rPr>
        <w:t>2018 present</w:t>
      </w:r>
      <w:r w:rsidRPr="00E21577">
        <w:rPr>
          <w:lang w:val="es-ES_tradnl"/>
        </w:rPr>
        <w:t>an</w:t>
      </w:r>
      <w:r w:rsidR="00F354DC" w:rsidRPr="00E21577">
        <w:rPr>
          <w:lang w:val="es-ES_tradnl"/>
        </w:rPr>
        <w:t xml:space="preserve"> </w:t>
      </w:r>
      <w:r w:rsidRPr="00E21577">
        <w:rPr>
          <w:lang w:val="es-ES_tradnl"/>
        </w:rPr>
        <w:t>un</w:t>
      </w:r>
      <w:r w:rsidR="00F354DC" w:rsidRPr="00E21577">
        <w:rPr>
          <w:lang w:val="es-ES_tradnl"/>
        </w:rPr>
        <w:t xml:space="preserve">a </w:t>
      </w:r>
      <w:r w:rsidR="00CB6129" w:rsidRPr="00E21577">
        <w:rPr>
          <w:lang w:val="es-ES_tradnl"/>
        </w:rPr>
        <w:t>situación</w:t>
      </w:r>
      <w:r w:rsidRPr="00E21577">
        <w:rPr>
          <w:lang w:val="es-ES_tradnl"/>
        </w:rPr>
        <w:t xml:space="preserve"> de equilibrio</w:t>
      </w:r>
      <w:r w:rsidR="00F354DC" w:rsidRPr="00E21577">
        <w:rPr>
          <w:lang w:val="es-ES_tradnl"/>
        </w:rPr>
        <w:t xml:space="preserve">, con </w:t>
      </w:r>
      <w:r w:rsidRPr="00E21577">
        <w:rPr>
          <w:lang w:val="es-ES_tradnl"/>
        </w:rPr>
        <w:t xml:space="preserve">unos </w:t>
      </w:r>
      <w:r w:rsidR="00F354DC" w:rsidRPr="00E21577">
        <w:rPr>
          <w:lang w:val="es-ES_tradnl"/>
        </w:rPr>
        <w:t xml:space="preserve">ingresos y </w:t>
      </w:r>
      <w:r w:rsidRPr="00E21577">
        <w:rPr>
          <w:lang w:val="es-ES_tradnl"/>
        </w:rPr>
        <w:t xml:space="preserve">unos </w:t>
      </w:r>
      <w:r w:rsidR="00F354DC" w:rsidRPr="00E21577">
        <w:rPr>
          <w:lang w:val="es-ES_tradnl"/>
        </w:rPr>
        <w:t xml:space="preserve">gastos </w:t>
      </w:r>
      <w:r w:rsidRPr="00E21577">
        <w:rPr>
          <w:lang w:val="es-ES_tradnl"/>
        </w:rPr>
        <w:t xml:space="preserve">previstos </w:t>
      </w:r>
      <w:r w:rsidR="00F354DC" w:rsidRPr="00E21577">
        <w:rPr>
          <w:lang w:val="es-ES_tradnl"/>
        </w:rPr>
        <w:t>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3,</w:t>
      </w:r>
      <w:r w:rsidR="00F354DC" w:rsidRPr="00E21577">
        <w:rPr>
          <w:lang w:val="es-ES_tradnl"/>
        </w:rPr>
        <w:t>47 millones</w:t>
      </w:r>
      <w:r w:rsidRPr="00E21577">
        <w:rPr>
          <w:lang w:val="es-ES_tradnl"/>
        </w:rPr>
        <w:t xml:space="preserve"> de francos suizos</w:t>
      </w:r>
      <w:r w:rsidR="00F354DC" w:rsidRPr="00E21577">
        <w:rPr>
          <w:lang w:val="es-ES_tradnl"/>
        </w:rPr>
        <w:t>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B63287" w:rsidRPr="00E21577">
        <w:rPr>
          <w:lang w:val="es-ES_tradnl"/>
        </w:rPr>
        <w:t>Si bien los ingresos fueron inferiores en</w:t>
      </w:r>
      <w:r w:rsidR="00297D71" w:rsidRPr="00E21577">
        <w:rPr>
          <w:lang w:val="es-ES_tradnl"/>
        </w:rPr>
        <w:t xml:space="preserve"> </w:t>
      </w:r>
      <w:r w:rsidR="00B63287" w:rsidRPr="00E21577">
        <w:rPr>
          <w:lang w:val="es-ES_tradnl"/>
        </w:rPr>
        <w:t>48.000 francos suizos a l</w:t>
      </w:r>
      <w:r w:rsidR="000B5F28" w:rsidRPr="00E21577">
        <w:rPr>
          <w:lang w:val="es-ES_tradnl"/>
        </w:rPr>
        <w:t>a cifra presupuestada</w:t>
      </w:r>
      <w:r w:rsidR="00B63287" w:rsidRPr="00E21577">
        <w:rPr>
          <w:lang w:val="es-ES_tradnl"/>
        </w:rPr>
        <w:t>, la</w:t>
      </w:r>
      <w:r w:rsidR="00297D71" w:rsidRPr="00E21577">
        <w:rPr>
          <w:lang w:val="es-ES_tradnl"/>
        </w:rPr>
        <w:t xml:space="preserve"> </w:t>
      </w:r>
      <w:r w:rsidR="00B63287" w:rsidRPr="00E21577">
        <w:rPr>
          <w:lang w:val="es-ES_tradnl"/>
        </w:rPr>
        <w:t>UPOV registró un superávit presupuestario de</w:t>
      </w:r>
      <w:r w:rsidR="00297D71" w:rsidRPr="00E21577">
        <w:rPr>
          <w:lang w:val="es-ES_tradnl"/>
        </w:rPr>
        <w:t xml:space="preserve"> </w:t>
      </w:r>
      <w:r w:rsidR="00B63287" w:rsidRPr="00E21577">
        <w:rPr>
          <w:lang w:val="es-ES_tradnl"/>
        </w:rPr>
        <w:t xml:space="preserve">67.000 francos suizos </w:t>
      </w:r>
      <w:r w:rsidR="00E57348" w:rsidRPr="00E21577">
        <w:rPr>
          <w:lang w:val="es-ES_tradnl"/>
        </w:rPr>
        <w:t>merced a un</w:t>
      </w:r>
      <w:r w:rsidR="000B5F28" w:rsidRPr="00E21577">
        <w:rPr>
          <w:lang w:val="es-ES_tradnl"/>
        </w:rPr>
        <w:t xml:space="preserve"> gasto</w:t>
      </w:r>
      <w:r w:rsidR="00297D71" w:rsidRPr="00E21577">
        <w:rPr>
          <w:lang w:val="es-ES_tradnl"/>
        </w:rPr>
        <w:t xml:space="preserve"> </w:t>
      </w:r>
      <w:r w:rsidR="000B5F28" w:rsidRPr="00E21577">
        <w:rPr>
          <w:lang w:val="es-ES_tradnl"/>
        </w:rPr>
        <w:t>115.000 francos suizos</w:t>
      </w:r>
      <w:r w:rsidR="00B63287" w:rsidRPr="00E21577">
        <w:rPr>
          <w:lang w:val="es-ES_tradnl"/>
        </w:rPr>
        <w:t xml:space="preserve"> </w:t>
      </w:r>
      <w:r w:rsidR="000B5F28" w:rsidRPr="00E21577">
        <w:rPr>
          <w:lang w:val="es-ES_tradnl"/>
        </w:rPr>
        <w:t>menor de lo presupuestado</w:t>
      </w:r>
      <w:r w:rsidR="00B63287" w:rsidRPr="00E21577">
        <w:rPr>
          <w:lang w:val="es-ES_tradnl"/>
        </w:rPr>
        <w:t>.</w:t>
      </w:r>
      <w:r w:rsidR="00D6359E" w:rsidRPr="00E21577">
        <w:rPr>
          <w:lang w:val="es-ES_tradnl"/>
        </w:rPr>
        <w:t xml:space="preserve"> </w:t>
      </w:r>
      <w:r w:rsidR="00694232" w:rsidRPr="00E21577">
        <w:rPr>
          <w:lang w:val="es-ES_tradnl"/>
        </w:rPr>
        <w:t xml:space="preserve"> </w:t>
      </w:r>
      <w:r w:rsidR="005B1D30" w:rsidRPr="00E21577">
        <w:rPr>
          <w:lang w:val="es-ES_tradnl"/>
        </w:rPr>
        <w:t>En el cuadro</w:t>
      </w:r>
      <w:r w:rsidR="00297D71" w:rsidRPr="00E21577">
        <w:rPr>
          <w:lang w:val="es-ES_tradnl"/>
        </w:rPr>
        <w:t xml:space="preserve"> </w:t>
      </w:r>
      <w:r w:rsidR="005B1D30" w:rsidRPr="00E21577">
        <w:rPr>
          <w:lang w:val="es-ES_tradnl"/>
        </w:rPr>
        <w:t xml:space="preserve">1 se </w:t>
      </w:r>
      <w:r w:rsidR="000B5F28" w:rsidRPr="00E21577">
        <w:rPr>
          <w:lang w:val="es-ES_tradnl"/>
        </w:rPr>
        <w:t>muestra</w:t>
      </w:r>
      <w:r w:rsidR="005B1D30" w:rsidRPr="00E21577">
        <w:rPr>
          <w:lang w:val="es-ES_tradnl"/>
        </w:rPr>
        <w:t xml:space="preserve"> el rendimiento presupuestario de la</w:t>
      </w:r>
      <w:r w:rsidR="00297D71" w:rsidRPr="00E21577">
        <w:rPr>
          <w:lang w:val="es-ES_tradnl"/>
        </w:rPr>
        <w:t xml:space="preserve"> </w:t>
      </w:r>
      <w:r w:rsidR="00B63287" w:rsidRPr="00E21577">
        <w:rPr>
          <w:lang w:val="es-ES_tradnl"/>
        </w:rPr>
        <w:t xml:space="preserve">UPOV </w:t>
      </w:r>
      <w:r w:rsidR="005B1D30" w:rsidRPr="00E21577">
        <w:rPr>
          <w:lang w:val="es-ES_tradnl"/>
        </w:rPr>
        <w:t>en</w:t>
      </w:r>
      <w:r w:rsidR="00297D71" w:rsidRPr="00E21577">
        <w:rPr>
          <w:lang w:val="es-ES_tradnl"/>
        </w:rPr>
        <w:t xml:space="preserve"> </w:t>
      </w:r>
      <w:r w:rsidR="00B63287" w:rsidRPr="00E21577">
        <w:rPr>
          <w:lang w:val="es-ES_tradnl"/>
        </w:rPr>
        <w:t>2018:</w:t>
      </w:r>
    </w:p>
    <w:p w:rsidR="00E124B9" w:rsidRPr="00E21577" w:rsidRDefault="00E124B9" w:rsidP="00E124B9">
      <w:pPr>
        <w:pStyle w:val="Number1"/>
        <w:jc w:val="both"/>
        <w:rPr>
          <w:lang w:val="es-ES_tradnl"/>
        </w:rPr>
      </w:pPr>
    </w:p>
    <w:tbl>
      <w:tblPr>
        <w:tblStyle w:val="NAOTable"/>
        <w:tblW w:w="5000" w:type="pct"/>
        <w:tblLayout w:type="fixed"/>
        <w:tblLook w:val="0600" w:firstRow="0" w:lastRow="0" w:firstColumn="0" w:lastColumn="0" w:noHBand="1" w:noVBand="1"/>
      </w:tblPr>
      <w:tblGrid>
        <w:gridCol w:w="1574"/>
        <w:gridCol w:w="1574"/>
        <w:gridCol w:w="1574"/>
        <w:gridCol w:w="1907"/>
        <w:gridCol w:w="1241"/>
      </w:tblGrid>
      <w:tr w:rsidR="00E124B9" w:rsidRPr="00E21577" w:rsidTr="00026CA9">
        <w:tc>
          <w:tcPr>
            <w:tcW w:w="7870" w:type="dxa"/>
            <w:gridSpan w:val="5"/>
          </w:tcPr>
          <w:p w:rsidR="00E124B9" w:rsidRPr="00E21577" w:rsidRDefault="005B1D30" w:rsidP="00950210">
            <w:pPr>
              <w:keepNext/>
              <w:pageBreakBefore/>
              <w:rPr>
                <w:b/>
                <w:sz w:val="18"/>
                <w:lang w:val="es-ES_tradnl"/>
              </w:rPr>
            </w:pPr>
            <w:bookmarkStart w:id="12" w:name="_GoBack"/>
            <w:bookmarkEnd w:id="12"/>
            <w:r w:rsidRPr="00E21577">
              <w:rPr>
                <w:b/>
                <w:sz w:val="18"/>
                <w:lang w:val="es-ES_tradnl"/>
              </w:rPr>
              <w:lastRenderedPageBreak/>
              <w:t>Cuadro</w:t>
            </w:r>
            <w:r w:rsidR="00297D71" w:rsidRPr="00E21577">
              <w:rPr>
                <w:b/>
                <w:sz w:val="18"/>
                <w:lang w:val="es-ES_tradnl"/>
              </w:rPr>
              <w:t xml:space="preserve"> </w:t>
            </w:r>
            <w:r w:rsidRPr="00E21577">
              <w:rPr>
                <w:b/>
                <w:sz w:val="18"/>
                <w:lang w:val="es-ES_tradnl"/>
              </w:rPr>
              <w:t>1</w:t>
            </w:r>
            <w:r w:rsidR="00E124B9" w:rsidRPr="00E21577">
              <w:rPr>
                <w:b/>
                <w:sz w:val="18"/>
                <w:lang w:val="es-ES_tradnl"/>
              </w:rPr>
              <w:t xml:space="preserve"> </w:t>
            </w:r>
          </w:p>
        </w:tc>
      </w:tr>
      <w:tr w:rsidR="00E124B9" w:rsidRPr="00E21577" w:rsidTr="00026CA9">
        <w:tc>
          <w:tcPr>
            <w:tcW w:w="7870" w:type="dxa"/>
            <w:gridSpan w:val="5"/>
          </w:tcPr>
          <w:p w:rsidR="00E124B9" w:rsidRPr="00E21577" w:rsidRDefault="005B1D30" w:rsidP="00026CA9">
            <w:pPr>
              <w:keepNext/>
              <w:rPr>
                <w:sz w:val="18"/>
                <w:lang w:val="es-ES_tradnl"/>
              </w:rPr>
            </w:pPr>
            <w:r w:rsidRPr="00E21577">
              <w:rPr>
                <w:sz w:val="18"/>
                <w:lang w:val="es-ES_tradnl"/>
              </w:rPr>
              <w:t>Rendimiento presupuestario de la</w:t>
            </w:r>
            <w:r w:rsidR="00297D71" w:rsidRPr="00E21577">
              <w:rPr>
                <w:sz w:val="18"/>
                <w:lang w:val="es-ES_tradnl"/>
              </w:rPr>
              <w:t xml:space="preserve"> </w:t>
            </w:r>
            <w:r w:rsidRPr="00E21577">
              <w:rPr>
                <w:sz w:val="18"/>
                <w:lang w:val="es-ES_tradnl"/>
              </w:rPr>
              <w:t>UPOV en</w:t>
            </w:r>
            <w:r w:rsidR="00297D71" w:rsidRPr="00E21577">
              <w:rPr>
                <w:sz w:val="18"/>
                <w:lang w:val="es-ES_tradnl"/>
              </w:rPr>
              <w:t xml:space="preserve"> </w:t>
            </w:r>
            <w:r w:rsidRPr="00E21577">
              <w:rPr>
                <w:sz w:val="18"/>
                <w:lang w:val="es-ES_tradnl"/>
              </w:rPr>
              <w:t>2018 (en miles de francos suizos)</w:t>
            </w:r>
          </w:p>
        </w:tc>
      </w:tr>
      <w:tr w:rsidR="00E124B9" w:rsidRPr="00E21577" w:rsidTr="00026CA9">
        <w:tc>
          <w:tcPr>
            <w:tcW w:w="1574" w:type="dxa"/>
          </w:tcPr>
          <w:p w:rsidR="00E124B9" w:rsidRPr="00E21577" w:rsidRDefault="00E124B9" w:rsidP="00A01A67">
            <w:pPr>
              <w:pStyle w:val="ColumnHeading"/>
              <w:rPr>
                <w:lang w:val="es-ES_tradnl"/>
              </w:rPr>
            </w:pPr>
          </w:p>
        </w:tc>
        <w:tc>
          <w:tcPr>
            <w:tcW w:w="1574" w:type="dxa"/>
            <w:vAlign w:val="center"/>
          </w:tcPr>
          <w:p w:rsidR="00E124B9" w:rsidRPr="00E21577" w:rsidRDefault="00B95263" w:rsidP="00026CA9">
            <w:pPr>
              <w:pStyle w:val="ColumnHeading"/>
              <w:spacing w:after="160"/>
              <w:jc w:val="center"/>
              <w:rPr>
                <w:lang w:val="es-ES_tradnl"/>
              </w:rPr>
            </w:pPr>
            <w:r w:rsidRPr="00E21577">
              <w:rPr>
                <w:lang w:val="es-ES_tradnl"/>
              </w:rPr>
              <w:t>Cifras presupuestadas</w:t>
            </w:r>
          </w:p>
        </w:tc>
        <w:tc>
          <w:tcPr>
            <w:tcW w:w="1574" w:type="dxa"/>
            <w:vAlign w:val="center"/>
          </w:tcPr>
          <w:p w:rsidR="00E124B9" w:rsidRPr="00E21577" w:rsidRDefault="00B95263" w:rsidP="00026CA9">
            <w:pPr>
              <w:pStyle w:val="ColumnHeading"/>
              <w:spacing w:after="160"/>
              <w:jc w:val="center"/>
              <w:rPr>
                <w:lang w:val="es-ES_tradnl"/>
              </w:rPr>
            </w:pPr>
            <w:r w:rsidRPr="00E21577">
              <w:rPr>
                <w:lang w:val="es-ES_tradnl"/>
              </w:rPr>
              <w:t>Cifras</w:t>
            </w:r>
            <w:r w:rsidR="005B1D30" w:rsidRPr="00E21577">
              <w:rPr>
                <w:lang w:val="es-ES_tradnl"/>
              </w:rPr>
              <w:t xml:space="preserve"> real</w:t>
            </w:r>
            <w:r w:rsidRPr="00E21577">
              <w:rPr>
                <w:lang w:val="es-ES_tradnl"/>
              </w:rPr>
              <w:t>es</w:t>
            </w:r>
          </w:p>
        </w:tc>
        <w:tc>
          <w:tcPr>
            <w:tcW w:w="1907" w:type="dxa"/>
            <w:vAlign w:val="center"/>
          </w:tcPr>
          <w:p w:rsidR="00E124B9" w:rsidRPr="00E21577" w:rsidRDefault="005B1D30" w:rsidP="00026CA9">
            <w:pPr>
              <w:pStyle w:val="ColumnHeading"/>
              <w:spacing w:after="160"/>
              <w:jc w:val="center"/>
              <w:rPr>
                <w:lang w:val="es-ES_tradnl"/>
              </w:rPr>
            </w:pPr>
            <w:r w:rsidRPr="00E21577">
              <w:rPr>
                <w:lang w:val="es-ES_tradnl"/>
              </w:rPr>
              <w:t>(Excedente)/</w:t>
            </w:r>
            <w:r w:rsidR="00451318" w:rsidRPr="00E21577">
              <w:rPr>
                <w:lang w:val="es-ES_tradnl"/>
              </w:rPr>
              <w:t>Superávit</w:t>
            </w:r>
          </w:p>
        </w:tc>
        <w:tc>
          <w:tcPr>
            <w:tcW w:w="1241" w:type="dxa"/>
          </w:tcPr>
          <w:p w:rsidR="00E124B9" w:rsidRPr="00E21577" w:rsidRDefault="00E124B9" w:rsidP="00A01A67">
            <w:pPr>
              <w:pStyle w:val="ColumnHeading"/>
              <w:rPr>
                <w:lang w:val="es-ES_tradnl"/>
              </w:rPr>
            </w:pPr>
          </w:p>
        </w:tc>
      </w:tr>
      <w:tr w:rsidR="00E124B9" w:rsidRPr="00E21577" w:rsidTr="00026CA9">
        <w:tc>
          <w:tcPr>
            <w:tcW w:w="1574" w:type="dxa"/>
          </w:tcPr>
          <w:p w:rsidR="00E124B9" w:rsidRPr="00E21577" w:rsidRDefault="005B1D30" w:rsidP="006422F8">
            <w:pPr>
              <w:pStyle w:val="Figuretext"/>
              <w:rPr>
                <w:b/>
                <w:lang w:val="es-ES_tradnl"/>
              </w:rPr>
            </w:pPr>
            <w:r w:rsidRPr="00E21577">
              <w:rPr>
                <w:b/>
                <w:lang w:val="es-ES_tradnl"/>
              </w:rPr>
              <w:t>Ingresos</w:t>
            </w:r>
          </w:p>
        </w:tc>
        <w:tc>
          <w:tcPr>
            <w:tcW w:w="1574" w:type="dxa"/>
          </w:tcPr>
          <w:p w:rsidR="00E124B9" w:rsidRPr="00E21577" w:rsidRDefault="00E124B9" w:rsidP="00A01A67">
            <w:pPr>
              <w:pStyle w:val="Figuretext"/>
              <w:jc w:val="center"/>
              <w:rPr>
                <w:lang w:val="es-ES_tradnl"/>
              </w:rPr>
            </w:pPr>
            <w:r w:rsidRPr="00E21577">
              <w:rPr>
                <w:lang w:val="es-ES_tradnl"/>
              </w:rPr>
              <w:t>3</w:t>
            </w:r>
            <w:r w:rsidR="005B1D30" w:rsidRPr="00E21577">
              <w:rPr>
                <w:lang w:val="es-ES_tradnl"/>
              </w:rPr>
              <w:t>.</w:t>
            </w:r>
            <w:r w:rsidRPr="00E21577">
              <w:rPr>
                <w:lang w:val="es-ES_tradnl"/>
              </w:rPr>
              <w:t>470</w:t>
            </w:r>
          </w:p>
        </w:tc>
        <w:tc>
          <w:tcPr>
            <w:tcW w:w="1574" w:type="dxa"/>
          </w:tcPr>
          <w:p w:rsidR="00E124B9" w:rsidRPr="00E21577" w:rsidRDefault="00E124B9" w:rsidP="00A01A67">
            <w:pPr>
              <w:pStyle w:val="Figuretext"/>
              <w:jc w:val="center"/>
              <w:rPr>
                <w:lang w:val="es-ES_tradnl"/>
              </w:rPr>
            </w:pPr>
            <w:r w:rsidRPr="00E21577">
              <w:rPr>
                <w:lang w:val="es-ES_tradnl"/>
              </w:rPr>
              <w:t>3</w:t>
            </w:r>
            <w:r w:rsidR="005B1D30" w:rsidRPr="00E21577">
              <w:rPr>
                <w:lang w:val="es-ES_tradnl"/>
              </w:rPr>
              <w:t>.</w:t>
            </w:r>
            <w:r w:rsidRPr="00E21577">
              <w:rPr>
                <w:lang w:val="es-ES_tradnl"/>
              </w:rPr>
              <w:t>422</w:t>
            </w:r>
          </w:p>
        </w:tc>
        <w:tc>
          <w:tcPr>
            <w:tcW w:w="1907" w:type="dxa"/>
          </w:tcPr>
          <w:p w:rsidR="00E124B9" w:rsidRPr="00E21577" w:rsidRDefault="00E124B9" w:rsidP="00A01A67">
            <w:pPr>
              <w:pStyle w:val="Figuretext"/>
              <w:jc w:val="center"/>
              <w:rPr>
                <w:lang w:val="es-ES_tradnl"/>
              </w:rPr>
            </w:pPr>
            <w:r w:rsidRPr="00E21577">
              <w:rPr>
                <w:lang w:val="es-ES_tradnl"/>
              </w:rPr>
              <w:t>(48)</w:t>
            </w:r>
          </w:p>
        </w:tc>
        <w:tc>
          <w:tcPr>
            <w:tcW w:w="1241" w:type="dxa"/>
          </w:tcPr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</w:p>
        </w:tc>
      </w:tr>
      <w:tr w:rsidR="00E124B9" w:rsidRPr="00E21577" w:rsidTr="00026CA9">
        <w:tc>
          <w:tcPr>
            <w:tcW w:w="1574" w:type="dxa"/>
          </w:tcPr>
          <w:p w:rsidR="00E124B9" w:rsidRPr="00E21577" w:rsidRDefault="005B1D30" w:rsidP="006422F8">
            <w:pPr>
              <w:pStyle w:val="Figuretext"/>
              <w:rPr>
                <w:b/>
                <w:lang w:val="es-ES_tradnl"/>
              </w:rPr>
            </w:pPr>
            <w:r w:rsidRPr="00E21577">
              <w:rPr>
                <w:b/>
                <w:lang w:val="es-ES_tradnl"/>
              </w:rPr>
              <w:t>Gastos</w:t>
            </w:r>
          </w:p>
        </w:tc>
        <w:tc>
          <w:tcPr>
            <w:tcW w:w="1574" w:type="dxa"/>
          </w:tcPr>
          <w:p w:rsidR="00E124B9" w:rsidRPr="00E21577" w:rsidRDefault="00E124B9" w:rsidP="00A01A67">
            <w:pPr>
              <w:pStyle w:val="Figuretext"/>
              <w:jc w:val="center"/>
              <w:rPr>
                <w:u w:val="single"/>
                <w:lang w:val="es-ES_tradnl"/>
              </w:rPr>
            </w:pPr>
            <w:r w:rsidRPr="00E21577">
              <w:rPr>
                <w:u w:val="single"/>
                <w:lang w:val="es-ES_tradnl"/>
              </w:rPr>
              <w:t>(3</w:t>
            </w:r>
            <w:r w:rsidR="005B1D30" w:rsidRPr="00E21577">
              <w:rPr>
                <w:u w:val="single"/>
                <w:lang w:val="es-ES_tradnl"/>
              </w:rPr>
              <w:t>.</w:t>
            </w:r>
            <w:r w:rsidRPr="00E21577">
              <w:rPr>
                <w:u w:val="single"/>
                <w:lang w:val="es-ES_tradnl"/>
              </w:rPr>
              <w:t>470)</w:t>
            </w:r>
          </w:p>
        </w:tc>
        <w:tc>
          <w:tcPr>
            <w:tcW w:w="1574" w:type="dxa"/>
          </w:tcPr>
          <w:p w:rsidR="00E124B9" w:rsidRPr="00E21577" w:rsidRDefault="00E124B9" w:rsidP="00A01A67">
            <w:pPr>
              <w:pStyle w:val="Figuretext"/>
              <w:jc w:val="center"/>
              <w:rPr>
                <w:u w:val="single"/>
                <w:lang w:val="es-ES_tradnl"/>
              </w:rPr>
            </w:pPr>
            <w:r w:rsidRPr="00E21577">
              <w:rPr>
                <w:u w:val="single"/>
                <w:lang w:val="es-ES_tradnl"/>
              </w:rPr>
              <w:t>(3</w:t>
            </w:r>
            <w:r w:rsidR="005B1D30" w:rsidRPr="00E21577">
              <w:rPr>
                <w:u w:val="single"/>
                <w:lang w:val="es-ES_tradnl"/>
              </w:rPr>
              <w:t>.</w:t>
            </w:r>
            <w:r w:rsidRPr="00E21577">
              <w:rPr>
                <w:u w:val="single"/>
                <w:lang w:val="es-ES_tradnl"/>
              </w:rPr>
              <w:t>355)</w:t>
            </w:r>
          </w:p>
        </w:tc>
        <w:tc>
          <w:tcPr>
            <w:tcW w:w="1907" w:type="dxa"/>
          </w:tcPr>
          <w:p w:rsidR="00E124B9" w:rsidRPr="00E21577" w:rsidRDefault="00E124B9" w:rsidP="00A01A67">
            <w:pPr>
              <w:pStyle w:val="Figuretext"/>
              <w:jc w:val="center"/>
              <w:rPr>
                <w:u w:val="single"/>
                <w:lang w:val="es-ES_tradnl"/>
              </w:rPr>
            </w:pPr>
            <w:r w:rsidRPr="00E21577">
              <w:rPr>
                <w:u w:val="single"/>
                <w:lang w:val="es-ES_tradnl"/>
              </w:rPr>
              <w:t>115</w:t>
            </w:r>
          </w:p>
        </w:tc>
        <w:tc>
          <w:tcPr>
            <w:tcW w:w="1241" w:type="dxa"/>
          </w:tcPr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</w:p>
        </w:tc>
      </w:tr>
      <w:tr w:rsidR="00E124B9" w:rsidRPr="00E21577" w:rsidTr="00026CA9">
        <w:tc>
          <w:tcPr>
            <w:tcW w:w="1574" w:type="dxa"/>
          </w:tcPr>
          <w:p w:rsidR="00E124B9" w:rsidRPr="00E21577" w:rsidRDefault="005B1D30" w:rsidP="006422F8">
            <w:pPr>
              <w:pStyle w:val="Figuretext"/>
              <w:rPr>
                <w:rStyle w:val="Bold"/>
                <w:lang w:val="es-ES_tradnl"/>
              </w:rPr>
            </w:pPr>
            <w:r w:rsidRPr="00E21577">
              <w:rPr>
                <w:rStyle w:val="Bold"/>
                <w:lang w:val="es-ES_tradnl"/>
              </w:rPr>
              <w:t>Resultado neto</w:t>
            </w:r>
          </w:p>
        </w:tc>
        <w:tc>
          <w:tcPr>
            <w:tcW w:w="1574" w:type="dxa"/>
          </w:tcPr>
          <w:p w:rsidR="00E124B9" w:rsidRPr="00E21577" w:rsidRDefault="005B1D30" w:rsidP="006422F8">
            <w:pPr>
              <w:pStyle w:val="Figuretext"/>
              <w:jc w:val="center"/>
              <w:rPr>
                <w:lang w:val="es-ES_tradnl"/>
              </w:rPr>
            </w:pPr>
            <w:r w:rsidRPr="00E21577">
              <w:rPr>
                <w:lang w:val="es-ES_tradnl"/>
              </w:rPr>
              <w:t>0</w:t>
            </w:r>
          </w:p>
        </w:tc>
        <w:tc>
          <w:tcPr>
            <w:tcW w:w="1574" w:type="dxa"/>
          </w:tcPr>
          <w:p w:rsidR="00E124B9" w:rsidRPr="00E21577" w:rsidRDefault="00E124B9" w:rsidP="00A01A67">
            <w:pPr>
              <w:pStyle w:val="Figuretext"/>
              <w:jc w:val="center"/>
              <w:rPr>
                <w:lang w:val="es-ES_tradnl"/>
              </w:rPr>
            </w:pPr>
            <w:r w:rsidRPr="00E21577">
              <w:rPr>
                <w:lang w:val="es-ES_tradnl"/>
              </w:rPr>
              <w:t>67</w:t>
            </w:r>
          </w:p>
        </w:tc>
        <w:tc>
          <w:tcPr>
            <w:tcW w:w="1907" w:type="dxa"/>
          </w:tcPr>
          <w:p w:rsidR="00E124B9" w:rsidRPr="00E21577" w:rsidRDefault="00E124B9" w:rsidP="00A01A67">
            <w:pPr>
              <w:pStyle w:val="Figuretext"/>
              <w:jc w:val="center"/>
              <w:rPr>
                <w:lang w:val="es-ES_tradnl"/>
              </w:rPr>
            </w:pPr>
            <w:r w:rsidRPr="00E21577">
              <w:rPr>
                <w:lang w:val="es-ES_tradnl"/>
              </w:rPr>
              <w:t>67</w:t>
            </w:r>
          </w:p>
        </w:tc>
        <w:tc>
          <w:tcPr>
            <w:tcW w:w="1241" w:type="dxa"/>
          </w:tcPr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</w:p>
        </w:tc>
      </w:tr>
      <w:tr w:rsidR="00E124B9" w:rsidRPr="00E21577" w:rsidTr="00266F22">
        <w:trPr>
          <w:trHeight w:val="565"/>
        </w:trPr>
        <w:tc>
          <w:tcPr>
            <w:tcW w:w="7870" w:type="dxa"/>
            <w:gridSpan w:val="5"/>
          </w:tcPr>
          <w:p w:rsidR="00E124B9" w:rsidRPr="00E21577" w:rsidRDefault="00E124B9" w:rsidP="006422F8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br/>
            </w:r>
            <w:r w:rsidR="005E6E51" w:rsidRPr="00E21577">
              <w:rPr>
                <w:lang w:val="es-ES_tradnl"/>
              </w:rPr>
              <w:t>Fuente:</w:t>
            </w:r>
            <w:r w:rsidRPr="00E21577">
              <w:rPr>
                <w:lang w:val="es-ES_tradnl"/>
              </w:rPr>
              <w:t xml:space="preserve"> </w:t>
            </w:r>
            <w:r w:rsidR="005E6E51" w:rsidRPr="00E21577">
              <w:rPr>
                <w:lang w:val="es-ES_tradnl"/>
              </w:rPr>
              <w:t>Estados financieros auditados de la</w:t>
            </w:r>
            <w:r w:rsidR="00297D71" w:rsidRPr="00E21577">
              <w:rPr>
                <w:lang w:val="es-ES_tradnl"/>
              </w:rPr>
              <w:t xml:space="preserve"> </w:t>
            </w:r>
            <w:r w:rsidR="005E6E51" w:rsidRPr="00E21577">
              <w:rPr>
                <w:lang w:val="es-ES_tradnl"/>
              </w:rPr>
              <w:t>UPOV</w:t>
            </w:r>
          </w:p>
        </w:tc>
      </w:tr>
    </w:tbl>
    <w:p w:rsidR="00C91841" w:rsidRPr="00E21577" w:rsidRDefault="003D1F84" w:rsidP="00451318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El gasto </w:t>
      </w:r>
      <w:r w:rsidR="003C3A3F" w:rsidRPr="00E21577">
        <w:rPr>
          <w:lang w:val="es-ES_tradnl"/>
        </w:rPr>
        <w:t xml:space="preserve">real </w:t>
      </w:r>
      <w:r w:rsidRPr="00E21577">
        <w:rPr>
          <w:lang w:val="es-ES_tradnl"/>
        </w:rPr>
        <w:t xml:space="preserve">ha sido </w:t>
      </w:r>
      <w:r w:rsidR="00454C8F" w:rsidRPr="00E21577">
        <w:rPr>
          <w:lang w:val="es-ES_tradnl"/>
        </w:rPr>
        <w:t>inferior a</w:t>
      </w:r>
      <w:r w:rsidR="003C3A3F" w:rsidRPr="00E21577">
        <w:rPr>
          <w:lang w:val="es-ES_tradnl"/>
        </w:rPr>
        <w:t>l</w:t>
      </w:r>
      <w:r w:rsidRPr="00E21577">
        <w:rPr>
          <w:lang w:val="es-ES_tradnl"/>
        </w:rPr>
        <w:t xml:space="preserve"> presupuestado </w:t>
      </w:r>
      <w:r w:rsidR="00454C8F" w:rsidRPr="00E21577">
        <w:rPr>
          <w:lang w:val="es-ES_tradnl"/>
        </w:rPr>
        <w:t xml:space="preserve">debido </w:t>
      </w:r>
      <w:r w:rsidRPr="00E21577">
        <w:rPr>
          <w:lang w:val="es-ES_tradnl"/>
        </w:rPr>
        <w:t>principalmente</w:t>
      </w:r>
      <w:r w:rsidR="00412735" w:rsidRPr="00E21577">
        <w:rPr>
          <w:lang w:val="es-ES_tradnl"/>
        </w:rPr>
        <w:t xml:space="preserve"> </w:t>
      </w:r>
      <w:r w:rsidR="00454C8F" w:rsidRPr="00E21577">
        <w:rPr>
          <w:lang w:val="es-ES_tradnl"/>
        </w:rPr>
        <w:t xml:space="preserve">a </w:t>
      </w:r>
      <w:r w:rsidR="00AA240D" w:rsidRPr="00E21577">
        <w:rPr>
          <w:lang w:val="es-ES_tradnl"/>
        </w:rPr>
        <w:t xml:space="preserve">que se ha reducido el multiplicador del ajuste por lugar de destino para Ginebra </w:t>
      </w:r>
      <w:r w:rsidR="00412735" w:rsidRPr="00E21577">
        <w:rPr>
          <w:lang w:val="es-ES_tradnl"/>
        </w:rPr>
        <w:t xml:space="preserve">y </w:t>
      </w:r>
      <w:r w:rsidR="00454C8F" w:rsidRPr="00E21577">
        <w:rPr>
          <w:lang w:val="es-ES_tradnl"/>
        </w:rPr>
        <w:t>a</w:t>
      </w:r>
      <w:r w:rsidR="00AA240D" w:rsidRPr="00E21577">
        <w:rPr>
          <w:lang w:val="es-ES_tradnl"/>
        </w:rPr>
        <w:t xml:space="preserve"> que </w:t>
      </w:r>
      <w:r w:rsidR="003C3A3F" w:rsidRPr="00E21577">
        <w:rPr>
          <w:lang w:val="es-ES_tradnl"/>
        </w:rPr>
        <w:t xml:space="preserve">el empleo de personal temporero </w:t>
      </w:r>
      <w:r w:rsidR="00AA240D" w:rsidRPr="00E21577">
        <w:rPr>
          <w:lang w:val="es-ES_tradnl"/>
        </w:rPr>
        <w:t xml:space="preserve">durante el año </w:t>
      </w:r>
      <w:r w:rsidR="003C3A3F" w:rsidRPr="00E21577">
        <w:rPr>
          <w:lang w:val="es-ES_tradnl"/>
        </w:rPr>
        <w:t xml:space="preserve">ha sido </w:t>
      </w:r>
      <w:r w:rsidR="00412735" w:rsidRPr="00E21577">
        <w:rPr>
          <w:lang w:val="es-ES_tradnl"/>
        </w:rPr>
        <w:t>meno</w:t>
      </w:r>
      <w:r w:rsidR="003C3A3F" w:rsidRPr="00E21577">
        <w:rPr>
          <w:lang w:val="es-ES_tradnl"/>
        </w:rPr>
        <w:t>r</w:t>
      </w:r>
      <w:r w:rsidR="00412735" w:rsidRPr="00E21577">
        <w:rPr>
          <w:lang w:val="es-ES_tradnl"/>
        </w:rPr>
        <w:t xml:space="preserve"> de lo</w:t>
      </w:r>
      <w:r w:rsidR="003C3A3F" w:rsidRPr="00E21577">
        <w:rPr>
          <w:lang w:val="es-ES_tradnl"/>
        </w:rPr>
        <w:t xml:space="preserve"> esperado</w:t>
      </w:r>
      <w:r w:rsidR="00451318" w:rsidRPr="00E21577">
        <w:rPr>
          <w:lang w:val="es-ES_tradnl"/>
        </w:rPr>
        <w:t>,</w:t>
      </w:r>
      <w:r w:rsidR="00412735" w:rsidRPr="00E21577">
        <w:rPr>
          <w:lang w:val="es-ES_tradnl"/>
        </w:rPr>
        <w:t xml:space="preserve"> </w:t>
      </w:r>
      <w:r w:rsidR="00451318" w:rsidRPr="00E21577">
        <w:rPr>
          <w:lang w:val="es-ES_tradnl"/>
        </w:rPr>
        <w:t>al</w:t>
      </w:r>
      <w:r w:rsidR="007117C6" w:rsidRPr="00E21577">
        <w:rPr>
          <w:lang w:val="es-ES_tradnl"/>
        </w:rPr>
        <w:t xml:space="preserve"> </w:t>
      </w:r>
      <w:r w:rsidR="00451318" w:rsidRPr="00E21577">
        <w:rPr>
          <w:lang w:val="es-ES_tradnl"/>
        </w:rPr>
        <w:t xml:space="preserve">ocuparse </w:t>
      </w:r>
      <w:r w:rsidR="00897C0D" w:rsidRPr="00E21577">
        <w:rPr>
          <w:lang w:val="es-ES_tradnl"/>
        </w:rPr>
        <w:t>los</w:t>
      </w:r>
      <w:r w:rsidR="00412735" w:rsidRPr="00E21577">
        <w:rPr>
          <w:lang w:val="es-ES_tradnl"/>
        </w:rPr>
        <w:t xml:space="preserve"> </w:t>
      </w:r>
      <w:r w:rsidR="00897C0D" w:rsidRPr="00E21577">
        <w:rPr>
          <w:lang w:val="es-ES_tradnl"/>
        </w:rPr>
        <w:t xml:space="preserve">puestos vacantes antes de lo </w:t>
      </w:r>
      <w:r w:rsidR="003C3A3F" w:rsidRPr="00E21577">
        <w:rPr>
          <w:lang w:val="es-ES_tradnl"/>
        </w:rPr>
        <w:t>previsto</w:t>
      </w:r>
      <w:r w:rsidR="00412735" w:rsidRPr="00E21577">
        <w:rPr>
          <w:lang w:val="es-ES_tradnl"/>
        </w:rPr>
        <w:t>.</w:t>
      </w:r>
    </w:p>
    <w:p w:rsidR="00C91841" w:rsidRPr="00E21577" w:rsidRDefault="0023379F" w:rsidP="00451318">
      <w:pPr>
        <w:pStyle w:val="Heading4"/>
        <w:spacing w:after="160" w:line="240" w:lineRule="auto"/>
        <w:rPr>
          <w:lang w:val="es-ES_tradnl"/>
        </w:rPr>
      </w:pPr>
      <w:r w:rsidRPr="00E21577">
        <w:rPr>
          <w:lang w:val="es-ES_tradnl"/>
        </w:rPr>
        <w:t>Rendimiento financiero</w:t>
      </w:r>
    </w:p>
    <w:p w:rsidR="00C91841" w:rsidRPr="00E21577" w:rsidRDefault="0023379F" w:rsidP="000A4D4B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En el ejercicio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2018,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UPOV </w:t>
      </w:r>
      <w:r w:rsidR="007774E1" w:rsidRPr="00E21577">
        <w:rPr>
          <w:lang w:val="es-ES_tradnl"/>
        </w:rPr>
        <w:t>declar</w:t>
      </w:r>
      <w:r w:rsidRPr="00E21577">
        <w:rPr>
          <w:lang w:val="es-ES_tradnl"/>
        </w:rPr>
        <w:t>ó un déficit con arreglo a las IPSAS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42.000 francos suizos</w:t>
      </w:r>
      <w:r w:rsidR="00307FEB" w:rsidRPr="00E21577">
        <w:rPr>
          <w:lang w:val="es-ES_tradnl"/>
        </w:rPr>
        <w:t>, frente a los</w:t>
      </w:r>
      <w:r w:rsidR="00297D71" w:rsidRPr="00E21577">
        <w:rPr>
          <w:lang w:val="es-ES_tradnl"/>
        </w:rPr>
        <w:t xml:space="preserve"> </w:t>
      </w:r>
      <w:r w:rsidR="00307FEB" w:rsidRPr="00E21577">
        <w:rPr>
          <w:lang w:val="es-ES_tradnl"/>
        </w:rPr>
        <w:t>290.000 francos suizos</w:t>
      </w:r>
      <w:r w:rsidRPr="00E21577">
        <w:rPr>
          <w:lang w:val="es-ES_tradnl"/>
        </w:rPr>
        <w:t xml:space="preserve"> </w:t>
      </w:r>
      <w:r w:rsidR="00307FEB" w:rsidRPr="00E21577">
        <w:rPr>
          <w:lang w:val="es-ES_tradnl"/>
        </w:rPr>
        <w:t xml:space="preserve">de déficit </w:t>
      </w:r>
      <w:r w:rsidRPr="00E21577">
        <w:rPr>
          <w:lang w:val="es-ES_tradnl"/>
        </w:rPr>
        <w:t>en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2017.</w:t>
      </w:r>
      <w:r w:rsidR="00E124B9" w:rsidRPr="00E21577">
        <w:rPr>
          <w:lang w:val="es-ES_tradnl"/>
        </w:rPr>
        <w:t xml:space="preserve"> </w:t>
      </w:r>
      <w:r w:rsidR="00954526" w:rsidRPr="00E21577">
        <w:rPr>
          <w:lang w:val="es-ES_tradnl"/>
        </w:rPr>
        <w:t xml:space="preserve"> </w:t>
      </w:r>
      <w:r w:rsidR="00DD6824" w:rsidRPr="00E21577">
        <w:rPr>
          <w:lang w:val="es-ES_tradnl"/>
        </w:rPr>
        <w:t xml:space="preserve">En compensación, se registraron </w:t>
      </w:r>
      <w:r w:rsidR="00FD2595" w:rsidRPr="00E21577">
        <w:rPr>
          <w:lang w:val="es-ES_tradnl"/>
        </w:rPr>
        <w:t xml:space="preserve">ganancias actuariales </w:t>
      </w:r>
      <w:r w:rsidR="00307FEB" w:rsidRPr="00E21577">
        <w:rPr>
          <w:lang w:val="es-ES_tradnl"/>
        </w:rPr>
        <w:t>de</w:t>
      </w:r>
      <w:r w:rsidR="00297D71" w:rsidRPr="00E21577">
        <w:rPr>
          <w:lang w:val="es-ES_tradnl"/>
        </w:rPr>
        <w:t xml:space="preserve"> </w:t>
      </w:r>
      <w:r w:rsidR="00307FEB" w:rsidRPr="00E21577">
        <w:rPr>
          <w:lang w:val="es-ES_tradnl"/>
        </w:rPr>
        <w:t xml:space="preserve">93.000 francos suizos </w:t>
      </w:r>
      <w:r w:rsidR="00451318" w:rsidRPr="00E21577">
        <w:rPr>
          <w:lang w:val="es-ES_tradnl"/>
        </w:rPr>
        <w:t>procedentes de</w:t>
      </w:r>
      <w:r w:rsidR="00DD492A" w:rsidRPr="00E21577">
        <w:rPr>
          <w:lang w:val="es-ES_tradnl"/>
        </w:rPr>
        <w:t>l</w:t>
      </w:r>
      <w:r w:rsidR="00307FEB" w:rsidRPr="00E21577">
        <w:rPr>
          <w:lang w:val="es-ES_tradnl"/>
        </w:rPr>
        <w:t xml:space="preserve"> pasivo</w:t>
      </w:r>
      <w:r w:rsidR="00CA721C" w:rsidRPr="00E21577">
        <w:rPr>
          <w:lang w:val="es-ES_tradnl"/>
        </w:rPr>
        <w:t xml:space="preserve"> </w:t>
      </w:r>
      <w:r w:rsidR="0034503A" w:rsidRPr="00E21577">
        <w:rPr>
          <w:lang w:val="es-ES_tradnl"/>
        </w:rPr>
        <w:t xml:space="preserve">por prestaciones </w:t>
      </w:r>
      <w:r w:rsidR="00FD2595" w:rsidRPr="00E21577">
        <w:rPr>
          <w:lang w:val="es-ES_tradnl"/>
        </w:rPr>
        <w:t xml:space="preserve">tras la separación del servicio </w:t>
      </w:r>
      <w:r w:rsidR="00CA721C" w:rsidRPr="00E21577">
        <w:rPr>
          <w:lang w:val="es-ES_tradnl"/>
        </w:rPr>
        <w:t xml:space="preserve">y </w:t>
      </w:r>
      <w:r w:rsidR="00767C47" w:rsidRPr="00E21577">
        <w:rPr>
          <w:lang w:val="es-ES_tradnl"/>
        </w:rPr>
        <w:t>de</w:t>
      </w:r>
      <w:r w:rsidR="00297D71" w:rsidRPr="00E21577">
        <w:rPr>
          <w:lang w:val="es-ES_tradnl"/>
        </w:rPr>
        <w:t xml:space="preserve"> </w:t>
      </w:r>
      <w:r w:rsidR="00954526" w:rsidRPr="00E21577">
        <w:rPr>
          <w:lang w:val="es-ES_tradnl"/>
        </w:rPr>
        <w:t>2.000 </w:t>
      </w:r>
      <w:r w:rsidR="00767C47" w:rsidRPr="00E21577">
        <w:rPr>
          <w:lang w:val="es-ES_tradnl"/>
        </w:rPr>
        <w:t xml:space="preserve">francos suizos </w:t>
      </w:r>
      <w:r w:rsidR="00451318" w:rsidRPr="00E21577">
        <w:rPr>
          <w:lang w:val="es-ES_tradnl"/>
        </w:rPr>
        <w:t>correspondientes a</w:t>
      </w:r>
      <w:r w:rsidR="00DD6824" w:rsidRPr="00E21577">
        <w:rPr>
          <w:lang w:val="es-ES_tradnl"/>
        </w:rPr>
        <w:t xml:space="preserve"> </w:t>
      </w:r>
      <w:r w:rsidR="00CA721C" w:rsidRPr="00E21577">
        <w:rPr>
          <w:lang w:val="es-ES_tradnl"/>
        </w:rPr>
        <w:t xml:space="preserve">aportaciones </w:t>
      </w:r>
      <w:r w:rsidR="00870192" w:rsidRPr="00E21577">
        <w:rPr>
          <w:lang w:val="es-ES_tradnl"/>
        </w:rPr>
        <w:t xml:space="preserve">de los </w:t>
      </w:r>
      <w:r w:rsidR="00CA721C" w:rsidRPr="00E21577">
        <w:rPr>
          <w:lang w:val="es-ES_tradnl"/>
        </w:rPr>
        <w:t>miembros a</w:t>
      </w:r>
      <w:r w:rsidR="00870192" w:rsidRPr="00E21577">
        <w:rPr>
          <w:lang w:val="es-ES_tradnl"/>
        </w:rPr>
        <w:t>l</w:t>
      </w:r>
      <w:r w:rsidR="00CA721C" w:rsidRPr="00E21577">
        <w:rPr>
          <w:lang w:val="es-ES_tradnl"/>
        </w:rPr>
        <w:t xml:space="preserve"> </w:t>
      </w:r>
      <w:r w:rsidR="00870192" w:rsidRPr="00E21577">
        <w:rPr>
          <w:lang w:val="es-ES_tradnl"/>
        </w:rPr>
        <w:t>fondo de operaciones</w:t>
      </w:r>
      <w:r w:rsidR="007774E1" w:rsidRPr="00E21577">
        <w:rPr>
          <w:lang w:val="es-ES_tradnl"/>
        </w:rPr>
        <w:t>,</w:t>
      </w:r>
      <w:r w:rsidR="00CA721C" w:rsidRPr="00E21577">
        <w:rPr>
          <w:lang w:val="es-ES_tradnl"/>
        </w:rPr>
        <w:t xml:space="preserve"> </w:t>
      </w:r>
      <w:r w:rsidR="000F2F7D" w:rsidRPr="00E21577">
        <w:rPr>
          <w:lang w:val="es-ES_tradnl"/>
        </w:rPr>
        <w:t>de modo que los</w:t>
      </w:r>
      <w:r w:rsidR="00CA721C" w:rsidRPr="00E21577">
        <w:rPr>
          <w:lang w:val="es-ES_tradnl"/>
        </w:rPr>
        <w:t xml:space="preserve"> activos netos </w:t>
      </w:r>
      <w:r w:rsidR="000F2F7D" w:rsidRPr="00E21577">
        <w:rPr>
          <w:lang w:val="es-ES_tradnl"/>
        </w:rPr>
        <w:t>se incrementaron de</w:t>
      </w:r>
      <w:r w:rsidR="00297D71" w:rsidRPr="00E21577">
        <w:rPr>
          <w:lang w:val="es-ES_tradnl"/>
        </w:rPr>
        <w:t xml:space="preserve"> </w:t>
      </w:r>
      <w:r w:rsidR="00870192" w:rsidRPr="00E21577">
        <w:rPr>
          <w:lang w:val="es-ES_tradnl"/>
        </w:rPr>
        <w:t>630.000 francos suizos</w:t>
      </w:r>
      <w:r w:rsidR="00CA721C" w:rsidRPr="00E21577">
        <w:rPr>
          <w:lang w:val="es-ES_tradnl"/>
        </w:rPr>
        <w:t xml:space="preserve"> </w:t>
      </w:r>
      <w:r w:rsidR="00541BEE" w:rsidRPr="00E21577">
        <w:rPr>
          <w:lang w:val="es-ES_tradnl"/>
        </w:rPr>
        <w:t>al</w:t>
      </w:r>
      <w:r w:rsidR="00297D71" w:rsidRPr="00E21577">
        <w:rPr>
          <w:lang w:val="es-ES_tradnl"/>
        </w:rPr>
        <w:t xml:space="preserve"> </w:t>
      </w:r>
      <w:r w:rsidR="00541BEE" w:rsidRPr="00E21577">
        <w:rPr>
          <w:lang w:val="es-ES_tradnl"/>
        </w:rPr>
        <w:t xml:space="preserve">31 de </w:t>
      </w:r>
      <w:r w:rsidR="007774E1" w:rsidRPr="00E21577">
        <w:rPr>
          <w:lang w:val="es-ES_tradnl"/>
        </w:rPr>
        <w:t xml:space="preserve">diciembre </w:t>
      </w:r>
      <w:r w:rsidR="00541BEE" w:rsidRPr="00E21577">
        <w:rPr>
          <w:lang w:val="es-ES_tradnl"/>
        </w:rPr>
        <w:t>de</w:t>
      </w:r>
      <w:r w:rsidR="00297D71" w:rsidRPr="00E21577">
        <w:rPr>
          <w:lang w:val="es-ES_tradnl"/>
        </w:rPr>
        <w:t xml:space="preserve"> </w:t>
      </w:r>
      <w:r w:rsidR="00541BEE" w:rsidRPr="00E21577">
        <w:rPr>
          <w:lang w:val="es-ES_tradnl"/>
        </w:rPr>
        <w:t>2017</w:t>
      </w:r>
      <w:r w:rsidR="00CA721C" w:rsidRPr="00E21577">
        <w:rPr>
          <w:lang w:val="es-ES_tradnl"/>
        </w:rPr>
        <w:t xml:space="preserve"> a</w:t>
      </w:r>
      <w:r w:rsidR="00297D71" w:rsidRPr="00E21577">
        <w:rPr>
          <w:lang w:val="es-ES_tradnl"/>
        </w:rPr>
        <w:t xml:space="preserve"> </w:t>
      </w:r>
      <w:r w:rsidR="00870192" w:rsidRPr="00E21577">
        <w:rPr>
          <w:lang w:val="es-ES_tradnl"/>
        </w:rPr>
        <w:t>683.000 francos suizos</w:t>
      </w:r>
      <w:r w:rsidR="00CA721C" w:rsidRPr="00E21577">
        <w:rPr>
          <w:lang w:val="es-ES_tradnl"/>
        </w:rPr>
        <w:t xml:space="preserve"> </w:t>
      </w:r>
      <w:r w:rsidR="007774E1" w:rsidRPr="00E21577">
        <w:rPr>
          <w:lang w:val="es-ES_tradnl"/>
        </w:rPr>
        <w:t>al</w:t>
      </w:r>
      <w:r w:rsidR="00297D71" w:rsidRPr="00E21577">
        <w:rPr>
          <w:lang w:val="es-ES_tradnl"/>
        </w:rPr>
        <w:t xml:space="preserve"> </w:t>
      </w:r>
      <w:r w:rsidR="007774E1"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="007774E1" w:rsidRPr="00E21577">
        <w:rPr>
          <w:lang w:val="es-ES_tradnl"/>
        </w:rPr>
        <w:t>2018</w:t>
      </w:r>
      <w:r w:rsidR="00CA721C" w:rsidRPr="00E21577">
        <w:rPr>
          <w:lang w:val="es-ES_tradnl"/>
        </w:rPr>
        <w:t>.</w:t>
      </w:r>
    </w:p>
    <w:p w:rsidR="00C91841" w:rsidRPr="00E21577" w:rsidRDefault="007774E1" w:rsidP="00B65AAB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spacing w:val="-2"/>
          <w:lang w:val="es-ES_tradnl"/>
        </w:rPr>
        <w:t xml:space="preserve">Los ingresos </w:t>
      </w:r>
      <w:r w:rsidR="0034503A" w:rsidRPr="00E21577">
        <w:rPr>
          <w:spacing w:val="-2"/>
          <w:lang w:val="es-ES_tradnl"/>
        </w:rPr>
        <w:t>de</w:t>
      </w:r>
      <w:r w:rsidR="00297D71" w:rsidRPr="00E21577">
        <w:rPr>
          <w:spacing w:val="-2"/>
          <w:lang w:val="es-ES_tradnl"/>
        </w:rPr>
        <w:t xml:space="preserve"> </w:t>
      </w:r>
      <w:r w:rsidR="0034503A" w:rsidRPr="00E21577">
        <w:rPr>
          <w:spacing w:val="-2"/>
          <w:lang w:val="es-ES_tradnl"/>
        </w:rPr>
        <w:t xml:space="preserve">3,6 millones de francos suizos </w:t>
      </w:r>
      <w:r w:rsidRPr="00E21577">
        <w:rPr>
          <w:spacing w:val="-2"/>
          <w:lang w:val="es-ES_tradnl"/>
        </w:rPr>
        <w:t xml:space="preserve">declarados en </w:t>
      </w:r>
      <w:r w:rsidR="00920456" w:rsidRPr="00E21577">
        <w:rPr>
          <w:spacing w:val="-2"/>
          <w:lang w:val="es-ES_tradnl"/>
        </w:rPr>
        <w:t xml:space="preserve">este </w:t>
      </w:r>
      <w:r w:rsidRPr="00E21577">
        <w:rPr>
          <w:spacing w:val="-2"/>
          <w:lang w:val="es-ES_tradnl"/>
        </w:rPr>
        <w:t>ejercicio</w:t>
      </w:r>
      <w:r w:rsidR="00920456" w:rsidRPr="00E21577">
        <w:rPr>
          <w:spacing w:val="-2"/>
          <w:lang w:val="es-ES_tradnl"/>
        </w:rPr>
        <w:t xml:space="preserve"> se hallan en consonancia </w:t>
      </w:r>
      <w:r w:rsidRPr="00E21577">
        <w:rPr>
          <w:spacing w:val="-2"/>
          <w:lang w:val="es-ES_tradnl"/>
        </w:rPr>
        <w:t xml:space="preserve">con </w:t>
      </w:r>
      <w:r w:rsidR="00920456" w:rsidRPr="00E21577">
        <w:rPr>
          <w:color w:val="auto"/>
          <w:spacing w:val="-2"/>
          <w:lang w:val="es-ES_tradnl"/>
        </w:rPr>
        <w:t xml:space="preserve">los del ejercicio anterior </w:t>
      </w:r>
      <w:r w:rsidRPr="00E21577">
        <w:rPr>
          <w:spacing w:val="-2"/>
          <w:lang w:val="es-ES_tradnl"/>
        </w:rPr>
        <w:t>(</w:t>
      </w:r>
      <w:r w:rsidR="007C4F4D" w:rsidRPr="00E21577">
        <w:rPr>
          <w:spacing w:val="-2"/>
          <w:lang w:val="es-ES_tradnl"/>
        </w:rPr>
        <w:t>3,6 millones de francos suizos</w:t>
      </w:r>
      <w:r w:rsidR="00920456" w:rsidRPr="00E21577">
        <w:rPr>
          <w:spacing w:val="-2"/>
          <w:lang w:val="es-ES_tradnl"/>
        </w:rPr>
        <w:t xml:space="preserve"> en</w:t>
      </w:r>
      <w:r w:rsidR="00297D71" w:rsidRPr="00E21577">
        <w:rPr>
          <w:spacing w:val="-2"/>
          <w:lang w:val="es-ES_tradnl"/>
        </w:rPr>
        <w:t xml:space="preserve"> </w:t>
      </w:r>
      <w:r w:rsidR="00920456" w:rsidRPr="00E21577">
        <w:rPr>
          <w:spacing w:val="-2"/>
          <w:lang w:val="es-ES_tradnl"/>
        </w:rPr>
        <w:t>2017</w:t>
      </w:r>
      <w:r w:rsidRPr="00E21577">
        <w:rPr>
          <w:spacing w:val="-2"/>
          <w:lang w:val="es-ES_tradnl"/>
        </w:rPr>
        <w:t>).</w:t>
      </w:r>
      <w:r w:rsidR="00E124B9" w:rsidRPr="00E21577">
        <w:rPr>
          <w:spacing w:val="-2"/>
          <w:lang w:val="es-ES_tradnl"/>
        </w:rPr>
        <w:t xml:space="preserve"> </w:t>
      </w:r>
      <w:r w:rsidR="00954526" w:rsidRPr="00E21577">
        <w:rPr>
          <w:spacing w:val="-2"/>
          <w:lang w:val="es-ES_tradnl"/>
        </w:rPr>
        <w:t xml:space="preserve"> </w:t>
      </w:r>
      <w:r w:rsidR="001D3D5D" w:rsidRPr="00E21577">
        <w:rPr>
          <w:spacing w:val="-2"/>
          <w:lang w:val="es-ES_tradnl"/>
        </w:rPr>
        <w:t xml:space="preserve">El aumento </w:t>
      </w:r>
      <w:r w:rsidR="00EA03C7" w:rsidRPr="00E21577">
        <w:rPr>
          <w:spacing w:val="-2"/>
          <w:lang w:val="es-ES_tradnl"/>
        </w:rPr>
        <w:t>de</w:t>
      </w:r>
      <w:r w:rsidR="00920456" w:rsidRPr="00E21577">
        <w:rPr>
          <w:spacing w:val="-2"/>
          <w:lang w:val="es-ES_tradnl"/>
        </w:rPr>
        <w:t xml:space="preserve"> </w:t>
      </w:r>
      <w:r w:rsidR="001D3D5D" w:rsidRPr="00E21577">
        <w:rPr>
          <w:spacing w:val="-2"/>
          <w:lang w:val="es-ES_tradnl"/>
        </w:rPr>
        <w:t xml:space="preserve">los ingresos </w:t>
      </w:r>
      <w:r w:rsidR="00920456" w:rsidRPr="00E21577">
        <w:rPr>
          <w:spacing w:val="-2"/>
          <w:lang w:val="es-ES_tradnl"/>
        </w:rPr>
        <w:t>extrapresupuestario</w:t>
      </w:r>
      <w:r w:rsidR="001D3D5D" w:rsidRPr="00E21577">
        <w:rPr>
          <w:spacing w:val="-2"/>
          <w:lang w:val="es-ES_tradnl"/>
        </w:rPr>
        <w:t>s,</w:t>
      </w:r>
      <w:r w:rsidR="00920456" w:rsidRPr="00E21577">
        <w:rPr>
          <w:spacing w:val="-2"/>
          <w:lang w:val="es-ES_tradnl"/>
        </w:rPr>
        <w:t xml:space="preserve"> </w:t>
      </w:r>
      <w:r w:rsidR="001D3D5D" w:rsidRPr="00E21577">
        <w:rPr>
          <w:spacing w:val="-2"/>
          <w:lang w:val="es-ES_tradnl"/>
        </w:rPr>
        <w:t>de</w:t>
      </w:r>
      <w:r w:rsidR="00297D71" w:rsidRPr="00E21577">
        <w:rPr>
          <w:spacing w:val="-2"/>
          <w:lang w:val="es-ES_tradnl"/>
        </w:rPr>
        <w:t xml:space="preserve"> </w:t>
      </w:r>
      <w:r w:rsidR="00920456" w:rsidRPr="00E21577">
        <w:rPr>
          <w:spacing w:val="-2"/>
          <w:lang w:val="es-ES_tradnl"/>
        </w:rPr>
        <w:t>258.000 a</w:t>
      </w:r>
      <w:r w:rsidR="00297D71" w:rsidRPr="00E21577">
        <w:rPr>
          <w:spacing w:val="-2"/>
          <w:lang w:val="es-ES_tradnl"/>
        </w:rPr>
        <w:t xml:space="preserve"> </w:t>
      </w:r>
      <w:r w:rsidR="00954526" w:rsidRPr="00E21577">
        <w:rPr>
          <w:spacing w:val="-2"/>
          <w:lang w:val="es-ES_tradnl"/>
        </w:rPr>
        <w:t>282.000 </w:t>
      </w:r>
      <w:r w:rsidR="00920456" w:rsidRPr="00E21577">
        <w:rPr>
          <w:spacing w:val="-2"/>
          <w:lang w:val="es-ES_tradnl"/>
        </w:rPr>
        <w:t>francos</w:t>
      </w:r>
      <w:r w:rsidR="00920456" w:rsidRPr="00E21577">
        <w:rPr>
          <w:lang w:val="es-ES_tradnl"/>
        </w:rPr>
        <w:t xml:space="preserve"> suizos</w:t>
      </w:r>
      <w:r w:rsidR="001D3D5D" w:rsidRPr="00E21577">
        <w:rPr>
          <w:lang w:val="es-ES_tradnl"/>
        </w:rPr>
        <w:t>,</w:t>
      </w:r>
      <w:r w:rsidR="00920456" w:rsidRPr="00E21577">
        <w:rPr>
          <w:lang w:val="es-ES_tradnl"/>
        </w:rPr>
        <w:t xml:space="preserve"> </w:t>
      </w:r>
      <w:r w:rsidR="002165FA" w:rsidRPr="00E21577">
        <w:rPr>
          <w:lang w:val="es-ES_tradnl"/>
        </w:rPr>
        <w:t xml:space="preserve">se </w:t>
      </w:r>
      <w:r w:rsidR="008D0BEB" w:rsidRPr="00E21577">
        <w:rPr>
          <w:lang w:val="es-ES_tradnl"/>
        </w:rPr>
        <w:t>explica</w:t>
      </w:r>
      <w:r w:rsidR="00920456" w:rsidRPr="00E21577">
        <w:rPr>
          <w:lang w:val="es-ES_tradnl"/>
        </w:rPr>
        <w:t xml:space="preserve"> principalmente </w:t>
      </w:r>
      <w:r w:rsidR="008D0BEB" w:rsidRPr="00E21577">
        <w:rPr>
          <w:lang w:val="es-ES_tradnl"/>
        </w:rPr>
        <w:t xml:space="preserve">por </w:t>
      </w:r>
      <w:r w:rsidR="002165FA" w:rsidRPr="00E21577">
        <w:rPr>
          <w:lang w:val="es-ES_tradnl"/>
        </w:rPr>
        <w:t xml:space="preserve">las aportaciones </w:t>
      </w:r>
      <w:r w:rsidR="00920456" w:rsidRPr="00E21577">
        <w:rPr>
          <w:lang w:val="es-ES_tradnl"/>
        </w:rPr>
        <w:t>adicional</w:t>
      </w:r>
      <w:r w:rsidR="002165FA" w:rsidRPr="00E21577">
        <w:rPr>
          <w:lang w:val="es-ES_tradnl"/>
        </w:rPr>
        <w:t>es</w:t>
      </w:r>
      <w:r w:rsidR="00920456" w:rsidRPr="00E21577">
        <w:rPr>
          <w:lang w:val="es-ES_tradnl"/>
        </w:rPr>
        <w:t xml:space="preserve"> </w:t>
      </w:r>
      <w:r w:rsidR="002165FA" w:rsidRPr="00E21577">
        <w:rPr>
          <w:lang w:val="es-ES_tradnl"/>
        </w:rPr>
        <w:t xml:space="preserve">de la </w:t>
      </w:r>
      <w:r w:rsidR="00920456" w:rsidRPr="00E21577">
        <w:rPr>
          <w:i/>
          <w:lang w:val="es-ES_tradnl"/>
        </w:rPr>
        <w:t>International Seed Federation</w:t>
      </w:r>
      <w:r w:rsidR="00920456" w:rsidRPr="00E21577">
        <w:rPr>
          <w:lang w:val="es-ES_tradnl"/>
        </w:rPr>
        <w:t xml:space="preserve">, los Estados Unidos de América y </w:t>
      </w:r>
      <w:r w:rsidR="00954526" w:rsidRPr="00E21577">
        <w:rPr>
          <w:lang w:val="es-ES_tradnl"/>
        </w:rPr>
        <w:t>el </w:t>
      </w:r>
      <w:r w:rsidR="00920456" w:rsidRPr="00E21577">
        <w:rPr>
          <w:lang w:val="es-ES_tradnl"/>
        </w:rPr>
        <w:t>Japón</w:t>
      </w:r>
      <w:r w:rsidR="002165FA" w:rsidRPr="00E21577">
        <w:rPr>
          <w:lang w:val="es-ES_tradnl"/>
        </w:rPr>
        <w:t>,</w:t>
      </w:r>
      <w:r w:rsidR="00920456" w:rsidRPr="00E21577">
        <w:rPr>
          <w:lang w:val="es-ES_tradnl"/>
        </w:rPr>
        <w:t xml:space="preserve"> </w:t>
      </w:r>
      <w:r w:rsidR="002165FA" w:rsidRPr="00E21577">
        <w:rPr>
          <w:lang w:val="es-ES_tradnl"/>
        </w:rPr>
        <w:t xml:space="preserve">que </w:t>
      </w:r>
      <w:r w:rsidR="001E65CA" w:rsidRPr="00E21577">
        <w:rPr>
          <w:lang w:val="es-ES_tradnl"/>
        </w:rPr>
        <w:t xml:space="preserve">compensaron </w:t>
      </w:r>
      <w:r w:rsidR="002165FA" w:rsidRPr="00E21577">
        <w:rPr>
          <w:lang w:val="es-ES_tradnl"/>
        </w:rPr>
        <w:t>un</w:t>
      </w:r>
      <w:r w:rsidR="00920456" w:rsidRPr="00E21577">
        <w:rPr>
          <w:lang w:val="es-ES_tradnl"/>
        </w:rPr>
        <w:t xml:space="preserve">a </w:t>
      </w:r>
      <w:r w:rsidR="00283E2D" w:rsidRPr="00E21577">
        <w:rPr>
          <w:lang w:val="es-ES_tradnl"/>
        </w:rPr>
        <w:t xml:space="preserve">disminución </w:t>
      </w:r>
      <w:r w:rsidR="002165FA" w:rsidRPr="00E21577">
        <w:rPr>
          <w:lang w:val="es-ES_tradnl"/>
        </w:rPr>
        <w:t xml:space="preserve">de las </w:t>
      </w:r>
      <w:r w:rsidR="00920456" w:rsidRPr="00E21577">
        <w:rPr>
          <w:lang w:val="es-ES_tradnl"/>
        </w:rPr>
        <w:t>contribuciones</w:t>
      </w:r>
      <w:r w:rsidR="002165FA" w:rsidRPr="00E21577">
        <w:rPr>
          <w:lang w:val="es-ES_tradnl"/>
        </w:rPr>
        <w:t xml:space="preserve"> de los </w:t>
      </w:r>
      <w:r w:rsidR="00920456" w:rsidRPr="00E21577">
        <w:rPr>
          <w:lang w:val="es-ES_tradnl"/>
        </w:rPr>
        <w:t xml:space="preserve">miembros </w:t>
      </w:r>
      <w:r w:rsidR="002165FA" w:rsidRPr="00E21577">
        <w:rPr>
          <w:lang w:val="es-ES_tradnl"/>
        </w:rPr>
        <w:t>de</w:t>
      </w:r>
      <w:r w:rsidR="00297D71" w:rsidRPr="00E21577">
        <w:rPr>
          <w:lang w:val="es-ES_tradnl"/>
        </w:rPr>
        <w:t xml:space="preserve"> </w:t>
      </w:r>
      <w:r w:rsidR="00920456" w:rsidRPr="00E21577">
        <w:rPr>
          <w:lang w:val="es-ES_tradnl"/>
        </w:rPr>
        <w:t>3,37 a</w:t>
      </w:r>
      <w:r w:rsidR="00297D71" w:rsidRPr="00E21577">
        <w:rPr>
          <w:lang w:val="es-ES_tradnl"/>
        </w:rPr>
        <w:t xml:space="preserve"> </w:t>
      </w:r>
      <w:r w:rsidR="00920456" w:rsidRPr="00E21577">
        <w:rPr>
          <w:lang w:val="es-ES_tradnl"/>
        </w:rPr>
        <w:t>3,32</w:t>
      </w:r>
      <w:r w:rsidR="00297D71" w:rsidRPr="00E21577">
        <w:rPr>
          <w:lang w:val="es-ES_tradnl"/>
        </w:rPr>
        <w:t xml:space="preserve"> </w:t>
      </w:r>
      <w:r w:rsidR="00920456" w:rsidRPr="00E21577">
        <w:rPr>
          <w:lang w:val="es-ES_tradnl"/>
        </w:rPr>
        <w:t xml:space="preserve">millones de francos suizos </w:t>
      </w:r>
      <w:r w:rsidR="008D0BEB" w:rsidRPr="00E21577">
        <w:rPr>
          <w:lang w:val="es-ES_tradnl"/>
        </w:rPr>
        <w:t>debida a</w:t>
      </w:r>
      <w:r w:rsidR="0074499A" w:rsidRPr="00E21577">
        <w:rPr>
          <w:lang w:val="es-ES_tradnl"/>
        </w:rPr>
        <w:t>l</w:t>
      </w:r>
      <w:r w:rsidR="00920456" w:rsidRPr="00E21577">
        <w:rPr>
          <w:lang w:val="es-ES_tradnl"/>
        </w:rPr>
        <w:t xml:space="preserve"> </w:t>
      </w:r>
      <w:r w:rsidR="0074499A" w:rsidRPr="00E21577">
        <w:rPr>
          <w:lang w:val="es-ES_tradnl"/>
        </w:rPr>
        <w:t>importe</w:t>
      </w:r>
      <w:r w:rsidR="002165FA" w:rsidRPr="00E21577">
        <w:rPr>
          <w:lang w:val="es-ES_tradnl"/>
        </w:rPr>
        <w:t xml:space="preserve"> </w:t>
      </w:r>
      <w:r w:rsidR="00EA03C7" w:rsidRPr="00E21577">
        <w:rPr>
          <w:lang w:val="es-ES_tradnl"/>
        </w:rPr>
        <w:t>adeudad</w:t>
      </w:r>
      <w:r w:rsidR="0074499A" w:rsidRPr="00E21577">
        <w:rPr>
          <w:lang w:val="es-ES_tradnl"/>
        </w:rPr>
        <w:t>o</w:t>
      </w:r>
      <w:r w:rsidR="002165FA" w:rsidRPr="00E21577">
        <w:rPr>
          <w:lang w:val="es-ES_tradnl"/>
        </w:rPr>
        <w:t xml:space="preserve"> </w:t>
      </w:r>
      <w:r w:rsidR="00EA03C7" w:rsidRPr="00E21577">
        <w:rPr>
          <w:lang w:val="es-ES_tradnl"/>
        </w:rPr>
        <w:t>por</w:t>
      </w:r>
      <w:r w:rsidR="00920456" w:rsidRPr="00E21577">
        <w:rPr>
          <w:lang w:val="es-ES_tradnl"/>
        </w:rPr>
        <w:t xml:space="preserve"> un </w:t>
      </w:r>
      <w:r w:rsidR="002165FA" w:rsidRPr="00E21577">
        <w:rPr>
          <w:lang w:val="es-ES_tradnl"/>
        </w:rPr>
        <w:t xml:space="preserve">miembro </w:t>
      </w:r>
      <w:r w:rsidR="00920456" w:rsidRPr="00E21577">
        <w:rPr>
          <w:lang w:val="es-ES_tradnl"/>
        </w:rPr>
        <w:t>(</w:t>
      </w:r>
      <w:r w:rsidR="00A90E85" w:rsidRPr="00E21577">
        <w:rPr>
          <w:lang w:val="es-ES_tradnl"/>
        </w:rPr>
        <w:t>54.000 francos suizos</w:t>
      </w:r>
      <w:r w:rsidR="00920456" w:rsidRPr="00E21577">
        <w:rPr>
          <w:lang w:val="es-ES_tradnl"/>
        </w:rPr>
        <w:t>)</w:t>
      </w:r>
      <w:r w:rsidR="001E65CA" w:rsidRPr="00E21577">
        <w:rPr>
          <w:lang w:val="es-ES_tradnl"/>
        </w:rPr>
        <w:t xml:space="preserve">, contrarrestado </w:t>
      </w:r>
      <w:r w:rsidR="0074499A" w:rsidRPr="00E21577">
        <w:rPr>
          <w:lang w:val="es-ES_tradnl"/>
        </w:rPr>
        <w:t xml:space="preserve">a su vez </w:t>
      </w:r>
      <w:r w:rsidR="00920456" w:rsidRPr="00E21577">
        <w:rPr>
          <w:lang w:val="es-ES_tradnl"/>
        </w:rPr>
        <w:t xml:space="preserve">por </w:t>
      </w:r>
      <w:r w:rsidR="002165FA" w:rsidRPr="00E21577">
        <w:rPr>
          <w:lang w:val="es-ES_tradnl"/>
        </w:rPr>
        <w:t>las aportaciones de un</w:t>
      </w:r>
      <w:r w:rsidR="00920456" w:rsidRPr="00E21577">
        <w:rPr>
          <w:lang w:val="es-ES_tradnl"/>
        </w:rPr>
        <w:t xml:space="preserve"> nuevo </w:t>
      </w:r>
      <w:r w:rsidR="002165FA" w:rsidRPr="00E21577">
        <w:rPr>
          <w:lang w:val="es-ES_tradnl"/>
        </w:rPr>
        <w:t xml:space="preserve">miembro </w:t>
      </w:r>
      <w:r w:rsidR="00920456" w:rsidRPr="00E21577">
        <w:rPr>
          <w:lang w:val="es-ES_tradnl"/>
        </w:rPr>
        <w:t>(</w:t>
      </w:r>
      <w:r w:rsidR="00A90E85" w:rsidRPr="00E21577">
        <w:rPr>
          <w:lang w:val="es-ES_tradnl"/>
        </w:rPr>
        <w:t>11.000 francos suizos</w:t>
      </w:r>
      <w:r w:rsidR="00920456" w:rsidRPr="00E21577">
        <w:rPr>
          <w:lang w:val="es-ES_tradnl"/>
        </w:rPr>
        <w:t>).</w:t>
      </w:r>
      <w:r w:rsidR="00E124B9" w:rsidRPr="00E21577">
        <w:rPr>
          <w:lang w:val="es-ES_tradnl"/>
        </w:rPr>
        <w:t xml:space="preserve"> </w:t>
      </w:r>
      <w:r w:rsidR="00954526" w:rsidRPr="00E21577">
        <w:rPr>
          <w:lang w:val="es-ES_tradnl"/>
        </w:rPr>
        <w:t xml:space="preserve"> </w:t>
      </w:r>
      <w:r w:rsidR="004F6380" w:rsidRPr="00E21577">
        <w:rPr>
          <w:lang w:val="es-ES_tradnl"/>
        </w:rPr>
        <w:t>El gasto</w:t>
      </w:r>
      <w:r w:rsidR="00926EFF" w:rsidRPr="00E21577">
        <w:rPr>
          <w:lang w:val="es-ES_tradnl"/>
        </w:rPr>
        <w:t xml:space="preserve"> disminuy</w:t>
      </w:r>
      <w:r w:rsidR="004F6380" w:rsidRPr="00E21577">
        <w:rPr>
          <w:lang w:val="es-ES_tradnl"/>
        </w:rPr>
        <w:t>ó</w:t>
      </w:r>
      <w:r w:rsidR="002165FA" w:rsidRPr="00E21577">
        <w:rPr>
          <w:lang w:val="es-ES_tradnl"/>
        </w:rPr>
        <w:t xml:space="preserve"> </w:t>
      </w:r>
      <w:r w:rsidR="00926EFF" w:rsidRPr="00E21577">
        <w:rPr>
          <w:lang w:val="es-ES_tradnl"/>
        </w:rPr>
        <w:t>de</w:t>
      </w:r>
      <w:r w:rsidR="00297D71" w:rsidRPr="00E21577">
        <w:rPr>
          <w:lang w:val="es-ES_tradnl"/>
        </w:rPr>
        <w:t xml:space="preserve"> </w:t>
      </w:r>
      <w:r w:rsidR="002165FA" w:rsidRPr="00E21577">
        <w:rPr>
          <w:lang w:val="es-ES_tradnl"/>
        </w:rPr>
        <w:t>3,9 millones de francos suizos en</w:t>
      </w:r>
      <w:r w:rsidR="00297D71" w:rsidRPr="00E21577">
        <w:rPr>
          <w:lang w:val="es-ES_tradnl"/>
        </w:rPr>
        <w:t xml:space="preserve"> </w:t>
      </w:r>
      <w:r w:rsidR="002165FA" w:rsidRPr="00E21577">
        <w:rPr>
          <w:lang w:val="es-ES_tradnl"/>
        </w:rPr>
        <w:t>2017 a</w:t>
      </w:r>
      <w:r w:rsidR="00297D71" w:rsidRPr="00E21577">
        <w:rPr>
          <w:lang w:val="es-ES_tradnl"/>
        </w:rPr>
        <w:t xml:space="preserve"> </w:t>
      </w:r>
      <w:r w:rsidR="002165FA" w:rsidRPr="00E21577">
        <w:rPr>
          <w:lang w:val="es-ES_tradnl"/>
        </w:rPr>
        <w:t>3</w:t>
      </w:r>
      <w:r w:rsidR="00926EFF" w:rsidRPr="00E21577">
        <w:rPr>
          <w:lang w:val="es-ES_tradnl"/>
        </w:rPr>
        <w:t>,</w:t>
      </w:r>
      <w:r w:rsidR="002165FA" w:rsidRPr="00E21577">
        <w:rPr>
          <w:lang w:val="es-ES_tradnl"/>
        </w:rPr>
        <w:t>7 millones</w:t>
      </w:r>
      <w:r w:rsidR="00926EFF" w:rsidRPr="00E21577">
        <w:rPr>
          <w:lang w:val="es-ES_tradnl"/>
        </w:rPr>
        <w:t xml:space="preserve">, </w:t>
      </w:r>
      <w:r w:rsidR="002165FA" w:rsidRPr="00E21577">
        <w:rPr>
          <w:lang w:val="es-ES_tradnl"/>
        </w:rPr>
        <w:t xml:space="preserve">principalmente a </w:t>
      </w:r>
      <w:r w:rsidR="004F6380" w:rsidRPr="00E21577">
        <w:rPr>
          <w:lang w:val="es-ES_tradnl"/>
        </w:rPr>
        <w:t xml:space="preserve">causa de </w:t>
      </w:r>
      <w:r w:rsidR="00926EFF" w:rsidRPr="00E21577">
        <w:rPr>
          <w:lang w:val="es-ES_tradnl"/>
        </w:rPr>
        <w:t xml:space="preserve">la reducción </w:t>
      </w:r>
      <w:r w:rsidR="001A5A2F" w:rsidRPr="00E21577">
        <w:rPr>
          <w:lang w:val="es-ES_tradnl"/>
        </w:rPr>
        <w:t>de</w:t>
      </w:r>
      <w:r w:rsidR="002165FA" w:rsidRPr="00E21577">
        <w:rPr>
          <w:lang w:val="es-ES_tradnl"/>
        </w:rPr>
        <w:t xml:space="preserve"> </w:t>
      </w:r>
      <w:r w:rsidR="00926EFF" w:rsidRPr="00E21577">
        <w:rPr>
          <w:lang w:val="es-ES_tradnl"/>
        </w:rPr>
        <w:t xml:space="preserve">los </w:t>
      </w:r>
      <w:r w:rsidR="002165FA" w:rsidRPr="00E21577">
        <w:rPr>
          <w:lang w:val="es-ES_tradnl"/>
        </w:rPr>
        <w:t xml:space="preserve">servicios contractuales, entre </w:t>
      </w:r>
      <w:r w:rsidR="00820E1B" w:rsidRPr="00E21577">
        <w:rPr>
          <w:lang w:val="es-ES_tradnl"/>
        </w:rPr>
        <w:t>ell</w:t>
      </w:r>
      <w:r w:rsidR="002165FA" w:rsidRPr="00E21577">
        <w:rPr>
          <w:lang w:val="es-ES_tradnl"/>
        </w:rPr>
        <w:t>os</w:t>
      </w:r>
      <w:r w:rsidR="00926EFF" w:rsidRPr="00E21577">
        <w:rPr>
          <w:lang w:val="es-ES_tradnl"/>
        </w:rPr>
        <w:t xml:space="preserve"> los</w:t>
      </w:r>
      <w:r w:rsidR="002165FA" w:rsidRPr="00E21577">
        <w:rPr>
          <w:lang w:val="es-ES_tradnl"/>
        </w:rPr>
        <w:t xml:space="preserve"> tra</w:t>
      </w:r>
      <w:r w:rsidR="00926EFF" w:rsidRPr="00E21577">
        <w:rPr>
          <w:lang w:val="es-ES_tradnl"/>
        </w:rPr>
        <w:t>ductores</w:t>
      </w:r>
      <w:r w:rsidR="002165FA" w:rsidRPr="00E21577">
        <w:rPr>
          <w:lang w:val="es-ES_tradnl"/>
        </w:rPr>
        <w:t xml:space="preserve"> </w:t>
      </w:r>
      <w:r w:rsidR="00926EFF" w:rsidRPr="00E21577">
        <w:rPr>
          <w:lang w:val="es-ES_tradnl"/>
        </w:rPr>
        <w:t xml:space="preserve">e </w:t>
      </w:r>
      <w:r w:rsidR="002165FA" w:rsidRPr="00E21577">
        <w:rPr>
          <w:lang w:val="es-ES_tradnl"/>
        </w:rPr>
        <w:t>int</w:t>
      </w:r>
      <w:r w:rsidR="00926EFF" w:rsidRPr="00E21577">
        <w:rPr>
          <w:lang w:val="es-ES_tradnl"/>
        </w:rPr>
        <w:t>é</w:t>
      </w:r>
      <w:r w:rsidR="002165FA" w:rsidRPr="00E21577">
        <w:rPr>
          <w:lang w:val="es-ES_tradnl"/>
        </w:rPr>
        <w:t>rpretes.</w:t>
      </w:r>
    </w:p>
    <w:p w:rsidR="00C91841" w:rsidRPr="00E21577" w:rsidRDefault="00152FD2" w:rsidP="00540198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En los últimos cuatro años, la</w:t>
      </w:r>
      <w:r w:rsidR="00297D71" w:rsidRPr="00E21577">
        <w:rPr>
          <w:lang w:val="es-ES_tradnl"/>
        </w:rPr>
        <w:t xml:space="preserve"> </w:t>
      </w:r>
      <w:r w:rsidR="00926EFF" w:rsidRPr="00E21577">
        <w:rPr>
          <w:lang w:val="es-ES_tradnl"/>
        </w:rPr>
        <w:t xml:space="preserve">UPOV ha </w:t>
      </w:r>
      <w:r w:rsidRPr="00E21577">
        <w:rPr>
          <w:lang w:val="es-ES_tradnl"/>
        </w:rPr>
        <w:t>gozado de un</w:t>
      </w:r>
      <w:r w:rsidR="00926EFF" w:rsidRPr="00E21577">
        <w:rPr>
          <w:lang w:val="es-ES_tradnl"/>
        </w:rPr>
        <w:t xml:space="preserve">a </w:t>
      </w:r>
      <w:r w:rsidRPr="00E21577">
        <w:rPr>
          <w:lang w:val="es-ES_tradnl"/>
        </w:rPr>
        <w:t xml:space="preserve">sólida </w:t>
      </w:r>
      <w:r w:rsidR="00926EFF" w:rsidRPr="00E21577">
        <w:rPr>
          <w:lang w:val="es-ES_tradnl"/>
        </w:rPr>
        <w:t>situación financiera.</w:t>
      </w:r>
      <w:r w:rsidR="00E124B9" w:rsidRPr="00E21577">
        <w:rPr>
          <w:lang w:val="es-ES_tradnl"/>
        </w:rPr>
        <w:t xml:space="preserve"> </w:t>
      </w:r>
      <w:r w:rsidR="00954526" w:rsidRPr="00E21577">
        <w:rPr>
          <w:lang w:val="es-ES_tradnl"/>
        </w:rPr>
        <w:t xml:space="preserve"> </w:t>
      </w:r>
      <w:r w:rsidR="009D4186" w:rsidRPr="00E21577">
        <w:rPr>
          <w:lang w:val="es-ES_tradnl"/>
        </w:rPr>
        <w:t>Aunque el activo</w:t>
      </w:r>
      <w:r w:rsidR="000E26F5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total ha </w:t>
      </w:r>
      <w:r w:rsidR="009D4186" w:rsidRPr="00E21577">
        <w:rPr>
          <w:lang w:val="es-ES_tradnl"/>
        </w:rPr>
        <w:t>disminuido en un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6</w:t>
      </w:r>
      <w:r w:rsidR="009D4186" w:rsidRPr="00E21577">
        <w:rPr>
          <w:lang w:val="es-ES_tradnl"/>
        </w:rPr>
        <w:t>,1</w:t>
      </w:r>
      <w:r w:rsidRPr="00E21577">
        <w:rPr>
          <w:lang w:val="es-ES_tradnl"/>
        </w:rPr>
        <w:t xml:space="preserve">% durante este período </w:t>
      </w:r>
      <w:r w:rsidR="009D4186" w:rsidRPr="00E21577">
        <w:rPr>
          <w:lang w:val="es-ES_tradnl"/>
        </w:rPr>
        <w:t>(de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4,7 a</w:t>
      </w:r>
      <w:r w:rsidR="00297D71" w:rsidRPr="00E21577">
        <w:rPr>
          <w:lang w:val="es-ES_tradnl"/>
        </w:rPr>
        <w:t xml:space="preserve"> </w:t>
      </w:r>
      <w:r w:rsidR="009F53C0" w:rsidRPr="00E21577">
        <w:rPr>
          <w:lang w:val="es-ES_tradnl"/>
        </w:rPr>
        <w:t>4,4 millones de francos suizos</w:t>
      </w:r>
      <w:r w:rsidR="009D4186" w:rsidRPr="00E21577">
        <w:rPr>
          <w:lang w:val="es-ES_tradnl"/>
        </w:rPr>
        <w:t>)</w:t>
      </w:r>
      <w:r w:rsidRPr="00E21577">
        <w:rPr>
          <w:lang w:val="es-ES_tradnl"/>
        </w:rPr>
        <w:t xml:space="preserve">, </w:t>
      </w:r>
      <w:r w:rsidR="009D4186" w:rsidRPr="00E21577">
        <w:rPr>
          <w:lang w:val="es-ES_tradnl"/>
        </w:rPr>
        <w:t xml:space="preserve">el pasivo </w:t>
      </w:r>
      <w:r w:rsidRPr="00E21577">
        <w:rPr>
          <w:lang w:val="es-ES_tradnl"/>
        </w:rPr>
        <w:t xml:space="preserve">total </w:t>
      </w:r>
      <w:r w:rsidR="009D4186" w:rsidRPr="00E21577">
        <w:rPr>
          <w:lang w:val="es-ES_tradnl"/>
        </w:rPr>
        <w:t xml:space="preserve">se ha </w:t>
      </w:r>
      <w:r w:rsidRPr="00E21577">
        <w:rPr>
          <w:lang w:val="es-ES_tradnl"/>
        </w:rPr>
        <w:t>incre</w:t>
      </w:r>
      <w:r w:rsidR="009D4186" w:rsidRPr="00E21577">
        <w:rPr>
          <w:lang w:val="es-ES_tradnl"/>
        </w:rPr>
        <w:t>mentado en un</w:t>
      </w:r>
      <w:r w:rsidR="00297D71" w:rsidRPr="00E21577">
        <w:rPr>
          <w:lang w:val="es-ES_tradnl"/>
        </w:rPr>
        <w:t xml:space="preserve"> </w:t>
      </w:r>
      <w:r w:rsidR="009D4186" w:rsidRPr="00E21577">
        <w:rPr>
          <w:lang w:val="es-ES_tradnl"/>
        </w:rPr>
        <w:t>22,8</w:t>
      </w:r>
      <w:r w:rsidRPr="00E21577">
        <w:rPr>
          <w:lang w:val="es-ES_tradnl"/>
        </w:rPr>
        <w:t xml:space="preserve">% </w:t>
      </w:r>
      <w:r w:rsidR="009D4186" w:rsidRPr="00E21577">
        <w:rPr>
          <w:lang w:val="es-ES_tradnl"/>
        </w:rPr>
        <w:t>(de</w:t>
      </w:r>
      <w:r w:rsidR="00297D71" w:rsidRPr="00E21577">
        <w:rPr>
          <w:lang w:val="es-ES_tradnl"/>
        </w:rPr>
        <w:t xml:space="preserve"> </w:t>
      </w:r>
      <w:r w:rsidR="00C82C6F" w:rsidRPr="00E21577">
        <w:rPr>
          <w:lang w:val="es-ES_tradnl"/>
        </w:rPr>
        <w:t xml:space="preserve">3,0 </w:t>
      </w:r>
      <w:r w:rsidRPr="00E21577">
        <w:rPr>
          <w:lang w:val="es-ES_tradnl"/>
        </w:rPr>
        <w:t>a</w:t>
      </w:r>
      <w:r w:rsidR="00297D71" w:rsidRPr="00E21577">
        <w:rPr>
          <w:lang w:val="es-ES_tradnl"/>
        </w:rPr>
        <w:t xml:space="preserve"> </w:t>
      </w:r>
      <w:r w:rsidR="00D95ABF" w:rsidRPr="00E21577">
        <w:rPr>
          <w:lang w:val="es-ES_tradnl"/>
        </w:rPr>
        <w:t>3,7 millones de francos suizos</w:t>
      </w:r>
      <w:r w:rsidR="009D4186" w:rsidRPr="00E21577">
        <w:rPr>
          <w:lang w:val="es-ES_tradnl"/>
        </w:rPr>
        <w:t>)</w:t>
      </w:r>
      <w:r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954526" w:rsidRPr="00E21577">
        <w:rPr>
          <w:lang w:val="es-ES_tradnl"/>
        </w:rPr>
        <w:t xml:space="preserve"> </w:t>
      </w:r>
      <w:r w:rsidR="00022EFA" w:rsidRPr="00E21577">
        <w:rPr>
          <w:lang w:val="es-ES_tradnl"/>
        </w:rPr>
        <w:t>La causa</w:t>
      </w:r>
      <w:r w:rsidR="000D5989" w:rsidRPr="00E21577">
        <w:rPr>
          <w:lang w:val="es-ES_tradnl"/>
        </w:rPr>
        <w:t xml:space="preserve"> </w:t>
      </w:r>
      <w:r w:rsidR="009D4186" w:rsidRPr="00E21577">
        <w:rPr>
          <w:lang w:val="es-ES_tradnl"/>
        </w:rPr>
        <w:t>principal</w:t>
      </w:r>
      <w:r w:rsidR="00793936" w:rsidRPr="00E21577">
        <w:rPr>
          <w:lang w:val="es-ES_tradnl"/>
        </w:rPr>
        <w:t xml:space="preserve"> es e</w:t>
      </w:r>
      <w:r w:rsidR="000D5989" w:rsidRPr="00E21577">
        <w:rPr>
          <w:lang w:val="es-ES_tradnl"/>
        </w:rPr>
        <w:t>l</w:t>
      </w:r>
      <w:r w:rsidR="009D4186" w:rsidRPr="00E21577">
        <w:rPr>
          <w:lang w:val="es-ES_tradnl"/>
        </w:rPr>
        <w:t xml:space="preserve"> </w:t>
      </w:r>
      <w:r w:rsidR="000D5989" w:rsidRPr="00E21577">
        <w:rPr>
          <w:lang w:val="es-ES_tradnl"/>
        </w:rPr>
        <w:t>aum</w:t>
      </w:r>
      <w:r w:rsidR="009D4186" w:rsidRPr="00E21577">
        <w:rPr>
          <w:lang w:val="es-ES_tradnl"/>
        </w:rPr>
        <w:t>en</w:t>
      </w:r>
      <w:r w:rsidR="000D5989" w:rsidRPr="00E21577">
        <w:rPr>
          <w:lang w:val="es-ES_tradnl"/>
        </w:rPr>
        <w:t>to del pasivo de la</w:t>
      </w:r>
      <w:r w:rsidR="00297D71" w:rsidRPr="00E21577">
        <w:rPr>
          <w:lang w:val="es-ES_tradnl"/>
        </w:rPr>
        <w:t xml:space="preserve"> </w:t>
      </w:r>
      <w:r w:rsidR="000D5989" w:rsidRPr="00E21577">
        <w:rPr>
          <w:lang w:val="es-ES_tradnl"/>
        </w:rPr>
        <w:t>UPOV por prestaciones a los empleados (de</w:t>
      </w:r>
      <w:r w:rsidR="00297D71" w:rsidRPr="00E21577">
        <w:rPr>
          <w:lang w:val="es-ES_tradnl"/>
        </w:rPr>
        <w:t xml:space="preserve"> </w:t>
      </w:r>
      <w:r w:rsidR="009D4186" w:rsidRPr="00E21577">
        <w:rPr>
          <w:lang w:val="es-ES_tradnl"/>
        </w:rPr>
        <w:t>1,4 a</w:t>
      </w:r>
      <w:r w:rsidR="00297D71" w:rsidRPr="00E21577">
        <w:rPr>
          <w:lang w:val="es-ES_tradnl"/>
        </w:rPr>
        <w:t xml:space="preserve"> </w:t>
      </w:r>
      <w:r w:rsidR="00AB1B11" w:rsidRPr="00E21577">
        <w:rPr>
          <w:lang w:val="es-ES_tradnl"/>
        </w:rPr>
        <w:t>2,5 millones de francos suizos</w:t>
      </w:r>
      <w:r w:rsidR="000D5989" w:rsidRPr="00E21577">
        <w:rPr>
          <w:lang w:val="es-ES_tradnl"/>
        </w:rPr>
        <w:t>)</w:t>
      </w:r>
      <w:r w:rsidR="009D4186" w:rsidRPr="00E21577">
        <w:rPr>
          <w:lang w:val="es-ES_tradnl"/>
        </w:rPr>
        <w:t xml:space="preserve"> </w:t>
      </w:r>
      <w:r w:rsidR="000D5989" w:rsidRPr="00E21577">
        <w:rPr>
          <w:lang w:val="es-ES_tradnl"/>
        </w:rPr>
        <w:t xml:space="preserve">a consecuencia del </w:t>
      </w:r>
      <w:r w:rsidR="009D4186" w:rsidRPr="00E21577">
        <w:rPr>
          <w:lang w:val="es-ES_tradnl"/>
        </w:rPr>
        <w:t>cambio</w:t>
      </w:r>
      <w:r w:rsidR="000D5989" w:rsidRPr="00E21577">
        <w:rPr>
          <w:lang w:val="es-ES_tradnl"/>
        </w:rPr>
        <w:t xml:space="preserve"> en</w:t>
      </w:r>
      <w:r w:rsidR="009D4186" w:rsidRPr="00E21577">
        <w:rPr>
          <w:lang w:val="es-ES_tradnl"/>
        </w:rPr>
        <w:t xml:space="preserve"> </w:t>
      </w:r>
      <w:r w:rsidR="000D5989" w:rsidRPr="00E21577">
        <w:rPr>
          <w:lang w:val="es-ES_tradnl"/>
        </w:rPr>
        <w:t xml:space="preserve">la </w:t>
      </w:r>
      <w:r w:rsidR="009D4186" w:rsidRPr="00E21577">
        <w:rPr>
          <w:lang w:val="es-ES_tradnl"/>
        </w:rPr>
        <w:t xml:space="preserve">política contable </w:t>
      </w:r>
      <w:r w:rsidR="000D5989" w:rsidRPr="00E21577">
        <w:rPr>
          <w:lang w:val="es-ES_tradnl"/>
        </w:rPr>
        <w:t xml:space="preserve">a raíz de la </w:t>
      </w:r>
      <w:r w:rsidR="009D4186" w:rsidRPr="00E21577">
        <w:rPr>
          <w:lang w:val="es-ES_tradnl"/>
        </w:rPr>
        <w:t>adopción</w:t>
      </w:r>
      <w:r w:rsidR="00A029F4" w:rsidRPr="00E21577">
        <w:rPr>
          <w:lang w:val="es-ES_tradnl"/>
        </w:rPr>
        <w:t xml:space="preserve"> </w:t>
      </w:r>
      <w:r w:rsidR="000D5989" w:rsidRPr="00E21577">
        <w:rPr>
          <w:lang w:val="es-ES_tradnl"/>
        </w:rPr>
        <w:t>de la IPSAS</w:t>
      </w:r>
      <w:r w:rsidR="00297D71" w:rsidRPr="00E21577">
        <w:rPr>
          <w:lang w:val="es-ES_tradnl"/>
        </w:rPr>
        <w:t xml:space="preserve"> </w:t>
      </w:r>
      <w:r w:rsidR="000D5989" w:rsidRPr="00E21577">
        <w:rPr>
          <w:lang w:val="es-ES_tradnl"/>
        </w:rPr>
        <w:t>39 “Beneficios a los empleados”</w:t>
      </w:r>
      <w:r w:rsidR="00793936" w:rsidRPr="00E21577">
        <w:rPr>
          <w:lang w:val="es-ES_tradnl"/>
        </w:rPr>
        <w:t xml:space="preserve"> en</w:t>
      </w:r>
      <w:r w:rsidR="00297D71" w:rsidRPr="00E21577">
        <w:rPr>
          <w:lang w:val="es-ES_tradnl"/>
        </w:rPr>
        <w:t xml:space="preserve"> </w:t>
      </w:r>
      <w:r w:rsidR="00793936" w:rsidRPr="00E21577">
        <w:rPr>
          <w:lang w:val="es-ES_tradnl"/>
        </w:rPr>
        <w:t>2017.</w:t>
      </w:r>
      <w:r w:rsidR="00D6359E" w:rsidRPr="00E21577">
        <w:rPr>
          <w:lang w:val="es-ES_tradnl"/>
        </w:rPr>
        <w:t xml:space="preserve"> </w:t>
      </w:r>
      <w:r w:rsidR="00954526" w:rsidRPr="00E21577">
        <w:rPr>
          <w:lang w:val="es-ES_tradnl"/>
        </w:rPr>
        <w:t xml:space="preserve"> </w:t>
      </w:r>
      <w:r w:rsidR="00EE70DB" w:rsidRPr="00E21577">
        <w:rPr>
          <w:lang w:val="es-ES_tradnl"/>
        </w:rPr>
        <w:t>Al término de cada ejercicio financiero, la</w:t>
      </w:r>
      <w:r w:rsidR="00297D71" w:rsidRPr="00E21577">
        <w:rPr>
          <w:lang w:val="es-ES_tradnl"/>
        </w:rPr>
        <w:t xml:space="preserve"> </w:t>
      </w:r>
      <w:r w:rsidR="00EE70DB" w:rsidRPr="00E21577">
        <w:rPr>
          <w:lang w:val="es-ES_tradnl"/>
        </w:rPr>
        <w:t>UPOV reconoce la totalidad del pasivo por prestaciones a los empleados tras la separación del servicio.</w:t>
      </w:r>
    </w:p>
    <w:p w:rsidR="00C91841" w:rsidRPr="00E21577" w:rsidRDefault="00EE70DB" w:rsidP="004B500B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lastRenderedPageBreak/>
        <w:t>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 posee unos activos netos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683.000 francos suizos.</w:t>
      </w:r>
      <w:r w:rsidR="00E124B9" w:rsidRPr="00E21577">
        <w:rPr>
          <w:lang w:val="es-ES_tradnl"/>
        </w:rPr>
        <w:t xml:space="preserve"> </w:t>
      </w:r>
      <w:r w:rsidR="00E46CD0" w:rsidRPr="00E21577">
        <w:rPr>
          <w:lang w:val="es-ES_tradnl"/>
        </w:rPr>
        <w:t xml:space="preserve"> </w:t>
      </w:r>
      <w:r w:rsidR="0006126A" w:rsidRPr="00E21577">
        <w:rPr>
          <w:lang w:val="es-ES_tradnl"/>
        </w:rPr>
        <w:t xml:space="preserve">Aunque </w:t>
      </w:r>
      <w:r w:rsidR="008D6E2B" w:rsidRPr="00E21577">
        <w:rPr>
          <w:lang w:val="es-ES_tradnl"/>
        </w:rPr>
        <w:t xml:space="preserve">el fondo de reserva de </w:t>
      </w:r>
      <w:r w:rsidR="0006126A"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UPOV </w:t>
      </w:r>
      <w:r w:rsidR="008D6E2B" w:rsidRPr="00E21577">
        <w:rPr>
          <w:lang w:val="es-ES_tradnl"/>
        </w:rPr>
        <w:t xml:space="preserve">presenta </w:t>
      </w:r>
      <w:r w:rsidR="0006126A" w:rsidRPr="00E21577">
        <w:rPr>
          <w:lang w:val="es-ES_tradnl"/>
        </w:rPr>
        <w:t>un</w:t>
      </w:r>
      <w:r w:rsidRPr="00E21577">
        <w:rPr>
          <w:lang w:val="es-ES_tradnl"/>
        </w:rPr>
        <w:t xml:space="preserve"> </w:t>
      </w:r>
      <w:r w:rsidR="0006126A" w:rsidRPr="00E21577">
        <w:rPr>
          <w:lang w:val="es-ES_tradnl"/>
        </w:rPr>
        <w:t xml:space="preserve">superávit acumulado </w:t>
      </w:r>
      <w:r w:rsidRPr="00E21577">
        <w:rPr>
          <w:lang w:val="es-ES_tradnl"/>
        </w:rPr>
        <w:t>de</w:t>
      </w:r>
      <w:r w:rsidR="00297D71" w:rsidRPr="00E21577">
        <w:rPr>
          <w:lang w:val="es-ES_tradnl"/>
        </w:rPr>
        <w:t xml:space="preserve"> </w:t>
      </w:r>
      <w:r w:rsidR="00E81195" w:rsidRPr="00E21577">
        <w:rPr>
          <w:lang w:val="es-ES_tradnl"/>
        </w:rPr>
        <w:t>943.000 francos suizos</w:t>
      </w:r>
      <w:r w:rsidRPr="00E21577">
        <w:rPr>
          <w:lang w:val="es-ES_tradnl"/>
        </w:rPr>
        <w:t xml:space="preserve">, </w:t>
      </w:r>
      <w:r w:rsidR="004955FA" w:rsidRPr="00E21577">
        <w:rPr>
          <w:lang w:val="es-ES_tradnl"/>
        </w:rPr>
        <w:t xml:space="preserve">esta </w:t>
      </w:r>
      <w:r w:rsidR="001E65CA" w:rsidRPr="00E21577">
        <w:rPr>
          <w:lang w:val="es-ES_tradnl"/>
        </w:rPr>
        <w:t>suma</w:t>
      </w:r>
      <w:r w:rsidR="004955FA" w:rsidRPr="00E21577">
        <w:rPr>
          <w:lang w:val="es-ES_tradnl"/>
        </w:rPr>
        <w:t xml:space="preserve"> </w:t>
      </w:r>
      <w:r w:rsidR="00540198" w:rsidRPr="00E21577">
        <w:rPr>
          <w:lang w:val="es-ES_tradnl"/>
        </w:rPr>
        <w:t>se ve contrarrestada</w:t>
      </w:r>
      <w:r w:rsidR="004955FA" w:rsidRPr="00E21577">
        <w:rPr>
          <w:lang w:val="es-ES_tradnl"/>
        </w:rPr>
        <w:t xml:space="preserve"> en gran medida</w:t>
      </w:r>
      <w:r w:rsidRPr="00E21577">
        <w:rPr>
          <w:lang w:val="es-ES_tradnl"/>
        </w:rPr>
        <w:t xml:space="preserve"> por </w:t>
      </w:r>
      <w:r w:rsidR="006417A7" w:rsidRPr="00E21577">
        <w:rPr>
          <w:lang w:val="es-ES_tradnl"/>
        </w:rPr>
        <w:t>unas pérdidas actuariales de</w:t>
      </w:r>
      <w:r w:rsidR="00297D71" w:rsidRPr="00E21577">
        <w:rPr>
          <w:lang w:val="es-ES_tradnl"/>
        </w:rPr>
        <w:t xml:space="preserve"> </w:t>
      </w:r>
      <w:r w:rsidR="00E81195" w:rsidRPr="00E21577">
        <w:rPr>
          <w:lang w:val="es-ES_tradnl"/>
        </w:rPr>
        <w:t>808.000 francos suizos</w:t>
      </w:r>
      <w:r w:rsidRPr="00E21577">
        <w:rPr>
          <w:lang w:val="es-ES_tradnl"/>
        </w:rPr>
        <w:t xml:space="preserve"> </w:t>
      </w:r>
      <w:r w:rsidR="004955FA" w:rsidRPr="00E21577">
        <w:rPr>
          <w:lang w:val="es-ES_tradnl"/>
        </w:rPr>
        <w:t>correspondientes a las prestaciones a los empleados tras la separación del servicio</w:t>
      </w:r>
      <w:r w:rsidRPr="00E21577">
        <w:rPr>
          <w:lang w:val="es-ES_tradnl"/>
        </w:rPr>
        <w:t>.</w:t>
      </w:r>
      <w:r w:rsidR="00D6359E" w:rsidRPr="00E21577">
        <w:rPr>
          <w:lang w:val="es-ES_tradnl"/>
        </w:rPr>
        <w:t xml:space="preserve"> </w:t>
      </w:r>
      <w:r w:rsidR="00E46CD0" w:rsidRPr="00E21577">
        <w:rPr>
          <w:lang w:val="es-ES_tradnl"/>
        </w:rPr>
        <w:t xml:space="preserve"> </w:t>
      </w:r>
      <w:r w:rsidR="004B500B"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4955FA" w:rsidRPr="00E21577">
        <w:rPr>
          <w:lang w:val="es-ES_tradnl"/>
        </w:rPr>
        <w:t>UPOV mantiene</w:t>
      </w:r>
      <w:r w:rsidR="004B500B" w:rsidRPr="00E21577">
        <w:rPr>
          <w:lang w:val="es-ES_tradnl"/>
        </w:rPr>
        <w:t xml:space="preserve"> además</w:t>
      </w:r>
      <w:r w:rsidR="00297D71" w:rsidRPr="00E21577">
        <w:rPr>
          <w:lang w:val="es-ES_tradnl"/>
        </w:rPr>
        <w:t xml:space="preserve"> </w:t>
      </w:r>
      <w:r w:rsidR="004955FA" w:rsidRPr="00E21577">
        <w:rPr>
          <w:lang w:val="es-ES_tradnl"/>
        </w:rPr>
        <w:t>548.000 francos suizos en el fondo de operaciones.</w:t>
      </w:r>
      <w:r w:rsidR="00E124B9" w:rsidRPr="00E21577">
        <w:rPr>
          <w:lang w:val="es-ES_tradnl"/>
        </w:rPr>
        <w:t xml:space="preserve"> </w:t>
      </w:r>
      <w:r w:rsidR="00E46CD0" w:rsidRPr="00E21577">
        <w:rPr>
          <w:lang w:val="es-ES_tradnl"/>
        </w:rPr>
        <w:t xml:space="preserve"> </w:t>
      </w:r>
      <w:r w:rsidR="004955FA" w:rsidRPr="00E21577">
        <w:rPr>
          <w:lang w:val="es-ES_tradnl"/>
        </w:rPr>
        <w:t>En la nota</w:t>
      </w:r>
      <w:r w:rsidR="00297D71" w:rsidRPr="00E21577">
        <w:rPr>
          <w:lang w:val="es-ES_tradnl"/>
        </w:rPr>
        <w:t xml:space="preserve"> </w:t>
      </w:r>
      <w:r w:rsidR="004955FA" w:rsidRPr="00E21577">
        <w:rPr>
          <w:lang w:val="es-ES_tradnl"/>
        </w:rPr>
        <w:t>12 de los estados financieros se ofrece información más detallada acerca de estas reservas.</w:t>
      </w:r>
    </w:p>
    <w:p w:rsidR="00C91841" w:rsidRPr="00E21577" w:rsidRDefault="005E0221" w:rsidP="00E46CD0">
      <w:pPr>
        <w:pStyle w:val="Number1"/>
        <w:numPr>
          <w:ilvl w:val="1"/>
          <w:numId w:val="3"/>
        </w:numPr>
        <w:spacing w:after="24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En todas nuestras auditorías internacionales elaboramos un análisis de los coeficientes de salud financiera de una organización para mostrar la evolución de la situación financiera.</w:t>
      </w:r>
      <w:r w:rsidR="00E124B9" w:rsidRPr="00E21577">
        <w:rPr>
          <w:lang w:val="es-ES_tradnl"/>
        </w:rPr>
        <w:t xml:space="preserve"> </w:t>
      </w:r>
      <w:r w:rsidR="00E46CD0" w:rsidRPr="00E21577">
        <w:rPr>
          <w:lang w:val="es-ES_tradnl"/>
        </w:rPr>
        <w:t xml:space="preserve"> </w:t>
      </w:r>
      <w:r w:rsidR="00510BDA" w:rsidRPr="00E21577">
        <w:rPr>
          <w:lang w:val="es-ES_tradnl"/>
        </w:rPr>
        <w:t>Es</w:t>
      </w:r>
      <w:r w:rsidR="000412D6" w:rsidRPr="00E21577">
        <w:rPr>
          <w:lang w:val="es-ES_tradnl"/>
        </w:rPr>
        <w:t>t</w:t>
      </w:r>
      <w:r w:rsidRPr="00E21577">
        <w:rPr>
          <w:lang w:val="es-ES_tradnl"/>
        </w:rPr>
        <w:t xml:space="preserve">os coeficientes </w:t>
      </w:r>
      <w:r w:rsidR="000412D6" w:rsidRPr="00E21577">
        <w:rPr>
          <w:lang w:val="es-ES_tradnl"/>
        </w:rPr>
        <w:t xml:space="preserve">generales </w:t>
      </w:r>
      <w:r w:rsidRPr="00E21577">
        <w:rPr>
          <w:lang w:val="es-ES_tradnl"/>
        </w:rPr>
        <w:t>expresan la relación entre la partida de un balance y la de otro</w:t>
      </w:r>
      <w:r w:rsidR="00D6359E" w:rsidRPr="00E21577">
        <w:rPr>
          <w:lang w:val="es-ES_tradnl"/>
        </w:rPr>
        <w:t xml:space="preserve"> </w:t>
      </w:r>
      <w:r w:rsidR="000412D6" w:rsidRPr="00E21577">
        <w:rPr>
          <w:lang w:val="es-ES_tradnl"/>
        </w:rPr>
        <w:t xml:space="preserve">y, asimismo, </w:t>
      </w:r>
      <w:r w:rsidRPr="00E21577">
        <w:rPr>
          <w:lang w:val="es-ES_tradnl"/>
        </w:rPr>
        <w:t>confirman que l</w:t>
      </w:r>
      <w:r w:rsidR="000412D6" w:rsidRPr="00E21577">
        <w:rPr>
          <w:lang w:val="es-ES_tradnl"/>
        </w:rPr>
        <w:t>a entidad dispone de</w:t>
      </w:r>
      <w:r w:rsidRPr="00E21577">
        <w:rPr>
          <w:lang w:val="es-ES_tradnl"/>
        </w:rPr>
        <w:t xml:space="preserve"> activos netos suficientes para </w:t>
      </w:r>
      <w:r w:rsidR="0081796E" w:rsidRPr="00E21577">
        <w:rPr>
          <w:lang w:val="es-ES_tradnl"/>
        </w:rPr>
        <w:t>cubrir</w:t>
      </w:r>
      <w:r w:rsidRPr="00E21577">
        <w:rPr>
          <w:lang w:val="es-ES_tradnl"/>
        </w:rPr>
        <w:t xml:space="preserve"> </w:t>
      </w:r>
      <w:r w:rsidR="000412D6" w:rsidRPr="00E21577">
        <w:rPr>
          <w:lang w:val="es-ES_tradnl"/>
        </w:rPr>
        <w:t>sus pasivos,</w:t>
      </w:r>
      <w:r w:rsidRPr="00E21577">
        <w:rPr>
          <w:lang w:val="es-ES_tradnl"/>
        </w:rPr>
        <w:t xml:space="preserve"> </w:t>
      </w:r>
      <w:r w:rsidR="000412D6" w:rsidRPr="00E21577">
        <w:rPr>
          <w:lang w:val="es-ES_tradnl"/>
        </w:rPr>
        <w:t xml:space="preserve">tanto a </w:t>
      </w:r>
      <w:r w:rsidRPr="00E21577">
        <w:rPr>
          <w:lang w:val="es-ES_tradnl"/>
        </w:rPr>
        <w:t xml:space="preserve">corto </w:t>
      </w:r>
      <w:r w:rsidR="000412D6" w:rsidRPr="00E21577">
        <w:rPr>
          <w:lang w:val="es-ES_tradnl"/>
        </w:rPr>
        <w:t xml:space="preserve">como a </w:t>
      </w:r>
      <w:r w:rsidRPr="00E21577">
        <w:rPr>
          <w:lang w:val="es-ES_tradnl"/>
        </w:rPr>
        <w:t>largo plazo.</w:t>
      </w:r>
    </w:p>
    <w:tbl>
      <w:tblPr>
        <w:tblStyle w:val="NAOTable"/>
        <w:tblW w:w="5022" w:type="pct"/>
        <w:tblLayout w:type="fixed"/>
        <w:tblLook w:val="0600" w:firstRow="0" w:lastRow="0" w:firstColumn="0" w:lastColumn="0" w:noHBand="1" w:noVBand="1"/>
      </w:tblPr>
      <w:tblGrid>
        <w:gridCol w:w="2943"/>
        <w:gridCol w:w="1240"/>
        <w:gridCol w:w="1241"/>
        <w:gridCol w:w="1240"/>
        <w:gridCol w:w="1241"/>
      </w:tblGrid>
      <w:tr w:rsidR="00E124B9" w:rsidRPr="00E21577" w:rsidTr="00E46CD0">
        <w:tc>
          <w:tcPr>
            <w:tcW w:w="7905" w:type="dxa"/>
            <w:gridSpan w:val="5"/>
          </w:tcPr>
          <w:p w:rsidR="00E124B9" w:rsidRPr="00E21577" w:rsidRDefault="005E0221" w:rsidP="006422F8">
            <w:pPr>
              <w:rPr>
                <w:b/>
                <w:sz w:val="18"/>
                <w:lang w:val="es-ES_tradnl"/>
              </w:rPr>
            </w:pPr>
            <w:r w:rsidRPr="00E21577">
              <w:rPr>
                <w:b/>
                <w:sz w:val="18"/>
                <w:lang w:val="es-ES_tradnl"/>
              </w:rPr>
              <w:t>Cuadro</w:t>
            </w:r>
            <w:r w:rsidR="00297D71" w:rsidRPr="00E21577">
              <w:rPr>
                <w:b/>
                <w:sz w:val="18"/>
                <w:lang w:val="es-ES_tradnl"/>
              </w:rPr>
              <w:t xml:space="preserve"> </w:t>
            </w:r>
            <w:r w:rsidRPr="00E21577">
              <w:rPr>
                <w:b/>
                <w:sz w:val="18"/>
                <w:lang w:val="es-ES_tradnl"/>
              </w:rPr>
              <w:t>3</w:t>
            </w:r>
            <w:r w:rsidR="00E124B9" w:rsidRPr="00E21577">
              <w:rPr>
                <w:b/>
                <w:sz w:val="18"/>
                <w:lang w:val="es-ES_tradnl"/>
              </w:rPr>
              <w:t xml:space="preserve"> </w:t>
            </w:r>
          </w:p>
        </w:tc>
      </w:tr>
      <w:tr w:rsidR="00E124B9" w:rsidRPr="00E21577" w:rsidTr="00E46CD0">
        <w:tc>
          <w:tcPr>
            <w:tcW w:w="7905" w:type="dxa"/>
            <w:gridSpan w:val="5"/>
          </w:tcPr>
          <w:p w:rsidR="00E124B9" w:rsidRPr="00E21577" w:rsidRDefault="00850157" w:rsidP="006422F8">
            <w:pPr>
              <w:rPr>
                <w:sz w:val="18"/>
                <w:lang w:val="es-ES_tradnl"/>
              </w:rPr>
            </w:pPr>
            <w:r w:rsidRPr="00E21577">
              <w:rPr>
                <w:sz w:val="18"/>
                <w:lang w:val="es-ES_tradnl"/>
              </w:rPr>
              <w:t>Relaciones financieras de la</w:t>
            </w:r>
            <w:r w:rsidR="00297D71" w:rsidRPr="00E21577">
              <w:rPr>
                <w:sz w:val="18"/>
                <w:lang w:val="es-ES_tradnl"/>
              </w:rPr>
              <w:t xml:space="preserve"> </w:t>
            </w:r>
            <w:r w:rsidRPr="00E21577">
              <w:rPr>
                <w:sz w:val="18"/>
                <w:lang w:val="es-ES_tradnl"/>
              </w:rPr>
              <w:t>UPOV</w:t>
            </w:r>
          </w:p>
        </w:tc>
      </w:tr>
      <w:tr w:rsidR="00E124B9" w:rsidRPr="00E21577" w:rsidTr="00E46CD0">
        <w:tc>
          <w:tcPr>
            <w:tcW w:w="2943" w:type="dxa"/>
          </w:tcPr>
          <w:p w:rsidR="00E124B9" w:rsidRPr="00E21577" w:rsidRDefault="00B62C74" w:rsidP="006422F8">
            <w:pPr>
              <w:pStyle w:val="ColumnHeading"/>
              <w:spacing w:after="160"/>
              <w:rPr>
                <w:lang w:val="es-ES_tradnl"/>
              </w:rPr>
            </w:pPr>
            <w:r w:rsidRPr="00E21577">
              <w:rPr>
                <w:lang w:val="es-ES_tradnl"/>
              </w:rPr>
              <w:t>Relación</w:t>
            </w:r>
          </w:p>
        </w:tc>
        <w:tc>
          <w:tcPr>
            <w:tcW w:w="1240" w:type="dxa"/>
          </w:tcPr>
          <w:p w:rsidR="00E124B9" w:rsidRPr="00E21577" w:rsidRDefault="00E124B9" w:rsidP="00A01A67">
            <w:pPr>
              <w:pStyle w:val="ColumnHeading"/>
              <w:rPr>
                <w:lang w:val="es-ES_tradnl"/>
              </w:rPr>
            </w:pPr>
            <w:r w:rsidRPr="00E21577">
              <w:rPr>
                <w:lang w:val="es-ES_tradnl"/>
              </w:rPr>
              <w:t>2018</w:t>
            </w:r>
          </w:p>
        </w:tc>
        <w:tc>
          <w:tcPr>
            <w:tcW w:w="1241" w:type="dxa"/>
          </w:tcPr>
          <w:p w:rsidR="00E124B9" w:rsidRPr="00E21577" w:rsidRDefault="00E124B9" w:rsidP="00A01A67">
            <w:pPr>
              <w:pStyle w:val="ColumnHeading"/>
              <w:rPr>
                <w:lang w:val="es-ES_tradnl"/>
              </w:rPr>
            </w:pPr>
            <w:r w:rsidRPr="00E21577">
              <w:rPr>
                <w:lang w:val="es-ES_tradnl"/>
              </w:rPr>
              <w:t>2017</w:t>
            </w:r>
          </w:p>
        </w:tc>
        <w:tc>
          <w:tcPr>
            <w:tcW w:w="1240" w:type="dxa"/>
          </w:tcPr>
          <w:p w:rsidR="00E124B9" w:rsidRPr="00E21577" w:rsidRDefault="00E124B9" w:rsidP="00A01A67">
            <w:pPr>
              <w:pStyle w:val="ColumnHeading"/>
              <w:rPr>
                <w:lang w:val="es-ES_tradnl"/>
              </w:rPr>
            </w:pPr>
            <w:r w:rsidRPr="00E21577">
              <w:rPr>
                <w:lang w:val="es-ES_tradnl"/>
              </w:rPr>
              <w:t>2016</w:t>
            </w:r>
            <w:r w:rsidRPr="00E21577">
              <w:rPr>
                <w:vertAlign w:val="superscript"/>
                <w:lang w:val="es-ES_tradnl"/>
              </w:rPr>
              <w:t>4</w:t>
            </w:r>
          </w:p>
        </w:tc>
        <w:tc>
          <w:tcPr>
            <w:tcW w:w="1241" w:type="dxa"/>
          </w:tcPr>
          <w:p w:rsidR="00E124B9" w:rsidRPr="00E21577" w:rsidRDefault="00E124B9" w:rsidP="00A01A67">
            <w:pPr>
              <w:pStyle w:val="ColumnHeading"/>
              <w:rPr>
                <w:lang w:val="es-ES_tradnl"/>
              </w:rPr>
            </w:pPr>
            <w:r w:rsidRPr="00E21577">
              <w:rPr>
                <w:lang w:val="es-ES_tradnl"/>
              </w:rPr>
              <w:t>2015</w:t>
            </w:r>
          </w:p>
        </w:tc>
      </w:tr>
      <w:tr w:rsidR="00E124B9" w:rsidRPr="00E21577" w:rsidTr="00E46CD0">
        <w:tc>
          <w:tcPr>
            <w:tcW w:w="2943" w:type="dxa"/>
          </w:tcPr>
          <w:p w:rsidR="00C91841" w:rsidRPr="00E21577" w:rsidRDefault="00B62C74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rStyle w:val="Bold"/>
                <w:lang w:val="es-ES_tradnl"/>
              </w:rPr>
              <w:t>Coeficiente de liquidez</w:t>
            </w:r>
          </w:p>
          <w:p w:rsidR="00E124B9" w:rsidRPr="00E21577" w:rsidRDefault="00B62C74" w:rsidP="00E46CD0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Activos corrientes</w:t>
            </w:r>
            <w:r w:rsidR="00A07455" w:rsidRPr="00E21577">
              <w:rPr>
                <w:lang w:val="es-ES_tradnl"/>
              </w:rPr>
              <w:t>/</w:t>
            </w:r>
            <w:r w:rsidRPr="00E21577">
              <w:rPr>
                <w:lang w:val="es-ES_tradnl"/>
              </w:rPr>
              <w:t>pasivos corrientes</w:t>
            </w:r>
          </w:p>
        </w:tc>
        <w:tc>
          <w:tcPr>
            <w:tcW w:w="1240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3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07</w:t>
            </w:r>
          </w:p>
        </w:tc>
        <w:tc>
          <w:tcPr>
            <w:tcW w:w="1241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3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19</w:t>
            </w:r>
          </w:p>
        </w:tc>
        <w:tc>
          <w:tcPr>
            <w:tcW w:w="1240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2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24</w:t>
            </w:r>
          </w:p>
        </w:tc>
        <w:tc>
          <w:tcPr>
            <w:tcW w:w="1241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2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53</w:t>
            </w:r>
          </w:p>
        </w:tc>
      </w:tr>
      <w:tr w:rsidR="00E124B9" w:rsidRPr="00E21577" w:rsidTr="00E46CD0">
        <w:tc>
          <w:tcPr>
            <w:tcW w:w="2943" w:type="dxa"/>
          </w:tcPr>
          <w:p w:rsidR="00C91841" w:rsidRPr="00E21577" w:rsidRDefault="00C91841" w:rsidP="00A01A67">
            <w:pPr>
              <w:pStyle w:val="Figuretext"/>
              <w:rPr>
                <w:rStyle w:val="Bold"/>
                <w:lang w:val="es-ES_tradnl"/>
              </w:rPr>
            </w:pPr>
          </w:p>
          <w:p w:rsidR="00C91841" w:rsidRPr="00E21577" w:rsidRDefault="00B62C74" w:rsidP="00A01A67">
            <w:pPr>
              <w:pStyle w:val="Figuretext"/>
              <w:rPr>
                <w:rStyle w:val="Bold"/>
                <w:lang w:val="es-ES_tradnl"/>
              </w:rPr>
            </w:pPr>
            <w:r w:rsidRPr="00E21577">
              <w:rPr>
                <w:rStyle w:val="Bold"/>
                <w:lang w:val="es-ES_tradnl"/>
              </w:rPr>
              <w:t>Activo total</w:t>
            </w:r>
            <w:r w:rsidR="000B6B80" w:rsidRPr="00E21577">
              <w:rPr>
                <w:rStyle w:val="Bold"/>
                <w:lang w:val="es-ES_tradnl"/>
              </w:rPr>
              <w:t>/</w:t>
            </w:r>
            <w:r w:rsidRPr="00E21577">
              <w:rPr>
                <w:rStyle w:val="Bold"/>
                <w:lang w:val="es-ES_tradnl"/>
              </w:rPr>
              <w:t>pasivo total</w:t>
            </w:r>
          </w:p>
          <w:p w:rsidR="00E124B9" w:rsidRPr="00E21577" w:rsidRDefault="00B62C74" w:rsidP="00766372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Activo/pasivo</w:t>
            </w:r>
          </w:p>
        </w:tc>
        <w:tc>
          <w:tcPr>
            <w:tcW w:w="1240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1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18</w:t>
            </w:r>
          </w:p>
        </w:tc>
        <w:tc>
          <w:tcPr>
            <w:tcW w:w="1241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1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18</w:t>
            </w:r>
          </w:p>
        </w:tc>
        <w:tc>
          <w:tcPr>
            <w:tcW w:w="1240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1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16</w:t>
            </w:r>
          </w:p>
        </w:tc>
        <w:tc>
          <w:tcPr>
            <w:tcW w:w="1241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1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55</w:t>
            </w:r>
          </w:p>
        </w:tc>
      </w:tr>
      <w:tr w:rsidR="00E124B9" w:rsidRPr="00E21577" w:rsidTr="00E46CD0">
        <w:tc>
          <w:tcPr>
            <w:tcW w:w="2943" w:type="dxa"/>
          </w:tcPr>
          <w:p w:rsidR="00E124B9" w:rsidRPr="00E21577" w:rsidRDefault="00E124B9" w:rsidP="00A01A67">
            <w:pPr>
              <w:pStyle w:val="Figuretext"/>
              <w:rPr>
                <w:rStyle w:val="Bold"/>
                <w:lang w:val="es-ES_tradnl"/>
              </w:rPr>
            </w:pPr>
          </w:p>
        </w:tc>
        <w:tc>
          <w:tcPr>
            <w:tcW w:w="1240" w:type="dxa"/>
          </w:tcPr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</w:p>
        </w:tc>
        <w:tc>
          <w:tcPr>
            <w:tcW w:w="1241" w:type="dxa"/>
          </w:tcPr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</w:p>
        </w:tc>
        <w:tc>
          <w:tcPr>
            <w:tcW w:w="1240" w:type="dxa"/>
          </w:tcPr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</w:p>
        </w:tc>
        <w:tc>
          <w:tcPr>
            <w:tcW w:w="1241" w:type="dxa"/>
          </w:tcPr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</w:p>
        </w:tc>
      </w:tr>
      <w:tr w:rsidR="00E124B9" w:rsidRPr="00E21577" w:rsidTr="00E46CD0">
        <w:trPr>
          <w:trHeight w:val="896"/>
        </w:trPr>
        <w:tc>
          <w:tcPr>
            <w:tcW w:w="2943" w:type="dxa"/>
          </w:tcPr>
          <w:p w:rsidR="00C91841" w:rsidRPr="00E21577" w:rsidRDefault="00B62C74" w:rsidP="00A01A67">
            <w:pPr>
              <w:pStyle w:val="Figuretext"/>
              <w:rPr>
                <w:rStyle w:val="Bold"/>
                <w:lang w:val="es-ES_tradnl"/>
              </w:rPr>
            </w:pPr>
            <w:r w:rsidRPr="00E21577">
              <w:rPr>
                <w:rStyle w:val="Bold"/>
                <w:lang w:val="es-ES_tradnl"/>
              </w:rPr>
              <w:t>Coeficiente de caja</w:t>
            </w:r>
          </w:p>
          <w:p w:rsidR="00E124B9" w:rsidRPr="00E21577" w:rsidRDefault="00B62C74" w:rsidP="00766372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Efectivo y equivalentes de efectivo/pasivos corrientes</w:t>
            </w:r>
          </w:p>
        </w:tc>
        <w:tc>
          <w:tcPr>
            <w:tcW w:w="1240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2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97</w:t>
            </w:r>
          </w:p>
        </w:tc>
        <w:tc>
          <w:tcPr>
            <w:tcW w:w="1241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3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13</w:t>
            </w:r>
          </w:p>
        </w:tc>
        <w:tc>
          <w:tcPr>
            <w:tcW w:w="1240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A01A67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2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19</w:t>
            </w:r>
          </w:p>
        </w:tc>
        <w:tc>
          <w:tcPr>
            <w:tcW w:w="1241" w:type="dxa"/>
          </w:tcPr>
          <w:p w:rsidR="00C91841" w:rsidRPr="00E21577" w:rsidRDefault="00C91841" w:rsidP="00A01A67">
            <w:pPr>
              <w:pStyle w:val="Figuretext"/>
              <w:rPr>
                <w:lang w:val="es-ES_tradnl"/>
              </w:rPr>
            </w:pPr>
          </w:p>
          <w:p w:rsidR="00E124B9" w:rsidRPr="00E21577" w:rsidRDefault="00E124B9" w:rsidP="00EB60D0">
            <w:pPr>
              <w:pStyle w:val="Figuretext"/>
              <w:rPr>
                <w:lang w:val="es-ES_tradnl"/>
              </w:rPr>
            </w:pPr>
            <w:r w:rsidRPr="00E21577">
              <w:rPr>
                <w:lang w:val="es-ES_tradnl"/>
              </w:rPr>
              <w:t>2</w:t>
            </w:r>
            <w:r w:rsidR="005E0221" w:rsidRPr="00E21577">
              <w:rPr>
                <w:lang w:val="es-ES_tradnl"/>
              </w:rPr>
              <w:t>,</w:t>
            </w:r>
            <w:r w:rsidRPr="00E21577">
              <w:rPr>
                <w:lang w:val="es-ES_tradnl"/>
              </w:rPr>
              <w:t>43</w:t>
            </w:r>
          </w:p>
        </w:tc>
      </w:tr>
      <w:tr w:rsidR="00E124B9" w:rsidRPr="00E21577" w:rsidTr="00E46CD0">
        <w:trPr>
          <w:trHeight w:val="2419"/>
        </w:trPr>
        <w:tc>
          <w:tcPr>
            <w:tcW w:w="7905" w:type="dxa"/>
            <w:gridSpan w:val="5"/>
          </w:tcPr>
          <w:p w:rsidR="00C91841" w:rsidRPr="00E21577" w:rsidRDefault="00E124B9" w:rsidP="003948D8">
            <w:pPr>
              <w:pStyle w:val="FootnoteText"/>
              <w:ind w:left="142" w:hanging="142"/>
              <w:rPr>
                <w:lang w:val="es-ES_tradnl"/>
              </w:rPr>
            </w:pPr>
            <w:r w:rsidRPr="00E21577">
              <w:rPr>
                <w:rStyle w:val="FootnoteReference"/>
                <w:lang w:val="es-ES_tradnl"/>
              </w:rPr>
              <w:footnoteRef/>
            </w:r>
            <w:r w:rsidR="003948D8" w:rsidRPr="00E21577">
              <w:rPr>
                <w:lang w:val="es-ES_tradnl"/>
              </w:rPr>
              <w:tab/>
            </w:r>
            <w:r w:rsidR="00B62C74" w:rsidRPr="00E21577">
              <w:rPr>
                <w:lang w:val="es-ES_tradnl"/>
              </w:rPr>
              <w:t>Un elevado coeficiente de liquidez es indicativo de la capacidad de la entidad de pagar su</w:t>
            </w:r>
            <w:r w:rsidR="007B7983" w:rsidRPr="00E21577">
              <w:rPr>
                <w:lang w:val="es-ES_tradnl"/>
              </w:rPr>
              <w:t>s</w:t>
            </w:r>
            <w:r w:rsidR="00B62C74" w:rsidRPr="00E21577">
              <w:rPr>
                <w:lang w:val="es-ES_tradnl"/>
              </w:rPr>
              <w:t xml:space="preserve"> pasivo</w:t>
            </w:r>
            <w:r w:rsidR="007B7983" w:rsidRPr="00E21577">
              <w:rPr>
                <w:lang w:val="es-ES_tradnl"/>
              </w:rPr>
              <w:t>s</w:t>
            </w:r>
            <w:r w:rsidR="00B62C74" w:rsidRPr="00E21577">
              <w:rPr>
                <w:lang w:val="es-ES_tradnl"/>
              </w:rPr>
              <w:t xml:space="preserve"> </w:t>
            </w:r>
            <w:r w:rsidR="000412D6" w:rsidRPr="00E21577">
              <w:rPr>
                <w:lang w:val="es-ES_tradnl"/>
              </w:rPr>
              <w:t>a</w:t>
            </w:r>
            <w:r w:rsidR="00B62C74" w:rsidRPr="00E21577">
              <w:rPr>
                <w:lang w:val="es-ES_tradnl"/>
              </w:rPr>
              <w:t xml:space="preserve"> corto plazo.</w:t>
            </w:r>
          </w:p>
          <w:p w:rsidR="00C91841" w:rsidRPr="00E21577" w:rsidRDefault="00E124B9" w:rsidP="003948D8">
            <w:pPr>
              <w:pStyle w:val="FootnoteText"/>
              <w:ind w:left="142" w:hanging="142"/>
              <w:rPr>
                <w:lang w:val="es-ES_tradnl"/>
              </w:rPr>
            </w:pPr>
            <w:r w:rsidRPr="00E21577">
              <w:rPr>
                <w:rStyle w:val="FootnoteReference"/>
                <w:lang w:val="es-ES_tradnl"/>
              </w:rPr>
              <w:t>2</w:t>
            </w:r>
            <w:r w:rsidR="003948D8" w:rsidRPr="00E21577">
              <w:rPr>
                <w:lang w:val="es-ES_tradnl"/>
              </w:rPr>
              <w:tab/>
            </w:r>
            <w:r w:rsidR="00B62C74" w:rsidRPr="00E21577">
              <w:rPr>
                <w:lang w:val="es-ES_tradnl"/>
              </w:rPr>
              <w:t xml:space="preserve">Un elevado coeficiente activo/pasivo es </w:t>
            </w:r>
            <w:r w:rsidR="00331284" w:rsidRPr="00E21577">
              <w:rPr>
                <w:lang w:val="es-ES_tradnl"/>
              </w:rPr>
              <w:t xml:space="preserve">un </w:t>
            </w:r>
            <w:r w:rsidR="00B62C74" w:rsidRPr="00E21577">
              <w:rPr>
                <w:lang w:val="es-ES_tradnl"/>
              </w:rPr>
              <w:t>buen indicador de solvencia.</w:t>
            </w:r>
          </w:p>
          <w:p w:rsidR="00C91841" w:rsidRPr="00E21577" w:rsidRDefault="00E124B9" w:rsidP="003948D8">
            <w:pPr>
              <w:pStyle w:val="FootnoteText"/>
              <w:ind w:left="142" w:hanging="142"/>
              <w:rPr>
                <w:lang w:val="es-ES_tradnl"/>
              </w:rPr>
            </w:pPr>
            <w:r w:rsidRPr="00E21577">
              <w:rPr>
                <w:rStyle w:val="FootnoteReference"/>
                <w:lang w:val="es-ES_tradnl"/>
              </w:rPr>
              <w:t>3</w:t>
            </w:r>
            <w:r w:rsidR="003948D8" w:rsidRPr="00E21577">
              <w:rPr>
                <w:lang w:val="es-ES_tradnl"/>
              </w:rPr>
              <w:tab/>
            </w:r>
            <w:r w:rsidR="0060148E" w:rsidRPr="00E21577">
              <w:rPr>
                <w:lang w:val="es-ES_tradnl"/>
              </w:rPr>
              <w:t>El coeficiente de caja es indica</w:t>
            </w:r>
            <w:r w:rsidR="001237F4" w:rsidRPr="00E21577">
              <w:rPr>
                <w:lang w:val="es-ES_tradnl"/>
              </w:rPr>
              <w:t>tivo</w:t>
            </w:r>
            <w:r w:rsidR="0060148E" w:rsidRPr="00E21577">
              <w:rPr>
                <w:lang w:val="es-ES_tradnl"/>
              </w:rPr>
              <w:t xml:space="preserve"> de la liquidez de una entidad, pues mide el importe del efectivo y el equivalente de efectivo en activos corrientes que permiten cubrir los pasivos corrientes.</w:t>
            </w:r>
          </w:p>
          <w:p w:rsidR="00C91841" w:rsidRPr="00E21577" w:rsidRDefault="00E124B9" w:rsidP="003948D8">
            <w:pPr>
              <w:pStyle w:val="FootnoteText"/>
              <w:ind w:left="142" w:hanging="142"/>
              <w:rPr>
                <w:lang w:val="es-ES_tradnl"/>
              </w:rPr>
            </w:pPr>
            <w:r w:rsidRPr="00E21577">
              <w:rPr>
                <w:vertAlign w:val="superscript"/>
                <w:lang w:val="es-ES_tradnl"/>
              </w:rPr>
              <w:t>4</w:t>
            </w:r>
            <w:r w:rsidR="003948D8" w:rsidRPr="00E21577">
              <w:rPr>
                <w:vertAlign w:val="superscript"/>
                <w:lang w:val="es-ES_tradnl"/>
              </w:rPr>
              <w:tab/>
            </w:r>
            <w:r w:rsidR="0060148E" w:rsidRPr="00E21577">
              <w:rPr>
                <w:lang w:val="es-ES_tradnl"/>
              </w:rPr>
              <w:t>El pasivo por prestaciones a los empleados de</w:t>
            </w:r>
            <w:r w:rsidR="00297D71" w:rsidRPr="00E21577">
              <w:rPr>
                <w:lang w:val="es-ES_tradnl"/>
              </w:rPr>
              <w:t xml:space="preserve"> </w:t>
            </w:r>
            <w:r w:rsidR="0060148E" w:rsidRPr="00E21577">
              <w:rPr>
                <w:lang w:val="es-ES_tradnl"/>
              </w:rPr>
              <w:t>2016 se reexpresó en</w:t>
            </w:r>
            <w:r w:rsidR="00297D71" w:rsidRPr="00E21577">
              <w:rPr>
                <w:lang w:val="es-ES_tradnl"/>
              </w:rPr>
              <w:t xml:space="preserve"> </w:t>
            </w:r>
            <w:r w:rsidR="0060148E" w:rsidRPr="00E21577">
              <w:rPr>
                <w:lang w:val="es-ES_tradnl"/>
              </w:rPr>
              <w:t xml:space="preserve">2017 </w:t>
            </w:r>
            <w:r w:rsidR="00A42D7E" w:rsidRPr="00E21577">
              <w:rPr>
                <w:lang w:val="es-ES_tradnl"/>
              </w:rPr>
              <w:t xml:space="preserve">a </w:t>
            </w:r>
            <w:r w:rsidR="001339F6" w:rsidRPr="00E21577">
              <w:rPr>
                <w:lang w:val="es-ES_tradnl"/>
              </w:rPr>
              <w:t>consecuencia</w:t>
            </w:r>
            <w:r w:rsidR="00A42D7E" w:rsidRPr="00E21577">
              <w:rPr>
                <w:lang w:val="es-ES_tradnl"/>
              </w:rPr>
              <w:t xml:space="preserve"> de la </w:t>
            </w:r>
            <w:r w:rsidR="0060148E" w:rsidRPr="00E21577">
              <w:rPr>
                <w:lang w:val="es-ES_tradnl"/>
              </w:rPr>
              <w:t>adopción de la IPSAS</w:t>
            </w:r>
            <w:r w:rsidR="00297D71" w:rsidRPr="00E21577">
              <w:rPr>
                <w:lang w:val="es-ES_tradnl"/>
              </w:rPr>
              <w:t xml:space="preserve"> </w:t>
            </w:r>
            <w:r w:rsidR="0060148E" w:rsidRPr="00E21577">
              <w:rPr>
                <w:lang w:val="es-ES_tradnl"/>
              </w:rPr>
              <w:t>39 “Beneficios a los empleados”.</w:t>
            </w:r>
          </w:p>
          <w:p w:rsidR="00C91841" w:rsidRPr="00E21577" w:rsidRDefault="00C91841" w:rsidP="00A01A67">
            <w:pPr>
              <w:pStyle w:val="FootnoteText"/>
              <w:rPr>
                <w:lang w:val="es-ES_tradnl"/>
              </w:rPr>
            </w:pPr>
          </w:p>
          <w:p w:rsidR="00E124B9" w:rsidRPr="00E21577" w:rsidRDefault="00936582" w:rsidP="00266F22">
            <w:pPr>
              <w:pStyle w:val="FootnoteText"/>
              <w:rPr>
                <w:rStyle w:val="FootnoteReference"/>
                <w:lang w:val="es-ES_tradnl"/>
              </w:rPr>
            </w:pPr>
            <w:r w:rsidRPr="00E21577">
              <w:rPr>
                <w:lang w:val="es-ES_tradnl"/>
              </w:rPr>
              <w:t>Fuente:</w:t>
            </w:r>
            <w:r w:rsidR="00E124B9" w:rsidRPr="00E21577">
              <w:rPr>
                <w:lang w:val="es-ES_tradnl"/>
              </w:rPr>
              <w:t xml:space="preserve"> </w:t>
            </w:r>
            <w:r w:rsidRPr="00E21577">
              <w:rPr>
                <w:lang w:val="es-ES_tradnl"/>
              </w:rPr>
              <w:t>Estados financieros auditados de la</w:t>
            </w:r>
            <w:r w:rsidR="00297D71" w:rsidRPr="00E21577">
              <w:rPr>
                <w:lang w:val="es-ES_tradnl"/>
              </w:rPr>
              <w:t xml:space="preserve"> </w:t>
            </w:r>
            <w:r w:rsidRPr="00E21577">
              <w:rPr>
                <w:lang w:val="es-ES_tradnl"/>
              </w:rPr>
              <w:t>UPOV</w:t>
            </w:r>
          </w:p>
        </w:tc>
      </w:tr>
    </w:tbl>
    <w:p w:rsidR="00C91841" w:rsidRPr="00E21577" w:rsidRDefault="007B7983" w:rsidP="004B500B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bookmarkStart w:id="13" w:name="SW0005"/>
      <w:bookmarkEnd w:id="10"/>
      <w:r w:rsidRPr="00E21577">
        <w:rPr>
          <w:lang w:val="es-ES_tradnl"/>
        </w:rPr>
        <w:t xml:space="preserve">Aunque la relación </w:t>
      </w:r>
      <w:r w:rsidR="00C002E1" w:rsidRPr="00E21577">
        <w:rPr>
          <w:lang w:val="es-ES_tradnl"/>
        </w:rPr>
        <w:t xml:space="preserve">global </w:t>
      </w:r>
      <w:r w:rsidR="004729A9" w:rsidRPr="00E21577">
        <w:rPr>
          <w:lang w:val="es-ES_tradnl"/>
        </w:rPr>
        <w:t xml:space="preserve">entre el activo y el pasivo </w:t>
      </w:r>
      <w:r w:rsidRPr="00E21577">
        <w:rPr>
          <w:lang w:val="es-ES_tradnl"/>
        </w:rPr>
        <w:t>de la</w:t>
      </w:r>
      <w:r w:rsidR="00297D71" w:rsidRPr="00E21577">
        <w:rPr>
          <w:lang w:val="es-ES_tradnl"/>
        </w:rPr>
        <w:t xml:space="preserve"> </w:t>
      </w:r>
      <w:r w:rsidR="00A07455" w:rsidRPr="00E21577">
        <w:rPr>
          <w:lang w:val="es-ES_tradnl"/>
        </w:rPr>
        <w:t xml:space="preserve">UPOV </w:t>
      </w:r>
      <w:r w:rsidRPr="00E21577">
        <w:rPr>
          <w:lang w:val="es-ES_tradnl"/>
        </w:rPr>
        <w:t xml:space="preserve">se </w:t>
      </w:r>
      <w:r w:rsidR="00A07455" w:rsidRPr="00E21577">
        <w:rPr>
          <w:lang w:val="es-ES_tradnl"/>
        </w:rPr>
        <w:t>ha</w:t>
      </w:r>
      <w:r w:rsidRPr="00E21577">
        <w:rPr>
          <w:lang w:val="es-ES_tradnl"/>
        </w:rPr>
        <w:t xml:space="preserve"> reducido de</w:t>
      </w:r>
      <w:r w:rsidR="00297D71" w:rsidRPr="00E21577">
        <w:rPr>
          <w:lang w:val="es-ES_tradnl"/>
        </w:rPr>
        <w:t xml:space="preserve"> </w:t>
      </w:r>
      <w:r w:rsidR="00A07455" w:rsidRPr="00E21577">
        <w:rPr>
          <w:lang w:val="es-ES_tradnl"/>
        </w:rPr>
        <w:t>1</w:t>
      </w:r>
      <w:r w:rsidRPr="00E21577">
        <w:rPr>
          <w:lang w:val="es-ES_tradnl"/>
        </w:rPr>
        <w:t>,</w:t>
      </w:r>
      <w:r w:rsidR="00A07455" w:rsidRPr="00E21577">
        <w:rPr>
          <w:lang w:val="es-ES_tradnl"/>
        </w:rPr>
        <w:t>55 a</w:t>
      </w:r>
      <w:r w:rsidR="00297D71" w:rsidRPr="00E21577">
        <w:rPr>
          <w:lang w:val="es-ES_tradnl"/>
        </w:rPr>
        <w:t xml:space="preserve"> </w:t>
      </w:r>
      <w:r w:rsidR="00A07455" w:rsidRPr="00E21577">
        <w:rPr>
          <w:lang w:val="es-ES_tradnl"/>
        </w:rPr>
        <w:t>1</w:t>
      </w:r>
      <w:r w:rsidRPr="00E21577">
        <w:rPr>
          <w:lang w:val="es-ES_tradnl"/>
        </w:rPr>
        <w:t>,</w:t>
      </w:r>
      <w:r w:rsidR="00A07455" w:rsidRPr="00E21577">
        <w:rPr>
          <w:lang w:val="es-ES_tradnl"/>
        </w:rPr>
        <w:t xml:space="preserve">18, </w:t>
      </w:r>
      <w:r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A07455" w:rsidRPr="00E21577">
        <w:rPr>
          <w:lang w:val="es-ES_tradnl"/>
        </w:rPr>
        <w:t xml:space="preserve">UPOV </w:t>
      </w:r>
      <w:r w:rsidRPr="00E21577">
        <w:rPr>
          <w:lang w:val="es-ES_tradnl"/>
        </w:rPr>
        <w:t xml:space="preserve">conserva </w:t>
      </w:r>
      <w:r w:rsidR="00A07455" w:rsidRPr="00E21577">
        <w:rPr>
          <w:lang w:val="es-ES_tradnl"/>
        </w:rPr>
        <w:t xml:space="preserve">activos </w:t>
      </w:r>
      <w:r w:rsidRPr="00E21577">
        <w:rPr>
          <w:lang w:val="es-ES_tradnl"/>
        </w:rPr>
        <w:t xml:space="preserve">suficientes para </w:t>
      </w:r>
      <w:r w:rsidR="001237F4" w:rsidRPr="00E21577">
        <w:rPr>
          <w:lang w:val="es-ES_tradnl"/>
        </w:rPr>
        <w:t>atender</w:t>
      </w:r>
      <w:r w:rsidRPr="00E21577">
        <w:rPr>
          <w:lang w:val="es-ES_tradnl"/>
        </w:rPr>
        <w:t xml:space="preserve"> sus </w:t>
      </w:r>
      <w:r w:rsidR="00A07455" w:rsidRPr="00E21577">
        <w:rPr>
          <w:lang w:val="es-ES_tradnl"/>
        </w:rPr>
        <w:t xml:space="preserve">pasivos, </w:t>
      </w:r>
      <w:r w:rsidR="00E94754" w:rsidRPr="00E21577">
        <w:rPr>
          <w:lang w:val="es-ES_tradnl"/>
        </w:rPr>
        <w:t>y su</w:t>
      </w:r>
      <w:r w:rsidR="00A07455" w:rsidRPr="00E21577">
        <w:rPr>
          <w:lang w:val="es-ES_tradnl"/>
        </w:rPr>
        <w:t xml:space="preserve"> efectivo y equivalentes de efectivo </w:t>
      </w:r>
      <w:r w:rsidR="001237F4" w:rsidRPr="00E21577">
        <w:rPr>
          <w:lang w:val="es-ES_tradnl"/>
        </w:rPr>
        <w:t>son</w:t>
      </w:r>
      <w:r w:rsidR="00297D71" w:rsidRPr="00E21577">
        <w:rPr>
          <w:lang w:val="es-ES_tradnl"/>
        </w:rPr>
        <w:t xml:space="preserve"> </w:t>
      </w:r>
      <w:r w:rsidR="00E94754" w:rsidRPr="00E21577">
        <w:rPr>
          <w:lang w:val="es-ES_tradnl"/>
        </w:rPr>
        <w:t xml:space="preserve">2,97 veces </w:t>
      </w:r>
      <w:r w:rsidR="004B5288" w:rsidRPr="00E21577">
        <w:rPr>
          <w:lang w:val="es-ES_tradnl"/>
        </w:rPr>
        <w:t>mayor</w:t>
      </w:r>
      <w:r w:rsidR="001237F4" w:rsidRPr="00E21577">
        <w:rPr>
          <w:lang w:val="es-ES_tradnl"/>
        </w:rPr>
        <w:t>es</w:t>
      </w:r>
      <w:r w:rsidR="004B5288" w:rsidRPr="00E21577">
        <w:rPr>
          <w:lang w:val="es-ES_tradnl"/>
        </w:rPr>
        <w:t xml:space="preserve"> que </w:t>
      </w:r>
      <w:r w:rsidR="00E94754" w:rsidRPr="00E21577">
        <w:rPr>
          <w:lang w:val="es-ES_tradnl"/>
        </w:rPr>
        <w:t xml:space="preserve">los </w:t>
      </w:r>
      <w:r w:rsidR="00A07455" w:rsidRPr="00E21577">
        <w:rPr>
          <w:lang w:val="es-ES_tradnl"/>
        </w:rPr>
        <w:t xml:space="preserve">pasivos corrientes, </w:t>
      </w:r>
      <w:r w:rsidR="00E94754" w:rsidRPr="00E21577">
        <w:rPr>
          <w:lang w:val="es-ES_tradnl"/>
        </w:rPr>
        <w:t>frente a</w:t>
      </w:r>
      <w:r w:rsidR="00297D71" w:rsidRPr="00E21577">
        <w:rPr>
          <w:lang w:val="es-ES_tradnl"/>
        </w:rPr>
        <w:t xml:space="preserve"> </w:t>
      </w:r>
      <w:r w:rsidR="00A07455" w:rsidRPr="00E21577">
        <w:rPr>
          <w:lang w:val="es-ES_tradnl"/>
        </w:rPr>
        <w:t>2</w:t>
      </w:r>
      <w:r w:rsidR="00E94754" w:rsidRPr="00E21577">
        <w:rPr>
          <w:lang w:val="es-ES_tradnl"/>
        </w:rPr>
        <w:t>,</w:t>
      </w:r>
      <w:r w:rsidR="00A07455" w:rsidRPr="00E21577">
        <w:rPr>
          <w:lang w:val="es-ES_tradnl"/>
        </w:rPr>
        <w:t xml:space="preserve">43 </w:t>
      </w:r>
      <w:r w:rsidR="00E94754" w:rsidRPr="00E21577">
        <w:rPr>
          <w:lang w:val="es-ES_tradnl"/>
        </w:rPr>
        <w:t xml:space="preserve">veces </w:t>
      </w:r>
      <w:r w:rsidR="00A07455" w:rsidRPr="00E21577">
        <w:rPr>
          <w:lang w:val="es-ES_tradnl"/>
        </w:rPr>
        <w:t>en</w:t>
      </w:r>
      <w:r w:rsidR="00297D71" w:rsidRPr="00E21577">
        <w:rPr>
          <w:lang w:val="es-ES_tradnl"/>
        </w:rPr>
        <w:t xml:space="preserve"> </w:t>
      </w:r>
      <w:r w:rsidR="00A07455" w:rsidRPr="00E21577">
        <w:rPr>
          <w:lang w:val="es-ES_tradnl"/>
        </w:rPr>
        <w:t>2015.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D345B7" w:rsidRPr="00E21577">
        <w:rPr>
          <w:lang w:val="es-ES_tradnl"/>
        </w:rPr>
        <w:t>Este coeficiente es relativamente elevado</w:t>
      </w:r>
      <w:r w:rsidR="00CE74E4" w:rsidRPr="00E21577">
        <w:rPr>
          <w:lang w:val="es-ES_tradnl"/>
        </w:rPr>
        <w:t>;</w:t>
      </w:r>
      <w:r w:rsidR="00D345B7" w:rsidRPr="00E21577">
        <w:rPr>
          <w:lang w:val="es-ES_tradnl"/>
        </w:rPr>
        <w:t xml:space="preserve"> </w:t>
      </w:r>
      <w:r w:rsidR="00CE74E4" w:rsidRPr="00E21577">
        <w:rPr>
          <w:lang w:val="es-ES_tradnl"/>
        </w:rPr>
        <w:t xml:space="preserve">más adelante se exponen </w:t>
      </w:r>
      <w:r w:rsidR="00E11A1F" w:rsidRPr="00E21577">
        <w:rPr>
          <w:lang w:val="es-ES_tradnl"/>
        </w:rPr>
        <w:t xml:space="preserve">los motivos </w:t>
      </w:r>
      <w:r w:rsidR="00CE74E4" w:rsidRPr="00E21577">
        <w:rPr>
          <w:lang w:val="es-ES_tradnl"/>
        </w:rPr>
        <w:t>para</w:t>
      </w:r>
      <w:r w:rsidR="00E11A1F" w:rsidRPr="00E21577">
        <w:rPr>
          <w:lang w:val="es-ES_tradnl"/>
        </w:rPr>
        <w:t xml:space="preserve"> manten</w:t>
      </w:r>
      <w:r w:rsidR="00CE74E4" w:rsidRPr="00E21577">
        <w:rPr>
          <w:lang w:val="es-ES_tradnl"/>
        </w:rPr>
        <w:t xml:space="preserve">er </w:t>
      </w:r>
      <w:r w:rsidR="00D345B7" w:rsidRPr="00E21577">
        <w:rPr>
          <w:lang w:val="es-ES_tradnl"/>
        </w:rPr>
        <w:t xml:space="preserve">saldos </w:t>
      </w:r>
      <w:r w:rsidR="00CE74E4" w:rsidRPr="00E21577">
        <w:rPr>
          <w:lang w:val="es-ES_tradnl"/>
        </w:rPr>
        <w:t>de</w:t>
      </w:r>
      <w:r w:rsidR="00E11A1F" w:rsidRPr="00E21577">
        <w:rPr>
          <w:lang w:val="es-ES_tradnl"/>
        </w:rPr>
        <w:t xml:space="preserve"> </w:t>
      </w:r>
      <w:r w:rsidR="00D345B7" w:rsidRPr="00E21577">
        <w:rPr>
          <w:lang w:val="es-ES_tradnl"/>
        </w:rPr>
        <w:t>efectivo.</w:t>
      </w:r>
      <w:r w:rsidR="005640B7" w:rsidRPr="00E21577">
        <w:rPr>
          <w:lang w:val="es-ES_tradnl"/>
        </w:rPr>
        <w:t xml:space="preserve"> </w:t>
      </w:r>
      <w:r w:rsidR="00D6359E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br/>
      </w:r>
      <w:r w:rsidR="000F1838" w:rsidRPr="00E21577">
        <w:rPr>
          <w:lang w:val="es-ES_tradnl"/>
        </w:rPr>
        <w:t>La</w:t>
      </w:r>
      <w:r w:rsidR="00E11A1F" w:rsidRPr="00E21577">
        <w:rPr>
          <w:lang w:val="es-ES_tradnl"/>
        </w:rPr>
        <w:t xml:space="preserve"> </w:t>
      </w:r>
      <w:r w:rsidR="000F1838" w:rsidRPr="00E21577">
        <w:rPr>
          <w:lang w:val="es-ES_tradnl"/>
        </w:rPr>
        <w:t xml:space="preserve">reducción global de los coeficientes de liquidez </w:t>
      </w:r>
      <w:r w:rsidR="00E11A1F" w:rsidRPr="00E21577">
        <w:rPr>
          <w:lang w:val="es-ES_tradnl"/>
        </w:rPr>
        <w:t xml:space="preserve">y </w:t>
      </w:r>
      <w:r w:rsidR="000F1838" w:rsidRPr="00E21577">
        <w:rPr>
          <w:lang w:val="es-ES_tradnl"/>
        </w:rPr>
        <w:t xml:space="preserve">de caja </w:t>
      </w:r>
      <w:r w:rsidR="00E11A1F" w:rsidRPr="00E21577">
        <w:rPr>
          <w:lang w:val="es-ES_tradnl"/>
        </w:rPr>
        <w:t xml:space="preserve">en </w:t>
      </w:r>
      <w:r w:rsidR="000F1838" w:rsidRPr="00E21577">
        <w:rPr>
          <w:lang w:val="es-ES_tradnl"/>
        </w:rPr>
        <w:t xml:space="preserve">este </w:t>
      </w:r>
      <w:r w:rsidR="00E11A1F" w:rsidRPr="00E21577">
        <w:rPr>
          <w:lang w:val="es-ES_tradnl"/>
        </w:rPr>
        <w:t xml:space="preserve">ejercicio </w:t>
      </w:r>
      <w:r w:rsidR="000F1838" w:rsidRPr="00E21577">
        <w:rPr>
          <w:lang w:val="es-ES_tradnl"/>
        </w:rPr>
        <w:t xml:space="preserve">se debe </w:t>
      </w:r>
      <w:r w:rsidR="00E11A1F" w:rsidRPr="00E21577">
        <w:rPr>
          <w:lang w:val="es-ES_tradnl"/>
        </w:rPr>
        <w:t>principalmente a</w:t>
      </w:r>
      <w:r w:rsidR="000F1838" w:rsidRPr="00E21577">
        <w:rPr>
          <w:lang w:val="es-ES_tradnl"/>
        </w:rPr>
        <w:t>l</w:t>
      </w:r>
      <w:r w:rsidR="00E11A1F" w:rsidRPr="00E21577">
        <w:rPr>
          <w:lang w:val="es-ES_tradnl"/>
        </w:rPr>
        <w:t xml:space="preserve"> </w:t>
      </w:r>
      <w:r w:rsidR="000F1838" w:rsidRPr="00E21577">
        <w:rPr>
          <w:lang w:val="es-ES_tradnl"/>
        </w:rPr>
        <w:t xml:space="preserve">aumento del </w:t>
      </w:r>
      <w:r w:rsidR="00E11A1F" w:rsidRPr="00E21577">
        <w:rPr>
          <w:lang w:val="es-ES_tradnl"/>
        </w:rPr>
        <w:t>saldo</w:t>
      </w:r>
      <w:r w:rsidR="000F1838" w:rsidRPr="00E21577">
        <w:rPr>
          <w:lang w:val="es-ES_tradnl"/>
        </w:rPr>
        <w:t xml:space="preserve"> </w:t>
      </w:r>
      <w:r w:rsidR="00232736" w:rsidRPr="00E21577">
        <w:rPr>
          <w:lang w:val="es-ES_tradnl"/>
        </w:rPr>
        <w:t>que se adeuda</w:t>
      </w:r>
      <w:r w:rsidR="000F1838" w:rsidRPr="00E21577">
        <w:rPr>
          <w:lang w:val="es-ES_tradnl"/>
        </w:rPr>
        <w:t xml:space="preserve"> </w:t>
      </w:r>
      <w:r w:rsidR="00E11A1F" w:rsidRPr="00E21577">
        <w:rPr>
          <w:lang w:val="es-ES_tradnl"/>
        </w:rPr>
        <w:t xml:space="preserve">a </w:t>
      </w:r>
      <w:r w:rsidR="000F1838"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E11A1F" w:rsidRPr="00E21577">
        <w:rPr>
          <w:lang w:val="es-ES_tradnl"/>
        </w:rPr>
        <w:t xml:space="preserve">OMPI </w:t>
      </w:r>
      <w:r w:rsidR="00232736" w:rsidRPr="00E21577">
        <w:rPr>
          <w:lang w:val="es-ES_tradnl"/>
        </w:rPr>
        <w:t>por los</w:t>
      </w:r>
      <w:r w:rsidR="000F1838" w:rsidRPr="00E21577">
        <w:rPr>
          <w:lang w:val="es-ES_tradnl"/>
        </w:rPr>
        <w:t xml:space="preserve"> </w:t>
      </w:r>
      <w:r w:rsidR="00E11A1F" w:rsidRPr="00E21577">
        <w:rPr>
          <w:lang w:val="es-ES_tradnl"/>
        </w:rPr>
        <w:t>servicios</w:t>
      </w:r>
      <w:r w:rsidR="000F1838" w:rsidRPr="00E21577">
        <w:rPr>
          <w:lang w:val="es-ES_tradnl"/>
        </w:rPr>
        <w:t xml:space="preserve"> administrativos</w:t>
      </w:r>
      <w:r w:rsidR="00E11A1F" w:rsidRPr="00E21577">
        <w:rPr>
          <w:lang w:val="es-ES_tradnl"/>
        </w:rPr>
        <w:t>.</w:t>
      </w:r>
    </w:p>
    <w:p w:rsidR="00C91841" w:rsidRPr="00E21577" w:rsidRDefault="002E5BD4" w:rsidP="004B500B">
      <w:pPr>
        <w:pStyle w:val="Heading4"/>
        <w:spacing w:after="160" w:line="240" w:lineRule="auto"/>
        <w:jc w:val="both"/>
        <w:rPr>
          <w:lang w:val="es-ES_tradnl"/>
        </w:rPr>
      </w:pPr>
      <w:r w:rsidRPr="00E21577">
        <w:rPr>
          <w:lang w:val="es-ES_tradnl"/>
        </w:rPr>
        <w:lastRenderedPageBreak/>
        <w:t>Efectivo y equivalentes de efectivo</w:t>
      </w:r>
    </w:p>
    <w:p w:rsidR="00C91841" w:rsidRPr="00E21577" w:rsidRDefault="00FC1E27" w:rsidP="00FC65D1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Al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2018</w:t>
      </w:r>
      <w:r w:rsidR="002E5BD4" w:rsidRPr="00E21577">
        <w:rPr>
          <w:lang w:val="es-ES_tradnl"/>
        </w:rPr>
        <w:t xml:space="preserve">, </w:t>
      </w:r>
      <w:r w:rsidRPr="00E21577">
        <w:rPr>
          <w:lang w:val="es-ES_tradnl"/>
        </w:rPr>
        <w:t xml:space="preserve">la </w:t>
      </w:r>
      <w:r w:rsidR="002E5BD4" w:rsidRPr="00E21577">
        <w:rPr>
          <w:lang w:val="es-ES_tradnl"/>
        </w:rPr>
        <w:t xml:space="preserve">UPOV </w:t>
      </w:r>
      <w:r w:rsidRPr="00E21577">
        <w:rPr>
          <w:lang w:val="es-ES_tradnl"/>
        </w:rPr>
        <w:t xml:space="preserve">declaró unos saldos de </w:t>
      </w:r>
      <w:r w:rsidR="002E5BD4" w:rsidRPr="00E21577">
        <w:rPr>
          <w:lang w:val="es-ES_tradnl"/>
        </w:rPr>
        <w:t>efectivo y equivalentes de efectivo</w:t>
      </w:r>
      <w:r w:rsidR="00715548" w:rsidRPr="00E21577">
        <w:rPr>
          <w:vertAlign w:val="superscript"/>
          <w:lang w:val="es-ES_tradnl"/>
        </w:rPr>
        <w:footnoteReference w:id="2"/>
      </w:r>
      <w:r w:rsidR="002E5BD4" w:rsidRPr="00E21577">
        <w:rPr>
          <w:lang w:val="es-ES_tradnl"/>
        </w:rPr>
        <w:t xml:space="preserve"> </w:t>
      </w:r>
      <w:r w:rsidR="00DC442B" w:rsidRPr="00E21577">
        <w:rPr>
          <w:lang w:val="es-ES_tradnl"/>
        </w:rPr>
        <w:t xml:space="preserve">por valor </w:t>
      </w:r>
      <w:r w:rsidR="002E5BD4" w:rsidRPr="00E21577">
        <w:rPr>
          <w:lang w:val="es-ES_tradnl"/>
        </w:rPr>
        <w:t>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4,3 millones de francos suizos</w:t>
      </w:r>
      <w:r w:rsidR="002E5BD4" w:rsidRPr="00E21577">
        <w:rPr>
          <w:lang w:val="es-ES_tradnl"/>
        </w:rPr>
        <w:t xml:space="preserve">, </w:t>
      </w:r>
      <w:r w:rsidR="00DC442B" w:rsidRPr="00E21577">
        <w:rPr>
          <w:lang w:val="es-ES_tradnl"/>
        </w:rPr>
        <w:t>lo que supone un</w:t>
      </w:r>
      <w:r w:rsidR="002E5BD4" w:rsidRPr="00E21577">
        <w:rPr>
          <w:lang w:val="es-ES_tradnl"/>
        </w:rPr>
        <w:t xml:space="preserve"> incre</w:t>
      </w:r>
      <w:r w:rsidR="00DC442B" w:rsidRPr="00E21577">
        <w:rPr>
          <w:lang w:val="es-ES_tradnl"/>
        </w:rPr>
        <w:t>mento del</w:t>
      </w:r>
      <w:r w:rsidR="00297D71" w:rsidRPr="00E21577">
        <w:rPr>
          <w:lang w:val="es-ES_tradnl"/>
        </w:rPr>
        <w:t xml:space="preserve"> </w:t>
      </w:r>
      <w:r w:rsidR="002E5BD4" w:rsidRPr="00E21577">
        <w:rPr>
          <w:lang w:val="es-ES_tradnl"/>
        </w:rPr>
        <w:t>3</w:t>
      </w:r>
      <w:r w:rsidR="00DC442B" w:rsidRPr="00E21577">
        <w:rPr>
          <w:lang w:val="es-ES_tradnl"/>
        </w:rPr>
        <w:t>,</w:t>
      </w:r>
      <w:r w:rsidR="002E5BD4" w:rsidRPr="00E21577">
        <w:rPr>
          <w:lang w:val="es-ES_tradnl"/>
        </w:rPr>
        <w:t xml:space="preserve">9% </w:t>
      </w:r>
      <w:r w:rsidR="00DC442B" w:rsidRPr="00E21577">
        <w:rPr>
          <w:lang w:val="es-ES_tradnl"/>
        </w:rPr>
        <w:t>respecto al</w:t>
      </w:r>
      <w:r w:rsidR="00297D71" w:rsidRPr="00E21577">
        <w:rPr>
          <w:lang w:val="es-ES_tradnl"/>
        </w:rPr>
        <w:t xml:space="preserve"> </w:t>
      </w:r>
      <w:r w:rsidR="002E5BD4" w:rsidRPr="00E21577">
        <w:rPr>
          <w:lang w:val="es-ES_tradnl"/>
        </w:rPr>
        <w:t xml:space="preserve">31 </w:t>
      </w:r>
      <w:r w:rsidR="00DC442B" w:rsidRPr="00E21577">
        <w:rPr>
          <w:lang w:val="es-ES_tradnl"/>
        </w:rPr>
        <w:t>de</w:t>
      </w:r>
      <w:r w:rsidR="004B500B" w:rsidRPr="00E21577">
        <w:rPr>
          <w:lang w:val="es-ES_tradnl"/>
        </w:rPr>
        <w:t xml:space="preserve"> </w:t>
      </w:r>
      <w:r w:rsidR="00DC442B" w:rsidRPr="00E21577">
        <w:rPr>
          <w:lang w:val="es-ES_tradnl"/>
        </w:rPr>
        <w:t>diciembre de</w:t>
      </w:r>
      <w:r w:rsidR="00297D71" w:rsidRPr="00E21577">
        <w:rPr>
          <w:lang w:val="es-ES_tradnl"/>
        </w:rPr>
        <w:t xml:space="preserve"> </w:t>
      </w:r>
      <w:r w:rsidR="002E5BD4" w:rsidRPr="00E21577">
        <w:rPr>
          <w:lang w:val="es-ES_tradnl"/>
        </w:rPr>
        <w:t>2017.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DC442B" w:rsidRPr="00E21577">
        <w:rPr>
          <w:lang w:val="es-ES_tradnl"/>
        </w:rPr>
        <w:t>De conformidad con el capítulo</w:t>
      </w:r>
      <w:r w:rsidR="00297D71" w:rsidRPr="00E21577">
        <w:rPr>
          <w:lang w:val="es-ES_tradnl"/>
        </w:rPr>
        <w:t xml:space="preserve"> </w:t>
      </w:r>
      <w:r w:rsidR="00DC442B" w:rsidRPr="00E21577">
        <w:rPr>
          <w:lang w:val="es-ES_tradnl"/>
        </w:rPr>
        <w:t>4 del Reglamento Financiero y la Reglamentación Financiera de la</w:t>
      </w:r>
      <w:r w:rsidR="00297D71" w:rsidRPr="00E21577">
        <w:rPr>
          <w:lang w:val="es-ES_tradnl"/>
        </w:rPr>
        <w:t xml:space="preserve"> </w:t>
      </w:r>
      <w:r w:rsidR="00DC442B" w:rsidRPr="00E21577">
        <w:rPr>
          <w:lang w:val="es-ES_tradnl"/>
        </w:rPr>
        <w:t xml:space="preserve">UPOV, </w:t>
      </w:r>
      <w:r w:rsidR="00776B2E" w:rsidRPr="00E21577">
        <w:rPr>
          <w:lang w:val="es-ES_tradnl"/>
        </w:rPr>
        <w:t>corresponde a la</w:t>
      </w:r>
      <w:r w:rsidR="00297D71" w:rsidRPr="00E21577">
        <w:rPr>
          <w:lang w:val="es-ES_tradnl"/>
        </w:rPr>
        <w:t xml:space="preserve"> </w:t>
      </w:r>
      <w:r w:rsidR="00776B2E" w:rsidRPr="00E21577">
        <w:rPr>
          <w:lang w:val="es-ES_tradnl"/>
        </w:rPr>
        <w:t xml:space="preserve">OMPI </w:t>
      </w:r>
      <w:r w:rsidR="00DC442B" w:rsidRPr="00E21577">
        <w:rPr>
          <w:lang w:val="es-ES_tradnl"/>
        </w:rPr>
        <w:t>la custodia de los fondos de la</w:t>
      </w:r>
      <w:r w:rsidR="00297D71" w:rsidRPr="00E21577">
        <w:rPr>
          <w:lang w:val="es-ES_tradnl"/>
        </w:rPr>
        <w:t xml:space="preserve"> </w:t>
      </w:r>
      <w:r w:rsidR="00DC442B" w:rsidRPr="00E21577">
        <w:rPr>
          <w:lang w:val="es-ES_tradnl"/>
        </w:rPr>
        <w:t>UPOV.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190369" w:rsidRPr="00E21577">
        <w:rPr>
          <w:lang w:val="es-ES_tradnl"/>
        </w:rPr>
        <w:t>Conforme al Reglamento Financiero y la Reglamentación Financiera de la</w:t>
      </w:r>
      <w:r w:rsidR="00297D71" w:rsidRPr="00E21577">
        <w:rPr>
          <w:lang w:val="es-ES_tradnl"/>
        </w:rPr>
        <w:t xml:space="preserve"> </w:t>
      </w:r>
      <w:r w:rsidR="00190369" w:rsidRPr="00E21577">
        <w:rPr>
          <w:lang w:val="es-ES_tradnl"/>
        </w:rPr>
        <w:t>UPOV, la</w:t>
      </w:r>
      <w:r w:rsidR="00297D71" w:rsidRPr="00E21577">
        <w:rPr>
          <w:lang w:val="es-ES_tradnl"/>
        </w:rPr>
        <w:t xml:space="preserve"> </w:t>
      </w:r>
      <w:r w:rsidR="009E75DD" w:rsidRPr="00E21577">
        <w:rPr>
          <w:lang w:val="es-ES_tradnl"/>
        </w:rPr>
        <w:t xml:space="preserve">OMPI </w:t>
      </w:r>
      <w:r w:rsidR="00190369" w:rsidRPr="00E21577">
        <w:rPr>
          <w:lang w:val="es-ES_tradnl"/>
        </w:rPr>
        <w:t>tiene</w:t>
      </w:r>
      <w:r w:rsidR="009E75DD" w:rsidRPr="00E21577">
        <w:rPr>
          <w:lang w:val="es-ES_tradnl"/>
        </w:rPr>
        <w:t xml:space="preserve"> autoridad </w:t>
      </w:r>
      <w:r w:rsidR="00190369" w:rsidRPr="00E21577">
        <w:rPr>
          <w:lang w:val="es-ES_tradnl"/>
        </w:rPr>
        <w:t>par</w:t>
      </w:r>
      <w:r w:rsidR="009E75DD" w:rsidRPr="00E21577">
        <w:rPr>
          <w:lang w:val="es-ES_tradnl"/>
        </w:rPr>
        <w:t xml:space="preserve">a </w:t>
      </w:r>
      <w:r w:rsidR="00190369" w:rsidRPr="00E21577">
        <w:rPr>
          <w:lang w:val="es-ES_tradnl"/>
        </w:rPr>
        <w:t xml:space="preserve">realizar inversiones </w:t>
      </w:r>
      <w:r w:rsidR="009E75DD" w:rsidRPr="00E21577">
        <w:rPr>
          <w:lang w:val="es-ES_tradnl"/>
        </w:rPr>
        <w:t xml:space="preserve">a corto plazo </w:t>
      </w:r>
      <w:r w:rsidR="00190369" w:rsidRPr="00E21577">
        <w:rPr>
          <w:lang w:val="es-ES_tradnl"/>
        </w:rPr>
        <w:t>con las sumas que no se precisen para atender las necesidades inmediatas</w:t>
      </w:r>
      <w:r w:rsidR="009E75DD" w:rsidRPr="00E21577">
        <w:rPr>
          <w:lang w:val="es-ES_tradnl"/>
        </w:rPr>
        <w:t>.</w:t>
      </w:r>
    </w:p>
    <w:p w:rsidR="00C91841" w:rsidRPr="00E21577" w:rsidRDefault="00FC65D1" w:rsidP="00FC65D1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Al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2018, el</w:t>
      </w:r>
      <w:r w:rsidR="00297D71" w:rsidRPr="00E21577">
        <w:rPr>
          <w:lang w:val="es-ES_tradnl"/>
        </w:rPr>
        <w:t xml:space="preserve"> </w:t>
      </w:r>
      <w:r w:rsidR="00190369" w:rsidRPr="00E21577">
        <w:rPr>
          <w:lang w:val="es-ES_tradnl"/>
        </w:rPr>
        <w:t>97,0% de los activos de efectivo de la</w:t>
      </w:r>
      <w:r w:rsidR="00297D71" w:rsidRPr="00E21577">
        <w:rPr>
          <w:lang w:val="es-ES_tradnl"/>
        </w:rPr>
        <w:t xml:space="preserve"> </w:t>
      </w:r>
      <w:r w:rsidR="00190369" w:rsidRPr="00E21577">
        <w:rPr>
          <w:lang w:val="es-ES_tradnl"/>
        </w:rPr>
        <w:t xml:space="preserve">UPOV (4,1 millones de francos suizos) </w:t>
      </w:r>
      <w:r w:rsidR="0097323B" w:rsidRPr="00E21577">
        <w:rPr>
          <w:lang w:val="es-ES_tradnl"/>
        </w:rPr>
        <w:t>estaba</w:t>
      </w:r>
      <w:r w:rsidR="00190369" w:rsidRPr="00E21577">
        <w:rPr>
          <w:lang w:val="es-ES_tradnl"/>
        </w:rPr>
        <w:t xml:space="preserve"> deposit</w:t>
      </w:r>
      <w:r w:rsidR="0097323B" w:rsidRPr="00E21577">
        <w:rPr>
          <w:lang w:val="es-ES_tradnl"/>
        </w:rPr>
        <w:t xml:space="preserve">ado </w:t>
      </w:r>
      <w:r w:rsidR="00190369" w:rsidRPr="00E21577">
        <w:rPr>
          <w:lang w:val="es-ES_tradnl"/>
        </w:rPr>
        <w:t>en cuentas</w:t>
      </w:r>
      <w:r w:rsidR="0097323B" w:rsidRPr="00E21577">
        <w:rPr>
          <w:lang w:val="es-ES_tradnl"/>
        </w:rPr>
        <w:t xml:space="preserve"> en francos suizos</w:t>
      </w:r>
      <w:r w:rsidR="00190369"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97323B" w:rsidRPr="00E21577">
        <w:rPr>
          <w:lang w:val="es-ES_tradnl"/>
        </w:rPr>
        <w:t xml:space="preserve">Previa consulta con el </w:t>
      </w:r>
      <w:r w:rsidR="005640B7" w:rsidRPr="00E21577">
        <w:rPr>
          <w:lang w:val="es-ES_tradnl"/>
        </w:rPr>
        <w:t xml:space="preserve">Secretario General </w:t>
      </w:r>
      <w:r w:rsidR="0097323B" w:rsidRPr="00E21577">
        <w:rPr>
          <w:lang w:val="es-ES_tradnl"/>
        </w:rPr>
        <w:t>de la</w:t>
      </w:r>
      <w:r w:rsidR="00297D71" w:rsidRPr="00E21577">
        <w:rPr>
          <w:lang w:val="es-ES_tradnl"/>
        </w:rPr>
        <w:t xml:space="preserve"> </w:t>
      </w:r>
      <w:r w:rsidR="0097323B" w:rsidRPr="00E21577">
        <w:rPr>
          <w:lang w:val="es-ES_tradnl"/>
        </w:rPr>
        <w:t>UPOV, el jefe de Tesorería de la</w:t>
      </w:r>
      <w:r w:rsidR="00297D71" w:rsidRPr="00E21577">
        <w:rPr>
          <w:lang w:val="es-ES_tradnl"/>
        </w:rPr>
        <w:t xml:space="preserve"> </w:t>
      </w:r>
      <w:r w:rsidR="0097323B" w:rsidRPr="00E21577">
        <w:rPr>
          <w:lang w:val="es-ES_tradnl"/>
        </w:rPr>
        <w:t>OMPI consideró que</w:t>
      </w:r>
      <w:r w:rsidR="00E36A84" w:rsidRPr="00E21577">
        <w:rPr>
          <w:lang w:val="es-ES_tradnl"/>
        </w:rPr>
        <w:t>,</w:t>
      </w:r>
      <w:r w:rsidR="0097323B" w:rsidRPr="00E21577">
        <w:rPr>
          <w:lang w:val="es-ES_tradnl"/>
        </w:rPr>
        <w:t xml:space="preserve"> </w:t>
      </w:r>
      <w:r w:rsidR="00E36A84" w:rsidRPr="00E21577">
        <w:rPr>
          <w:lang w:val="es-ES_tradnl"/>
        </w:rPr>
        <w:t>dada la magnitud de los saldos de efectivo de la</w:t>
      </w:r>
      <w:r w:rsidR="00297D71" w:rsidRPr="00E21577">
        <w:rPr>
          <w:lang w:val="es-ES_tradnl"/>
        </w:rPr>
        <w:t xml:space="preserve"> </w:t>
      </w:r>
      <w:r w:rsidR="00E36A84" w:rsidRPr="00E21577">
        <w:rPr>
          <w:lang w:val="es-ES_tradnl"/>
        </w:rPr>
        <w:t xml:space="preserve">UPOV, </w:t>
      </w:r>
      <w:r w:rsidR="0097323B" w:rsidRPr="00E21577">
        <w:rPr>
          <w:lang w:val="es-ES_tradnl"/>
        </w:rPr>
        <w:t xml:space="preserve">la rentabilidad potencial de </w:t>
      </w:r>
      <w:r w:rsidR="003C2468" w:rsidRPr="00E21577">
        <w:rPr>
          <w:lang w:val="es-ES_tradnl"/>
        </w:rPr>
        <w:t>la</w:t>
      </w:r>
      <w:r w:rsidR="0097323B" w:rsidRPr="00E21577">
        <w:rPr>
          <w:lang w:val="es-ES_tradnl"/>
        </w:rPr>
        <w:t xml:space="preserve"> inversi</w:t>
      </w:r>
      <w:r w:rsidR="003C2468" w:rsidRPr="00E21577">
        <w:rPr>
          <w:lang w:val="es-ES_tradnl"/>
        </w:rPr>
        <w:t>ón de f</w:t>
      </w:r>
      <w:r w:rsidR="0097323B" w:rsidRPr="00E21577">
        <w:rPr>
          <w:lang w:val="es-ES_tradnl"/>
        </w:rPr>
        <w:t>on</w:t>
      </w:r>
      <w:r w:rsidR="003C2468" w:rsidRPr="00E21577">
        <w:rPr>
          <w:lang w:val="es-ES_tradnl"/>
        </w:rPr>
        <w:t xml:space="preserve">dos </w:t>
      </w:r>
      <w:r w:rsidR="008D2FA5" w:rsidRPr="00E21577">
        <w:rPr>
          <w:lang w:val="es-ES_tradnl"/>
        </w:rPr>
        <w:t>a</w:t>
      </w:r>
      <w:r w:rsidR="0097323B" w:rsidRPr="00E21577">
        <w:rPr>
          <w:lang w:val="es-ES_tradnl"/>
        </w:rPr>
        <w:t xml:space="preserve"> largo plazo </w:t>
      </w:r>
      <w:r w:rsidR="00E36A84" w:rsidRPr="00E21577">
        <w:rPr>
          <w:lang w:val="es-ES_tradnl"/>
        </w:rPr>
        <w:t>es</w:t>
      </w:r>
      <w:r w:rsidR="0097323B" w:rsidRPr="00E21577">
        <w:rPr>
          <w:lang w:val="es-ES_tradnl"/>
        </w:rPr>
        <w:t xml:space="preserve"> </w:t>
      </w:r>
      <w:r w:rsidR="00E36A84" w:rsidRPr="00E21577">
        <w:rPr>
          <w:lang w:val="es-ES_tradnl"/>
        </w:rPr>
        <w:t>inferior a los</w:t>
      </w:r>
      <w:r w:rsidR="00F31323" w:rsidRPr="00E21577">
        <w:rPr>
          <w:lang w:val="es-ES_tradnl"/>
        </w:rPr>
        <w:t xml:space="preserve"> </w:t>
      </w:r>
      <w:r w:rsidR="0097323B" w:rsidRPr="00E21577">
        <w:rPr>
          <w:lang w:val="es-ES_tradnl"/>
        </w:rPr>
        <w:t>cost</w:t>
      </w:r>
      <w:r w:rsidR="00F31323" w:rsidRPr="00E21577">
        <w:rPr>
          <w:lang w:val="es-ES_tradnl"/>
        </w:rPr>
        <w:t>o</w:t>
      </w:r>
      <w:r w:rsidR="00E36A84" w:rsidRPr="00E21577">
        <w:rPr>
          <w:lang w:val="es-ES_tradnl"/>
        </w:rPr>
        <w:t>s</w:t>
      </w:r>
      <w:r w:rsidR="0097323B" w:rsidRPr="00E21577">
        <w:rPr>
          <w:lang w:val="es-ES_tradnl"/>
        </w:rPr>
        <w:t xml:space="preserve"> de </w:t>
      </w:r>
      <w:r w:rsidR="00F31323" w:rsidRPr="00E21577">
        <w:rPr>
          <w:lang w:val="es-ES_tradnl"/>
        </w:rPr>
        <w:t>apertura</w:t>
      </w:r>
      <w:r w:rsidR="0097323B" w:rsidRPr="00E21577">
        <w:rPr>
          <w:lang w:val="es-ES_tradnl"/>
        </w:rPr>
        <w:t xml:space="preserve"> y </w:t>
      </w:r>
      <w:r w:rsidR="00F31323" w:rsidRPr="00E21577">
        <w:rPr>
          <w:lang w:val="es-ES_tradnl"/>
        </w:rPr>
        <w:t xml:space="preserve">mantenimiento </w:t>
      </w:r>
      <w:r w:rsidR="0097323B" w:rsidRPr="00E21577">
        <w:rPr>
          <w:lang w:val="es-ES_tradnl"/>
        </w:rPr>
        <w:t xml:space="preserve">de </w:t>
      </w:r>
      <w:r w:rsidR="00F31323" w:rsidRPr="00E21577">
        <w:rPr>
          <w:lang w:val="es-ES_tradnl"/>
        </w:rPr>
        <w:t>las cuentas adecuadas</w:t>
      </w:r>
      <w:r w:rsidR="0097323B" w:rsidRPr="00E21577">
        <w:rPr>
          <w:lang w:val="es-ES_tradnl"/>
        </w:rPr>
        <w:t>.</w:t>
      </w:r>
    </w:p>
    <w:p w:rsidR="00C91841" w:rsidRPr="00E21577" w:rsidRDefault="00F31323" w:rsidP="00C63CA0">
      <w:pPr>
        <w:pStyle w:val="Heading4"/>
        <w:spacing w:after="160" w:line="240" w:lineRule="auto"/>
        <w:jc w:val="both"/>
        <w:rPr>
          <w:lang w:val="es-ES_tradnl"/>
        </w:rPr>
      </w:pPr>
      <w:r w:rsidRPr="00E21577">
        <w:rPr>
          <w:lang w:val="es-ES_tradnl"/>
        </w:rPr>
        <w:t>Financiación del pasivo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 por prestaciones a los empleados</w:t>
      </w:r>
    </w:p>
    <w:p w:rsidR="00C91841" w:rsidRPr="00E21577" w:rsidRDefault="008B2F6E" w:rsidP="00C63CA0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Al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2018,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UPOV reconoció un pasivo </w:t>
      </w:r>
      <w:r w:rsidR="00C63CA0" w:rsidRPr="00E21577">
        <w:rPr>
          <w:lang w:val="es-ES_tradnl"/>
        </w:rPr>
        <w:t>de</w:t>
      </w:r>
      <w:r w:rsidR="00297D71" w:rsidRPr="00E21577">
        <w:rPr>
          <w:lang w:val="es-ES_tradnl"/>
        </w:rPr>
        <w:t xml:space="preserve"> </w:t>
      </w:r>
      <w:r w:rsidR="00C63CA0" w:rsidRPr="00E21577">
        <w:rPr>
          <w:lang w:val="es-ES_tradnl"/>
        </w:rPr>
        <w:t xml:space="preserve">2,5 millones de francos suizos </w:t>
      </w:r>
      <w:r w:rsidRPr="00E21577">
        <w:rPr>
          <w:lang w:val="es-ES_tradnl"/>
        </w:rPr>
        <w:t>por prestaciones a los empleados tras la separación del servicio, de</w:t>
      </w:r>
      <w:r w:rsidR="00C63CA0" w:rsidRPr="00E21577">
        <w:rPr>
          <w:lang w:val="es-ES_tradnl"/>
        </w:rPr>
        <w:t>l</w:t>
      </w:r>
      <w:r w:rsidR="00A3378D" w:rsidRPr="00E21577">
        <w:rPr>
          <w:lang w:val="es-ES_tradnl"/>
        </w:rPr>
        <w:t xml:space="preserve"> </w:t>
      </w:r>
      <w:r w:rsidR="00D5253F" w:rsidRPr="00E21577">
        <w:rPr>
          <w:lang w:val="es-ES_tradnl"/>
        </w:rPr>
        <w:t>cual</w:t>
      </w:r>
      <w:r w:rsidR="00A3378D" w:rsidRPr="00E21577">
        <w:rPr>
          <w:lang w:val="es-ES_tradnl"/>
        </w:rPr>
        <w:t xml:space="preserve"> el</w:t>
      </w:r>
      <w:r w:rsidR="00297D71" w:rsidRPr="00E21577">
        <w:rPr>
          <w:lang w:val="es-ES_tradnl"/>
        </w:rPr>
        <w:t xml:space="preserve"> </w:t>
      </w:r>
      <w:r w:rsidR="00A3378D" w:rsidRPr="00E21577">
        <w:rPr>
          <w:lang w:val="es-ES_tradnl"/>
        </w:rPr>
        <w:t>89,8%</w:t>
      </w:r>
      <w:r w:rsidRPr="00E21577">
        <w:rPr>
          <w:lang w:val="es-ES_tradnl"/>
        </w:rPr>
        <w:t xml:space="preserve"> (</w:t>
      </w:r>
      <w:r w:rsidR="00121ED8" w:rsidRPr="00E21577">
        <w:rPr>
          <w:lang w:val="es-ES_tradnl"/>
        </w:rPr>
        <w:t>2,2 millones de francos suizos</w:t>
      </w:r>
      <w:r w:rsidRPr="00E21577">
        <w:rPr>
          <w:lang w:val="es-ES_tradnl"/>
        </w:rPr>
        <w:t xml:space="preserve">) </w:t>
      </w:r>
      <w:r w:rsidR="00A3378D" w:rsidRPr="00E21577">
        <w:rPr>
          <w:lang w:val="es-ES_tradnl"/>
        </w:rPr>
        <w:t>correspondía al pasivo por prestaciones de seguro médico tras la separación del servicio</w:t>
      </w:r>
      <w:r w:rsidRPr="00E21577">
        <w:rPr>
          <w:lang w:val="es-ES_tradnl"/>
        </w:rPr>
        <w:t>.</w:t>
      </w:r>
    </w:p>
    <w:p w:rsidR="00C91841" w:rsidRPr="00E21577" w:rsidRDefault="00A3378D" w:rsidP="00B209BC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En su trigésima tercera sesión extraordinaria</w:t>
      </w:r>
      <w:r w:rsidR="00E706AE" w:rsidRPr="00E21577">
        <w:rPr>
          <w:lang w:val="es-ES_tradnl"/>
        </w:rPr>
        <w:t>,</w:t>
      </w:r>
      <w:r w:rsidRPr="00E21577">
        <w:rPr>
          <w:lang w:val="es-ES_tradnl"/>
        </w:rPr>
        <w:t xml:space="preserve"> celebrada en marzo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2016,</w:t>
      </w:r>
      <w:r w:rsidRPr="00E21577">
        <w:rPr>
          <w:vertAlign w:val="superscript"/>
          <w:lang w:val="es-ES_tradnl"/>
        </w:rPr>
        <w:footnoteReference w:id="3"/>
      </w:r>
      <w:r w:rsidRPr="00E21577">
        <w:rPr>
          <w:lang w:val="es-ES_tradnl"/>
        </w:rPr>
        <w:t xml:space="preserve"> el Consejo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 decidió abrir una cuenta bancaria independiente en la que depositar los fondos asignados a la financiación de</w:t>
      </w:r>
      <w:r w:rsidR="00E706AE" w:rsidRPr="00E21577">
        <w:rPr>
          <w:lang w:val="es-ES_tradnl"/>
        </w:rPr>
        <w:t xml:space="preserve"> su</w:t>
      </w:r>
      <w:r w:rsidRPr="00E21577">
        <w:rPr>
          <w:lang w:val="es-ES_tradnl"/>
        </w:rPr>
        <w:t xml:space="preserve"> pasivo por prestaciones de seguro médico tras la separación del servicio.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D5253F" w:rsidRPr="00E21577">
        <w:rPr>
          <w:lang w:val="es-ES_tradnl"/>
        </w:rPr>
        <w:t>Durante cada bienio, el</w:t>
      </w:r>
      <w:r w:rsidR="00297D71" w:rsidRPr="00E21577">
        <w:rPr>
          <w:lang w:val="es-ES_tradnl"/>
        </w:rPr>
        <w:t xml:space="preserve"> </w:t>
      </w:r>
      <w:r w:rsidR="00E706AE" w:rsidRPr="00E21577">
        <w:rPr>
          <w:lang w:val="es-ES_tradnl"/>
        </w:rPr>
        <w:t xml:space="preserve">6% del </w:t>
      </w:r>
      <w:r w:rsidR="00C63CA0" w:rsidRPr="00E21577">
        <w:rPr>
          <w:lang w:val="es-ES_tradnl"/>
        </w:rPr>
        <w:t>costo de los puestos</w:t>
      </w:r>
      <w:r w:rsidR="00E706AE" w:rsidRPr="00E21577">
        <w:rPr>
          <w:lang w:val="es-ES_tradnl"/>
        </w:rPr>
        <w:t xml:space="preserve">, el </w:t>
      </w:r>
      <w:r w:rsidR="006B3940" w:rsidRPr="00E21577">
        <w:rPr>
          <w:lang w:val="es-ES_tradnl"/>
        </w:rPr>
        <w:t xml:space="preserve">importe </w:t>
      </w:r>
      <w:r w:rsidR="00E706AE" w:rsidRPr="00E21577">
        <w:rPr>
          <w:lang w:val="es-ES_tradnl"/>
        </w:rPr>
        <w:t xml:space="preserve">neto de las deducciones por prestaciones de seguro médico tras la separación del servicio, las primas de repatriación y los pagos por días de vacaciones anuales acumulados </w:t>
      </w:r>
      <w:r w:rsidR="00793F88" w:rsidRPr="00E21577">
        <w:rPr>
          <w:lang w:val="es-ES_tradnl"/>
        </w:rPr>
        <w:t>se destinan</w:t>
      </w:r>
      <w:r w:rsidR="00E706AE" w:rsidRPr="00E21577">
        <w:rPr>
          <w:lang w:val="es-ES_tradnl"/>
        </w:rPr>
        <w:t xml:space="preserve"> a la cuenta </w:t>
      </w:r>
      <w:r w:rsidR="00B209BC" w:rsidRPr="00E21577">
        <w:rPr>
          <w:lang w:val="es-ES_tradnl"/>
        </w:rPr>
        <w:t>a fin de</w:t>
      </w:r>
      <w:r w:rsidR="00E706AE" w:rsidRPr="00E21577">
        <w:rPr>
          <w:lang w:val="es-ES_tradnl"/>
        </w:rPr>
        <w:t xml:space="preserve"> </w:t>
      </w:r>
      <w:r w:rsidR="006B3940" w:rsidRPr="00E21577">
        <w:rPr>
          <w:lang w:val="es-ES_tradnl"/>
        </w:rPr>
        <w:t>contribuir</w:t>
      </w:r>
      <w:r w:rsidR="00E706AE" w:rsidRPr="00E21577">
        <w:rPr>
          <w:lang w:val="es-ES_tradnl"/>
        </w:rPr>
        <w:t xml:space="preserve"> a la financiación del pasivo.</w:t>
      </w:r>
      <w:r w:rsidR="00714ABB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E706AE" w:rsidRPr="00E21577">
        <w:rPr>
          <w:lang w:val="es-ES_tradnl"/>
        </w:rPr>
        <w:t>Est</w:t>
      </w:r>
      <w:r w:rsidR="00C34031" w:rsidRPr="00E21577">
        <w:rPr>
          <w:lang w:val="es-ES_tradnl"/>
        </w:rPr>
        <w:t>a</w:t>
      </w:r>
      <w:r w:rsidR="00B209BC" w:rsidRPr="00E21577">
        <w:rPr>
          <w:lang w:val="es-ES_tradnl"/>
        </w:rPr>
        <w:t>s</w:t>
      </w:r>
      <w:r w:rsidR="00C34031" w:rsidRPr="00E21577">
        <w:rPr>
          <w:lang w:val="es-ES_tradnl"/>
        </w:rPr>
        <w:t xml:space="preserve"> </w:t>
      </w:r>
      <w:r w:rsidR="00B209BC" w:rsidRPr="00E21577">
        <w:rPr>
          <w:lang w:val="es-ES_tradnl"/>
        </w:rPr>
        <w:t>sumas</w:t>
      </w:r>
      <w:r w:rsidR="00C34031" w:rsidRPr="00E21577">
        <w:rPr>
          <w:lang w:val="es-ES_tradnl"/>
        </w:rPr>
        <w:t xml:space="preserve"> </w:t>
      </w:r>
      <w:r w:rsidR="008C2527" w:rsidRPr="00E21577">
        <w:rPr>
          <w:lang w:val="es-ES_tradnl"/>
        </w:rPr>
        <w:t>se</w:t>
      </w:r>
      <w:r w:rsidR="00E706AE" w:rsidRPr="00E21577">
        <w:rPr>
          <w:lang w:val="es-ES_tradnl"/>
        </w:rPr>
        <w:t xml:space="preserve"> </w:t>
      </w:r>
      <w:r w:rsidR="00C34031" w:rsidRPr="00E21577">
        <w:rPr>
          <w:lang w:val="es-ES_tradnl"/>
        </w:rPr>
        <w:t>incluye</w:t>
      </w:r>
      <w:r w:rsidR="00B209BC" w:rsidRPr="00E21577">
        <w:rPr>
          <w:lang w:val="es-ES_tradnl"/>
        </w:rPr>
        <w:t>n</w:t>
      </w:r>
      <w:r w:rsidR="008C2527" w:rsidRPr="00E21577">
        <w:rPr>
          <w:lang w:val="es-ES_tradnl"/>
        </w:rPr>
        <w:t xml:space="preserve"> </w:t>
      </w:r>
      <w:r w:rsidR="00C34031" w:rsidRPr="00E21577">
        <w:rPr>
          <w:lang w:val="es-ES_tradnl"/>
        </w:rPr>
        <w:t xml:space="preserve">en </w:t>
      </w:r>
      <w:r w:rsidR="008C2527" w:rsidRPr="00E21577">
        <w:rPr>
          <w:lang w:val="es-ES_tradnl"/>
        </w:rPr>
        <w:t>el saldo de efectivo estratégico de la</w:t>
      </w:r>
      <w:r w:rsidR="00297D71" w:rsidRPr="00E21577">
        <w:rPr>
          <w:lang w:val="es-ES_tradnl"/>
        </w:rPr>
        <w:t xml:space="preserve"> </w:t>
      </w:r>
      <w:r w:rsidR="002D7B19" w:rsidRPr="00E21577">
        <w:rPr>
          <w:lang w:val="es-ES_tradnl"/>
        </w:rPr>
        <w:t>UPOV, que asciende a</w:t>
      </w:r>
      <w:r w:rsidR="00297D71" w:rsidRPr="00E21577">
        <w:rPr>
          <w:lang w:val="es-ES_tradnl"/>
        </w:rPr>
        <w:t xml:space="preserve"> </w:t>
      </w:r>
      <w:r w:rsidR="001158BC" w:rsidRPr="00E21577">
        <w:rPr>
          <w:lang w:val="es-ES_tradnl"/>
        </w:rPr>
        <w:t>783.000 francos suizos</w:t>
      </w:r>
      <w:r w:rsidR="00E706AE" w:rsidRPr="00E21577">
        <w:rPr>
          <w:lang w:val="es-ES_tradnl"/>
        </w:rPr>
        <w:t>.</w:t>
      </w:r>
    </w:p>
    <w:p w:rsidR="00C91841" w:rsidRPr="00E21577" w:rsidRDefault="00B209BC" w:rsidP="0093358F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OMPI aplicó </w:t>
      </w:r>
      <w:r w:rsidR="00C34031" w:rsidRPr="00E21577">
        <w:rPr>
          <w:lang w:val="es-ES_tradnl"/>
        </w:rPr>
        <w:t>la</w:t>
      </w:r>
      <w:r w:rsidR="002D7B19" w:rsidRPr="00E21577">
        <w:rPr>
          <w:lang w:val="es-ES_tradnl"/>
        </w:rPr>
        <w:t xml:space="preserve"> decisión del Consejo</w:t>
      </w:r>
      <w:r w:rsidR="00C34031" w:rsidRPr="00E21577">
        <w:rPr>
          <w:lang w:val="es-ES_tradnl"/>
        </w:rPr>
        <w:t xml:space="preserve"> cursa</w:t>
      </w:r>
      <w:r w:rsidRPr="00E21577">
        <w:rPr>
          <w:lang w:val="es-ES_tradnl"/>
        </w:rPr>
        <w:t>n</w:t>
      </w:r>
      <w:r w:rsidR="002D7B19" w:rsidRPr="00E21577">
        <w:rPr>
          <w:lang w:val="es-ES_tradnl"/>
        </w:rPr>
        <w:t>do una orden de bloqueo de la principal cuenta bancaria de la</w:t>
      </w:r>
      <w:r w:rsidR="00297D71" w:rsidRPr="00E21577">
        <w:rPr>
          <w:lang w:val="es-ES_tradnl"/>
        </w:rPr>
        <w:t xml:space="preserve"> </w:t>
      </w:r>
      <w:r w:rsidR="002D7B19" w:rsidRPr="00E21577">
        <w:rPr>
          <w:lang w:val="es-ES_tradnl"/>
        </w:rPr>
        <w:t>UPOV por valor de</w:t>
      </w:r>
      <w:r w:rsidR="00297D71" w:rsidRPr="00E21577">
        <w:rPr>
          <w:lang w:val="es-ES_tradnl"/>
        </w:rPr>
        <w:t xml:space="preserve"> </w:t>
      </w:r>
      <w:r w:rsidR="002D7B19" w:rsidRPr="00E21577">
        <w:rPr>
          <w:lang w:val="es-ES_tradnl"/>
        </w:rPr>
        <w:t>760.000 francos suizos</w:t>
      </w:r>
      <w:r w:rsidR="00C34031" w:rsidRPr="00E21577">
        <w:rPr>
          <w:lang w:val="es-ES_tradnl"/>
        </w:rPr>
        <w:t>,</w:t>
      </w:r>
      <w:r w:rsidR="002D7B19" w:rsidRPr="00E21577">
        <w:rPr>
          <w:lang w:val="es-ES_tradnl"/>
        </w:rPr>
        <w:t xml:space="preserve"> </w:t>
      </w:r>
      <w:r w:rsidR="00C34031" w:rsidRPr="00E21577">
        <w:rPr>
          <w:lang w:val="es-ES_tradnl"/>
        </w:rPr>
        <w:t>con objeto de</w:t>
      </w:r>
      <w:r w:rsidR="002D7B19" w:rsidRPr="00E21577">
        <w:rPr>
          <w:lang w:val="es-ES_tradnl"/>
        </w:rPr>
        <w:t xml:space="preserve"> impedir el uso efectivo de dichos fondos.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C96B27" w:rsidRPr="00E21577">
        <w:rPr>
          <w:lang w:val="es-ES_tradnl"/>
        </w:rPr>
        <w:t>Si bien</w:t>
      </w:r>
      <w:r w:rsidR="002D7B19" w:rsidRPr="00E21577">
        <w:rPr>
          <w:lang w:val="es-ES_tradnl"/>
        </w:rPr>
        <w:t xml:space="preserve"> </w:t>
      </w:r>
      <w:r w:rsidR="00C96B27" w:rsidRPr="00E21577">
        <w:rPr>
          <w:lang w:val="es-ES_tradnl"/>
        </w:rPr>
        <w:t>con esta</w:t>
      </w:r>
      <w:r w:rsidR="002D7B19" w:rsidRPr="00E21577">
        <w:rPr>
          <w:lang w:val="es-ES_tradnl"/>
        </w:rPr>
        <w:t xml:space="preserve"> </w:t>
      </w:r>
      <w:r w:rsidR="00C96B27" w:rsidRPr="00E21577">
        <w:rPr>
          <w:lang w:val="es-ES_tradnl"/>
        </w:rPr>
        <w:t xml:space="preserve">medida se logra el </w:t>
      </w:r>
      <w:r w:rsidR="002D7B19" w:rsidRPr="00E21577">
        <w:rPr>
          <w:lang w:val="es-ES_tradnl"/>
        </w:rPr>
        <w:t xml:space="preserve">objetivo de </w:t>
      </w:r>
      <w:r w:rsidR="00C96B27" w:rsidRPr="00E21577">
        <w:rPr>
          <w:lang w:val="es-ES_tradnl"/>
        </w:rPr>
        <w:t xml:space="preserve">mantener unos </w:t>
      </w:r>
      <w:r w:rsidR="002D7B19" w:rsidRPr="00E21577">
        <w:rPr>
          <w:lang w:val="es-ES_tradnl"/>
        </w:rPr>
        <w:t>fondos</w:t>
      </w:r>
      <w:r w:rsidR="00C96B27" w:rsidRPr="00E21577">
        <w:rPr>
          <w:lang w:val="es-ES_tradnl"/>
        </w:rPr>
        <w:t xml:space="preserve"> </w:t>
      </w:r>
      <w:r w:rsidR="009B0FE3" w:rsidRPr="00E21577">
        <w:rPr>
          <w:lang w:val="es-ES_tradnl"/>
        </w:rPr>
        <w:t>de uso restringido</w:t>
      </w:r>
      <w:r w:rsidR="002D7B19" w:rsidRPr="00E21577">
        <w:rPr>
          <w:lang w:val="es-ES_tradnl"/>
        </w:rPr>
        <w:t xml:space="preserve">, no </w:t>
      </w:r>
      <w:r w:rsidR="00C96B27" w:rsidRPr="00E21577">
        <w:rPr>
          <w:lang w:val="es-ES_tradnl"/>
        </w:rPr>
        <w:t xml:space="preserve">se cumple </w:t>
      </w:r>
      <w:r w:rsidR="002D7B19" w:rsidRPr="00E21577">
        <w:rPr>
          <w:lang w:val="es-ES_tradnl"/>
        </w:rPr>
        <w:t>plenamente</w:t>
      </w:r>
      <w:r w:rsidR="00C96B27" w:rsidRPr="00E21577">
        <w:rPr>
          <w:lang w:val="es-ES_tradnl"/>
        </w:rPr>
        <w:t xml:space="preserve"> el </w:t>
      </w:r>
      <w:r w:rsidR="002D7B19" w:rsidRPr="00E21577">
        <w:rPr>
          <w:lang w:val="es-ES_tradnl"/>
        </w:rPr>
        <w:t>requi</w:t>
      </w:r>
      <w:r w:rsidR="00C96B27" w:rsidRPr="00E21577">
        <w:rPr>
          <w:lang w:val="es-ES_tradnl"/>
        </w:rPr>
        <w:t xml:space="preserve">sito establecido por </w:t>
      </w:r>
      <w:r w:rsidR="002D7B19" w:rsidRPr="00E21577">
        <w:rPr>
          <w:lang w:val="es-ES_tradnl"/>
        </w:rPr>
        <w:t xml:space="preserve">el Consejo </w:t>
      </w:r>
      <w:r w:rsidR="00C96B27" w:rsidRPr="00E21577">
        <w:rPr>
          <w:lang w:val="es-ES_tradnl"/>
        </w:rPr>
        <w:t xml:space="preserve">de </w:t>
      </w:r>
      <w:r w:rsidR="009B0FE3" w:rsidRPr="00E21577">
        <w:rPr>
          <w:lang w:val="es-ES_tradnl"/>
        </w:rPr>
        <w:t>depositarlos en</w:t>
      </w:r>
      <w:r w:rsidR="00C96B27" w:rsidRPr="00E21577">
        <w:rPr>
          <w:lang w:val="es-ES_tradnl"/>
        </w:rPr>
        <w:t xml:space="preserve"> un</w:t>
      </w:r>
      <w:r w:rsidR="002D7B19" w:rsidRPr="00E21577">
        <w:rPr>
          <w:lang w:val="es-ES_tradnl"/>
        </w:rPr>
        <w:t>a cuenta</w:t>
      </w:r>
      <w:r w:rsidR="00C96B27" w:rsidRPr="00E21577">
        <w:rPr>
          <w:lang w:val="es-ES_tradnl"/>
        </w:rPr>
        <w:t xml:space="preserve"> bancaria independiente</w:t>
      </w:r>
      <w:r w:rsidR="002D7B19"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CB384A" w:rsidRPr="00E21577">
        <w:rPr>
          <w:lang w:val="es-ES_tradnl"/>
        </w:rPr>
        <w:t xml:space="preserve">La </w:t>
      </w:r>
      <w:r w:rsidR="00E84C91" w:rsidRPr="00E21577">
        <w:rPr>
          <w:lang w:val="es-ES_tradnl"/>
        </w:rPr>
        <w:t xml:space="preserve">Dirección </w:t>
      </w:r>
      <w:r w:rsidR="00D33AF4" w:rsidRPr="00E21577">
        <w:rPr>
          <w:lang w:val="es-ES_tradnl"/>
        </w:rPr>
        <w:t>de la</w:t>
      </w:r>
      <w:r w:rsidR="00297D71" w:rsidRPr="00E21577">
        <w:rPr>
          <w:lang w:val="es-ES_tradnl"/>
        </w:rPr>
        <w:t xml:space="preserve"> </w:t>
      </w:r>
      <w:r w:rsidR="00C96B27" w:rsidRPr="00E21577">
        <w:rPr>
          <w:lang w:val="es-ES_tradnl"/>
        </w:rPr>
        <w:t>OMPI</w:t>
      </w:r>
      <w:r w:rsidR="00CB384A" w:rsidRPr="00E21577">
        <w:rPr>
          <w:lang w:val="es-ES_tradnl"/>
        </w:rPr>
        <w:t xml:space="preserve"> considera</w:t>
      </w:r>
      <w:r w:rsidR="00C96B27" w:rsidRPr="00E21577">
        <w:rPr>
          <w:lang w:val="es-ES_tradnl"/>
        </w:rPr>
        <w:t xml:space="preserve"> </w:t>
      </w:r>
      <w:r w:rsidR="00CB384A" w:rsidRPr="00E21577">
        <w:rPr>
          <w:lang w:val="es-ES_tradnl"/>
        </w:rPr>
        <w:t xml:space="preserve">que la medida adoptada </w:t>
      </w:r>
      <w:r w:rsidR="000610A1" w:rsidRPr="00E21577">
        <w:rPr>
          <w:lang w:val="es-ES_tradnl"/>
        </w:rPr>
        <w:t>aporta</w:t>
      </w:r>
      <w:r w:rsidR="00CB384A" w:rsidRPr="00E21577">
        <w:rPr>
          <w:lang w:val="es-ES_tradnl"/>
        </w:rPr>
        <w:t xml:space="preserve"> </w:t>
      </w:r>
      <w:r w:rsidR="00C96B27" w:rsidRPr="00E21577">
        <w:rPr>
          <w:lang w:val="es-ES_tradnl"/>
        </w:rPr>
        <w:t>ventajas</w:t>
      </w:r>
      <w:r w:rsidR="00CB384A" w:rsidRPr="00E21577">
        <w:rPr>
          <w:lang w:val="es-ES_tradnl"/>
        </w:rPr>
        <w:t xml:space="preserve"> adicionales</w:t>
      </w:r>
      <w:r w:rsidR="00C96B27" w:rsidRPr="00E21577">
        <w:rPr>
          <w:lang w:val="es-ES_tradnl"/>
        </w:rPr>
        <w:t xml:space="preserve">, </w:t>
      </w:r>
      <w:r w:rsidR="00CC1CD1" w:rsidRPr="00E21577">
        <w:rPr>
          <w:lang w:val="es-ES_tradnl"/>
        </w:rPr>
        <w:t>a saber:</w:t>
      </w:r>
      <w:r w:rsidR="00C96B27" w:rsidRPr="00E21577">
        <w:rPr>
          <w:lang w:val="es-ES_tradnl"/>
        </w:rPr>
        <w:t xml:space="preserve"> </w:t>
      </w:r>
      <w:r w:rsidR="00CC1CD1" w:rsidRPr="00E21577">
        <w:rPr>
          <w:lang w:val="es-ES_tradnl"/>
        </w:rPr>
        <w:t>se reduce el</w:t>
      </w:r>
      <w:r w:rsidR="00CB384A" w:rsidRPr="00E21577">
        <w:rPr>
          <w:lang w:val="es-ES_tradnl"/>
        </w:rPr>
        <w:t xml:space="preserve"> </w:t>
      </w:r>
      <w:r w:rsidR="00C96B27" w:rsidRPr="00E21577">
        <w:rPr>
          <w:lang w:val="es-ES_tradnl"/>
        </w:rPr>
        <w:t xml:space="preserve">número de cuentas (y </w:t>
      </w:r>
      <w:r w:rsidR="00CB384A" w:rsidRPr="00E21577">
        <w:rPr>
          <w:lang w:val="es-ES_tradnl"/>
        </w:rPr>
        <w:t>la administración que requieren</w:t>
      </w:r>
      <w:r w:rsidR="00C96B27" w:rsidRPr="00E21577">
        <w:rPr>
          <w:lang w:val="es-ES_tradnl"/>
        </w:rPr>
        <w:t xml:space="preserve">), </w:t>
      </w:r>
      <w:r w:rsidR="00CC1CD1" w:rsidRPr="00E21577">
        <w:rPr>
          <w:lang w:val="es-ES_tradnl"/>
        </w:rPr>
        <w:t>disminuyen</w:t>
      </w:r>
      <w:r w:rsidR="00C96B27" w:rsidRPr="00E21577">
        <w:rPr>
          <w:lang w:val="es-ES_tradnl"/>
        </w:rPr>
        <w:t xml:space="preserve"> </w:t>
      </w:r>
      <w:r w:rsidR="009634D0" w:rsidRPr="00E21577">
        <w:rPr>
          <w:lang w:val="es-ES_tradnl"/>
        </w:rPr>
        <w:t>l</w:t>
      </w:r>
      <w:r w:rsidR="000610A1" w:rsidRPr="00E21577">
        <w:rPr>
          <w:lang w:val="es-ES_tradnl"/>
        </w:rPr>
        <w:t>a</w:t>
      </w:r>
      <w:r w:rsidR="009634D0" w:rsidRPr="00E21577">
        <w:rPr>
          <w:lang w:val="es-ES_tradnl"/>
        </w:rPr>
        <w:t xml:space="preserve">s </w:t>
      </w:r>
      <w:r w:rsidR="000610A1" w:rsidRPr="00E21577">
        <w:rPr>
          <w:lang w:val="es-ES_tradnl"/>
        </w:rPr>
        <w:t>comisiones</w:t>
      </w:r>
      <w:r w:rsidR="009634D0" w:rsidRPr="00E21577">
        <w:rPr>
          <w:lang w:val="es-ES_tradnl"/>
        </w:rPr>
        <w:t xml:space="preserve"> bancari</w:t>
      </w:r>
      <w:r w:rsidR="000610A1" w:rsidRPr="00E21577">
        <w:rPr>
          <w:lang w:val="es-ES_tradnl"/>
        </w:rPr>
        <w:t>a</w:t>
      </w:r>
      <w:r w:rsidR="009634D0" w:rsidRPr="00E21577">
        <w:rPr>
          <w:lang w:val="es-ES_tradnl"/>
        </w:rPr>
        <w:t>s mensuales</w:t>
      </w:r>
      <w:r w:rsidR="00C96B27" w:rsidRPr="00E21577">
        <w:rPr>
          <w:lang w:val="es-ES_tradnl"/>
        </w:rPr>
        <w:t xml:space="preserve"> y </w:t>
      </w:r>
      <w:r w:rsidR="009634D0" w:rsidRPr="00E21577">
        <w:rPr>
          <w:lang w:val="es-ES_tradnl"/>
        </w:rPr>
        <w:t xml:space="preserve">las </w:t>
      </w:r>
      <w:r w:rsidR="00C96B27" w:rsidRPr="00E21577">
        <w:rPr>
          <w:lang w:val="es-ES_tradnl"/>
        </w:rPr>
        <w:t>tasas</w:t>
      </w:r>
      <w:r w:rsidR="009634D0" w:rsidRPr="00E21577">
        <w:rPr>
          <w:lang w:val="es-ES_tradnl"/>
        </w:rPr>
        <w:t xml:space="preserve"> anuales</w:t>
      </w:r>
      <w:r w:rsidR="00C96B27" w:rsidRPr="00E21577">
        <w:rPr>
          <w:lang w:val="es-ES_tradnl"/>
        </w:rPr>
        <w:t xml:space="preserve">, </w:t>
      </w:r>
      <w:r w:rsidR="009A4C2B" w:rsidRPr="00E21577">
        <w:rPr>
          <w:lang w:val="es-ES_tradnl"/>
        </w:rPr>
        <w:t xml:space="preserve">se evitan los tipos </w:t>
      </w:r>
      <w:r w:rsidR="00C96B27" w:rsidRPr="00E21577">
        <w:rPr>
          <w:lang w:val="es-ES_tradnl"/>
        </w:rPr>
        <w:t xml:space="preserve">de interés </w:t>
      </w:r>
      <w:r w:rsidR="00CC1CD1" w:rsidRPr="00E21577">
        <w:rPr>
          <w:lang w:val="es-ES_tradnl"/>
        </w:rPr>
        <w:t xml:space="preserve">negativos </w:t>
      </w:r>
      <w:r w:rsidR="00C96B27" w:rsidRPr="00E21577">
        <w:rPr>
          <w:lang w:val="es-ES_tradnl"/>
        </w:rPr>
        <w:t>aplicable</w:t>
      </w:r>
      <w:r w:rsidR="009A4C2B" w:rsidRPr="00E21577">
        <w:rPr>
          <w:lang w:val="es-ES_tradnl"/>
        </w:rPr>
        <w:t>s</w:t>
      </w:r>
      <w:r w:rsidR="00C96B27" w:rsidRPr="00E21577">
        <w:rPr>
          <w:lang w:val="es-ES_tradnl"/>
        </w:rPr>
        <w:t xml:space="preserve"> a </w:t>
      </w:r>
      <w:r w:rsidR="009A4C2B" w:rsidRPr="00E21577">
        <w:rPr>
          <w:lang w:val="es-ES_tradnl"/>
        </w:rPr>
        <w:t>las nuevas</w:t>
      </w:r>
      <w:r w:rsidR="00C96B27" w:rsidRPr="00E21577">
        <w:rPr>
          <w:lang w:val="es-ES_tradnl"/>
        </w:rPr>
        <w:t xml:space="preserve"> </w:t>
      </w:r>
      <w:r w:rsidR="009A4C2B" w:rsidRPr="00E21577">
        <w:rPr>
          <w:lang w:val="es-ES_tradnl"/>
        </w:rPr>
        <w:t xml:space="preserve">cuentas </w:t>
      </w:r>
      <w:r w:rsidR="00C96B27" w:rsidRPr="00E21577">
        <w:rPr>
          <w:lang w:val="es-ES_tradnl"/>
        </w:rPr>
        <w:t>banc</w:t>
      </w:r>
      <w:r w:rsidR="009A4C2B" w:rsidRPr="00E21577">
        <w:rPr>
          <w:lang w:val="es-ES_tradnl"/>
        </w:rPr>
        <w:t>arias</w:t>
      </w:r>
      <w:r w:rsidR="00C96B27" w:rsidRPr="00E21577">
        <w:rPr>
          <w:lang w:val="es-ES_tradnl"/>
        </w:rPr>
        <w:t xml:space="preserve"> y </w:t>
      </w:r>
      <w:r w:rsidR="00CC1CD1" w:rsidRPr="00E21577">
        <w:rPr>
          <w:lang w:val="es-ES_tradnl"/>
        </w:rPr>
        <w:t>aumenta</w:t>
      </w:r>
      <w:r w:rsidR="009A4C2B" w:rsidRPr="00E21577">
        <w:rPr>
          <w:lang w:val="es-ES_tradnl"/>
        </w:rPr>
        <w:t xml:space="preserve"> la</w:t>
      </w:r>
      <w:r w:rsidR="00C96B27" w:rsidRPr="00E21577">
        <w:rPr>
          <w:lang w:val="es-ES_tradnl"/>
        </w:rPr>
        <w:t xml:space="preserve"> </w:t>
      </w:r>
      <w:r w:rsidR="009A4C2B" w:rsidRPr="00E21577">
        <w:rPr>
          <w:lang w:val="es-ES_tradnl"/>
        </w:rPr>
        <w:t xml:space="preserve">visibilidad del </w:t>
      </w:r>
      <w:r w:rsidR="00C96B27" w:rsidRPr="00E21577">
        <w:rPr>
          <w:lang w:val="es-ES_tradnl"/>
        </w:rPr>
        <w:t>efectivo</w:t>
      </w:r>
      <w:r w:rsidR="009A4C2B" w:rsidRPr="00E21577">
        <w:rPr>
          <w:lang w:val="es-ES_tradnl"/>
        </w:rPr>
        <w:t xml:space="preserve"> </w:t>
      </w:r>
      <w:r w:rsidR="00C96B27" w:rsidRPr="00E21577">
        <w:rPr>
          <w:lang w:val="es-ES_tradnl"/>
        </w:rPr>
        <w:t xml:space="preserve">sin necesidad </w:t>
      </w:r>
      <w:r w:rsidR="009A4C2B" w:rsidRPr="00E21577">
        <w:rPr>
          <w:lang w:val="es-ES_tradnl"/>
        </w:rPr>
        <w:t xml:space="preserve">de abrir </w:t>
      </w:r>
      <w:r w:rsidR="00C96B27" w:rsidRPr="00E21577">
        <w:rPr>
          <w:lang w:val="es-ES_tradnl"/>
        </w:rPr>
        <w:t>más cuentas.</w:t>
      </w:r>
    </w:p>
    <w:p w:rsidR="00C91841" w:rsidRPr="00E21577" w:rsidRDefault="00E124B9" w:rsidP="0093358F">
      <w:pPr>
        <w:pStyle w:val="Number1"/>
        <w:spacing w:after="160"/>
        <w:jc w:val="both"/>
        <w:rPr>
          <w:b/>
          <w:lang w:val="es-ES_tradnl"/>
        </w:rPr>
      </w:pPr>
      <w:r w:rsidRPr="00E21577">
        <w:rPr>
          <w:b/>
          <w:lang w:val="es-ES_tradnl"/>
        </w:rPr>
        <w:lastRenderedPageBreak/>
        <w:t>R3</w:t>
      </w:r>
      <w:r w:rsidR="009A4C2B" w:rsidRPr="00E21577">
        <w:rPr>
          <w:b/>
          <w:lang w:val="es-ES_tradnl"/>
        </w:rPr>
        <w:t>.</w:t>
      </w:r>
      <w:r w:rsidRPr="00E21577">
        <w:rPr>
          <w:b/>
          <w:lang w:val="es-ES_tradnl"/>
        </w:rPr>
        <w:t xml:space="preserve"> </w:t>
      </w:r>
      <w:r w:rsidR="009A4C2B" w:rsidRPr="00E21577">
        <w:rPr>
          <w:b/>
          <w:lang w:val="es-ES_tradnl"/>
        </w:rPr>
        <w:t>La</w:t>
      </w:r>
      <w:r w:rsidR="00297D71" w:rsidRPr="00E21577">
        <w:rPr>
          <w:b/>
          <w:lang w:val="es-ES_tradnl"/>
        </w:rPr>
        <w:t xml:space="preserve"> </w:t>
      </w:r>
      <w:r w:rsidR="009A4C2B" w:rsidRPr="00E21577">
        <w:rPr>
          <w:b/>
          <w:lang w:val="es-ES_tradnl"/>
        </w:rPr>
        <w:t xml:space="preserve">UPOV debe aprobar </w:t>
      </w:r>
      <w:r w:rsidR="004E24A7" w:rsidRPr="00E21577">
        <w:rPr>
          <w:b/>
          <w:lang w:val="es-ES_tradnl"/>
        </w:rPr>
        <w:t>ofici</w:t>
      </w:r>
      <w:r w:rsidR="009A4C2B" w:rsidRPr="00E21577">
        <w:rPr>
          <w:b/>
          <w:lang w:val="es-ES_tradnl"/>
        </w:rPr>
        <w:t>almente el enfoque adoptado por la</w:t>
      </w:r>
      <w:r w:rsidR="00297D71" w:rsidRPr="00E21577">
        <w:rPr>
          <w:b/>
          <w:lang w:val="es-ES_tradnl"/>
        </w:rPr>
        <w:t xml:space="preserve"> </w:t>
      </w:r>
      <w:r w:rsidR="009A4C2B" w:rsidRPr="00E21577">
        <w:rPr>
          <w:b/>
          <w:lang w:val="es-ES_tradnl"/>
        </w:rPr>
        <w:t xml:space="preserve">OMPI </w:t>
      </w:r>
      <w:r w:rsidR="004E24A7" w:rsidRPr="00E21577">
        <w:rPr>
          <w:b/>
          <w:lang w:val="es-ES_tradnl"/>
        </w:rPr>
        <w:t>para</w:t>
      </w:r>
      <w:r w:rsidR="009A4C2B" w:rsidRPr="00E21577">
        <w:rPr>
          <w:b/>
          <w:lang w:val="es-ES_tradnl"/>
        </w:rPr>
        <w:t xml:space="preserve"> </w:t>
      </w:r>
      <w:r w:rsidR="00980182" w:rsidRPr="00E21577">
        <w:rPr>
          <w:b/>
          <w:lang w:val="es-ES_tradnl"/>
        </w:rPr>
        <w:t>establecer</w:t>
      </w:r>
      <w:r w:rsidR="009A4C2B" w:rsidRPr="00E21577">
        <w:rPr>
          <w:b/>
          <w:lang w:val="es-ES_tradnl"/>
        </w:rPr>
        <w:t xml:space="preserve"> una restricción </w:t>
      </w:r>
      <w:r w:rsidR="00335153" w:rsidRPr="00E21577">
        <w:rPr>
          <w:b/>
          <w:lang w:val="es-ES_tradnl"/>
        </w:rPr>
        <w:t xml:space="preserve">en el uso </w:t>
      </w:r>
      <w:r w:rsidR="009A4C2B" w:rsidRPr="00E21577">
        <w:rPr>
          <w:b/>
          <w:lang w:val="es-ES_tradnl"/>
        </w:rPr>
        <w:t xml:space="preserve">de los fondos, o bien </w:t>
      </w:r>
      <w:r w:rsidR="004E24A7" w:rsidRPr="00E21577">
        <w:rPr>
          <w:b/>
          <w:color w:val="auto"/>
          <w:lang w:val="es-ES_tradnl"/>
        </w:rPr>
        <w:t xml:space="preserve">procurar </w:t>
      </w:r>
      <w:r w:rsidR="009A4C2B" w:rsidRPr="00E21577">
        <w:rPr>
          <w:b/>
          <w:lang w:val="es-ES_tradnl"/>
        </w:rPr>
        <w:t>que se abra una cuenta bancaria independiente de conformidad con la decisión del Consejo.</w:t>
      </w:r>
    </w:p>
    <w:p w:rsidR="00C91841" w:rsidRPr="00E21577" w:rsidRDefault="00B86478" w:rsidP="0093358F">
      <w:pPr>
        <w:pStyle w:val="Heading2"/>
        <w:spacing w:after="120" w:line="240" w:lineRule="auto"/>
        <w:rPr>
          <w:lang w:val="es-ES_tradnl"/>
        </w:rPr>
      </w:pPr>
      <w:bookmarkStart w:id="14" w:name="_Toc15484878"/>
      <w:r w:rsidRPr="00E21577">
        <w:rPr>
          <w:lang w:val="es-ES_tradnl"/>
        </w:rPr>
        <w:t>Novedades operativas</w:t>
      </w:r>
      <w:bookmarkEnd w:id="14"/>
    </w:p>
    <w:p w:rsidR="00C91841" w:rsidRPr="00E21577" w:rsidRDefault="00687155" w:rsidP="0093358F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color w:val="auto"/>
          <w:lang w:val="es-ES_tradnl"/>
        </w:rPr>
        <w:t xml:space="preserve">A </w:t>
      </w:r>
      <w:r w:rsidR="0050116F" w:rsidRPr="00E21577">
        <w:rPr>
          <w:color w:val="auto"/>
          <w:lang w:val="es-ES_tradnl"/>
        </w:rPr>
        <w:t>consecuencia de</w:t>
      </w:r>
      <w:r w:rsidR="00D04FFA" w:rsidRPr="00E21577">
        <w:rPr>
          <w:color w:val="auto"/>
          <w:lang w:val="es-ES_tradnl"/>
        </w:rPr>
        <w:t>l</w:t>
      </w:r>
      <w:r w:rsidR="0050116F" w:rsidRPr="00E21577">
        <w:rPr>
          <w:color w:val="auto"/>
          <w:lang w:val="es-ES_tradnl"/>
        </w:rPr>
        <w:t xml:space="preserve"> incremento de la adhesión a la</w:t>
      </w:r>
      <w:r w:rsidR="00297D71" w:rsidRPr="00E21577">
        <w:rPr>
          <w:color w:val="auto"/>
          <w:lang w:val="es-ES_tradnl"/>
        </w:rPr>
        <w:t xml:space="preserve"> </w:t>
      </w:r>
      <w:r w:rsidR="0050116F" w:rsidRPr="00E21577">
        <w:rPr>
          <w:color w:val="auto"/>
          <w:lang w:val="es-ES_tradnl"/>
        </w:rPr>
        <w:t>UPOV y el aumento de la sensibilización sobre la necesidad de políticas eficaces para hacer frente a las demandas crecientes a las que está sujeta la agricultura, la</w:t>
      </w:r>
      <w:r w:rsidR="00297D71" w:rsidRPr="00E21577">
        <w:rPr>
          <w:color w:val="auto"/>
          <w:lang w:val="es-ES_tradnl"/>
        </w:rPr>
        <w:t xml:space="preserve"> </w:t>
      </w:r>
      <w:r w:rsidR="0050116F" w:rsidRPr="00E21577">
        <w:rPr>
          <w:color w:val="auto"/>
          <w:lang w:val="es-ES_tradnl"/>
        </w:rPr>
        <w:t>UPOV deb</w:t>
      </w:r>
      <w:r w:rsidR="00D04FFA" w:rsidRPr="00E21577">
        <w:rPr>
          <w:color w:val="auto"/>
          <w:lang w:val="es-ES_tradnl"/>
        </w:rPr>
        <w:t>e</w:t>
      </w:r>
      <w:r w:rsidR="0050116F" w:rsidRPr="00E21577">
        <w:rPr>
          <w:color w:val="auto"/>
          <w:lang w:val="es-ES_tradnl"/>
        </w:rPr>
        <w:t xml:space="preserve"> reconsiderar los recursos de los que debe disponer para alcanzar sus metas y objetivos</w:t>
      </w:r>
      <w:r w:rsidR="005640B7" w:rsidRPr="00E21577">
        <w:rPr>
          <w:lang w:val="es-ES_tradnl"/>
        </w:rPr>
        <w:t>.</w:t>
      </w:r>
    </w:p>
    <w:p w:rsidR="00C91841" w:rsidRPr="00E21577" w:rsidRDefault="005640B7" w:rsidP="0093358F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Esta situación se </w:t>
      </w:r>
      <w:r w:rsidR="00F945E5" w:rsidRPr="00E21577">
        <w:rPr>
          <w:lang w:val="es-ES_tradnl"/>
        </w:rPr>
        <w:t>destaca</w:t>
      </w:r>
      <w:r w:rsidR="00C1402E" w:rsidRPr="00E21577">
        <w:rPr>
          <w:lang w:val="es-ES_tradnl"/>
        </w:rPr>
        <w:t>ba</w:t>
      </w:r>
      <w:r w:rsidR="00F945E5" w:rsidRPr="00E21577">
        <w:rPr>
          <w:lang w:val="es-ES_tradnl"/>
        </w:rPr>
        <w:t xml:space="preserve"> en la “Evaluación de la</w:t>
      </w:r>
      <w:r w:rsidR="00297D71" w:rsidRPr="00E21577">
        <w:rPr>
          <w:lang w:val="es-ES_tradnl"/>
        </w:rPr>
        <w:t xml:space="preserve"> </w:t>
      </w:r>
      <w:r w:rsidR="00F945E5" w:rsidRPr="00E21577">
        <w:rPr>
          <w:lang w:val="es-ES_tradnl"/>
        </w:rPr>
        <w:t>Unión Internacional para la Protección de las Obtenciones Vegetales (UPOV)” que la División de Supervisión Interna (DSI) de la</w:t>
      </w:r>
      <w:r w:rsidR="00297D71" w:rsidRPr="00E21577">
        <w:rPr>
          <w:lang w:val="es-ES_tradnl"/>
        </w:rPr>
        <w:t xml:space="preserve"> </w:t>
      </w:r>
      <w:r w:rsidR="00F945E5" w:rsidRPr="00E21577">
        <w:rPr>
          <w:lang w:val="es-ES_tradnl"/>
        </w:rPr>
        <w:t>OMPI efectuó en</w:t>
      </w:r>
      <w:r w:rsidR="00297D71" w:rsidRPr="00E21577">
        <w:rPr>
          <w:lang w:val="es-ES_tradnl"/>
        </w:rPr>
        <w:t xml:space="preserve"> </w:t>
      </w:r>
      <w:r w:rsidR="00F945E5" w:rsidRPr="00E21577">
        <w:rPr>
          <w:lang w:val="es-ES_tradnl"/>
        </w:rPr>
        <w:t>2016.</w:t>
      </w:r>
      <w:r w:rsidR="00D6359E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 </w:t>
      </w:r>
      <w:r w:rsidR="00C1402E" w:rsidRPr="00E21577">
        <w:rPr>
          <w:lang w:val="es-ES_tradnl"/>
        </w:rPr>
        <w:t>En ese informe se recomendaba a la</w:t>
      </w:r>
      <w:r w:rsidR="00297D71" w:rsidRPr="00E21577">
        <w:rPr>
          <w:lang w:val="es-ES_tradnl"/>
        </w:rPr>
        <w:t xml:space="preserve"> </w:t>
      </w:r>
      <w:r w:rsidR="00C1402E" w:rsidRPr="00E21577">
        <w:rPr>
          <w:lang w:val="es-ES_tradnl"/>
        </w:rPr>
        <w:t>UPOV que considerara la posibilidad de elaborar un plan operativo estratégico para diversificar sus fuentes de ingresos.</w:t>
      </w:r>
      <w:r w:rsidR="00D6359E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 </w:t>
      </w:r>
      <w:r w:rsidR="00C1402E" w:rsidRPr="00E21577">
        <w:rPr>
          <w:lang w:val="es-ES_tradnl"/>
        </w:rPr>
        <w:t>En respuesta, la</w:t>
      </w:r>
      <w:r w:rsidR="00297D71" w:rsidRPr="00E21577">
        <w:rPr>
          <w:lang w:val="es-ES_tradnl"/>
        </w:rPr>
        <w:t xml:space="preserve"> </w:t>
      </w:r>
      <w:r w:rsidR="00C1402E" w:rsidRPr="00E21577">
        <w:rPr>
          <w:lang w:val="es-ES_tradnl"/>
        </w:rPr>
        <w:t>UPOV elaboró un proyecto de plan operativo estratégico, que fue aprobado por el Comité Consultivo en octubre de</w:t>
      </w:r>
      <w:r w:rsidRPr="00E21577">
        <w:rPr>
          <w:lang w:val="es-ES_tradnl"/>
        </w:rPr>
        <w:t> </w:t>
      </w:r>
      <w:r w:rsidR="00C1402E" w:rsidRPr="00E21577">
        <w:rPr>
          <w:lang w:val="es-ES_tradnl"/>
        </w:rPr>
        <w:t>2017.</w:t>
      </w:r>
    </w:p>
    <w:p w:rsidR="00C91841" w:rsidRPr="00E21577" w:rsidRDefault="00C1402E" w:rsidP="006D7B5E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Con</w:t>
      </w:r>
      <w:r w:rsidR="007774D3" w:rsidRPr="00E21577">
        <w:rPr>
          <w:lang w:val="es-ES_tradnl"/>
        </w:rPr>
        <w:t>forme</w:t>
      </w:r>
      <w:r w:rsidRPr="00E21577">
        <w:rPr>
          <w:lang w:val="es-ES_tradnl"/>
        </w:rPr>
        <w:t xml:space="preserve"> a dicho plan operativo, </w:t>
      </w:r>
      <w:r w:rsidR="007774D3"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UPOV no </w:t>
      </w:r>
      <w:r w:rsidR="007774D3" w:rsidRPr="00E21577">
        <w:rPr>
          <w:lang w:val="es-ES_tradnl"/>
        </w:rPr>
        <w:t>prevé aumentar el importe</w:t>
      </w:r>
      <w:r w:rsidRPr="00E21577">
        <w:rPr>
          <w:lang w:val="es-ES_tradnl"/>
        </w:rPr>
        <w:t xml:space="preserve"> de </w:t>
      </w:r>
      <w:r w:rsidR="007774D3" w:rsidRPr="00E21577">
        <w:rPr>
          <w:lang w:val="es-ES_tradnl"/>
        </w:rPr>
        <w:t xml:space="preserve">las unidades de contribución de los </w:t>
      </w:r>
      <w:r w:rsidRPr="00E21577">
        <w:rPr>
          <w:lang w:val="es-ES_tradnl"/>
        </w:rPr>
        <w:t xml:space="preserve">miembros </w:t>
      </w:r>
      <w:r w:rsidR="007774D3" w:rsidRPr="00E21577">
        <w:rPr>
          <w:lang w:val="es-ES_tradnl"/>
        </w:rPr>
        <w:t>par</w:t>
      </w:r>
      <w:r w:rsidRPr="00E21577">
        <w:rPr>
          <w:lang w:val="es-ES_tradnl"/>
        </w:rPr>
        <w:t xml:space="preserve">a </w:t>
      </w:r>
      <w:r w:rsidR="007774D3" w:rsidRPr="00E21577">
        <w:rPr>
          <w:lang w:val="es-ES_tradnl"/>
        </w:rPr>
        <w:t>obtener</w:t>
      </w:r>
      <w:r w:rsidRPr="00E21577">
        <w:rPr>
          <w:lang w:val="es-ES_tradnl"/>
        </w:rPr>
        <w:t xml:space="preserve"> ingresos</w:t>
      </w:r>
      <w:r w:rsidR="007774D3" w:rsidRPr="00E21577">
        <w:rPr>
          <w:lang w:val="es-ES_tradnl"/>
        </w:rPr>
        <w:t xml:space="preserve"> adicionales</w:t>
      </w:r>
      <w:r w:rsidRPr="00E21577">
        <w:rPr>
          <w:lang w:val="es-ES_tradnl"/>
        </w:rPr>
        <w:t>.</w:t>
      </w:r>
      <w:r w:rsidR="00D6359E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br/>
      </w:r>
      <w:r w:rsidR="007774D3" w:rsidRPr="00E21577">
        <w:rPr>
          <w:lang w:val="es-ES_tradnl"/>
        </w:rPr>
        <w:t>En enero de</w:t>
      </w:r>
      <w:r w:rsidR="00297D71" w:rsidRPr="00E21577">
        <w:rPr>
          <w:lang w:val="es-ES_tradnl"/>
        </w:rPr>
        <w:t xml:space="preserve"> </w:t>
      </w:r>
      <w:r w:rsidR="007774D3" w:rsidRPr="00E21577">
        <w:rPr>
          <w:lang w:val="es-ES_tradnl"/>
        </w:rPr>
        <w:t>2017, la</w:t>
      </w:r>
      <w:r w:rsidR="00297D71" w:rsidRPr="00E21577">
        <w:rPr>
          <w:lang w:val="es-ES_tradnl"/>
        </w:rPr>
        <w:t xml:space="preserve"> </w:t>
      </w:r>
      <w:r w:rsidR="007774D3" w:rsidRPr="00E21577">
        <w:rPr>
          <w:lang w:val="es-ES_tradnl"/>
        </w:rPr>
        <w:t xml:space="preserve">UPOV puso en </w:t>
      </w:r>
      <w:r w:rsidR="006D7B5E" w:rsidRPr="00E21577">
        <w:rPr>
          <w:lang w:val="es-ES_tradnl"/>
        </w:rPr>
        <w:t>marcha</w:t>
      </w:r>
      <w:r w:rsidR="007774D3" w:rsidRPr="00E21577">
        <w:rPr>
          <w:lang w:val="es-ES_tradnl"/>
        </w:rPr>
        <w:t xml:space="preserve"> el formulario electrónico de solicitud denominado UPOV</w:t>
      </w:r>
      <w:r w:rsidR="00297D71" w:rsidRPr="00E21577">
        <w:rPr>
          <w:lang w:val="es-ES_tradnl"/>
        </w:rPr>
        <w:t xml:space="preserve"> </w:t>
      </w:r>
      <w:r w:rsidR="007774D3" w:rsidRPr="00E21577">
        <w:rPr>
          <w:lang w:val="es-ES_tradnl"/>
        </w:rPr>
        <w:t>PRISMA</w:t>
      </w:r>
      <w:r w:rsidR="002C7F63" w:rsidRPr="00E21577">
        <w:rPr>
          <w:lang w:val="es-ES_tradnl"/>
        </w:rPr>
        <w:t>.</w:t>
      </w:r>
      <w:r w:rsidR="007774D3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2C7F63" w:rsidRPr="00E21577">
        <w:rPr>
          <w:lang w:val="es-ES_tradnl"/>
        </w:rPr>
        <w:t xml:space="preserve">Se trata de </w:t>
      </w:r>
      <w:r w:rsidR="004039DD" w:rsidRPr="00E21577">
        <w:rPr>
          <w:lang w:val="es-ES_tradnl"/>
        </w:rPr>
        <w:t>un</w:t>
      </w:r>
      <w:r w:rsidR="007774D3" w:rsidRPr="00E21577">
        <w:rPr>
          <w:lang w:val="es-ES_tradnl"/>
        </w:rPr>
        <w:t xml:space="preserve"> </w:t>
      </w:r>
      <w:r w:rsidR="004039DD" w:rsidRPr="00E21577">
        <w:rPr>
          <w:lang w:val="es-ES_tradnl"/>
        </w:rPr>
        <w:t>instrumento multilingüe de solicitud en línea que</w:t>
      </w:r>
      <w:r w:rsidR="007774D3" w:rsidRPr="00E21577">
        <w:rPr>
          <w:lang w:val="es-ES_tradnl"/>
        </w:rPr>
        <w:t xml:space="preserve"> </w:t>
      </w:r>
      <w:r w:rsidR="004039DD" w:rsidRPr="00E21577">
        <w:rPr>
          <w:lang w:val="es-ES_tradnl"/>
        </w:rPr>
        <w:t>permite transmitir</w:t>
      </w:r>
      <w:r w:rsidR="007774D3" w:rsidRPr="00E21577">
        <w:rPr>
          <w:lang w:val="es-ES_tradnl"/>
        </w:rPr>
        <w:t xml:space="preserve"> datos a </w:t>
      </w:r>
      <w:r w:rsidR="004039DD" w:rsidRPr="00E21577">
        <w:rPr>
          <w:lang w:val="es-ES_tradnl"/>
        </w:rPr>
        <w:t>toda</w:t>
      </w:r>
      <w:r w:rsidR="007774D3" w:rsidRPr="00E21577">
        <w:rPr>
          <w:lang w:val="es-ES_tradnl"/>
        </w:rPr>
        <w:t xml:space="preserve">s </w:t>
      </w:r>
      <w:r w:rsidR="004039DD" w:rsidRPr="00E21577">
        <w:rPr>
          <w:lang w:val="es-ES_tradnl"/>
        </w:rPr>
        <w:t>las oficinas de protección de las obtenciones vegetales participantes en el formato exigido</w:t>
      </w:r>
      <w:r w:rsidR="007774D3"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A871D9" w:rsidRPr="00E21577">
        <w:rPr>
          <w:lang w:val="es-ES_tradnl"/>
        </w:rPr>
        <w:t>El sistema se puso en funcionamiento bajo el supuesto de que los costos del servicio se cubrirían, en última instancia, mediante las tasas abonadas por los solicitantes</w:t>
      </w:r>
      <w:r w:rsidR="00587A79" w:rsidRPr="00E21577">
        <w:rPr>
          <w:lang w:val="es-ES_tradnl"/>
        </w:rPr>
        <w:t>,</w:t>
      </w:r>
      <w:r w:rsidR="00A871D9" w:rsidRPr="00E21577">
        <w:rPr>
          <w:lang w:val="es-ES_tradnl"/>
        </w:rPr>
        <w:t xml:space="preserve"> con </w:t>
      </w:r>
      <w:r w:rsidR="00587A79" w:rsidRPr="00E21577">
        <w:rPr>
          <w:lang w:val="es-ES_tradnl"/>
        </w:rPr>
        <w:t>el propósito</w:t>
      </w:r>
      <w:r w:rsidR="00A871D9" w:rsidRPr="00E21577">
        <w:rPr>
          <w:lang w:val="es-ES_tradnl"/>
        </w:rPr>
        <w:t xml:space="preserve"> </w:t>
      </w:r>
      <w:r w:rsidR="00587A79" w:rsidRPr="00E21577">
        <w:rPr>
          <w:lang w:val="es-ES_tradnl"/>
        </w:rPr>
        <w:t xml:space="preserve">de hacerlo extensivo </w:t>
      </w:r>
      <w:r w:rsidR="00A871D9" w:rsidRPr="00E21577">
        <w:rPr>
          <w:lang w:val="es-ES_tradnl"/>
        </w:rPr>
        <w:t xml:space="preserve">a todos </w:t>
      </w:r>
      <w:r w:rsidR="00587A79" w:rsidRPr="00E21577">
        <w:rPr>
          <w:lang w:val="es-ES_tradnl"/>
        </w:rPr>
        <w:t>los miembros de la</w:t>
      </w:r>
      <w:r w:rsidR="00297D71" w:rsidRPr="00E21577">
        <w:rPr>
          <w:lang w:val="es-ES_tradnl"/>
        </w:rPr>
        <w:t xml:space="preserve"> </w:t>
      </w:r>
      <w:r w:rsidR="00A871D9" w:rsidRPr="00E21577">
        <w:rPr>
          <w:lang w:val="es-ES_tradnl"/>
        </w:rPr>
        <w:t xml:space="preserve">Unión </w:t>
      </w:r>
      <w:r w:rsidR="00587A79" w:rsidRPr="00E21577">
        <w:rPr>
          <w:lang w:val="es-ES_tradnl"/>
        </w:rPr>
        <w:t xml:space="preserve">que deseen </w:t>
      </w:r>
      <w:r w:rsidR="00A871D9" w:rsidRPr="00E21577">
        <w:rPr>
          <w:lang w:val="es-ES_tradnl"/>
        </w:rPr>
        <w:t>participa</w:t>
      </w:r>
      <w:r w:rsidR="00587A79" w:rsidRPr="00E21577">
        <w:rPr>
          <w:lang w:val="es-ES_tradnl"/>
        </w:rPr>
        <w:t>r</w:t>
      </w:r>
      <w:r w:rsidR="00A871D9" w:rsidRPr="00E21577">
        <w:rPr>
          <w:lang w:val="es-ES_tradnl"/>
        </w:rPr>
        <w:t xml:space="preserve"> y </w:t>
      </w:r>
      <w:r w:rsidR="00587A79" w:rsidRPr="00E21577">
        <w:rPr>
          <w:lang w:val="es-ES_tradnl"/>
        </w:rPr>
        <w:t xml:space="preserve">a </w:t>
      </w:r>
      <w:r w:rsidR="00A871D9" w:rsidRPr="00E21577">
        <w:rPr>
          <w:lang w:val="es-ES_tradnl"/>
        </w:rPr>
        <w:t xml:space="preserve">todos </w:t>
      </w:r>
      <w:r w:rsidR="00587A79" w:rsidRPr="00E21577">
        <w:rPr>
          <w:lang w:val="es-ES_tradnl"/>
        </w:rPr>
        <w:t xml:space="preserve">los </w:t>
      </w:r>
      <w:r w:rsidR="00A871D9" w:rsidRPr="00E21577">
        <w:rPr>
          <w:lang w:val="es-ES_tradnl"/>
        </w:rPr>
        <w:t>cultivos</w:t>
      </w:r>
      <w:r w:rsidR="00587A79" w:rsidRPr="00E21577">
        <w:rPr>
          <w:lang w:val="es-ES_tradnl"/>
        </w:rPr>
        <w:t xml:space="preserve"> o e</w:t>
      </w:r>
      <w:r w:rsidR="00A871D9" w:rsidRPr="00E21577">
        <w:rPr>
          <w:lang w:val="es-ES_tradnl"/>
        </w:rPr>
        <w:t>species.</w:t>
      </w:r>
    </w:p>
    <w:p w:rsidR="00C91841" w:rsidRPr="00E21577" w:rsidRDefault="004341D9" w:rsidP="006D7B5E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En noviembre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2018, el Comité Consultivo </w:t>
      </w:r>
      <w:r w:rsidR="00CF2201" w:rsidRPr="00E21577">
        <w:rPr>
          <w:lang w:val="es-ES_tradnl"/>
        </w:rPr>
        <w:t>observó</w:t>
      </w:r>
      <w:r w:rsidRPr="00E21577">
        <w:rPr>
          <w:lang w:val="es-ES_tradnl"/>
        </w:rPr>
        <w:t xml:space="preserve"> que se necesita más tiempo para contar con un mayor número de usuarios de</w:t>
      </w:r>
      <w:r w:rsidR="00CF2201" w:rsidRPr="00E21577">
        <w:rPr>
          <w:lang w:val="es-ES_tradnl"/>
        </w:rPr>
        <w:t xml:space="preserve"> </w:t>
      </w:r>
      <w:r w:rsidRPr="00E21577">
        <w:rPr>
          <w:lang w:val="es-ES_tradnl"/>
        </w:rPr>
        <w:t>UPOV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PRISMA que permita obtener una encuesta fiable sobre la idoneidad de las opciones financieras y procurar </w:t>
      </w:r>
      <w:r w:rsidR="00CF2201" w:rsidRPr="00E21577">
        <w:rPr>
          <w:lang w:val="es-ES_tradnl"/>
        </w:rPr>
        <w:t xml:space="preserve">su </w:t>
      </w:r>
      <w:r w:rsidRPr="00E21577">
        <w:rPr>
          <w:lang w:val="es-ES_tradnl"/>
        </w:rPr>
        <w:t>fiabilidad.</w:t>
      </w:r>
      <w:r w:rsidR="00D6359E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CF2201" w:rsidRPr="00E21577">
        <w:rPr>
          <w:lang w:val="es-ES_tradnl"/>
        </w:rPr>
        <w:t>Posteriormente, el Consejo aprobó la recomendación del Comité de permitir que UPOV</w:t>
      </w:r>
      <w:r w:rsidR="00297D71" w:rsidRPr="00E21577">
        <w:rPr>
          <w:lang w:val="es-ES_tradnl"/>
        </w:rPr>
        <w:t xml:space="preserve"> </w:t>
      </w:r>
      <w:r w:rsidR="00CF2201" w:rsidRPr="00E21577">
        <w:rPr>
          <w:lang w:val="es-ES_tradnl"/>
        </w:rPr>
        <w:t>PRISMA se utilice gratuitamente en</w:t>
      </w:r>
      <w:r w:rsidR="00297D71" w:rsidRPr="00E21577">
        <w:rPr>
          <w:lang w:val="es-ES_tradnl"/>
        </w:rPr>
        <w:t xml:space="preserve"> </w:t>
      </w:r>
      <w:r w:rsidR="00CF2201" w:rsidRPr="00E21577">
        <w:rPr>
          <w:lang w:val="es-ES_tradnl"/>
        </w:rPr>
        <w:t>2019.</w:t>
      </w:r>
    </w:p>
    <w:p w:rsidR="00C91841" w:rsidRPr="00E21577" w:rsidRDefault="00CF2201" w:rsidP="006D7B5E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bookmarkStart w:id="15" w:name="SW0007"/>
      <w:bookmarkEnd w:id="13"/>
      <w:r w:rsidRPr="00E21577">
        <w:rPr>
          <w:lang w:val="es-ES_tradnl"/>
        </w:rPr>
        <w:t>A</w:t>
      </w:r>
      <w:r w:rsidR="00E3612A" w:rsidRPr="00E21577">
        <w:rPr>
          <w:lang w:val="es-ES_tradnl"/>
        </w:rPr>
        <w:t xml:space="preserve"> medida que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UPOV </w:t>
      </w:r>
      <w:r w:rsidR="00607E6B" w:rsidRPr="00E21577">
        <w:rPr>
          <w:lang w:val="es-ES_tradnl"/>
        </w:rPr>
        <w:t>avanza</w:t>
      </w:r>
      <w:r w:rsidR="00E3612A" w:rsidRPr="00E21577">
        <w:rPr>
          <w:lang w:val="es-ES_tradnl"/>
        </w:rPr>
        <w:t xml:space="preserve"> hacia un entorno operativo </w:t>
      </w:r>
      <w:r w:rsidRPr="00E21577">
        <w:rPr>
          <w:lang w:val="es-ES_tradnl"/>
        </w:rPr>
        <w:t xml:space="preserve">más comercial, </w:t>
      </w:r>
      <w:r w:rsidR="00E3612A" w:rsidRPr="00E21577">
        <w:rPr>
          <w:lang w:val="es-ES_tradnl"/>
        </w:rPr>
        <w:t>se</w:t>
      </w:r>
      <w:r w:rsidR="004005B3" w:rsidRPr="00E21577">
        <w:rPr>
          <w:lang w:val="es-ES_tradnl"/>
        </w:rPr>
        <w:t xml:space="preserve"> hace</w:t>
      </w:r>
      <w:r w:rsidR="00E3612A" w:rsidRPr="00E21577">
        <w:rPr>
          <w:lang w:val="es-ES_tradnl"/>
        </w:rPr>
        <w:t xml:space="preserve"> necesario</w:t>
      </w:r>
      <w:r w:rsidRPr="00E21577">
        <w:rPr>
          <w:lang w:val="es-ES_tradnl"/>
        </w:rPr>
        <w:t xml:space="preserve"> </w:t>
      </w:r>
      <w:r w:rsidR="00E3612A" w:rsidRPr="00E21577">
        <w:rPr>
          <w:lang w:val="es-ES_tradnl"/>
        </w:rPr>
        <w:t xml:space="preserve">que </w:t>
      </w:r>
      <w:r w:rsidR="00E003B3" w:rsidRPr="00E21577">
        <w:rPr>
          <w:lang w:val="es-ES_tradnl"/>
        </w:rPr>
        <w:t>examin</w:t>
      </w:r>
      <w:r w:rsidR="004005B3" w:rsidRPr="00E21577">
        <w:rPr>
          <w:lang w:val="es-ES_tradnl"/>
        </w:rPr>
        <w:t>e</w:t>
      </w:r>
      <w:r w:rsidR="00E3612A" w:rsidRPr="00E21577">
        <w:rPr>
          <w:lang w:val="es-ES_tradnl"/>
        </w:rPr>
        <w:t xml:space="preserve"> detenidamente</w:t>
      </w:r>
      <w:r w:rsidRPr="00E21577">
        <w:rPr>
          <w:lang w:val="es-ES_tradnl"/>
        </w:rPr>
        <w:t xml:space="preserve"> </w:t>
      </w:r>
      <w:r w:rsidR="00E3612A" w:rsidRPr="00E21577">
        <w:rPr>
          <w:lang w:val="es-ES_tradnl"/>
        </w:rPr>
        <w:t>el</w:t>
      </w:r>
      <w:r w:rsidRPr="00E21577">
        <w:rPr>
          <w:lang w:val="es-ES_tradnl"/>
        </w:rPr>
        <w:t xml:space="preserve"> </w:t>
      </w:r>
      <w:r w:rsidR="00E3612A" w:rsidRPr="00E21577">
        <w:rPr>
          <w:lang w:val="es-ES_tradnl"/>
        </w:rPr>
        <w:t xml:space="preserve">modelo de </w:t>
      </w:r>
      <w:r w:rsidR="00AF56CF" w:rsidRPr="00E21577">
        <w:rPr>
          <w:lang w:val="es-ES_tradnl"/>
        </w:rPr>
        <w:t xml:space="preserve">cálculo de </w:t>
      </w:r>
      <w:r w:rsidRPr="00E21577">
        <w:rPr>
          <w:lang w:val="es-ES_tradnl"/>
        </w:rPr>
        <w:t>cost</w:t>
      </w:r>
      <w:r w:rsidR="00E3612A" w:rsidRPr="00E21577">
        <w:rPr>
          <w:lang w:val="es-ES_tradnl"/>
        </w:rPr>
        <w:t xml:space="preserve">os </w:t>
      </w:r>
      <w:r w:rsidRPr="00E21577">
        <w:rPr>
          <w:lang w:val="es-ES_tradnl"/>
        </w:rPr>
        <w:t>empl</w:t>
      </w:r>
      <w:r w:rsidR="00E3612A" w:rsidRPr="00E21577">
        <w:rPr>
          <w:lang w:val="es-ES_tradnl"/>
        </w:rPr>
        <w:t xml:space="preserve">eado </w:t>
      </w:r>
      <w:r w:rsidRPr="00E21577">
        <w:rPr>
          <w:lang w:val="es-ES_tradnl"/>
        </w:rPr>
        <w:t xml:space="preserve">y </w:t>
      </w:r>
      <w:r w:rsidR="007B63CA" w:rsidRPr="00E21577">
        <w:rPr>
          <w:lang w:val="es-ES_tradnl"/>
        </w:rPr>
        <w:t>elabore</w:t>
      </w:r>
      <w:r w:rsidR="00E3612A" w:rsidRPr="00E21577">
        <w:rPr>
          <w:lang w:val="es-ES_tradnl"/>
        </w:rPr>
        <w:t xml:space="preserve"> </w:t>
      </w:r>
      <w:r w:rsidR="00D37582" w:rsidRPr="00E21577">
        <w:rPr>
          <w:lang w:val="es-ES_tradnl"/>
        </w:rPr>
        <w:t>estimac</w:t>
      </w:r>
      <w:r w:rsidR="00E3612A" w:rsidRPr="00E21577">
        <w:rPr>
          <w:lang w:val="es-ES_tradnl"/>
        </w:rPr>
        <w:t>iones</w:t>
      </w:r>
      <w:r w:rsidRPr="00E21577">
        <w:rPr>
          <w:lang w:val="es-ES_tradnl"/>
        </w:rPr>
        <w:t xml:space="preserve"> realist</w:t>
      </w:r>
      <w:r w:rsidR="00E3612A" w:rsidRPr="00E21577">
        <w:rPr>
          <w:lang w:val="es-ES_tradnl"/>
        </w:rPr>
        <w:t>as</w:t>
      </w:r>
      <w:r w:rsidRPr="00E21577">
        <w:rPr>
          <w:lang w:val="es-ES_tradnl"/>
        </w:rPr>
        <w:t xml:space="preserve"> </w:t>
      </w:r>
      <w:r w:rsidR="00E3612A" w:rsidRPr="00E21577">
        <w:rPr>
          <w:lang w:val="es-ES_tradnl"/>
        </w:rPr>
        <w:t xml:space="preserve">que permitan </w:t>
      </w:r>
      <w:r w:rsidR="00024171" w:rsidRPr="00E21577">
        <w:rPr>
          <w:lang w:val="es-ES_tradnl"/>
        </w:rPr>
        <w:t>medir</w:t>
      </w:r>
      <w:r w:rsidR="00E3612A" w:rsidRPr="00E21577">
        <w:rPr>
          <w:lang w:val="es-ES_tradnl"/>
        </w:rPr>
        <w:t xml:space="preserve"> </w:t>
      </w:r>
      <w:r w:rsidR="00861333" w:rsidRPr="00E21577">
        <w:rPr>
          <w:lang w:val="es-ES_tradnl"/>
        </w:rPr>
        <w:t>el progreso</w:t>
      </w:r>
      <w:r w:rsidR="00E3612A" w:rsidRPr="00E21577">
        <w:rPr>
          <w:lang w:val="es-ES_tradnl"/>
        </w:rPr>
        <w:t xml:space="preserve"> </w:t>
      </w:r>
      <w:r w:rsidR="00861333" w:rsidRPr="00E21577">
        <w:rPr>
          <w:lang w:val="es-ES_tradnl"/>
        </w:rPr>
        <w:t>en la consecución de sus</w:t>
      </w:r>
      <w:r w:rsidRPr="00E21577">
        <w:rPr>
          <w:lang w:val="es-ES_tradnl"/>
        </w:rPr>
        <w:t xml:space="preserve"> metas.</w:t>
      </w:r>
      <w:r w:rsidR="00D6359E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5F57F7" w:rsidRPr="00E21577">
        <w:rPr>
          <w:lang w:val="es-ES_tradnl"/>
        </w:rPr>
        <w:t>Al adquirir un conocimiento más profundo y una mayor comprensión de sus gastos operativos, la</w:t>
      </w:r>
      <w:r w:rsidR="00297D71" w:rsidRPr="00E21577">
        <w:rPr>
          <w:lang w:val="es-ES_tradnl"/>
        </w:rPr>
        <w:t xml:space="preserve"> </w:t>
      </w:r>
      <w:r w:rsidR="005F57F7" w:rsidRPr="00E21577">
        <w:rPr>
          <w:lang w:val="es-ES_tradnl"/>
        </w:rPr>
        <w:t xml:space="preserve">UPOV podrá analizarlos, compararlos y gestionarlos mejor, </w:t>
      </w:r>
      <w:r w:rsidR="002F78C1" w:rsidRPr="00E21577">
        <w:rPr>
          <w:lang w:val="es-ES_tradnl"/>
        </w:rPr>
        <w:t xml:space="preserve">y así </w:t>
      </w:r>
      <w:r w:rsidR="00295BAC" w:rsidRPr="00E21577">
        <w:rPr>
          <w:lang w:val="es-ES_tradnl"/>
        </w:rPr>
        <w:t>fijar unas</w:t>
      </w:r>
      <w:r w:rsidR="00E3612A" w:rsidRPr="00E21577">
        <w:rPr>
          <w:lang w:val="es-ES_tradnl"/>
        </w:rPr>
        <w:t xml:space="preserve"> tasa</w:t>
      </w:r>
      <w:r w:rsidR="00E263F6" w:rsidRPr="00E21577">
        <w:rPr>
          <w:lang w:val="es-ES_tradnl"/>
        </w:rPr>
        <w:t>s</w:t>
      </w:r>
      <w:r w:rsidR="00E3612A" w:rsidRPr="00E21577">
        <w:rPr>
          <w:lang w:val="es-ES_tradnl"/>
        </w:rPr>
        <w:t xml:space="preserve"> </w:t>
      </w:r>
      <w:r w:rsidR="00295BAC" w:rsidRPr="00E21577">
        <w:rPr>
          <w:lang w:val="es-ES_tradnl"/>
        </w:rPr>
        <w:t xml:space="preserve">apropiadas </w:t>
      </w:r>
      <w:r w:rsidR="004A5B80" w:rsidRPr="00E21577">
        <w:rPr>
          <w:lang w:val="es-ES_tradnl"/>
        </w:rPr>
        <w:t>que le permitan</w:t>
      </w:r>
      <w:r w:rsidR="00E263F6" w:rsidRPr="00E21577">
        <w:rPr>
          <w:lang w:val="es-ES_tradnl"/>
        </w:rPr>
        <w:t xml:space="preserve"> </w:t>
      </w:r>
      <w:r w:rsidR="00E3612A" w:rsidRPr="00E21577">
        <w:rPr>
          <w:lang w:val="es-ES_tradnl"/>
        </w:rPr>
        <w:t>rec</w:t>
      </w:r>
      <w:r w:rsidR="00E263F6" w:rsidRPr="00E21577">
        <w:rPr>
          <w:lang w:val="es-ES_tradnl"/>
        </w:rPr>
        <w:t xml:space="preserve">uperar </w:t>
      </w:r>
      <w:r w:rsidR="0071511C" w:rsidRPr="00E21577">
        <w:rPr>
          <w:lang w:val="es-ES_tradnl"/>
        </w:rPr>
        <w:t>los</w:t>
      </w:r>
      <w:r w:rsidR="00E263F6" w:rsidRPr="00E21577">
        <w:rPr>
          <w:lang w:val="es-ES_tradnl"/>
        </w:rPr>
        <w:t xml:space="preserve"> </w:t>
      </w:r>
      <w:r w:rsidR="00DF4AD4" w:rsidRPr="00E21577">
        <w:rPr>
          <w:lang w:val="es-ES_tradnl"/>
        </w:rPr>
        <w:t>costo</w:t>
      </w:r>
      <w:r w:rsidR="0071511C" w:rsidRPr="00E21577">
        <w:rPr>
          <w:lang w:val="es-ES_tradnl"/>
        </w:rPr>
        <w:t>s</w:t>
      </w:r>
      <w:r w:rsidR="00E263F6" w:rsidRPr="00E21577">
        <w:rPr>
          <w:lang w:val="es-ES_tradnl"/>
        </w:rPr>
        <w:t xml:space="preserve"> </w:t>
      </w:r>
      <w:r w:rsidR="00E3612A" w:rsidRPr="00E21577">
        <w:rPr>
          <w:lang w:val="es-ES_tradnl"/>
        </w:rPr>
        <w:t>adicional</w:t>
      </w:r>
      <w:r w:rsidR="004A5B80" w:rsidRPr="00E21577">
        <w:rPr>
          <w:lang w:val="es-ES_tradnl"/>
        </w:rPr>
        <w:t>es</w:t>
      </w:r>
      <w:r w:rsidR="00E3612A" w:rsidRPr="00E21577">
        <w:rPr>
          <w:lang w:val="es-ES_tradnl"/>
        </w:rPr>
        <w:t xml:space="preserve"> </w:t>
      </w:r>
      <w:r w:rsidR="00E263F6" w:rsidRPr="00E21577">
        <w:rPr>
          <w:lang w:val="es-ES_tradnl"/>
        </w:rPr>
        <w:t xml:space="preserve">que </w:t>
      </w:r>
      <w:r w:rsidR="00DF4AD4" w:rsidRPr="00E21577">
        <w:rPr>
          <w:lang w:val="es-ES_tradnl"/>
        </w:rPr>
        <w:t>entrañan</w:t>
      </w:r>
      <w:r w:rsidR="00E263F6" w:rsidRPr="00E21577">
        <w:rPr>
          <w:lang w:val="es-ES_tradnl"/>
        </w:rPr>
        <w:t xml:space="preserve"> la administración </w:t>
      </w:r>
      <w:r w:rsidR="00E3612A" w:rsidRPr="00E21577">
        <w:rPr>
          <w:lang w:val="es-ES_tradnl"/>
        </w:rPr>
        <w:t xml:space="preserve">y </w:t>
      </w:r>
      <w:r w:rsidR="00E263F6" w:rsidRPr="00E21577">
        <w:rPr>
          <w:lang w:val="es-ES_tradnl"/>
        </w:rPr>
        <w:t>el funcionamiento del sistema UPOV</w:t>
      </w:r>
      <w:r w:rsidR="00297D71" w:rsidRPr="00E21577">
        <w:rPr>
          <w:lang w:val="es-ES_tradnl"/>
        </w:rPr>
        <w:t xml:space="preserve"> </w:t>
      </w:r>
      <w:r w:rsidR="00E263F6" w:rsidRPr="00E21577">
        <w:rPr>
          <w:lang w:val="es-ES_tradnl"/>
        </w:rPr>
        <w:t>PRISMA</w:t>
      </w:r>
      <w:r w:rsidR="00E3612A" w:rsidRPr="00E21577">
        <w:rPr>
          <w:lang w:val="es-ES_tradnl"/>
        </w:rPr>
        <w:t>.</w:t>
      </w:r>
    </w:p>
    <w:p w:rsidR="00C91841" w:rsidRPr="00E21577" w:rsidRDefault="002F78C1" w:rsidP="0078314A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Cuando se aplican</w:t>
      </w:r>
      <w:r w:rsidR="00CB67FE" w:rsidRPr="00E21577">
        <w:rPr>
          <w:lang w:val="es-ES_tradnl"/>
        </w:rPr>
        <w:t xml:space="preserve"> cambio</w:t>
      </w:r>
      <w:r w:rsidRPr="00E21577">
        <w:rPr>
          <w:lang w:val="es-ES_tradnl"/>
        </w:rPr>
        <w:t>s</w:t>
      </w:r>
      <w:r w:rsidR="00CB67FE" w:rsidRPr="00E21577">
        <w:rPr>
          <w:lang w:val="es-ES_tradnl"/>
        </w:rPr>
        <w:t xml:space="preserve"> significativo</w:t>
      </w:r>
      <w:r w:rsidRPr="00E21577">
        <w:rPr>
          <w:lang w:val="es-ES_tradnl"/>
        </w:rPr>
        <w:t>s</w:t>
      </w:r>
      <w:r w:rsidR="00CB67FE" w:rsidRPr="00E21577">
        <w:rPr>
          <w:lang w:val="es-ES_tradnl"/>
        </w:rPr>
        <w:t xml:space="preserve"> de esta índole, es importante </w:t>
      </w:r>
      <w:r w:rsidRPr="00E21577">
        <w:rPr>
          <w:lang w:val="es-ES_tradnl"/>
        </w:rPr>
        <w:t>asegurarse de que existe</w:t>
      </w:r>
      <w:r w:rsidR="00CB67FE" w:rsidRPr="00E21577">
        <w:rPr>
          <w:lang w:val="es-ES_tradnl"/>
        </w:rPr>
        <w:t xml:space="preserve">n mecanismos adecuados de gobernanza </w:t>
      </w:r>
      <w:r w:rsidR="001B5C99" w:rsidRPr="00E21577">
        <w:rPr>
          <w:lang w:val="es-ES_tradnl"/>
        </w:rPr>
        <w:t>para</w:t>
      </w:r>
      <w:r w:rsidR="00CB67FE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vigilar </w:t>
      </w:r>
      <w:r w:rsidR="00CB67FE" w:rsidRPr="00E21577">
        <w:rPr>
          <w:lang w:val="es-ES_tradnl"/>
        </w:rPr>
        <w:t xml:space="preserve">el rendimiento </w:t>
      </w:r>
      <w:r w:rsidRPr="00E21577">
        <w:rPr>
          <w:lang w:val="es-ES_tradnl"/>
        </w:rPr>
        <w:t>respecto</w:t>
      </w:r>
      <w:r w:rsidR="00CB67FE" w:rsidRPr="00E21577">
        <w:rPr>
          <w:lang w:val="es-ES_tradnl"/>
        </w:rPr>
        <w:t xml:space="preserve"> de los objetivos establecidos en el plan operativo.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55096A" w:rsidRPr="00E21577">
        <w:rPr>
          <w:lang w:val="es-ES_tradnl"/>
        </w:rPr>
        <w:t>Una sólida</w:t>
      </w:r>
      <w:r w:rsidR="0085593A" w:rsidRPr="00E21577">
        <w:rPr>
          <w:lang w:val="es-ES_tradnl"/>
        </w:rPr>
        <w:t xml:space="preserve"> gestión del proyecto</w:t>
      </w:r>
      <w:r w:rsidR="0077594F" w:rsidRPr="00E21577">
        <w:rPr>
          <w:lang w:val="es-ES_tradnl"/>
        </w:rPr>
        <w:t xml:space="preserve"> </w:t>
      </w:r>
      <w:r w:rsidR="006D7B5E" w:rsidRPr="00E21577">
        <w:rPr>
          <w:lang w:val="es-ES_tradnl"/>
        </w:rPr>
        <w:t xml:space="preserve">requiere </w:t>
      </w:r>
      <w:r w:rsidR="00F13F07" w:rsidRPr="00E21577">
        <w:rPr>
          <w:lang w:val="es-ES_tradnl"/>
        </w:rPr>
        <w:t xml:space="preserve">la </w:t>
      </w:r>
      <w:r w:rsidR="0055096A" w:rsidRPr="00E21577">
        <w:rPr>
          <w:lang w:val="es-ES_tradnl"/>
        </w:rPr>
        <w:t xml:space="preserve">oportuna </w:t>
      </w:r>
      <w:r w:rsidR="00D1003D" w:rsidRPr="00E21577">
        <w:rPr>
          <w:lang w:val="es-ES_tradnl"/>
        </w:rPr>
        <w:t xml:space="preserve">participación </w:t>
      </w:r>
      <w:r w:rsidR="00F13F07" w:rsidRPr="00E21577">
        <w:rPr>
          <w:lang w:val="es-ES_tradnl"/>
        </w:rPr>
        <w:t>de los sectores interesados</w:t>
      </w:r>
      <w:r w:rsidR="0085593A" w:rsidRPr="00E21577">
        <w:rPr>
          <w:lang w:val="es-ES_tradnl"/>
        </w:rPr>
        <w:t xml:space="preserve">, </w:t>
      </w:r>
      <w:r w:rsidR="0055096A" w:rsidRPr="00E21577">
        <w:rPr>
          <w:lang w:val="es-ES_tradnl"/>
        </w:rPr>
        <w:lastRenderedPageBreak/>
        <w:t>así como</w:t>
      </w:r>
      <w:r w:rsidR="005901BE" w:rsidRPr="00E21577">
        <w:rPr>
          <w:lang w:val="es-ES_tradnl"/>
        </w:rPr>
        <w:t xml:space="preserve"> </w:t>
      </w:r>
      <w:r w:rsidR="0085593A" w:rsidRPr="00E21577">
        <w:rPr>
          <w:lang w:val="es-ES_tradnl"/>
        </w:rPr>
        <w:t xml:space="preserve">supervisión </w:t>
      </w:r>
      <w:r w:rsidR="00D1003D" w:rsidRPr="00E21577">
        <w:rPr>
          <w:lang w:val="es-ES_tradnl"/>
        </w:rPr>
        <w:t>e</w:t>
      </w:r>
      <w:r w:rsidR="0085593A" w:rsidRPr="00E21577">
        <w:rPr>
          <w:lang w:val="es-ES_tradnl"/>
        </w:rPr>
        <w:t xml:space="preserve"> información </w:t>
      </w:r>
      <w:r w:rsidR="00402560" w:rsidRPr="00E21577">
        <w:rPr>
          <w:lang w:val="es-ES_tradnl"/>
        </w:rPr>
        <w:t>sobre la</w:t>
      </w:r>
      <w:r w:rsidR="00F13F07" w:rsidRPr="00E21577">
        <w:rPr>
          <w:lang w:val="es-ES_tradnl"/>
        </w:rPr>
        <w:t xml:space="preserve"> repercusión</w:t>
      </w:r>
      <w:r w:rsidR="00402560" w:rsidRPr="00E21577">
        <w:rPr>
          <w:lang w:val="es-ES_tradnl"/>
        </w:rPr>
        <w:t xml:space="preserve"> de los cambios</w:t>
      </w:r>
      <w:r w:rsidR="0085593A" w:rsidRPr="00E21577">
        <w:rPr>
          <w:lang w:val="es-ES_tradnl"/>
        </w:rPr>
        <w:t>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D1003D" w:rsidRPr="00E21577">
        <w:rPr>
          <w:lang w:val="es-ES_tradnl"/>
        </w:rPr>
        <w:t>Est</w:t>
      </w:r>
      <w:r w:rsidR="0077594F" w:rsidRPr="00E21577">
        <w:rPr>
          <w:lang w:val="es-ES_tradnl"/>
        </w:rPr>
        <w:t>a</w:t>
      </w:r>
      <w:r w:rsidR="00D1003D" w:rsidRPr="00E21577">
        <w:rPr>
          <w:lang w:val="es-ES_tradnl"/>
        </w:rPr>
        <w:t xml:space="preserve"> fase </w:t>
      </w:r>
      <w:r w:rsidR="007B0354" w:rsidRPr="00E21577">
        <w:rPr>
          <w:lang w:val="es-ES_tradnl"/>
        </w:rPr>
        <w:t xml:space="preserve">inicial debe </w:t>
      </w:r>
      <w:r w:rsidR="0001510B" w:rsidRPr="00E21577">
        <w:rPr>
          <w:lang w:val="es-ES_tradnl"/>
        </w:rPr>
        <w:t>servir para que la</w:t>
      </w:r>
      <w:r w:rsidR="00297D71" w:rsidRPr="00E21577">
        <w:rPr>
          <w:lang w:val="es-ES_tradnl"/>
        </w:rPr>
        <w:t xml:space="preserve"> </w:t>
      </w:r>
      <w:r w:rsidR="00D1003D" w:rsidRPr="00E21577">
        <w:rPr>
          <w:lang w:val="es-ES_tradnl"/>
        </w:rPr>
        <w:t xml:space="preserve">UPOV </w:t>
      </w:r>
      <w:r w:rsidR="0001510B" w:rsidRPr="00E21577">
        <w:rPr>
          <w:lang w:val="es-ES_tradnl"/>
        </w:rPr>
        <w:t>evalúe</w:t>
      </w:r>
      <w:r w:rsidR="00D1003D" w:rsidRPr="00E21577">
        <w:rPr>
          <w:lang w:val="es-ES_tradnl"/>
        </w:rPr>
        <w:t xml:space="preserve"> </w:t>
      </w:r>
      <w:r w:rsidR="0001510B" w:rsidRPr="00E21577">
        <w:rPr>
          <w:lang w:val="es-ES_tradnl"/>
        </w:rPr>
        <w:t xml:space="preserve">la idoneidad </w:t>
      </w:r>
      <w:r w:rsidR="00D1003D" w:rsidRPr="00E21577">
        <w:rPr>
          <w:lang w:val="es-ES_tradnl"/>
        </w:rPr>
        <w:t xml:space="preserve">de </w:t>
      </w:r>
      <w:r w:rsidR="0001510B" w:rsidRPr="00E21577">
        <w:rPr>
          <w:lang w:val="es-ES_tradnl"/>
        </w:rPr>
        <w:t>estas medidas</w:t>
      </w:r>
      <w:r w:rsidR="00D1003D" w:rsidRPr="00E21577">
        <w:rPr>
          <w:lang w:val="es-ES_tradnl"/>
        </w:rPr>
        <w:t xml:space="preserve"> y revi</w:t>
      </w:r>
      <w:r w:rsidR="0001510B" w:rsidRPr="00E21577">
        <w:rPr>
          <w:lang w:val="es-ES_tradnl"/>
        </w:rPr>
        <w:t>s</w:t>
      </w:r>
      <w:r w:rsidR="00D1003D" w:rsidRPr="00E21577">
        <w:rPr>
          <w:lang w:val="es-ES_tradnl"/>
        </w:rPr>
        <w:t>e</w:t>
      </w:r>
      <w:r w:rsidR="0001510B" w:rsidRPr="00E21577">
        <w:rPr>
          <w:lang w:val="es-ES_tradnl"/>
        </w:rPr>
        <w:t xml:space="preserve"> las responsabilidades </w:t>
      </w:r>
      <w:r w:rsidR="00A229D2" w:rsidRPr="00E21577">
        <w:rPr>
          <w:lang w:val="es-ES_tradnl"/>
        </w:rPr>
        <w:t xml:space="preserve">en </w:t>
      </w:r>
      <w:r w:rsidR="005901BE" w:rsidRPr="00E21577">
        <w:rPr>
          <w:lang w:val="es-ES_tradnl"/>
        </w:rPr>
        <w:t>lo que atañe al</w:t>
      </w:r>
      <w:r w:rsidR="0001510B" w:rsidRPr="00E21577">
        <w:rPr>
          <w:lang w:val="es-ES_tradnl"/>
        </w:rPr>
        <w:t xml:space="preserve"> </w:t>
      </w:r>
      <w:r w:rsidR="00D1003D" w:rsidRPr="00E21577">
        <w:rPr>
          <w:lang w:val="es-ES_tradnl"/>
        </w:rPr>
        <w:t>cambio.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A229D2" w:rsidRPr="00E21577">
        <w:rPr>
          <w:lang w:val="es-ES_tradnl"/>
        </w:rPr>
        <w:t xml:space="preserve">Una </w:t>
      </w:r>
      <w:r w:rsidR="00E12131" w:rsidRPr="00E21577">
        <w:rPr>
          <w:lang w:val="es-ES_tradnl"/>
        </w:rPr>
        <w:t xml:space="preserve">gestión eficaz de los </w:t>
      </w:r>
      <w:r w:rsidR="0001510B" w:rsidRPr="00E21577">
        <w:rPr>
          <w:lang w:val="es-ES_tradnl"/>
        </w:rPr>
        <w:t>riesgo</w:t>
      </w:r>
      <w:r w:rsidR="00E12131" w:rsidRPr="00E21577">
        <w:rPr>
          <w:lang w:val="es-ES_tradnl"/>
        </w:rPr>
        <w:t>s</w:t>
      </w:r>
      <w:r w:rsidR="0001510B" w:rsidRPr="00E21577">
        <w:rPr>
          <w:lang w:val="es-ES_tradnl"/>
        </w:rPr>
        <w:t xml:space="preserve"> de</w:t>
      </w:r>
      <w:r w:rsidR="00E12131" w:rsidRPr="00E21577">
        <w:rPr>
          <w:lang w:val="es-ES_tradnl"/>
        </w:rPr>
        <w:t>l</w:t>
      </w:r>
      <w:r w:rsidR="0001510B" w:rsidRPr="00E21577">
        <w:rPr>
          <w:lang w:val="es-ES_tradnl"/>
        </w:rPr>
        <w:t xml:space="preserve"> proyecto </w:t>
      </w:r>
      <w:r w:rsidR="00731DFD" w:rsidRPr="00E21577">
        <w:rPr>
          <w:lang w:val="es-ES_tradnl"/>
        </w:rPr>
        <w:t>aport</w:t>
      </w:r>
      <w:r w:rsidR="00A229D2" w:rsidRPr="00E21577">
        <w:rPr>
          <w:lang w:val="es-ES_tradnl"/>
        </w:rPr>
        <w:t>ará</w:t>
      </w:r>
      <w:r w:rsidR="00F422E0" w:rsidRPr="00E21577">
        <w:rPr>
          <w:lang w:val="es-ES_tradnl"/>
        </w:rPr>
        <w:t xml:space="preserve"> </w:t>
      </w:r>
      <w:r w:rsidR="00731DFD" w:rsidRPr="00E21577">
        <w:rPr>
          <w:lang w:val="es-ES_tradnl"/>
        </w:rPr>
        <w:t xml:space="preserve">garantías sistemáticas </w:t>
      </w:r>
      <w:r w:rsidR="002B5BB3" w:rsidRPr="00E21577">
        <w:rPr>
          <w:lang w:val="es-ES_tradnl"/>
        </w:rPr>
        <w:t xml:space="preserve">acerca de la </w:t>
      </w:r>
      <w:r w:rsidR="00475C8A" w:rsidRPr="00E21577">
        <w:rPr>
          <w:lang w:val="es-ES_tradnl"/>
        </w:rPr>
        <w:t>atenua</w:t>
      </w:r>
      <w:r w:rsidR="002B5BB3" w:rsidRPr="00E21577">
        <w:rPr>
          <w:lang w:val="es-ES_tradnl"/>
        </w:rPr>
        <w:t xml:space="preserve">ción y el control de </w:t>
      </w:r>
      <w:r w:rsidR="0099057E" w:rsidRPr="00E21577">
        <w:rPr>
          <w:lang w:val="es-ES_tradnl"/>
        </w:rPr>
        <w:t>dichos riesgos</w:t>
      </w:r>
      <w:r w:rsidR="0001510B" w:rsidRPr="00E21577">
        <w:rPr>
          <w:lang w:val="es-ES_tradnl"/>
        </w:rPr>
        <w:t>.</w:t>
      </w:r>
    </w:p>
    <w:p w:rsidR="00C91841" w:rsidRPr="00E21577" w:rsidRDefault="006C77B3" w:rsidP="009C2485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Habida cuenta de</w:t>
      </w:r>
      <w:r w:rsidR="00C63751" w:rsidRPr="00E21577">
        <w:rPr>
          <w:lang w:val="es-ES_tradnl"/>
        </w:rPr>
        <w:t xml:space="preserve"> la </w:t>
      </w:r>
      <w:r w:rsidR="00F422E0" w:rsidRPr="00E21577">
        <w:rPr>
          <w:lang w:val="es-ES_tradnl"/>
        </w:rPr>
        <w:t xml:space="preserve">importancia </w:t>
      </w:r>
      <w:r w:rsidR="002B5BB3" w:rsidRPr="00E21577">
        <w:rPr>
          <w:lang w:val="es-ES_tradnl"/>
        </w:rPr>
        <w:t>que puede</w:t>
      </w:r>
      <w:r w:rsidR="00C63751" w:rsidRPr="00E21577">
        <w:rPr>
          <w:lang w:val="es-ES_tradnl"/>
        </w:rPr>
        <w:t xml:space="preserve"> </w:t>
      </w:r>
      <w:r w:rsidR="009C2485" w:rsidRPr="00E21577">
        <w:rPr>
          <w:lang w:val="es-ES_tradnl"/>
        </w:rPr>
        <w:t xml:space="preserve">cobrar </w:t>
      </w:r>
      <w:r w:rsidR="00F422E0" w:rsidRPr="00E21577">
        <w:rPr>
          <w:lang w:val="es-ES_tradnl"/>
        </w:rPr>
        <w:t>e</w:t>
      </w:r>
      <w:r w:rsidR="00C63751" w:rsidRPr="00E21577">
        <w:rPr>
          <w:lang w:val="es-ES_tradnl"/>
        </w:rPr>
        <w:t>l</w:t>
      </w:r>
      <w:r w:rsidR="00F422E0" w:rsidRPr="00E21577">
        <w:rPr>
          <w:lang w:val="es-ES_tradnl"/>
        </w:rPr>
        <w:t xml:space="preserve"> proyecto y </w:t>
      </w:r>
      <w:r w:rsidRPr="00E21577">
        <w:rPr>
          <w:lang w:val="es-ES_tradnl"/>
        </w:rPr>
        <w:t xml:space="preserve">de </w:t>
      </w:r>
      <w:r w:rsidR="00C63751" w:rsidRPr="00E21577">
        <w:rPr>
          <w:lang w:val="es-ES_tradnl"/>
        </w:rPr>
        <w:t xml:space="preserve">los cambios </w:t>
      </w:r>
      <w:r w:rsidR="00F422E0" w:rsidRPr="00E21577">
        <w:rPr>
          <w:lang w:val="es-ES_tradnl"/>
        </w:rPr>
        <w:t>cultural</w:t>
      </w:r>
      <w:r w:rsidR="00C63751" w:rsidRPr="00E21577">
        <w:rPr>
          <w:lang w:val="es-ES_tradnl"/>
        </w:rPr>
        <w:t>es</w:t>
      </w:r>
      <w:r w:rsidR="00F422E0" w:rsidRPr="00E21577">
        <w:rPr>
          <w:lang w:val="es-ES_tradnl"/>
        </w:rPr>
        <w:t xml:space="preserve"> </w:t>
      </w:r>
      <w:r w:rsidR="00C63751" w:rsidRPr="00E21577">
        <w:rPr>
          <w:lang w:val="es-ES_tradnl"/>
        </w:rPr>
        <w:t>que puede</w:t>
      </w:r>
      <w:r w:rsidR="0082199E" w:rsidRPr="00E21577">
        <w:rPr>
          <w:lang w:val="es-ES_tradnl"/>
        </w:rPr>
        <w:t>n</w:t>
      </w:r>
      <w:r w:rsidR="00C63751" w:rsidRPr="00E21577">
        <w:rPr>
          <w:lang w:val="es-ES_tradnl"/>
        </w:rPr>
        <w:t xml:space="preserve"> ser </w:t>
      </w:r>
      <w:r w:rsidR="00F422E0" w:rsidRPr="00E21577">
        <w:rPr>
          <w:lang w:val="es-ES_tradnl"/>
        </w:rPr>
        <w:t>ne</w:t>
      </w:r>
      <w:r w:rsidR="00C63751" w:rsidRPr="00E21577">
        <w:rPr>
          <w:lang w:val="es-ES_tradnl"/>
        </w:rPr>
        <w:t xml:space="preserve">cesarios para adoptar una orientación </w:t>
      </w:r>
      <w:r w:rsidR="00F422E0" w:rsidRPr="00E21577">
        <w:rPr>
          <w:lang w:val="es-ES_tradnl"/>
        </w:rPr>
        <w:t>más</w:t>
      </w:r>
      <w:r w:rsidR="00C63751" w:rsidRPr="00E21577">
        <w:rPr>
          <w:lang w:val="es-ES_tradnl"/>
        </w:rPr>
        <w:t xml:space="preserve"> com</w:t>
      </w:r>
      <w:r w:rsidR="00F422E0" w:rsidRPr="00E21577">
        <w:rPr>
          <w:lang w:val="es-ES_tradnl"/>
        </w:rPr>
        <w:t xml:space="preserve">ercial, </w:t>
      </w:r>
      <w:r w:rsidR="009A7B35" w:rsidRPr="00E21577">
        <w:rPr>
          <w:lang w:val="es-ES_tradnl"/>
        </w:rPr>
        <w:t>esperamos</w:t>
      </w:r>
      <w:r w:rsidR="00F422E0" w:rsidRPr="00E21577">
        <w:rPr>
          <w:lang w:val="es-ES_tradnl"/>
        </w:rPr>
        <w:t xml:space="preserve"> </w:t>
      </w:r>
      <w:r w:rsidR="002508CF" w:rsidRPr="00E21577">
        <w:rPr>
          <w:lang w:val="es-ES_tradnl"/>
        </w:rPr>
        <w:t>comprobar</w:t>
      </w:r>
      <w:r w:rsidR="009A7B35" w:rsidRPr="00E21577">
        <w:rPr>
          <w:lang w:val="es-ES_tradnl"/>
        </w:rPr>
        <w:t xml:space="preserve"> </w:t>
      </w:r>
      <w:r w:rsidR="000124DB" w:rsidRPr="00E21577">
        <w:rPr>
          <w:lang w:val="es-ES_tradnl"/>
        </w:rPr>
        <w:t xml:space="preserve">en futuras auditorías </w:t>
      </w:r>
      <w:r w:rsidR="009A7B35" w:rsidRPr="00E21577">
        <w:rPr>
          <w:lang w:val="es-ES_tradnl"/>
        </w:rPr>
        <w:t xml:space="preserve">los </w:t>
      </w:r>
      <w:r w:rsidR="009C2485" w:rsidRPr="00E21577">
        <w:rPr>
          <w:lang w:val="es-ES_tradnl"/>
        </w:rPr>
        <w:t>avances</w:t>
      </w:r>
      <w:r w:rsidR="009A7B35" w:rsidRPr="00E21577">
        <w:rPr>
          <w:lang w:val="es-ES_tradnl"/>
        </w:rPr>
        <w:t xml:space="preserve"> </w:t>
      </w:r>
      <w:r w:rsidR="009A5E3D" w:rsidRPr="00E21577">
        <w:rPr>
          <w:lang w:val="es-ES_tradnl"/>
        </w:rPr>
        <w:t>realiz</w:t>
      </w:r>
      <w:r w:rsidR="00E13912" w:rsidRPr="00E21577">
        <w:rPr>
          <w:lang w:val="es-ES_tradnl"/>
        </w:rPr>
        <w:t xml:space="preserve">ados </w:t>
      </w:r>
      <w:r w:rsidR="00F422E0" w:rsidRPr="00E21577">
        <w:rPr>
          <w:lang w:val="es-ES_tradnl"/>
        </w:rPr>
        <w:t xml:space="preserve">en </w:t>
      </w:r>
      <w:r w:rsidR="009A7B35" w:rsidRPr="00E21577">
        <w:rPr>
          <w:lang w:val="es-ES_tradnl"/>
        </w:rPr>
        <w:t xml:space="preserve">la </w:t>
      </w:r>
      <w:r w:rsidR="00DB393A" w:rsidRPr="00E21577">
        <w:rPr>
          <w:lang w:val="es-ES_tradnl"/>
        </w:rPr>
        <w:t>utilización</w:t>
      </w:r>
      <w:r w:rsidR="00F422E0" w:rsidRPr="00E21577">
        <w:rPr>
          <w:lang w:val="es-ES_tradnl"/>
        </w:rPr>
        <w:t xml:space="preserve"> de </w:t>
      </w:r>
      <w:r w:rsidR="009A7B35" w:rsidRPr="00E21577">
        <w:rPr>
          <w:lang w:val="es-ES_tradnl"/>
        </w:rPr>
        <w:t>UPOV</w:t>
      </w:r>
      <w:r w:rsidR="00297D71" w:rsidRPr="00E21577">
        <w:rPr>
          <w:lang w:val="es-ES_tradnl"/>
        </w:rPr>
        <w:t xml:space="preserve"> </w:t>
      </w:r>
      <w:r w:rsidR="00F422E0" w:rsidRPr="00E21577">
        <w:rPr>
          <w:lang w:val="es-ES_tradnl"/>
        </w:rPr>
        <w:t>PRISMA.</w:t>
      </w:r>
      <w:bookmarkStart w:id="16" w:name="SW0022"/>
      <w:bookmarkEnd w:id="9"/>
      <w:bookmarkEnd w:id="15"/>
    </w:p>
    <w:p w:rsidR="00C91841" w:rsidRPr="00E21577" w:rsidRDefault="00213345" w:rsidP="00BF7907">
      <w:pPr>
        <w:pStyle w:val="Heading2"/>
        <w:spacing w:after="120" w:line="240" w:lineRule="auto"/>
        <w:rPr>
          <w:lang w:val="es-ES_tradnl"/>
        </w:rPr>
      </w:pPr>
      <w:bookmarkStart w:id="17" w:name="_Toc15484879"/>
      <w:r w:rsidRPr="00E21577">
        <w:rPr>
          <w:lang w:val="es-ES_tradnl"/>
        </w:rPr>
        <w:t>Fraud</w:t>
      </w:r>
      <w:r w:rsidR="00651A8D" w:rsidRPr="00E21577">
        <w:rPr>
          <w:lang w:val="es-ES_tradnl"/>
        </w:rPr>
        <w:t>e</w:t>
      </w:r>
      <w:r w:rsidRPr="00E21577">
        <w:rPr>
          <w:lang w:val="es-ES_tradnl"/>
        </w:rPr>
        <w:t xml:space="preserve">, </w:t>
      </w:r>
      <w:r w:rsidR="00651A8D" w:rsidRPr="00E21577">
        <w:rPr>
          <w:lang w:val="es-ES_tradnl"/>
        </w:rPr>
        <w:t xml:space="preserve">pagos a título graciable </w:t>
      </w:r>
      <w:r w:rsidRPr="00E21577">
        <w:rPr>
          <w:lang w:val="es-ES_tradnl"/>
        </w:rPr>
        <w:t xml:space="preserve">y </w:t>
      </w:r>
      <w:r w:rsidR="00651A8D" w:rsidRPr="00E21577">
        <w:rPr>
          <w:lang w:val="es-ES_tradnl"/>
        </w:rPr>
        <w:t>c</w:t>
      </w:r>
      <w:r w:rsidR="00422115" w:rsidRPr="00E21577">
        <w:rPr>
          <w:lang w:val="es-ES_tradnl"/>
        </w:rPr>
        <w:t>ondon</w:t>
      </w:r>
      <w:r w:rsidR="00651A8D" w:rsidRPr="00E21577">
        <w:rPr>
          <w:lang w:val="es-ES_tradnl"/>
        </w:rPr>
        <w:t>aciones de deuda</w:t>
      </w:r>
      <w:bookmarkEnd w:id="17"/>
    </w:p>
    <w:p w:rsidR="00C91841" w:rsidRPr="00E21577" w:rsidRDefault="00E84C91" w:rsidP="00BF7907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De conformidad con las Normas Internacionales de Auditoría (ISA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240), nuestra auditoría ha sido concebida de forma que exista la posibilidad razonable de detectar inexactitudes significativas e irregularidades, incluidas las debidas a fraude.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CC3F70" w:rsidRPr="00E21577">
        <w:rPr>
          <w:lang w:val="es-ES_tradnl"/>
        </w:rPr>
        <w:t>Sin embargo, no se debe esperar que en la presente auditoría se identifiquen todas las inexactitudes o irregularidades.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CC3F70" w:rsidRPr="00E21577">
        <w:rPr>
          <w:lang w:val="es-ES_tradnl"/>
        </w:rPr>
        <w:t>La responsabilidad primordial de prevenir y detectar el fraude recae en la Dirección.</w:t>
      </w:r>
    </w:p>
    <w:p w:rsidR="00C91841" w:rsidRPr="00E21577" w:rsidRDefault="006A37D1" w:rsidP="00BF6D70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 xml:space="preserve">Durante la auditoría, </w:t>
      </w:r>
      <w:r w:rsidR="00FA0156" w:rsidRPr="00E21577">
        <w:rPr>
          <w:lang w:val="es-ES_tradnl"/>
        </w:rPr>
        <w:t xml:space="preserve">hemos </w:t>
      </w:r>
      <w:r w:rsidRPr="00E21577">
        <w:rPr>
          <w:lang w:val="es-ES_tradnl"/>
        </w:rPr>
        <w:t>realiza</w:t>
      </w:r>
      <w:r w:rsidR="00FA0156" w:rsidRPr="00E21577">
        <w:rPr>
          <w:lang w:val="es-ES_tradnl"/>
        </w:rPr>
        <w:t>do</w:t>
      </w:r>
      <w:r w:rsidRPr="00E21577">
        <w:rPr>
          <w:lang w:val="es-ES_tradnl"/>
        </w:rPr>
        <w:t xml:space="preserve"> consultas a la Dirección y a los responsables de la gobernanza sobre la responsabilidad de supervisión para valorar los riesgos de fraude </w:t>
      </w:r>
      <w:r w:rsidR="00FA0156" w:rsidRPr="00E21577">
        <w:rPr>
          <w:lang w:val="es-ES_tradnl"/>
        </w:rPr>
        <w:t>significativo</w:t>
      </w:r>
      <w:r w:rsidRPr="00E21577">
        <w:rPr>
          <w:lang w:val="es-ES_tradnl"/>
        </w:rPr>
        <w:t xml:space="preserve"> y los </w:t>
      </w:r>
      <w:r w:rsidR="00FA0156" w:rsidRPr="00E21577">
        <w:rPr>
          <w:lang w:val="es-ES_tradnl"/>
        </w:rPr>
        <w:t xml:space="preserve">procedimientos </w:t>
      </w:r>
      <w:r w:rsidR="00403000" w:rsidRPr="00E21577">
        <w:rPr>
          <w:lang w:val="es-ES_tradnl"/>
        </w:rPr>
        <w:t>instaurados</w:t>
      </w:r>
      <w:r w:rsidRPr="00E21577">
        <w:rPr>
          <w:lang w:val="es-ES_tradnl"/>
        </w:rPr>
        <w:t xml:space="preserve"> a fin de </w:t>
      </w:r>
      <w:r w:rsidR="00403000" w:rsidRPr="00E21577">
        <w:rPr>
          <w:lang w:val="es-ES_tradnl"/>
        </w:rPr>
        <w:t>detectar</w:t>
      </w:r>
      <w:r w:rsidRPr="00E21577">
        <w:rPr>
          <w:lang w:val="es-ES_tradnl"/>
        </w:rPr>
        <w:t xml:space="preserve"> y hacer frente a esos riesgos, incluidos los riesgos específicos que la Dirección haya </w:t>
      </w:r>
      <w:r w:rsidR="002C0871" w:rsidRPr="00E21577">
        <w:rPr>
          <w:lang w:val="es-ES_tradnl"/>
        </w:rPr>
        <w:t>determin</w:t>
      </w:r>
      <w:r w:rsidRPr="00E21577">
        <w:rPr>
          <w:lang w:val="es-ES_tradnl"/>
        </w:rPr>
        <w:t>ado o que se le hayan comunicado.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403000" w:rsidRPr="00E21577">
        <w:rPr>
          <w:lang w:val="es-ES_tradnl"/>
        </w:rPr>
        <w:t>También preguntamos si la Dirección tiene conocimiento de alguna demostración, presunción o sospecha de casos de fraude.</w:t>
      </w:r>
      <w:r w:rsidR="00E124B9" w:rsidRPr="00E21577">
        <w:rPr>
          <w:lang w:val="es-ES_tradnl"/>
        </w:rPr>
        <w:t xml:space="preserve"> </w:t>
      </w:r>
      <w:r w:rsidR="005640B7" w:rsidRPr="00E21577">
        <w:rPr>
          <w:lang w:val="es-ES_tradnl"/>
        </w:rPr>
        <w:t xml:space="preserve"> </w:t>
      </w:r>
      <w:r w:rsidR="00403000" w:rsidRPr="00E21577">
        <w:rPr>
          <w:lang w:val="es-ES_tradnl"/>
        </w:rPr>
        <w:t>No hemos detectado ningún tipo de fraude en nuestra auditoría, y las comprobaciones realizadas no han puesto de manifiesto ningún caso.</w:t>
      </w:r>
    </w:p>
    <w:p w:rsidR="00C91841" w:rsidRPr="00E21577" w:rsidRDefault="00403000" w:rsidP="00BF6D70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UPOV no ha </w:t>
      </w:r>
      <w:r w:rsidR="00422115" w:rsidRPr="00E21577">
        <w:rPr>
          <w:lang w:val="es-ES_tradnl"/>
        </w:rPr>
        <w:t>declarado</w:t>
      </w:r>
      <w:r w:rsidRPr="00E21577">
        <w:rPr>
          <w:lang w:val="es-ES_tradnl"/>
        </w:rPr>
        <w:t xml:space="preserve"> pago</w:t>
      </w:r>
      <w:r w:rsidR="00422115" w:rsidRPr="00E21577">
        <w:rPr>
          <w:lang w:val="es-ES_tradnl"/>
        </w:rPr>
        <w:t>s</w:t>
      </w:r>
      <w:r w:rsidRPr="00E21577">
        <w:rPr>
          <w:lang w:val="es-ES_tradnl"/>
        </w:rPr>
        <w:t xml:space="preserve"> a título graciable ni c</w:t>
      </w:r>
      <w:r w:rsidR="00422115" w:rsidRPr="00E21577">
        <w:rPr>
          <w:lang w:val="es-ES_tradnl"/>
        </w:rPr>
        <w:t>ondon</w:t>
      </w:r>
      <w:r w:rsidRPr="00E21577">
        <w:rPr>
          <w:lang w:val="es-ES_tradnl"/>
        </w:rPr>
        <w:t>aci</w:t>
      </w:r>
      <w:r w:rsidR="00422115" w:rsidRPr="00E21577">
        <w:rPr>
          <w:lang w:val="es-ES_tradnl"/>
        </w:rPr>
        <w:t>ones</w:t>
      </w:r>
      <w:r w:rsidRPr="00E21577">
        <w:rPr>
          <w:lang w:val="es-ES_tradnl"/>
        </w:rPr>
        <w:t xml:space="preserve"> de deuda en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2018.</w:t>
      </w:r>
    </w:p>
    <w:p w:rsidR="00C91841" w:rsidRPr="00E21577" w:rsidRDefault="00A877E5" w:rsidP="00BF6D70">
      <w:pPr>
        <w:pStyle w:val="Heading2"/>
        <w:spacing w:after="120" w:line="240" w:lineRule="auto"/>
        <w:rPr>
          <w:lang w:val="es-ES_tradnl"/>
        </w:rPr>
      </w:pPr>
      <w:bookmarkStart w:id="18" w:name="_Toc15484880"/>
      <w:r w:rsidRPr="00E21577">
        <w:rPr>
          <w:lang w:val="es-ES_tradnl"/>
        </w:rPr>
        <w:t>Recomendaciones de años anteriores</w:t>
      </w:r>
      <w:bookmarkEnd w:id="18"/>
    </w:p>
    <w:p w:rsidR="00C91841" w:rsidRPr="00E21577" w:rsidRDefault="00A877E5" w:rsidP="00BF6D70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r w:rsidRPr="00E21577">
        <w:rPr>
          <w:lang w:val="es-ES_tradnl"/>
        </w:rPr>
        <w:t>No se formularon recomendaciones en años anteriores.</w:t>
      </w:r>
    </w:p>
    <w:p w:rsidR="00C91841" w:rsidRPr="00E21577" w:rsidRDefault="00A877E5" w:rsidP="00BF6D70">
      <w:pPr>
        <w:pStyle w:val="Heading2"/>
        <w:spacing w:after="120" w:line="240" w:lineRule="auto"/>
        <w:rPr>
          <w:lang w:val="es-ES_tradnl"/>
        </w:rPr>
      </w:pPr>
      <w:bookmarkStart w:id="19" w:name="_Toc15484881"/>
      <w:r w:rsidRPr="00E21577">
        <w:rPr>
          <w:lang w:val="es-ES_tradnl"/>
        </w:rPr>
        <w:t>Agradecimientos</w:t>
      </w:r>
      <w:bookmarkEnd w:id="19"/>
    </w:p>
    <w:p w:rsidR="00C91841" w:rsidRPr="00E21577" w:rsidRDefault="00A877E5" w:rsidP="00BF6D70">
      <w:pPr>
        <w:pStyle w:val="Number1"/>
        <w:numPr>
          <w:ilvl w:val="1"/>
          <w:numId w:val="3"/>
        </w:numPr>
        <w:spacing w:after="160"/>
        <w:ind w:left="0" w:firstLine="0"/>
        <w:jc w:val="both"/>
        <w:rPr>
          <w:lang w:val="es-ES_tradnl"/>
        </w:rPr>
      </w:pPr>
      <w:bookmarkStart w:id="20" w:name="SW0023"/>
      <w:bookmarkEnd w:id="16"/>
      <w:r w:rsidRPr="00E21577">
        <w:rPr>
          <w:lang w:val="es-ES_tradnl"/>
        </w:rPr>
        <w:t>Nos gustaría expresar nuestro agradecimiento al personal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 y a sus colegas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OMPI por la colaboración prestada </w:t>
      </w:r>
      <w:r w:rsidR="00B648FF" w:rsidRPr="00E21577">
        <w:rPr>
          <w:lang w:val="es-ES_tradnl"/>
        </w:rPr>
        <w:t>para</w:t>
      </w:r>
      <w:r w:rsidRPr="00E21577">
        <w:rPr>
          <w:lang w:val="es-ES_tradnl"/>
        </w:rPr>
        <w:t xml:space="preserve"> facilitar nuestra labor de auditoría en este primer año.</w:t>
      </w:r>
    </w:p>
    <w:p w:rsidR="00C91841" w:rsidRPr="00E21577" w:rsidRDefault="00C91841" w:rsidP="00E124B9">
      <w:pPr>
        <w:rPr>
          <w:rFonts w:cs="Arial"/>
          <w:color w:val="000000"/>
          <w:szCs w:val="24"/>
          <w:lang w:val="es-ES_tradnl"/>
        </w:rPr>
      </w:pPr>
    </w:p>
    <w:p w:rsidR="00C91841" w:rsidRPr="00E21577" w:rsidRDefault="00E124B9" w:rsidP="005640B7">
      <w:pPr>
        <w:spacing w:after="120"/>
        <w:rPr>
          <w:rStyle w:val="Bold"/>
          <w:lang w:val="es-ES_tradnl"/>
        </w:rPr>
      </w:pPr>
      <w:r w:rsidRPr="00E21577">
        <w:rPr>
          <w:rStyle w:val="Bold"/>
          <w:lang w:val="es-ES_tradnl"/>
        </w:rPr>
        <w:t>Gareth Davies</w:t>
      </w:r>
    </w:p>
    <w:p w:rsidR="00C91841" w:rsidRPr="00E21577" w:rsidRDefault="00B648FF" w:rsidP="005640B7">
      <w:pPr>
        <w:spacing w:after="120"/>
        <w:rPr>
          <w:rStyle w:val="Bold"/>
          <w:lang w:val="es-ES_tradnl"/>
        </w:rPr>
      </w:pPr>
      <w:r w:rsidRPr="00E21577">
        <w:rPr>
          <w:rStyle w:val="Bold"/>
          <w:lang w:val="es-ES_tradnl"/>
        </w:rPr>
        <w:t>Contralor y auditor general del Reino</w:t>
      </w:r>
      <w:r w:rsidR="00297D71" w:rsidRPr="00E21577">
        <w:rPr>
          <w:rStyle w:val="Bold"/>
          <w:lang w:val="es-ES_tradnl"/>
        </w:rPr>
        <w:t xml:space="preserve"> </w:t>
      </w:r>
      <w:r w:rsidRPr="00E21577">
        <w:rPr>
          <w:rStyle w:val="Bold"/>
          <w:lang w:val="es-ES_tradnl"/>
        </w:rPr>
        <w:t>Unido, en calidad de auditor externo</w:t>
      </w:r>
    </w:p>
    <w:bookmarkEnd w:id="20"/>
    <w:p w:rsidR="00C91841" w:rsidRPr="00E21577" w:rsidRDefault="00B648FF" w:rsidP="00E124B9">
      <w:pPr>
        <w:rPr>
          <w:lang w:val="es-ES_tradnl"/>
        </w:rPr>
      </w:pPr>
      <w:r w:rsidRPr="00E21577">
        <w:rPr>
          <w:rStyle w:val="Bold"/>
          <w:lang w:val="es-ES_tradnl"/>
        </w:rPr>
        <w:t>1</w:t>
      </w:r>
      <w:r w:rsidR="005640B7" w:rsidRPr="00E21577">
        <w:rPr>
          <w:rStyle w:val="Bold"/>
          <w:lang w:val="es-ES_tradnl"/>
        </w:rPr>
        <w:t>3</w:t>
      </w:r>
      <w:r w:rsidRPr="00E21577">
        <w:rPr>
          <w:rStyle w:val="Bold"/>
          <w:lang w:val="es-ES_tradnl"/>
        </w:rPr>
        <w:t xml:space="preserve"> de junio de</w:t>
      </w:r>
      <w:r w:rsidR="00297D71" w:rsidRPr="00E21577">
        <w:rPr>
          <w:rStyle w:val="Bold"/>
          <w:lang w:val="es-ES_tradnl"/>
        </w:rPr>
        <w:t xml:space="preserve"> </w:t>
      </w:r>
      <w:r w:rsidRPr="00E21577">
        <w:rPr>
          <w:rStyle w:val="Bold"/>
          <w:lang w:val="es-ES_tradnl"/>
        </w:rPr>
        <w:t>2019</w:t>
      </w:r>
    </w:p>
    <w:p w:rsidR="00D4790B" w:rsidRPr="00E21577" w:rsidRDefault="00D4790B" w:rsidP="00E124B9">
      <w:pPr>
        <w:jc w:val="left"/>
        <w:rPr>
          <w:lang w:val="es-ES_tradnl"/>
        </w:rPr>
      </w:pPr>
    </w:p>
    <w:p w:rsidR="00CD3DDA" w:rsidRPr="00E21577" w:rsidRDefault="00CD3DDA" w:rsidP="00E124B9">
      <w:pPr>
        <w:jc w:val="left"/>
        <w:rPr>
          <w:lang w:val="es-ES_tradnl"/>
        </w:rPr>
        <w:sectPr w:rsidR="00CD3DDA" w:rsidRPr="00E21577" w:rsidSect="00694232">
          <w:headerReference w:type="default" r:id="rId12"/>
          <w:pgSz w:w="11907" w:h="16840" w:code="9"/>
          <w:pgMar w:top="2410" w:right="1134" w:bottom="1276" w:left="3119" w:header="510" w:footer="680" w:gutter="0"/>
          <w:cols w:space="720"/>
          <w:docGrid w:linePitch="272"/>
        </w:sectPr>
      </w:pPr>
    </w:p>
    <w:p w:rsidR="00C91841" w:rsidRPr="00E21577" w:rsidRDefault="0026563B" w:rsidP="00E21577">
      <w:pPr>
        <w:pStyle w:val="BodyText"/>
        <w:spacing w:after="120" w:line="260" w:lineRule="atLeast"/>
        <w:rPr>
          <w:rStyle w:val="Bold"/>
          <w:lang w:val="es-ES_tradnl"/>
        </w:rPr>
      </w:pPr>
      <w:r w:rsidRPr="00E21577">
        <w:rPr>
          <w:rStyle w:val="Bold"/>
          <w:lang w:val="es-ES_tradnl"/>
        </w:rPr>
        <w:lastRenderedPageBreak/>
        <w:t>INFORME DEL AUDITOR INDEPENDIENTE A</w:t>
      </w:r>
      <w:r w:rsidR="00B648FF" w:rsidRPr="00E21577">
        <w:rPr>
          <w:rStyle w:val="Bold"/>
          <w:lang w:val="es-ES_tradnl"/>
        </w:rPr>
        <w:t>L CONSEJO</w:t>
      </w:r>
    </w:p>
    <w:p w:rsidR="00C91841" w:rsidRPr="00E21577" w:rsidRDefault="0026563B" w:rsidP="00E21577">
      <w:pPr>
        <w:pStyle w:val="BodyText"/>
        <w:spacing w:after="120" w:line="260" w:lineRule="atLeast"/>
        <w:rPr>
          <w:rStyle w:val="Bold"/>
          <w:lang w:val="es-ES_tradnl"/>
        </w:rPr>
      </w:pPr>
      <w:r w:rsidRPr="00E21577">
        <w:rPr>
          <w:rStyle w:val="Bold"/>
          <w:lang w:val="es-ES_tradnl"/>
        </w:rPr>
        <w:t>Dictamen sobre los estados financieros</w:t>
      </w:r>
    </w:p>
    <w:p w:rsidR="00C91841" w:rsidRPr="00E21577" w:rsidRDefault="00E509EC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>He verificado</w:t>
      </w:r>
      <w:r w:rsidR="0026563B" w:rsidRPr="00E21577">
        <w:rPr>
          <w:lang w:val="es-ES_tradnl"/>
        </w:rPr>
        <w:t xml:space="preserve"> los estados financieros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Unión Internacional para la Protección de las Obtenciones Vegetales (UPOV)</w:t>
      </w:r>
      <w:r w:rsidR="0026563B" w:rsidRPr="00E21577">
        <w:rPr>
          <w:lang w:val="es-ES_tradnl"/>
        </w:rPr>
        <w:t xml:space="preserve"> correspondientes al ejercicio concluido el</w:t>
      </w:r>
      <w:r w:rsidR="00297D71" w:rsidRPr="00E21577">
        <w:rPr>
          <w:lang w:val="es-ES_tradnl"/>
        </w:rPr>
        <w:t xml:space="preserve"> </w:t>
      </w:r>
      <w:r w:rsidR="0026563B"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="0026563B" w:rsidRPr="00E21577">
        <w:rPr>
          <w:lang w:val="es-ES_tradnl"/>
        </w:rPr>
        <w:t xml:space="preserve">2018, compuestos por el estado de situación financiera, el estado de rendimiento financiero, </w:t>
      </w:r>
      <w:r w:rsidRPr="00E21577">
        <w:rPr>
          <w:lang w:val="es-ES_tradnl"/>
        </w:rPr>
        <w:t xml:space="preserve">el estado de cambios en los activos netos, </w:t>
      </w:r>
      <w:r w:rsidR="0026563B" w:rsidRPr="00E21577">
        <w:rPr>
          <w:lang w:val="es-ES_tradnl"/>
        </w:rPr>
        <w:t>el estado de flujos de efectivo</w:t>
      </w:r>
      <w:r w:rsidR="00B953E2" w:rsidRPr="00E21577">
        <w:rPr>
          <w:lang w:val="es-ES_tradnl"/>
        </w:rPr>
        <w:t xml:space="preserve"> y</w:t>
      </w:r>
      <w:r w:rsidR="0026563B" w:rsidRPr="00E21577">
        <w:rPr>
          <w:lang w:val="es-ES_tradnl"/>
        </w:rPr>
        <w:t xml:space="preserve"> el estado comparativo de importes presupuestados y reales</w:t>
      </w:r>
      <w:r w:rsidRPr="00E21577">
        <w:rPr>
          <w:lang w:val="es-ES_tradnl"/>
        </w:rPr>
        <w:t xml:space="preserve"> </w:t>
      </w:r>
      <w:r w:rsidR="00B953E2" w:rsidRPr="00E21577">
        <w:rPr>
          <w:lang w:val="es-ES_tradnl"/>
        </w:rPr>
        <w:t>d</w:t>
      </w:r>
      <w:r w:rsidRPr="00E21577">
        <w:rPr>
          <w:lang w:val="es-ES_tradnl"/>
        </w:rPr>
        <w:t>el ejercicio finalizado en esa fecha, así como las notas conexas</w:t>
      </w:r>
      <w:r w:rsidR="0026563B" w:rsidRPr="00E21577">
        <w:rPr>
          <w:lang w:val="es-ES_tradnl"/>
        </w:rPr>
        <w:t>.</w:t>
      </w:r>
    </w:p>
    <w:p w:rsidR="00C91841" w:rsidRPr="00E21577" w:rsidRDefault="000D4EE2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>A mi juicio</w:t>
      </w:r>
      <w:r w:rsidR="00BB0B20" w:rsidRPr="00E21577">
        <w:rPr>
          <w:lang w:val="es-ES_tradnl"/>
        </w:rPr>
        <w:t xml:space="preserve">, dichos estados financieros </w:t>
      </w:r>
      <w:r w:rsidR="005B6F99" w:rsidRPr="00E21577">
        <w:rPr>
          <w:lang w:val="es-ES_tradnl"/>
        </w:rPr>
        <w:t xml:space="preserve">dan cuenta fidedigna, en todos los aspectos esenciales, de la situación financiera </w:t>
      </w:r>
      <w:r w:rsidR="00BB0B20" w:rsidRPr="00E21577">
        <w:rPr>
          <w:lang w:val="es-ES_tradnl"/>
        </w:rPr>
        <w:t xml:space="preserve">de </w:t>
      </w:r>
      <w:r w:rsidR="005B6F99" w:rsidRPr="00E21577">
        <w:rPr>
          <w:lang w:val="es-ES_tradnl"/>
        </w:rPr>
        <w:t>la</w:t>
      </w:r>
      <w:r w:rsidR="00297D71" w:rsidRPr="00E21577">
        <w:rPr>
          <w:lang w:val="es-ES_tradnl"/>
        </w:rPr>
        <w:t xml:space="preserve"> </w:t>
      </w:r>
      <w:r w:rsidR="005B6F99" w:rsidRPr="00E21577">
        <w:rPr>
          <w:lang w:val="es-ES_tradnl"/>
        </w:rPr>
        <w:t>UPOV al</w:t>
      </w:r>
      <w:r w:rsidR="00297D71" w:rsidRPr="00E21577">
        <w:rPr>
          <w:lang w:val="es-ES_tradnl"/>
        </w:rPr>
        <w:t xml:space="preserve"> </w:t>
      </w:r>
      <w:r w:rsidR="005B6F99"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="005B6F99" w:rsidRPr="00E21577">
        <w:rPr>
          <w:lang w:val="es-ES_tradnl"/>
        </w:rPr>
        <w:t xml:space="preserve">2018, </w:t>
      </w:r>
      <w:r w:rsidR="00C7769F" w:rsidRPr="00E21577">
        <w:rPr>
          <w:lang w:val="es-ES_tradnl"/>
        </w:rPr>
        <w:t xml:space="preserve">de su </w:t>
      </w:r>
      <w:r w:rsidR="005B6F99" w:rsidRPr="00E21577">
        <w:rPr>
          <w:lang w:val="es-ES_tradnl"/>
        </w:rPr>
        <w:t xml:space="preserve">rendimiento financiero y </w:t>
      </w:r>
      <w:r w:rsidR="00C7769F" w:rsidRPr="00E21577">
        <w:rPr>
          <w:lang w:val="es-ES_tradnl"/>
        </w:rPr>
        <w:t xml:space="preserve">de sus </w:t>
      </w:r>
      <w:r w:rsidR="005B6F99" w:rsidRPr="00E21577">
        <w:rPr>
          <w:lang w:val="es-ES_tradnl"/>
        </w:rPr>
        <w:t xml:space="preserve">flujos de efectivo correspondientes al ejercicio finalizado en esa fecha, de conformidad con las Normas Internacionales de Contabilidad del Sector Público </w:t>
      </w:r>
      <w:r w:rsidR="00BB0B20" w:rsidRPr="00E21577">
        <w:rPr>
          <w:lang w:val="es-ES_tradnl"/>
        </w:rPr>
        <w:t>(IPSAS).</w:t>
      </w:r>
    </w:p>
    <w:p w:rsidR="00C91841" w:rsidRPr="00E21577" w:rsidRDefault="00B140C6" w:rsidP="00E21577">
      <w:pPr>
        <w:pStyle w:val="BodyText"/>
        <w:spacing w:after="120" w:line="260" w:lineRule="atLeast"/>
        <w:rPr>
          <w:rStyle w:val="Bold"/>
          <w:lang w:val="es-ES_tradnl"/>
        </w:rPr>
      </w:pPr>
      <w:r w:rsidRPr="00E21577">
        <w:rPr>
          <w:rStyle w:val="Bold"/>
          <w:lang w:val="es-ES_tradnl"/>
        </w:rPr>
        <w:t>Dictamen sobre la conformidad</w:t>
      </w:r>
    </w:p>
    <w:p w:rsidR="00C91841" w:rsidRPr="00E21577" w:rsidRDefault="00B140C6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>En mi opinión, en todos los aspectos esenciales, los ingresos y los gastos se han aplicado a los fines previstos por el Consejo y las transacciones financieras se ajustan al Reglamento Financiero y la Reglamentación Financiera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UPOV.</w:t>
      </w:r>
    </w:p>
    <w:p w:rsidR="00C91841" w:rsidRPr="00E21577" w:rsidRDefault="008E7FAE" w:rsidP="00E21577">
      <w:pPr>
        <w:pStyle w:val="BodyText"/>
        <w:spacing w:after="120" w:line="260" w:lineRule="atLeast"/>
        <w:rPr>
          <w:rStyle w:val="Bold"/>
          <w:lang w:val="es-ES_tradnl"/>
        </w:rPr>
      </w:pPr>
      <w:r w:rsidRPr="00E21577">
        <w:rPr>
          <w:rStyle w:val="Bold"/>
          <w:lang w:val="es-ES_tradnl"/>
        </w:rPr>
        <w:t>Fundamentos del dictamen</w:t>
      </w:r>
    </w:p>
    <w:p w:rsidR="00C91841" w:rsidRPr="00E21577" w:rsidRDefault="00E826FD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 xml:space="preserve">He </w:t>
      </w:r>
      <w:r w:rsidR="008E7FAE" w:rsidRPr="00E21577">
        <w:rPr>
          <w:lang w:val="es-ES_tradnl"/>
        </w:rPr>
        <w:t xml:space="preserve">llevado a cabo la auditoría </w:t>
      </w:r>
      <w:r w:rsidRPr="00E21577">
        <w:rPr>
          <w:lang w:val="es-ES_tradnl"/>
        </w:rPr>
        <w:t xml:space="preserve">ciñéndome </w:t>
      </w:r>
      <w:r w:rsidR="008E7FAE" w:rsidRPr="00E21577">
        <w:rPr>
          <w:lang w:val="es-ES_tradnl"/>
        </w:rPr>
        <w:t>a las Normas Internacionales de Auditoría (ISA).</w:t>
      </w:r>
      <w:r w:rsidR="00D4790B" w:rsidRPr="00E21577">
        <w:rPr>
          <w:lang w:val="es-ES_tradnl"/>
        </w:rPr>
        <w:t xml:space="preserve"> </w:t>
      </w:r>
      <w:r w:rsidR="00E21577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Las responsabilidades que me competen </w:t>
      </w:r>
      <w:r w:rsidR="00581B9D" w:rsidRPr="00E21577">
        <w:rPr>
          <w:lang w:val="es-ES_tradnl"/>
        </w:rPr>
        <w:t>en virtud de esas normas</w:t>
      </w:r>
      <w:r w:rsidRPr="00E21577">
        <w:rPr>
          <w:lang w:val="es-ES_tradnl"/>
        </w:rPr>
        <w:t xml:space="preserve"> se detallan en el apartado “Responsabilidades del auditor respecto de la auditoría de los estados financieros” de mi informe.</w:t>
      </w:r>
      <w:r w:rsidR="00D4790B" w:rsidRPr="00E21577">
        <w:rPr>
          <w:lang w:val="es-ES_tradnl"/>
        </w:rPr>
        <w:t xml:space="preserve"> </w:t>
      </w:r>
      <w:r w:rsidR="00E21577" w:rsidRPr="00E21577">
        <w:rPr>
          <w:lang w:val="es-ES_tradnl"/>
        </w:rPr>
        <w:t xml:space="preserve"> </w:t>
      </w:r>
      <w:r w:rsidR="00A079E9" w:rsidRPr="00E21577">
        <w:rPr>
          <w:lang w:val="es-ES_tradnl"/>
        </w:rPr>
        <w:t>Como exigen</w:t>
      </w:r>
      <w:r w:rsidR="00581B9D" w:rsidRPr="00E21577">
        <w:rPr>
          <w:lang w:val="es-ES_tradnl"/>
        </w:rPr>
        <w:t xml:space="preserve"> las </w:t>
      </w:r>
      <w:r w:rsidR="00156AE1" w:rsidRPr="00E21577">
        <w:rPr>
          <w:lang w:val="es-ES_tradnl"/>
        </w:rPr>
        <w:t>Normas Internacionales de Auditoría</w:t>
      </w:r>
      <w:r w:rsidR="00581B9D" w:rsidRPr="00E21577">
        <w:rPr>
          <w:lang w:val="es-ES_tradnl"/>
        </w:rPr>
        <w:t>, tanto mi personal como yo cumplimos la Norma Ética Revisada de</w:t>
      </w:r>
      <w:r w:rsidR="00297D71" w:rsidRPr="00E21577">
        <w:rPr>
          <w:lang w:val="es-ES_tradnl"/>
        </w:rPr>
        <w:t xml:space="preserve"> </w:t>
      </w:r>
      <w:r w:rsidR="00581B9D" w:rsidRPr="00E21577">
        <w:rPr>
          <w:lang w:val="es-ES_tradnl"/>
        </w:rPr>
        <w:t xml:space="preserve">2016 del </w:t>
      </w:r>
      <w:r w:rsidR="00581B9D" w:rsidRPr="00E21577">
        <w:rPr>
          <w:i/>
          <w:lang w:val="es-ES_tradnl"/>
        </w:rPr>
        <w:t>Financial Reporting Council</w:t>
      </w:r>
      <w:r w:rsidR="00581B9D" w:rsidRPr="00E21577">
        <w:rPr>
          <w:lang w:val="es-ES_tradnl"/>
        </w:rPr>
        <w:t>.</w:t>
      </w:r>
      <w:r w:rsidR="00D4790B" w:rsidRPr="00E21577">
        <w:rPr>
          <w:lang w:val="es-ES_tradnl"/>
        </w:rPr>
        <w:t xml:space="preserve"> </w:t>
      </w:r>
      <w:r w:rsidR="00E21577" w:rsidRPr="00E21577">
        <w:rPr>
          <w:lang w:val="es-ES_tradnl"/>
        </w:rPr>
        <w:t xml:space="preserve"> </w:t>
      </w:r>
      <w:r w:rsidR="00581B9D" w:rsidRPr="00E21577">
        <w:rPr>
          <w:lang w:val="es-ES_tradnl"/>
        </w:rPr>
        <w:t>Soy independiente de la</w:t>
      </w:r>
      <w:r w:rsidR="00297D71" w:rsidRPr="00E21577">
        <w:rPr>
          <w:lang w:val="es-ES_tradnl"/>
        </w:rPr>
        <w:t xml:space="preserve"> </w:t>
      </w:r>
      <w:r w:rsidR="00581B9D" w:rsidRPr="00E21577">
        <w:rPr>
          <w:lang w:val="es-ES_tradnl"/>
        </w:rPr>
        <w:t xml:space="preserve">UPOV de conformidad con los </w:t>
      </w:r>
      <w:r w:rsidR="00232BE7" w:rsidRPr="00E21577">
        <w:rPr>
          <w:lang w:val="es-ES_tradnl"/>
        </w:rPr>
        <w:t>requisitos deontológicos</w:t>
      </w:r>
      <w:r w:rsidR="00581B9D" w:rsidRPr="00E21577">
        <w:rPr>
          <w:lang w:val="es-ES_tradnl"/>
        </w:rPr>
        <w:t xml:space="preserve"> aplicables a la auditoría de los estados financieros en el Reino</w:t>
      </w:r>
      <w:r w:rsidR="00297D71" w:rsidRPr="00E21577">
        <w:rPr>
          <w:lang w:val="es-ES_tradnl"/>
        </w:rPr>
        <w:t xml:space="preserve"> </w:t>
      </w:r>
      <w:r w:rsidR="00581B9D" w:rsidRPr="00E21577">
        <w:rPr>
          <w:lang w:val="es-ES_tradnl"/>
        </w:rPr>
        <w:t>Unido.</w:t>
      </w:r>
      <w:r w:rsidR="00D4790B" w:rsidRPr="00E21577">
        <w:rPr>
          <w:lang w:val="es-ES_tradnl"/>
        </w:rPr>
        <w:t xml:space="preserve"> </w:t>
      </w:r>
      <w:r w:rsidR="00E21577" w:rsidRPr="00E21577">
        <w:rPr>
          <w:lang w:val="es-ES_tradnl"/>
        </w:rPr>
        <w:t xml:space="preserve"> </w:t>
      </w:r>
      <w:r w:rsidR="00581B9D" w:rsidRPr="00E21577">
        <w:rPr>
          <w:lang w:val="es-ES_tradnl"/>
        </w:rPr>
        <w:t xml:space="preserve">Asimismo, tanto mi personal como yo cumplimos las </w:t>
      </w:r>
      <w:r w:rsidR="00BA2F9A" w:rsidRPr="00E21577">
        <w:rPr>
          <w:lang w:val="es-ES_tradnl"/>
        </w:rPr>
        <w:t xml:space="preserve">demás </w:t>
      </w:r>
      <w:r w:rsidR="00A079E9" w:rsidRPr="00E21577">
        <w:rPr>
          <w:lang w:val="es-ES_tradnl"/>
        </w:rPr>
        <w:t xml:space="preserve">obligaciones </w:t>
      </w:r>
      <w:r w:rsidR="00BA2F9A" w:rsidRPr="00E21577">
        <w:rPr>
          <w:lang w:val="es-ES_tradnl"/>
        </w:rPr>
        <w:t xml:space="preserve">de carácter ético que imponen </w:t>
      </w:r>
      <w:r w:rsidR="00581B9D" w:rsidRPr="00E21577">
        <w:rPr>
          <w:lang w:val="es-ES_tradnl"/>
        </w:rPr>
        <w:t>esos requisitos</w:t>
      </w:r>
      <w:r w:rsidR="00BA2F9A" w:rsidRPr="00E21577">
        <w:rPr>
          <w:lang w:val="es-ES_tradnl"/>
        </w:rPr>
        <w:t>.</w:t>
      </w:r>
      <w:r w:rsidR="00D4790B" w:rsidRPr="00E21577">
        <w:rPr>
          <w:lang w:val="es-ES_tradnl"/>
        </w:rPr>
        <w:t xml:space="preserve"> </w:t>
      </w:r>
      <w:r w:rsidR="00E21577" w:rsidRPr="00E21577">
        <w:rPr>
          <w:lang w:val="es-ES_tradnl"/>
        </w:rPr>
        <w:t xml:space="preserve"> </w:t>
      </w:r>
      <w:r w:rsidR="002D6E90" w:rsidRPr="00E21577">
        <w:rPr>
          <w:lang w:val="es-ES_tradnl"/>
        </w:rPr>
        <w:t>Considero que los justificantes recabados en el transcurso de la auditoría son suficientes y adecuados para fundamentar mi dictamen.</w:t>
      </w:r>
    </w:p>
    <w:p w:rsidR="00C91841" w:rsidRPr="00E21577" w:rsidRDefault="00852B53" w:rsidP="00E21577">
      <w:pPr>
        <w:pStyle w:val="BodyText"/>
        <w:spacing w:after="120" w:line="260" w:lineRule="atLeast"/>
        <w:rPr>
          <w:rStyle w:val="Bold"/>
          <w:lang w:val="es-ES_tradnl"/>
        </w:rPr>
      </w:pPr>
      <w:r w:rsidRPr="00E21577">
        <w:rPr>
          <w:rStyle w:val="Bold"/>
          <w:lang w:val="es-ES_tradnl"/>
        </w:rPr>
        <w:t xml:space="preserve">Responsabilidades de la Dirección y del personal </w:t>
      </w:r>
      <w:r w:rsidR="0046759B" w:rsidRPr="00E21577">
        <w:rPr>
          <w:rStyle w:val="Bold"/>
          <w:lang w:val="es-ES_tradnl"/>
        </w:rPr>
        <w:t xml:space="preserve">encargado de la gobernanza </w:t>
      </w:r>
      <w:r w:rsidRPr="00E21577">
        <w:rPr>
          <w:rStyle w:val="Bold"/>
          <w:lang w:val="es-ES_tradnl"/>
        </w:rPr>
        <w:t>respecto de los estados financieros</w:t>
      </w:r>
    </w:p>
    <w:p w:rsidR="00C91841" w:rsidRPr="00E21577" w:rsidRDefault="00852B53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 xml:space="preserve">El </w:t>
      </w:r>
      <w:r w:rsidR="00E21577" w:rsidRPr="00E21577">
        <w:rPr>
          <w:lang w:val="es-ES_tradnl"/>
        </w:rPr>
        <w:t xml:space="preserve">Secretario General </w:t>
      </w:r>
      <w:r w:rsidRPr="00E21577">
        <w:rPr>
          <w:lang w:val="es-ES_tradnl"/>
        </w:rPr>
        <w:t xml:space="preserve">tiene la responsabilidad de preparar y presentar con imparcialidad los estados financieros de conformidad con las IPSAS, así como de instituir los controles internos que </w:t>
      </w:r>
      <w:r w:rsidR="00AF2CDD" w:rsidRPr="00E21577">
        <w:rPr>
          <w:lang w:val="es-ES_tradnl"/>
        </w:rPr>
        <w:t xml:space="preserve">la Dirección </w:t>
      </w:r>
      <w:r w:rsidRPr="00E21577">
        <w:rPr>
          <w:lang w:val="es-ES_tradnl"/>
        </w:rPr>
        <w:t>considere necesarios para que los estados financieros no contengan inexactitudes significativas, sean debidas a fraude o a error.</w:t>
      </w:r>
    </w:p>
    <w:p w:rsidR="00C91841" w:rsidRPr="00E21577" w:rsidRDefault="00AF2CDD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>Durante la preparación de los estados financieros, incumbe a</w:t>
      </w:r>
      <w:r w:rsidR="00C31550" w:rsidRPr="00E21577">
        <w:rPr>
          <w:lang w:val="es-ES_tradnl"/>
        </w:rPr>
        <w:t xml:space="preserve"> </w:t>
      </w:r>
      <w:r w:rsidRPr="00E21577">
        <w:rPr>
          <w:lang w:val="es-ES_tradnl"/>
        </w:rPr>
        <w:t>l</w:t>
      </w:r>
      <w:r w:rsidR="00C31550" w:rsidRPr="00E21577">
        <w:rPr>
          <w:lang w:val="es-ES_tradnl"/>
        </w:rPr>
        <w:t>a</w:t>
      </w:r>
      <w:r w:rsidRPr="00E21577">
        <w:rPr>
          <w:lang w:val="es-ES_tradnl"/>
        </w:rPr>
        <w:t xml:space="preserve"> </w:t>
      </w:r>
      <w:r w:rsidR="00C31550" w:rsidRPr="00E21577">
        <w:rPr>
          <w:lang w:val="es-ES_tradnl"/>
        </w:rPr>
        <w:t xml:space="preserve">Dirección </w:t>
      </w:r>
      <w:r w:rsidRPr="00E21577">
        <w:rPr>
          <w:lang w:val="es-ES_tradnl"/>
        </w:rPr>
        <w:t xml:space="preserve">evaluar </w:t>
      </w:r>
      <w:r w:rsidR="002A77F6" w:rsidRPr="00E21577">
        <w:rPr>
          <w:rFonts w:eastAsiaTheme="minorEastAsia"/>
          <w:lang w:val="es-ES_tradnl"/>
        </w:rPr>
        <w:t xml:space="preserve">la </w:t>
      </w:r>
      <w:r w:rsidR="00086F8C" w:rsidRPr="00E21577">
        <w:rPr>
          <w:rFonts w:eastAsiaTheme="minorEastAsia"/>
          <w:lang w:val="es-ES_tradnl"/>
        </w:rPr>
        <w:t xml:space="preserve">futura </w:t>
      </w:r>
      <w:r w:rsidR="002A77F6" w:rsidRPr="00E21577">
        <w:rPr>
          <w:rFonts w:eastAsiaTheme="minorEastAsia"/>
          <w:lang w:val="es-ES_tradnl"/>
        </w:rPr>
        <w:t>viabilidad de la</w:t>
      </w:r>
      <w:r w:rsidR="00297D71" w:rsidRPr="00E21577">
        <w:rPr>
          <w:rFonts w:eastAsiaTheme="minorEastAsia"/>
          <w:lang w:val="es-ES_tradnl"/>
        </w:rPr>
        <w:t xml:space="preserve"> </w:t>
      </w:r>
      <w:r w:rsidR="002A77F6" w:rsidRPr="00E21577">
        <w:rPr>
          <w:rFonts w:eastAsiaTheme="minorEastAsia"/>
          <w:lang w:val="es-ES_tradnl"/>
        </w:rPr>
        <w:t>UPOV</w:t>
      </w:r>
      <w:r w:rsidRPr="00E21577">
        <w:rPr>
          <w:lang w:val="es-ES_tradnl"/>
        </w:rPr>
        <w:t xml:space="preserve">, así como comunicar, en caso necesario, las cuestiones relativas a la continuidad de la actividad y aplicar el principio contable de </w:t>
      </w:r>
      <w:r w:rsidR="002C0871" w:rsidRPr="00E21577">
        <w:rPr>
          <w:lang w:val="es-ES_tradnl"/>
        </w:rPr>
        <w:t>entidad</w:t>
      </w:r>
      <w:r w:rsidRPr="00E21577">
        <w:rPr>
          <w:lang w:val="es-ES_tradnl"/>
        </w:rPr>
        <w:t xml:space="preserve"> en funcionamiento, a menos que </w:t>
      </w:r>
      <w:r w:rsidR="004134B3" w:rsidRPr="00E21577">
        <w:rPr>
          <w:lang w:val="es-ES_tradnl"/>
        </w:rPr>
        <w:t xml:space="preserve">la Dirección </w:t>
      </w:r>
      <w:r w:rsidRPr="00E21577">
        <w:rPr>
          <w:lang w:val="es-ES_tradnl"/>
        </w:rPr>
        <w:t>tenga la intención de liquidar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UPOV o poner fin a su actividad, o bien no exista otra alternativa realista.</w:t>
      </w:r>
    </w:p>
    <w:p w:rsidR="00C91841" w:rsidRPr="00E21577" w:rsidRDefault="00624465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>La responsabilidad de supervisar el proceso de elaboración de los informes financieros de la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UPOV </w:t>
      </w:r>
      <w:r w:rsidR="00D1762F" w:rsidRPr="00E21577">
        <w:rPr>
          <w:lang w:val="es-ES_tradnl"/>
        </w:rPr>
        <w:t>corresponde al</w:t>
      </w:r>
      <w:r w:rsidR="005D27A4" w:rsidRPr="00E21577">
        <w:rPr>
          <w:lang w:val="es-ES_tradnl"/>
        </w:rPr>
        <w:t xml:space="preserve"> personal encargado de la gobernanza</w:t>
      </w:r>
      <w:r w:rsidR="004134B3" w:rsidRPr="00E21577">
        <w:rPr>
          <w:lang w:val="es-ES_tradnl"/>
        </w:rPr>
        <w:t>.</w:t>
      </w:r>
    </w:p>
    <w:p w:rsidR="00C91841" w:rsidRPr="00E21577" w:rsidRDefault="004134B3" w:rsidP="00E21577">
      <w:pPr>
        <w:pStyle w:val="BodyText"/>
        <w:spacing w:after="120" w:line="260" w:lineRule="atLeast"/>
        <w:rPr>
          <w:rStyle w:val="Bold"/>
          <w:lang w:val="es-ES_tradnl"/>
        </w:rPr>
      </w:pPr>
      <w:r w:rsidRPr="00E21577">
        <w:rPr>
          <w:rStyle w:val="Bold"/>
          <w:lang w:val="es-ES_tradnl"/>
        </w:rPr>
        <w:t>Responsabilidades del auditor respecto de la auditoría de los estados financieros</w:t>
      </w:r>
    </w:p>
    <w:p w:rsidR="00C91841" w:rsidRPr="00E21577" w:rsidRDefault="00E93E51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>Mi</w:t>
      </w:r>
      <w:r w:rsidR="00502896" w:rsidRPr="00E21577">
        <w:rPr>
          <w:lang w:val="es-ES_tradnl"/>
        </w:rPr>
        <w:t>s</w:t>
      </w:r>
      <w:r w:rsidRPr="00E21577">
        <w:rPr>
          <w:lang w:val="es-ES_tradnl"/>
        </w:rPr>
        <w:t xml:space="preserve"> responsabilidades consisten en </w:t>
      </w:r>
      <w:r w:rsidR="00771745" w:rsidRPr="00E21577">
        <w:rPr>
          <w:lang w:val="es-ES_tradnl"/>
        </w:rPr>
        <w:t>obtener</w:t>
      </w:r>
      <w:r w:rsidRPr="00E21577">
        <w:rPr>
          <w:lang w:val="es-ES_tradnl"/>
        </w:rPr>
        <w:t xml:space="preserve"> una seguridad razonable de que los estados financieros, considerados en su conjunto, no contienen inexactitudes significativas, sean debidas a fraude o a error, y emitir un informe de auditoría que incluya mi </w:t>
      </w:r>
      <w:r w:rsidR="00771745" w:rsidRPr="00E21577">
        <w:rPr>
          <w:lang w:val="es-ES_tradnl"/>
        </w:rPr>
        <w:t>dictamen.</w:t>
      </w:r>
      <w:r w:rsidR="00D4790B" w:rsidRPr="00E21577">
        <w:rPr>
          <w:lang w:val="es-ES_tradnl"/>
        </w:rPr>
        <w:t xml:space="preserve"> </w:t>
      </w:r>
      <w:r w:rsidR="00E21577" w:rsidRPr="00E21577">
        <w:rPr>
          <w:lang w:val="es-ES_tradnl"/>
        </w:rPr>
        <w:t xml:space="preserve"> </w:t>
      </w:r>
      <w:r w:rsidR="00502896" w:rsidRPr="00E21577">
        <w:rPr>
          <w:lang w:val="es-ES_tradnl"/>
        </w:rPr>
        <w:t xml:space="preserve">La seguridad razonable, si bien corresponde a un alto grado de seguridad, no garantiza que en una auditoría efectuada de conformidad con las </w:t>
      </w:r>
      <w:r w:rsidR="00F57A3C" w:rsidRPr="00E21577">
        <w:rPr>
          <w:lang w:val="es-ES_tradnl"/>
        </w:rPr>
        <w:t xml:space="preserve">Normas Internacionales de Auditoría </w:t>
      </w:r>
      <w:r w:rsidR="00502896" w:rsidRPr="00E21577">
        <w:rPr>
          <w:lang w:val="es-ES_tradnl"/>
        </w:rPr>
        <w:t xml:space="preserve">se detecten todas las inexactitudes </w:t>
      </w:r>
      <w:r w:rsidR="00502896" w:rsidRPr="00E21577">
        <w:rPr>
          <w:spacing w:val="-2"/>
          <w:lang w:val="es-ES_tradnl"/>
        </w:rPr>
        <w:t>significativas que puedan existir.</w:t>
      </w:r>
      <w:r w:rsidR="00D4790B" w:rsidRPr="00E21577">
        <w:rPr>
          <w:spacing w:val="-2"/>
          <w:lang w:val="es-ES_tradnl"/>
        </w:rPr>
        <w:t xml:space="preserve"> </w:t>
      </w:r>
      <w:r w:rsidR="00E21577" w:rsidRPr="00E21577">
        <w:rPr>
          <w:spacing w:val="-2"/>
          <w:lang w:val="es-ES_tradnl"/>
        </w:rPr>
        <w:t xml:space="preserve"> </w:t>
      </w:r>
      <w:r w:rsidR="00A3150D" w:rsidRPr="00E21577">
        <w:rPr>
          <w:spacing w:val="-2"/>
          <w:lang w:val="es-ES_tradnl"/>
        </w:rPr>
        <w:t>Las inexactitudes pueden deberse a fraude o a error y se consideran</w:t>
      </w:r>
      <w:r w:rsidR="00A3150D" w:rsidRPr="00E21577">
        <w:rPr>
          <w:lang w:val="es-ES_tradnl"/>
        </w:rPr>
        <w:t xml:space="preserve"> significativas cuando sea razonable prever que, individualmente o en conjunto, puedan influir en las decisiones económicas que adopten los usuarios de los estados financieros basándose en ellos.</w:t>
      </w:r>
    </w:p>
    <w:p w:rsidR="00C91841" w:rsidRPr="00E21577" w:rsidRDefault="00A3150D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 xml:space="preserve">Al realizar una auditoría de conformidad con las </w:t>
      </w:r>
      <w:r w:rsidR="00F64431" w:rsidRPr="00E21577">
        <w:rPr>
          <w:lang w:val="es-ES_tradnl"/>
        </w:rPr>
        <w:t>Normas Internacionales de Auditoría</w:t>
      </w:r>
      <w:r w:rsidRPr="00E21577">
        <w:rPr>
          <w:lang w:val="es-ES_tradnl"/>
        </w:rPr>
        <w:t>, aplico mi juicio técnico y mantengo una actitud de escepticismo profesional durante toda mi labor.</w:t>
      </w:r>
      <w:r w:rsidR="00E21577" w:rsidRPr="00E21577">
        <w:rPr>
          <w:lang w:val="es-ES_tradnl"/>
        </w:rPr>
        <w:t xml:space="preserve"> </w:t>
      </w:r>
      <w:r w:rsidR="00D4790B" w:rsidRPr="00E21577">
        <w:rPr>
          <w:lang w:val="es-ES_tradnl"/>
        </w:rPr>
        <w:t xml:space="preserve"> </w:t>
      </w:r>
      <w:r w:rsidR="000304EB" w:rsidRPr="00E21577">
        <w:rPr>
          <w:lang w:val="es-ES_tradnl"/>
        </w:rPr>
        <w:t>Asimismo:</w:t>
      </w:r>
    </w:p>
    <w:p w:rsidR="00C91841" w:rsidRPr="00E21577" w:rsidRDefault="000304EB" w:rsidP="00E21577">
      <w:pPr>
        <w:pStyle w:val="Bullet"/>
        <w:spacing w:after="120" w:line="260" w:lineRule="atLeast"/>
        <w:jc w:val="both"/>
        <w:rPr>
          <w:rFonts w:eastAsiaTheme="minorEastAsia"/>
          <w:lang w:val="es-ES_tradnl"/>
        </w:rPr>
      </w:pPr>
      <w:r w:rsidRPr="00E21577">
        <w:rPr>
          <w:rFonts w:eastAsiaTheme="minorEastAsia"/>
          <w:lang w:val="es-ES_tradnl"/>
        </w:rPr>
        <w:lastRenderedPageBreak/>
        <w:t>determin</w:t>
      </w:r>
      <w:r w:rsidR="002C0871" w:rsidRPr="00E21577">
        <w:rPr>
          <w:rFonts w:eastAsiaTheme="minorEastAsia"/>
          <w:lang w:val="es-ES_tradnl"/>
        </w:rPr>
        <w:t>o</w:t>
      </w:r>
      <w:r w:rsidRPr="00E21577">
        <w:rPr>
          <w:rFonts w:eastAsiaTheme="minorEastAsia"/>
          <w:lang w:val="es-ES_tradnl"/>
        </w:rPr>
        <w:t xml:space="preserve"> y evalú</w:t>
      </w:r>
      <w:r w:rsidR="002C0871" w:rsidRPr="00E21577">
        <w:rPr>
          <w:rFonts w:eastAsiaTheme="minorEastAsia"/>
          <w:lang w:val="es-ES_tradnl"/>
        </w:rPr>
        <w:t>o</w:t>
      </w:r>
      <w:r w:rsidRPr="00E21577">
        <w:rPr>
          <w:rFonts w:eastAsiaTheme="minorEastAsia"/>
          <w:lang w:val="es-ES_tradnl"/>
        </w:rPr>
        <w:t xml:space="preserve"> los riesgos de inexactitudes significativas en los estados financieros, sean estas debidas a fraude o a error, diseñ</w:t>
      </w:r>
      <w:r w:rsidR="002C0871" w:rsidRPr="00E21577">
        <w:rPr>
          <w:rFonts w:eastAsiaTheme="minorEastAsia"/>
          <w:lang w:val="es-ES_tradnl"/>
        </w:rPr>
        <w:t>o</w:t>
      </w:r>
      <w:r w:rsidRPr="00E21577">
        <w:rPr>
          <w:rFonts w:eastAsiaTheme="minorEastAsia"/>
          <w:lang w:val="es-ES_tradnl"/>
        </w:rPr>
        <w:t xml:space="preserve"> y ejecut</w:t>
      </w:r>
      <w:r w:rsidR="002C0871" w:rsidRPr="00E21577">
        <w:rPr>
          <w:rFonts w:eastAsiaTheme="minorEastAsia"/>
          <w:lang w:val="es-ES_tradnl"/>
        </w:rPr>
        <w:t>o</w:t>
      </w:r>
      <w:r w:rsidRPr="00E21577">
        <w:rPr>
          <w:rFonts w:eastAsiaTheme="minorEastAsia"/>
          <w:lang w:val="es-ES_tradnl"/>
        </w:rPr>
        <w:t xml:space="preserve"> procedimientos de auditoría en respuesta a dichos riesgos y recab</w:t>
      </w:r>
      <w:r w:rsidR="002C0871" w:rsidRPr="00E21577">
        <w:rPr>
          <w:rFonts w:eastAsiaTheme="minorEastAsia"/>
          <w:lang w:val="es-ES_tradnl"/>
        </w:rPr>
        <w:t>o</w:t>
      </w:r>
      <w:r w:rsidRPr="00E21577">
        <w:rPr>
          <w:rFonts w:eastAsiaTheme="minorEastAsia"/>
          <w:lang w:val="es-ES_tradnl"/>
        </w:rPr>
        <w:t xml:space="preserve"> durante la auditoría justificantes suficientes y adecuados para fundamentar </w:t>
      </w:r>
      <w:r w:rsidR="002C0871" w:rsidRPr="00E21577">
        <w:rPr>
          <w:rFonts w:eastAsiaTheme="minorEastAsia"/>
          <w:lang w:val="es-ES_tradnl"/>
        </w:rPr>
        <w:t>mi</w:t>
      </w:r>
      <w:r w:rsidRPr="00E21577">
        <w:rPr>
          <w:rFonts w:eastAsiaTheme="minorEastAsia"/>
          <w:lang w:val="es-ES_tradnl"/>
        </w:rPr>
        <w:t xml:space="preserve"> dictamen.</w:t>
      </w:r>
      <w:r w:rsidR="00D4790B" w:rsidRPr="00E21577">
        <w:rPr>
          <w:rFonts w:eastAsiaTheme="minorEastAsia"/>
          <w:lang w:val="es-ES_tradnl"/>
        </w:rPr>
        <w:t xml:space="preserve"> </w:t>
      </w:r>
      <w:r w:rsidR="00E21577" w:rsidRPr="00E21577">
        <w:rPr>
          <w:rFonts w:eastAsiaTheme="minorEastAsia"/>
          <w:lang w:val="es-ES_tradnl"/>
        </w:rPr>
        <w:t xml:space="preserve"> </w:t>
      </w:r>
      <w:r w:rsidR="002C0871" w:rsidRPr="00E21577">
        <w:rPr>
          <w:rFonts w:eastAsiaTheme="minorEastAsia"/>
          <w:lang w:val="es-ES_tradnl"/>
        </w:rPr>
        <w:t>El riesgo de no detectar inexactitudes significativas debidas a un fraude es mayor que el de no detectar las que se deben a un error, puesto que el fraude puede implicar connivencia, falsificación, omisión intencionada, falsedad o elusión de los controles internos;</w:t>
      </w:r>
    </w:p>
    <w:p w:rsidR="00C91841" w:rsidRPr="00E21577" w:rsidRDefault="002C0871" w:rsidP="00E21577">
      <w:pPr>
        <w:pStyle w:val="Bullet"/>
        <w:spacing w:after="120" w:line="260" w:lineRule="atLeast"/>
        <w:jc w:val="both"/>
        <w:rPr>
          <w:rFonts w:eastAsiaTheme="minorEastAsia"/>
          <w:lang w:val="es-ES_tradnl"/>
        </w:rPr>
      </w:pPr>
      <w:r w:rsidRPr="00E21577">
        <w:rPr>
          <w:rFonts w:eastAsiaTheme="minorEastAsia"/>
          <w:lang w:val="es-ES_tradnl"/>
        </w:rPr>
        <w:t xml:space="preserve">examino los controles internos pertinentes a efectos de la auditoría </w:t>
      </w:r>
      <w:r w:rsidR="00C938E2" w:rsidRPr="00E21577">
        <w:rPr>
          <w:rFonts w:eastAsiaTheme="minorEastAsia"/>
          <w:lang w:val="es-ES_tradnl"/>
        </w:rPr>
        <w:t>con objeto</w:t>
      </w:r>
      <w:r w:rsidRPr="00E21577">
        <w:rPr>
          <w:rFonts w:eastAsiaTheme="minorEastAsia"/>
          <w:lang w:val="es-ES_tradnl"/>
        </w:rPr>
        <w:t xml:space="preserve"> de diseñar unos procedimientos de auditoría adaptados a las circunstancias, pero no con el propósito de expresar una opinión </w:t>
      </w:r>
      <w:r w:rsidR="00CA39F9" w:rsidRPr="00E21577">
        <w:rPr>
          <w:rFonts w:eastAsiaTheme="minorEastAsia"/>
          <w:lang w:val="es-ES_tradnl"/>
        </w:rPr>
        <w:t>acerca de</w:t>
      </w:r>
      <w:r w:rsidRPr="00E21577">
        <w:rPr>
          <w:rFonts w:eastAsiaTheme="minorEastAsia"/>
          <w:lang w:val="es-ES_tradnl"/>
        </w:rPr>
        <w:t xml:space="preserve"> la eficacia de los controles internos de la</w:t>
      </w:r>
      <w:r w:rsidR="00297D71" w:rsidRPr="00E21577">
        <w:rPr>
          <w:rFonts w:eastAsiaTheme="minorEastAsia"/>
          <w:lang w:val="es-ES_tradnl"/>
        </w:rPr>
        <w:t xml:space="preserve"> </w:t>
      </w:r>
      <w:r w:rsidRPr="00E21577">
        <w:rPr>
          <w:rFonts w:eastAsiaTheme="minorEastAsia"/>
          <w:lang w:val="es-ES_tradnl"/>
        </w:rPr>
        <w:t>UPOV;</w:t>
      </w:r>
    </w:p>
    <w:p w:rsidR="00C91841" w:rsidRPr="00E21577" w:rsidRDefault="002C0871" w:rsidP="00E21577">
      <w:pPr>
        <w:pStyle w:val="Bullet"/>
        <w:spacing w:after="120" w:line="260" w:lineRule="atLeast"/>
        <w:jc w:val="both"/>
        <w:rPr>
          <w:rFonts w:eastAsiaTheme="minorEastAsia"/>
          <w:lang w:val="es-ES_tradnl"/>
        </w:rPr>
      </w:pPr>
      <w:r w:rsidRPr="00E21577">
        <w:rPr>
          <w:rFonts w:eastAsiaTheme="minorEastAsia"/>
          <w:lang w:val="es-ES_tradnl"/>
        </w:rPr>
        <w:t>valoro la idoneidad de los principios contables aplicados y el carácter razonable de las estimaciones contables de la Dirección y de los correspondientes datos que esta facilite;</w:t>
      </w:r>
    </w:p>
    <w:p w:rsidR="00C91841" w:rsidRPr="00E21577" w:rsidRDefault="00DC0FBA" w:rsidP="00E21577">
      <w:pPr>
        <w:pStyle w:val="Bullet"/>
        <w:spacing w:after="120" w:line="260" w:lineRule="atLeast"/>
        <w:jc w:val="both"/>
        <w:rPr>
          <w:rFonts w:eastAsiaTheme="minorEastAsia"/>
          <w:lang w:val="es-ES_tradnl"/>
        </w:rPr>
      </w:pPr>
      <w:r w:rsidRPr="00E21577">
        <w:rPr>
          <w:rFonts w:eastAsiaTheme="minorEastAsia"/>
          <w:lang w:val="es-ES_tradnl"/>
        </w:rPr>
        <w:t>extraigo</w:t>
      </w:r>
      <w:r w:rsidR="002C0871" w:rsidRPr="00E21577">
        <w:rPr>
          <w:rFonts w:eastAsiaTheme="minorEastAsia"/>
          <w:lang w:val="es-ES_tradnl"/>
        </w:rPr>
        <w:t xml:space="preserve"> conclusiones sobre la pertinencia de que la Dirección aplique el principio contable de </w:t>
      </w:r>
      <w:r w:rsidR="00331E7F" w:rsidRPr="00E21577">
        <w:rPr>
          <w:rFonts w:eastAsiaTheme="minorEastAsia"/>
          <w:lang w:val="es-ES_tradnl"/>
        </w:rPr>
        <w:t>entidad</w:t>
      </w:r>
      <w:r w:rsidR="002C0871" w:rsidRPr="00E21577">
        <w:rPr>
          <w:rFonts w:eastAsiaTheme="minorEastAsia"/>
          <w:lang w:val="es-ES_tradnl"/>
        </w:rPr>
        <w:t xml:space="preserve"> en funcionamiento y, basándo</w:t>
      </w:r>
      <w:r w:rsidR="00CA39F9" w:rsidRPr="00E21577">
        <w:rPr>
          <w:rFonts w:eastAsiaTheme="minorEastAsia"/>
          <w:lang w:val="es-ES_tradnl"/>
        </w:rPr>
        <w:t>m</w:t>
      </w:r>
      <w:r w:rsidR="002C0871" w:rsidRPr="00E21577">
        <w:rPr>
          <w:rFonts w:eastAsiaTheme="minorEastAsia"/>
          <w:lang w:val="es-ES_tradnl"/>
        </w:rPr>
        <w:t xml:space="preserve">e en los justificantes </w:t>
      </w:r>
      <w:r w:rsidR="00CA39F9" w:rsidRPr="00E21577">
        <w:rPr>
          <w:rFonts w:eastAsiaTheme="minorEastAsia"/>
          <w:lang w:val="es-ES_tradnl"/>
        </w:rPr>
        <w:t>recabados</w:t>
      </w:r>
      <w:r w:rsidR="002C0871" w:rsidRPr="00E21577">
        <w:rPr>
          <w:rFonts w:eastAsiaTheme="minorEastAsia"/>
          <w:lang w:val="es-ES_tradnl"/>
        </w:rPr>
        <w:t xml:space="preserve"> en el transcurso de </w:t>
      </w:r>
      <w:r w:rsidR="00CA39F9" w:rsidRPr="00E21577">
        <w:rPr>
          <w:rFonts w:eastAsiaTheme="minorEastAsia"/>
          <w:lang w:val="es-ES_tradnl"/>
        </w:rPr>
        <w:t>la</w:t>
      </w:r>
      <w:r w:rsidR="002C0871" w:rsidRPr="00E21577">
        <w:rPr>
          <w:rFonts w:eastAsiaTheme="minorEastAsia"/>
          <w:lang w:val="es-ES_tradnl"/>
        </w:rPr>
        <w:t xml:space="preserve"> auditoría, determin</w:t>
      </w:r>
      <w:r w:rsidR="00CA39F9" w:rsidRPr="00E21577">
        <w:rPr>
          <w:rFonts w:eastAsiaTheme="minorEastAsia"/>
          <w:lang w:val="es-ES_tradnl"/>
        </w:rPr>
        <w:t>o</w:t>
      </w:r>
      <w:r w:rsidR="002C0871" w:rsidRPr="00E21577">
        <w:rPr>
          <w:rFonts w:eastAsiaTheme="minorEastAsia"/>
          <w:lang w:val="es-ES_tradnl"/>
        </w:rPr>
        <w:t xml:space="preserve"> si existe o no una incertidumbre significativa respecto de hechos o condiciones que puedan </w:t>
      </w:r>
      <w:r w:rsidR="00AE2BDA" w:rsidRPr="00E21577">
        <w:rPr>
          <w:rFonts w:eastAsiaTheme="minorEastAsia"/>
          <w:lang w:val="es-ES_tradnl"/>
        </w:rPr>
        <w:t>generar</w:t>
      </w:r>
      <w:r w:rsidR="002C0871" w:rsidRPr="00E21577">
        <w:rPr>
          <w:rFonts w:eastAsiaTheme="minorEastAsia"/>
          <w:lang w:val="es-ES_tradnl"/>
        </w:rPr>
        <w:t xml:space="preserve"> </w:t>
      </w:r>
      <w:r w:rsidR="002A77F6" w:rsidRPr="00E21577">
        <w:rPr>
          <w:rFonts w:eastAsiaTheme="minorEastAsia"/>
          <w:lang w:val="es-ES_tradnl"/>
        </w:rPr>
        <w:t xml:space="preserve">serias </w:t>
      </w:r>
      <w:r w:rsidR="002C0871" w:rsidRPr="00E21577">
        <w:rPr>
          <w:rFonts w:eastAsiaTheme="minorEastAsia"/>
          <w:lang w:val="es-ES_tradnl"/>
        </w:rPr>
        <w:t xml:space="preserve">dudas </w:t>
      </w:r>
      <w:r w:rsidR="00AE2BDA" w:rsidRPr="00E21577">
        <w:rPr>
          <w:rFonts w:eastAsiaTheme="minorEastAsia"/>
          <w:lang w:val="es-ES_tradnl"/>
        </w:rPr>
        <w:t xml:space="preserve">en relación con </w:t>
      </w:r>
      <w:r w:rsidR="002C0871" w:rsidRPr="00E21577">
        <w:rPr>
          <w:rFonts w:eastAsiaTheme="minorEastAsia"/>
          <w:lang w:val="es-ES_tradnl"/>
        </w:rPr>
        <w:t xml:space="preserve">la </w:t>
      </w:r>
      <w:r w:rsidR="00086F8C" w:rsidRPr="00E21577">
        <w:rPr>
          <w:rFonts w:eastAsiaTheme="minorEastAsia"/>
          <w:lang w:val="es-ES_tradnl"/>
        </w:rPr>
        <w:t xml:space="preserve">futura </w:t>
      </w:r>
      <w:r w:rsidR="002A77F6" w:rsidRPr="00E21577">
        <w:rPr>
          <w:rFonts w:eastAsiaTheme="minorEastAsia"/>
          <w:lang w:val="es-ES_tradnl"/>
        </w:rPr>
        <w:t>viabil</w:t>
      </w:r>
      <w:r w:rsidR="002C0871" w:rsidRPr="00E21577">
        <w:rPr>
          <w:rFonts w:eastAsiaTheme="minorEastAsia"/>
          <w:lang w:val="es-ES_tradnl"/>
        </w:rPr>
        <w:t>idad de la</w:t>
      </w:r>
      <w:r w:rsidR="00297D71" w:rsidRPr="00E21577">
        <w:rPr>
          <w:rFonts w:eastAsiaTheme="minorEastAsia"/>
          <w:lang w:val="es-ES_tradnl"/>
        </w:rPr>
        <w:t xml:space="preserve"> </w:t>
      </w:r>
      <w:r w:rsidR="002C0871" w:rsidRPr="00E21577">
        <w:rPr>
          <w:rFonts w:eastAsiaTheme="minorEastAsia"/>
          <w:lang w:val="es-ES_tradnl"/>
        </w:rPr>
        <w:t>UPOV.</w:t>
      </w:r>
      <w:r w:rsidR="00D4790B" w:rsidRPr="00E21577">
        <w:rPr>
          <w:rFonts w:eastAsiaTheme="minorEastAsia"/>
          <w:lang w:val="es-ES_tradnl"/>
        </w:rPr>
        <w:t xml:space="preserve"> </w:t>
      </w:r>
      <w:r w:rsidR="00E21577" w:rsidRPr="00E21577">
        <w:rPr>
          <w:rFonts w:eastAsiaTheme="minorEastAsia"/>
          <w:lang w:val="es-ES_tradnl"/>
        </w:rPr>
        <w:t xml:space="preserve"> </w:t>
      </w:r>
      <w:r w:rsidR="00AE2BDA" w:rsidRPr="00E21577">
        <w:rPr>
          <w:rFonts w:eastAsiaTheme="minorEastAsia"/>
          <w:lang w:val="es-ES_tradnl"/>
        </w:rPr>
        <w:t xml:space="preserve">Si concluyo que existe una incertidumbre significativa, </w:t>
      </w:r>
      <w:r w:rsidR="00604596" w:rsidRPr="00E21577">
        <w:rPr>
          <w:rFonts w:eastAsiaTheme="minorEastAsia"/>
          <w:lang w:val="es-ES_tradnl"/>
        </w:rPr>
        <w:t>estoy</w:t>
      </w:r>
      <w:r w:rsidR="00AE2BDA" w:rsidRPr="00E21577">
        <w:rPr>
          <w:rFonts w:eastAsiaTheme="minorEastAsia"/>
          <w:lang w:val="es-ES_tradnl"/>
        </w:rPr>
        <w:t xml:space="preserve"> obliga</w:t>
      </w:r>
      <w:r w:rsidR="00604596" w:rsidRPr="00E21577">
        <w:rPr>
          <w:rFonts w:eastAsiaTheme="minorEastAsia"/>
          <w:lang w:val="es-ES_tradnl"/>
        </w:rPr>
        <w:t>do</w:t>
      </w:r>
      <w:r w:rsidR="00AE2BDA" w:rsidRPr="00E21577">
        <w:rPr>
          <w:rFonts w:eastAsiaTheme="minorEastAsia"/>
          <w:lang w:val="es-ES_tradnl"/>
        </w:rPr>
        <w:t xml:space="preserve"> </w:t>
      </w:r>
      <w:r w:rsidR="00604596" w:rsidRPr="00E21577">
        <w:rPr>
          <w:rFonts w:eastAsiaTheme="minorEastAsia"/>
          <w:lang w:val="es-ES_tradnl"/>
        </w:rPr>
        <w:t xml:space="preserve">a </w:t>
      </w:r>
      <w:r w:rsidR="00AE2BDA" w:rsidRPr="00E21577">
        <w:rPr>
          <w:rFonts w:eastAsiaTheme="minorEastAsia"/>
          <w:lang w:val="es-ES_tradnl"/>
        </w:rPr>
        <w:t xml:space="preserve">señalar en el informe de auditoría los </w:t>
      </w:r>
      <w:r w:rsidR="00604596" w:rsidRPr="00E21577">
        <w:rPr>
          <w:rFonts w:eastAsiaTheme="minorEastAsia"/>
          <w:lang w:val="es-ES_tradnl"/>
        </w:rPr>
        <w:t xml:space="preserve">datos consignados en los estados financieros que me han llevado a tal conclusión, </w:t>
      </w:r>
      <w:r w:rsidR="00AE2BDA" w:rsidRPr="00E21577">
        <w:rPr>
          <w:rFonts w:eastAsiaTheme="minorEastAsia"/>
          <w:lang w:val="es-ES_tradnl"/>
        </w:rPr>
        <w:t xml:space="preserve">o de modificar </w:t>
      </w:r>
      <w:r w:rsidR="00604596" w:rsidRPr="00E21577">
        <w:rPr>
          <w:rFonts w:eastAsiaTheme="minorEastAsia"/>
          <w:lang w:val="es-ES_tradnl"/>
        </w:rPr>
        <w:t>mi</w:t>
      </w:r>
      <w:r w:rsidR="00AE2BDA" w:rsidRPr="00E21577">
        <w:rPr>
          <w:rFonts w:eastAsiaTheme="minorEastAsia"/>
          <w:lang w:val="es-ES_tradnl"/>
        </w:rPr>
        <w:t xml:space="preserve"> dictamen si dichos datos son improcedentes.</w:t>
      </w:r>
      <w:r w:rsidR="00D4790B" w:rsidRPr="00E21577">
        <w:rPr>
          <w:rFonts w:eastAsiaTheme="minorEastAsia"/>
          <w:lang w:val="es-ES_tradnl"/>
        </w:rPr>
        <w:t xml:space="preserve"> </w:t>
      </w:r>
      <w:r w:rsidR="00E21577" w:rsidRPr="00E21577">
        <w:rPr>
          <w:rFonts w:eastAsiaTheme="minorEastAsia"/>
          <w:lang w:val="es-ES_tradnl"/>
        </w:rPr>
        <w:t xml:space="preserve"> </w:t>
      </w:r>
      <w:r w:rsidR="00604596" w:rsidRPr="00E21577">
        <w:rPr>
          <w:rFonts w:eastAsiaTheme="minorEastAsia"/>
          <w:lang w:val="es-ES_tradnl"/>
        </w:rPr>
        <w:t>Mis conclusiones se sustentan en los justificantes recabados hasta la fecha del informe de auditoría.</w:t>
      </w:r>
      <w:r w:rsidR="00D4790B" w:rsidRPr="00E21577">
        <w:rPr>
          <w:rFonts w:eastAsiaTheme="minorEastAsia"/>
          <w:lang w:val="es-ES_tradnl"/>
        </w:rPr>
        <w:t xml:space="preserve"> </w:t>
      </w:r>
      <w:r w:rsidR="00E21577" w:rsidRPr="00E21577">
        <w:rPr>
          <w:rFonts w:eastAsiaTheme="minorEastAsia"/>
          <w:lang w:val="es-ES_tradnl"/>
        </w:rPr>
        <w:t xml:space="preserve"> </w:t>
      </w:r>
      <w:r w:rsidR="00604596" w:rsidRPr="00E21577">
        <w:rPr>
          <w:rFonts w:eastAsiaTheme="minorEastAsia"/>
          <w:lang w:val="es-ES_tradnl"/>
        </w:rPr>
        <w:t>No obstante, futuros hechos o condiciones podrían provocar el cese de la actividad de la</w:t>
      </w:r>
      <w:r w:rsidR="00297D71" w:rsidRPr="00E21577">
        <w:rPr>
          <w:rFonts w:eastAsiaTheme="minorEastAsia"/>
          <w:lang w:val="es-ES_tradnl"/>
        </w:rPr>
        <w:t xml:space="preserve"> </w:t>
      </w:r>
      <w:r w:rsidR="00604596" w:rsidRPr="00E21577">
        <w:rPr>
          <w:rFonts w:eastAsiaTheme="minorEastAsia"/>
          <w:lang w:val="es-ES_tradnl"/>
        </w:rPr>
        <w:t>UPOV;</w:t>
      </w:r>
    </w:p>
    <w:p w:rsidR="00C91841" w:rsidRPr="00E21577" w:rsidRDefault="00604596" w:rsidP="00E21577">
      <w:pPr>
        <w:pStyle w:val="Bullet"/>
        <w:spacing w:after="120" w:line="260" w:lineRule="atLeast"/>
        <w:jc w:val="both"/>
        <w:rPr>
          <w:rFonts w:eastAsiaTheme="minorEastAsia"/>
          <w:lang w:val="es-ES_tradnl"/>
        </w:rPr>
      </w:pPr>
      <w:r w:rsidRPr="00E21577">
        <w:rPr>
          <w:rFonts w:eastAsiaTheme="minorEastAsia"/>
          <w:lang w:val="es-ES_tradnl"/>
        </w:rPr>
        <w:t xml:space="preserve">evalúo la presentación, la estructura y el contenido de los estados financieros en su conjunto, incluidos los datos consignados, y determino si los estados financieros reflejan de manera fidedigna las transacciones </w:t>
      </w:r>
      <w:r w:rsidR="0060619A" w:rsidRPr="00E21577">
        <w:rPr>
          <w:rFonts w:eastAsiaTheme="minorEastAsia"/>
          <w:lang w:val="es-ES_tradnl"/>
        </w:rPr>
        <w:t>que se han llevado</w:t>
      </w:r>
      <w:r w:rsidRPr="00E21577">
        <w:rPr>
          <w:rFonts w:eastAsiaTheme="minorEastAsia"/>
          <w:lang w:val="es-ES_tradnl"/>
        </w:rPr>
        <w:t xml:space="preserve"> a cabo y los </w:t>
      </w:r>
      <w:r w:rsidR="0060619A" w:rsidRPr="00E21577">
        <w:rPr>
          <w:rFonts w:eastAsiaTheme="minorEastAsia"/>
          <w:lang w:val="es-ES_tradnl"/>
        </w:rPr>
        <w:t>acontecimientos que han tenido lugar</w:t>
      </w:r>
      <w:r w:rsidRPr="00E21577">
        <w:rPr>
          <w:rFonts w:eastAsiaTheme="minorEastAsia"/>
          <w:lang w:val="es-ES_tradnl"/>
        </w:rPr>
        <w:t>.</w:t>
      </w:r>
    </w:p>
    <w:p w:rsidR="00C91841" w:rsidRPr="00E21577" w:rsidRDefault="00861A67" w:rsidP="00E21577">
      <w:pPr>
        <w:pStyle w:val="BodyText"/>
        <w:spacing w:after="120" w:line="260" w:lineRule="atLeast"/>
        <w:rPr>
          <w:lang w:val="es-ES_tradnl"/>
        </w:rPr>
      </w:pPr>
      <w:r w:rsidRPr="00E21577">
        <w:rPr>
          <w:lang w:val="es-ES_tradnl"/>
        </w:rPr>
        <w:t xml:space="preserve">Entre otras cuestiones, mantengo comunicación con el </w:t>
      </w:r>
      <w:r w:rsidR="0046759B" w:rsidRPr="00E21577">
        <w:rPr>
          <w:lang w:val="es-ES_tradnl"/>
        </w:rPr>
        <w:t xml:space="preserve">personal encargado de la gobernanza respecto del alcance y el calendario previstos para la auditoría y de las principales constataciones resultantes de </w:t>
      </w:r>
      <w:r w:rsidR="006D0BCA" w:rsidRPr="00E21577">
        <w:rPr>
          <w:lang w:val="es-ES_tradnl"/>
        </w:rPr>
        <w:t>esta</w:t>
      </w:r>
      <w:r w:rsidR="0046759B" w:rsidRPr="00E21577">
        <w:rPr>
          <w:lang w:val="es-ES_tradnl"/>
        </w:rPr>
        <w:t xml:space="preserve">, en particular, </w:t>
      </w:r>
      <w:r w:rsidR="00E03132" w:rsidRPr="00E21577">
        <w:rPr>
          <w:lang w:val="es-ES_tradnl"/>
        </w:rPr>
        <w:t xml:space="preserve">de </w:t>
      </w:r>
      <w:r w:rsidR="0046759B" w:rsidRPr="00E21577">
        <w:rPr>
          <w:lang w:val="es-ES_tradnl"/>
        </w:rPr>
        <w:t xml:space="preserve">toda deficiencia considerable de los controles internos que detecte </w:t>
      </w:r>
      <w:r w:rsidRPr="00E21577">
        <w:rPr>
          <w:lang w:val="es-ES_tradnl"/>
        </w:rPr>
        <w:t xml:space="preserve">durante </w:t>
      </w:r>
      <w:r w:rsidR="006D0BCA" w:rsidRPr="00E21577">
        <w:rPr>
          <w:lang w:val="es-ES_tradnl"/>
        </w:rPr>
        <w:t>mi labor</w:t>
      </w:r>
      <w:r w:rsidR="0046759B" w:rsidRPr="00E21577">
        <w:rPr>
          <w:lang w:val="es-ES_tradnl"/>
        </w:rPr>
        <w:t>.</w:t>
      </w:r>
    </w:p>
    <w:p w:rsidR="00C91841" w:rsidRPr="00E21577" w:rsidRDefault="006D0BCA" w:rsidP="00E21577">
      <w:pPr>
        <w:pStyle w:val="BodyText"/>
        <w:spacing w:after="120" w:line="260" w:lineRule="atLeast"/>
        <w:rPr>
          <w:rStyle w:val="Bold"/>
          <w:lang w:val="es-ES_tradnl"/>
        </w:rPr>
      </w:pPr>
      <w:r w:rsidRPr="00E21577">
        <w:rPr>
          <w:rStyle w:val="Bold"/>
          <w:lang w:val="es-ES_tradnl"/>
        </w:rPr>
        <w:t>Otras informaciones</w:t>
      </w:r>
    </w:p>
    <w:p w:rsidR="00C91841" w:rsidRPr="00E21577" w:rsidRDefault="006D0BCA" w:rsidP="00E21577">
      <w:pPr>
        <w:pStyle w:val="BodyText"/>
        <w:spacing w:after="120" w:line="260" w:lineRule="atLeast"/>
        <w:rPr>
          <w:vanish/>
          <w:lang w:val="es-ES_tradnl"/>
        </w:rPr>
      </w:pPr>
      <w:r w:rsidRPr="00E21577">
        <w:rPr>
          <w:lang w:val="es-ES_tradnl"/>
        </w:rPr>
        <w:t>La responsabilidad respecto de otras informaciones recae en la Dirección.</w:t>
      </w:r>
      <w:r w:rsidR="00D4790B" w:rsidRPr="00E21577">
        <w:rPr>
          <w:lang w:val="es-ES_tradnl"/>
        </w:rPr>
        <w:t xml:space="preserve"> </w:t>
      </w:r>
      <w:r w:rsidR="00E21577" w:rsidRPr="00E21577">
        <w:rPr>
          <w:lang w:val="es-ES_tradnl"/>
        </w:rPr>
        <w:t xml:space="preserve"> </w:t>
      </w:r>
      <w:r w:rsidRPr="00E21577">
        <w:rPr>
          <w:lang w:val="es-ES_tradnl"/>
        </w:rPr>
        <w:t xml:space="preserve">Por “otras informaciones” se entiende </w:t>
      </w:r>
      <w:r w:rsidR="009E4804" w:rsidRPr="00E21577">
        <w:rPr>
          <w:lang w:val="es-ES_tradnl"/>
        </w:rPr>
        <w:t>la</w:t>
      </w:r>
      <w:r w:rsidR="000B3AD8" w:rsidRPr="00E21577">
        <w:rPr>
          <w:lang w:val="es-ES_tradnl"/>
        </w:rPr>
        <w:t>s</w:t>
      </w:r>
      <w:r w:rsidR="009E4804" w:rsidRPr="00E21577">
        <w:rPr>
          <w:lang w:val="es-ES_tradnl"/>
        </w:rPr>
        <w:t xml:space="preserve"> </w:t>
      </w:r>
      <w:r w:rsidR="000B3AD8" w:rsidRPr="00E21577">
        <w:rPr>
          <w:lang w:val="es-ES_tradnl"/>
        </w:rPr>
        <w:t xml:space="preserve">que </w:t>
      </w:r>
      <w:r w:rsidR="009F370A" w:rsidRPr="00E21577">
        <w:rPr>
          <w:lang w:val="es-ES_tradnl"/>
        </w:rPr>
        <w:t>contien</w:t>
      </w:r>
      <w:r w:rsidR="000B3AD8" w:rsidRPr="00E21577">
        <w:rPr>
          <w:lang w:val="es-ES_tradnl"/>
        </w:rPr>
        <w:t xml:space="preserve">en los apartados “Introducción” </w:t>
      </w:r>
      <w:r w:rsidRPr="00E21577">
        <w:rPr>
          <w:lang w:val="es-ES_tradnl"/>
        </w:rPr>
        <w:t xml:space="preserve">y </w:t>
      </w:r>
      <w:r w:rsidR="000B3AD8" w:rsidRPr="00E21577">
        <w:rPr>
          <w:lang w:val="es-ES_tradnl"/>
        </w:rPr>
        <w:t xml:space="preserve">“Resultados </w:t>
      </w:r>
      <w:r w:rsidR="009E4804" w:rsidRPr="00E21577">
        <w:rPr>
          <w:lang w:val="es-ES_tradnl"/>
        </w:rPr>
        <w:t>del ejercicio financiero concluido el</w:t>
      </w:r>
      <w:r w:rsidR="00297D71" w:rsidRPr="00E21577">
        <w:rPr>
          <w:lang w:val="es-ES_tradnl"/>
        </w:rPr>
        <w:t xml:space="preserve"> </w:t>
      </w:r>
      <w:r w:rsidR="009E4804" w:rsidRPr="00E21577">
        <w:rPr>
          <w:lang w:val="es-ES_tradnl"/>
        </w:rPr>
        <w:t>31 de diciembre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2018</w:t>
      </w:r>
      <w:r w:rsidR="000B3AD8" w:rsidRPr="00E21577">
        <w:rPr>
          <w:lang w:val="es-ES_tradnl"/>
        </w:rPr>
        <w:t>”</w:t>
      </w:r>
      <w:r w:rsidR="009E4804" w:rsidRPr="00E21577">
        <w:rPr>
          <w:lang w:val="es-ES_tradnl"/>
        </w:rPr>
        <w:t>.</w:t>
      </w:r>
      <w:r w:rsidR="00D4790B" w:rsidRPr="00E21577">
        <w:rPr>
          <w:lang w:val="es-ES_tradnl"/>
        </w:rPr>
        <w:t xml:space="preserve"> </w:t>
      </w:r>
      <w:r w:rsidR="00E21577" w:rsidRPr="00E21577">
        <w:rPr>
          <w:lang w:val="es-ES_tradnl"/>
        </w:rPr>
        <w:t xml:space="preserve"> </w:t>
      </w:r>
      <w:r w:rsidR="0049156B" w:rsidRPr="00E21577">
        <w:rPr>
          <w:lang w:val="es-ES_tradnl"/>
        </w:rPr>
        <w:t>Mi dictamen sobre los estados financieros no abarca esas otras informaciones y no extraigo ningún tipo de conclusiones ni ofrezco garantía alguna al respecto.</w:t>
      </w:r>
      <w:r w:rsidR="00D4790B" w:rsidRPr="00E21577">
        <w:rPr>
          <w:lang w:val="es-ES_tradnl"/>
        </w:rPr>
        <w:t xml:space="preserve"> </w:t>
      </w:r>
      <w:r w:rsidR="00C524ED" w:rsidRPr="00E21577">
        <w:rPr>
          <w:lang w:val="es-ES_tradnl"/>
        </w:rPr>
        <w:t xml:space="preserve">Mi responsabilidad en </w:t>
      </w:r>
      <w:r w:rsidR="00E46D25" w:rsidRPr="00E21577">
        <w:rPr>
          <w:lang w:val="es-ES_tradnl"/>
        </w:rPr>
        <w:t xml:space="preserve">relación con </w:t>
      </w:r>
      <w:r w:rsidR="00C524ED" w:rsidRPr="00E21577">
        <w:rPr>
          <w:lang w:val="es-ES_tradnl"/>
        </w:rPr>
        <w:t>la</w:t>
      </w:r>
      <w:r w:rsidR="00E46D25" w:rsidRPr="00E21577">
        <w:rPr>
          <w:lang w:val="es-ES_tradnl"/>
        </w:rPr>
        <w:t xml:space="preserve"> auditoría de los estados financieros </w:t>
      </w:r>
      <w:r w:rsidR="00C524ED" w:rsidRPr="00E21577">
        <w:rPr>
          <w:lang w:val="es-ES_tradnl"/>
        </w:rPr>
        <w:t xml:space="preserve">consiste en </w:t>
      </w:r>
      <w:r w:rsidR="00E46D25" w:rsidRPr="00E21577">
        <w:rPr>
          <w:lang w:val="es-ES_tradnl"/>
        </w:rPr>
        <w:t>leer esas otras informaciones y</w:t>
      </w:r>
      <w:r w:rsidR="003447E0" w:rsidRPr="00E21577">
        <w:rPr>
          <w:lang w:val="es-ES_tradnl"/>
        </w:rPr>
        <w:t xml:space="preserve"> </w:t>
      </w:r>
      <w:r w:rsidR="004953A7" w:rsidRPr="00E21577">
        <w:rPr>
          <w:lang w:val="es-ES_tradnl"/>
        </w:rPr>
        <w:t>determinar</w:t>
      </w:r>
      <w:r w:rsidR="00E46D25" w:rsidRPr="00E21577">
        <w:rPr>
          <w:lang w:val="es-ES_tradnl"/>
        </w:rPr>
        <w:t xml:space="preserve"> si presenta</w:t>
      </w:r>
      <w:r w:rsidR="00A421DE" w:rsidRPr="00E21577">
        <w:rPr>
          <w:lang w:val="es-ES_tradnl"/>
        </w:rPr>
        <w:t>n</w:t>
      </w:r>
      <w:r w:rsidR="00E46D25" w:rsidRPr="00E21577">
        <w:rPr>
          <w:lang w:val="es-ES_tradnl"/>
        </w:rPr>
        <w:t xml:space="preserve"> incoherencias sustanciales respecto </w:t>
      </w:r>
      <w:r w:rsidR="00A421DE" w:rsidRPr="00E21577">
        <w:rPr>
          <w:lang w:val="es-ES_tradnl"/>
        </w:rPr>
        <w:t>de</w:t>
      </w:r>
      <w:r w:rsidR="00E46D25" w:rsidRPr="00E21577">
        <w:rPr>
          <w:lang w:val="es-ES_tradnl"/>
        </w:rPr>
        <w:t xml:space="preserve"> los estados financieros o </w:t>
      </w:r>
      <w:r w:rsidR="00A421DE" w:rsidRPr="00E21577">
        <w:rPr>
          <w:lang w:val="es-ES_tradnl"/>
        </w:rPr>
        <w:t>de</w:t>
      </w:r>
      <w:r w:rsidR="00E46D25" w:rsidRPr="00E21577">
        <w:rPr>
          <w:lang w:val="es-ES_tradnl"/>
        </w:rPr>
        <w:t xml:space="preserve">l conocimiento que he </w:t>
      </w:r>
      <w:r w:rsidR="00A421DE" w:rsidRPr="00E21577">
        <w:rPr>
          <w:lang w:val="es-ES_tradnl"/>
        </w:rPr>
        <w:t>adquirido</w:t>
      </w:r>
      <w:r w:rsidR="00E46D25" w:rsidRPr="00E21577">
        <w:rPr>
          <w:lang w:val="es-ES_tradnl"/>
        </w:rPr>
        <w:t xml:space="preserve"> </w:t>
      </w:r>
      <w:r w:rsidR="00750BA4" w:rsidRPr="00E21577">
        <w:rPr>
          <w:lang w:val="es-ES_tradnl"/>
        </w:rPr>
        <w:t>durante</w:t>
      </w:r>
      <w:r w:rsidR="00E46D25" w:rsidRPr="00E21577">
        <w:rPr>
          <w:lang w:val="es-ES_tradnl"/>
        </w:rPr>
        <w:t xml:space="preserve"> la auditoría, o si parece</w:t>
      </w:r>
      <w:r w:rsidR="004953A7" w:rsidRPr="00E21577">
        <w:rPr>
          <w:lang w:val="es-ES_tradnl"/>
        </w:rPr>
        <w:t>n</w:t>
      </w:r>
      <w:r w:rsidR="00E46D25" w:rsidRPr="00E21577">
        <w:rPr>
          <w:lang w:val="es-ES_tradnl"/>
        </w:rPr>
        <w:t xml:space="preserve"> contener inexactitudes </w:t>
      </w:r>
      <w:r w:rsidR="004953A7" w:rsidRPr="00E21577">
        <w:rPr>
          <w:lang w:val="es-ES_tradnl"/>
        </w:rPr>
        <w:t>significativas</w:t>
      </w:r>
      <w:r w:rsidR="00E46D25" w:rsidRPr="00E21577">
        <w:rPr>
          <w:lang w:val="es-ES_tradnl"/>
        </w:rPr>
        <w:t>.</w:t>
      </w:r>
      <w:r w:rsidR="00D4790B" w:rsidRPr="00E21577">
        <w:rPr>
          <w:lang w:val="es-ES_tradnl"/>
        </w:rPr>
        <w:t xml:space="preserve"> </w:t>
      </w:r>
      <w:r w:rsidR="004953A7" w:rsidRPr="00E21577">
        <w:rPr>
          <w:lang w:val="es-ES_tradnl"/>
        </w:rPr>
        <w:t xml:space="preserve">Si, sobre la base de la labor que he realizado, llego a la conclusión de que esas otras informaciones contienen inexactitudes significativas, </w:t>
      </w:r>
      <w:r w:rsidR="00B216A7" w:rsidRPr="00E21577">
        <w:rPr>
          <w:lang w:val="es-ES_tradnl"/>
        </w:rPr>
        <w:t xml:space="preserve">estoy </w:t>
      </w:r>
      <w:r w:rsidR="004953A7" w:rsidRPr="00E21577">
        <w:rPr>
          <w:lang w:val="es-ES_tradnl"/>
        </w:rPr>
        <w:t>obliga</w:t>
      </w:r>
      <w:r w:rsidR="00B216A7" w:rsidRPr="00E21577">
        <w:rPr>
          <w:lang w:val="es-ES_tradnl"/>
        </w:rPr>
        <w:t>do</w:t>
      </w:r>
      <w:r w:rsidR="004953A7" w:rsidRPr="00E21577">
        <w:rPr>
          <w:lang w:val="es-ES_tradnl"/>
        </w:rPr>
        <w:t xml:space="preserve"> </w:t>
      </w:r>
      <w:r w:rsidR="00B216A7" w:rsidRPr="00E21577">
        <w:rPr>
          <w:lang w:val="es-ES_tradnl"/>
        </w:rPr>
        <w:t xml:space="preserve">a </w:t>
      </w:r>
      <w:r w:rsidR="004953A7" w:rsidRPr="00E21577">
        <w:rPr>
          <w:lang w:val="es-ES_tradnl"/>
        </w:rPr>
        <w:t>comunicarlo.</w:t>
      </w:r>
      <w:r w:rsidR="00D4790B" w:rsidRPr="00E21577">
        <w:rPr>
          <w:lang w:val="es-ES_tradnl"/>
        </w:rPr>
        <w:t xml:space="preserve"> </w:t>
      </w:r>
      <w:r w:rsidR="00E21577" w:rsidRPr="00E21577">
        <w:rPr>
          <w:lang w:val="es-ES_tradnl"/>
        </w:rPr>
        <w:t xml:space="preserve"> </w:t>
      </w:r>
      <w:r w:rsidR="004953A7" w:rsidRPr="00E21577">
        <w:rPr>
          <w:lang w:val="es-ES_tradnl"/>
        </w:rPr>
        <w:t>No tengo nada que señalar al respecto.</w:t>
      </w:r>
    </w:p>
    <w:p w:rsidR="00C91841" w:rsidRPr="00E21577" w:rsidRDefault="00C91841" w:rsidP="00E21577">
      <w:pPr>
        <w:pStyle w:val="BodyText"/>
        <w:spacing w:after="120" w:line="260" w:lineRule="atLeast"/>
        <w:rPr>
          <w:lang w:val="es-ES_tradnl"/>
        </w:rPr>
      </w:pPr>
    </w:p>
    <w:p w:rsidR="00C91841" w:rsidRPr="00E21577" w:rsidRDefault="00D4790B" w:rsidP="00A01A67">
      <w:pPr>
        <w:pStyle w:val="BodyText"/>
        <w:rPr>
          <w:b/>
          <w:lang w:val="es-ES_tradnl"/>
        </w:rPr>
      </w:pPr>
      <w:r w:rsidRPr="00E21577">
        <w:rPr>
          <w:b/>
          <w:lang w:val="es-ES_tradnl"/>
        </w:rPr>
        <w:t>Gareth Davies</w:t>
      </w:r>
    </w:p>
    <w:p w:rsidR="00C91841" w:rsidRPr="00E21577" w:rsidRDefault="004953A7" w:rsidP="00A01A67">
      <w:pPr>
        <w:pStyle w:val="BodyText"/>
        <w:rPr>
          <w:b/>
          <w:lang w:val="es-ES_tradnl"/>
        </w:rPr>
      </w:pPr>
      <w:r w:rsidRPr="00E21577">
        <w:rPr>
          <w:b/>
          <w:lang w:val="es-ES_tradnl"/>
        </w:rPr>
        <w:t>Contralor y auditor general</w:t>
      </w:r>
    </w:p>
    <w:p w:rsidR="00C91841" w:rsidRPr="00E21577" w:rsidRDefault="00C91841" w:rsidP="00A01A67">
      <w:pPr>
        <w:pStyle w:val="BodyText"/>
        <w:rPr>
          <w:lang w:val="es-ES_tradnl"/>
        </w:rPr>
      </w:pPr>
    </w:p>
    <w:p w:rsidR="00C91841" w:rsidRPr="00E21577" w:rsidRDefault="004953A7" w:rsidP="00A01A67">
      <w:pPr>
        <w:pStyle w:val="BodyText"/>
        <w:rPr>
          <w:lang w:val="es-ES_tradnl"/>
        </w:rPr>
      </w:pPr>
      <w:r w:rsidRPr="00E21577">
        <w:rPr>
          <w:lang w:val="es-ES_tradnl"/>
        </w:rPr>
        <w:t>Oficina Nacional de Auditoría</w:t>
      </w:r>
    </w:p>
    <w:p w:rsidR="00C91841" w:rsidRPr="00E21577" w:rsidRDefault="00D4790B" w:rsidP="00A01A67">
      <w:pPr>
        <w:pStyle w:val="BodyText"/>
        <w:rPr>
          <w:lang w:val="es-ES_tradnl"/>
        </w:rPr>
      </w:pPr>
      <w:r w:rsidRPr="00E21577">
        <w:rPr>
          <w:lang w:val="es-ES_tradnl"/>
        </w:rPr>
        <w:t>157-197 Buckingham Palace Road</w:t>
      </w:r>
    </w:p>
    <w:p w:rsidR="00C91841" w:rsidRPr="00E21577" w:rsidRDefault="00D4790B" w:rsidP="00A01A67">
      <w:pPr>
        <w:pStyle w:val="BodyText"/>
        <w:rPr>
          <w:lang w:val="es-ES_tradnl"/>
        </w:rPr>
      </w:pPr>
      <w:r w:rsidRPr="00E21577">
        <w:rPr>
          <w:lang w:val="es-ES_tradnl"/>
        </w:rPr>
        <w:t>Victoria</w:t>
      </w:r>
    </w:p>
    <w:p w:rsidR="00E21577" w:rsidRPr="00E21577" w:rsidRDefault="004953A7" w:rsidP="00A01A67">
      <w:pPr>
        <w:pStyle w:val="BodyText"/>
        <w:rPr>
          <w:lang w:val="es-ES_tradnl"/>
        </w:rPr>
      </w:pPr>
      <w:r w:rsidRPr="00E21577">
        <w:rPr>
          <w:lang w:val="es-ES_tradnl"/>
        </w:rPr>
        <w:t>Londres</w:t>
      </w:r>
      <w:r w:rsidR="00D4790B" w:rsidRPr="00E21577">
        <w:rPr>
          <w:lang w:val="es-ES_tradnl"/>
        </w:rPr>
        <w:t xml:space="preserve"> SW1W 9SP</w:t>
      </w:r>
      <w:r w:rsidR="006B0563" w:rsidRPr="00E21577">
        <w:rPr>
          <w:lang w:val="es-ES_tradnl"/>
        </w:rPr>
        <w:t xml:space="preserve"> </w:t>
      </w:r>
    </w:p>
    <w:p w:rsidR="00C91841" w:rsidRPr="00E21577" w:rsidRDefault="004953A7" w:rsidP="00A01A67">
      <w:pPr>
        <w:pStyle w:val="BodyText"/>
        <w:rPr>
          <w:lang w:val="es-ES_tradnl"/>
        </w:rPr>
      </w:pPr>
      <w:r w:rsidRPr="00E21577">
        <w:rPr>
          <w:lang w:val="es-ES_tradnl"/>
        </w:rPr>
        <w:t>Reino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Unido</w:t>
      </w:r>
    </w:p>
    <w:p w:rsidR="00C91841" w:rsidRPr="00E21577" w:rsidRDefault="00C91841" w:rsidP="00A01A67">
      <w:pPr>
        <w:pStyle w:val="BodyText"/>
        <w:rPr>
          <w:lang w:val="es-ES_tradnl"/>
        </w:rPr>
      </w:pPr>
    </w:p>
    <w:p w:rsidR="00C91841" w:rsidRPr="00E21577" w:rsidRDefault="004953A7" w:rsidP="00307382">
      <w:pPr>
        <w:pStyle w:val="BodyText"/>
        <w:rPr>
          <w:lang w:val="es-ES_tradnl"/>
        </w:rPr>
      </w:pPr>
      <w:r w:rsidRPr="00E21577">
        <w:rPr>
          <w:lang w:val="es-ES_tradnl"/>
        </w:rPr>
        <w:t>1</w:t>
      </w:r>
      <w:r w:rsidR="00E21577" w:rsidRPr="00E21577">
        <w:rPr>
          <w:lang w:val="es-ES_tradnl"/>
        </w:rPr>
        <w:t>3</w:t>
      </w:r>
      <w:r w:rsidRPr="00E21577">
        <w:rPr>
          <w:lang w:val="es-ES_tradnl"/>
        </w:rPr>
        <w:t xml:space="preserve"> de junio de</w:t>
      </w:r>
      <w:r w:rsidR="00297D71" w:rsidRPr="00E21577">
        <w:rPr>
          <w:lang w:val="es-ES_tradnl"/>
        </w:rPr>
        <w:t xml:space="preserve"> </w:t>
      </w:r>
      <w:r w:rsidRPr="00E21577">
        <w:rPr>
          <w:lang w:val="es-ES_tradnl"/>
        </w:rPr>
        <w:t>2019</w:t>
      </w:r>
    </w:p>
    <w:p w:rsidR="00E124B9" w:rsidRPr="00E21577" w:rsidRDefault="00E21577" w:rsidP="00E21577">
      <w:pPr>
        <w:jc w:val="right"/>
        <w:rPr>
          <w:lang w:val="es-ES_tradnl"/>
        </w:rPr>
      </w:pPr>
      <w:r w:rsidRPr="00E21577">
        <w:rPr>
          <w:lang w:val="es-ES_tradnl"/>
        </w:rPr>
        <w:t>[Fin del Anexo y del documento</w:t>
      </w:r>
      <w:r>
        <w:rPr>
          <w:lang w:val="es-ES_tradnl"/>
        </w:rPr>
        <w:t>]</w:t>
      </w:r>
    </w:p>
    <w:sectPr w:rsidR="00E124B9" w:rsidRPr="00E21577" w:rsidSect="00E21577">
      <w:headerReference w:type="even" r:id="rId13"/>
      <w:headerReference w:type="default" r:id="rId14"/>
      <w:pgSz w:w="11907" w:h="16840" w:code="9"/>
      <w:pgMar w:top="1418" w:right="1418" w:bottom="1135" w:left="1418" w:header="51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E2" w:rsidRDefault="000D4EE2" w:rsidP="006655D3">
      <w:r>
        <w:separator/>
      </w:r>
    </w:p>
    <w:p w:rsidR="000D4EE2" w:rsidRDefault="000D4EE2" w:rsidP="006655D3"/>
    <w:p w:rsidR="000D4EE2" w:rsidRDefault="000D4EE2" w:rsidP="006655D3"/>
  </w:endnote>
  <w:endnote w:type="continuationSeparator" w:id="0">
    <w:p w:rsidR="000D4EE2" w:rsidRDefault="000D4EE2" w:rsidP="006655D3">
      <w:r>
        <w:separator/>
      </w:r>
    </w:p>
    <w:p w:rsidR="000D4EE2" w:rsidRPr="00294751" w:rsidRDefault="000D4EE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D4EE2" w:rsidRPr="00294751" w:rsidRDefault="000D4EE2" w:rsidP="006655D3">
      <w:pPr>
        <w:rPr>
          <w:lang w:val="fr-FR"/>
        </w:rPr>
      </w:pPr>
    </w:p>
    <w:p w:rsidR="000D4EE2" w:rsidRPr="00294751" w:rsidRDefault="000D4EE2" w:rsidP="006655D3">
      <w:pPr>
        <w:rPr>
          <w:lang w:val="fr-FR"/>
        </w:rPr>
      </w:pPr>
    </w:p>
  </w:endnote>
  <w:endnote w:type="continuationNotice" w:id="1">
    <w:p w:rsidR="000D4EE2" w:rsidRPr="00294751" w:rsidRDefault="000D4EE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D4EE2" w:rsidRPr="00294751" w:rsidRDefault="000D4EE2" w:rsidP="006655D3">
      <w:pPr>
        <w:rPr>
          <w:lang w:val="fr-FR"/>
        </w:rPr>
      </w:pPr>
    </w:p>
    <w:p w:rsidR="000D4EE2" w:rsidRPr="00294751" w:rsidRDefault="000D4EE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E2" w:rsidRDefault="000D4EE2" w:rsidP="006655D3">
      <w:r>
        <w:separator/>
      </w:r>
    </w:p>
  </w:footnote>
  <w:footnote w:type="continuationSeparator" w:id="0">
    <w:p w:rsidR="000D4EE2" w:rsidRDefault="000D4EE2" w:rsidP="006655D3">
      <w:r>
        <w:separator/>
      </w:r>
    </w:p>
  </w:footnote>
  <w:footnote w:type="continuationNotice" w:id="1">
    <w:p w:rsidR="000D4EE2" w:rsidRPr="00AB530F" w:rsidRDefault="000D4EE2" w:rsidP="00AB530F">
      <w:pPr>
        <w:pStyle w:val="Footer"/>
      </w:pPr>
    </w:p>
  </w:footnote>
  <w:footnote w:id="2">
    <w:p w:rsidR="000D4EE2" w:rsidRDefault="000D4EE2" w:rsidP="00F95127">
      <w:pPr>
        <w:pStyle w:val="FootnoteText"/>
        <w:ind w:left="142" w:hanging="142"/>
      </w:pPr>
      <w:r>
        <w:rPr>
          <w:rStyle w:val="FootnoteReference"/>
        </w:rPr>
        <w:footnoteRef/>
      </w:r>
      <w:r w:rsidR="00F95127">
        <w:tab/>
      </w:r>
      <w:r w:rsidRPr="00227C5D">
        <w:rPr>
          <w:lang w:val="es-ES_tradnl"/>
        </w:rPr>
        <w:t>Los equivalentes de efectivo son inversiones con un plazo de vencimiento sumamente corto y se consideran semejantes al efectivo.</w:t>
      </w:r>
    </w:p>
  </w:footnote>
  <w:footnote w:id="3">
    <w:p w:rsidR="000D4EE2" w:rsidRDefault="000D4EE2" w:rsidP="00F95127">
      <w:pPr>
        <w:pStyle w:val="FootnoteText"/>
        <w:ind w:left="142" w:hanging="142"/>
      </w:pPr>
      <w:r>
        <w:rPr>
          <w:rStyle w:val="FootnoteReference"/>
        </w:rPr>
        <w:footnoteRef/>
      </w:r>
      <w:r w:rsidR="00F95127">
        <w:tab/>
      </w:r>
      <w:r w:rsidRPr="00AE638D">
        <w:rPr>
          <w:lang w:val="es-ES_tradnl"/>
        </w:rPr>
        <w:t>Véase el documento C(Extr.)/33/6.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E2" w:rsidRPr="00C5280D" w:rsidRDefault="000D4EE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C/53/6</w:t>
    </w:r>
  </w:p>
  <w:p w:rsidR="000D4EE2" w:rsidRPr="00C5280D" w:rsidRDefault="000D4EE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50210">
      <w:rPr>
        <w:rStyle w:val="PageNumber"/>
        <w:noProof/>
        <w:lang w:val="en-US"/>
      </w:rPr>
      <w:t>12</w:t>
    </w:r>
    <w:r w:rsidRPr="00C5280D">
      <w:rPr>
        <w:rStyle w:val="PageNumber"/>
        <w:lang w:val="en-US"/>
      </w:rPr>
      <w:fldChar w:fldCharType="end"/>
    </w:r>
  </w:p>
  <w:p w:rsidR="000D4EE2" w:rsidRPr="00C5280D" w:rsidRDefault="000D4EE2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E2" w:rsidRPr="00150099" w:rsidRDefault="000D4EE2" w:rsidP="00D4790B">
    <w:pPr>
      <w:pStyle w:val="Header"/>
      <w:tabs>
        <w:tab w:val="center" w:pos="4820"/>
      </w:tabs>
      <w:jc w:val="left"/>
      <w:rPr>
        <w:rStyle w:val="PageNumber"/>
        <w:lang w:val="es-ES_tradnl"/>
      </w:rPr>
    </w:pPr>
    <w:r w:rsidRPr="00150099">
      <w:rPr>
        <w:rStyle w:val="PageNumber"/>
        <w:lang w:val="es-ES_tradnl"/>
      </w:rPr>
      <w:tab/>
      <w:t>C/53/6</w:t>
    </w:r>
  </w:p>
  <w:p w:rsidR="000D4EE2" w:rsidRPr="00150099" w:rsidRDefault="000D4EE2" w:rsidP="00D4790B">
    <w:pPr>
      <w:pStyle w:val="Header"/>
      <w:tabs>
        <w:tab w:val="center" w:pos="4820"/>
      </w:tabs>
      <w:jc w:val="left"/>
      <w:rPr>
        <w:lang w:val="es-ES_tradnl"/>
      </w:rPr>
    </w:pPr>
    <w:r w:rsidRPr="00150099">
      <w:rPr>
        <w:lang w:val="es-ES_tradnl"/>
      </w:rPr>
      <w:tab/>
      <w:t>Anex</w:t>
    </w:r>
    <w:r w:rsidR="00150099" w:rsidRPr="00150099">
      <w:rPr>
        <w:lang w:val="es-ES_tradnl"/>
      </w:rPr>
      <w:t>o</w:t>
    </w:r>
    <w:r w:rsidRPr="00150099">
      <w:rPr>
        <w:lang w:val="es-ES_tradnl"/>
      </w:rPr>
      <w:t>, p</w:t>
    </w:r>
    <w:r w:rsidR="00150099" w:rsidRPr="00150099">
      <w:rPr>
        <w:lang w:val="es-ES_tradnl"/>
      </w:rPr>
      <w:t>ágina</w:t>
    </w:r>
    <w:r w:rsidRPr="00150099">
      <w:rPr>
        <w:lang w:val="es-ES_tradnl"/>
      </w:rPr>
      <w:t xml:space="preserve"> </w:t>
    </w:r>
    <w:r w:rsidRPr="00150099">
      <w:rPr>
        <w:rStyle w:val="PageNumber"/>
        <w:lang w:val="es-ES_tradnl"/>
      </w:rPr>
      <w:fldChar w:fldCharType="begin"/>
    </w:r>
    <w:r w:rsidRPr="00150099">
      <w:rPr>
        <w:rStyle w:val="PageNumber"/>
        <w:lang w:val="es-ES_tradnl"/>
      </w:rPr>
      <w:instrText xml:space="preserve"> PAGE </w:instrText>
    </w:r>
    <w:r w:rsidRPr="00150099">
      <w:rPr>
        <w:rStyle w:val="PageNumber"/>
        <w:lang w:val="es-ES_tradnl"/>
      </w:rPr>
      <w:fldChar w:fldCharType="separate"/>
    </w:r>
    <w:r w:rsidR="00950210">
      <w:rPr>
        <w:rStyle w:val="PageNumber"/>
        <w:noProof/>
        <w:lang w:val="es-ES_tradnl"/>
      </w:rPr>
      <w:t>2</w:t>
    </w:r>
    <w:r w:rsidRPr="00150099">
      <w:rPr>
        <w:rStyle w:val="PageNumber"/>
        <w:lang w:val="es-ES_tradn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E2" w:rsidRPr="00150099" w:rsidRDefault="000D4EE2">
    <w:pPr>
      <w:pStyle w:val="Header"/>
      <w:rPr>
        <w:lang w:val="es-ES_tradnl"/>
      </w:rPr>
    </w:pPr>
    <w:r w:rsidRPr="00150099">
      <w:rPr>
        <w:lang w:val="es-ES_tradnl"/>
      </w:rPr>
      <w:t>C/53/6</w:t>
    </w:r>
  </w:p>
  <w:p w:rsidR="000D4EE2" w:rsidRPr="00150099" w:rsidRDefault="000D4EE2">
    <w:pPr>
      <w:pStyle w:val="Header"/>
      <w:rPr>
        <w:lang w:val="es-ES_tradnl"/>
      </w:rPr>
    </w:pPr>
  </w:p>
  <w:p w:rsidR="000D4EE2" w:rsidRPr="00150099" w:rsidRDefault="00150099">
    <w:pPr>
      <w:pStyle w:val="Header"/>
      <w:rPr>
        <w:lang w:val="es-ES_tradnl"/>
      </w:rPr>
    </w:pPr>
    <w:r w:rsidRPr="00150099">
      <w:rPr>
        <w:lang w:val="es-ES_tradnl"/>
      </w:rPr>
      <w:t>A</w:t>
    </w:r>
    <w:r w:rsidR="000D4EE2" w:rsidRPr="00150099">
      <w:rPr>
        <w:lang w:val="es-ES_tradnl"/>
      </w:rPr>
      <w:t>NEX</w:t>
    </w:r>
    <w:r w:rsidRPr="00150099">
      <w:rPr>
        <w:lang w:val="es-ES_tradnl"/>
      </w:rPr>
      <w:t>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E2" w:rsidRPr="00C5280D" w:rsidRDefault="000D4EE2" w:rsidP="00D4790B">
    <w:pPr>
      <w:pStyle w:val="Header"/>
      <w:tabs>
        <w:tab w:val="center" w:pos="2835"/>
      </w:tabs>
      <w:jc w:val="left"/>
      <w:rPr>
        <w:rStyle w:val="PageNumber"/>
        <w:lang w:val="en-US"/>
      </w:rPr>
    </w:pPr>
    <w:r>
      <w:rPr>
        <w:rStyle w:val="PageNumber"/>
        <w:lang w:val="en-US"/>
      </w:rPr>
      <w:tab/>
      <w:t>C/53/6</w:t>
    </w:r>
  </w:p>
  <w:p w:rsidR="000D4EE2" w:rsidRPr="00F575DF" w:rsidRDefault="000D4EE2" w:rsidP="00D4790B">
    <w:pPr>
      <w:pStyle w:val="Header"/>
      <w:tabs>
        <w:tab w:val="center" w:pos="2835"/>
      </w:tabs>
      <w:jc w:val="left"/>
      <w:rPr>
        <w:lang w:val="es-ES_tradnl"/>
      </w:rPr>
    </w:pPr>
    <w:r>
      <w:rPr>
        <w:lang w:val="en-US"/>
      </w:rPr>
      <w:tab/>
    </w:r>
    <w:r>
      <w:rPr>
        <w:lang w:val="es-ES_tradnl"/>
      </w:rPr>
      <w:t>An</w:t>
    </w:r>
    <w:r w:rsidRPr="00F575DF">
      <w:rPr>
        <w:lang w:val="es-ES_tradnl"/>
      </w:rPr>
      <w:t>ex</w:t>
    </w:r>
    <w:r>
      <w:rPr>
        <w:lang w:val="es-ES_tradnl"/>
      </w:rPr>
      <w:t>o</w:t>
    </w:r>
    <w:r w:rsidRPr="00F575DF">
      <w:rPr>
        <w:lang w:val="es-ES_tradnl"/>
      </w:rPr>
      <w:t xml:space="preserve">, </w:t>
    </w:r>
    <w:r>
      <w:rPr>
        <w:lang w:val="es-ES_tradnl"/>
      </w:rPr>
      <w:t xml:space="preserve">página </w:t>
    </w:r>
    <w:r w:rsidRPr="00F575DF">
      <w:rPr>
        <w:rStyle w:val="PageNumber"/>
        <w:lang w:val="es-ES_tradnl"/>
      </w:rPr>
      <w:fldChar w:fldCharType="begin"/>
    </w:r>
    <w:r w:rsidRPr="00F575DF">
      <w:rPr>
        <w:rStyle w:val="PageNumber"/>
        <w:lang w:val="es-ES_tradnl"/>
      </w:rPr>
      <w:instrText xml:space="preserve"> PAGE </w:instrText>
    </w:r>
    <w:r w:rsidRPr="00F575DF">
      <w:rPr>
        <w:rStyle w:val="PageNumber"/>
        <w:lang w:val="es-ES_tradnl"/>
      </w:rPr>
      <w:fldChar w:fldCharType="separate"/>
    </w:r>
    <w:r w:rsidR="00950210">
      <w:rPr>
        <w:rStyle w:val="PageNumber"/>
        <w:noProof/>
        <w:lang w:val="es-ES_tradnl"/>
      </w:rPr>
      <w:t>7</w:t>
    </w:r>
    <w:r w:rsidRPr="00F575DF">
      <w:rPr>
        <w:rStyle w:val="PageNumber"/>
        <w:lang w:val="es-ES_tradnl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E2" w:rsidRPr="001769CE" w:rsidRDefault="000D4EE2" w:rsidP="00A01A67">
    <w:pPr>
      <w:pStyle w:val="Header"/>
      <w:jc w:val="left"/>
    </w:pPr>
    <w:r w:rsidRPr="001769CE">
      <w:rPr>
        <w:rStyle w:val="PageNumber"/>
      </w:rPr>
      <w:fldChar w:fldCharType="begin"/>
    </w:r>
    <w:r w:rsidRPr="001769CE">
      <w:rPr>
        <w:rStyle w:val="PageNumber"/>
      </w:rPr>
      <w:instrText xml:space="preserve"> PAGE </w:instrText>
    </w:r>
    <w:r w:rsidRPr="001769CE">
      <w:rPr>
        <w:rStyle w:val="PageNumber"/>
      </w:rPr>
      <w:fldChar w:fldCharType="separate"/>
    </w:r>
    <w:r w:rsidR="00950210">
      <w:rPr>
        <w:rStyle w:val="PageNumber"/>
        <w:noProof/>
      </w:rPr>
      <w:t>12</w:t>
    </w:r>
    <w:r w:rsidRPr="001769CE">
      <w:rPr>
        <w:rStyle w:val="PageNumber"/>
      </w:rPr>
      <w:fldChar w:fldCharType="end"/>
    </w:r>
    <w:r>
      <w:t xml:space="preserve"> </w:t>
    </w:r>
    <w:r w:rsidRPr="00834D08">
      <w:rPr>
        <w:b/>
      </w:rPr>
      <w:fldChar w:fldCharType="begin"/>
    </w:r>
    <w:r w:rsidRPr="00834D08">
      <w:rPr>
        <w:b/>
      </w:rPr>
      <w:instrText xml:space="preserve"> STYLEREF  "Appendix" \n \* MERGEFORMAT </w:instrText>
    </w:r>
    <w:r w:rsidRPr="00834D08">
      <w:rPr>
        <w:b/>
      </w:rPr>
      <w:fldChar w:fldCharType="separate"/>
    </w:r>
    <w:r w:rsidR="00950210">
      <w:rPr>
        <w:bCs/>
        <w:noProof/>
        <w:lang w:val="en-US"/>
      </w:rPr>
      <w:t>Error! No text of specified style in document.</w:t>
    </w:r>
    <w:r w:rsidRPr="00834D08">
      <w:rPr>
        <w:b/>
        <w:noProof/>
      </w:rPr>
      <w:fldChar w:fldCharType="end"/>
    </w:r>
    <w:r w:rsidRPr="00834D08">
      <w:t xml:space="preserve"> </w:t>
    </w:r>
    <w:fldSimple w:instr=" STYLEREF  &quot;zz Report title&quot;  \* MERGEFORMAT ">
      <w:r w:rsidR="00950210" w:rsidRPr="00950210">
        <w:rPr>
          <w:b/>
          <w:bCs/>
          <w:noProof/>
          <w:lang w:val="en-US"/>
        </w:rPr>
        <w:t>Informe del auditor externo sobre los estados financieros de</w:t>
      </w:r>
      <w:r w:rsidR="00950210">
        <w:rPr>
          <w:noProof/>
        </w:rPr>
        <w:t xml:space="preserve"> la UPOV de 2018</w:t>
      </w:r>
    </w:fldSimple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E2" w:rsidRPr="00C5280D" w:rsidRDefault="000D4EE2" w:rsidP="00D4790B">
    <w:pPr>
      <w:pStyle w:val="Header"/>
      <w:tabs>
        <w:tab w:val="center" w:pos="4820"/>
      </w:tabs>
      <w:jc w:val="left"/>
      <w:rPr>
        <w:rStyle w:val="PageNumber"/>
        <w:lang w:val="en-US"/>
      </w:rPr>
    </w:pPr>
    <w:r>
      <w:rPr>
        <w:rStyle w:val="PageNumber"/>
        <w:lang w:val="en-US"/>
      </w:rPr>
      <w:tab/>
      <w:t>C/53/6</w:t>
    </w:r>
  </w:p>
  <w:p w:rsidR="000D4EE2" w:rsidRPr="00C5280D" w:rsidRDefault="000D4EE2" w:rsidP="00D4790B">
    <w:pPr>
      <w:pStyle w:val="Header"/>
      <w:tabs>
        <w:tab w:val="center" w:pos="4820"/>
      </w:tabs>
      <w:jc w:val="left"/>
      <w:rPr>
        <w:lang w:val="en-US"/>
      </w:rPr>
    </w:pPr>
    <w:r>
      <w:rPr>
        <w:lang w:val="en-US"/>
      </w:rPr>
      <w:tab/>
    </w:r>
    <w:r>
      <w:rPr>
        <w:lang w:val="es-ES_tradnl"/>
      </w:rPr>
      <w:t>An</w:t>
    </w:r>
    <w:r w:rsidRPr="00F575DF">
      <w:rPr>
        <w:lang w:val="es-ES_tradnl"/>
      </w:rPr>
      <w:t>ex</w:t>
    </w:r>
    <w:r>
      <w:rPr>
        <w:lang w:val="es-ES_tradnl"/>
      </w:rPr>
      <w:t>o</w:t>
    </w:r>
    <w:r w:rsidRPr="00F575DF">
      <w:rPr>
        <w:lang w:val="es-ES_tradnl"/>
      </w:rPr>
      <w:t xml:space="preserve">, </w:t>
    </w:r>
    <w:r>
      <w:rPr>
        <w:lang w:val="es-ES_tradnl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50210">
      <w:rPr>
        <w:rStyle w:val="PageNumber"/>
        <w:noProof/>
        <w:lang w:val="en-US"/>
      </w:rPr>
      <w:t>14</w:t>
    </w:r>
    <w:r w:rsidRPr="00C5280D">
      <w:rPr>
        <w:rStyle w:val="PageNumber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AF2285E"/>
    <w:multiLevelType w:val="multilevel"/>
    <w:tmpl w:val="CEDC7014"/>
    <w:styleLink w:val="NAOBullets"/>
    <w:lvl w:ilvl="0">
      <w:start w:val="1"/>
      <w:numFmt w:val="bullet"/>
      <w:pStyle w:val="Bullet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Bulletsecondary"/>
      <w:lvlText w:val="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" w15:restartNumberingAfterBreak="0">
    <w:nsid w:val="20A630DD"/>
    <w:multiLevelType w:val="multilevel"/>
    <w:tmpl w:val="F370A8C6"/>
    <w:lvl w:ilvl="0">
      <w:start w:val="1"/>
      <w:numFmt w:val="cardinalText"/>
      <w:pStyle w:val="Heading1"/>
      <w:suff w:val="nothing"/>
      <w:lvlText w:val="Part %1"/>
      <w:lvlJc w:val="left"/>
      <w:pPr>
        <w:ind w:left="1440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54"/>
        </w:tabs>
        <w:ind w:left="0" w:firstLine="0"/>
      </w:pPr>
    </w:lvl>
    <w:lvl w:ilvl="2">
      <w:start w:val="1"/>
      <w:numFmt w:val="lowerLetter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267212B"/>
    <w:multiLevelType w:val="multilevel"/>
    <w:tmpl w:val="44A04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WtBookmark" w:val="00073"/>
  </w:docVars>
  <w:rsids>
    <w:rsidRoot w:val="001B4D3B"/>
    <w:rsid w:val="00003C80"/>
    <w:rsid w:val="0000420E"/>
    <w:rsid w:val="00010CF3"/>
    <w:rsid w:val="00011E27"/>
    <w:rsid w:val="000124DB"/>
    <w:rsid w:val="000148BC"/>
    <w:rsid w:val="0001510B"/>
    <w:rsid w:val="00021739"/>
    <w:rsid w:val="00022EFA"/>
    <w:rsid w:val="00024171"/>
    <w:rsid w:val="00024AB8"/>
    <w:rsid w:val="00024DD4"/>
    <w:rsid w:val="0002522D"/>
    <w:rsid w:val="00026CA9"/>
    <w:rsid w:val="000304EB"/>
    <w:rsid w:val="00030854"/>
    <w:rsid w:val="00031F4B"/>
    <w:rsid w:val="00032BF0"/>
    <w:rsid w:val="00035106"/>
    <w:rsid w:val="00036028"/>
    <w:rsid w:val="00037FB5"/>
    <w:rsid w:val="000412D6"/>
    <w:rsid w:val="00044642"/>
    <w:rsid w:val="000446B9"/>
    <w:rsid w:val="00047E21"/>
    <w:rsid w:val="00050E16"/>
    <w:rsid w:val="000610A1"/>
    <w:rsid w:val="0006126A"/>
    <w:rsid w:val="00061985"/>
    <w:rsid w:val="0006403C"/>
    <w:rsid w:val="000706C2"/>
    <w:rsid w:val="0007654F"/>
    <w:rsid w:val="00085497"/>
    <w:rsid w:val="00085505"/>
    <w:rsid w:val="00086F8C"/>
    <w:rsid w:val="000A4D4B"/>
    <w:rsid w:val="000B3AD8"/>
    <w:rsid w:val="000B5F28"/>
    <w:rsid w:val="000B6B80"/>
    <w:rsid w:val="000C4E25"/>
    <w:rsid w:val="000C7021"/>
    <w:rsid w:val="000D1566"/>
    <w:rsid w:val="000D1BE8"/>
    <w:rsid w:val="000D4EE2"/>
    <w:rsid w:val="000D58E7"/>
    <w:rsid w:val="000D5989"/>
    <w:rsid w:val="000D6BBC"/>
    <w:rsid w:val="000D7780"/>
    <w:rsid w:val="000E26F5"/>
    <w:rsid w:val="000E636A"/>
    <w:rsid w:val="000F1838"/>
    <w:rsid w:val="000F2F11"/>
    <w:rsid w:val="000F2F7D"/>
    <w:rsid w:val="000F4087"/>
    <w:rsid w:val="000F737C"/>
    <w:rsid w:val="00101AE5"/>
    <w:rsid w:val="00105929"/>
    <w:rsid w:val="00105D6D"/>
    <w:rsid w:val="00110C36"/>
    <w:rsid w:val="001131D5"/>
    <w:rsid w:val="001158BC"/>
    <w:rsid w:val="00116370"/>
    <w:rsid w:val="00117C49"/>
    <w:rsid w:val="001207B9"/>
    <w:rsid w:val="00121ED8"/>
    <w:rsid w:val="001237F4"/>
    <w:rsid w:val="00125827"/>
    <w:rsid w:val="0012765A"/>
    <w:rsid w:val="001339F6"/>
    <w:rsid w:val="00134535"/>
    <w:rsid w:val="001365EC"/>
    <w:rsid w:val="00141DB8"/>
    <w:rsid w:val="00145FE9"/>
    <w:rsid w:val="00150099"/>
    <w:rsid w:val="00152FD2"/>
    <w:rsid w:val="00156AE1"/>
    <w:rsid w:val="00156CC9"/>
    <w:rsid w:val="00164F32"/>
    <w:rsid w:val="00171970"/>
    <w:rsid w:val="00172084"/>
    <w:rsid w:val="0017474A"/>
    <w:rsid w:val="001758C6"/>
    <w:rsid w:val="00182B99"/>
    <w:rsid w:val="001838C8"/>
    <w:rsid w:val="00190369"/>
    <w:rsid w:val="00194E0D"/>
    <w:rsid w:val="001A404D"/>
    <w:rsid w:val="001A4A82"/>
    <w:rsid w:val="001A5A2F"/>
    <w:rsid w:val="001B3564"/>
    <w:rsid w:val="001B493D"/>
    <w:rsid w:val="001B4D3B"/>
    <w:rsid w:val="001B5C99"/>
    <w:rsid w:val="001B5F1D"/>
    <w:rsid w:val="001C1525"/>
    <w:rsid w:val="001D29EC"/>
    <w:rsid w:val="001D3D5D"/>
    <w:rsid w:val="001D49C8"/>
    <w:rsid w:val="001E65CA"/>
    <w:rsid w:val="001E71BC"/>
    <w:rsid w:val="001E7572"/>
    <w:rsid w:val="001F6411"/>
    <w:rsid w:val="00200DDF"/>
    <w:rsid w:val="0020220B"/>
    <w:rsid w:val="00205E82"/>
    <w:rsid w:val="0021332C"/>
    <w:rsid w:val="00213345"/>
    <w:rsid w:val="00213982"/>
    <w:rsid w:val="00214C68"/>
    <w:rsid w:val="00214C72"/>
    <w:rsid w:val="002165FA"/>
    <w:rsid w:val="00227A66"/>
    <w:rsid w:val="00227C5D"/>
    <w:rsid w:val="00232736"/>
    <w:rsid w:val="00232BE7"/>
    <w:rsid w:val="0023379F"/>
    <w:rsid w:val="0024416D"/>
    <w:rsid w:val="002458F7"/>
    <w:rsid w:val="002506E7"/>
    <w:rsid w:val="002508CF"/>
    <w:rsid w:val="00255DDD"/>
    <w:rsid w:val="00256546"/>
    <w:rsid w:val="00256BFA"/>
    <w:rsid w:val="002572A6"/>
    <w:rsid w:val="0026563B"/>
    <w:rsid w:val="00266F22"/>
    <w:rsid w:val="00271911"/>
    <w:rsid w:val="00277C78"/>
    <w:rsid w:val="002800A0"/>
    <w:rsid w:val="002801B3"/>
    <w:rsid w:val="00281060"/>
    <w:rsid w:val="00283E2D"/>
    <w:rsid w:val="00292703"/>
    <w:rsid w:val="0029291B"/>
    <w:rsid w:val="00292FBE"/>
    <w:rsid w:val="002940E8"/>
    <w:rsid w:val="002942AF"/>
    <w:rsid w:val="00294751"/>
    <w:rsid w:val="00295370"/>
    <w:rsid w:val="00295BAC"/>
    <w:rsid w:val="0029749C"/>
    <w:rsid w:val="00297D71"/>
    <w:rsid w:val="002A6E50"/>
    <w:rsid w:val="002A77F6"/>
    <w:rsid w:val="002B4298"/>
    <w:rsid w:val="002B5BB3"/>
    <w:rsid w:val="002C0871"/>
    <w:rsid w:val="002C1878"/>
    <w:rsid w:val="002C256A"/>
    <w:rsid w:val="002C7F63"/>
    <w:rsid w:val="002D6E90"/>
    <w:rsid w:val="002D7B19"/>
    <w:rsid w:val="002E5BD4"/>
    <w:rsid w:val="002E5D26"/>
    <w:rsid w:val="002E6DBA"/>
    <w:rsid w:val="002E72FB"/>
    <w:rsid w:val="002E7497"/>
    <w:rsid w:val="002F5667"/>
    <w:rsid w:val="002F63B7"/>
    <w:rsid w:val="002F78C1"/>
    <w:rsid w:val="0030305D"/>
    <w:rsid w:val="00303804"/>
    <w:rsid w:val="00304997"/>
    <w:rsid w:val="00305A7F"/>
    <w:rsid w:val="00307382"/>
    <w:rsid w:val="00307FEB"/>
    <w:rsid w:val="00314D61"/>
    <w:rsid w:val="003152FE"/>
    <w:rsid w:val="00315BC9"/>
    <w:rsid w:val="00317D85"/>
    <w:rsid w:val="00327436"/>
    <w:rsid w:val="00331284"/>
    <w:rsid w:val="00331E7F"/>
    <w:rsid w:val="003340F4"/>
    <w:rsid w:val="00335153"/>
    <w:rsid w:val="00336F24"/>
    <w:rsid w:val="003447E0"/>
    <w:rsid w:val="00344BD6"/>
    <w:rsid w:val="0034503A"/>
    <w:rsid w:val="00345FC5"/>
    <w:rsid w:val="003543AB"/>
    <w:rsid w:val="0035528D"/>
    <w:rsid w:val="003571D1"/>
    <w:rsid w:val="00357B02"/>
    <w:rsid w:val="00361821"/>
    <w:rsid w:val="00361E9E"/>
    <w:rsid w:val="00364F4B"/>
    <w:rsid w:val="0038103F"/>
    <w:rsid w:val="00383304"/>
    <w:rsid w:val="0038774C"/>
    <w:rsid w:val="00391FC9"/>
    <w:rsid w:val="003948D8"/>
    <w:rsid w:val="0039633A"/>
    <w:rsid w:val="003A07DB"/>
    <w:rsid w:val="003A615D"/>
    <w:rsid w:val="003B188F"/>
    <w:rsid w:val="003B62FD"/>
    <w:rsid w:val="003C22FF"/>
    <w:rsid w:val="003C2468"/>
    <w:rsid w:val="003C3A3F"/>
    <w:rsid w:val="003C6710"/>
    <w:rsid w:val="003C7FBE"/>
    <w:rsid w:val="003D1639"/>
    <w:rsid w:val="003D1DE8"/>
    <w:rsid w:val="003D1F84"/>
    <w:rsid w:val="003D2169"/>
    <w:rsid w:val="003D2200"/>
    <w:rsid w:val="003D227C"/>
    <w:rsid w:val="003D2B4D"/>
    <w:rsid w:val="003E08DF"/>
    <w:rsid w:val="003E78F3"/>
    <w:rsid w:val="003F5F2B"/>
    <w:rsid w:val="004005B3"/>
    <w:rsid w:val="00402560"/>
    <w:rsid w:val="00402FF9"/>
    <w:rsid w:val="00403000"/>
    <w:rsid w:val="004039DD"/>
    <w:rsid w:val="00412735"/>
    <w:rsid w:val="004134B3"/>
    <w:rsid w:val="00422115"/>
    <w:rsid w:val="004341D9"/>
    <w:rsid w:val="00435EBC"/>
    <w:rsid w:val="00437AEF"/>
    <w:rsid w:val="00444534"/>
    <w:rsid w:val="00444A88"/>
    <w:rsid w:val="00445AD9"/>
    <w:rsid w:val="00451318"/>
    <w:rsid w:val="00454696"/>
    <w:rsid w:val="004547FB"/>
    <w:rsid w:val="00454C8F"/>
    <w:rsid w:val="004608C2"/>
    <w:rsid w:val="00465887"/>
    <w:rsid w:val="0046759B"/>
    <w:rsid w:val="004729A9"/>
    <w:rsid w:val="00474DA4"/>
    <w:rsid w:val="00475C8A"/>
    <w:rsid w:val="00476B4D"/>
    <w:rsid w:val="004805FA"/>
    <w:rsid w:val="00485354"/>
    <w:rsid w:val="0049002C"/>
    <w:rsid w:val="0049156B"/>
    <w:rsid w:val="004935D2"/>
    <w:rsid w:val="00493986"/>
    <w:rsid w:val="004953A7"/>
    <w:rsid w:val="004955FA"/>
    <w:rsid w:val="004A5B80"/>
    <w:rsid w:val="004B02BB"/>
    <w:rsid w:val="004B1215"/>
    <w:rsid w:val="004B339B"/>
    <w:rsid w:val="004B500B"/>
    <w:rsid w:val="004B5288"/>
    <w:rsid w:val="004B5CA3"/>
    <w:rsid w:val="004C4586"/>
    <w:rsid w:val="004C6AAD"/>
    <w:rsid w:val="004D047D"/>
    <w:rsid w:val="004D71A3"/>
    <w:rsid w:val="004E24A7"/>
    <w:rsid w:val="004E727C"/>
    <w:rsid w:val="004F07A4"/>
    <w:rsid w:val="004F1E9E"/>
    <w:rsid w:val="004F305A"/>
    <w:rsid w:val="004F6380"/>
    <w:rsid w:val="0050116F"/>
    <w:rsid w:val="00502896"/>
    <w:rsid w:val="00510BDA"/>
    <w:rsid w:val="00511AAB"/>
    <w:rsid w:val="00512164"/>
    <w:rsid w:val="00512AEF"/>
    <w:rsid w:val="005143C1"/>
    <w:rsid w:val="005155B4"/>
    <w:rsid w:val="00520297"/>
    <w:rsid w:val="00521904"/>
    <w:rsid w:val="00522C8F"/>
    <w:rsid w:val="005338F9"/>
    <w:rsid w:val="005351CB"/>
    <w:rsid w:val="00540198"/>
    <w:rsid w:val="00541BEE"/>
    <w:rsid w:val="0054281C"/>
    <w:rsid w:val="00542CD9"/>
    <w:rsid w:val="00543465"/>
    <w:rsid w:val="00544581"/>
    <w:rsid w:val="0055096A"/>
    <w:rsid w:val="0055268D"/>
    <w:rsid w:val="005539DD"/>
    <w:rsid w:val="00555CB0"/>
    <w:rsid w:val="00555ED2"/>
    <w:rsid w:val="005640B7"/>
    <w:rsid w:val="00576BE4"/>
    <w:rsid w:val="00581B9D"/>
    <w:rsid w:val="00587A79"/>
    <w:rsid w:val="005901BE"/>
    <w:rsid w:val="005A400A"/>
    <w:rsid w:val="005A5F9F"/>
    <w:rsid w:val="005A72FD"/>
    <w:rsid w:val="005A7839"/>
    <w:rsid w:val="005B1D30"/>
    <w:rsid w:val="005B6F99"/>
    <w:rsid w:val="005C1FE3"/>
    <w:rsid w:val="005D1F36"/>
    <w:rsid w:val="005D27A4"/>
    <w:rsid w:val="005D291A"/>
    <w:rsid w:val="005D508E"/>
    <w:rsid w:val="005D76C9"/>
    <w:rsid w:val="005E0221"/>
    <w:rsid w:val="005E2309"/>
    <w:rsid w:val="005E6E51"/>
    <w:rsid w:val="005F57F7"/>
    <w:rsid w:val="005F7B92"/>
    <w:rsid w:val="0060148E"/>
    <w:rsid w:val="00604596"/>
    <w:rsid w:val="0060619A"/>
    <w:rsid w:val="00607E6B"/>
    <w:rsid w:val="00612379"/>
    <w:rsid w:val="006153B6"/>
    <w:rsid w:val="0061555F"/>
    <w:rsid w:val="00624465"/>
    <w:rsid w:val="00630B46"/>
    <w:rsid w:val="00631BBA"/>
    <w:rsid w:val="006364FB"/>
    <w:rsid w:val="00636CA6"/>
    <w:rsid w:val="00641200"/>
    <w:rsid w:val="006417A7"/>
    <w:rsid w:val="006422F8"/>
    <w:rsid w:val="00643B22"/>
    <w:rsid w:val="00645CA8"/>
    <w:rsid w:val="006460CB"/>
    <w:rsid w:val="00651A8D"/>
    <w:rsid w:val="0065573C"/>
    <w:rsid w:val="00660867"/>
    <w:rsid w:val="00664EFB"/>
    <w:rsid w:val="006655D3"/>
    <w:rsid w:val="00667404"/>
    <w:rsid w:val="0067326A"/>
    <w:rsid w:val="006742C8"/>
    <w:rsid w:val="00675589"/>
    <w:rsid w:val="00676C08"/>
    <w:rsid w:val="00687155"/>
    <w:rsid w:val="00687EB4"/>
    <w:rsid w:val="00690329"/>
    <w:rsid w:val="0069330E"/>
    <w:rsid w:val="00694232"/>
    <w:rsid w:val="00695C56"/>
    <w:rsid w:val="006A0DC1"/>
    <w:rsid w:val="006A37D1"/>
    <w:rsid w:val="006A5CDE"/>
    <w:rsid w:val="006A644A"/>
    <w:rsid w:val="006B0563"/>
    <w:rsid w:val="006B17D2"/>
    <w:rsid w:val="006B35D2"/>
    <w:rsid w:val="006B3940"/>
    <w:rsid w:val="006C224E"/>
    <w:rsid w:val="006C3B10"/>
    <w:rsid w:val="006C467E"/>
    <w:rsid w:val="006C5A0B"/>
    <w:rsid w:val="006C60A7"/>
    <w:rsid w:val="006C7066"/>
    <w:rsid w:val="006C77B3"/>
    <w:rsid w:val="006D0205"/>
    <w:rsid w:val="006D04C7"/>
    <w:rsid w:val="006D0BCA"/>
    <w:rsid w:val="006D780A"/>
    <w:rsid w:val="006D7B5E"/>
    <w:rsid w:val="006E0A91"/>
    <w:rsid w:val="006E380E"/>
    <w:rsid w:val="006E5CAE"/>
    <w:rsid w:val="006E6DBC"/>
    <w:rsid w:val="006F5970"/>
    <w:rsid w:val="006F7E9D"/>
    <w:rsid w:val="007013D5"/>
    <w:rsid w:val="00703F1F"/>
    <w:rsid w:val="0070538B"/>
    <w:rsid w:val="00705531"/>
    <w:rsid w:val="007117C6"/>
    <w:rsid w:val="0071271E"/>
    <w:rsid w:val="00714ABB"/>
    <w:rsid w:val="0071511C"/>
    <w:rsid w:val="00715548"/>
    <w:rsid w:val="00717A8E"/>
    <w:rsid w:val="00720ADA"/>
    <w:rsid w:val="00723840"/>
    <w:rsid w:val="00726DB6"/>
    <w:rsid w:val="00731DFD"/>
    <w:rsid w:val="00732DEC"/>
    <w:rsid w:val="007333D7"/>
    <w:rsid w:val="00735BD5"/>
    <w:rsid w:val="007442E6"/>
    <w:rsid w:val="0074499A"/>
    <w:rsid w:val="007451EC"/>
    <w:rsid w:val="00750BA4"/>
    <w:rsid w:val="00751613"/>
    <w:rsid w:val="007556F6"/>
    <w:rsid w:val="00756E0C"/>
    <w:rsid w:val="00760E26"/>
    <w:rsid w:val="00760EEF"/>
    <w:rsid w:val="00762BF8"/>
    <w:rsid w:val="00766372"/>
    <w:rsid w:val="00767C47"/>
    <w:rsid w:val="00771745"/>
    <w:rsid w:val="007736A5"/>
    <w:rsid w:val="0077594F"/>
    <w:rsid w:val="007769D8"/>
    <w:rsid w:val="00776B2E"/>
    <w:rsid w:val="007774D3"/>
    <w:rsid w:val="007774E1"/>
    <w:rsid w:val="00777EE5"/>
    <w:rsid w:val="00782255"/>
    <w:rsid w:val="0078314A"/>
    <w:rsid w:val="00784836"/>
    <w:rsid w:val="0079023E"/>
    <w:rsid w:val="00793936"/>
    <w:rsid w:val="00793F88"/>
    <w:rsid w:val="007A2854"/>
    <w:rsid w:val="007B0354"/>
    <w:rsid w:val="007B554A"/>
    <w:rsid w:val="007B63CA"/>
    <w:rsid w:val="007B6E4A"/>
    <w:rsid w:val="007B7983"/>
    <w:rsid w:val="007C1D92"/>
    <w:rsid w:val="007C3C19"/>
    <w:rsid w:val="007C4CB9"/>
    <w:rsid w:val="007C4F4D"/>
    <w:rsid w:val="007D0943"/>
    <w:rsid w:val="007D0B9D"/>
    <w:rsid w:val="007D19B0"/>
    <w:rsid w:val="007D4635"/>
    <w:rsid w:val="007E2CA5"/>
    <w:rsid w:val="007F498F"/>
    <w:rsid w:val="007F684F"/>
    <w:rsid w:val="007F7156"/>
    <w:rsid w:val="007F757D"/>
    <w:rsid w:val="00800C53"/>
    <w:rsid w:val="008049F1"/>
    <w:rsid w:val="0080679D"/>
    <w:rsid w:val="008108B0"/>
    <w:rsid w:val="00811B20"/>
    <w:rsid w:val="00815D76"/>
    <w:rsid w:val="0081796E"/>
    <w:rsid w:val="00820E1B"/>
    <w:rsid w:val="008211B5"/>
    <w:rsid w:val="0082199E"/>
    <w:rsid w:val="0082296E"/>
    <w:rsid w:val="00824099"/>
    <w:rsid w:val="00826A25"/>
    <w:rsid w:val="00831ED3"/>
    <w:rsid w:val="00834399"/>
    <w:rsid w:val="00835C75"/>
    <w:rsid w:val="008441C6"/>
    <w:rsid w:val="00846D7C"/>
    <w:rsid w:val="00850157"/>
    <w:rsid w:val="00852B53"/>
    <w:rsid w:val="0085593A"/>
    <w:rsid w:val="00855E79"/>
    <w:rsid w:val="008566D5"/>
    <w:rsid w:val="00860BA5"/>
    <w:rsid w:val="00861333"/>
    <w:rsid w:val="00861A67"/>
    <w:rsid w:val="00864FA0"/>
    <w:rsid w:val="00867AC1"/>
    <w:rsid w:val="00870192"/>
    <w:rsid w:val="00880845"/>
    <w:rsid w:val="0088715B"/>
    <w:rsid w:val="00890DF8"/>
    <w:rsid w:val="00897C0D"/>
    <w:rsid w:val="008A743F"/>
    <w:rsid w:val="008B2688"/>
    <w:rsid w:val="008B2F6E"/>
    <w:rsid w:val="008C0970"/>
    <w:rsid w:val="008C2527"/>
    <w:rsid w:val="008C266D"/>
    <w:rsid w:val="008C27E1"/>
    <w:rsid w:val="008D0BC5"/>
    <w:rsid w:val="008D0BEB"/>
    <w:rsid w:val="008D2CF7"/>
    <w:rsid w:val="008D2FA5"/>
    <w:rsid w:val="008D39DA"/>
    <w:rsid w:val="008D50BC"/>
    <w:rsid w:val="008D6E2B"/>
    <w:rsid w:val="008E2B82"/>
    <w:rsid w:val="008E2F0F"/>
    <w:rsid w:val="008E7FAE"/>
    <w:rsid w:val="008F4292"/>
    <w:rsid w:val="008F5DDD"/>
    <w:rsid w:val="00900563"/>
    <w:rsid w:val="00900C26"/>
    <w:rsid w:val="0090197F"/>
    <w:rsid w:val="00903264"/>
    <w:rsid w:val="00906DDC"/>
    <w:rsid w:val="009103D9"/>
    <w:rsid w:val="00910ACB"/>
    <w:rsid w:val="0091200C"/>
    <w:rsid w:val="00920456"/>
    <w:rsid w:val="00921014"/>
    <w:rsid w:val="00922074"/>
    <w:rsid w:val="00926EFF"/>
    <w:rsid w:val="00927A1A"/>
    <w:rsid w:val="00932B8B"/>
    <w:rsid w:val="0093358F"/>
    <w:rsid w:val="00933CF9"/>
    <w:rsid w:val="00934E09"/>
    <w:rsid w:val="00936253"/>
    <w:rsid w:val="00936582"/>
    <w:rsid w:val="0093775F"/>
    <w:rsid w:val="009400F6"/>
    <w:rsid w:val="00940D46"/>
    <w:rsid w:val="00950210"/>
    <w:rsid w:val="00952DD4"/>
    <w:rsid w:val="00954526"/>
    <w:rsid w:val="00957B4D"/>
    <w:rsid w:val="009634D0"/>
    <w:rsid w:val="00965AE7"/>
    <w:rsid w:val="00970FED"/>
    <w:rsid w:val="00971F09"/>
    <w:rsid w:val="0097323B"/>
    <w:rsid w:val="00980182"/>
    <w:rsid w:val="0099057E"/>
    <w:rsid w:val="00992533"/>
    <w:rsid w:val="00992D82"/>
    <w:rsid w:val="00997029"/>
    <w:rsid w:val="009A4C2B"/>
    <w:rsid w:val="009A5E3D"/>
    <w:rsid w:val="009A7339"/>
    <w:rsid w:val="009A7B35"/>
    <w:rsid w:val="009A7E80"/>
    <w:rsid w:val="009B0077"/>
    <w:rsid w:val="009B0FE3"/>
    <w:rsid w:val="009B25BF"/>
    <w:rsid w:val="009B440E"/>
    <w:rsid w:val="009C2485"/>
    <w:rsid w:val="009D4186"/>
    <w:rsid w:val="009D690D"/>
    <w:rsid w:val="009E33AB"/>
    <w:rsid w:val="009E4804"/>
    <w:rsid w:val="009E65B6"/>
    <w:rsid w:val="009E75DD"/>
    <w:rsid w:val="009E777F"/>
    <w:rsid w:val="009F1571"/>
    <w:rsid w:val="009F370A"/>
    <w:rsid w:val="009F53C0"/>
    <w:rsid w:val="009F77CF"/>
    <w:rsid w:val="00A01A67"/>
    <w:rsid w:val="00A029F4"/>
    <w:rsid w:val="00A0634C"/>
    <w:rsid w:val="00A07455"/>
    <w:rsid w:val="00A079E9"/>
    <w:rsid w:val="00A11B98"/>
    <w:rsid w:val="00A12933"/>
    <w:rsid w:val="00A21FD7"/>
    <w:rsid w:val="00A229D2"/>
    <w:rsid w:val="00A24C10"/>
    <w:rsid w:val="00A3150D"/>
    <w:rsid w:val="00A3365A"/>
    <w:rsid w:val="00A3378D"/>
    <w:rsid w:val="00A421DE"/>
    <w:rsid w:val="00A42AC3"/>
    <w:rsid w:val="00A42D7E"/>
    <w:rsid w:val="00A430CF"/>
    <w:rsid w:val="00A46C91"/>
    <w:rsid w:val="00A54309"/>
    <w:rsid w:val="00A67478"/>
    <w:rsid w:val="00A73150"/>
    <w:rsid w:val="00A77A2E"/>
    <w:rsid w:val="00A81623"/>
    <w:rsid w:val="00A871D9"/>
    <w:rsid w:val="00A877E5"/>
    <w:rsid w:val="00A90E85"/>
    <w:rsid w:val="00AA00C5"/>
    <w:rsid w:val="00AA240D"/>
    <w:rsid w:val="00AA2AF4"/>
    <w:rsid w:val="00AA3124"/>
    <w:rsid w:val="00AB1B11"/>
    <w:rsid w:val="00AB1C9A"/>
    <w:rsid w:val="00AB2B93"/>
    <w:rsid w:val="00AB530F"/>
    <w:rsid w:val="00AB7E5B"/>
    <w:rsid w:val="00AB7F5C"/>
    <w:rsid w:val="00AC2883"/>
    <w:rsid w:val="00AE0EF1"/>
    <w:rsid w:val="00AE2937"/>
    <w:rsid w:val="00AE2BDA"/>
    <w:rsid w:val="00AE638D"/>
    <w:rsid w:val="00AF1811"/>
    <w:rsid w:val="00AF2CDD"/>
    <w:rsid w:val="00AF56CF"/>
    <w:rsid w:val="00B07301"/>
    <w:rsid w:val="00B10646"/>
    <w:rsid w:val="00B11F3E"/>
    <w:rsid w:val="00B140C6"/>
    <w:rsid w:val="00B15DDD"/>
    <w:rsid w:val="00B209BC"/>
    <w:rsid w:val="00B216A7"/>
    <w:rsid w:val="00B224DE"/>
    <w:rsid w:val="00B30A1F"/>
    <w:rsid w:val="00B324D4"/>
    <w:rsid w:val="00B46575"/>
    <w:rsid w:val="00B4798F"/>
    <w:rsid w:val="00B6039B"/>
    <w:rsid w:val="00B61777"/>
    <w:rsid w:val="00B62C74"/>
    <w:rsid w:val="00B62F4B"/>
    <w:rsid w:val="00B63287"/>
    <w:rsid w:val="00B6341B"/>
    <w:rsid w:val="00B648FF"/>
    <w:rsid w:val="00B65AAB"/>
    <w:rsid w:val="00B72F0E"/>
    <w:rsid w:val="00B74426"/>
    <w:rsid w:val="00B7795D"/>
    <w:rsid w:val="00B84BBD"/>
    <w:rsid w:val="00B86478"/>
    <w:rsid w:val="00B877EC"/>
    <w:rsid w:val="00B90435"/>
    <w:rsid w:val="00B92631"/>
    <w:rsid w:val="00B94F60"/>
    <w:rsid w:val="00B95263"/>
    <w:rsid w:val="00B953E2"/>
    <w:rsid w:val="00B95F23"/>
    <w:rsid w:val="00B9614C"/>
    <w:rsid w:val="00B975D4"/>
    <w:rsid w:val="00BA0D07"/>
    <w:rsid w:val="00BA2F9A"/>
    <w:rsid w:val="00BA43FB"/>
    <w:rsid w:val="00BA6CE5"/>
    <w:rsid w:val="00BB0B20"/>
    <w:rsid w:val="00BB4654"/>
    <w:rsid w:val="00BB59C5"/>
    <w:rsid w:val="00BB66B2"/>
    <w:rsid w:val="00BC127D"/>
    <w:rsid w:val="00BC14C9"/>
    <w:rsid w:val="00BC1FE6"/>
    <w:rsid w:val="00BE5E74"/>
    <w:rsid w:val="00BF6D70"/>
    <w:rsid w:val="00BF7907"/>
    <w:rsid w:val="00C002E1"/>
    <w:rsid w:val="00C0502E"/>
    <w:rsid w:val="00C061B6"/>
    <w:rsid w:val="00C10585"/>
    <w:rsid w:val="00C11792"/>
    <w:rsid w:val="00C1402E"/>
    <w:rsid w:val="00C1477A"/>
    <w:rsid w:val="00C172D7"/>
    <w:rsid w:val="00C202F1"/>
    <w:rsid w:val="00C2446C"/>
    <w:rsid w:val="00C31550"/>
    <w:rsid w:val="00C34031"/>
    <w:rsid w:val="00C3481C"/>
    <w:rsid w:val="00C355C3"/>
    <w:rsid w:val="00C36AE5"/>
    <w:rsid w:val="00C410EE"/>
    <w:rsid w:val="00C41F17"/>
    <w:rsid w:val="00C52308"/>
    <w:rsid w:val="00C524ED"/>
    <w:rsid w:val="00C527FA"/>
    <w:rsid w:val="00C5280D"/>
    <w:rsid w:val="00C53EB3"/>
    <w:rsid w:val="00C55072"/>
    <w:rsid w:val="00C5791C"/>
    <w:rsid w:val="00C62A6C"/>
    <w:rsid w:val="00C63751"/>
    <w:rsid w:val="00C63CA0"/>
    <w:rsid w:val="00C66290"/>
    <w:rsid w:val="00C72B7A"/>
    <w:rsid w:val="00C76E70"/>
    <w:rsid w:val="00C7769F"/>
    <w:rsid w:val="00C82C6F"/>
    <w:rsid w:val="00C91841"/>
    <w:rsid w:val="00C938E2"/>
    <w:rsid w:val="00C93F45"/>
    <w:rsid w:val="00C96B27"/>
    <w:rsid w:val="00C973F2"/>
    <w:rsid w:val="00CA304C"/>
    <w:rsid w:val="00CA39F9"/>
    <w:rsid w:val="00CA721C"/>
    <w:rsid w:val="00CA774A"/>
    <w:rsid w:val="00CB0E4D"/>
    <w:rsid w:val="00CB384A"/>
    <w:rsid w:val="00CB6129"/>
    <w:rsid w:val="00CB67FE"/>
    <w:rsid w:val="00CC11B0"/>
    <w:rsid w:val="00CC1CD1"/>
    <w:rsid w:val="00CC2841"/>
    <w:rsid w:val="00CC365D"/>
    <w:rsid w:val="00CC3F70"/>
    <w:rsid w:val="00CC4555"/>
    <w:rsid w:val="00CD3DDA"/>
    <w:rsid w:val="00CD7D26"/>
    <w:rsid w:val="00CE74E4"/>
    <w:rsid w:val="00CF1330"/>
    <w:rsid w:val="00CF2201"/>
    <w:rsid w:val="00CF3BB8"/>
    <w:rsid w:val="00CF6E3F"/>
    <w:rsid w:val="00CF7E36"/>
    <w:rsid w:val="00D04FFA"/>
    <w:rsid w:val="00D06278"/>
    <w:rsid w:val="00D1003D"/>
    <w:rsid w:val="00D16F25"/>
    <w:rsid w:val="00D1762F"/>
    <w:rsid w:val="00D27F3D"/>
    <w:rsid w:val="00D32A63"/>
    <w:rsid w:val="00D33AF4"/>
    <w:rsid w:val="00D345B7"/>
    <w:rsid w:val="00D3708D"/>
    <w:rsid w:val="00D37582"/>
    <w:rsid w:val="00D40426"/>
    <w:rsid w:val="00D46E93"/>
    <w:rsid w:val="00D4790B"/>
    <w:rsid w:val="00D5253F"/>
    <w:rsid w:val="00D5352B"/>
    <w:rsid w:val="00D54AE2"/>
    <w:rsid w:val="00D57C96"/>
    <w:rsid w:val="00D57D18"/>
    <w:rsid w:val="00D6359E"/>
    <w:rsid w:val="00D72113"/>
    <w:rsid w:val="00D8075E"/>
    <w:rsid w:val="00D91203"/>
    <w:rsid w:val="00D93933"/>
    <w:rsid w:val="00D95174"/>
    <w:rsid w:val="00D95706"/>
    <w:rsid w:val="00D95ABF"/>
    <w:rsid w:val="00D96442"/>
    <w:rsid w:val="00DA4973"/>
    <w:rsid w:val="00DA6F36"/>
    <w:rsid w:val="00DB1BE7"/>
    <w:rsid w:val="00DB2EB5"/>
    <w:rsid w:val="00DB393A"/>
    <w:rsid w:val="00DB596E"/>
    <w:rsid w:val="00DB5B67"/>
    <w:rsid w:val="00DB7160"/>
    <w:rsid w:val="00DB7773"/>
    <w:rsid w:val="00DC00EA"/>
    <w:rsid w:val="00DC0FBA"/>
    <w:rsid w:val="00DC20F2"/>
    <w:rsid w:val="00DC3802"/>
    <w:rsid w:val="00DC442B"/>
    <w:rsid w:val="00DC628C"/>
    <w:rsid w:val="00DD492A"/>
    <w:rsid w:val="00DD5428"/>
    <w:rsid w:val="00DD6824"/>
    <w:rsid w:val="00DE21A5"/>
    <w:rsid w:val="00DE4190"/>
    <w:rsid w:val="00DF4AD4"/>
    <w:rsid w:val="00E003B3"/>
    <w:rsid w:val="00E03132"/>
    <w:rsid w:val="00E03651"/>
    <w:rsid w:val="00E07D87"/>
    <w:rsid w:val="00E11A1F"/>
    <w:rsid w:val="00E12131"/>
    <w:rsid w:val="00E124B9"/>
    <w:rsid w:val="00E13912"/>
    <w:rsid w:val="00E16192"/>
    <w:rsid w:val="00E21577"/>
    <w:rsid w:val="00E263F6"/>
    <w:rsid w:val="00E26FDC"/>
    <w:rsid w:val="00E32F7E"/>
    <w:rsid w:val="00E3612A"/>
    <w:rsid w:val="00E36A84"/>
    <w:rsid w:val="00E46CD0"/>
    <w:rsid w:val="00E46D25"/>
    <w:rsid w:val="00E47862"/>
    <w:rsid w:val="00E509EC"/>
    <w:rsid w:val="00E50CF6"/>
    <w:rsid w:val="00E51CCC"/>
    <w:rsid w:val="00E5267B"/>
    <w:rsid w:val="00E57348"/>
    <w:rsid w:val="00E57FD3"/>
    <w:rsid w:val="00E63C0E"/>
    <w:rsid w:val="00E65C2F"/>
    <w:rsid w:val="00E706AE"/>
    <w:rsid w:val="00E71132"/>
    <w:rsid w:val="00E71B18"/>
    <w:rsid w:val="00E72D49"/>
    <w:rsid w:val="00E7593C"/>
    <w:rsid w:val="00E76718"/>
    <w:rsid w:val="00E7678A"/>
    <w:rsid w:val="00E80C9B"/>
    <w:rsid w:val="00E81195"/>
    <w:rsid w:val="00E826FD"/>
    <w:rsid w:val="00E84C91"/>
    <w:rsid w:val="00E8643C"/>
    <w:rsid w:val="00E92BAD"/>
    <w:rsid w:val="00E935F1"/>
    <w:rsid w:val="00E93E51"/>
    <w:rsid w:val="00E94754"/>
    <w:rsid w:val="00E94A81"/>
    <w:rsid w:val="00E97449"/>
    <w:rsid w:val="00EA03C7"/>
    <w:rsid w:val="00EA1FFB"/>
    <w:rsid w:val="00EB048E"/>
    <w:rsid w:val="00EB0CF0"/>
    <w:rsid w:val="00EB4E9C"/>
    <w:rsid w:val="00EB505D"/>
    <w:rsid w:val="00EB60D0"/>
    <w:rsid w:val="00EC762E"/>
    <w:rsid w:val="00EC7978"/>
    <w:rsid w:val="00EE069A"/>
    <w:rsid w:val="00EE2C30"/>
    <w:rsid w:val="00EE34DF"/>
    <w:rsid w:val="00EE70DB"/>
    <w:rsid w:val="00EF072B"/>
    <w:rsid w:val="00EF0E75"/>
    <w:rsid w:val="00EF2F89"/>
    <w:rsid w:val="00EF4A24"/>
    <w:rsid w:val="00F03E98"/>
    <w:rsid w:val="00F06A1F"/>
    <w:rsid w:val="00F1237A"/>
    <w:rsid w:val="00F13F07"/>
    <w:rsid w:val="00F21173"/>
    <w:rsid w:val="00F218DB"/>
    <w:rsid w:val="00F22CBD"/>
    <w:rsid w:val="00F272F1"/>
    <w:rsid w:val="00F27DE9"/>
    <w:rsid w:val="00F31323"/>
    <w:rsid w:val="00F354DC"/>
    <w:rsid w:val="00F411F1"/>
    <w:rsid w:val="00F422E0"/>
    <w:rsid w:val="00F4332B"/>
    <w:rsid w:val="00F45372"/>
    <w:rsid w:val="00F560F7"/>
    <w:rsid w:val="00F571E7"/>
    <w:rsid w:val="00F575DF"/>
    <w:rsid w:val="00F57885"/>
    <w:rsid w:val="00F57A3C"/>
    <w:rsid w:val="00F6334D"/>
    <w:rsid w:val="00F63599"/>
    <w:rsid w:val="00F64431"/>
    <w:rsid w:val="00F7549D"/>
    <w:rsid w:val="00F77378"/>
    <w:rsid w:val="00F81DEF"/>
    <w:rsid w:val="00F86576"/>
    <w:rsid w:val="00F945E5"/>
    <w:rsid w:val="00F95127"/>
    <w:rsid w:val="00FA0156"/>
    <w:rsid w:val="00FA2A93"/>
    <w:rsid w:val="00FA49AB"/>
    <w:rsid w:val="00FA5CA4"/>
    <w:rsid w:val="00FB4B35"/>
    <w:rsid w:val="00FC1E27"/>
    <w:rsid w:val="00FC2ECA"/>
    <w:rsid w:val="00FC65D1"/>
    <w:rsid w:val="00FD0E96"/>
    <w:rsid w:val="00FD2595"/>
    <w:rsid w:val="00FE2C79"/>
    <w:rsid w:val="00FE39C7"/>
    <w:rsid w:val="00FE584B"/>
    <w:rsid w:val="00FF15EE"/>
    <w:rsid w:val="00FF16F1"/>
    <w:rsid w:val="00FF4D07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10558BD-C666-4ECD-8C01-13FD7937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0" w:qFormat="1"/>
    <w:lsdException w:name="heading 2" w:uiPriority="11" w:qFormat="1"/>
    <w:lsdException w:name="heading 3" w:uiPriority="12" w:qFormat="1"/>
    <w:lsdException w:name="heading 4" w:uiPriority="13" w:qFormat="1"/>
    <w:lsdException w:name="heading 5" w:uiPriority="1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Heading2"/>
    <w:link w:val="Heading1Char"/>
    <w:uiPriority w:val="10"/>
    <w:qFormat/>
    <w:rsid w:val="00E124B9"/>
    <w:pPr>
      <w:keepNext/>
      <w:pageBreakBefore/>
      <w:numPr>
        <w:numId w:val="2"/>
      </w:numPr>
      <w:spacing w:after="1020" w:line="560" w:lineRule="exact"/>
      <w:outlineLvl w:val="0"/>
    </w:pPr>
    <w:rPr>
      <w:rFonts w:ascii="Arial" w:hAnsi="Arial" w:cs="HelveticaNeue-Light"/>
      <w:color w:val="000000"/>
      <w:spacing w:val="-6"/>
      <w:sz w:val="48"/>
      <w:szCs w:val="56"/>
      <w:lang w:val="en-GB"/>
    </w:rPr>
  </w:style>
  <w:style w:type="paragraph" w:styleId="Heading2">
    <w:name w:val="heading 2"/>
    <w:next w:val="Heading3"/>
    <w:link w:val="Heading2Char"/>
    <w:uiPriority w:val="11"/>
    <w:qFormat/>
    <w:rsid w:val="00E124B9"/>
    <w:pPr>
      <w:keepNext/>
      <w:keepLines/>
      <w:widowControl w:val="0"/>
      <w:adjustRightInd w:val="0"/>
      <w:spacing w:before="120" w:after="110" w:line="420" w:lineRule="exact"/>
      <w:textAlignment w:val="baseline"/>
      <w:outlineLvl w:val="1"/>
    </w:pPr>
    <w:rPr>
      <w:rFonts w:ascii="Arial" w:hAnsi="Arial" w:cs="Arial"/>
      <w:color w:val="000000"/>
      <w:sz w:val="36"/>
      <w:szCs w:val="70"/>
      <w:lang w:val="en-GB"/>
    </w:rPr>
  </w:style>
  <w:style w:type="paragraph" w:styleId="Heading3">
    <w:name w:val="heading 3"/>
    <w:next w:val="BodyText"/>
    <w:link w:val="Heading3Char"/>
    <w:uiPriority w:val="12"/>
    <w:qFormat/>
    <w:rsid w:val="00E124B9"/>
    <w:pPr>
      <w:keepNext/>
      <w:keepLines/>
      <w:widowControl w:val="0"/>
      <w:adjustRightInd w:val="0"/>
      <w:spacing w:before="160" w:after="84" w:line="300" w:lineRule="exact"/>
      <w:textAlignment w:val="baseline"/>
      <w:outlineLvl w:val="2"/>
    </w:pPr>
    <w:rPr>
      <w:rFonts w:ascii="Arial" w:hAnsi="Arial" w:cs="Arial"/>
      <w:b/>
      <w:color w:val="000000"/>
      <w:sz w:val="24"/>
      <w:szCs w:val="44"/>
      <w:lang w:val="en-GB"/>
    </w:rPr>
  </w:style>
  <w:style w:type="paragraph" w:styleId="Heading4">
    <w:name w:val="heading 4"/>
    <w:basedOn w:val="Normal"/>
    <w:next w:val="Normal"/>
    <w:link w:val="Heading4Char"/>
    <w:uiPriority w:val="13"/>
    <w:qFormat/>
    <w:rsid w:val="00E124B9"/>
    <w:pPr>
      <w:keepNext/>
      <w:keepLines/>
      <w:spacing w:before="60" w:after="170" w:line="300" w:lineRule="exact"/>
      <w:jc w:val="left"/>
      <w:outlineLvl w:val="3"/>
    </w:pPr>
    <w:rPr>
      <w:rFonts w:eastAsiaTheme="minorHAnsi" w:cstheme="minorBidi"/>
      <w:color w:val="000000"/>
      <w:sz w:val="24"/>
      <w:lang w:val="en-GB"/>
    </w:rPr>
  </w:style>
  <w:style w:type="paragraph" w:styleId="Heading5">
    <w:name w:val="heading 5"/>
    <w:basedOn w:val="Normal"/>
    <w:next w:val="Normal"/>
    <w:link w:val="Heading5Char"/>
    <w:uiPriority w:val="14"/>
    <w:qFormat/>
    <w:rsid w:val="00E124B9"/>
    <w:pPr>
      <w:keepNext/>
      <w:spacing w:before="60" w:after="170" w:line="240" w:lineRule="exact"/>
      <w:jc w:val="left"/>
      <w:outlineLvl w:val="4"/>
    </w:pPr>
    <w:rPr>
      <w:rFonts w:eastAsiaTheme="minorHAnsi" w:cstheme="minorBidi"/>
      <w:b/>
      <w:bCs/>
      <w:iCs/>
      <w:szCs w:val="26"/>
      <w:lang w:val="en-GB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qFormat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aliases w:val="FR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qFormat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uiPriority w:val="39"/>
    <w:rsid w:val="00E124B9"/>
    <w:pPr>
      <w:tabs>
        <w:tab w:val="right" w:pos="7740"/>
      </w:tabs>
      <w:spacing w:before="120"/>
      <w:ind w:right="663"/>
    </w:pPr>
    <w:rPr>
      <w:rFonts w:ascii="Arial" w:hAnsi="Arial"/>
      <w:noProof/>
      <w:color w:val="000000"/>
      <w:sz w:val="22"/>
      <w:lang w:val="en-GB"/>
    </w:rPr>
  </w:style>
  <w:style w:type="paragraph" w:styleId="TOC3">
    <w:name w:val="toc 3"/>
    <w:basedOn w:val="Normal"/>
    <w:next w:val="Normal"/>
    <w:uiPriority w:val="39"/>
    <w:rsid w:val="00E124B9"/>
    <w:pPr>
      <w:tabs>
        <w:tab w:val="right" w:pos="7740"/>
      </w:tabs>
      <w:spacing w:before="120" w:after="170" w:line="280" w:lineRule="atLeast"/>
      <w:ind w:right="663"/>
      <w:jc w:val="left"/>
    </w:pPr>
    <w:rPr>
      <w:rFonts w:eastAsiaTheme="minorHAnsi" w:cstheme="minorBidi"/>
      <w:b/>
      <w:noProof/>
      <w:sz w:val="22"/>
      <w:lang w:val="en-GB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TOAHeading"/>
    <w:next w:val="Normal"/>
    <w:uiPriority w:val="39"/>
    <w:rsid w:val="00E124B9"/>
    <w:pPr>
      <w:tabs>
        <w:tab w:val="right" w:pos="7740"/>
      </w:tabs>
      <w:spacing w:after="170" w:line="280" w:lineRule="atLeast"/>
      <w:ind w:right="662"/>
      <w:jc w:val="left"/>
    </w:pPr>
    <w:rPr>
      <w:rFonts w:ascii="Arial" w:eastAsia="Times New Roman" w:hAnsi="Arial" w:cs="Times New Roman"/>
      <w:noProof/>
      <w:color w:val="000000"/>
      <w:sz w:val="22"/>
      <w:szCs w:val="20"/>
      <w:lang w:val="en-GB"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zzDoNotRemove">
    <w:name w:val="zz Do Not Remove"/>
    <w:basedOn w:val="Normal"/>
    <w:semiHidden/>
    <w:rsid w:val="00E124B9"/>
    <w:pPr>
      <w:pBdr>
        <w:top w:val="single" w:sz="4" w:space="9" w:color="auto"/>
      </w:pBdr>
      <w:spacing w:after="170" w:line="320" w:lineRule="exact"/>
      <w:jc w:val="left"/>
    </w:pPr>
    <w:rPr>
      <w:rFonts w:eastAsiaTheme="minorHAnsi" w:cstheme="minorBidi"/>
      <w:lang w:val="en-GB"/>
    </w:rPr>
  </w:style>
  <w:style w:type="paragraph" w:customStyle="1" w:styleId="zzContentsHeader">
    <w:name w:val="zz  Contents Header"/>
    <w:semiHidden/>
    <w:rsid w:val="00E124B9"/>
    <w:pPr>
      <w:pageBreakBefore/>
      <w:widowControl w:val="0"/>
      <w:adjustRightInd w:val="0"/>
      <w:spacing w:after="480" w:line="360" w:lineRule="atLeast"/>
      <w:jc w:val="both"/>
      <w:textAlignment w:val="baseline"/>
    </w:pPr>
    <w:rPr>
      <w:rFonts w:ascii="Arial" w:hAnsi="Arial" w:cs="HelveticaNeue-Light"/>
      <w:color w:val="000000"/>
      <w:spacing w:val="-6"/>
      <w:sz w:val="48"/>
      <w:szCs w:val="56"/>
      <w:lang w:val="en-GB"/>
    </w:rPr>
  </w:style>
  <w:style w:type="paragraph" w:customStyle="1" w:styleId="zzDocType">
    <w:name w:val="zzDocType"/>
    <w:basedOn w:val="Normal"/>
    <w:semiHidden/>
    <w:rsid w:val="00E124B9"/>
    <w:pPr>
      <w:spacing w:before="120" w:after="170" w:line="240" w:lineRule="exact"/>
      <w:jc w:val="left"/>
    </w:pPr>
    <w:rPr>
      <w:rFonts w:ascii="Arial Bold" w:eastAsiaTheme="minorHAnsi" w:hAnsi="Arial Bold" w:cstheme="minorBidi"/>
      <w:b/>
      <w:caps/>
      <w:lang w:val="en-GB"/>
    </w:rPr>
  </w:style>
  <w:style w:type="paragraph" w:customStyle="1" w:styleId="zzReporttitle">
    <w:name w:val="zz Report title"/>
    <w:basedOn w:val="Normal"/>
    <w:semiHidden/>
    <w:rsid w:val="00E124B9"/>
    <w:pPr>
      <w:keepNext/>
      <w:spacing w:before="200" w:after="200" w:line="560" w:lineRule="exact"/>
      <w:jc w:val="left"/>
    </w:pPr>
    <w:rPr>
      <w:rFonts w:eastAsiaTheme="minorHAnsi" w:cs="HelveticaNeue-Light"/>
      <w:color w:val="000000"/>
      <w:spacing w:val="-6"/>
      <w:sz w:val="48"/>
      <w:szCs w:val="56"/>
      <w:lang w:val="en-GB"/>
    </w:rPr>
  </w:style>
  <w:style w:type="paragraph" w:customStyle="1" w:styleId="zzDepartmentname">
    <w:name w:val="zz Department name"/>
    <w:semiHidden/>
    <w:rsid w:val="00E124B9"/>
    <w:rPr>
      <w:rFonts w:ascii="Arial" w:hAnsi="Arial" w:cs="Arial"/>
      <w:b/>
      <w:position w:val="-36"/>
      <w:sz w:val="28"/>
      <w:szCs w:val="28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124B9"/>
    <w:rPr>
      <w:rFonts w:ascii="Arial" w:hAnsi="Arial"/>
    </w:rPr>
  </w:style>
  <w:style w:type="paragraph" w:customStyle="1" w:styleId="Mission">
    <w:name w:val="Mission"/>
    <w:basedOn w:val="BodyText"/>
    <w:semiHidden/>
    <w:qFormat/>
    <w:rsid w:val="00E124B9"/>
    <w:pPr>
      <w:tabs>
        <w:tab w:val="left" w:pos="454"/>
      </w:tabs>
      <w:spacing w:line="280" w:lineRule="atLeast"/>
      <w:jc w:val="left"/>
    </w:pPr>
    <w:rPr>
      <w:rFonts w:eastAsiaTheme="minorHAnsi" w:cstheme="minorBidi"/>
      <w:sz w:val="36"/>
      <w:szCs w:val="36"/>
      <w:lang w:val="en-GB"/>
    </w:rPr>
  </w:style>
  <w:style w:type="paragraph" w:customStyle="1" w:styleId="Appendix">
    <w:name w:val="Appendix"/>
    <w:next w:val="Heading2"/>
    <w:uiPriority w:val="15"/>
    <w:qFormat/>
    <w:rsid w:val="00E124B9"/>
    <w:pPr>
      <w:pageBreakBefore/>
      <w:numPr>
        <w:numId w:val="1"/>
      </w:numPr>
      <w:spacing w:after="1020" w:line="560" w:lineRule="atLeast"/>
      <w:outlineLvl w:val="2"/>
    </w:pPr>
    <w:rPr>
      <w:rFonts w:ascii="Arial" w:hAnsi="Arial" w:cs="HelveticaNeue-Light"/>
      <w:color w:val="000000"/>
      <w:spacing w:val="-6"/>
      <w:sz w:val="48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10"/>
    <w:rsid w:val="00E124B9"/>
    <w:rPr>
      <w:rFonts w:ascii="Arial" w:hAnsi="Arial" w:cs="HelveticaNeue-Light"/>
      <w:color w:val="000000"/>
      <w:spacing w:val="-6"/>
      <w:sz w:val="48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1"/>
    <w:rsid w:val="00E124B9"/>
    <w:rPr>
      <w:rFonts w:ascii="Arial" w:hAnsi="Arial" w:cs="Arial"/>
      <w:color w:val="000000"/>
      <w:sz w:val="36"/>
      <w:szCs w:val="70"/>
      <w:lang w:val="en-GB"/>
    </w:rPr>
  </w:style>
  <w:style w:type="character" w:customStyle="1" w:styleId="Heading3Char">
    <w:name w:val="Heading 3 Char"/>
    <w:basedOn w:val="DefaultParagraphFont"/>
    <w:link w:val="Heading3"/>
    <w:uiPriority w:val="12"/>
    <w:rsid w:val="00E124B9"/>
    <w:rPr>
      <w:rFonts w:ascii="Arial" w:hAnsi="Arial" w:cs="Arial"/>
      <w:b/>
      <w:color w:val="000000"/>
      <w:sz w:val="24"/>
      <w:szCs w:val="44"/>
      <w:lang w:val="en-GB"/>
    </w:rPr>
  </w:style>
  <w:style w:type="character" w:customStyle="1" w:styleId="Heading4Char">
    <w:name w:val="Heading 4 Char"/>
    <w:basedOn w:val="DefaultParagraphFont"/>
    <w:link w:val="Heading4"/>
    <w:uiPriority w:val="13"/>
    <w:rsid w:val="00E124B9"/>
    <w:rPr>
      <w:rFonts w:ascii="Arial" w:eastAsiaTheme="minorHAnsi" w:hAnsi="Arial" w:cstheme="minorBidi"/>
      <w:color w:val="000000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4"/>
    <w:rsid w:val="00E124B9"/>
    <w:rPr>
      <w:rFonts w:ascii="Arial" w:eastAsiaTheme="minorHAnsi" w:hAnsi="Arial" w:cstheme="minorBidi"/>
      <w:b/>
      <w:bCs/>
      <w:iCs/>
      <w:szCs w:val="26"/>
      <w:lang w:val="en-GB"/>
    </w:rPr>
  </w:style>
  <w:style w:type="paragraph" w:styleId="TOAHeading">
    <w:name w:val="toa heading"/>
    <w:basedOn w:val="Normal"/>
    <w:next w:val="Normal"/>
    <w:semiHidden/>
    <w:unhideWhenUsed/>
    <w:rsid w:val="00E124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Bold">
    <w:name w:val="Bold"/>
    <w:uiPriority w:val="3"/>
    <w:qFormat/>
    <w:rsid w:val="00E124B9"/>
    <w:rPr>
      <w:b/>
      <w:bCs/>
    </w:rPr>
  </w:style>
  <w:style w:type="paragraph" w:customStyle="1" w:styleId="Bulletalphabet">
    <w:name w:val="Bullet alphabet"/>
    <w:uiPriority w:val="7"/>
    <w:qFormat/>
    <w:rsid w:val="00E124B9"/>
    <w:pPr>
      <w:widowControl w:val="0"/>
      <w:tabs>
        <w:tab w:val="num" w:pos="454"/>
      </w:tabs>
      <w:adjustRightInd w:val="0"/>
      <w:spacing w:after="170" w:line="280" w:lineRule="atLeast"/>
      <w:ind w:left="454" w:hanging="454"/>
      <w:textAlignment w:val="baseline"/>
    </w:pPr>
    <w:rPr>
      <w:rFonts w:ascii="Arial" w:hAnsi="Arial" w:cs="Arial"/>
      <w:color w:val="000000"/>
      <w:lang w:val="en-GB"/>
    </w:rPr>
  </w:style>
  <w:style w:type="paragraph" w:customStyle="1" w:styleId="Number1">
    <w:name w:val="Number 1"/>
    <w:link w:val="Number1Char"/>
    <w:uiPriority w:val="2"/>
    <w:qFormat/>
    <w:rsid w:val="00D4790B"/>
    <w:pPr>
      <w:tabs>
        <w:tab w:val="left" w:pos="720"/>
      </w:tabs>
      <w:adjustRightInd w:val="0"/>
      <w:spacing w:before="120" w:after="170" w:line="280" w:lineRule="atLeast"/>
      <w:textAlignment w:val="baseline"/>
    </w:pPr>
    <w:rPr>
      <w:rFonts w:ascii="Arial" w:hAnsi="Arial" w:cs="Arial"/>
      <w:color w:val="000000"/>
      <w:szCs w:val="24"/>
      <w:lang w:val="en-GB"/>
    </w:rPr>
  </w:style>
  <w:style w:type="character" w:customStyle="1" w:styleId="Number1Char">
    <w:name w:val="Number 1 Char"/>
    <w:link w:val="Number1"/>
    <w:uiPriority w:val="2"/>
    <w:rsid w:val="00D4790B"/>
    <w:rPr>
      <w:rFonts w:ascii="Arial" w:hAnsi="Arial" w:cs="Arial"/>
      <w:color w:val="000000"/>
      <w:szCs w:val="24"/>
      <w:lang w:val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E124B9"/>
    <w:pPr>
      <w:spacing w:before="40" w:after="40" w:line="220" w:lineRule="exact"/>
      <w:jc w:val="left"/>
    </w:pPr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ColumnHeading">
    <w:name w:val="Column Heading"/>
    <w:basedOn w:val="Normal"/>
    <w:uiPriority w:val="19"/>
    <w:qFormat/>
    <w:rsid w:val="00E124B9"/>
    <w:pPr>
      <w:spacing w:before="120" w:after="170" w:line="240" w:lineRule="atLeast"/>
      <w:jc w:val="left"/>
    </w:pPr>
    <w:rPr>
      <w:rFonts w:eastAsiaTheme="minorHAnsi" w:cstheme="minorBidi"/>
      <w:b/>
      <w:color w:val="000000"/>
      <w:sz w:val="16"/>
      <w:szCs w:val="16"/>
      <w:lang w:val="en-GB"/>
    </w:rPr>
  </w:style>
  <w:style w:type="character" w:customStyle="1" w:styleId="FiguretextChar">
    <w:name w:val="Figure text Char"/>
    <w:link w:val="Figuretext"/>
    <w:uiPriority w:val="20"/>
    <w:rsid w:val="00E124B9"/>
    <w:rPr>
      <w:rFonts w:ascii="Arial" w:eastAsiaTheme="minorHAnsi" w:hAnsi="Arial" w:cstheme="minorBidi"/>
      <w:color w:val="000000"/>
      <w:sz w:val="16"/>
      <w:szCs w:val="16"/>
      <w:lang w:val="en-GB"/>
    </w:rPr>
  </w:style>
  <w:style w:type="table" w:customStyle="1" w:styleId="NAOTable">
    <w:name w:val="NAO Table"/>
    <w:basedOn w:val="TableNormal"/>
    <w:rsid w:val="00E124B9"/>
    <w:pPr>
      <w:spacing w:before="40" w:after="40" w:line="220" w:lineRule="atLeast"/>
    </w:pPr>
    <w:rPr>
      <w:rFonts w:ascii="Arial" w:hAnsi="Arial"/>
      <w:color w:val="000000"/>
      <w:sz w:val="16"/>
      <w:lang w:val="en-GB"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Autospacing="0" w:afterLines="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rsid w:val="00E124B9"/>
    <w:rPr>
      <w:rFonts w:ascii="Arial" w:hAnsi="Arial"/>
      <w:sz w:val="16"/>
    </w:rPr>
  </w:style>
  <w:style w:type="paragraph" w:customStyle="1" w:styleId="Bullet">
    <w:name w:val="Bullet"/>
    <w:uiPriority w:val="5"/>
    <w:qFormat/>
    <w:rsid w:val="00D4790B"/>
    <w:pPr>
      <w:widowControl w:val="0"/>
      <w:numPr>
        <w:numId w:val="4"/>
      </w:numPr>
      <w:adjustRightInd w:val="0"/>
      <w:spacing w:after="170" w:line="280" w:lineRule="exact"/>
      <w:textAlignment w:val="baseline"/>
    </w:pPr>
    <w:rPr>
      <w:rFonts w:ascii="Arial" w:hAnsi="Arial" w:cs="Arial"/>
      <w:color w:val="000000"/>
      <w:lang w:val="en-GB"/>
    </w:rPr>
  </w:style>
  <w:style w:type="paragraph" w:customStyle="1" w:styleId="Bulletsecondary">
    <w:name w:val="Bullet secondary"/>
    <w:uiPriority w:val="6"/>
    <w:qFormat/>
    <w:rsid w:val="00D4790B"/>
    <w:pPr>
      <w:widowControl w:val="0"/>
      <w:numPr>
        <w:ilvl w:val="1"/>
        <w:numId w:val="4"/>
      </w:numPr>
      <w:adjustRightInd w:val="0"/>
      <w:spacing w:after="170" w:line="280" w:lineRule="exact"/>
      <w:textAlignment w:val="baseline"/>
    </w:pPr>
    <w:rPr>
      <w:rFonts w:ascii="Arial" w:hAnsi="Arial" w:cs="Arial"/>
      <w:color w:val="000000"/>
      <w:lang w:val="en-GB"/>
    </w:rPr>
  </w:style>
  <w:style w:type="character" w:customStyle="1" w:styleId="HeaderChar">
    <w:name w:val="Header Char"/>
    <w:basedOn w:val="DefaultParagraphFont"/>
    <w:link w:val="Header"/>
    <w:rsid w:val="00D4790B"/>
    <w:rPr>
      <w:rFonts w:ascii="Arial" w:hAnsi="Arial"/>
      <w:lang w:val="fr-FR"/>
    </w:rPr>
  </w:style>
  <w:style w:type="numbering" w:customStyle="1" w:styleId="NAOBullets">
    <w:name w:val="NAO_Bullets"/>
    <w:basedOn w:val="NoList"/>
    <w:uiPriority w:val="99"/>
    <w:rsid w:val="00D4790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3\templates\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C9CB0-90CE-4E8C-9A5D-4B855744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c_53_EN.dotx</Template>
  <TotalTime>71</TotalTime>
  <Pages>15</Pages>
  <Words>5513</Words>
  <Characters>29605</Characters>
  <Application>Microsoft Office Word</Application>
  <DocSecurity>0</DocSecurity>
  <Lines>592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C/53/6</vt:lpstr>
    </vt:vector>
  </TitlesOfParts>
  <Company>UPOV</Company>
  <LinksUpToDate>false</LinksUpToDate>
  <CharactersWithSpaces>34912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C/53/6</dc:title>
  <dc:creator>SANCHEZ VIZCAINO GOMEZ Rosa Maria</dc:creator>
  <cp:lastModifiedBy>SANCHEZ VIZCAINO GOMEZ Rosa Maria</cp:lastModifiedBy>
  <cp:revision>34</cp:revision>
  <cp:lastPrinted>2019-08-06T12:06:00Z</cp:lastPrinted>
  <dcterms:created xsi:type="dcterms:W3CDTF">2019-07-21T15:47:00Z</dcterms:created>
  <dcterms:modified xsi:type="dcterms:W3CDTF">2019-08-06T12:06:00Z</dcterms:modified>
</cp:coreProperties>
</file>