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80842" w:rsidTr="00EB4E9C">
        <w:tc>
          <w:tcPr>
            <w:tcW w:w="6522" w:type="dxa"/>
          </w:tcPr>
          <w:p w:rsidR="00DC3802" w:rsidRPr="00680842" w:rsidRDefault="00DC3802" w:rsidP="00AC2883">
            <w:pPr>
              <w:rPr>
                <w:dstrike/>
              </w:rPr>
            </w:pPr>
            <w:r w:rsidRPr="00F109E2">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109E2" w:rsidRDefault="00680842" w:rsidP="00AC2883">
            <w:pPr>
              <w:pStyle w:val="Lettrine"/>
            </w:pPr>
            <w:r w:rsidRPr="00F109E2">
              <w:t>S</w:t>
            </w:r>
          </w:p>
        </w:tc>
      </w:tr>
      <w:tr w:rsidR="00DC3802" w:rsidRPr="00B24DA2" w:rsidTr="0058399C">
        <w:trPr>
          <w:trHeight w:val="219"/>
        </w:trPr>
        <w:tc>
          <w:tcPr>
            <w:tcW w:w="6522" w:type="dxa"/>
          </w:tcPr>
          <w:p w:rsidR="00DC3802" w:rsidRPr="00B24DA2" w:rsidRDefault="00FF75FE" w:rsidP="00F109E2">
            <w:pPr>
              <w:pStyle w:val="upove"/>
              <w:rPr>
                <w:lang w:val="es-ES"/>
              </w:rPr>
            </w:pPr>
            <w:r w:rsidRPr="0058399C">
              <w:t>Unión Internacional para la Protección de las Obtenciones Vegetales</w:t>
            </w:r>
          </w:p>
        </w:tc>
        <w:tc>
          <w:tcPr>
            <w:tcW w:w="3117" w:type="dxa"/>
          </w:tcPr>
          <w:p w:rsidR="00DC3802" w:rsidRPr="00B24DA2" w:rsidRDefault="00DC3802" w:rsidP="00DA4973">
            <w:pPr>
              <w:rPr>
                <w:lang w:val="es-ES"/>
              </w:rPr>
            </w:pPr>
          </w:p>
        </w:tc>
      </w:tr>
    </w:tbl>
    <w:p w:rsidR="00DC3802" w:rsidRPr="00B24DA2" w:rsidRDefault="00DC3802" w:rsidP="00DC3802">
      <w:pPr>
        <w:rPr>
          <w:lang w:val="es-ES"/>
        </w:rPr>
      </w:pPr>
    </w:p>
    <w:p w:rsidR="00DA4973" w:rsidRPr="00B24DA2"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24DA2" w:rsidTr="00EB4E9C">
        <w:tc>
          <w:tcPr>
            <w:tcW w:w="6512" w:type="dxa"/>
          </w:tcPr>
          <w:p w:rsidR="00EB4E9C" w:rsidRPr="006D7C02" w:rsidRDefault="000B6E51" w:rsidP="00AC2883">
            <w:pPr>
              <w:pStyle w:val="Sessiontc"/>
              <w:spacing w:line="240" w:lineRule="auto"/>
              <w:rPr>
                <w:lang w:val="es-ES"/>
              </w:rPr>
            </w:pPr>
            <w:r w:rsidRPr="006D7C02">
              <w:t>Consejo</w:t>
            </w:r>
          </w:p>
          <w:p w:rsidR="00EB4E9C" w:rsidRPr="006D7C02" w:rsidRDefault="007E77AB" w:rsidP="00F109E2">
            <w:pPr>
              <w:pStyle w:val="Sessiontcplacedate"/>
              <w:rPr>
                <w:sz w:val="22"/>
                <w:lang w:val="es-ES"/>
              </w:rPr>
            </w:pPr>
            <w:r w:rsidRPr="006D7C02">
              <w:t>Quincuagésima tercera sesión ordinaria</w:t>
            </w:r>
            <w:r w:rsidR="00EB4E9C" w:rsidRPr="006D7C02">
              <w:rPr>
                <w:lang w:val="es-ES"/>
              </w:rPr>
              <w:br/>
            </w:r>
            <w:r w:rsidRPr="006D7C02">
              <w:t>Ginebra, 1 de noviembre de</w:t>
            </w:r>
            <w:r w:rsidR="00FE1638" w:rsidRPr="006D7C02">
              <w:t xml:space="preserve"> </w:t>
            </w:r>
            <w:r w:rsidRPr="006D7C02">
              <w:t>2019</w:t>
            </w:r>
          </w:p>
        </w:tc>
        <w:tc>
          <w:tcPr>
            <w:tcW w:w="3127" w:type="dxa"/>
          </w:tcPr>
          <w:p w:rsidR="00EB4E9C" w:rsidRPr="006D7C02" w:rsidRDefault="00782255" w:rsidP="003C7FBE">
            <w:pPr>
              <w:pStyle w:val="Doccode"/>
              <w:rPr>
                <w:lang w:val="es-ES"/>
              </w:rPr>
            </w:pPr>
            <w:r w:rsidRPr="006D7C02">
              <w:rPr>
                <w:lang w:val="es-ES"/>
              </w:rPr>
              <w:t>C</w:t>
            </w:r>
            <w:r w:rsidR="0030305D" w:rsidRPr="006D7C02">
              <w:rPr>
                <w:lang w:val="es-ES"/>
              </w:rPr>
              <w:t>/53/5</w:t>
            </w:r>
          </w:p>
          <w:p w:rsidR="00EB4E9C" w:rsidRPr="006D7C02" w:rsidRDefault="000B6E51" w:rsidP="0058399C">
            <w:pPr>
              <w:pStyle w:val="Docoriginal"/>
              <w:rPr>
                <w:lang w:val="es-ES"/>
              </w:rPr>
            </w:pPr>
            <w:r w:rsidRPr="006D7C02">
              <w:t>Original:</w:t>
            </w:r>
            <w:r w:rsidR="00680842" w:rsidRPr="006D7C02">
              <w:rPr>
                <w:b w:val="0"/>
                <w:spacing w:val="0"/>
                <w:lang w:val="es-ES"/>
              </w:rPr>
              <w:t xml:space="preserve"> </w:t>
            </w:r>
            <w:r w:rsidRPr="006D7C02">
              <w:rPr>
                <w:b w:val="0"/>
                <w:spacing w:val="0"/>
              </w:rPr>
              <w:t>Inglés</w:t>
            </w:r>
          </w:p>
          <w:p w:rsidR="00EB4E9C" w:rsidRPr="00B24DA2" w:rsidRDefault="000B6E51" w:rsidP="005A4517">
            <w:pPr>
              <w:pStyle w:val="Docoriginal"/>
              <w:rPr>
                <w:lang w:val="es-ES"/>
              </w:rPr>
            </w:pPr>
            <w:r w:rsidRPr="006D7C02">
              <w:t>Fecha:</w:t>
            </w:r>
            <w:r w:rsidR="00680842" w:rsidRPr="006D7C02">
              <w:rPr>
                <w:b w:val="0"/>
                <w:spacing w:val="0"/>
                <w:lang w:val="es-ES"/>
              </w:rPr>
              <w:t xml:space="preserve"> </w:t>
            </w:r>
            <w:r w:rsidR="005A4517">
              <w:rPr>
                <w:b w:val="0"/>
                <w:spacing w:val="0"/>
                <w:lang w:val="es-ES"/>
              </w:rPr>
              <w:t>5</w:t>
            </w:r>
            <w:bookmarkStart w:id="0" w:name="_GoBack"/>
            <w:bookmarkEnd w:id="0"/>
            <w:r w:rsidR="006D7C02" w:rsidRPr="006D7C02">
              <w:rPr>
                <w:b w:val="0"/>
                <w:spacing w:val="0"/>
              </w:rPr>
              <w:t xml:space="preserve"> </w:t>
            </w:r>
            <w:r w:rsidR="00FE1638" w:rsidRPr="006D7C02">
              <w:rPr>
                <w:b w:val="0"/>
                <w:spacing w:val="0"/>
              </w:rPr>
              <w:t xml:space="preserve">de </w:t>
            </w:r>
            <w:r w:rsidR="006D7C02" w:rsidRPr="006D7C02">
              <w:rPr>
                <w:b w:val="0"/>
                <w:spacing w:val="0"/>
              </w:rPr>
              <w:t xml:space="preserve">agosto </w:t>
            </w:r>
            <w:r w:rsidR="00FE1638" w:rsidRPr="006D7C02">
              <w:rPr>
                <w:b w:val="0"/>
                <w:spacing w:val="0"/>
              </w:rPr>
              <w:t xml:space="preserve">de </w:t>
            </w:r>
            <w:r w:rsidRPr="006D7C02">
              <w:rPr>
                <w:b w:val="0"/>
                <w:spacing w:val="0"/>
              </w:rPr>
              <w:t>2019</w:t>
            </w:r>
          </w:p>
        </w:tc>
      </w:tr>
    </w:tbl>
    <w:p w:rsidR="000D7780" w:rsidRPr="00B24DA2" w:rsidRDefault="000B6E51" w:rsidP="0058399C">
      <w:pPr>
        <w:pStyle w:val="Titleofdoc0"/>
        <w:rPr>
          <w:lang w:val="es-ES"/>
        </w:rPr>
      </w:pPr>
      <w:bookmarkStart w:id="1" w:name="TitleOfDoc"/>
      <w:bookmarkEnd w:id="1"/>
      <w:r w:rsidRPr="0058399C">
        <w:t>ESTADOS FINANCIEROS DE</w:t>
      </w:r>
      <w:r w:rsidR="00FE1638">
        <w:t xml:space="preserve"> </w:t>
      </w:r>
      <w:r w:rsidRPr="0058399C">
        <w:t>2018</w:t>
      </w:r>
    </w:p>
    <w:p w:rsidR="006A644A" w:rsidRPr="00B24DA2" w:rsidRDefault="000B6E51" w:rsidP="0058399C">
      <w:pPr>
        <w:pStyle w:val="preparedby1"/>
        <w:jc w:val="left"/>
        <w:rPr>
          <w:lang w:val="es-ES"/>
        </w:rPr>
      </w:pPr>
      <w:bookmarkStart w:id="2" w:name="Prepared"/>
      <w:bookmarkEnd w:id="2"/>
      <w:r w:rsidRPr="0058399C">
        <w:t>Documento preparado por la Oficina de la Unión</w:t>
      </w:r>
    </w:p>
    <w:p w:rsidR="00050E16" w:rsidRPr="00B24DA2" w:rsidRDefault="000B6E51" w:rsidP="0058399C">
      <w:pPr>
        <w:pStyle w:val="Disclaimer"/>
        <w:rPr>
          <w:lang w:val="es-ES"/>
        </w:rPr>
      </w:pPr>
      <w:r w:rsidRPr="0058399C">
        <w:rPr>
          <w:lang w:val="es-ES_tradnl"/>
        </w:rPr>
        <w:t>Descargo de responsabilidad:</w:t>
      </w:r>
      <w:r w:rsidR="00680842" w:rsidRPr="00B24DA2">
        <w:rPr>
          <w:lang w:val="es-ES"/>
        </w:rPr>
        <w:t xml:space="preserve"> </w:t>
      </w:r>
      <w:r w:rsidRPr="0058399C">
        <w:rPr>
          <w:lang w:val="es-ES_tradnl"/>
        </w:rPr>
        <w:t>el presente documento no constituye un documento de política u orientación de la UPOV</w:t>
      </w:r>
    </w:p>
    <w:p w:rsidR="00EA6058" w:rsidRPr="00B24DA2" w:rsidRDefault="00850FDE" w:rsidP="00EA6058">
      <w:pPr>
        <w:rPr>
          <w:lang w:val="es-ES"/>
        </w:rPr>
      </w:pPr>
      <w:r>
        <w:fldChar w:fldCharType="begin"/>
      </w:r>
      <w:r w:rsidR="00EA6058" w:rsidRPr="00B24DA2">
        <w:rPr>
          <w:lang w:val="es-ES"/>
        </w:rPr>
        <w:instrText xml:space="preserve"> AUTONUM  </w:instrText>
      </w:r>
      <w:r>
        <w:fldChar w:fldCharType="end"/>
      </w:r>
      <w:r w:rsidR="00EA6058" w:rsidRPr="00B24DA2">
        <w:rPr>
          <w:lang w:val="es-ES"/>
        </w:rPr>
        <w:tab/>
      </w:r>
      <w:r w:rsidR="000B6E51" w:rsidRPr="0058399C">
        <w:t>Los estados financieros de la</w:t>
      </w:r>
      <w:r w:rsidR="00FE1638">
        <w:t xml:space="preserve"> </w:t>
      </w:r>
      <w:r w:rsidR="000B6E51" w:rsidRPr="0058399C">
        <w:t>UPOV correspondi</w:t>
      </w:r>
      <w:r w:rsidR="00FE1638">
        <w:t xml:space="preserve">entes al ejercicio concluido el </w:t>
      </w:r>
      <w:r w:rsidR="000B6E51" w:rsidRPr="0058399C">
        <w:t>31 de diciembre de</w:t>
      </w:r>
      <w:r w:rsidR="00FE1638">
        <w:t> </w:t>
      </w:r>
      <w:r w:rsidR="000B6E51" w:rsidRPr="0058399C">
        <w:t>2018 se transmiten al Consejo de conformidad con lo dispuesto en el artículo</w:t>
      </w:r>
      <w:r w:rsidR="00FE1638">
        <w:t xml:space="preserve"> </w:t>
      </w:r>
      <w:r w:rsidR="000B6E51" w:rsidRPr="0058399C">
        <w:t>6.5</w:t>
      </w:r>
      <w:r w:rsidR="00FE1638">
        <w:t xml:space="preserve"> del Reglamento Financiero y la </w:t>
      </w:r>
      <w:r w:rsidR="000B6E51" w:rsidRPr="0058399C">
        <w:t>Reglamentación Financiera de la</w:t>
      </w:r>
      <w:r w:rsidR="00FE1638">
        <w:t xml:space="preserve"> </w:t>
      </w:r>
      <w:r w:rsidR="000B6E51" w:rsidRPr="0058399C">
        <w:t>UPOV (documento UPOV/INF/4/5), que establece el requisito de que los estados financieros sean examinados y aprobados por el Consejo.</w:t>
      </w:r>
      <w:r w:rsidR="00680842" w:rsidRPr="00B24DA2">
        <w:rPr>
          <w:lang w:val="es-ES"/>
        </w:rPr>
        <w:t xml:space="preserve"> </w:t>
      </w:r>
      <w:r w:rsidR="00FE1638">
        <w:rPr>
          <w:lang w:val="es-ES"/>
        </w:rPr>
        <w:t xml:space="preserve"> </w:t>
      </w:r>
      <w:r w:rsidR="000B6E51" w:rsidRPr="0058399C">
        <w:t>Los estados financieros de</w:t>
      </w:r>
      <w:r w:rsidR="0055772C">
        <w:t xml:space="preserve"> </w:t>
      </w:r>
      <w:r w:rsidR="000B6E51" w:rsidRPr="0058399C">
        <w:t xml:space="preserve">2018 </w:t>
      </w:r>
      <w:r w:rsidR="0055772C">
        <w:br/>
      </w:r>
      <w:r w:rsidR="000B6E51" w:rsidRPr="0058399C">
        <w:t>figuran como Anexo del presente documento.</w:t>
      </w:r>
      <w:r w:rsidR="00680842" w:rsidRPr="00B24DA2">
        <w:rPr>
          <w:lang w:val="es-ES"/>
        </w:rPr>
        <w:t xml:space="preserve"> </w:t>
      </w:r>
      <w:r w:rsidR="00FE1638">
        <w:rPr>
          <w:lang w:val="es-ES"/>
        </w:rPr>
        <w:t xml:space="preserve"> </w:t>
      </w:r>
      <w:r w:rsidR="000B6E51" w:rsidRPr="0058399C">
        <w:t xml:space="preserve">El documento C/53/6 contiene el informe de auditoría del </w:t>
      </w:r>
      <w:r w:rsidR="0055772C">
        <w:t>Auditor </w:t>
      </w:r>
      <w:r w:rsidR="0055772C" w:rsidRPr="0058399C">
        <w:t>Externo</w:t>
      </w:r>
      <w:r w:rsidR="000B6E51" w:rsidRPr="0058399C">
        <w:t>.</w:t>
      </w:r>
    </w:p>
    <w:p w:rsidR="00EA6058" w:rsidRPr="00B24DA2" w:rsidRDefault="00EA6058" w:rsidP="00EA6058">
      <w:pPr>
        <w:rPr>
          <w:lang w:val="es-ES"/>
        </w:rPr>
      </w:pPr>
    </w:p>
    <w:p w:rsidR="00EA6058" w:rsidRPr="00B24DA2" w:rsidRDefault="00850FDE" w:rsidP="00EA6058">
      <w:pPr>
        <w:rPr>
          <w:lang w:val="es-ES"/>
        </w:rPr>
      </w:pPr>
      <w:r>
        <w:fldChar w:fldCharType="begin"/>
      </w:r>
      <w:r w:rsidR="00EA6058" w:rsidRPr="00B24DA2">
        <w:rPr>
          <w:lang w:val="es-ES"/>
        </w:rPr>
        <w:instrText xml:space="preserve"> AUTONUM  </w:instrText>
      </w:r>
      <w:r>
        <w:fldChar w:fldCharType="end"/>
      </w:r>
      <w:r w:rsidR="00EA6058" w:rsidRPr="00B24DA2">
        <w:rPr>
          <w:lang w:val="es-ES"/>
        </w:rPr>
        <w:tab/>
      </w:r>
      <w:r w:rsidR="000B6E51" w:rsidRPr="0058399C">
        <w:t>Los estados financieros de</w:t>
      </w:r>
      <w:r w:rsidR="00FE1638">
        <w:t xml:space="preserve"> </w:t>
      </w:r>
      <w:r w:rsidR="000B6E51" w:rsidRPr="0058399C">
        <w:t>2018 se han elaborado de conformidad con las Normas Internacionales de Contabilidad del Sector Público (IPSAS).</w:t>
      </w:r>
      <w:r w:rsidR="00680842" w:rsidRPr="00B24DA2">
        <w:rPr>
          <w:lang w:val="es-ES"/>
        </w:rPr>
        <w:t xml:space="preserve"> </w:t>
      </w:r>
      <w:r w:rsidR="00FE1638">
        <w:rPr>
          <w:lang w:val="es-ES"/>
        </w:rPr>
        <w:t xml:space="preserve"> </w:t>
      </w:r>
      <w:r w:rsidR="000B6E51" w:rsidRPr="0058399C">
        <w:t>En su cuadragésima quinta sesión ordinaria, celebrada en Ginebra el</w:t>
      </w:r>
      <w:r w:rsidR="00FE1638">
        <w:t xml:space="preserve"> </w:t>
      </w:r>
      <w:r w:rsidR="000B6E51" w:rsidRPr="0058399C">
        <w:t>20 de octubre de</w:t>
      </w:r>
      <w:r w:rsidR="00FE1638">
        <w:t xml:space="preserve"> </w:t>
      </w:r>
      <w:r w:rsidR="000B6E51" w:rsidRPr="0058399C">
        <w:t>2011, el Consejo acordó la adopción de las IPSAS por la</w:t>
      </w:r>
      <w:r w:rsidR="00FE1638">
        <w:t xml:space="preserve"> </w:t>
      </w:r>
      <w:r w:rsidR="000B6E51" w:rsidRPr="0058399C">
        <w:t>UPOV, a partir del ejercicio financiero que comenzó en</w:t>
      </w:r>
      <w:r w:rsidR="00FE1638">
        <w:t xml:space="preserve"> </w:t>
      </w:r>
      <w:r w:rsidR="000B6E51" w:rsidRPr="0058399C">
        <w:t>2012 (véase el párrafo</w:t>
      </w:r>
      <w:r w:rsidR="00FE1638">
        <w:t xml:space="preserve"> </w:t>
      </w:r>
      <w:r w:rsidR="000B6E51" w:rsidRPr="0058399C">
        <w:t>9.b) del documento C/45/18 “Informe”).</w:t>
      </w:r>
      <w:r w:rsidR="00680842" w:rsidRPr="00B24DA2">
        <w:rPr>
          <w:lang w:val="es-ES"/>
        </w:rPr>
        <w:t xml:space="preserve"> </w:t>
      </w:r>
      <w:r w:rsidR="00FE1638">
        <w:rPr>
          <w:lang w:val="es-ES"/>
        </w:rPr>
        <w:t xml:space="preserve"> </w:t>
      </w:r>
      <w:r w:rsidR="000B6E51" w:rsidRPr="0058399C">
        <w:t>Los estados financieros de</w:t>
      </w:r>
      <w:r w:rsidR="00FE1638">
        <w:t xml:space="preserve"> </w:t>
      </w:r>
      <w:r w:rsidR="000B6E51" w:rsidRPr="0058399C">
        <w:t>2018 constituyen la séptima serie de estados financieros que se elaboran de conformidad con las IPSAS.</w:t>
      </w:r>
    </w:p>
    <w:p w:rsidR="00EA6058" w:rsidRPr="00B24DA2" w:rsidRDefault="00EA6058" w:rsidP="00EA6058">
      <w:pPr>
        <w:rPr>
          <w:lang w:val="es-ES"/>
        </w:rPr>
      </w:pPr>
    </w:p>
    <w:p w:rsidR="00EA6058" w:rsidRPr="00B24DA2" w:rsidRDefault="00850FDE" w:rsidP="00EA6058">
      <w:pPr>
        <w:pStyle w:val="DecisionParagraphs"/>
        <w:rPr>
          <w:lang w:val="es-ES"/>
        </w:rPr>
      </w:pPr>
      <w:r>
        <w:fldChar w:fldCharType="begin"/>
      </w:r>
      <w:r w:rsidR="00EA6058" w:rsidRPr="00B24DA2">
        <w:rPr>
          <w:lang w:val="es-ES"/>
        </w:rPr>
        <w:instrText xml:space="preserve"> AUTONUM  </w:instrText>
      </w:r>
      <w:r>
        <w:fldChar w:fldCharType="end"/>
      </w:r>
      <w:r w:rsidR="00EA6058" w:rsidRPr="00B24DA2">
        <w:rPr>
          <w:lang w:val="es-ES"/>
        </w:rPr>
        <w:tab/>
      </w:r>
      <w:r w:rsidR="000B6E51" w:rsidRPr="0058399C">
        <w:t>Se invita al Consejo a examinar y aprobar los estados financieros de</w:t>
      </w:r>
      <w:r w:rsidR="00FE1638">
        <w:t xml:space="preserve"> </w:t>
      </w:r>
      <w:r w:rsidR="000B6E51" w:rsidRPr="0058399C">
        <w:t>2018.</w:t>
      </w:r>
    </w:p>
    <w:p w:rsidR="005C40AA" w:rsidRPr="00B24DA2" w:rsidRDefault="005C40AA" w:rsidP="005C40AA">
      <w:pPr>
        <w:rPr>
          <w:lang w:val="es-ES"/>
        </w:rPr>
      </w:pPr>
    </w:p>
    <w:p w:rsidR="005C40AA" w:rsidRPr="00B24DA2" w:rsidRDefault="005C40AA" w:rsidP="005C40AA">
      <w:pPr>
        <w:rPr>
          <w:lang w:val="es-ES"/>
        </w:rPr>
      </w:pPr>
    </w:p>
    <w:p w:rsidR="005C40AA" w:rsidRPr="00B24DA2" w:rsidRDefault="005C40AA" w:rsidP="005C40AA">
      <w:pPr>
        <w:jc w:val="left"/>
        <w:rPr>
          <w:lang w:val="es-ES"/>
        </w:rPr>
      </w:pPr>
    </w:p>
    <w:p w:rsidR="005C40AA" w:rsidRPr="00B24DA2" w:rsidRDefault="000B6E51" w:rsidP="005C40AA">
      <w:pPr>
        <w:jc w:val="right"/>
        <w:rPr>
          <w:lang w:val="es-ES"/>
        </w:rPr>
      </w:pPr>
      <w:r w:rsidRPr="0058399C">
        <w:t>[Sigue el Anexo]</w:t>
      </w:r>
    </w:p>
    <w:p w:rsidR="005C40AA" w:rsidRPr="00B24DA2" w:rsidRDefault="005C40AA" w:rsidP="005C40AA">
      <w:pPr>
        <w:jc w:val="left"/>
        <w:rPr>
          <w:lang w:val="es-ES"/>
        </w:rPr>
        <w:sectPr w:rsidR="005C40AA" w:rsidRPr="00B24DA2" w:rsidSect="00906DDC">
          <w:headerReference w:type="default" r:id="rId9"/>
          <w:pgSz w:w="11907" w:h="16840" w:code="9"/>
          <w:pgMar w:top="510" w:right="1134" w:bottom="1134" w:left="1134" w:header="510" w:footer="680" w:gutter="0"/>
          <w:cols w:space="720"/>
          <w:titlePg/>
        </w:sectPr>
      </w:pPr>
    </w:p>
    <w:p w:rsidR="00EA6058" w:rsidRPr="00B24DA2" w:rsidRDefault="000B6E51" w:rsidP="00EA6058">
      <w:pPr>
        <w:jc w:val="center"/>
        <w:rPr>
          <w:b/>
          <w:bCs/>
          <w:snapToGrid w:val="0"/>
          <w:spacing w:val="8"/>
          <w:lang w:val="es-ES"/>
        </w:rPr>
      </w:pPr>
      <w:r w:rsidRPr="0058399C">
        <w:rPr>
          <w:b/>
          <w:bCs/>
          <w:snapToGrid w:val="0"/>
          <w:spacing w:val="8"/>
        </w:rPr>
        <w:lastRenderedPageBreak/>
        <w:t>UNIÓN INTERNACIONAL PARA LA PROTECCIÓN DE LAS OBTENCIONES VEGETALES</w:t>
      </w:r>
    </w:p>
    <w:p w:rsidR="00EA6058" w:rsidRPr="00B24DA2" w:rsidRDefault="00EA6058" w:rsidP="00EA6058">
      <w:pPr>
        <w:jc w:val="center"/>
        <w:rPr>
          <w:b/>
          <w:bCs/>
          <w:snapToGrid w:val="0"/>
          <w:spacing w:val="8"/>
          <w:lang w:val="es-ES"/>
        </w:rPr>
      </w:pPr>
    </w:p>
    <w:p w:rsidR="00EA6058" w:rsidRPr="00B24DA2" w:rsidRDefault="000B6E51" w:rsidP="00EA6058">
      <w:pPr>
        <w:jc w:val="center"/>
        <w:rPr>
          <w:lang w:val="es-ES"/>
        </w:rPr>
      </w:pPr>
      <w:r w:rsidRPr="0058399C">
        <w:t>Estados financieros correspondientes al ejercicio concluido el</w:t>
      </w:r>
      <w:r w:rsidR="00FE1638">
        <w:t xml:space="preserve"> </w:t>
      </w:r>
      <w:r w:rsidRPr="0058399C">
        <w:t>31 de diciembre de</w:t>
      </w:r>
      <w:r w:rsidR="00FE1638">
        <w:t xml:space="preserve"> </w:t>
      </w:r>
      <w:r w:rsidRPr="0058399C">
        <w:t>2018</w:t>
      </w:r>
    </w:p>
    <w:p w:rsidR="00EA6058" w:rsidRPr="00B24DA2" w:rsidRDefault="00EA6058" w:rsidP="00EA6058">
      <w:pPr>
        <w:jc w:val="center"/>
        <w:rPr>
          <w:lang w:val="es-ES"/>
        </w:rPr>
      </w:pPr>
    </w:p>
    <w:p w:rsidR="00EA6058" w:rsidRPr="00B24DA2" w:rsidRDefault="00EA6058" w:rsidP="00EA6058">
      <w:pPr>
        <w:jc w:val="center"/>
        <w:rPr>
          <w:lang w:val="es-ES"/>
        </w:rPr>
      </w:pPr>
    </w:p>
    <w:p w:rsidR="00EA6058" w:rsidRPr="00BD0A1D" w:rsidRDefault="000B6E51" w:rsidP="00EA6058">
      <w:pPr>
        <w:rPr>
          <w:b/>
          <w:bCs/>
          <w:snapToGrid w:val="0"/>
          <w:spacing w:val="8"/>
          <w:u w:val="single"/>
          <w:lang w:val="es-ES"/>
        </w:rPr>
      </w:pPr>
      <w:r w:rsidRPr="0058399C">
        <w:rPr>
          <w:u w:val="single"/>
        </w:rPr>
        <w:t>Índice</w:t>
      </w:r>
    </w:p>
    <w:p w:rsidR="00EA6058" w:rsidRPr="00BD0A1D" w:rsidRDefault="00EA6058" w:rsidP="00EA6058">
      <w:pPr>
        <w:rPr>
          <w:u w:val="single"/>
          <w:lang w:val="es-ES"/>
        </w:rPr>
      </w:pPr>
    </w:p>
    <w:p w:rsidR="00AB11BD" w:rsidRDefault="00850FDE">
      <w:pPr>
        <w:pStyle w:val="TOC1"/>
        <w:rPr>
          <w:rFonts w:asciiTheme="minorHAnsi" w:eastAsiaTheme="minorEastAsia" w:hAnsiTheme="minorHAnsi" w:cstheme="minorBidi"/>
          <w:caps w:val="0"/>
          <w:sz w:val="22"/>
          <w:szCs w:val="22"/>
        </w:rPr>
      </w:pPr>
      <w:r>
        <w:rPr>
          <w:u w:val="single"/>
        </w:rPr>
        <w:fldChar w:fldCharType="begin"/>
      </w:r>
      <w:r w:rsidR="00EA6058" w:rsidRPr="00BD0A1D">
        <w:rPr>
          <w:u w:val="single"/>
          <w:lang w:val="es-ES"/>
        </w:rPr>
        <w:instrText xml:space="preserve"> TOC \o "1-2" \u </w:instrText>
      </w:r>
      <w:r>
        <w:rPr>
          <w:u w:val="single"/>
        </w:rPr>
        <w:fldChar w:fldCharType="separate"/>
      </w:r>
      <w:r w:rsidR="00AB11BD" w:rsidRPr="00036CCD">
        <w:rPr>
          <w:lang w:val="es-ES_tradnl"/>
        </w:rPr>
        <w:t>INTRODUCCIÓN</w:t>
      </w:r>
      <w:r w:rsidR="00AB11BD">
        <w:tab/>
      </w:r>
      <w:r w:rsidR="00AB11BD">
        <w:fldChar w:fldCharType="begin"/>
      </w:r>
      <w:r w:rsidR="00AB11BD">
        <w:instrText xml:space="preserve"> PAGEREF _Toc15397052 \h </w:instrText>
      </w:r>
      <w:r w:rsidR="00AB11BD">
        <w:fldChar w:fldCharType="separate"/>
      </w:r>
      <w:r w:rsidR="00AB11BD">
        <w:t>2</w:t>
      </w:r>
      <w:r w:rsidR="00AB11BD">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RESULTADOS DEL EJERCICIO FINANCIERO CONCLUIDO EL 31 DE DICIEMBRE DE 2018</w:t>
      </w:r>
      <w:r>
        <w:tab/>
      </w:r>
      <w:r>
        <w:fldChar w:fldCharType="begin"/>
      </w:r>
      <w:r>
        <w:instrText xml:space="preserve"> PAGEREF _Toc15397053 \h </w:instrText>
      </w:r>
      <w:r>
        <w:fldChar w:fldCharType="separate"/>
      </w:r>
      <w:r>
        <w:t>2</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Elaboración de los estados financieros con arreglo a las IPSAS</w:t>
      </w:r>
      <w:r>
        <w:tab/>
      </w:r>
      <w:r>
        <w:fldChar w:fldCharType="begin"/>
      </w:r>
      <w:r>
        <w:instrText xml:space="preserve"> PAGEREF _Toc15397054 \h </w:instrText>
      </w:r>
      <w:r>
        <w:fldChar w:fldCharType="separate"/>
      </w:r>
      <w:r>
        <w:t>2</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Rendimiento financiero</w:t>
      </w:r>
      <w:r>
        <w:tab/>
      </w:r>
      <w:r>
        <w:fldChar w:fldCharType="begin"/>
      </w:r>
      <w:r>
        <w:instrText xml:space="preserve"> PAGEREF _Toc15397055 \h </w:instrText>
      </w:r>
      <w:r>
        <w:fldChar w:fldCharType="separate"/>
      </w:r>
      <w:r>
        <w:t>3</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Situación financiera</w:t>
      </w:r>
      <w:r>
        <w:tab/>
      </w:r>
      <w:r>
        <w:fldChar w:fldCharType="begin"/>
      </w:r>
      <w:r>
        <w:instrText xml:space="preserve"> PAGEREF _Toc15397056 \h </w:instrText>
      </w:r>
      <w:r>
        <w:fldChar w:fldCharType="separate"/>
      </w:r>
      <w:r>
        <w:t>4</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Ejecución presupuestaria</w:t>
      </w:r>
      <w:r>
        <w:tab/>
      </w:r>
      <w:r>
        <w:fldChar w:fldCharType="begin"/>
      </w:r>
      <w:r>
        <w:instrText xml:space="preserve"> PAGEREF _Toc15397057 \h </w:instrText>
      </w:r>
      <w:r>
        <w:fldChar w:fldCharType="separate"/>
      </w:r>
      <w:r>
        <w:t>4</w:t>
      </w:r>
      <w:r>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ESTADO FINANCIERO I:</w:t>
      </w:r>
      <w:r w:rsidRPr="00036CCD">
        <w:rPr>
          <w:lang w:val="es-ES"/>
        </w:rPr>
        <w:t xml:space="preserve"> </w:t>
      </w:r>
      <w:r w:rsidRPr="00036CCD">
        <w:rPr>
          <w:lang w:val="es-ES_tradnl"/>
        </w:rPr>
        <w:t>ESTADO DE LA SITUACIÓN FINANCIERA</w:t>
      </w:r>
      <w:r>
        <w:tab/>
      </w:r>
      <w:r>
        <w:fldChar w:fldCharType="begin"/>
      </w:r>
      <w:r>
        <w:instrText xml:space="preserve"> PAGEREF _Toc15397058 \h </w:instrText>
      </w:r>
      <w:r>
        <w:fldChar w:fldCharType="separate"/>
      </w:r>
      <w:r>
        <w:t>6</w:t>
      </w:r>
      <w:r>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ESTADO FINANCIERO II:</w:t>
      </w:r>
      <w:r w:rsidRPr="00036CCD">
        <w:rPr>
          <w:lang w:val="es-ES"/>
        </w:rPr>
        <w:t xml:space="preserve"> </w:t>
      </w:r>
      <w:r w:rsidRPr="00036CCD">
        <w:rPr>
          <w:lang w:val="es-ES_tradnl"/>
        </w:rPr>
        <w:t>ESTADO DE RENDIMIENTO FINANCIERO</w:t>
      </w:r>
      <w:r>
        <w:tab/>
      </w:r>
      <w:r>
        <w:fldChar w:fldCharType="begin"/>
      </w:r>
      <w:r>
        <w:instrText xml:space="preserve"> PAGEREF _Toc15397059 \h </w:instrText>
      </w:r>
      <w:r>
        <w:fldChar w:fldCharType="separate"/>
      </w:r>
      <w:r>
        <w:t>7</w:t>
      </w:r>
      <w:r>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ESTADO FINANCIERO III:</w:t>
      </w:r>
      <w:r w:rsidRPr="00036CCD">
        <w:rPr>
          <w:lang w:val="es-ES"/>
        </w:rPr>
        <w:t xml:space="preserve"> </w:t>
      </w:r>
      <w:r w:rsidRPr="00036CCD">
        <w:rPr>
          <w:lang w:val="es-ES_tradnl"/>
        </w:rPr>
        <w:t>ESTADO DE CAMBIOS EN LOS ACTIVOS NETOS</w:t>
      </w:r>
      <w:r>
        <w:tab/>
      </w:r>
      <w:r>
        <w:fldChar w:fldCharType="begin"/>
      </w:r>
      <w:r>
        <w:instrText xml:space="preserve"> PAGEREF _Toc15397060 \h </w:instrText>
      </w:r>
      <w:r>
        <w:fldChar w:fldCharType="separate"/>
      </w:r>
      <w:r>
        <w:t>8</w:t>
      </w:r>
      <w:r>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ESTADO FINANCIERO IV:</w:t>
      </w:r>
      <w:r w:rsidRPr="00036CCD">
        <w:rPr>
          <w:lang w:val="es-ES"/>
        </w:rPr>
        <w:t xml:space="preserve"> </w:t>
      </w:r>
      <w:r w:rsidRPr="00036CCD">
        <w:rPr>
          <w:lang w:val="es-ES_tradnl"/>
        </w:rPr>
        <w:t>ESTADO DE FLUJOS DE EFECTIVO</w:t>
      </w:r>
      <w:r>
        <w:tab/>
      </w:r>
      <w:r>
        <w:fldChar w:fldCharType="begin"/>
      </w:r>
      <w:r>
        <w:instrText xml:space="preserve"> PAGEREF _Toc15397061 \h </w:instrText>
      </w:r>
      <w:r>
        <w:fldChar w:fldCharType="separate"/>
      </w:r>
      <w:r>
        <w:t>9</w:t>
      </w:r>
      <w:r>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ESTADO FINANCIERO V:</w:t>
      </w:r>
      <w:r w:rsidRPr="00036CCD">
        <w:rPr>
          <w:lang w:val="es-ES"/>
        </w:rPr>
        <w:t xml:space="preserve"> </w:t>
      </w:r>
      <w:r w:rsidRPr="00036CCD">
        <w:rPr>
          <w:lang w:val="es-ES_tradnl"/>
        </w:rPr>
        <w:t>ESTADO COMPARATIVO DE IMPORTES PRESUPUESTADOS Y REALES</w:t>
      </w:r>
      <w:r>
        <w:tab/>
      </w:r>
      <w:r>
        <w:fldChar w:fldCharType="begin"/>
      </w:r>
      <w:r>
        <w:instrText xml:space="preserve"> PAGEREF _Toc15397062 \h </w:instrText>
      </w:r>
      <w:r>
        <w:fldChar w:fldCharType="separate"/>
      </w:r>
      <w:r>
        <w:t>10</w:t>
      </w:r>
      <w:r>
        <w:fldChar w:fldCharType="end"/>
      </w:r>
    </w:p>
    <w:p w:rsidR="00AB11BD" w:rsidRDefault="00AB11BD">
      <w:pPr>
        <w:pStyle w:val="TOC1"/>
        <w:rPr>
          <w:rFonts w:asciiTheme="minorHAnsi" w:eastAsiaTheme="minorEastAsia" w:hAnsiTheme="minorHAnsi" w:cstheme="minorBidi"/>
          <w:caps w:val="0"/>
          <w:sz w:val="22"/>
          <w:szCs w:val="22"/>
        </w:rPr>
      </w:pPr>
      <w:r w:rsidRPr="00036CCD">
        <w:rPr>
          <w:lang w:val="es-ES_tradnl"/>
        </w:rPr>
        <w:t>NOTAS SOBRE LOS ESTADOS FINANCIEROS</w:t>
      </w:r>
      <w:r>
        <w:tab/>
      </w:r>
      <w:r>
        <w:fldChar w:fldCharType="begin"/>
      </w:r>
      <w:r>
        <w:instrText xml:space="preserve"> PAGEREF _Toc15397063 \h </w:instrText>
      </w:r>
      <w:r>
        <w:fldChar w:fldCharType="separate"/>
      </w:r>
      <w:r>
        <w:t>11</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Nota 1:</w:t>
      </w:r>
      <w:r>
        <w:rPr>
          <w:rFonts w:asciiTheme="minorHAnsi" w:eastAsiaTheme="minorEastAsia" w:hAnsiTheme="minorHAnsi" w:cstheme="minorBidi"/>
          <w:sz w:val="22"/>
          <w:szCs w:val="22"/>
        </w:rPr>
        <w:tab/>
      </w:r>
      <w:r w:rsidRPr="00036CCD">
        <w:rPr>
          <w:lang w:val="es-ES_tradnl"/>
        </w:rPr>
        <w:t>Objetivos, gobernanza y presupuesto de la Unión</w:t>
      </w:r>
      <w:r>
        <w:tab/>
      </w:r>
      <w:r>
        <w:fldChar w:fldCharType="begin"/>
      </w:r>
      <w:r>
        <w:instrText xml:space="preserve"> PAGEREF _Toc15397064 \h </w:instrText>
      </w:r>
      <w:r>
        <w:fldChar w:fldCharType="separate"/>
      </w:r>
      <w:r>
        <w:t>11</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Nota 2:</w:t>
      </w:r>
      <w:r>
        <w:rPr>
          <w:rFonts w:asciiTheme="minorHAnsi" w:eastAsiaTheme="minorEastAsia" w:hAnsiTheme="minorHAnsi" w:cstheme="minorBidi"/>
          <w:sz w:val="22"/>
          <w:szCs w:val="22"/>
        </w:rPr>
        <w:tab/>
      </w:r>
      <w:r w:rsidRPr="00036CCD">
        <w:rPr>
          <w:lang w:val="es-ES_tradnl"/>
        </w:rPr>
        <w:t>Principios contables pertinentes</w:t>
      </w:r>
      <w:r>
        <w:tab/>
      </w:r>
      <w:r>
        <w:fldChar w:fldCharType="begin"/>
      </w:r>
      <w:r>
        <w:instrText xml:space="preserve"> PAGEREF _Toc15397065 \h </w:instrText>
      </w:r>
      <w:r>
        <w:fldChar w:fldCharType="separate"/>
      </w:r>
      <w:r>
        <w:t>12</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Nota 3:</w:t>
      </w:r>
      <w:r>
        <w:rPr>
          <w:rFonts w:asciiTheme="minorHAnsi" w:eastAsiaTheme="minorEastAsia" w:hAnsiTheme="minorHAnsi" w:cstheme="minorBidi"/>
          <w:sz w:val="22"/>
          <w:szCs w:val="22"/>
        </w:rPr>
        <w:tab/>
      </w:r>
      <w:r w:rsidRPr="00036CCD">
        <w:rPr>
          <w:lang w:val="es-ES_tradnl"/>
        </w:rPr>
        <w:t>Efectivo y equivalentes de efectivo</w:t>
      </w:r>
      <w:r>
        <w:tab/>
      </w:r>
      <w:r>
        <w:fldChar w:fldCharType="begin"/>
      </w:r>
      <w:r>
        <w:instrText xml:space="preserve"> PAGEREF _Toc15397066 \h </w:instrText>
      </w:r>
      <w:r>
        <w:fldChar w:fldCharType="separate"/>
      </w:r>
      <w:r>
        <w:t>15</w:t>
      </w:r>
      <w:r>
        <w:fldChar w:fldCharType="end"/>
      </w:r>
    </w:p>
    <w:p w:rsidR="00AB11BD" w:rsidRDefault="00AB11BD">
      <w:pPr>
        <w:pStyle w:val="TOC2"/>
        <w:rPr>
          <w:rFonts w:asciiTheme="minorHAnsi" w:eastAsiaTheme="minorEastAsia" w:hAnsiTheme="minorHAnsi" w:cstheme="minorBidi"/>
          <w:sz w:val="22"/>
          <w:szCs w:val="22"/>
        </w:rPr>
      </w:pPr>
      <w:r w:rsidRPr="00036CCD">
        <w:rPr>
          <w:lang w:val="es-ES_tradnl"/>
        </w:rPr>
        <w:t>Nota 4:</w:t>
      </w:r>
      <w:r>
        <w:rPr>
          <w:rFonts w:asciiTheme="minorHAnsi" w:eastAsiaTheme="minorEastAsia" w:hAnsiTheme="minorHAnsi" w:cstheme="minorBidi"/>
          <w:sz w:val="22"/>
          <w:szCs w:val="22"/>
        </w:rPr>
        <w:tab/>
      </w:r>
      <w:r w:rsidRPr="00036CCD">
        <w:rPr>
          <w:lang w:val="es-ES_tradnl"/>
        </w:rPr>
        <w:t>Cuentas por cobrar</w:t>
      </w:r>
      <w:r>
        <w:tab/>
      </w:r>
      <w:r>
        <w:fldChar w:fldCharType="begin"/>
      </w:r>
      <w:r>
        <w:instrText xml:space="preserve"> PAGEREF _Toc15397067 \h </w:instrText>
      </w:r>
      <w:r>
        <w:fldChar w:fldCharType="separate"/>
      </w:r>
      <w:r>
        <w:t>16</w:t>
      </w:r>
      <w:r>
        <w:fldChar w:fldCharType="end"/>
      </w:r>
    </w:p>
    <w:p w:rsidR="00AB11BD" w:rsidRDefault="00AB11BD">
      <w:pPr>
        <w:pStyle w:val="TOC2"/>
        <w:rPr>
          <w:rFonts w:asciiTheme="minorHAnsi" w:eastAsiaTheme="minorEastAsia" w:hAnsiTheme="minorHAnsi" w:cstheme="minorBidi"/>
          <w:sz w:val="22"/>
          <w:szCs w:val="22"/>
        </w:rPr>
      </w:pPr>
      <w:r>
        <w:t>Nota 5:</w:t>
      </w:r>
      <w:r>
        <w:rPr>
          <w:rFonts w:asciiTheme="minorHAnsi" w:eastAsiaTheme="minorEastAsia" w:hAnsiTheme="minorHAnsi" w:cstheme="minorBidi"/>
          <w:sz w:val="22"/>
          <w:szCs w:val="22"/>
        </w:rPr>
        <w:tab/>
      </w:r>
      <w:r>
        <w:t>Cuentas por pagar</w:t>
      </w:r>
      <w:r>
        <w:tab/>
      </w:r>
      <w:r>
        <w:fldChar w:fldCharType="begin"/>
      </w:r>
      <w:r>
        <w:instrText xml:space="preserve"> PAGEREF _Toc15397068 \h </w:instrText>
      </w:r>
      <w:r>
        <w:fldChar w:fldCharType="separate"/>
      </w:r>
      <w:r>
        <w:t>16</w:t>
      </w:r>
      <w:r>
        <w:fldChar w:fldCharType="end"/>
      </w:r>
    </w:p>
    <w:p w:rsidR="00AB11BD" w:rsidRDefault="00AB11BD">
      <w:pPr>
        <w:pStyle w:val="TOC2"/>
        <w:rPr>
          <w:rFonts w:asciiTheme="minorHAnsi" w:eastAsiaTheme="minorEastAsia" w:hAnsiTheme="minorHAnsi" w:cstheme="minorBidi"/>
          <w:sz w:val="22"/>
          <w:szCs w:val="22"/>
        </w:rPr>
      </w:pPr>
      <w:r>
        <w:t>Nota 6:</w:t>
      </w:r>
      <w:r>
        <w:rPr>
          <w:rFonts w:asciiTheme="minorHAnsi" w:eastAsiaTheme="minorEastAsia" w:hAnsiTheme="minorHAnsi" w:cstheme="minorBidi"/>
          <w:sz w:val="22"/>
          <w:szCs w:val="22"/>
        </w:rPr>
        <w:tab/>
      </w:r>
      <w:r>
        <w:t>Prestaciones a los empleados</w:t>
      </w:r>
      <w:r>
        <w:tab/>
      </w:r>
      <w:r>
        <w:fldChar w:fldCharType="begin"/>
      </w:r>
      <w:r>
        <w:instrText xml:space="preserve"> PAGEREF _Toc15397069 \h </w:instrText>
      </w:r>
      <w:r>
        <w:fldChar w:fldCharType="separate"/>
      </w:r>
      <w:r>
        <w:t>17</w:t>
      </w:r>
      <w:r>
        <w:fldChar w:fldCharType="end"/>
      </w:r>
    </w:p>
    <w:p w:rsidR="00AB11BD" w:rsidRDefault="00AB11BD">
      <w:pPr>
        <w:pStyle w:val="TOC2"/>
        <w:rPr>
          <w:rFonts w:asciiTheme="minorHAnsi" w:eastAsiaTheme="minorEastAsia" w:hAnsiTheme="minorHAnsi" w:cstheme="minorBidi"/>
          <w:sz w:val="22"/>
          <w:szCs w:val="22"/>
        </w:rPr>
      </w:pPr>
      <w:r>
        <w:t>Nota 7:</w:t>
      </w:r>
      <w:r>
        <w:rPr>
          <w:rFonts w:asciiTheme="minorHAnsi" w:eastAsiaTheme="minorEastAsia" w:hAnsiTheme="minorHAnsi" w:cstheme="minorBidi"/>
          <w:sz w:val="22"/>
          <w:szCs w:val="22"/>
        </w:rPr>
        <w:tab/>
      </w:r>
      <w:r>
        <w:t>Transferencias por pagar</w:t>
      </w:r>
      <w:r>
        <w:tab/>
      </w:r>
      <w:r>
        <w:fldChar w:fldCharType="begin"/>
      </w:r>
      <w:r>
        <w:instrText xml:space="preserve"> PAGEREF _Toc15397070 \h </w:instrText>
      </w:r>
      <w:r>
        <w:fldChar w:fldCharType="separate"/>
      </w:r>
      <w:r>
        <w:t>22</w:t>
      </w:r>
      <w:r>
        <w:fldChar w:fldCharType="end"/>
      </w:r>
    </w:p>
    <w:p w:rsidR="00AB11BD" w:rsidRDefault="00AB11BD">
      <w:pPr>
        <w:pStyle w:val="TOC2"/>
        <w:rPr>
          <w:rFonts w:asciiTheme="minorHAnsi" w:eastAsiaTheme="minorEastAsia" w:hAnsiTheme="minorHAnsi" w:cstheme="minorBidi"/>
          <w:sz w:val="22"/>
          <w:szCs w:val="22"/>
        </w:rPr>
      </w:pPr>
      <w:r>
        <w:t>Nota 8:</w:t>
      </w:r>
      <w:r>
        <w:rPr>
          <w:rFonts w:asciiTheme="minorHAnsi" w:eastAsiaTheme="minorEastAsia" w:hAnsiTheme="minorHAnsi" w:cstheme="minorBidi"/>
          <w:sz w:val="22"/>
          <w:szCs w:val="22"/>
        </w:rPr>
        <w:tab/>
      </w:r>
      <w:r>
        <w:t>Cobros anticipados</w:t>
      </w:r>
      <w:r>
        <w:tab/>
      </w:r>
      <w:r>
        <w:fldChar w:fldCharType="begin"/>
      </w:r>
      <w:r>
        <w:instrText xml:space="preserve"> PAGEREF _Toc15397071 \h </w:instrText>
      </w:r>
      <w:r>
        <w:fldChar w:fldCharType="separate"/>
      </w:r>
      <w:r>
        <w:t>22</w:t>
      </w:r>
      <w:r>
        <w:fldChar w:fldCharType="end"/>
      </w:r>
    </w:p>
    <w:p w:rsidR="00AB11BD" w:rsidRDefault="00AB11BD">
      <w:pPr>
        <w:pStyle w:val="TOC2"/>
        <w:rPr>
          <w:rFonts w:asciiTheme="minorHAnsi" w:eastAsiaTheme="minorEastAsia" w:hAnsiTheme="minorHAnsi" w:cstheme="minorBidi"/>
          <w:sz w:val="22"/>
          <w:szCs w:val="22"/>
        </w:rPr>
      </w:pPr>
      <w:r>
        <w:t>Nota 9:</w:t>
      </w:r>
      <w:r>
        <w:rPr>
          <w:rFonts w:asciiTheme="minorHAnsi" w:eastAsiaTheme="minorEastAsia" w:hAnsiTheme="minorHAnsi" w:cstheme="minorBidi"/>
          <w:sz w:val="22"/>
          <w:szCs w:val="22"/>
        </w:rPr>
        <w:tab/>
      </w:r>
      <w:r>
        <w:t>Otros pasivos corrientes</w:t>
      </w:r>
      <w:r>
        <w:tab/>
      </w:r>
      <w:r>
        <w:fldChar w:fldCharType="begin"/>
      </w:r>
      <w:r>
        <w:instrText xml:space="preserve"> PAGEREF _Toc15397072 \h </w:instrText>
      </w:r>
      <w:r>
        <w:fldChar w:fldCharType="separate"/>
      </w:r>
      <w:r>
        <w:t>22</w:t>
      </w:r>
      <w:r>
        <w:fldChar w:fldCharType="end"/>
      </w:r>
    </w:p>
    <w:p w:rsidR="00AB11BD" w:rsidRDefault="00AB11BD">
      <w:pPr>
        <w:pStyle w:val="TOC2"/>
        <w:rPr>
          <w:rFonts w:asciiTheme="minorHAnsi" w:eastAsiaTheme="minorEastAsia" w:hAnsiTheme="minorHAnsi" w:cstheme="minorBidi"/>
          <w:sz w:val="22"/>
          <w:szCs w:val="22"/>
        </w:rPr>
      </w:pPr>
      <w:r>
        <w:t>Nota 10:</w:t>
      </w:r>
      <w:r>
        <w:rPr>
          <w:rFonts w:asciiTheme="minorHAnsi" w:eastAsiaTheme="minorEastAsia" w:hAnsiTheme="minorHAnsi" w:cstheme="minorBidi"/>
          <w:sz w:val="22"/>
          <w:szCs w:val="22"/>
        </w:rPr>
        <w:tab/>
      </w:r>
      <w:r>
        <w:t>Transacciones con entidades relacionadas</w:t>
      </w:r>
      <w:r>
        <w:tab/>
      </w:r>
      <w:r>
        <w:fldChar w:fldCharType="begin"/>
      </w:r>
      <w:r>
        <w:instrText xml:space="preserve"> PAGEREF _Toc15397073 \h </w:instrText>
      </w:r>
      <w:r>
        <w:fldChar w:fldCharType="separate"/>
      </w:r>
      <w:r>
        <w:t>22</w:t>
      </w:r>
      <w:r>
        <w:fldChar w:fldCharType="end"/>
      </w:r>
    </w:p>
    <w:p w:rsidR="00AB11BD" w:rsidRDefault="00AB11BD">
      <w:pPr>
        <w:pStyle w:val="TOC2"/>
        <w:rPr>
          <w:rFonts w:asciiTheme="minorHAnsi" w:eastAsiaTheme="minorEastAsia" w:hAnsiTheme="minorHAnsi" w:cstheme="minorBidi"/>
          <w:sz w:val="22"/>
          <w:szCs w:val="22"/>
        </w:rPr>
      </w:pPr>
      <w:r>
        <w:t>Nota 11:</w:t>
      </w:r>
      <w:r>
        <w:rPr>
          <w:rFonts w:asciiTheme="minorHAnsi" w:eastAsiaTheme="minorEastAsia" w:hAnsiTheme="minorHAnsi" w:cstheme="minorBidi"/>
          <w:sz w:val="22"/>
          <w:szCs w:val="22"/>
        </w:rPr>
        <w:tab/>
      </w:r>
      <w:r>
        <w:t>Activos netos</w:t>
      </w:r>
      <w:r>
        <w:tab/>
      </w:r>
      <w:r>
        <w:fldChar w:fldCharType="begin"/>
      </w:r>
      <w:r>
        <w:instrText xml:space="preserve"> PAGEREF _Toc15397074 \h </w:instrText>
      </w:r>
      <w:r>
        <w:fldChar w:fldCharType="separate"/>
      </w:r>
      <w:r>
        <w:t>23</w:t>
      </w:r>
      <w:r>
        <w:fldChar w:fldCharType="end"/>
      </w:r>
    </w:p>
    <w:p w:rsidR="00AB11BD" w:rsidRDefault="00AB11BD">
      <w:pPr>
        <w:pStyle w:val="TOC2"/>
        <w:rPr>
          <w:rFonts w:asciiTheme="minorHAnsi" w:eastAsiaTheme="minorEastAsia" w:hAnsiTheme="minorHAnsi" w:cstheme="minorBidi"/>
          <w:sz w:val="22"/>
          <w:szCs w:val="22"/>
        </w:rPr>
      </w:pPr>
      <w:r>
        <w:t>Nota 12:</w:t>
      </w:r>
      <w:r>
        <w:rPr>
          <w:rFonts w:asciiTheme="minorHAnsi" w:eastAsiaTheme="minorEastAsia" w:hAnsiTheme="minorHAnsi" w:cstheme="minorBidi"/>
          <w:sz w:val="22"/>
          <w:szCs w:val="22"/>
        </w:rPr>
        <w:tab/>
      </w:r>
      <w:r>
        <w:t>Conciliación del estado comparativo de importes presupuestados y reales (estado financiero V) y del estado de rendimiento financiero (estado financiero II)</w:t>
      </w:r>
      <w:r>
        <w:tab/>
      </w:r>
      <w:r>
        <w:fldChar w:fldCharType="begin"/>
      </w:r>
      <w:r>
        <w:instrText xml:space="preserve"> PAGEREF _Toc15397075 \h </w:instrText>
      </w:r>
      <w:r>
        <w:fldChar w:fldCharType="separate"/>
      </w:r>
      <w:r>
        <w:t>24</w:t>
      </w:r>
      <w:r>
        <w:fldChar w:fldCharType="end"/>
      </w:r>
    </w:p>
    <w:p w:rsidR="00AB11BD" w:rsidRDefault="00AB11BD">
      <w:pPr>
        <w:pStyle w:val="TOC2"/>
        <w:rPr>
          <w:rFonts w:asciiTheme="minorHAnsi" w:eastAsiaTheme="minorEastAsia" w:hAnsiTheme="minorHAnsi" w:cstheme="minorBidi"/>
          <w:sz w:val="22"/>
          <w:szCs w:val="22"/>
        </w:rPr>
      </w:pPr>
      <w:r>
        <w:t>Nota 13:</w:t>
      </w:r>
      <w:r>
        <w:rPr>
          <w:rFonts w:asciiTheme="minorHAnsi" w:eastAsiaTheme="minorEastAsia" w:hAnsiTheme="minorHAnsi" w:cstheme="minorBidi"/>
          <w:sz w:val="22"/>
          <w:szCs w:val="22"/>
        </w:rPr>
        <w:tab/>
      </w:r>
      <w:r>
        <w:t>Ingresos</w:t>
      </w:r>
      <w:r>
        <w:tab/>
      </w:r>
      <w:r>
        <w:fldChar w:fldCharType="begin"/>
      </w:r>
      <w:r>
        <w:instrText xml:space="preserve"> PAGEREF _Toc15397076 \h </w:instrText>
      </w:r>
      <w:r>
        <w:fldChar w:fldCharType="separate"/>
      </w:r>
      <w:r>
        <w:t>25</w:t>
      </w:r>
      <w:r>
        <w:fldChar w:fldCharType="end"/>
      </w:r>
    </w:p>
    <w:p w:rsidR="00AB11BD" w:rsidRDefault="00AB11BD">
      <w:pPr>
        <w:pStyle w:val="TOC2"/>
        <w:rPr>
          <w:rFonts w:asciiTheme="minorHAnsi" w:eastAsiaTheme="minorEastAsia" w:hAnsiTheme="minorHAnsi" w:cstheme="minorBidi"/>
          <w:sz w:val="22"/>
          <w:szCs w:val="22"/>
        </w:rPr>
      </w:pPr>
      <w:r>
        <w:t>Nota 14:</w:t>
      </w:r>
      <w:r>
        <w:rPr>
          <w:rFonts w:asciiTheme="minorHAnsi" w:eastAsiaTheme="minorEastAsia" w:hAnsiTheme="minorHAnsi" w:cstheme="minorBidi"/>
          <w:sz w:val="22"/>
          <w:szCs w:val="22"/>
        </w:rPr>
        <w:tab/>
      </w:r>
      <w:r>
        <w:t>Gastos</w:t>
      </w:r>
      <w:r>
        <w:tab/>
      </w:r>
      <w:r>
        <w:fldChar w:fldCharType="begin"/>
      </w:r>
      <w:r>
        <w:instrText xml:space="preserve"> PAGEREF _Toc15397077 \h </w:instrText>
      </w:r>
      <w:r>
        <w:fldChar w:fldCharType="separate"/>
      </w:r>
      <w:r>
        <w:t>26</w:t>
      </w:r>
      <w:r>
        <w:fldChar w:fldCharType="end"/>
      </w:r>
    </w:p>
    <w:p w:rsidR="00AB11BD" w:rsidRDefault="00AB11BD">
      <w:pPr>
        <w:pStyle w:val="TOC2"/>
        <w:rPr>
          <w:rFonts w:asciiTheme="minorHAnsi" w:eastAsiaTheme="minorEastAsia" w:hAnsiTheme="minorHAnsi" w:cstheme="minorBidi"/>
          <w:sz w:val="22"/>
          <w:szCs w:val="22"/>
        </w:rPr>
      </w:pPr>
      <w:r>
        <w:t>Nota 15:</w:t>
      </w:r>
      <w:r>
        <w:rPr>
          <w:rFonts w:asciiTheme="minorHAnsi" w:eastAsiaTheme="minorEastAsia" w:hAnsiTheme="minorHAnsi" w:cstheme="minorBidi"/>
          <w:sz w:val="22"/>
          <w:szCs w:val="22"/>
        </w:rPr>
        <w:tab/>
      </w:r>
      <w:r>
        <w:t>Instrumentos financieros</w:t>
      </w:r>
      <w:r>
        <w:tab/>
      </w:r>
      <w:r>
        <w:fldChar w:fldCharType="begin"/>
      </w:r>
      <w:r>
        <w:instrText xml:space="preserve"> PAGEREF _Toc15397078 \h </w:instrText>
      </w:r>
      <w:r>
        <w:fldChar w:fldCharType="separate"/>
      </w:r>
      <w:r>
        <w:t>26</w:t>
      </w:r>
      <w:r>
        <w:fldChar w:fldCharType="end"/>
      </w:r>
    </w:p>
    <w:p w:rsidR="00AB11BD" w:rsidRDefault="00AB11BD">
      <w:pPr>
        <w:pStyle w:val="TOC2"/>
        <w:rPr>
          <w:rFonts w:asciiTheme="minorHAnsi" w:eastAsiaTheme="minorEastAsia" w:hAnsiTheme="minorHAnsi" w:cstheme="minorBidi"/>
          <w:sz w:val="22"/>
          <w:szCs w:val="22"/>
        </w:rPr>
      </w:pPr>
      <w:r>
        <w:t>Nota 16:</w:t>
      </w:r>
      <w:r>
        <w:rPr>
          <w:rFonts w:asciiTheme="minorHAnsi" w:eastAsiaTheme="minorEastAsia" w:hAnsiTheme="minorHAnsi" w:cstheme="minorBidi"/>
          <w:sz w:val="22"/>
          <w:szCs w:val="22"/>
        </w:rPr>
        <w:tab/>
      </w:r>
      <w:r>
        <w:t>Hechos posteriores a la fecha de preparación del informe</w:t>
      </w:r>
      <w:r>
        <w:tab/>
      </w:r>
      <w:r>
        <w:fldChar w:fldCharType="begin"/>
      </w:r>
      <w:r>
        <w:instrText xml:space="preserve"> PAGEREF _Toc15397079 \h </w:instrText>
      </w:r>
      <w:r>
        <w:fldChar w:fldCharType="separate"/>
      </w:r>
      <w:r>
        <w:t>28</w:t>
      </w:r>
      <w:r>
        <w:fldChar w:fldCharType="end"/>
      </w:r>
    </w:p>
    <w:p w:rsidR="00AB11BD" w:rsidRDefault="00AB11BD">
      <w:pPr>
        <w:pStyle w:val="TOC2"/>
        <w:rPr>
          <w:rFonts w:asciiTheme="minorHAnsi" w:eastAsiaTheme="minorEastAsia" w:hAnsiTheme="minorHAnsi" w:cstheme="minorBidi"/>
          <w:sz w:val="22"/>
          <w:szCs w:val="22"/>
        </w:rPr>
      </w:pPr>
      <w:r>
        <w:t>Nota 17:</w:t>
      </w:r>
      <w:r>
        <w:rPr>
          <w:rFonts w:asciiTheme="minorHAnsi" w:eastAsiaTheme="minorEastAsia" w:hAnsiTheme="minorHAnsi" w:cstheme="minorBidi"/>
          <w:sz w:val="22"/>
          <w:szCs w:val="22"/>
        </w:rPr>
        <w:tab/>
      </w:r>
      <w:r>
        <w:t>Información financiera por segmentos</w:t>
      </w:r>
      <w:r>
        <w:tab/>
      </w:r>
      <w:r>
        <w:fldChar w:fldCharType="begin"/>
      </w:r>
      <w:r>
        <w:instrText xml:space="preserve"> PAGEREF _Toc15397080 \h </w:instrText>
      </w:r>
      <w:r>
        <w:fldChar w:fldCharType="separate"/>
      </w:r>
      <w:r>
        <w:t>29</w:t>
      </w:r>
      <w:r>
        <w:fldChar w:fldCharType="end"/>
      </w:r>
    </w:p>
    <w:p w:rsidR="00EA6058" w:rsidRPr="00BD0A1D" w:rsidRDefault="00850FDE" w:rsidP="00EA6058">
      <w:pPr>
        <w:rPr>
          <w:u w:val="single"/>
          <w:lang w:val="es-ES"/>
        </w:rPr>
      </w:pPr>
      <w:r>
        <w:rPr>
          <w:u w:val="single"/>
        </w:rPr>
        <w:fldChar w:fldCharType="end"/>
      </w:r>
    </w:p>
    <w:p w:rsidR="00EA6058" w:rsidRPr="00BD0A1D" w:rsidRDefault="00EA6058" w:rsidP="00EA6058">
      <w:pPr>
        <w:jc w:val="left"/>
        <w:rPr>
          <w:lang w:val="es-ES"/>
        </w:rPr>
      </w:pPr>
      <w:r w:rsidRPr="00BD0A1D">
        <w:rPr>
          <w:lang w:val="es-ES"/>
        </w:rPr>
        <w:br w:type="page"/>
      </w:r>
    </w:p>
    <w:p w:rsidR="00EA6058" w:rsidRDefault="000B6E51" w:rsidP="00EA6058">
      <w:pPr>
        <w:pStyle w:val="Heading1"/>
      </w:pPr>
      <w:bookmarkStart w:id="3" w:name="_Toc15397052"/>
      <w:r w:rsidRPr="0058399C">
        <w:rPr>
          <w:lang w:val="es-ES_tradnl"/>
        </w:rPr>
        <w:lastRenderedPageBreak/>
        <w:t>INTRODUCCIÓN</w:t>
      </w:r>
      <w:bookmarkEnd w:id="3"/>
    </w:p>
    <w:p w:rsidR="00EA6058" w:rsidRPr="00D67D80" w:rsidRDefault="00EA6058" w:rsidP="00EA6058"/>
    <w:p w:rsidR="00EA6058" w:rsidRPr="00B24DA2" w:rsidRDefault="00921C0B" w:rsidP="00EA6058">
      <w:pPr>
        <w:numPr>
          <w:ilvl w:val="0"/>
          <w:numId w:val="12"/>
        </w:numPr>
        <w:tabs>
          <w:tab w:val="clear" w:pos="1080"/>
        </w:tabs>
        <w:ind w:left="550" w:hanging="550"/>
        <w:rPr>
          <w:lang w:val="es-ES"/>
        </w:rPr>
      </w:pPr>
      <w:r w:rsidRPr="0058399C">
        <w:t>Los estados financieros de la Unión Internacional para la Protección de las Obtenciones Vegetales (UPOV) correspondientes al ejercicio concluido el</w:t>
      </w:r>
      <w:r w:rsidR="00FE1638">
        <w:t xml:space="preserve"> </w:t>
      </w:r>
      <w:r w:rsidRPr="0058399C">
        <w:t>31 de diciembre de</w:t>
      </w:r>
      <w:r w:rsidR="00FE1638">
        <w:t xml:space="preserve"> </w:t>
      </w:r>
      <w:r w:rsidRPr="0058399C">
        <w:t>2018 se presentan al Consejo de la</w:t>
      </w:r>
      <w:r w:rsidR="00FE1638">
        <w:t xml:space="preserve"> </w:t>
      </w:r>
      <w:r w:rsidRPr="0058399C">
        <w:t>UPOV de conformidad con el artículo</w:t>
      </w:r>
      <w:r w:rsidR="00FE1638">
        <w:t xml:space="preserve"> </w:t>
      </w:r>
      <w:r w:rsidRPr="0058399C">
        <w:t>6.5 del Reglamento Financiero y la Reglamentación Financiera de la</w:t>
      </w:r>
      <w:r w:rsidR="00FE1638">
        <w:t xml:space="preserve"> </w:t>
      </w:r>
      <w:r w:rsidRPr="0058399C">
        <w:t>UPOV (documento UPOV/INF/4/5):</w:t>
      </w:r>
    </w:p>
    <w:p w:rsidR="00EA6058" w:rsidRPr="00B24DA2" w:rsidRDefault="00EA6058" w:rsidP="00EA6058">
      <w:pPr>
        <w:rPr>
          <w:lang w:val="es-ES"/>
        </w:rPr>
      </w:pPr>
    </w:p>
    <w:p w:rsidR="00EA6058" w:rsidRPr="00B24DA2" w:rsidRDefault="00921C0B" w:rsidP="0058399C">
      <w:pPr>
        <w:spacing w:after="120"/>
        <w:ind w:left="550"/>
        <w:rPr>
          <w:b/>
          <w:lang w:val="es-ES"/>
        </w:rPr>
      </w:pPr>
      <w:r w:rsidRPr="0058399C">
        <w:rPr>
          <w:b/>
        </w:rPr>
        <w:t>Artículo</w:t>
      </w:r>
      <w:r w:rsidR="00FE1638">
        <w:rPr>
          <w:b/>
        </w:rPr>
        <w:t xml:space="preserve"> </w:t>
      </w:r>
      <w:r w:rsidRPr="0058399C">
        <w:rPr>
          <w:b/>
        </w:rPr>
        <w:t>6.5</w:t>
      </w:r>
    </w:p>
    <w:p w:rsidR="00EA6058" w:rsidRPr="00B24DA2" w:rsidRDefault="00EA6058" w:rsidP="00DF28C0">
      <w:pPr>
        <w:tabs>
          <w:tab w:val="left" w:pos="1134"/>
        </w:tabs>
        <w:spacing w:after="120"/>
        <w:ind w:left="550"/>
        <w:rPr>
          <w:lang w:val="es-ES"/>
        </w:rPr>
      </w:pPr>
      <w:r w:rsidRPr="00B24DA2">
        <w:rPr>
          <w:lang w:val="es-ES"/>
        </w:rPr>
        <w:t>1)</w:t>
      </w:r>
      <w:r w:rsidRPr="00B24DA2">
        <w:rPr>
          <w:lang w:val="es-ES"/>
        </w:rPr>
        <w:tab/>
      </w:r>
      <w:r w:rsidR="00921C0B" w:rsidRPr="0058399C">
        <w:t>El Secretario General entregará al Auditor Externo los estados financieros anuales correspondientes a cada año civil del ejercicio económico a más tardar el</w:t>
      </w:r>
      <w:r w:rsidR="00FE1638">
        <w:t xml:space="preserve"> </w:t>
      </w:r>
      <w:r w:rsidR="00921C0B" w:rsidRPr="0058399C">
        <w:t>31 de marzo siguiente a la finalización del año civil al que se refieren.</w:t>
      </w:r>
    </w:p>
    <w:p w:rsidR="00EA6058" w:rsidRPr="00B24DA2" w:rsidRDefault="00EA6058" w:rsidP="00DF28C0">
      <w:pPr>
        <w:tabs>
          <w:tab w:val="left" w:pos="1134"/>
        </w:tabs>
        <w:spacing w:after="120"/>
        <w:ind w:left="550"/>
        <w:rPr>
          <w:lang w:val="es-ES"/>
        </w:rPr>
      </w:pPr>
      <w:r w:rsidRPr="00B24DA2">
        <w:rPr>
          <w:lang w:val="es-ES"/>
        </w:rPr>
        <w:t>2)</w:t>
      </w:r>
      <w:r w:rsidRPr="00B24DA2">
        <w:rPr>
          <w:lang w:val="es-ES"/>
        </w:rPr>
        <w:tab/>
      </w:r>
      <w:r w:rsidR="00921C0B" w:rsidRPr="0058399C">
        <w:t>En el plazo de los ocho meses posteriores al cierre de cada año civil, el Secretario General someterá al Consejo el cierre de cuentas, los estados financieros anuales y el informe de auditoría emitido por el Auditor Externo.</w:t>
      </w:r>
    </w:p>
    <w:p w:rsidR="00EA6058" w:rsidRPr="00B24DA2" w:rsidRDefault="00EA6058" w:rsidP="00DF28C0">
      <w:pPr>
        <w:tabs>
          <w:tab w:val="left" w:pos="1134"/>
        </w:tabs>
        <w:spacing w:after="120"/>
        <w:ind w:left="550"/>
        <w:rPr>
          <w:lang w:val="es-ES"/>
        </w:rPr>
      </w:pPr>
      <w:r w:rsidRPr="00B24DA2">
        <w:rPr>
          <w:lang w:val="es-ES"/>
        </w:rPr>
        <w:t>3)</w:t>
      </w:r>
      <w:r w:rsidRPr="00B24DA2">
        <w:rPr>
          <w:lang w:val="es-ES"/>
        </w:rPr>
        <w:tab/>
      </w:r>
      <w:r w:rsidR="00921C0B" w:rsidRPr="0058399C">
        <w:t>El Consejo procederá a examinar los estados financieros anuales,</w:t>
      </w:r>
      <w:r w:rsidRPr="00B24DA2">
        <w:rPr>
          <w:lang w:val="es-ES"/>
        </w:rPr>
        <w:t xml:space="preserve"> </w:t>
      </w:r>
      <w:r w:rsidR="00921C0B" w:rsidRPr="0058399C">
        <w:t>y si apreciase que el Secretario General no ha determinado correctamente la cuota de los gastos comunes que corresponda a la</w:t>
      </w:r>
      <w:r w:rsidR="00FE1638">
        <w:t xml:space="preserve"> </w:t>
      </w:r>
      <w:r w:rsidR="00921C0B" w:rsidRPr="0058399C">
        <w:t>UPOV, podrá señalar los ajustes que se consideren oportunos.</w:t>
      </w:r>
      <w:r w:rsidRPr="00B24DA2">
        <w:rPr>
          <w:lang w:val="es-ES"/>
        </w:rPr>
        <w:t xml:space="preserve"> </w:t>
      </w:r>
      <w:r w:rsidR="00921C0B" w:rsidRPr="0058399C">
        <w:t>En tal supuesto, previa consulta con el Comité de Coordinación de la</w:t>
      </w:r>
      <w:r w:rsidR="00FE1638">
        <w:t xml:space="preserve"> </w:t>
      </w:r>
      <w:r w:rsidR="00921C0B" w:rsidRPr="0058399C">
        <w:t>OMPI, el Consejo establecerá la asignación definitiva.</w:t>
      </w:r>
    </w:p>
    <w:p w:rsidR="00EA6058" w:rsidRPr="00B24DA2" w:rsidRDefault="00EA6058" w:rsidP="00DF28C0">
      <w:pPr>
        <w:tabs>
          <w:tab w:val="left" w:pos="1134"/>
        </w:tabs>
        <w:ind w:left="550"/>
        <w:rPr>
          <w:lang w:val="es-ES"/>
        </w:rPr>
      </w:pPr>
      <w:r w:rsidRPr="00B24DA2">
        <w:rPr>
          <w:lang w:val="es-ES"/>
        </w:rPr>
        <w:t>4)</w:t>
      </w:r>
      <w:r w:rsidRPr="00B24DA2">
        <w:rPr>
          <w:lang w:val="es-ES"/>
        </w:rPr>
        <w:tab/>
      </w:r>
      <w:r w:rsidR="00921C0B" w:rsidRPr="0058399C">
        <w:t>El Consejo aprobará el cierre de los estados financieros anuales una vez cumplida la auditoría que se estipula en el artículo</w:t>
      </w:r>
      <w:r w:rsidR="00FE1638">
        <w:t xml:space="preserve"> </w:t>
      </w:r>
      <w:r w:rsidR="00921C0B" w:rsidRPr="0058399C">
        <w:t>24 del Convenio de</w:t>
      </w:r>
      <w:r w:rsidR="00FE1638">
        <w:t xml:space="preserve"> </w:t>
      </w:r>
      <w:r w:rsidR="00921C0B" w:rsidRPr="0058399C">
        <w:t>1961, el artículo</w:t>
      </w:r>
      <w:r w:rsidR="00FE1638">
        <w:t xml:space="preserve"> </w:t>
      </w:r>
      <w:r w:rsidR="00921C0B" w:rsidRPr="0058399C">
        <w:t>25 del Acta de</w:t>
      </w:r>
      <w:r w:rsidR="00FE1638">
        <w:t xml:space="preserve"> </w:t>
      </w:r>
      <w:r w:rsidR="00921C0B" w:rsidRPr="0058399C">
        <w:t>1978 y el artículo</w:t>
      </w:r>
      <w:r w:rsidR="00FE1638">
        <w:t xml:space="preserve"> </w:t>
      </w:r>
      <w:r w:rsidR="00921C0B" w:rsidRPr="0058399C">
        <w:t>29.6) del Acta de</w:t>
      </w:r>
      <w:r w:rsidR="00FE1638">
        <w:t xml:space="preserve"> </w:t>
      </w:r>
      <w:r w:rsidR="00921C0B" w:rsidRPr="0058399C">
        <w:t>1991.</w:t>
      </w:r>
    </w:p>
    <w:p w:rsidR="00EA6058" w:rsidRPr="00B24DA2" w:rsidRDefault="00EA6058" w:rsidP="00EA6058">
      <w:pPr>
        <w:rPr>
          <w:lang w:val="es-ES"/>
        </w:rPr>
      </w:pPr>
    </w:p>
    <w:p w:rsidR="00EA6058" w:rsidRPr="00B24DA2" w:rsidRDefault="00EA6058" w:rsidP="00EA6058">
      <w:pPr>
        <w:ind w:left="550" w:hanging="550"/>
        <w:rPr>
          <w:lang w:val="es-ES"/>
        </w:rPr>
      </w:pPr>
      <w:r w:rsidRPr="00B24DA2">
        <w:rPr>
          <w:lang w:val="es-ES"/>
        </w:rPr>
        <w:t>2.</w:t>
      </w:r>
      <w:r w:rsidRPr="00B24DA2">
        <w:rPr>
          <w:lang w:val="es-ES"/>
        </w:rPr>
        <w:tab/>
      </w:r>
      <w:r w:rsidR="00921C0B" w:rsidRPr="0058399C">
        <w:t xml:space="preserve">El informe del </w:t>
      </w:r>
      <w:r w:rsidR="0055772C" w:rsidRPr="0058399C">
        <w:t>Auditor Externo</w:t>
      </w:r>
      <w:r w:rsidR="00921C0B" w:rsidRPr="0058399C">
        <w:t xml:space="preserve"> sobre los estados financieros de</w:t>
      </w:r>
      <w:r w:rsidR="00FE1638">
        <w:t xml:space="preserve"> </w:t>
      </w:r>
      <w:r w:rsidR="00921C0B" w:rsidRPr="0058399C">
        <w:t>2018, junto con su dictamen, se presentan también al Consejo de la</w:t>
      </w:r>
      <w:r w:rsidR="00FE1638">
        <w:t xml:space="preserve"> </w:t>
      </w:r>
      <w:r w:rsidR="00921C0B" w:rsidRPr="0058399C">
        <w:t>Unión según lo dispuesto en el artículo</w:t>
      </w:r>
      <w:r w:rsidR="00FE1638">
        <w:t xml:space="preserve"> </w:t>
      </w:r>
      <w:r w:rsidR="00921C0B" w:rsidRPr="0058399C">
        <w:t>6.5 y en el Anexo</w:t>
      </w:r>
      <w:r w:rsidR="00FE1638">
        <w:t xml:space="preserve"> </w:t>
      </w:r>
      <w:r w:rsidR="00921C0B" w:rsidRPr="0058399C">
        <w:t>II del Reglamento Financiero y la Reglamentación Financiera de la</w:t>
      </w:r>
      <w:r w:rsidR="00FE1638">
        <w:t xml:space="preserve"> </w:t>
      </w:r>
      <w:r w:rsidR="00921C0B" w:rsidRPr="0058399C">
        <w:t>UPOV.</w:t>
      </w:r>
    </w:p>
    <w:p w:rsidR="00EA6058" w:rsidRPr="00B24DA2" w:rsidRDefault="00EA6058" w:rsidP="00EA6058">
      <w:pPr>
        <w:ind w:left="720" w:hanging="720"/>
        <w:rPr>
          <w:lang w:val="es-ES"/>
        </w:rPr>
      </w:pPr>
    </w:p>
    <w:p w:rsidR="00EA6058" w:rsidRPr="00B24DA2" w:rsidRDefault="00EA6058" w:rsidP="00EA6058">
      <w:pPr>
        <w:ind w:left="550" w:hanging="550"/>
        <w:rPr>
          <w:lang w:val="es-ES"/>
        </w:rPr>
      </w:pPr>
      <w:r w:rsidRPr="00B24DA2">
        <w:rPr>
          <w:lang w:val="es-ES"/>
        </w:rPr>
        <w:t>3.</w:t>
      </w:r>
      <w:r w:rsidRPr="00B24DA2">
        <w:rPr>
          <w:lang w:val="es-ES"/>
        </w:rPr>
        <w:tab/>
      </w:r>
      <w:r w:rsidR="00921C0B" w:rsidRPr="0058399C">
        <w:t>Los estados financieros de</w:t>
      </w:r>
      <w:r w:rsidR="00FE1638">
        <w:t xml:space="preserve"> </w:t>
      </w:r>
      <w:r w:rsidR="00921C0B" w:rsidRPr="0058399C">
        <w:t>2018 se han elaborado de conformidad con las Normas Internacionales de Contabilidad del Sector Público (IPSAS).</w:t>
      </w:r>
      <w:r w:rsidR="00680842" w:rsidRPr="00B24DA2">
        <w:rPr>
          <w:lang w:val="es-ES"/>
        </w:rPr>
        <w:t xml:space="preserve"> </w:t>
      </w:r>
      <w:r w:rsidR="0055772C">
        <w:rPr>
          <w:lang w:val="es-ES"/>
        </w:rPr>
        <w:t xml:space="preserve"> </w:t>
      </w:r>
      <w:r w:rsidR="00921C0B" w:rsidRPr="0058399C">
        <w:t>En su cuadragésima quinta sesión ordinaria, celebrada en Ginebra el</w:t>
      </w:r>
      <w:r w:rsidR="00FE1638">
        <w:t xml:space="preserve"> </w:t>
      </w:r>
      <w:r w:rsidR="00921C0B" w:rsidRPr="0058399C">
        <w:t>20 de octubre de</w:t>
      </w:r>
      <w:r w:rsidR="00FE1638">
        <w:t xml:space="preserve"> </w:t>
      </w:r>
      <w:r w:rsidR="00921C0B" w:rsidRPr="0058399C">
        <w:t>2011, el Consejo acordó la adopción de las IPSAS a partir del ejercicio financiero que comenzó en</w:t>
      </w:r>
      <w:r w:rsidR="00FE1638">
        <w:t xml:space="preserve"> </w:t>
      </w:r>
      <w:r w:rsidR="00921C0B" w:rsidRPr="0058399C">
        <w:t>2012 (véase el párrafo</w:t>
      </w:r>
      <w:r w:rsidR="00FE1638">
        <w:t xml:space="preserve"> </w:t>
      </w:r>
      <w:r w:rsidR="00921C0B" w:rsidRPr="0058399C">
        <w:t>9.b) del documento C/45/18 “Informe”).</w:t>
      </w:r>
      <w:r w:rsidRPr="00B24DA2">
        <w:rPr>
          <w:lang w:val="es-ES"/>
        </w:rPr>
        <w:t xml:space="preserve"> </w:t>
      </w:r>
      <w:r w:rsidR="0055772C">
        <w:rPr>
          <w:lang w:val="es-ES"/>
        </w:rPr>
        <w:t xml:space="preserve"> </w:t>
      </w:r>
      <w:r w:rsidR="00921C0B" w:rsidRPr="0058399C">
        <w:t>En virtud de ese acuerdo, se sustituyeron las normas de contabilidad que se utilizaban hasta entonces (las UNSAS, Normas de Contabilidad del Sistema de las Naciones Unidas) por las IPSAS, que están reconocidas internacionalmente.</w:t>
      </w:r>
      <w:r w:rsidRPr="00B24DA2">
        <w:rPr>
          <w:lang w:val="es-ES"/>
        </w:rPr>
        <w:t xml:space="preserve"> </w:t>
      </w:r>
      <w:r w:rsidR="0055772C">
        <w:rPr>
          <w:lang w:val="es-ES"/>
        </w:rPr>
        <w:t xml:space="preserve"> </w:t>
      </w:r>
      <w:r w:rsidR="00921C0B" w:rsidRPr="0058399C">
        <w:t>Los estados financieros de</w:t>
      </w:r>
      <w:r w:rsidR="00FE1638">
        <w:t xml:space="preserve"> </w:t>
      </w:r>
      <w:r w:rsidR="00921C0B" w:rsidRPr="0058399C">
        <w:t>2018 constituyen la séptima serie de estados financieros de la</w:t>
      </w:r>
      <w:r w:rsidR="00FE1638">
        <w:t xml:space="preserve"> </w:t>
      </w:r>
      <w:r w:rsidR="00921C0B" w:rsidRPr="0058399C">
        <w:t>UPOV que se elaboran de conformidad con las IPSAS.</w:t>
      </w:r>
      <w:r w:rsidRPr="00B24DA2">
        <w:rPr>
          <w:lang w:val="es-ES"/>
        </w:rPr>
        <w:t xml:space="preserve"> </w:t>
      </w:r>
    </w:p>
    <w:p w:rsidR="00EA6058" w:rsidRPr="00B24DA2" w:rsidRDefault="00EA6058" w:rsidP="00EA6058">
      <w:pPr>
        <w:rPr>
          <w:lang w:val="es-ES"/>
        </w:rPr>
      </w:pPr>
    </w:p>
    <w:p w:rsidR="00EA6058" w:rsidRPr="00B24DA2" w:rsidRDefault="00EA6058" w:rsidP="00EA6058">
      <w:pPr>
        <w:pStyle w:val="Heading1"/>
        <w:rPr>
          <w:lang w:val="es-ES"/>
        </w:rPr>
      </w:pPr>
      <w:bookmarkStart w:id="4" w:name="_Toc477872938"/>
    </w:p>
    <w:p w:rsidR="00EA6058" w:rsidRPr="00B24DA2" w:rsidRDefault="00921C0B" w:rsidP="00EA6058">
      <w:pPr>
        <w:pStyle w:val="Heading1"/>
        <w:rPr>
          <w:lang w:val="es-ES"/>
        </w:rPr>
      </w:pPr>
      <w:bookmarkStart w:id="5" w:name="_Toc15397053"/>
      <w:bookmarkEnd w:id="4"/>
      <w:r w:rsidRPr="0058399C">
        <w:rPr>
          <w:lang w:val="es-ES_tradnl"/>
        </w:rPr>
        <w:t>RESULTADOS DEL EJERCICIO FINANCIERO CONCLUIDO EL</w:t>
      </w:r>
      <w:r w:rsidR="00FE1638">
        <w:rPr>
          <w:lang w:val="es-ES_tradnl"/>
        </w:rPr>
        <w:t xml:space="preserve"> </w:t>
      </w:r>
      <w:r w:rsidRPr="0058399C">
        <w:rPr>
          <w:lang w:val="es-ES_tradnl"/>
        </w:rPr>
        <w:t>31 DE DICIEMBRE DE</w:t>
      </w:r>
      <w:r w:rsidR="00FE1638">
        <w:rPr>
          <w:lang w:val="es-ES_tradnl"/>
        </w:rPr>
        <w:t xml:space="preserve"> </w:t>
      </w:r>
      <w:r w:rsidRPr="0058399C">
        <w:rPr>
          <w:lang w:val="es-ES_tradnl"/>
        </w:rPr>
        <w:t>2018</w:t>
      </w:r>
      <w:bookmarkEnd w:id="5"/>
    </w:p>
    <w:p w:rsidR="00EA6058" w:rsidRPr="00B24DA2" w:rsidRDefault="00EA6058" w:rsidP="00EA6058">
      <w:pPr>
        <w:rPr>
          <w:lang w:val="es-ES"/>
        </w:rPr>
      </w:pPr>
    </w:p>
    <w:p w:rsidR="00EA6058" w:rsidRPr="00B24DA2" w:rsidRDefault="00921C0B" w:rsidP="00EA6058">
      <w:pPr>
        <w:pStyle w:val="Heading2"/>
        <w:rPr>
          <w:lang w:val="es-ES"/>
        </w:rPr>
      </w:pPr>
      <w:bookmarkStart w:id="6" w:name="_Toc15397054"/>
      <w:r w:rsidRPr="0058399C">
        <w:rPr>
          <w:lang w:val="es-ES_tradnl"/>
        </w:rPr>
        <w:t>Elaboración de los estados financieros con arreglo a las IPSAS</w:t>
      </w:r>
      <w:bookmarkEnd w:id="6"/>
    </w:p>
    <w:p w:rsidR="00EA6058" w:rsidRPr="00B24DA2" w:rsidRDefault="00EA6058" w:rsidP="00EA6058">
      <w:pPr>
        <w:rPr>
          <w:lang w:val="es-ES"/>
        </w:rPr>
      </w:pPr>
    </w:p>
    <w:p w:rsidR="00EA6058" w:rsidRPr="00B24DA2" w:rsidRDefault="00921C0B" w:rsidP="00EA6058">
      <w:pPr>
        <w:numPr>
          <w:ilvl w:val="0"/>
          <w:numId w:val="18"/>
        </w:numPr>
        <w:tabs>
          <w:tab w:val="num" w:pos="550"/>
        </w:tabs>
        <w:autoSpaceDE w:val="0"/>
        <w:autoSpaceDN w:val="0"/>
        <w:adjustRightInd w:val="0"/>
        <w:ind w:left="550" w:hanging="550"/>
        <w:rPr>
          <w:lang w:val="es-ES"/>
        </w:rPr>
      </w:pPr>
      <w:r w:rsidRPr="0058399C">
        <w:t>Las IPSAS obligan a aplicar la base contable integral de acumulación (o devengo).</w:t>
      </w:r>
      <w:r w:rsidR="00EA6058" w:rsidRPr="00B24DA2">
        <w:rPr>
          <w:lang w:val="es-ES"/>
        </w:rPr>
        <w:t xml:space="preserve"> </w:t>
      </w:r>
      <w:r w:rsidRPr="0058399C">
        <w:t>La contabilidad de devengo implica el reconocimiento de las transacciones y de los hechos en el momento en que tienen lugar,</w:t>
      </w:r>
      <w:r w:rsidR="00EA6058" w:rsidRPr="00B24DA2">
        <w:rPr>
          <w:lang w:val="es-ES"/>
        </w:rPr>
        <w:t xml:space="preserve"> </w:t>
      </w:r>
      <w:r w:rsidRPr="0058399C">
        <w:t>lo que significa que se registran en las escrituras contables y se reflejan en los estados financieros de los ejercicios a los que corresponden y no solo cuando se percibe o se paga dinero en efectivo o su equivalente.</w:t>
      </w:r>
    </w:p>
    <w:p w:rsidR="00EA6058" w:rsidRPr="00B24DA2" w:rsidRDefault="00EA6058" w:rsidP="00EA6058">
      <w:pPr>
        <w:autoSpaceDE w:val="0"/>
        <w:autoSpaceDN w:val="0"/>
        <w:adjustRightInd w:val="0"/>
        <w:rPr>
          <w:lang w:val="es-ES"/>
        </w:rPr>
      </w:pPr>
    </w:p>
    <w:p w:rsidR="00EA6058" w:rsidRPr="00B24DA2" w:rsidRDefault="00921C0B" w:rsidP="00EA6058">
      <w:pPr>
        <w:numPr>
          <w:ilvl w:val="0"/>
          <w:numId w:val="18"/>
        </w:numPr>
        <w:tabs>
          <w:tab w:val="num" w:pos="550"/>
        </w:tabs>
        <w:autoSpaceDE w:val="0"/>
        <w:autoSpaceDN w:val="0"/>
        <w:adjustRightInd w:val="0"/>
        <w:ind w:left="550" w:hanging="550"/>
        <w:rPr>
          <w:lang w:val="es-ES"/>
        </w:rPr>
      </w:pPr>
      <w:r w:rsidRPr="0058399C">
        <w:t>Conforme a las IPSAS, los ingresos procedentes de las contribuciones y de los fondos extrapresupuestarios (fondos fiduciarios) se contabilizan en el momento en que se cumple el derecho de la</w:t>
      </w:r>
      <w:r w:rsidR="00FE1638">
        <w:t xml:space="preserve"> </w:t>
      </w:r>
      <w:r w:rsidRPr="0058399C">
        <w:t>UPOV a percibir la contribución.</w:t>
      </w:r>
      <w:r w:rsidR="00EA6058" w:rsidRPr="00B24DA2">
        <w:rPr>
          <w:lang w:val="es-ES"/>
        </w:rPr>
        <w:t xml:space="preserve"> </w:t>
      </w:r>
      <w:r w:rsidRPr="0058399C">
        <w:t>Las contribuciones que se adeudan a la</w:t>
      </w:r>
      <w:r w:rsidR="00FE1638">
        <w:t xml:space="preserve"> </w:t>
      </w:r>
      <w:r w:rsidRPr="0058399C">
        <w:t>UPOV se indican en un saldo por cobrar, pero los importes aún pendientes de anteriores ejercicios se deducen del saldo total.</w:t>
      </w:r>
      <w:r w:rsidR="00EA6058" w:rsidRPr="00B24DA2">
        <w:rPr>
          <w:lang w:val="es-ES"/>
        </w:rPr>
        <w:t xml:space="preserve"> </w:t>
      </w:r>
      <w:r w:rsidRPr="0058399C">
        <w:t>Los acuerdos de contribución voluntaria se examinan para determinar si es necesario que la</w:t>
      </w:r>
      <w:r w:rsidR="00FE1638">
        <w:t xml:space="preserve"> </w:t>
      </w:r>
      <w:r w:rsidRPr="0058399C">
        <w:t>UPOV cumpla unas condiciones relativas a resultados específicos, en cuyo caso los ingresos se reconocen únicamente cuando se satisfacen las condiciones.</w:t>
      </w:r>
      <w:r w:rsidR="00EA6058" w:rsidRPr="00B24DA2">
        <w:rPr>
          <w:lang w:val="es-ES"/>
        </w:rPr>
        <w:t xml:space="preserve"> </w:t>
      </w:r>
    </w:p>
    <w:p w:rsidR="00EA6058" w:rsidRPr="00B24DA2" w:rsidRDefault="00EA6058" w:rsidP="00EA6058">
      <w:pPr>
        <w:rPr>
          <w:lang w:val="es-ES"/>
        </w:rPr>
      </w:pPr>
    </w:p>
    <w:p w:rsidR="00EA6058" w:rsidRPr="00B24DA2" w:rsidRDefault="00921C0B" w:rsidP="00EA6058">
      <w:pPr>
        <w:numPr>
          <w:ilvl w:val="0"/>
          <w:numId w:val="18"/>
        </w:numPr>
        <w:tabs>
          <w:tab w:val="num" w:pos="550"/>
        </w:tabs>
        <w:ind w:left="550" w:hanging="550"/>
        <w:rPr>
          <w:lang w:val="es-ES"/>
        </w:rPr>
      </w:pPr>
      <w:r w:rsidRPr="0058399C">
        <w:t>El valor de las prestaciones futuras a los empleados (por ejemplo, las vacaciones anuales acumuladas, las primas de repatriación o el seguro médico tras la separación del servicio) que han devengado en favor de los miembros del personal de la</w:t>
      </w:r>
      <w:r w:rsidR="00FE1638">
        <w:t xml:space="preserve"> </w:t>
      </w:r>
      <w:r w:rsidRPr="0058399C">
        <w:t>UPOV pero que estos no han percibido aún se registra para aprehender el pleno costo del empleo de personal.</w:t>
      </w:r>
      <w:r w:rsidR="00EA6058" w:rsidRPr="00B24DA2">
        <w:rPr>
          <w:lang w:val="es-ES"/>
        </w:rPr>
        <w:t xml:space="preserve"> </w:t>
      </w:r>
    </w:p>
    <w:p w:rsidR="00EA6058" w:rsidRPr="00B24DA2" w:rsidRDefault="00EA6058" w:rsidP="00EA6058">
      <w:pPr>
        <w:rPr>
          <w:lang w:val="es-ES"/>
        </w:rPr>
      </w:pPr>
    </w:p>
    <w:p w:rsidR="00EA6058" w:rsidRPr="00B24DA2" w:rsidRDefault="00921C0B" w:rsidP="00EA6058">
      <w:pPr>
        <w:numPr>
          <w:ilvl w:val="0"/>
          <w:numId w:val="18"/>
        </w:numPr>
        <w:tabs>
          <w:tab w:val="num" w:pos="550"/>
        </w:tabs>
        <w:ind w:left="550" w:hanging="550"/>
        <w:rPr>
          <w:lang w:val="es-ES"/>
        </w:rPr>
      </w:pPr>
      <w:r w:rsidRPr="0058399C">
        <w:t>En la actualidad, la aplicación de las IPSAS no afecta a la elaboración del programa y presupuesto, que se presenta aún según el criterio de devengo modificado.</w:t>
      </w:r>
      <w:r w:rsidR="00EA6058" w:rsidRPr="00B24DA2">
        <w:rPr>
          <w:lang w:val="es-ES"/>
        </w:rPr>
        <w:t xml:space="preserve"> </w:t>
      </w:r>
      <w:r w:rsidRPr="0058399C">
        <w:t xml:space="preserve">Dado que este criterio es distinto de la base </w:t>
      </w:r>
      <w:r w:rsidRPr="0058399C">
        <w:lastRenderedPageBreak/>
        <w:t>contable integral de devengo que se aplica a los estados financieros, las IPSAS exigen que se efectúe una conciliación entre el presupuesto y los estados financieros principales.</w:t>
      </w:r>
    </w:p>
    <w:p w:rsidR="00EA6058" w:rsidRPr="00B24DA2" w:rsidRDefault="00EA6058" w:rsidP="00EA6058">
      <w:pPr>
        <w:rPr>
          <w:lang w:val="es-ES"/>
        </w:rPr>
      </w:pPr>
    </w:p>
    <w:p w:rsidR="00EA6058" w:rsidRPr="00B24DA2" w:rsidRDefault="00921C0B" w:rsidP="00EA6058">
      <w:pPr>
        <w:numPr>
          <w:ilvl w:val="0"/>
          <w:numId w:val="18"/>
        </w:numPr>
        <w:tabs>
          <w:tab w:val="num" w:pos="550"/>
        </w:tabs>
        <w:ind w:left="550" w:hanging="550"/>
        <w:rPr>
          <w:lang w:val="es-ES"/>
        </w:rPr>
      </w:pPr>
      <w:r w:rsidRPr="0058399C">
        <w:t>Las IPSAS obligan a incluir información más detallada en las notas sobre los estados financieros, en aras de la transparencia.</w:t>
      </w:r>
      <w:r w:rsidR="00EA6058" w:rsidRPr="00B24DA2">
        <w:rPr>
          <w:lang w:val="es-ES"/>
        </w:rPr>
        <w:t xml:space="preserve"> </w:t>
      </w:r>
      <w:r w:rsidRPr="0058399C">
        <w:t>Por ello, la</w:t>
      </w:r>
      <w:r w:rsidR="00FE1638">
        <w:t xml:space="preserve"> </w:t>
      </w:r>
      <w:r w:rsidRPr="0058399C">
        <w:t>UPOV proporciona información sobre la remuneración del personal directivo clave.</w:t>
      </w:r>
      <w:r w:rsidR="00EA6058" w:rsidRPr="00B24DA2">
        <w:rPr>
          <w:lang w:val="es-ES"/>
        </w:rPr>
        <w:t xml:space="preserve"> </w:t>
      </w:r>
    </w:p>
    <w:p w:rsidR="001B487F" w:rsidRPr="00B24DA2" w:rsidRDefault="001B487F" w:rsidP="001B487F">
      <w:pPr>
        <w:rPr>
          <w:lang w:val="es-ES"/>
        </w:rPr>
      </w:pPr>
    </w:p>
    <w:p w:rsidR="00EA6058" w:rsidRPr="00625068" w:rsidRDefault="00921C0B" w:rsidP="00EA6058">
      <w:pPr>
        <w:pStyle w:val="Heading2"/>
      </w:pPr>
      <w:bookmarkStart w:id="7" w:name="_Toc15397055"/>
      <w:r w:rsidRPr="0058399C">
        <w:rPr>
          <w:lang w:val="es-ES_tradnl"/>
        </w:rPr>
        <w:t>Rendimiento financiero</w:t>
      </w:r>
      <w:bookmarkEnd w:id="7"/>
    </w:p>
    <w:p w:rsidR="00EA6058" w:rsidRPr="00625068" w:rsidRDefault="00EA6058" w:rsidP="00EA6058"/>
    <w:p w:rsidR="00EA6058" w:rsidRPr="00B24DA2" w:rsidRDefault="00DE502B" w:rsidP="00EA6058">
      <w:pPr>
        <w:numPr>
          <w:ilvl w:val="0"/>
          <w:numId w:val="18"/>
        </w:numPr>
        <w:tabs>
          <w:tab w:val="num" w:pos="550"/>
        </w:tabs>
        <w:ind w:left="550" w:hanging="550"/>
        <w:rPr>
          <w:lang w:val="es-ES"/>
        </w:rPr>
      </w:pPr>
      <w:r w:rsidRPr="0058399C">
        <w:t>Los resultados de la</w:t>
      </w:r>
      <w:r w:rsidR="00FE1638">
        <w:t xml:space="preserve"> </w:t>
      </w:r>
      <w:r w:rsidRPr="0058399C">
        <w:t>UPOV indican un déficit de</w:t>
      </w:r>
      <w:r w:rsidR="00FE1638">
        <w:t xml:space="preserve"> </w:t>
      </w:r>
      <w:r w:rsidRPr="0058399C">
        <w:t>41.675 francos suizos en este ejercicio, con unos ingresos totales de</w:t>
      </w:r>
      <w:r w:rsidR="00FE1638">
        <w:t xml:space="preserve"> </w:t>
      </w:r>
      <w:r w:rsidRPr="0058399C">
        <w:t>3.627.873 francos suizos y unos gastos totales de</w:t>
      </w:r>
      <w:r w:rsidR="00FE1638">
        <w:t xml:space="preserve"> </w:t>
      </w:r>
      <w:r w:rsidRPr="0058399C">
        <w:t>3.669.548 francos suizos.</w:t>
      </w:r>
      <w:r w:rsidR="00EA6058" w:rsidRPr="00B24DA2">
        <w:rPr>
          <w:color w:val="000000" w:themeColor="text1"/>
          <w:lang w:val="es-ES"/>
        </w:rPr>
        <w:t xml:space="preserve"> </w:t>
      </w:r>
      <w:r w:rsidR="00C80D0C">
        <w:rPr>
          <w:color w:val="000000" w:themeColor="text1"/>
          <w:lang w:val="es-ES"/>
        </w:rPr>
        <w:t xml:space="preserve"> </w:t>
      </w:r>
      <w:r w:rsidRPr="0058399C">
        <w:rPr>
          <w:color w:val="000000" w:themeColor="text1"/>
        </w:rPr>
        <w:t>En comparación, en el ejercicio</w:t>
      </w:r>
      <w:r w:rsidR="00FE1638">
        <w:rPr>
          <w:color w:val="000000" w:themeColor="text1"/>
        </w:rPr>
        <w:t xml:space="preserve"> </w:t>
      </w:r>
      <w:r w:rsidRPr="0058399C">
        <w:rPr>
          <w:color w:val="000000" w:themeColor="text1"/>
        </w:rPr>
        <w:t>2017 se registró un déficit de</w:t>
      </w:r>
      <w:r w:rsidR="00FE1638">
        <w:rPr>
          <w:color w:val="000000" w:themeColor="text1"/>
        </w:rPr>
        <w:t xml:space="preserve"> </w:t>
      </w:r>
      <w:r w:rsidRPr="0058399C">
        <w:rPr>
          <w:color w:val="000000" w:themeColor="text1"/>
        </w:rPr>
        <w:t>290.363 francos suizos, con unos ingresos totales de</w:t>
      </w:r>
      <w:r w:rsidR="00FE1638">
        <w:rPr>
          <w:color w:val="000000" w:themeColor="text1"/>
        </w:rPr>
        <w:t xml:space="preserve"> </w:t>
      </w:r>
      <w:r w:rsidRPr="0058399C">
        <w:rPr>
          <w:color w:val="000000" w:themeColor="text1"/>
        </w:rPr>
        <w:t>3.644.418 francos suizos y unos gastos totales de</w:t>
      </w:r>
      <w:r w:rsidR="00FE1638">
        <w:rPr>
          <w:color w:val="000000" w:themeColor="text1"/>
        </w:rPr>
        <w:t xml:space="preserve"> </w:t>
      </w:r>
      <w:r w:rsidRPr="0058399C">
        <w:rPr>
          <w:color w:val="000000" w:themeColor="text1"/>
        </w:rPr>
        <w:t>3.934.781 francos suizos.</w:t>
      </w:r>
    </w:p>
    <w:p w:rsidR="00EA6058" w:rsidRPr="00B24DA2" w:rsidRDefault="00EA6058" w:rsidP="00EA6058">
      <w:pPr>
        <w:rPr>
          <w:lang w:val="es-ES"/>
        </w:rPr>
      </w:pPr>
    </w:p>
    <w:p w:rsidR="00EA6058" w:rsidRPr="00B24DA2" w:rsidRDefault="00DE502B" w:rsidP="00EA6058">
      <w:pPr>
        <w:numPr>
          <w:ilvl w:val="0"/>
          <w:numId w:val="18"/>
        </w:numPr>
        <w:tabs>
          <w:tab w:val="num" w:pos="550"/>
        </w:tabs>
        <w:ind w:left="550" w:hanging="550"/>
        <w:rPr>
          <w:lang w:val="es-ES"/>
        </w:rPr>
      </w:pPr>
      <w:r w:rsidRPr="0058399C">
        <w:t>En la nota relativa a la información financiera por segmentos se ofrece un desglose de los datos de rendimiento financiero por segmentos, que se resume a continuación:</w:t>
      </w:r>
    </w:p>
    <w:p w:rsidR="00EA6058" w:rsidRPr="00B24DA2" w:rsidRDefault="00EA6058" w:rsidP="00EA6058">
      <w:pPr>
        <w:rPr>
          <w:b/>
          <w:i/>
          <w:lang w:val="es-ES"/>
        </w:rPr>
      </w:pPr>
    </w:p>
    <w:p w:rsidR="00EA6058" w:rsidRPr="00B24DA2" w:rsidRDefault="00DE502B" w:rsidP="00EA6058">
      <w:pPr>
        <w:autoSpaceDE w:val="0"/>
        <w:autoSpaceDN w:val="0"/>
        <w:adjustRightInd w:val="0"/>
        <w:rPr>
          <w:b/>
          <w:i/>
          <w:lang w:val="es-ES"/>
        </w:rPr>
      </w:pPr>
      <w:r w:rsidRPr="0058399C">
        <w:rPr>
          <w:b/>
          <w:i/>
        </w:rPr>
        <w:t>Cuadro</w:t>
      </w:r>
      <w:r w:rsidR="00FE1638">
        <w:rPr>
          <w:b/>
          <w:i/>
        </w:rPr>
        <w:t xml:space="preserve"> </w:t>
      </w:r>
      <w:r w:rsidRPr="0058399C">
        <w:rPr>
          <w:b/>
          <w:i/>
        </w:rPr>
        <w:t>1.</w:t>
      </w:r>
      <w:r w:rsidR="00EA6058" w:rsidRPr="00B24DA2">
        <w:rPr>
          <w:b/>
          <w:i/>
          <w:lang w:val="es-ES"/>
        </w:rPr>
        <w:t xml:space="preserve"> </w:t>
      </w:r>
      <w:r w:rsidRPr="0058399C">
        <w:rPr>
          <w:b/>
          <w:i/>
        </w:rPr>
        <w:t>Resumen del rendimiento financiero por segmentos</w:t>
      </w:r>
    </w:p>
    <w:p w:rsidR="00EA6058" w:rsidRPr="00B24DA2" w:rsidRDefault="00EA6058" w:rsidP="00EA6058">
      <w:pPr>
        <w:autoSpaceDE w:val="0"/>
        <w:autoSpaceDN w:val="0"/>
        <w:adjustRightInd w:val="0"/>
        <w:rPr>
          <w:b/>
          <w:i/>
          <w:szCs w:val="22"/>
          <w:lang w:val="es-ES"/>
        </w:rPr>
      </w:pPr>
    </w:p>
    <w:p w:rsidR="00EA6058" w:rsidRDefault="002E6CDA" w:rsidP="00EA6058">
      <w:pPr>
        <w:autoSpaceDE w:val="0"/>
        <w:autoSpaceDN w:val="0"/>
        <w:adjustRightInd w:val="0"/>
        <w:jc w:val="center"/>
        <w:rPr>
          <w:rFonts w:ascii="Times New Roman" w:hAnsi="Times New Roman"/>
        </w:rPr>
      </w:pPr>
      <w:r w:rsidRPr="002E6CDA">
        <w:rPr>
          <w:noProof/>
          <w:lang w:val="en-US"/>
        </w:rPr>
        <w:drawing>
          <wp:inline distT="0" distB="0" distL="0" distR="0">
            <wp:extent cx="6120000" cy="1563700"/>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tretch>
                      <a:fillRect/>
                    </a:stretch>
                  </pic:blipFill>
                  <pic:spPr bwMode="auto">
                    <a:xfrm>
                      <a:off x="0" y="0"/>
                      <a:ext cx="6120000" cy="1563700"/>
                    </a:xfrm>
                    <a:prstGeom prst="rect">
                      <a:avLst/>
                    </a:prstGeom>
                    <a:noFill/>
                    <a:ln>
                      <a:noFill/>
                    </a:ln>
                  </pic:spPr>
                </pic:pic>
              </a:graphicData>
            </a:graphic>
          </wp:inline>
        </w:drawing>
      </w:r>
      <w:r w:rsidR="00850FDE">
        <w:rPr>
          <w:noProof/>
        </w:rPr>
        <w:fldChar w:fldCharType="begin"/>
      </w:r>
      <w:r w:rsidR="00EA6058">
        <w:rPr>
          <w:noProof/>
        </w:rPr>
        <w:instrText xml:space="preserve"> LINK Excel.Sheet.12 "\\\\wipogvafs01\\FIN\\ORGBFFI\\SHARED\\IPSAS\\13. UPOV YEAR END FILES\\2013\\01. LEAD DOCUMENTS\\01. UPOV TABLES FOR FINANCIAL STATEMENTS 2013.xlsx" "Intro Table 1!R3C3:R25C12" \a \f 4 \h  \* MERGEFORMAT </w:instrText>
      </w:r>
      <w:r w:rsidR="00850FDE">
        <w:rPr>
          <w:noProof/>
        </w:rPr>
        <w:fldChar w:fldCharType="separate"/>
      </w:r>
    </w:p>
    <w:p w:rsidR="00EA6058" w:rsidRPr="00625068" w:rsidRDefault="00850FDE" w:rsidP="00EA6058">
      <w:pPr>
        <w:autoSpaceDE w:val="0"/>
        <w:autoSpaceDN w:val="0"/>
        <w:adjustRightInd w:val="0"/>
      </w:pPr>
      <w:r>
        <w:rPr>
          <w:noProof/>
        </w:rPr>
        <w:fldChar w:fldCharType="end"/>
      </w:r>
    </w:p>
    <w:p w:rsidR="00EA6058" w:rsidRPr="00B24DA2" w:rsidRDefault="00D662DA" w:rsidP="00EA6058">
      <w:pPr>
        <w:pStyle w:val="ListParagraph"/>
        <w:numPr>
          <w:ilvl w:val="0"/>
          <w:numId w:val="18"/>
        </w:numPr>
        <w:jc w:val="both"/>
        <w:rPr>
          <w:sz w:val="20"/>
          <w:lang w:val="es-ES"/>
        </w:rPr>
      </w:pPr>
      <w:r w:rsidRPr="0058399C">
        <w:rPr>
          <w:sz w:val="20"/>
        </w:rPr>
        <w:t>Las principales fuentes de financiación de las actividades de la</w:t>
      </w:r>
      <w:r w:rsidR="00FE1638">
        <w:rPr>
          <w:sz w:val="20"/>
        </w:rPr>
        <w:t xml:space="preserve"> </w:t>
      </w:r>
      <w:r w:rsidRPr="0058399C">
        <w:rPr>
          <w:sz w:val="20"/>
        </w:rPr>
        <w:t xml:space="preserve">UPOV son dos: las contribuciones y </w:t>
      </w:r>
      <w:r w:rsidR="00C80D0C">
        <w:rPr>
          <w:sz w:val="20"/>
        </w:rPr>
        <w:br/>
      </w:r>
      <w:r w:rsidRPr="0058399C">
        <w:rPr>
          <w:sz w:val="20"/>
        </w:rPr>
        <w:t>los fondos extrapresupuestarios (fondos fiduciarios).</w:t>
      </w:r>
      <w:r w:rsidR="00EA6058" w:rsidRPr="00B24DA2">
        <w:rPr>
          <w:sz w:val="20"/>
          <w:lang w:val="es-ES"/>
        </w:rPr>
        <w:t xml:space="preserve"> </w:t>
      </w:r>
      <w:r w:rsidR="00C80D0C">
        <w:rPr>
          <w:sz w:val="20"/>
          <w:lang w:val="es-ES"/>
        </w:rPr>
        <w:t xml:space="preserve"> </w:t>
      </w:r>
      <w:r w:rsidRPr="0058399C">
        <w:rPr>
          <w:color w:val="000000" w:themeColor="text1"/>
          <w:sz w:val="20"/>
        </w:rPr>
        <w:t>Las contribuciones, que ascendieron a</w:t>
      </w:r>
      <w:r w:rsidR="00FE1638">
        <w:rPr>
          <w:color w:val="000000" w:themeColor="text1"/>
          <w:sz w:val="20"/>
        </w:rPr>
        <w:t xml:space="preserve"> </w:t>
      </w:r>
      <w:r w:rsidR="00C80D0C">
        <w:rPr>
          <w:color w:val="000000" w:themeColor="text1"/>
          <w:sz w:val="20"/>
        </w:rPr>
        <w:t>3.323.050 </w:t>
      </w:r>
      <w:r w:rsidRPr="0058399C">
        <w:rPr>
          <w:color w:val="000000" w:themeColor="text1"/>
          <w:sz w:val="20"/>
        </w:rPr>
        <w:t>francos suizos, representan aproximadamente el</w:t>
      </w:r>
      <w:r w:rsidR="00FE1638">
        <w:rPr>
          <w:color w:val="000000" w:themeColor="text1"/>
          <w:sz w:val="20"/>
        </w:rPr>
        <w:t xml:space="preserve"> </w:t>
      </w:r>
      <w:r w:rsidRPr="0058399C">
        <w:rPr>
          <w:color w:val="000000" w:themeColor="text1"/>
          <w:sz w:val="20"/>
        </w:rPr>
        <w:t>91,6% de los ingresos totales de la</w:t>
      </w:r>
      <w:r w:rsidR="00FE1638">
        <w:rPr>
          <w:color w:val="000000" w:themeColor="text1"/>
          <w:sz w:val="20"/>
        </w:rPr>
        <w:t xml:space="preserve"> </w:t>
      </w:r>
      <w:r w:rsidRPr="0058399C">
        <w:rPr>
          <w:color w:val="000000" w:themeColor="text1"/>
          <w:sz w:val="20"/>
        </w:rPr>
        <w:t>UPOV en</w:t>
      </w:r>
      <w:r w:rsidR="00FE1638">
        <w:rPr>
          <w:color w:val="000000" w:themeColor="text1"/>
          <w:sz w:val="20"/>
        </w:rPr>
        <w:t xml:space="preserve"> </w:t>
      </w:r>
      <w:r w:rsidRPr="0058399C">
        <w:rPr>
          <w:color w:val="000000" w:themeColor="text1"/>
          <w:sz w:val="20"/>
        </w:rPr>
        <w:t>2018.</w:t>
      </w:r>
      <w:r w:rsidR="00EA6058" w:rsidRPr="00B24DA2">
        <w:rPr>
          <w:sz w:val="20"/>
          <w:lang w:val="es-ES"/>
        </w:rPr>
        <w:t xml:space="preserve"> </w:t>
      </w:r>
      <w:r w:rsidR="00C80D0C">
        <w:rPr>
          <w:sz w:val="20"/>
          <w:lang w:val="es-ES"/>
        </w:rPr>
        <w:t xml:space="preserve"> </w:t>
      </w:r>
      <w:r w:rsidRPr="0058399C">
        <w:rPr>
          <w:sz w:val="20"/>
        </w:rPr>
        <w:t>Los ingresos contabilizados procedentes de fondos extrapresupuestarios (fondos fiduciarios) alcanzaron en este ejercicio un total de</w:t>
      </w:r>
      <w:r w:rsidR="00FE1638">
        <w:rPr>
          <w:sz w:val="20"/>
        </w:rPr>
        <w:t xml:space="preserve"> </w:t>
      </w:r>
      <w:r w:rsidRPr="0058399C">
        <w:rPr>
          <w:sz w:val="20"/>
        </w:rPr>
        <w:t>282.467 francos suizos, lo que representa el</w:t>
      </w:r>
      <w:r w:rsidR="00FE1638">
        <w:rPr>
          <w:sz w:val="20"/>
        </w:rPr>
        <w:t xml:space="preserve"> </w:t>
      </w:r>
      <w:r w:rsidRPr="0058399C">
        <w:rPr>
          <w:sz w:val="20"/>
        </w:rPr>
        <w:t>7,8% de los ingresos totales.</w:t>
      </w:r>
      <w:r w:rsidR="00EA6058" w:rsidRPr="00B24DA2">
        <w:rPr>
          <w:sz w:val="20"/>
          <w:lang w:val="es-ES"/>
        </w:rPr>
        <w:t xml:space="preserve"> </w:t>
      </w:r>
      <w:r w:rsidR="00C80D0C">
        <w:rPr>
          <w:sz w:val="20"/>
          <w:lang w:val="es-ES"/>
        </w:rPr>
        <w:t xml:space="preserve"> </w:t>
      </w:r>
      <w:r w:rsidRPr="0058399C">
        <w:rPr>
          <w:sz w:val="20"/>
        </w:rPr>
        <w:t>Asimismo, la</w:t>
      </w:r>
      <w:r w:rsidR="00FE1638">
        <w:rPr>
          <w:sz w:val="20"/>
        </w:rPr>
        <w:t xml:space="preserve"> </w:t>
      </w:r>
      <w:r w:rsidRPr="0058399C">
        <w:rPr>
          <w:sz w:val="20"/>
        </w:rPr>
        <w:t>UPOV dispone de un saldo de</w:t>
      </w:r>
      <w:r w:rsidR="00FE1638">
        <w:rPr>
          <w:sz w:val="20"/>
        </w:rPr>
        <w:t xml:space="preserve"> </w:t>
      </w:r>
      <w:r w:rsidRPr="0058399C">
        <w:rPr>
          <w:sz w:val="20"/>
        </w:rPr>
        <w:t>229.701 francos suizos correspondiente a contribuciones percibidas por anticipado.</w:t>
      </w:r>
      <w:r w:rsidR="00EA6058" w:rsidRPr="00B24DA2">
        <w:rPr>
          <w:sz w:val="20"/>
          <w:lang w:val="es-ES"/>
        </w:rPr>
        <w:t xml:space="preserve"> </w:t>
      </w:r>
      <w:r w:rsidR="00C80D0C">
        <w:rPr>
          <w:sz w:val="20"/>
          <w:lang w:val="es-ES"/>
        </w:rPr>
        <w:t xml:space="preserve"> </w:t>
      </w:r>
      <w:r w:rsidRPr="0058399C">
        <w:rPr>
          <w:sz w:val="20"/>
        </w:rPr>
        <w:t>Dicho saldo está registrado actualmente como pasivo y se contabilizará como ingreso en el ejercicio al que correspondan las contribuciones.</w:t>
      </w:r>
    </w:p>
    <w:p w:rsidR="00EA6058" w:rsidRPr="00B24DA2" w:rsidRDefault="00EA6058" w:rsidP="00EA6058">
      <w:pPr>
        <w:rPr>
          <w:lang w:val="es-ES"/>
        </w:rPr>
      </w:pPr>
    </w:p>
    <w:p w:rsidR="00EA6058" w:rsidRPr="00B24DA2" w:rsidRDefault="00D662DA" w:rsidP="00C628B7">
      <w:pPr>
        <w:pStyle w:val="ListParagraph"/>
        <w:numPr>
          <w:ilvl w:val="0"/>
          <w:numId w:val="18"/>
        </w:numPr>
        <w:jc w:val="both"/>
        <w:rPr>
          <w:sz w:val="20"/>
          <w:lang w:val="es-ES"/>
        </w:rPr>
      </w:pPr>
      <w:r w:rsidRPr="0058399C">
        <w:rPr>
          <w:sz w:val="20"/>
        </w:rPr>
        <w:t>En</w:t>
      </w:r>
      <w:r w:rsidR="00FE1638">
        <w:rPr>
          <w:sz w:val="20"/>
        </w:rPr>
        <w:t xml:space="preserve"> </w:t>
      </w:r>
      <w:r w:rsidRPr="0058399C">
        <w:rPr>
          <w:sz w:val="20"/>
        </w:rPr>
        <w:t>2017, la</w:t>
      </w:r>
      <w:r w:rsidR="00FE1638">
        <w:rPr>
          <w:sz w:val="20"/>
        </w:rPr>
        <w:t xml:space="preserve"> </w:t>
      </w:r>
      <w:r w:rsidRPr="0058399C">
        <w:rPr>
          <w:sz w:val="20"/>
        </w:rPr>
        <w:t>UPOV puso en funcionamiento la herramienta de solicitud de derechos de obtentor UPOV</w:t>
      </w:r>
      <w:r w:rsidR="00C80D0C">
        <w:rPr>
          <w:sz w:val="20"/>
        </w:rPr>
        <w:t> </w:t>
      </w:r>
      <w:r w:rsidRPr="0058399C">
        <w:rPr>
          <w:sz w:val="20"/>
        </w:rPr>
        <w:t>PRISMA.</w:t>
      </w:r>
      <w:r w:rsidR="00EA6058" w:rsidRPr="00B24DA2">
        <w:rPr>
          <w:sz w:val="20"/>
          <w:lang w:val="es-ES"/>
        </w:rPr>
        <w:t xml:space="preserve"> </w:t>
      </w:r>
      <w:r w:rsidRPr="0058399C">
        <w:rPr>
          <w:sz w:val="20"/>
        </w:rPr>
        <w:t>Este instrumento de solicitud en línea permite a los solicitantes presentar sus solicitudes ante las oficinas de protección de las obtenciones vegetales participantes de los miembros de la</w:t>
      </w:r>
      <w:r w:rsidR="00FE1638">
        <w:rPr>
          <w:sz w:val="20"/>
        </w:rPr>
        <w:t xml:space="preserve"> </w:t>
      </w:r>
      <w:r w:rsidRPr="0058399C">
        <w:rPr>
          <w:sz w:val="20"/>
        </w:rPr>
        <w:t>Unión.</w:t>
      </w:r>
      <w:r w:rsidR="00EA6058" w:rsidRPr="00B24DA2">
        <w:rPr>
          <w:sz w:val="20"/>
          <w:lang w:val="es-ES"/>
        </w:rPr>
        <w:t xml:space="preserve"> </w:t>
      </w:r>
      <w:r w:rsidR="00C80D0C">
        <w:rPr>
          <w:sz w:val="20"/>
          <w:lang w:val="es-ES"/>
        </w:rPr>
        <w:t xml:space="preserve"> </w:t>
      </w:r>
      <w:r w:rsidR="004441AF" w:rsidRPr="0058399C">
        <w:rPr>
          <w:sz w:val="20"/>
        </w:rPr>
        <w:t>En su quincuagésima</w:t>
      </w:r>
      <w:r w:rsidR="00C578B3" w:rsidRPr="0058399C">
        <w:rPr>
          <w:sz w:val="20"/>
        </w:rPr>
        <w:t xml:space="preserve"> </w:t>
      </w:r>
      <w:r w:rsidR="004441AF" w:rsidRPr="0058399C">
        <w:rPr>
          <w:sz w:val="20"/>
        </w:rPr>
        <w:t xml:space="preserve">primera sesión ordinaria, </w:t>
      </w:r>
      <w:r w:rsidR="00C578B3" w:rsidRPr="0058399C">
        <w:rPr>
          <w:sz w:val="20"/>
        </w:rPr>
        <w:t>el</w:t>
      </w:r>
      <w:r w:rsidR="004441AF" w:rsidRPr="0058399C">
        <w:rPr>
          <w:sz w:val="20"/>
        </w:rPr>
        <w:t xml:space="preserve"> Consejo </w:t>
      </w:r>
      <w:r w:rsidR="00C578B3" w:rsidRPr="0058399C">
        <w:rPr>
          <w:sz w:val="20"/>
        </w:rPr>
        <w:t>de la</w:t>
      </w:r>
      <w:r w:rsidR="00FE1638">
        <w:rPr>
          <w:sz w:val="20"/>
        </w:rPr>
        <w:t xml:space="preserve"> </w:t>
      </w:r>
      <w:r w:rsidR="004441AF" w:rsidRPr="0058399C">
        <w:rPr>
          <w:sz w:val="20"/>
        </w:rPr>
        <w:t>UPOV decid</w:t>
      </w:r>
      <w:r w:rsidR="00D65204" w:rsidRPr="0058399C">
        <w:rPr>
          <w:sz w:val="20"/>
        </w:rPr>
        <w:t>ió</w:t>
      </w:r>
      <w:r w:rsidR="004441AF" w:rsidRPr="0058399C">
        <w:rPr>
          <w:sz w:val="20"/>
        </w:rPr>
        <w:t xml:space="preserve"> a</w:t>
      </w:r>
      <w:r w:rsidR="00D65204" w:rsidRPr="0058399C">
        <w:rPr>
          <w:sz w:val="20"/>
        </w:rPr>
        <w:t>probar</w:t>
      </w:r>
      <w:r w:rsidR="004441AF" w:rsidRPr="0058399C">
        <w:rPr>
          <w:sz w:val="20"/>
        </w:rPr>
        <w:t xml:space="preserve"> </w:t>
      </w:r>
      <w:r w:rsidR="00D65204" w:rsidRPr="0058399C">
        <w:rPr>
          <w:sz w:val="20"/>
        </w:rPr>
        <w:t>l</w:t>
      </w:r>
      <w:r w:rsidR="00C628B7" w:rsidRPr="0058399C">
        <w:rPr>
          <w:sz w:val="20"/>
        </w:rPr>
        <w:t>a</w:t>
      </w:r>
      <w:r w:rsidR="004441AF" w:rsidRPr="0058399C">
        <w:rPr>
          <w:sz w:val="20"/>
        </w:rPr>
        <w:t xml:space="preserve"> tasa </w:t>
      </w:r>
      <w:r w:rsidR="00D65204" w:rsidRPr="0058399C">
        <w:rPr>
          <w:sz w:val="20"/>
        </w:rPr>
        <w:t>de utilización de</w:t>
      </w:r>
      <w:r w:rsidR="004441AF" w:rsidRPr="0058399C">
        <w:rPr>
          <w:sz w:val="20"/>
        </w:rPr>
        <w:t xml:space="preserve"> </w:t>
      </w:r>
      <w:r w:rsidR="00D65204" w:rsidRPr="0058399C">
        <w:rPr>
          <w:sz w:val="20"/>
        </w:rPr>
        <w:t>la herramienta de solicitud de derechos de obtentor UPOV</w:t>
      </w:r>
      <w:r w:rsidR="00FE1638">
        <w:rPr>
          <w:sz w:val="20"/>
        </w:rPr>
        <w:t xml:space="preserve"> </w:t>
      </w:r>
      <w:r w:rsidR="00D65204" w:rsidRPr="0058399C">
        <w:rPr>
          <w:sz w:val="20"/>
        </w:rPr>
        <w:t>PRISMA</w:t>
      </w:r>
      <w:r w:rsidR="00C628B7" w:rsidRPr="0058399C">
        <w:rPr>
          <w:sz w:val="20"/>
        </w:rPr>
        <w:t>, con un</w:t>
      </w:r>
      <w:r w:rsidR="00D65204" w:rsidRPr="0058399C">
        <w:rPr>
          <w:sz w:val="20"/>
        </w:rPr>
        <w:t xml:space="preserve"> </w:t>
      </w:r>
      <w:r w:rsidR="00C628B7" w:rsidRPr="0058399C">
        <w:rPr>
          <w:sz w:val="20"/>
        </w:rPr>
        <w:t>importe de</w:t>
      </w:r>
      <w:r w:rsidR="00FE1638">
        <w:rPr>
          <w:sz w:val="20"/>
        </w:rPr>
        <w:t xml:space="preserve"> </w:t>
      </w:r>
      <w:r w:rsidR="004441AF" w:rsidRPr="0058399C">
        <w:rPr>
          <w:sz w:val="20"/>
        </w:rPr>
        <w:t xml:space="preserve">150 </w:t>
      </w:r>
      <w:r w:rsidR="00D65204" w:rsidRPr="0058399C">
        <w:rPr>
          <w:sz w:val="20"/>
        </w:rPr>
        <w:t xml:space="preserve">francos suizos </w:t>
      </w:r>
      <w:r w:rsidR="00C628B7" w:rsidRPr="0058399C">
        <w:rPr>
          <w:sz w:val="20"/>
        </w:rPr>
        <w:t>por cada solicitud presentada en el bienio</w:t>
      </w:r>
      <w:r w:rsidR="00FE1638">
        <w:rPr>
          <w:sz w:val="20"/>
        </w:rPr>
        <w:t xml:space="preserve"> </w:t>
      </w:r>
      <w:r w:rsidR="004441AF" w:rsidRPr="0058399C">
        <w:rPr>
          <w:sz w:val="20"/>
        </w:rPr>
        <w:t>2018</w:t>
      </w:r>
      <w:r w:rsidR="00C628B7" w:rsidRPr="0058399C">
        <w:rPr>
          <w:sz w:val="20"/>
        </w:rPr>
        <w:t>-</w:t>
      </w:r>
      <w:r w:rsidR="004441AF" w:rsidRPr="0058399C">
        <w:rPr>
          <w:sz w:val="20"/>
        </w:rPr>
        <w:t>2019.</w:t>
      </w:r>
      <w:r w:rsidR="00EA6058" w:rsidRPr="00B24DA2">
        <w:rPr>
          <w:sz w:val="20"/>
          <w:lang w:val="es-ES"/>
        </w:rPr>
        <w:t xml:space="preserve"> </w:t>
      </w:r>
      <w:r w:rsidR="00C80D0C">
        <w:rPr>
          <w:sz w:val="20"/>
          <w:lang w:val="es-ES"/>
        </w:rPr>
        <w:t xml:space="preserve"> </w:t>
      </w:r>
      <w:r w:rsidR="00C628B7" w:rsidRPr="0058399C">
        <w:rPr>
          <w:sz w:val="20"/>
        </w:rPr>
        <w:t>No obstante, convino en que dicho instrumento de solicitud podría ofrecerse gratuitamente durante un período introductorio si sus costos presupuestados se sufragan por medios distintos del presupuesto ordinario.</w:t>
      </w:r>
      <w:r w:rsidR="00EA6058" w:rsidRPr="00B24DA2">
        <w:rPr>
          <w:sz w:val="20"/>
          <w:lang w:val="es-ES"/>
        </w:rPr>
        <w:t xml:space="preserve"> </w:t>
      </w:r>
      <w:r w:rsidR="00C80D0C">
        <w:rPr>
          <w:sz w:val="20"/>
          <w:lang w:val="es-ES"/>
        </w:rPr>
        <w:t xml:space="preserve"> </w:t>
      </w:r>
      <w:r w:rsidR="00C628B7" w:rsidRPr="0058399C">
        <w:rPr>
          <w:sz w:val="20"/>
        </w:rPr>
        <w:t>El período introductorio se ha prorrogado hasta el</w:t>
      </w:r>
      <w:r w:rsidR="00FE1638">
        <w:rPr>
          <w:sz w:val="20"/>
        </w:rPr>
        <w:t xml:space="preserve"> </w:t>
      </w:r>
      <w:r w:rsidR="00C628B7" w:rsidRPr="0058399C">
        <w:rPr>
          <w:sz w:val="20"/>
        </w:rPr>
        <w:t>31 de diciembre de</w:t>
      </w:r>
      <w:r w:rsidR="00FE1638">
        <w:rPr>
          <w:sz w:val="20"/>
        </w:rPr>
        <w:t xml:space="preserve"> </w:t>
      </w:r>
      <w:r w:rsidR="00C628B7" w:rsidRPr="0058399C">
        <w:rPr>
          <w:sz w:val="20"/>
        </w:rPr>
        <w:t>2019.</w:t>
      </w:r>
    </w:p>
    <w:p w:rsidR="00EA6058" w:rsidRPr="00B24DA2" w:rsidRDefault="00EA6058" w:rsidP="00EA6058">
      <w:pPr>
        <w:rPr>
          <w:lang w:val="es-ES"/>
        </w:rPr>
      </w:pPr>
    </w:p>
    <w:p w:rsidR="00EA6058" w:rsidRPr="00B24DA2" w:rsidRDefault="00FB1318" w:rsidP="00EA6058">
      <w:pPr>
        <w:numPr>
          <w:ilvl w:val="0"/>
          <w:numId w:val="18"/>
        </w:numPr>
        <w:rPr>
          <w:lang w:val="es-ES"/>
        </w:rPr>
      </w:pPr>
      <w:r w:rsidRPr="0058399C">
        <w:t>Los gastos de personal ascendieron a</w:t>
      </w:r>
      <w:r w:rsidR="00FE1638">
        <w:t xml:space="preserve"> </w:t>
      </w:r>
      <w:r w:rsidRPr="0058399C">
        <w:t>2.210.760 francos suizos y representan el</w:t>
      </w:r>
      <w:r w:rsidR="00FE1638">
        <w:t xml:space="preserve"> </w:t>
      </w:r>
      <w:r w:rsidRPr="0058399C">
        <w:t>60,2% de los gastos totales (3.669.548 francos suizos) registrados en el ejercicio</w:t>
      </w:r>
      <w:r w:rsidR="00FE1638">
        <w:t xml:space="preserve"> </w:t>
      </w:r>
      <w:r w:rsidRPr="0058399C">
        <w:t>2018.</w:t>
      </w:r>
      <w:r w:rsidR="00EA6058" w:rsidRPr="00B24DA2">
        <w:rPr>
          <w:lang w:val="es-ES"/>
        </w:rPr>
        <w:t xml:space="preserve"> </w:t>
      </w:r>
      <w:r w:rsidR="00C80D0C">
        <w:rPr>
          <w:lang w:val="es-ES"/>
        </w:rPr>
        <w:t xml:space="preserve"> </w:t>
      </w:r>
      <w:r w:rsidR="008304A6" w:rsidRPr="00C35EC2">
        <w:t>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w:t>
      </w:r>
      <w:r w:rsidR="00EA6058" w:rsidRPr="00B24DA2">
        <w:rPr>
          <w:lang w:val="es-ES"/>
        </w:rPr>
        <w:t xml:space="preserve"> </w:t>
      </w:r>
      <w:r w:rsidR="00C80D0C">
        <w:rPr>
          <w:lang w:val="es-ES"/>
        </w:rPr>
        <w:t xml:space="preserve"> </w:t>
      </w:r>
      <w:r w:rsidR="008304A6" w:rsidRPr="00C35EC2">
        <w:t>Este método permite a la</w:t>
      </w:r>
      <w:r w:rsidR="00FE1638">
        <w:t xml:space="preserve"> </w:t>
      </w:r>
      <w:r w:rsidR="008304A6" w:rsidRPr="00C35EC2">
        <w:t>UPOV contabilizar anualmente, con mayor precisión, el costo real del empleo de su personal.</w:t>
      </w:r>
      <w:r w:rsidR="00EA6058" w:rsidRPr="00B24DA2">
        <w:rPr>
          <w:lang w:val="es-ES"/>
        </w:rPr>
        <w:t xml:space="preserve"> </w:t>
      </w:r>
      <w:r w:rsidR="00C80D0C">
        <w:rPr>
          <w:lang w:val="es-ES"/>
        </w:rPr>
        <w:t xml:space="preserve"> </w:t>
      </w:r>
      <w:r w:rsidR="008304A6" w:rsidRPr="00C35EC2">
        <w:t>Los intereses totales y el costo de los servicios correspondientes al seguro médico tras la separación del servicio, a las primas de repatriación y a los días de vacaciones anuales acumulados a largo plazo ascendieron en este ejercicio a</w:t>
      </w:r>
      <w:r w:rsidR="00FE1638">
        <w:t xml:space="preserve"> </w:t>
      </w:r>
      <w:r w:rsidR="008304A6" w:rsidRPr="00C35EC2">
        <w:t>178.661 francos suizos.</w:t>
      </w:r>
      <w:r w:rsidR="00EA6058" w:rsidRPr="00B24DA2">
        <w:rPr>
          <w:color w:val="000000" w:themeColor="text1"/>
          <w:lang w:val="es-ES"/>
        </w:rPr>
        <w:t xml:space="preserve"> </w:t>
      </w:r>
    </w:p>
    <w:p w:rsidR="00EA6058" w:rsidRPr="00B24DA2" w:rsidRDefault="00EA6058" w:rsidP="00EA6058">
      <w:pPr>
        <w:pStyle w:val="ListParagraph"/>
        <w:rPr>
          <w:lang w:val="es-ES"/>
        </w:rPr>
      </w:pPr>
    </w:p>
    <w:p w:rsidR="00EA6058" w:rsidRPr="00E550E6" w:rsidRDefault="008304A6" w:rsidP="00D27321">
      <w:pPr>
        <w:pStyle w:val="Heading2"/>
      </w:pPr>
      <w:bookmarkStart w:id="8" w:name="_Toc15397056"/>
      <w:r w:rsidRPr="00C35EC2">
        <w:rPr>
          <w:lang w:val="es-ES_tradnl"/>
        </w:rPr>
        <w:lastRenderedPageBreak/>
        <w:t>Situación financiera</w:t>
      </w:r>
      <w:bookmarkEnd w:id="8"/>
    </w:p>
    <w:p w:rsidR="00EA6058" w:rsidRPr="00E550E6" w:rsidRDefault="00EA6058" w:rsidP="00D27321">
      <w:pPr>
        <w:keepNext/>
      </w:pPr>
    </w:p>
    <w:p w:rsidR="00EA6058" w:rsidRPr="00B24DA2" w:rsidRDefault="008304A6" w:rsidP="00D27321">
      <w:pPr>
        <w:keepNext/>
        <w:numPr>
          <w:ilvl w:val="0"/>
          <w:numId w:val="18"/>
        </w:numPr>
        <w:rPr>
          <w:lang w:val="es-ES"/>
        </w:rPr>
      </w:pPr>
      <w:r w:rsidRPr="00C35EC2">
        <w:t>La UPOV poseía unos activos netos de</w:t>
      </w:r>
      <w:r w:rsidR="00FE1638">
        <w:t xml:space="preserve"> </w:t>
      </w:r>
      <w:r w:rsidRPr="00C35EC2">
        <w:t>683.159 francos suizos al</w:t>
      </w:r>
      <w:r w:rsidR="00FE1638">
        <w:t xml:space="preserve"> </w:t>
      </w:r>
      <w:r w:rsidRPr="00C35EC2">
        <w:t>31 de diciembre de</w:t>
      </w:r>
      <w:r w:rsidR="00FE1638">
        <w:t xml:space="preserve"> </w:t>
      </w:r>
      <w:r w:rsidRPr="00C35EC2">
        <w:t>2018, frente a</w:t>
      </w:r>
      <w:r w:rsidR="00FE1638">
        <w:t xml:space="preserve"> </w:t>
      </w:r>
      <w:r w:rsidRPr="00C35EC2">
        <w:t>629.830 francos suizos al final de</w:t>
      </w:r>
      <w:r w:rsidR="00FE1638">
        <w:t xml:space="preserve"> </w:t>
      </w:r>
      <w:r w:rsidRPr="00C35EC2">
        <w:t>2017.</w:t>
      </w:r>
      <w:r w:rsidR="00EA6058" w:rsidRPr="00B24DA2">
        <w:rPr>
          <w:lang w:val="es-ES"/>
        </w:rPr>
        <w:t xml:space="preserve"> </w:t>
      </w:r>
      <w:r w:rsidR="00C80D0C">
        <w:rPr>
          <w:lang w:val="es-ES"/>
        </w:rPr>
        <w:t xml:space="preserve"> </w:t>
      </w:r>
      <w:r w:rsidRPr="00C35EC2">
        <w:t>La situación financiera de la</w:t>
      </w:r>
      <w:r w:rsidR="00FE1638">
        <w:t xml:space="preserve"> </w:t>
      </w:r>
      <w:r w:rsidRPr="00C35EC2">
        <w:t>UPOV por segmentos puede resumirse como sigue:</w:t>
      </w:r>
    </w:p>
    <w:p w:rsidR="00EA6058" w:rsidRPr="00B24DA2" w:rsidRDefault="00EA6058" w:rsidP="00EA6058">
      <w:pPr>
        <w:autoSpaceDE w:val="0"/>
        <w:autoSpaceDN w:val="0"/>
        <w:adjustRightInd w:val="0"/>
        <w:rPr>
          <w:b/>
          <w:i/>
          <w:lang w:val="es-ES"/>
        </w:rPr>
      </w:pPr>
    </w:p>
    <w:p w:rsidR="00EA6058" w:rsidRPr="00B24DA2" w:rsidRDefault="008304A6" w:rsidP="00EA6058">
      <w:pPr>
        <w:autoSpaceDE w:val="0"/>
        <w:autoSpaceDN w:val="0"/>
        <w:adjustRightInd w:val="0"/>
        <w:rPr>
          <w:b/>
          <w:i/>
          <w:lang w:val="es-ES"/>
        </w:rPr>
      </w:pPr>
      <w:r w:rsidRPr="00C35EC2">
        <w:rPr>
          <w:b/>
          <w:i/>
        </w:rPr>
        <w:t>Cuadro</w:t>
      </w:r>
      <w:r w:rsidR="00FE1638">
        <w:rPr>
          <w:b/>
          <w:i/>
        </w:rPr>
        <w:t xml:space="preserve"> </w:t>
      </w:r>
      <w:r w:rsidRPr="00C35EC2">
        <w:rPr>
          <w:b/>
          <w:i/>
        </w:rPr>
        <w:t>2.</w:t>
      </w:r>
      <w:r w:rsidR="00EA6058" w:rsidRPr="00B24DA2">
        <w:rPr>
          <w:b/>
          <w:i/>
          <w:lang w:val="es-ES"/>
        </w:rPr>
        <w:t xml:space="preserve"> </w:t>
      </w:r>
      <w:r w:rsidRPr="00C35EC2">
        <w:rPr>
          <w:b/>
          <w:i/>
        </w:rPr>
        <w:t>Resumen de la situación financiera por segmentos</w:t>
      </w:r>
    </w:p>
    <w:p w:rsidR="00EA6058" w:rsidRPr="00B24DA2" w:rsidRDefault="00EA6058" w:rsidP="00EA6058">
      <w:pPr>
        <w:autoSpaceDE w:val="0"/>
        <w:autoSpaceDN w:val="0"/>
        <w:adjustRightInd w:val="0"/>
        <w:rPr>
          <w:b/>
          <w:i/>
          <w:lang w:val="es-ES"/>
        </w:rPr>
      </w:pPr>
    </w:p>
    <w:p w:rsidR="00EA6058" w:rsidRPr="00E550E6" w:rsidRDefault="00343772" w:rsidP="00EA6058">
      <w:pPr>
        <w:autoSpaceDE w:val="0"/>
        <w:autoSpaceDN w:val="0"/>
        <w:adjustRightInd w:val="0"/>
        <w:rPr>
          <w:b/>
          <w:i/>
        </w:rPr>
      </w:pPr>
      <w:r w:rsidRPr="00343772">
        <w:rPr>
          <w:noProof/>
          <w:lang w:val="en-US"/>
        </w:rPr>
        <w:drawing>
          <wp:inline distT="0" distB="0" distL="0" distR="0">
            <wp:extent cx="6120000" cy="1386947"/>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tretch>
                      <a:fillRect/>
                    </a:stretch>
                  </pic:blipFill>
                  <pic:spPr bwMode="auto">
                    <a:xfrm>
                      <a:off x="0" y="0"/>
                      <a:ext cx="6120000" cy="1386947"/>
                    </a:xfrm>
                    <a:prstGeom prst="rect">
                      <a:avLst/>
                    </a:prstGeom>
                    <a:noFill/>
                    <a:ln>
                      <a:noFill/>
                    </a:ln>
                  </pic:spPr>
                </pic:pic>
              </a:graphicData>
            </a:graphic>
          </wp:inline>
        </w:drawing>
      </w:r>
    </w:p>
    <w:p w:rsidR="00EA6058" w:rsidRPr="00E550E6" w:rsidRDefault="00EA6058" w:rsidP="00EA6058">
      <w:pPr>
        <w:rPr>
          <w:noProof/>
        </w:rPr>
      </w:pPr>
    </w:p>
    <w:p w:rsidR="00EA6058" w:rsidRPr="00B24DA2" w:rsidRDefault="00174909" w:rsidP="00EA6058">
      <w:pPr>
        <w:numPr>
          <w:ilvl w:val="0"/>
          <w:numId w:val="18"/>
        </w:numPr>
        <w:rPr>
          <w:lang w:val="es-ES"/>
        </w:rPr>
      </w:pPr>
      <w:r w:rsidRPr="00C35EC2">
        <w:t>El capital de operaciones neto (activos corrientes menos pasivos corrientes) de la</w:t>
      </w:r>
      <w:r w:rsidR="00FE1638">
        <w:t xml:space="preserve"> </w:t>
      </w:r>
      <w:r w:rsidRPr="00C35EC2">
        <w:t>UPOV era de</w:t>
      </w:r>
      <w:r w:rsidR="00FE1638">
        <w:t xml:space="preserve"> </w:t>
      </w:r>
      <w:r w:rsidRPr="00C35EC2">
        <w:t>2.972.638 francos suizos al</w:t>
      </w:r>
      <w:r w:rsidR="00FE1638">
        <w:t xml:space="preserve"> </w:t>
      </w:r>
      <w:r w:rsidRPr="00C35EC2">
        <w:t>31 de diciembre de</w:t>
      </w:r>
      <w:r w:rsidR="00FE1638">
        <w:t xml:space="preserve"> </w:t>
      </w:r>
      <w:r w:rsidRPr="00C35EC2">
        <w:t>2018 (2.885.775 francos suizos al</w:t>
      </w:r>
      <w:r w:rsidR="00FE1638">
        <w:t xml:space="preserve"> </w:t>
      </w:r>
      <w:r w:rsidRPr="00C35EC2">
        <w:t>31 de diciembre de</w:t>
      </w:r>
      <w:r w:rsidR="00C80D0C">
        <w:t> </w:t>
      </w:r>
      <w:r w:rsidRPr="00C35EC2">
        <w:t>2017).</w:t>
      </w:r>
      <w:r w:rsidR="00EA6058" w:rsidRPr="00B24DA2">
        <w:rPr>
          <w:lang w:val="es-ES"/>
        </w:rPr>
        <w:t xml:space="preserve"> </w:t>
      </w:r>
      <w:r w:rsidR="00C80D0C">
        <w:rPr>
          <w:lang w:val="es-ES"/>
        </w:rPr>
        <w:t xml:space="preserve"> </w:t>
      </w:r>
      <w:r w:rsidRPr="00C35EC2">
        <w:t>El saldo de efectivo y equivalentes de efectivo aumentó de</w:t>
      </w:r>
      <w:r w:rsidR="00FE1638">
        <w:t xml:space="preserve"> </w:t>
      </w:r>
      <w:r w:rsidRPr="00C35EC2">
        <w:t>4.115.186 francos suizos al</w:t>
      </w:r>
      <w:r w:rsidR="00FE1638">
        <w:t xml:space="preserve"> </w:t>
      </w:r>
      <w:r w:rsidR="00C80D0C">
        <w:t>31 de </w:t>
      </w:r>
      <w:r w:rsidRPr="00C35EC2">
        <w:t>diciembre de</w:t>
      </w:r>
      <w:r w:rsidR="00FE1638">
        <w:t xml:space="preserve"> </w:t>
      </w:r>
      <w:r w:rsidRPr="00C35EC2">
        <w:t>2017 a</w:t>
      </w:r>
      <w:r w:rsidR="00FE1638">
        <w:t xml:space="preserve"> </w:t>
      </w:r>
      <w:r w:rsidRPr="00C35EC2">
        <w:t>4.275.188 francos suizos al</w:t>
      </w:r>
      <w:r w:rsidR="00FE1638">
        <w:t xml:space="preserve"> </w:t>
      </w:r>
      <w:r w:rsidRPr="00C35EC2">
        <w:t>31 de diciembre de</w:t>
      </w:r>
      <w:r w:rsidR="00FE1638">
        <w:t xml:space="preserve"> </w:t>
      </w:r>
      <w:r w:rsidRPr="00C35EC2">
        <w:t>2018.</w:t>
      </w:r>
    </w:p>
    <w:p w:rsidR="00EA6058" w:rsidRPr="00B24DA2" w:rsidRDefault="00EA6058" w:rsidP="00EA6058">
      <w:pPr>
        <w:ind w:left="550"/>
        <w:rPr>
          <w:lang w:val="es-ES"/>
        </w:rPr>
      </w:pPr>
    </w:p>
    <w:p w:rsidR="00EA6058" w:rsidRPr="00B24DA2" w:rsidRDefault="00174909" w:rsidP="00EA6058">
      <w:pPr>
        <w:numPr>
          <w:ilvl w:val="0"/>
          <w:numId w:val="18"/>
        </w:numPr>
        <w:rPr>
          <w:lang w:val="es-ES"/>
        </w:rPr>
      </w:pPr>
      <w:r w:rsidRPr="00C35EC2">
        <w:t>El total de las cuentas por cobrar era de</w:t>
      </w:r>
      <w:r w:rsidR="00FE1638">
        <w:t xml:space="preserve"> </w:t>
      </w:r>
      <w:r w:rsidRPr="00C35EC2">
        <w:t>135.097 francos suizos al</w:t>
      </w:r>
      <w:r w:rsidR="00FE1638">
        <w:t xml:space="preserve"> </w:t>
      </w:r>
      <w:r w:rsidRPr="00C35EC2">
        <w:t>31 de diciembre de</w:t>
      </w:r>
      <w:r w:rsidR="00FE1638">
        <w:t xml:space="preserve"> </w:t>
      </w:r>
      <w:r w:rsidRPr="00C35EC2">
        <w:t>2018, frente a</w:t>
      </w:r>
      <w:r w:rsidR="00FE1638">
        <w:t xml:space="preserve"> </w:t>
      </w:r>
      <w:r w:rsidRPr="00C35EC2">
        <w:t xml:space="preserve">86.196 </w:t>
      </w:r>
      <w:r w:rsidRPr="00C35EC2">
        <w:rPr>
          <w:color w:val="000000" w:themeColor="text1"/>
        </w:rPr>
        <w:t xml:space="preserve">francos suizos </w:t>
      </w:r>
      <w:r w:rsidRPr="00C35EC2">
        <w:t>al</w:t>
      </w:r>
      <w:r w:rsidR="00FE1638">
        <w:t xml:space="preserve"> </w:t>
      </w:r>
      <w:r w:rsidRPr="00C35EC2">
        <w:t>31 de diciembre de</w:t>
      </w:r>
      <w:r w:rsidR="00FE1638">
        <w:t xml:space="preserve"> </w:t>
      </w:r>
      <w:r w:rsidRPr="00C35EC2">
        <w:t>2017.</w:t>
      </w:r>
      <w:r w:rsidR="00EA6058" w:rsidRPr="00B24DA2">
        <w:rPr>
          <w:lang w:val="es-ES"/>
        </w:rPr>
        <w:t xml:space="preserve"> </w:t>
      </w:r>
      <w:r w:rsidR="00C80D0C">
        <w:rPr>
          <w:lang w:val="es-ES"/>
        </w:rPr>
        <w:t xml:space="preserve"> </w:t>
      </w:r>
      <w:r w:rsidRPr="00C35EC2">
        <w:t>El saldo de las cuentas por cobrar al final de</w:t>
      </w:r>
      <w:r w:rsidR="00FE1638">
        <w:t xml:space="preserve"> </w:t>
      </w:r>
      <w:r w:rsidRPr="00C35EC2">
        <w:t>2018 comprendía</w:t>
      </w:r>
      <w:r w:rsidR="00FE1638">
        <w:t xml:space="preserve"> </w:t>
      </w:r>
      <w:r w:rsidRPr="00C35EC2">
        <w:t>114.587 francos suizos de contribuciones, 10.294 francos suizos de fondos extrapresupuestarios (fondos fiduciarios), 9.466 francos suizos de subsidios por gastos de educación anticipados y</w:t>
      </w:r>
      <w:r w:rsidR="00FE1638">
        <w:t xml:space="preserve"> </w:t>
      </w:r>
      <w:r w:rsidRPr="00C35EC2">
        <w:t xml:space="preserve">750 francos suizos de </w:t>
      </w:r>
      <w:r w:rsidR="007B44BF" w:rsidRPr="00C35EC2">
        <w:t>otras cuentas por cobrar</w:t>
      </w:r>
      <w:r w:rsidRPr="00C35EC2">
        <w:t>.</w:t>
      </w:r>
    </w:p>
    <w:p w:rsidR="00EA6058" w:rsidRPr="00B24DA2" w:rsidRDefault="00EA6058" w:rsidP="00EA6058">
      <w:pPr>
        <w:ind w:left="567"/>
        <w:rPr>
          <w:lang w:val="es-ES"/>
        </w:rPr>
      </w:pPr>
    </w:p>
    <w:p w:rsidR="00EA6058" w:rsidRPr="00B24DA2" w:rsidRDefault="00A30EB2" w:rsidP="00EA6058">
      <w:pPr>
        <w:pStyle w:val="ListParagraph"/>
        <w:numPr>
          <w:ilvl w:val="0"/>
          <w:numId w:val="18"/>
        </w:numPr>
        <w:jc w:val="both"/>
        <w:rPr>
          <w:rFonts w:cs="Times New Roman"/>
          <w:sz w:val="20"/>
          <w:lang w:val="es-ES"/>
        </w:rPr>
      </w:pPr>
      <w:r w:rsidRPr="00C35EC2">
        <w:rPr>
          <w:sz w:val="20"/>
        </w:rPr>
        <w:t>Los pasivos totales por prestaciones a los empleados de la</w:t>
      </w:r>
      <w:r w:rsidR="00FE1638">
        <w:rPr>
          <w:sz w:val="20"/>
        </w:rPr>
        <w:t xml:space="preserve"> </w:t>
      </w:r>
      <w:r w:rsidRPr="00C35EC2">
        <w:rPr>
          <w:sz w:val="20"/>
        </w:rPr>
        <w:t>UPOV eran de</w:t>
      </w:r>
      <w:r w:rsidR="00FE1638">
        <w:rPr>
          <w:sz w:val="20"/>
        </w:rPr>
        <w:t xml:space="preserve"> </w:t>
      </w:r>
      <w:r w:rsidRPr="00C35EC2">
        <w:rPr>
          <w:sz w:val="20"/>
        </w:rPr>
        <w:t>2.489.970 francos suizos al</w:t>
      </w:r>
      <w:r w:rsidR="00FE1638">
        <w:rPr>
          <w:sz w:val="20"/>
        </w:rPr>
        <w:t xml:space="preserve"> </w:t>
      </w:r>
      <w:r w:rsidRPr="00C35EC2">
        <w:rPr>
          <w:sz w:val="20"/>
        </w:rPr>
        <w:t>31 de diciembre de 2018, frente a</w:t>
      </w:r>
      <w:r w:rsidR="00FE1638">
        <w:rPr>
          <w:sz w:val="20"/>
        </w:rPr>
        <w:t xml:space="preserve"> </w:t>
      </w:r>
      <w:r w:rsidRPr="00C35EC2">
        <w:rPr>
          <w:sz w:val="20"/>
        </w:rPr>
        <w:t>2.456.705 francos suizos al</w:t>
      </w:r>
      <w:r w:rsidR="00FE1638">
        <w:rPr>
          <w:sz w:val="20"/>
        </w:rPr>
        <w:t xml:space="preserve"> </w:t>
      </w:r>
      <w:r w:rsidRPr="00C35EC2">
        <w:rPr>
          <w:sz w:val="20"/>
        </w:rPr>
        <w:t>31 de diciembre de</w:t>
      </w:r>
      <w:r w:rsidR="00FE1638">
        <w:rPr>
          <w:sz w:val="20"/>
        </w:rPr>
        <w:t xml:space="preserve"> </w:t>
      </w:r>
      <w:r w:rsidRPr="00C35EC2">
        <w:rPr>
          <w:sz w:val="20"/>
        </w:rPr>
        <w:t>2017.</w:t>
      </w:r>
      <w:r w:rsidR="00EA6058" w:rsidRPr="00B24DA2">
        <w:rPr>
          <w:sz w:val="20"/>
          <w:lang w:val="es-ES"/>
        </w:rPr>
        <w:t xml:space="preserve"> </w:t>
      </w:r>
      <w:r w:rsidR="00C80D0C">
        <w:rPr>
          <w:sz w:val="20"/>
          <w:lang w:val="es-ES"/>
        </w:rPr>
        <w:t xml:space="preserve"> </w:t>
      </w:r>
      <w:r w:rsidR="00161420" w:rsidRPr="00C35EC2">
        <w:rPr>
          <w:sz w:val="20"/>
        </w:rPr>
        <w:t>Los pasivos relativos al seguro médico tras la separación del servicio, a las primas de repatriación y a los días de vacaciones anuales acumulados a largo plazo se determinaron mediante valoración actuarial.</w:t>
      </w:r>
      <w:r w:rsidR="00EA6058" w:rsidRPr="00B24DA2">
        <w:rPr>
          <w:sz w:val="20"/>
          <w:lang w:val="es-ES"/>
        </w:rPr>
        <w:t xml:space="preserve"> </w:t>
      </w:r>
      <w:r w:rsidR="00C80D0C">
        <w:rPr>
          <w:sz w:val="20"/>
          <w:lang w:val="es-ES"/>
        </w:rPr>
        <w:t xml:space="preserve"> </w:t>
      </w:r>
      <w:r w:rsidR="00C80D0C">
        <w:rPr>
          <w:sz w:val="20"/>
          <w:lang w:val="es-ES"/>
        </w:rPr>
        <w:br/>
      </w:r>
      <w:r w:rsidR="00161420" w:rsidRPr="00C35EC2">
        <w:rPr>
          <w:sz w:val="20"/>
        </w:rPr>
        <w:t>El pasivo principal, correspondiente al seguro médico tras la separación del servicio, alcanzaba los</w:t>
      </w:r>
      <w:r w:rsidR="00FE1638">
        <w:rPr>
          <w:sz w:val="20"/>
        </w:rPr>
        <w:t xml:space="preserve"> </w:t>
      </w:r>
      <w:r w:rsidR="00C80D0C">
        <w:rPr>
          <w:sz w:val="20"/>
        </w:rPr>
        <w:t>2.235.639 </w:t>
      </w:r>
      <w:r w:rsidR="00161420" w:rsidRPr="00C35EC2">
        <w:rPr>
          <w:sz w:val="20"/>
        </w:rPr>
        <w:t>francos suizos al</w:t>
      </w:r>
      <w:r w:rsidR="00FE1638">
        <w:rPr>
          <w:sz w:val="20"/>
        </w:rPr>
        <w:t xml:space="preserve"> </w:t>
      </w:r>
      <w:r w:rsidR="00161420" w:rsidRPr="00C35EC2">
        <w:rPr>
          <w:sz w:val="20"/>
        </w:rPr>
        <w:t>31 de diciembre de</w:t>
      </w:r>
      <w:r w:rsidR="00FE1638">
        <w:rPr>
          <w:sz w:val="20"/>
        </w:rPr>
        <w:t xml:space="preserve"> </w:t>
      </w:r>
      <w:r w:rsidR="00161420" w:rsidRPr="00C35EC2">
        <w:rPr>
          <w:sz w:val="20"/>
        </w:rPr>
        <w:t>2018,</w:t>
      </w:r>
      <w:r w:rsidR="00EA6058" w:rsidRPr="00B24DA2">
        <w:rPr>
          <w:color w:val="000000" w:themeColor="text1"/>
          <w:sz w:val="20"/>
          <w:lang w:val="es-ES"/>
        </w:rPr>
        <w:t xml:space="preserve"> </w:t>
      </w:r>
      <w:r w:rsidR="00161420" w:rsidRPr="00C35EC2">
        <w:rPr>
          <w:color w:val="000000" w:themeColor="text1"/>
          <w:sz w:val="20"/>
        </w:rPr>
        <w:t>lo que representa un incremento de</w:t>
      </w:r>
      <w:r w:rsidR="00FE1638">
        <w:rPr>
          <w:color w:val="000000" w:themeColor="text1"/>
          <w:sz w:val="20"/>
        </w:rPr>
        <w:t xml:space="preserve"> </w:t>
      </w:r>
      <w:r w:rsidR="00C80D0C">
        <w:rPr>
          <w:color w:val="000000" w:themeColor="text1"/>
          <w:sz w:val="20"/>
        </w:rPr>
        <w:t>26.178 </w:t>
      </w:r>
      <w:r w:rsidR="00161420" w:rsidRPr="00C35EC2">
        <w:rPr>
          <w:color w:val="000000" w:themeColor="text1"/>
          <w:sz w:val="20"/>
        </w:rPr>
        <w:t>francos suizos con respecto al saldo de</w:t>
      </w:r>
      <w:r w:rsidR="00FE1638">
        <w:rPr>
          <w:color w:val="000000" w:themeColor="text1"/>
          <w:sz w:val="20"/>
        </w:rPr>
        <w:t xml:space="preserve"> </w:t>
      </w:r>
      <w:r w:rsidR="00161420" w:rsidRPr="00C35EC2">
        <w:rPr>
          <w:sz w:val="20"/>
        </w:rPr>
        <w:t xml:space="preserve">2.209.461 francos suizos </w:t>
      </w:r>
      <w:r w:rsidR="00C35EC2" w:rsidRPr="00C35EC2">
        <w:rPr>
          <w:sz w:val="20"/>
        </w:rPr>
        <w:t xml:space="preserve">existente </w:t>
      </w:r>
      <w:r w:rsidR="00161420" w:rsidRPr="00C35EC2">
        <w:rPr>
          <w:color w:val="000000" w:themeColor="text1"/>
          <w:sz w:val="20"/>
        </w:rPr>
        <w:t>al</w:t>
      </w:r>
      <w:r w:rsidR="00FE1638">
        <w:rPr>
          <w:color w:val="000000" w:themeColor="text1"/>
          <w:sz w:val="20"/>
        </w:rPr>
        <w:t xml:space="preserve"> </w:t>
      </w:r>
      <w:r w:rsidR="00161420" w:rsidRPr="00C35EC2">
        <w:rPr>
          <w:color w:val="000000" w:themeColor="text1"/>
          <w:sz w:val="20"/>
        </w:rPr>
        <w:t>31 de diciembre de</w:t>
      </w:r>
      <w:r w:rsidR="00FE1638">
        <w:rPr>
          <w:color w:val="000000" w:themeColor="text1"/>
          <w:sz w:val="20"/>
        </w:rPr>
        <w:t xml:space="preserve"> </w:t>
      </w:r>
      <w:r w:rsidR="00161420" w:rsidRPr="00C35EC2">
        <w:rPr>
          <w:sz w:val="20"/>
        </w:rPr>
        <w:t>2017</w:t>
      </w:r>
      <w:r w:rsidR="00161420" w:rsidRPr="00C35EC2">
        <w:rPr>
          <w:color w:val="000000" w:themeColor="text1"/>
          <w:sz w:val="20"/>
        </w:rPr>
        <w:t>.</w:t>
      </w:r>
      <w:r w:rsidR="00EA6058" w:rsidRPr="00B24DA2">
        <w:rPr>
          <w:sz w:val="20"/>
          <w:lang w:val="es-ES"/>
        </w:rPr>
        <w:t xml:space="preserve"> </w:t>
      </w:r>
    </w:p>
    <w:p w:rsidR="00EA6058" w:rsidRPr="00B24DA2" w:rsidRDefault="00EA6058" w:rsidP="00EA6058">
      <w:pPr>
        <w:pStyle w:val="ListParagraph"/>
        <w:rPr>
          <w:sz w:val="20"/>
          <w:lang w:val="es-ES"/>
        </w:rPr>
      </w:pPr>
    </w:p>
    <w:p w:rsidR="00EA6058" w:rsidRPr="00B24DA2" w:rsidRDefault="00EF2D5B" w:rsidP="00EA6058">
      <w:pPr>
        <w:numPr>
          <w:ilvl w:val="0"/>
          <w:numId w:val="18"/>
        </w:numPr>
        <w:rPr>
          <w:lang w:val="es-ES"/>
        </w:rPr>
      </w:pPr>
      <w:r w:rsidRPr="00C35EC2">
        <w:t>En</w:t>
      </w:r>
      <w:r w:rsidR="00FE1638">
        <w:t xml:space="preserve"> </w:t>
      </w:r>
      <w:r w:rsidRPr="00C35EC2">
        <w:t>2015</w:t>
      </w:r>
      <w:r w:rsidR="00161420" w:rsidRPr="00C35EC2">
        <w:t xml:space="preserve"> se transfirieron</w:t>
      </w:r>
      <w:r w:rsidR="00FE1638">
        <w:t xml:space="preserve"> </w:t>
      </w:r>
      <w:r w:rsidR="00161420" w:rsidRPr="00C35EC2">
        <w:t>183.824 francos suizos, que corresponden al importe del fondo de reserva que supera el</w:t>
      </w:r>
      <w:r w:rsidR="00FE1638">
        <w:t xml:space="preserve"> </w:t>
      </w:r>
      <w:r w:rsidR="00161420" w:rsidRPr="00C35EC2">
        <w:t>15% de los ingresos totales del bienio</w:t>
      </w:r>
      <w:r w:rsidR="00FE1638">
        <w:t xml:space="preserve"> </w:t>
      </w:r>
      <w:r w:rsidR="00161420" w:rsidRPr="00C35EC2">
        <w:t xml:space="preserve">2012-2013, a un fondo para proyectos especiales </w:t>
      </w:r>
      <w:r w:rsidRPr="00C35EC2">
        <w:t>destinado</w:t>
      </w:r>
      <w:r w:rsidR="00161420" w:rsidRPr="00C35EC2">
        <w:t xml:space="preserve"> a proyectos específicos.</w:t>
      </w:r>
      <w:r w:rsidR="00EA6058" w:rsidRPr="00B24DA2">
        <w:rPr>
          <w:lang w:val="es-ES"/>
        </w:rPr>
        <w:t xml:space="preserve"> </w:t>
      </w:r>
      <w:r w:rsidR="00C80D0C">
        <w:rPr>
          <w:lang w:val="es-ES"/>
        </w:rPr>
        <w:t xml:space="preserve"> </w:t>
      </w:r>
      <w:r w:rsidR="004F3931" w:rsidRPr="00C35EC2">
        <w:t>Del saldo remanente de</w:t>
      </w:r>
      <w:r w:rsidR="00FE1638">
        <w:t xml:space="preserve"> </w:t>
      </w:r>
      <w:r w:rsidR="004F3931" w:rsidRPr="00C35EC2">
        <w:t>13.957 francos suizos que existía al cierre del ejercicio</w:t>
      </w:r>
      <w:r w:rsidR="00FE1638">
        <w:t xml:space="preserve"> </w:t>
      </w:r>
      <w:r w:rsidR="004F3931" w:rsidRPr="00C35EC2">
        <w:t>2017, en</w:t>
      </w:r>
      <w:r w:rsidR="00FE1638">
        <w:t xml:space="preserve"> </w:t>
      </w:r>
      <w:r w:rsidR="004F3931" w:rsidRPr="00C35EC2">
        <w:t>2018 se han consumido</w:t>
      </w:r>
      <w:r w:rsidR="00FE1638">
        <w:t xml:space="preserve"> </w:t>
      </w:r>
      <w:r w:rsidR="004F3931" w:rsidRPr="00C35EC2">
        <w:t>13.799 francos suizos en gastos de viaje</w:t>
      </w:r>
      <w:r w:rsidRPr="00C35EC2">
        <w:t>.</w:t>
      </w:r>
      <w:r w:rsidR="00EA6058" w:rsidRPr="00B24DA2">
        <w:rPr>
          <w:lang w:val="es-ES"/>
        </w:rPr>
        <w:t xml:space="preserve"> </w:t>
      </w:r>
      <w:r w:rsidR="00C80D0C">
        <w:rPr>
          <w:lang w:val="es-ES"/>
        </w:rPr>
        <w:t xml:space="preserve"> </w:t>
      </w:r>
      <w:r w:rsidR="00E75714" w:rsidRPr="00C35EC2">
        <w:t xml:space="preserve">El saldo del fondo para proyectos especiales, </w:t>
      </w:r>
      <w:r w:rsidR="00922768" w:rsidRPr="00C35EC2">
        <w:t xml:space="preserve">que </w:t>
      </w:r>
      <w:r w:rsidR="00E75714" w:rsidRPr="00C35EC2">
        <w:t>al</w:t>
      </w:r>
      <w:r w:rsidR="00FE1638">
        <w:t xml:space="preserve"> </w:t>
      </w:r>
      <w:r w:rsidR="00E75714" w:rsidRPr="00C35EC2">
        <w:t>31 de diciembre de</w:t>
      </w:r>
      <w:r w:rsidR="00FE1638">
        <w:t xml:space="preserve"> </w:t>
      </w:r>
      <w:r w:rsidR="00E75714" w:rsidRPr="00C35EC2">
        <w:t>2018</w:t>
      </w:r>
      <w:r w:rsidR="00922768" w:rsidRPr="00C35EC2">
        <w:t xml:space="preserve"> ascendía a</w:t>
      </w:r>
      <w:r w:rsidR="00FE1638">
        <w:t xml:space="preserve"> </w:t>
      </w:r>
      <w:r w:rsidR="00922768" w:rsidRPr="00C35EC2">
        <w:t>158 francos suizos</w:t>
      </w:r>
      <w:r w:rsidR="00E75714" w:rsidRPr="00C35EC2">
        <w:t>, forma parte de los activos netos de la</w:t>
      </w:r>
      <w:r w:rsidR="00FE1638">
        <w:t xml:space="preserve"> </w:t>
      </w:r>
      <w:r w:rsidR="00E75714" w:rsidRPr="00C35EC2">
        <w:t>UPOV.</w:t>
      </w:r>
      <w:r w:rsidR="00EA6058" w:rsidRPr="00B24DA2">
        <w:rPr>
          <w:lang w:val="es-ES"/>
        </w:rPr>
        <w:t xml:space="preserve"> </w:t>
      </w:r>
      <w:r w:rsidR="00C80D0C">
        <w:rPr>
          <w:lang w:val="es-ES"/>
        </w:rPr>
        <w:t xml:space="preserve"> </w:t>
      </w:r>
      <w:r w:rsidR="00E75714" w:rsidRPr="00C35EC2">
        <w:t>Este saldo se transferirá al fondo de reserva de la</w:t>
      </w:r>
      <w:r w:rsidR="00FE1638">
        <w:t xml:space="preserve"> </w:t>
      </w:r>
      <w:r w:rsidR="00E75714" w:rsidRPr="00C35EC2">
        <w:t>UPOV en</w:t>
      </w:r>
      <w:r w:rsidR="00C80D0C">
        <w:t> </w:t>
      </w:r>
      <w:r w:rsidR="00E75714" w:rsidRPr="00C35EC2">
        <w:t>2019.</w:t>
      </w:r>
      <w:r w:rsidR="00EA6058" w:rsidRPr="00B24DA2">
        <w:rPr>
          <w:lang w:val="es-ES"/>
        </w:rPr>
        <w:t xml:space="preserve"> </w:t>
      </w:r>
    </w:p>
    <w:p w:rsidR="00EA6058" w:rsidRPr="00B24DA2" w:rsidRDefault="00EA6058" w:rsidP="00EA6058">
      <w:pPr>
        <w:rPr>
          <w:lang w:val="es-ES"/>
        </w:rPr>
      </w:pPr>
    </w:p>
    <w:p w:rsidR="00EA6058" w:rsidRPr="00C77C24" w:rsidRDefault="00C53E33" w:rsidP="00EA6058">
      <w:pPr>
        <w:pStyle w:val="Heading2"/>
      </w:pPr>
      <w:bookmarkStart w:id="9" w:name="_Toc15397057"/>
      <w:r w:rsidRPr="00C35EC2">
        <w:rPr>
          <w:lang w:val="es-ES_tradnl"/>
        </w:rPr>
        <w:t>Ejecución presupuestaria</w:t>
      </w:r>
      <w:bookmarkEnd w:id="9"/>
    </w:p>
    <w:p w:rsidR="00EA6058" w:rsidRPr="00C77C24" w:rsidRDefault="00EA6058" w:rsidP="00EA6058"/>
    <w:p w:rsidR="00EA6058" w:rsidRPr="00B24DA2" w:rsidRDefault="00A80C9E" w:rsidP="00EA6058">
      <w:pPr>
        <w:numPr>
          <w:ilvl w:val="0"/>
          <w:numId w:val="18"/>
        </w:numPr>
        <w:rPr>
          <w:lang w:val="es-ES"/>
        </w:rPr>
      </w:pPr>
      <w:r w:rsidRPr="00A76F64">
        <w:t>El presupuesto de la</w:t>
      </w:r>
      <w:r w:rsidR="00FE1638">
        <w:t xml:space="preserve"> </w:t>
      </w:r>
      <w:r w:rsidRPr="00A76F64">
        <w:t xml:space="preserve">UPOV continúa elaborándose con arreglo al criterio de devengo modificado y se presenta en los estados financieros como </w:t>
      </w:r>
      <w:r w:rsidR="00C35EC2" w:rsidRPr="00A76F64">
        <w:t xml:space="preserve">estado </w:t>
      </w:r>
      <w:r w:rsidRPr="00A76F64">
        <w:t>financiero</w:t>
      </w:r>
      <w:r w:rsidR="00FE1638">
        <w:t xml:space="preserve"> </w:t>
      </w:r>
      <w:r w:rsidRPr="00A76F64">
        <w:t>V (</w:t>
      </w:r>
      <w:r w:rsidR="00C35EC2" w:rsidRPr="00A76F64">
        <w:t xml:space="preserve">estado </w:t>
      </w:r>
      <w:r w:rsidRPr="00A76F64">
        <w:t>comparativo de importes presupuestados y reales).</w:t>
      </w:r>
      <w:r w:rsidR="00EA6058" w:rsidRPr="00B24DA2">
        <w:rPr>
          <w:lang w:val="es-ES"/>
        </w:rPr>
        <w:t xml:space="preserve"> </w:t>
      </w:r>
      <w:r w:rsidR="00C80D0C">
        <w:rPr>
          <w:lang w:val="es-ES"/>
        </w:rPr>
        <w:t xml:space="preserve"> </w:t>
      </w:r>
      <w:r w:rsidRPr="00A76F64">
        <w:t>Con objeto de facilitar la comparación entre el presupuesto y los estados financieros elaborados de conformidad con las IPSAS, en las notas sobre los estados financieros se incluye una conciliación del presupuesto y el estado de rendimiento financiero.</w:t>
      </w:r>
    </w:p>
    <w:p w:rsidR="00EA6058" w:rsidRPr="00B24DA2" w:rsidRDefault="00EA6058" w:rsidP="00EA6058">
      <w:pPr>
        <w:rPr>
          <w:lang w:val="es-ES"/>
        </w:rPr>
      </w:pPr>
    </w:p>
    <w:p w:rsidR="00EA6058" w:rsidRPr="00B24DA2" w:rsidRDefault="00A80C9E" w:rsidP="00EA6058">
      <w:pPr>
        <w:numPr>
          <w:ilvl w:val="0"/>
          <w:numId w:val="18"/>
        </w:numPr>
        <w:rPr>
          <w:u w:val="single"/>
          <w:lang w:val="es-ES"/>
        </w:rPr>
      </w:pPr>
      <w:r w:rsidRPr="00A76F64">
        <w:t>El presupuesto para el año</w:t>
      </w:r>
      <w:r w:rsidR="00FE1638">
        <w:t xml:space="preserve"> </w:t>
      </w:r>
      <w:r w:rsidRPr="00A76F64">
        <w:t>2018 contemplaba unos ingresos y unos gastos de</w:t>
      </w:r>
      <w:r w:rsidR="00FE1638">
        <w:t xml:space="preserve"> </w:t>
      </w:r>
      <w:r w:rsidRPr="00A76F64">
        <w:t>3.470.000 francos suizos,</w:t>
      </w:r>
      <w:r w:rsidR="00EA6058" w:rsidRPr="00B24DA2">
        <w:rPr>
          <w:lang w:val="es-ES"/>
        </w:rPr>
        <w:t xml:space="preserve"> </w:t>
      </w:r>
      <w:r w:rsidRPr="00A76F64">
        <w:t>mientras que los ingresos reales y los gastos reales en términos comparables (antes del ajuste de los fondos fiduciarios y los ajustes con arreglo a las IPSAS) fueron de</w:t>
      </w:r>
      <w:r w:rsidR="00FE1638">
        <w:t xml:space="preserve"> </w:t>
      </w:r>
      <w:r w:rsidRPr="00A76F64">
        <w:t>3.422.060 y</w:t>
      </w:r>
      <w:r w:rsidR="00FE1638">
        <w:t xml:space="preserve"> </w:t>
      </w:r>
      <w:r w:rsidRPr="00A76F64">
        <w:t>3.354.800 francos suizos, respectivamente.</w:t>
      </w:r>
      <w:r w:rsidR="00EA6058" w:rsidRPr="00B24DA2">
        <w:rPr>
          <w:lang w:val="es-ES"/>
        </w:rPr>
        <w:t xml:space="preserve"> </w:t>
      </w:r>
      <w:r w:rsidR="00C80D0C">
        <w:rPr>
          <w:lang w:val="es-ES"/>
        </w:rPr>
        <w:t xml:space="preserve"> </w:t>
      </w:r>
      <w:r w:rsidRPr="00A76F64">
        <w:t>El superávit real en el ejercicio</w:t>
      </w:r>
      <w:r w:rsidR="00FE1638">
        <w:t xml:space="preserve"> </w:t>
      </w:r>
      <w:r w:rsidRPr="00A76F64">
        <w:t>2018, en términos comparables, fue de</w:t>
      </w:r>
      <w:r w:rsidR="00FE1638">
        <w:t xml:space="preserve"> </w:t>
      </w:r>
      <w:r w:rsidR="00C80D0C">
        <w:t>67.260 </w:t>
      </w:r>
      <w:r w:rsidRPr="00A76F64">
        <w:t>francos suizos.</w:t>
      </w:r>
      <w:r w:rsidR="00EA6058" w:rsidRPr="00B24DA2">
        <w:rPr>
          <w:lang w:val="es-ES"/>
        </w:rPr>
        <w:t xml:space="preserve"> </w:t>
      </w:r>
      <w:r w:rsidRPr="00A76F64">
        <w:t>Las diferencias principales entre las cifras presupuestadas para</w:t>
      </w:r>
      <w:r w:rsidR="00FE1638">
        <w:t xml:space="preserve"> </w:t>
      </w:r>
      <w:r w:rsidRPr="00A76F64">
        <w:t>2018 y las cifras reales en términos comparables se explican en los párrafos siguientes.</w:t>
      </w:r>
    </w:p>
    <w:p w:rsidR="00EA6058" w:rsidRPr="00B24DA2" w:rsidRDefault="00EA6058" w:rsidP="00EA6058">
      <w:pPr>
        <w:rPr>
          <w:lang w:val="es-ES"/>
        </w:rPr>
      </w:pPr>
    </w:p>
    <w:p w:rsidR="00EA6058" w:rsidRPr="00B24DA2" w:rsidRDefault="00A80C9E" w:rsidP="00EA6058">
      <w:pPr>
        <w:numPr>
          <w:ilvl w:val="0"/>
          <w:numId w:val="18"/>
        </w:numPr>
        <w:rPr>
          <w:lang w:val="es-ES"/>
        </w:rPr>
      </w:pPr>
      <w:r w:rsidRPr="00A76F64">
        <w:t>Ingresos:</w:t>
      </w:r>
      <w:r w:rsidR="00EA6058" w:rsidRPr="00B24DA2">
        <w:rPr>
          <w:lang w:val="es-ES"/>
        </w:rPr>
        <w:t xml:space="preserve"> </w:t>
      </w:r>
      <w:r w:rsidR="00353DDF" w:rsidRPr="00A76F64">
        <w:t xml:space="preserve">los </w:t>
      </w:r>
      <w:r w:rsidR="001002C7" w:rsidRPr="00A76F64">
        <w:t>ingresos totales registrados en</w:t>
      </w:r>
      <w:r w:rsidR="00FE1638">
        <w:t xml:space="preserve"> </w:t>
      </w:r>
      <w:r w:rsidR="001002C7" w:rsidRPr="00A76F64">
        <w:t>2018 están en consonancia con la cantidad presupuestada.</w:t>
      </w:r>
    </w:p>
    <w:p w:rsidR="00EA6058" w:rsidRPr="00B24DA2" w:rsidRDefault="00EA6058" w:rsidP="00EA6058">
      <w:pPr>
        <w:rPr>
          <w:lang w:val="es-ES"/>
        </w:rPr>
      </w:pPr>
    </w:p>
    <w:p w:rsidR="00EA6058" w:rsidRPr="00B24DA2" w:rsidRDefault="001002C7" w:rsidP="00EA6058">
      <w:pPr>
        <w:numPr>
          <w:ilvl w:val="0"/>
          <w:numId w:val="18"/>
        </w:numPr>
        <w:rPr>
          <w:lang w:val="es-ES"/>
        </w:rPr>
      </w:pPr>
      <w:r w:rsidRPr="00A76F64">
        <w:lastRenderedPageBreak/>
        <w:t>Recursos de personal:</w:t>
      </w:r>
      <w:r w:rsidR="00EA6058" w:rsidRPr="00B24DA2">
        <w:rPr>
          <w:lang w:val="es-ES"/>
        </w:rPr>
        <w:t xml:space="preserve"> </w:t>
      </w:r>
      <w:r w:rsidR="00353DDF" w:rsidRPr="00A76F64">
        <w:t xml:space="preserve">los </w:t>
      </w:r>
      <w:r w:rsidR="00B87318" w:rsidRPr="00A76F64">
        <w:t>gastos de personal se presupuestan mediante un método de cálculo de costos basado en los importes reales.</w:t>
      </w:r>
      <w:r w:rsidR="00680842" w:rsidRPr="00B24DA2">
        <w:rPr>
          <w:lang w:val="es-ES"/>
        </w:rPr>
        <w:t xml:space="preserve"> </w:t>
      </w:r>
      <w:r w:rsidR="00B33D3D" w:rsidRPr="00A76F64">
        <w:t>En</w:t>
      </w:r>
      <w:r w:rsidR="00FE1638">
        <w:t xml:space="preserve"> </w:t>
      </w:r>
      <w:r w:rsidR="00B33D3D" w:rsidRPr="00A76F64">
        <w:t xml:space="preserve">2018, los </w:t>
      </w:r>
      <w:r w:rsidR="00B87318" w:rsidRPr="00A76F64">
        <w:t>gasto</w:t>
      </w:r>
      <w:r w:rsidR="00B33D3D" w:rsidRPr="00A76F64">
        <w:t>s</w:t>
      </w:r>
      <w:r w:rsidR="00B87318" w:rsidRPr="00A76F64">
        <w:t xml:space="preserve"> fue</w:t>
      </w:r>
      <w:r w:rsidR="00B33D3D" w:rsidRPr="00A76F64">
        <w:t>ron</w:t>
      </w:r>
      <w:r w:rsidR="00B87318" w:rsidRPr="00A76F64">
        <w:t xml:space="preserve"> </w:t>
      </w:r>
      <w:r w:rsidR="00B33D3D" w:rsidRPr="00A76F64">
        <w:t>ligeramente</w:t>
      </w:r>
      <w:r w:rsidR="00B87318" w:rsidRPr="00A76F64">
        <w:t xml:space="preserve"> </w:t>
      </w:r>
      <w:r w:rsidR="00B33D3D" w:rsidRPr="00A76F64">
        <w:t xml:space="preserve">inferiores a </w:t>
      </w:r>
      <w:r w:rsidR="00B87318" w:rsidRPr="00A76F64">
        <w:t>lo presupuestado (-9</w:t>
      </w:r>
      <w:r w:rsidR="004666F4" w:rsidRPr="00A76F64">
        <w:t>,</w:t>
      </w:r>
      <w:r w:rsidR="00B87318" w:rsidRPr="00A76F64">
        <w:t>4%).</w:t>
      </w:r>
      <w:r w:rsidR="00EA6058" w:rsidRPr="00B24DA2">
        <w:rPr>
          <w:lang w:val="es-ES"/>
        </w:rPr>
        <w:t xml:space="preserve"> </w:t>
      </w:r>
      <w:r w:rsidR="00870689" w:rsidRPr="00A76F64">
        <w:t>El gasto en puestos resultó acorde con l</w:t>
      </w:r>
      <w:r w:rsidR="00335E99" w:rsidRPr="00A76F64">
        <w:t xml:space="preserve">a cifra </w:t>
      </w:r>
      <w:r w:rsidR="00870689" w:rsidRPr="00A76F64">
        <w:t>presupuestad</w:t>
      </w:r>
      <w:r w:rsidR="00335E99" w:rsidRPr="00A76F64">
        <w:t>a</w:t>
      </w:r>
      <w:r w:rsidR="00870689" w:rsidRPr="00A76F64">
        <w:t xml:space="preserve"> </w:t>
      </w:r>
      <w:r w:rsidR="00335E99" w:rsidRPr="00A76F64">
        <w:t>como consecuencia de las variaciones siguientes</w:t>
      </w:r>
      <w:r w:rsidR="00B33D3D" w:rsidRPr="00A76F64">
        <w:t>.</w:t>
      </w:r>
      <w:r w:rsidR="00EA6058" w:rsidRPr="00B24DA2">
        <w:rPr>
          <w:lang w:val="es-ES"/>
        </w:rPr>
        <w:t xml:space="preserve"> </w:t>
      </w:r>
      <w:r w:rsidR="00335E99" w:rsidRPr="00A76F64">
        <w:t>El gasto real en dos puestos de la categoría profesional fue superior a lo presupuestado debido a que los puestos se ocuparon varios meses antes de lo previsto.</w:t>
      </w:r>
      <w:r w:rsidR="00680842" w:rsidRPr="00B24DA2">
        <w:rPr>
          <w:lang w:val="es-ES"/>
        </w:rPr>
        <w:t xml:space="preserve"> </w:t>
      </w:r>
      <w:r w:rsidR="00A14634" w:rsidRPr="00A76F64">
        <w:t>Pero, en compensación, dos puestos de la categoría de servicios generales se ocuparon en un</w:t>
      </w:r>
      <w:r w:rsidR="00FE1638">
        <w:t xml:space="preserve"> </w:t>
      </w:r>
      <w:r w:rsidR="00A14634" w:rsidRPr="00A76F64">
        <w:t>80% y, en la categoría profesional, los gastos de personal fueron inferiores a lo presupuestado a causa de la disminución del multiplicador del ajuste por lugar de destino para Ginebra.</w:t>
      </w:r>
    </w:p>
    <w:p w:rsidR="00EA6058" w:rsidRPr="00B24DA2" w:rsidRDefault="001041ED" w:rsidP="00EA6058">
      <w:pPr>
        <w:ind w:left="567"/>
        <w:rPr>
          <w:lang w:val="es-ES"/>
        </w:rPr>
      </w:pPr>
      <w:r w:rsidRPr="00FC71E7">
        <w:t>El gasto en person</w:t>
      </w:r>
      <w:r w:rsidR="00A76F64" w:rsidRPr="00FC71E7">
        <w:t>al temporero solo representó el</w:t>
      </w:r>
      <w:r w:rsidR="00FE1638">
        <w:t xml:space="preserve"> </w:t>
      </w:r>
      <w:r w:rsidRPr="00FC71E7">
        <w:t>30</w:t>
      </w:r>
      <w:r w:rsidR="004666F4" w:rsidRPr="00FC71E7">
        <w:t>,</w:t>
      </w:r>
      <w:r w:rsidRPr="00FC71E7">
        <w:t>6% de los costos presupuestados para</w:t>
      </w:r>
      <w:r w:rsidR="00FE1638">
        <w:t xml:space="preserve"> </w:t>
      </w:r>
      <w:r w:rsidRPr="00FC71E7">
        <w:t>2018 dado que: dos puestos de la categoría profesional, inicialmente ocupados por personal temporero, se ocuparon antes de lo previsto;</w:t>
      </w:r>
      <w:r w:rsidR="00EA6058" w:rsidRPr="00B24DA2">
        <w:rPr>
          <w:lang w:val="es-ES"/>
        </w:rPr>
        <w:t xml:space="preserve"> </w:t>
      </w:r>
      <w:r w:rsidR="002856F4" w:rsidRPr="00FC71E7">
        <w:t>y no se contrató al personal administrativo temporero presupuestado porque esa labor fue desempeñada por trabajadores de agencias.</w:t>
      </w:r>
    </w:p>
    <w:p w:rsidR="00EA6058" w:rsidRPr="00B24DA2" w:rsidRDefault="00EA6058" w:rsidP="00EA6058">
      <w:pPr>
        <w:rPr>
          <w:lang w:val="es-ES"/>
        </w:rPr>
      </w:pPr>
    </w:p>
    <w:p w:rsidR="00EA6058" w:rsidRPr="00B24DA2" w:rsidRDefault="002856F4" w:rsidP="0086048E">
      <w:pPr>
        <w:pStyle w:val="ListParagraph"/>
        <w:numPr>
          <w:ilvl w:val="0"/>
          <w:numId w:val="18"/>
        </w:numPr>
        <w:jc w:val="both"/>
        <w:rPr>
          <w:sz w:val="20"/>
          <w:lang w:val="es-ES"/>
        </w:rPr>
      </w:pPr>
      <w:r w:rsidRPr="00FC71E7">
        <w:rPr>
          <w:sz w:val="20"/>
        </w:rPr>
        <w:t>Pasantías y becas:</w:t>
      </w:r>
      <w:r w:rsidR="00EA6058" w:rsidRPr="00B24DA2">
        <w:rPr>
          <w:sz w:val="20"/>
          <w:lang w:val="es-ES"/>
        </w:rPr>
        <w:t xml:space="preserve"> </w:t>
      </w:r>
      <w:r w:rsidR="00353DDF" w:rsidRPr="00FC71E7">
        <w:rPr>
          <w:sz w:val="20"/>
        </w:rPr>
        <w:t xml:space="preserve">los </w:t>
      </w:r>
      <w:r w:rsidR="001F6BFF" w:rsidRPr="00FC71E7">
        <w:rPr>
          <w:sz w:val="20"/>
        </w:rPr>
        <w:t>costos de pasantías y becas son ligeramente superiores a los presupuestados debido al viaje realizado por el becario</w:t>
      </w:r>
      <w:r w:rsidRPr="00FC71E7">
        <w:rPr>
          <w:sz w:val="20"/>
        </w:rPr>
        <w:t>.</w:t>
      </w:r>
    </w:p>
    <w:p w:rsidR="00EA6058" w:rsidRPr="00B24DA2" w:rsidRDefault="00EA6058" w:rsidP="00EA6058">
      <w:pPr>
        <w:pStyle w:val="ListParagraph"/>
        <w:rPr>
          <w:sz w:val="20"/>
          <w:lang w:val="es-ES"/>
        </w:rPr>
      </w:pPr>
    </w:p>
    <w:p w:rsidR="00EA6058" w:rsidRPr="00B24DA2" w:rsidRDefault="004666F4" w:rsidP="00EA6058">
      <w:pPr>
        <w:pStyle w:val="ListParagraph"/>
        <w:numPr>
          <w:ilvl w:val="0"/>
          <w:numId w:val="18"/>
        </w:numPr>
        <w:jc w:val="both"/>
        <w:rPr>
          <w:sz w:val="20"/>
          <w:lang w:val="es-ES"/>
        </w:rPr>
      </w:pPr>
      <w:r w:rsidRPr="00FC71E7">
        <w:rPr>
          <w:sz w:val="20"/>
        </w:rPr>
        <w:t>Viajes, formación y subsidios:</w:t>
      </w:r>
      <w:r w:rsidR="00EA6058" w:rsidRPr="00B24DA2">
        <w:rPr>
          <w:sz w:val="20"/>
          <w:lang w:val="es-ES"/>
        </w:rPr>
        <w:t xml:space="preserve"> </w:t>
      </w:r>
      <w:r w:rsidR="00353DDF" w:rsidRPr="00FC71E7">
        <w:rPr>
          <w:sz w:val="20"/>
        </w:rPr>
        <w:t xml:space="preserve">los </w:t>
      </w:r>
      <w:r w:rsidRPr="00FC71E7">
        <w:rPr>
          <w:sz w:val="20"/>
        </w:rPr>
        <w:t xml:space="preserve">gastos de viajes fueron considerablemente superiores (+13,8%) </w:t>
      </w:r>
      <w:r w:rsidR="00B92B8D" w:rsidRPr="00FC71E7">
        <w:rPr>
          <w:sz w:val="20"/>
        </w:rPr>
        <w:t>a lo</w:t>
      </w:r>
      <w:r w:rsidRPr="00FC71E7">
        <w:rPr>
          <w:sz w:val="20"/>
        </w:rPr>
        <w:t xml:space="preserve"> previsto </w:t>
      </w:r>
      <w:r w:rsidR="00B92B8D" w:rsidRPr="00FC71E7">
        <w:rPr>
          <w:sz w:val="20"/>
        </w:rPr>
        <w:t>para</w:t>
      </w:r>
      <w:r w:rsidR="00FE1638">
        <w:rPr>
          <w:sz w:val="20"/>
        </w:rPr>
        <w:t xml:space="preserve"> </w:t>
      </w:r>
      <w:r w:rsidRPr="00FC71E7">
        <w:rPr>
          <w:sz w:val="20"/>
        </w:rPr>
        <w:t>2018.</w:t>
      </w:r>
      <w:r w:rsidR="00680842" w:rsidRPr="00B24DA2">
        <w:rPr>
          <w:sz w:val="20"/>
          <w:lang w:val="es-ES"/>
        </w:rPr>
        <w:t xml:space="preserve"> </w:t>
      </w:r>
      <w:r w:rsidR="00C80D0C">
        <w:rPr>
          <w:sz w:val="20"/>
          <w:lang w:val="es-ES"/>
        </w:rPr>
        <w:t xml:space="preserve"> </w:t>
      </w:r>
      <w:r w:rsidR="00735C4C" w:rsidRPr="00520C6E">
        <w:rPr>
          <w:sz w:val="20"/>
        </w:rPr>
        <w:t xml:space="preserve">El aumento de estos gastos </w:t>
      </w:r>
      <w:r w:rsidR="003A0834" w:rsidRPr="00520C6E">
        <w:rPr>
          <w:sz w:val="20"/>
        </w:rPr>
        <w:t xml:space="preserve">responde a </w:t>
      </w:r>
      <w:r w:rsidR="005433C2" w:rsidRPr="00520C6E">
        <w:rPr>
          <w:sz w:val="20"/>
        </w:rPr>
        <w:t>l</w:t>
      </w:r>
      <w:r w:rsidR="003A0834" w:rsidRPr="00520C6E">
        <w:rPr>
          <w:sz w:val="20"/>
        </w:rPr>
        <w:t xml:space="preserve">a mayor </w:t>
      </w:r>
      <w:r w:rsidR="00735C4C" w:rsidRPr="00520C6E">
        <w:rPr>
          <w:sz w:val="20"/>
        </w:rPr>
        <w:t>demanda de información sobre la</w:t>
      </w:r>
      <w:r w:rsidR="00FE1638">
        <w:rPr>
          <w:sz w:val="20"/>
        </w:rPr>
        <w:t xml:space="preserve"> </w:t>
      </w:r>
      <w:r w:rsidR="00735C4C" w:rsidRPr="00520C6E">
        <w:rPr>
          <w:sz w:val="20"/>
        </w:rPr>
        <w:t xml:space="preserve">UPOV y </w:t>
      </w:r>
      <w:r w:rsidR="003A0834" w:rsidRPr="00520C6E">
        <w:rPr>
          <w:sz w:val="20"/>
        </w:rPr>
        <w:t xml:space="preserve">a </w:t>
      </w:r>
      <w:r w:rsidR="00F21B13" w:rsidRPr="00520C6E">
        <w:rPr>
          <w:sz w:val="20"/>
        </w:rPr>
        <w:t>l</w:t>
      </w:r>
      <w:r w:rsidR="003A0834" w:rsidRPr="00520C6E">
        <w:rPr>
          <w:sz w:val="20"/>
        </w:rPr>
        <w:t>a</w:t>
      </w:r>
      <w:r w:rsidR="00735C4C" w:rsidRPr="00520C6E">
        <w:rPr>
          <w:sz w:val="20"/>
        </w:rPr>
        <w:t xml:space="preserve"> </w:t>
      </w:r>
      <w:r w:rsidR="003A0834" w:rsidRPr="00520C6E">
        <w:rPr>
          <w:sz w:val="20"/>
        </w:rPr>
        <w:t xml:space="preserve">mayor disponibilidad de tiempo </w:t>
      </w:r>
      <w:r w:rsidR="00735C4C" w:rsidRPr="00520C6E">
        <w:rPr>
          <w:sz w:val="20"/>
        </w:rPr>
        <w:t>para las misiones</w:t>
      </w:r>
      <w:r w:rsidR="003A0834" w:rsidRPr="00520C6E">
        <w:rPr>
          <w:sz w:val="20"/>
        </w:rPr>
        <w:t xml:space="preserve"> del personal</w:t>
      </w:r>
      <w:r w:rsidR="001F5B74" w:rsidRPr="00520C6E">
        <w:rPr>
          <w:sz w:val="20"/>
        </w:rPr>
        <w:t xml:space="preserve"> a raíz de</w:t>
      </w:r>
      <w:r w:rsidR="00735C4C" w:rsidRPr="00520C6E">
        <w:rPr>
          <w:sz w:val="20"/>
        </w:rPr>
        <w:t xml:space="preserve"> la decisión de pasar a celebrar una única serie de sesiones de la</w:t>
      </w:r>
      <w:r w:rsidR="00FE1638">
        <w:rPr>
          <w:sz w:val="20"/>
        </w:rPr>
        <w:t xml:space="preserve"> </w:t>
      </w:r>
      <w:r w:rsidR="00735C4C" w:rsidRPr="00520C6E">
        <w:rPr>
          <w:sz w:val="20"/>
        </w:rPr>
        <w:t>UPOV.</w:t>
      </w:r>
      <w:r w:rsidR="00680842" w:rsidRPr="00B24DA2">
        <w:rPr>
          <w:sz w:val="20"/>
          <w:lang w:val="es-ES"/>
        </w:rPr>
        <w:t xml:space="preserve"> </w:t>
      </w:r>
    </w:p>
    <w:p w:rsidR="00EA6058" w:rsidRPr="00B24DA2" w:rsidRDefault="00EA6058" w:rsidP="00EA6058">
      <w:pPr>
        <w:rPr>
          <w:lang w:val="es-ES"/>
        </w:rPr>
      </w:pPr>
    </w:p>
    <w:p w:rsidR="00EA6058" w:rsidRPr="00B24DA2" w:rsidRDefault="00F21B13" w:rsidP="00EA6058">
      <w:pPr>
        <w:numPr>
          <w:ilvl w:val="0"/>
          <w:numId w:val="18"/>
        </w:numPr>
        <w:rPr>
          <w:lang w:val="es-ES"/>
        </w:rPr>
      </w:pPr>
      <w:r w:rsidRPr="00520C6E">
        <w:t>Servicios contractuales:</w:t>
      </w:r>
      <w:r w:rsidR="00EA6058" w:rsidRPr="00B24DA2">
        <w:rPr>
          <w:lang w:val="es-ES"/>
        </w:rPr>
        <w:t xml:space="preserve"> </w:t>
      </w:r>
      <w:r w:rsidR="00353DDF" w:rsidRPr="00520C6E">
        <w:t xml:space="preserve">en </w:t>
      </w:r>
      <w:r w:rsidR="00102413" w:rsidRPr="00520C6E">
        <w:t>líneas generales, los gastos en conferencias están en consonancia con la cifra presupuestada.</w:t>
      </w:r>
      <w:r w:rsidR="00EA6058" w:rsidRPr="00B24DA2">
        <w:rPr>
          <w:lang w:val="es-ES"/>
        </w:rPr>
        <w:t xml:space="preserve"> </w:t>
      </w:r>
      <w:r w:rsidR="00C80D0C">
        <w:rPr>
          <w:lang w:val="es-ES"/>
        </w:rPr>
        <w:t xml:space="preserve"> </w:t>
      </w:r>
      <w:r w:rsidR="00906262" w:rsidRPr="00520C6E">
        <w:t>En</w:t>
      </w:r>
      <w:r w:rsidR="00FE1638">
        <w:t xml:space="preserve"> </w:t>
      </w:r>
      <w:r w:rsidR="00906262" w:rsidRPr="00520C6E">
        <w:t>2018 no hubo gastos en el rubro de publicaciones.</w:t>
      </w:r>
      <w:r w:rsidR="00EA6058" w:rsidRPr="00B24DA2">
        <w:rPr>
          <w:lang w:val="es-ES"/>
        </w:rPr>
        <w:t xml:space="preserve"> </w:t>
      </w:r>
      <w:r w:rsidR="00C80D0C">
        <w:rPr>
          <w:lang w:val="es-ES"/>
        </w:rPr>
        <w:t xml:space="preserve"> </w:t>
      </w:r>
      <w:r w:rsidR="00906262" w:rsidRPr="00520C6E">
        <w:t>La estimación de gastos en servicios contractuales individuales para</w:t>
      </w:r>
      <w:r w:rsidR="00FE1638">
        <w:t xml:space="preserve"> </w:t>
      </w:r>
      <w:r w:rsidR="00906262" w:rsidRPr="00520C6E">
        <w:t>2018 fue muy inferior a lo presupuestado (40,0% del presupuesto)</w:t>
      </w:r>
      <w:r w:rsidR="00D10AF9" w:rsidRPr="00520C6E">
        <w:t>,</w:t>
      </w:r>
      <w:r w:rsidR="00906262" w:rsidRPr="00520C6E">
        <w:t xml:space="preserve"> </w:t>
      </w:r>
      <w:r w:rsidR="00D10AF9" w:rsidRPr="00520C6E">
        <w:t>dado que la mayor parte del trabajo para el que se preveía utilizar estos servicios se realizó mediante trabajadores de agencias y se incluye en el rubro “Otros servicios contractuales”</w:t>
      </w:r>
      <w:r w:rsidR="00906262" w:rsidRPr="00520C6E">
        <w:t>.</w:t>
      </w:r>
      <w:r w:rsidR="00680842" w:rsidRPr="00B24DA2">
        <w:rPr>
          <w:lang w:val="es-ES"/>
        </w:rPr>
        <w:t xml:space="preserve"> </w:t>
      </w:r>
      <w:r w:rsidR="00C80D0C">
        <w:rPr>
          <w:lang w:val="es-ES"/>
        </w:rPr>
        <w:t xml:space="preserve"> </w:t>
      </w:r>
      <w:r w:rsidR="00D10AF9" w:rsidRPr="00520C6E">
        <w:t xml:space="preserve">Por último, el gasto en otras prestaciones de carácter comercial fue </w:t>
      </w:r>
      <w:r w:rsidR="007E6582" w:rsidRPr="00520C6E">
        <w:t xml:space="preserve">notablemente </w:t>
      </w:r>
      <w:r w:rsidR="00D10AF9" w:rsidRPr="00520C6E">
        <w:t xml:space="preserve">superior a lo previsto para el primer año del bienio (+74,3%) </w:t>
      </w:r>
      <w:r w:rsidR="00691064" w:rsidRPr="00520C6E">
        <w:t>como consecuencia</w:t>
      </w:r>
      <w:r w:rsidR="00D10AF9" w:rsidRPr="00520C6E">
        <w:t xml:space="preserve"> de</w:t>
      </w:r>
      <w:r w:rsidR="007E6582" w:rsidRPr="00520C6E">
        <w:t>l</w:t>
      </w:r>
      <w:r w:rsidR="00A3248B" w:rsidRPr="00520C6E">
        <w:t xml:space="preserve"> </w:t>
      </w:r>
      <w:r w:rsidR="00691064" w:rsidRPr="00520C6E">
        <w:t xml:space="preserve">aumento del </w:t>
      </w:r>
      <w:r w:rsidR="00D10AF9" w:rsidRPr="00520C6E">
        <w:t>gasto</w:t>
      </w:r>
      <w:r w:rsidR="00691064" w:rsidRPr="00520C6E">
        <w:t xml:space="preserve"> e</w:t>
      </w:r>
      <w:r w:rsidR="00D10AF9" w:rsidRPr="00520C6E">
        <w:t>n trabajadores de agencias</w:t>
      </w:r>
      <w:r w:rsidR="00691064" w:rsidRPr="00520C6E">
        <w:t xml:space="preserve"> par</w:t>
      </w:r>
      <w:r w:rsidR="00D10AF9" w:rsidRPr="00520C6E">
        <w:t>a compensa</w:t>
      </w:r>
      <w:r w:rsidR="007E6582" w:rsidRPr="00520C6E">
        <w:t>r:</w:t>
      </w:r>
      <w:r w:rsidR="00D10AF9" w:rsidRPr="00520C6E">
        <w:t xml:space="preserve"> </w:t>
      </w:r>
      <w:r w:rsidR="007E6582" w:rsidRPr="00520C6E">
        <w:t>el personal administrativo que trabajó a tiempo parcial</w:t>
      </w:r>
      <w:r w:rsidR="00D10AF9" w:rsidRPr="00520C6E">
        <w:t xml:space="preserve">; </w:t>
      </w:r>
      <w:r w:rsidR="007E6582" w:rsidRPr="00520C6E">
        <w:t>un administrativo temporero que no se contrató</w:t>
      </w:r>
      <w:r w:rsidR="00D10AF9" w:rsidRPr="00520C6E">
        <w:t xml:space="preserve">; y </w:t>
      </w:r>
      <w:r w:rsidR="00520C6E" w:rsidRPr="00520C6E">
        <w:t xml:space="preserve">el </w:t>
      </w:r>
      <w:r w:rsidR="007E6582" w:rsidRPr="00520C6E">
        <w:t>trabajo que originalmente se preveía llevar a cabo mediante servicios contractuales individuales</w:t>
      </w:r>
      <w:r w:rsidR="00D10AF9" w:rsidRPr="00520C6E">
        <w:t>.</w:t>
      </w:r>
    </w:p>
    <w:p w:rsidR="00EA6058" w:rsidRPr="00B24DA2" w:rsidRDefault="00EA6058" w:rsidP="00EA6058">
      <w:pPr>
        <w:rPr>
          <w:lang w:val="es-ES"/>
        </w:rPr>
      </w:pPr>
    </w:p>
    <w:p w:rsidR="00EA6058" w:rsidRPr="00B24DA2" w:rsidRDefault="007E6582" w:rsidP="00C80D0C">
      <w:pPr>
        <w:pStyle w:val="ListParagraph"/>
        <w:numPr>
          <w:ilvl w:val="0"/>
          <w:numId w:val="18"/>
        </w:numPr>
        <w:jc w:val="both"/>
        <w:rPr>
          <w:rFonts w:cs="Times New Roman"/>
          <w:sz w:val="20"/>
          <w:lang w:val="es-ES"/>
        </w:rPr>
      </w:pPr>
      <w:r w:rsidRPr="00520C6E">
        <w:rPr>
          <w:sz w:val="20"/>
        </w:rPr>
        <w:t>Gastos de funcionamiento:</w:t>
      </w:r>
      <w:r w:rsidR="00EA6058" w:rsidRPr="00B24DA2">
        <w:rPr>
          <w:sz w:val="20"/>
          <w:lang w:val="es-ES"/>
        </w:rPr>
        <w:t xml:space="preserve"> </w:t>
      </w:r>
      <w:r w:rsidR="00353DDF" w:rsidRPr="00520C6E">
        <w:rPr>
          <w:rFonts w:cs="Times New Roman"/>
          <w:sz w:val="20"/>
        </w:rPr>
        <w:t xml:space="preserve">en </w:t>
      </w:r>
      <w:r w:rsidRPr="00520C6E">
        <w:rPr>
          <w:rFonts w:cs="Times New Roman"/>
          <w:sz w:val="20"/>
        </w:rPr>
        <w:t>líneas generales, los gastos de funcionamiento en</w:t>
      </w:r>
      <w:r w:rsidR="00FE1638">
        <w:rPr>
          <w:rFonts w:cs="Times New Roman"/>
          <w:sz w:val="20"/>
        </w:rPr>
        <w:t xml:space="preserve"> </w:t>
      </w:r>
      <w:r w:rsidRPr="00520C6E">
        <w:rPr>
          <w:rFonts w:cs="Times New Roman"/>
          <w:sz w:val="20"/>
        </w:rPr>
        <w:t>2018 están en sintonía con los costos presupuestados.</w:t>
      </w:r>
    </w:p>
    <w:p w:rsidR="00EA6058" w:rsidRPr="00B24DA2" w:rsidRDefault="00EA6058" w:rsidP="00EA6058">
      <w:pPr>
        <w:rPr>
          <w:color w:val="000000" w:themeColor="text1"/>
          <w:lang w:val="es-ES"/>
        </w:rPr>
      </w:pPr>
    </w:p>
    <w:p w:rsidR="00EA6058" w:rsidRPr="00B24DA2" w:rsidRDefault="007E6582" w:rsidP="0086048E">
      <w:pPr>
        <w:pStyle w:val="ListParagraph"/>
        <w:numPr>
          <w:ilvl w:val="0"/>
          <w:numId w:val="18"/>
        </w:numPr>
        <w:jc w:val="both"/>
        <w:rPr>
          <w:rFonts w:cs="Times New Roman"/>
          <w:sz w:val="20"/>
          <w:lang w:val="es-ES"/>
        </w:rPr>
      </w:pPr>
      <w:r w:rsidRPr="00520C6E">
        <w:rPr>
          <w:sz w:val="20"/>
        </w:rPr>
        <w:t>Otros gastos:</w:t>
      </w:r>
      <w:r w:rsidR="00EA6058" w:rsidRPr="00B24DA2">
        <w:rPr>
          <w:sz w:val="20"/>
          <w:lang w:val="es-ES"/>
        </w:rPr>
        <w:t xml:space="preserve"> </w:t>
      </w:r>
      <w:r w:rsidR="00353DDF" w:rsidRPr="00520C6E">
        <w:rPr>
          <w:rFonts w:cs="Times New Roman"/>
          <w:sz w:val="20"/>
        </w:rPr>
        <w:t xml:space="preserve">los </w:t>
      </w:r>
      <w:r w:rsidRPr="00520C6E">
        <w:rPr>
          <w:rFonts w:cs="Times New Roman"/>
          <w:sz w:val="20"/>
        </w:rPr>
        <w:t>gastos en equipo y suministros no incidirán de manera significativa en el bienio</w:t>
      </w:r>
      <w:r w:rsidR="00C80D0C">
        <w:rPr>
          <w:rFonts w:cs="Times New Roman"/>
          <w:sz w:val="20"/>
        </w:rPr>
        <w:t> 2018</w:t>
      </w:r>
      <w:r w:rsidR="00C80D0C">
        <w:rPr>
          <w:rFonts w:cs="Times New Roman"/>
          <w:sz w:val="20"/>
        </w:rPr>
        <w:noBreakHyphen/>
      </w:r>
      <w:r w:rsidRPr="00520C6E">
        <w:rPr>
          <w:rFonts w:cs="Times New Roman"/>
          <w:sz w:val="20"/>
        </w:rPr>
        <w:t>2019.</w:t>
      </w:r>
    </w:p>
    <w:p w:rsidR="00EA6058" w:rsidRPr="00B24DA2" w:rsidRDefault="00EA6058" w:rsidP="00EA6058">
      <w:pPr>
        <w:pStyle w:val="Heading1"/>
        <w:jc w:val="center"/>
        <w:rPr>
          <w:lang w:val="es-ES"/>
        </w:rPr>
      </w:pPr>
      <w:r w:rsidRPr="00B24DA2">
        <w:rPr>
          <w:lang w:val="es-ES"/>
        </w:rPr>
        <w:br w:type="page"/>
      </w:r>
      <w:bookmarkStart w:id="10" w:name="_Toc15397058"/>
      <w:r w:rsidR="006B1AD5" w:rsidRPr="00520C6E">
        <w:rPr>
          <w:lang w:val="es-ES_tradnl"/>
        </w:rPr>
        <w:lastRenderedPageBreak/>
        <w:t>ESTADO FINANCIERO</w:t>
      </w:r>
      <w:r w:rsidR="00FE1638">
        <w:rPr>
          <w:lang w:val="es-ES_tradnl"/>
        </w:rPr>
        <w:t xml:space="preserve"> </w:t>
      </w:r>
      <w:r w:rsidR="006B1AD5" w:rsidRPr="00520C6E">
        <w:rPr>
          <w:lang w:val="es-ES_tradnl"/>
        </w:rPr>
        <w:t>I:</w:t>
      </w:r>
      <w:r w:rsidR="00680842" w:rsidRPr="00B24DA2">
        <w:rPr>
          <w:lang w:val="es-ES"/>
        </w:rPr>
        <w:t xml:space="preserve"> </w:t>
      </w:r>
      <w:r w:rsidR="006B1AD5" w:rsidRPr="00520C6E">
        <w:rPr>
          <w:lang w:val="es-ES_tradnl"/>
        </w:rPr>
        <w:t>ESTADO DE LA SITUACIÓN FINANCIERA</w:t>
      </w:r>
      <w:bookmarkEnd w:id="10"/>
    </w:p>
    <w:p w:rsidR="00EA6058" w:rsidRPr="00B24DA2" w:rsidRDefault="006B1AD5" w:rsidP="00EA6058">
      <w:pPr>
        <w:jc w:val="center"/>
        <w:rPr>
          <w:b/>
          <w:lang w:val="es-ES"/>
        </w:rPr>
      </w:pPr>
      <w:r w:rsidRPr="00520C6E">
        <w:rPr>
          <w:b/>
        </w:rPr>
        <w:t>al</w:t>
      </w:r>
      <w:r w:rsidR="00FE1638">
        <w:rPr>
          <w:b/>
        </w:rPr>
        <w:t xml:space="preserve"> </w:t>
      </w:r>
      <w:r w:rsidRPr="00520C6E">
        <w:rPr>
          <w:b/>
        </w:rPr>
        <w:t>31 de diciembre de</w:t>
      </w:r>
      <w:r w:rsidR="00FE1638">
        <w:rPr>
          <w:b/>
        </w:rPr>
        <w:t xml:space="preserve"> </w:t>
      </w:r>
      <w:r w:rsidRPr="00520C6E">
        <w:rPr>
          <w:b/>
        </w:rPr>
        <w:t>2018</w:t>
      </w:r>
    </w:p>
    <w:p w:rsidR="00EA6058" w:rsidRPr="00B24DA2" w:rsidRDefault="006B1AD5" w:rsidP="00EA6058">
      <w:pPr>
        <w:jc w:val="center"/>
        <w:rPr>
          <w:i/>
          <w:lang w:val="es-ES"/>
        </w:rPr>
      </w:pPr>
      <w:r w:rsidRPr="00520C6E">
        <w:rPr>
          <w:i/>
        </w:rPr>
        <w:t>(en francos suizos)</w:t>
      </w:r>
    </w:p>
    <w:p w:rsidR="00EA6058" w:rsidRPr="00B24DA2" w:rsidRDefault="00EA6058" w:rsidP="00EA6058">
      <w:pPr>
        <w:jc w:val="center"/>
        <w:rPr>
          <w:i/>
          <w:lang w:val="es-ES"/>
        </w:rPr>
      </w:pPr>
    </w:p>
    <w:p w:rsidR="00EA6058" w:rsidRPr="00B24DA2" w:rsidRDefault="00EA6058" w:rsidP="00EA6058">
      <w:pPr>
        <w:jc w:val="center"/>
        <w:rPr>
          <w:i/>
          <w:lang w:val="es-ES"/>
        </w:rPr>
      </w:pPr>
    </w:p>
    <w:p w:rsidR="00EA6058" w:rsidRPr="00B24DA2" w:rsidRDefault="00EA6058" w:rsidP="00EA6058">
      <w:pPr>
        <w:rPr>
          <w:i/>
          <w:lang w:val="es-ES"/>
        </w:rPr>
      </w:pPr>
    </w:p>
    <w:p w:rsidR="00EA6058" w:rsidRPr="00BF30D2" w:rsidRDefault="005216AD" w:rsidP="00EA6058">
      <w:pPr>
        <w:rPr>
          <w:rFonts w:ascii="Times New Roman" w:hAnsi="Times New Roman"/>
          <w:b/>
          <w:bCs/>
          <w:caps/>
        </w:rPr>
      </w:pPr>
      <w:r w:rsidRPr="005216AD">
        <w:rPr>
          <w:noProof/>
          <w:lang w:val="en-US"/>
        </w:rPr>
        <w:drawing>
          <wp:inline distT="0" distB="0" distL="0" distR="0">
            <wp:extent cx="6120000" cy="5273087"/>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tretch>
                      <a:fillRect/>
                    </a:stretch>
                  </pic:blipFill>
                  <pic:spPr bwMode="auto">
                    <a:xfrm>
                      <a:off x="0" y="0"/>
                      <a:ext cx="6120000" cy="5273087"/>
                    </a:xfrm>
                    <a:prstGeom prst="rect">
                      <a:avLst/>
                    </a:prstGeom>
                    <a:noFill/>
                    <a:ln>
                      <a:noFill/>
                    </a:ln>
                  </pic:spPr>
                </pic:pic>
              </a:graphicData>
            </a:graphic>
          </wp:inline>
        </w:drawing>
      </w:r>
    </w:p>
    <w:p w:rsidR="00EA6058" w:rsidRPr="00B24DA2" w:rsidRDefault="00EA6058" w:rsidP="00EA6058">
      <w:pPr>
        <w:pStyle w:val="Heading1"/>
        <w:jc w:val="center"/>
        <w:rPr>
          <w:lang w:val="es-ES"/>
        </w:rPr>
      </w:pPr>
      <w:r w:rsidRPr="00B24DA2">
        <w:rPr>
          <w:lang w:val="es-ES"/>
        </w:rPr>
        <w:br w:type="page"/>
      </w:r>
      <w:bookmarkStart w:id="11" w:name="_Toc457491910"/>
      <w:bookmarkStart w:id="12" w:name="_Toc15397059"/>
      <w:r w:rsidR="00C936C2" w:rsidRPr="00520C6E">
        <w:rPr>
          <w:lang w:val="es-ES_tradnl"/>
        </w:rPr>
        <w:lastRenderedPageBreak/>
        <w:t>ESTADO FINANCIERO</w:t>
      </w:r>
      <w:r w:rsidR="00FE1638">
        <w:rPr>
          <w:lang w:val="es-ES_tradnl"/>
        </w:rPr>
        <w:t xml:space="preserve"> </w:t>
      </w:r>
      <w:r w:rsidR="00C936C2" w:rsidRPr="00520C6E">
        <w:rPr>
          <w:lang w:val="es-ES_tradnl"/>
        </w:rPr>
        <w:t>II:</w:t>
      </w:r>
      <w:r w:rsidR="00680842" w:rsidRPr="00B24DA2">
        <w:rPr>
          <w:lang w:val="es-ES"/>
        </w:rPr>
        <w:t xml:space="preserve"> </w:t>
      </w:r>
      <w:bookmarkEnd w:id="11"/>
      <w:r w:rsidR="00C936C2" w:rsidRPr="00520C6E">
        <w:rPr>
          <w:lang w:val="es-ES_tradnl"/>
        </w:rPr>
        <w:t>ESTADO DE RENDIMIENTO FINANCIERO</w:t>
      </w:r>
      <w:bookmarkEnd w:id="12"/>
    </w:p>
    <w:p w:rsidR="00EA6058" w:rsidRPr="00B24DA2" w:rsidRDefault="00C936C2" w:rsidP="00EA6058">
      <w:pPr>
        <w:jc w:val="center"/>
        <w:rPr>
          <w:b/>
          <w:lang w:val="es-ES"/>
        </w:rPr>
      </w:pPr>
      <w:r w:rsidRPr="00520C6E">
        <w:rPr>
          <w:b/>
        </w:rPr>
        <w:t>del ejercicio concluido el</w:t>
      </w:r>
      <w:r w:rsidR="00FE1638">
        <w:rPr>
          <w:b/>
        </w:rPr>
        <w:t xml:space="preserve"> </w:t>
      </w:r>
      <w:r w:rsidRPr="00520C6E">
        <w:rPr>
          <w:b/>
        </w:rPr>
        <w:t>31 de diciembre de</w:t>
      </w:r>
      <w:r w:rsidR="00FE1638">
        <w:rPr>
          <w:b/>
        </w:rPr>
        <w:t xml:space="preserve"> </w:t>
      </w:r>
      <w:r w:rsidRPr="00520C6E">
        <w:rPr>
          <w:b/>
        </w:rPr>
        <w:t>2018</w:t>
      </w:r>
    </w:p>
    <w:p w:rsidR="00EA6058" w:rsidRPr="00E71CCE" w:rsidRDefault="00C936C2" w:rsidP="00EA6058">
      <w:pPr>
        <w:jc w:val="center"/>
        <w:rPr>
          <w:i/>
        </w:rPr>
      </w:pPr>
      <w:r w:rsidRPr="00520C6E">
        <w:rPr>
          <w:i/>
        </w:rPr>
        <w:t>(en francos suizos)</w:t>
      </w:r>
    </w:p>
    <w:p w:rsidR="00EA6058" w:rsidRPr="00191695" w:rsidRDefault="00EA6058" w:rsidP="00EA6058"/>
    <w:p w:rsidR="00EA6058" w:rsidRDefault="00850FDE" w:rsidP="00EA6058">
      <w:pPr>
        <w:rPr>
          <w:rFonts w:ascii="Times New Roman" w:hAnsi="Times New Roman"/>
          <w:b/>
          <w:bCs/>
          <w:caps/>
        </w:rPr>
      </w:pPr>
      <w:r>
        <w:rPr>
          <w:noProof/>
        </w:rPr>
        <w:fldChar w:fldCharType="begin"/>
      </w:r>
      <w:r w:rsidR="00EA6058">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r>
        <w:rPr>
          <w:noProof/>
        </w:rPr>
        <w:fldChar w:fldCharType="begin"/>
      </w:r>
      <w:r w:rsidR="00EA6058">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EA6058" w:rsidRDefault="00850FDE" w:rsidP="00EA6058">
      <w:pPr>
        <w:jc w:val="center"/>
        <w:rPr>
          <w:noProof/>
        </w:rPr>
      </w:pPr>
      <w:r>
        <w:rPr>
          <w:noProof/>
        </w:rPr>
        <w:fldChar w:fldCharType="end"/>
      </w:r>
      <w:r>
        <w:rPr>
          <w:noProof/>
        </w:rPr>
        <w:fldChar w:fldCharType="end"/>
      </w:r>
    </w:p>
    <w:p w:rsidR="00EA6058" w:rsidRDefault="008444E4" w:rsidP="00EA6058">
      <w:pPr>
        <w:jc w:val="center"/>
        <w:rPr>
          <w:noProof/>
        </w:rPr>
      </w:pPr>
      <w:r w:rsidRPr="008444E4">
        <w:rPr>
          <w:noProof/>
          <w:lang w:val="en-US"/>
        </w:rPr>
        <w:drawing>
          <wp:inline distT="0" distB="0" distL="0" distR="0">
            <wp:extent cx="5273040" cy="385572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273040" cy="3855720"/>
                    </a:xfrm>
                    <a:prstGeom prst="rect">
                      <a:avLst/>
                    </a:prstGeom>
                    <a:noFill/>
                    <a:ln w="9525">
                      <a:noFill/>
                      <a:miter lim="800000"/>
                      <a:headEnd/>
                      <a:tailEnd/>
                    </a:ln>
                  </pic:spPr>
                </pic:pic>
              </a:graphicData>
            </a:graphic>
          </wp:inline>
        </w:drawing>
      </w:r>
    </w:p>
    <w:p w:rsidR="00EA6058" w:rsidRPr="00B24DA2" w:rsidRDefault="00EA6058" w:rsidP="00EA6058">
      <w:pPr>
        <w:pStyle w:val="Heading1"/>
        <w:jc w:val="center"/>
        <w:rPr>
          <w:lang w:val="es-ES"/>
        </w:rPr>
      </w:pPr>
      <w:r w:rsidRPr="00B24DA2">
        <w:rPr>
          <w:lang w:val="es-ES"/>
        </w:rPr>
        <w:br w:type="page"/>
      </w:r>
      <w:bookmarkStart w:id="13" w:name="_Toc457491911"/>
      <w:bookmarkStart w:id="14" w:name="_Toc15397060"/>
      <w:r w:rsidR="00814AC9" w:rsidRPr="00520C6E">
        <w:rPr>
          <w:lang w:val="es-ES_tradnl"/>
        </w:rPr>
        <w:lastRenderedPageBreak/>
        <w:t>ESTADO FINANCIERO</w:t>
      </w:r>
      <w:r w:rsidR="00FE1638">
        <w:rPr>
          <w:lang w:val="es-ES_tradnl"/>
        </w:rPr>
        <w:t xml:space="preserve"> </w:t>
      </w:r>
      <w:r w:rsidR="00814AC9" w:rsidRPr="00520C6E">
        <w:rPr>
          <w:lang w:val="es-ES_tradnl"/>
        </w:rPr>
        <w:t>III:</w:t>
      </w:r>
      <w:r w:rsidR="00680842" w:rsidRPr="00B24DA2">
        <w:rPr>
          <w:lang w:val="es-ES"/>
        </w:rPr>
        <w:t xml:space="preserve"> </w:t>
      </w:r>
      <w:bookmarkEnd w:id="13"/>
      <w:r w:rsidR="00814AC9" w:rsidRPr="00520C6E">
        <w:rPr>
          <w:lang w:val="es-ES_tradnl"/>
        </w:rPr>
        <w:t>ESTADO DE CAMBIOS EN LOS ACTIVOS NETOS</w:t>
      </w:r>
      <w:bookmarkEnd w:id="14"/>
    </w:p>
    <w:p w:rsidR="00EA6058" w:rsidRPr="00B24DA2" w:rsidRDefault="00814AC9" w:rsidP="00EA6058">
      <w:pPr>
        <w:jc w:val="center"/>
        <w:rPr>
          <w:b/>
          <w:lang w:val="es-ES"/>
        </w:rPr>
      </w:pPr>
      <w:r w:rsidRPr="00520C6E">
        <w:rPr>
          <w:b/>
        </w:rPr>
        <w:t>del ejercicio concluido el</w:t>
      </w:r>
      <w:r w:rsidR="00FE1638">
        <w:rPr>
          <w:b/>
        </w:rPr>
        <w:t xml:space="preserve"> </w:t>
      </w:r>
      <w:r w:rsidRPr="00520C6E">
        <w:rPr>
          <w:b/>
        </w:rPr>
        <w:t>31 de diciembre de</w:t>
      </w:r>
      <w:r w:rsidR="00FE1638">
        <w:rPr>
          <w:b/>
        </w:rPr>
        <w:t xml:space="preserve"> </w:t>
      </w:r>
      <w:r w:rsidRPr="00520C6E">
        <w:rPr>
          <w:b/>
        </w:rPr>
        <w:t>2018</w:t>
      </w:r>
    </w:p>
    <w:p w:rsidR="00EA6058" w:rsidRPr="00E71CCE" w:rsidRDefault="00814AC9" w:rsidP="00EA6058">
      <w:pPr>
        <w:jc w:val="center"/>
        <w:rPr>
          <w:i/>
        </w:rPr>
      </w:pPr>
      <w:r w:rsidRPr="00520C6E">
        <w:rPr>
          <w:i/>
        </w:rPr>
        <w:t>(en francos suizos)</w:t>
      </w:r>
    </w:p>
    <w:p w:rsidR="00EA6058" w:rsidRDefault="00EA6058" w:rsidP="00EA6058"/>
    <w:p w:rsidR="00EA6058" w:rsidRDefault="00EA6058" w:rsidP="00EA6058"/>
    <w:p w:rsidR="00D851EC" w:rsidRPr="00D80DBE" w:rsidRDefault="00D851EC" w:rsidP="00EA6058"/>
    <w:p w:rsidR="00EA6058" w:rsidRDefault="00E8540A" w:rsidP="00EA6058">
      <w:pPr>
        <w:jc w:val="center"/>
        <w:rPr>
          <w:b/>
          <w:bCs/>
          <w:caps/>
          <w:noProof/>
        </w:rPr>
      </w:pPr>
      <w:r w:rsidRPr="00E8540A">
        <w:rPr>
          <w:noProof/>
          <w:lang w:val="en-US"/>
        </w:rPr>
        <w:drawing>
          <wp:inline distT="0" distB="0" distL="0" distR="0">
            <wp:extent cx="6120000" cy="3201146"/>
            <wp:effectExtent l="1905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tretch>
                      <a:fillRect/>
                    </a:stretch>
                  </pic:blipFill>
                  <pic:spPr bwMode="auto">
                    <a:xfrm>
                      <a:off x="0" y="0"/>
                      <a:ext cx="6120000" cy="3201146"/>
                    </a:xfrm>
                    <a:prstGeom prst="rect">
                      <a:avLst/>
                    </a:prstGeom>
                    <a:noFill/>
                    <a:ln>
                      <a:noFill/>
                    </a:ln>
                  </pic:spPr>
                </pic:pic>
              </a:graphicData>
            </a:graphic>
          </wp:inline>
        </w:drawing>
      </w:r>
    </w:p>
    <w:p w:rsidR="00EA6058" w:rsidRPr="0073645E" w:rsidRDefault="00EA6058" w:rsidP="00EA6058">
      <w:pPr>
        <w:jc w:val="center"/>
      </w:pPr>
      <w:r w:rsidRPr="0073645E">
        <w:rPr>
          <w:b/>
        </w:rPr>
        <w:br w:type="page"/>
      </w:r>
    </w:p>
    <w:p w:rsidR="00EA6058" w:rsidRPr="00B24DA2" w:rsidRDefault="00AF28A2" w:rsidP="00EA6058">
      <w:pPr>
        <w:pStyle w:val="Heading1"/>
        <w:jc w:val="center"/>
        <w:rPr>
          <w:lang w:val="es-ES"/>
        </w:rPr>
      </w:pPr>
      <w:bookmarkStart w:id="15" w:name="_Toc336009926"/>
      <w:bookmarkStart w:id="16" w:name="_Toc457491912"/>
      <w:bookmarkStart w:id="17" w:name="_Toc15397061"/>
      <w:r w:rsidRPr="00520C6E">
        <w:rPr>
          <w:lang w:val="es-ES_tradnl"/>
        </w:rPr>
        <w:lastRenderedPageBreak/>
        <w:t>ESTADO FINANCIERO</w:t>
      </w:r>
      <w:r w:rsidR="00FE1638">
        <w:rPr>
          <w:lang w:val="es-ES_tradnl"/>
        </w:rPr>
        <w:t xml:space="preserve"> </w:t>
      </w:r>
      <w:r w:rsidRPr="00520C6E">
        <w:rPr>
          <w:lang w:val="es-ES_tradnl"/>
        </w:rPr>
        <w:t>IV:</w:t>
      </w:r>
      <w:r w:rsidR="00680842" w:rsidRPr="00B24DA2">
        <w:rPr>
          <w:lang w:val="es-ES"/>
        </w:rPr>
        <w:t xml:space="preserve"> </w:t>
      </w:r>
      <w:bookmarkEnd w:id="15"/>
      <w:bookmarkEnd w:id="16"/>
      <w:r w:rsidRPr="00520C6E">
        <w:rPr>
          <w:lang w:val="es-ES_tradnl"/>
        </w:rPr>
        <w:t>ESTADO DE FLUJOS DE EFECTIVO</w:t>
      </w:r>
      <w:bookmarkEnd w:id="17"/>
    </w:p>
    <w:p w:rsidR="00EA6058" w:rsidRPr="00B24DA2" w:rsidRDefault="00AF28A2" w:rsidP="00EA6058">
      <w:pPr>
        <w:jc w:val="center"/>
        <w:rPr>
          <w:b/>
          <w:lang w:val="es-ES"/>
        </w:rPr>
      </w:pPr>
      <w:r w:rsidRPr="00520C6E">
        <w:rPr>
          <w:b/>
        </w:rPr>
        <w:t>del ejercicio concluido el</w:t>
      </w:r>
      <w:r w:rsidR="00FE1638">
        <w:rPr>
          <w:b/>
        </w:rPr>
        <w:t xml:space="preserve"> </w:t>
      </w:r>
      <w:r w:rsidRPr="00520C6E">
        <w:rPr>
          <w:b/>
        </w:rPr>
        <w:t>31 de diciembre de</w:t>
      </w:r>
      <w:r w:rsidR="00FE1638">
        <w:rPr>
          <w:b/>
        </w:rPr>
        <w:t xml:space="preserve"> </w:t>
      </w:r>
      <w:r w:rsidRPr="00520C6E">
        <w:rPr>
          <w:b/>
        </w:rPr>
        <w:t>2018</w:t>
      </w:r>
    </w:p>
    <w:p w:rsidR="00EA6058" w:rsidRPr="00E71CCE" w:rsidRDefault="00AF28A2" w:rsidP="00EA6058">
      <w:pPr>
        <w:jc w:val="center"/>
        <w:rPr>
          <w:i/>
        </w:rPr>
      </w:pPr>
      <w:r w:rsidRPr="002F5001">
        <w:rPr>
          <w:i/>
        </w:rPr>
        <w:t>(en francos suizos)</w:t>
      </w:r>
    </w:p>
    <w:p w:rsidR="00EA6058" w:rsidRPr="00E71CCE" w:rsidRDefault="00EA6058" w:rsidP="00EA6058">
      <w:pPr>
        <w:jc w:val="center"/>
        <w:rPr>
          <w:b/>
        </w:rPr>
      </w:pPr>
    </w:p>
    <w:p w:rsidR="00EA6058" w:rsidRPr="00E71CCE" w:rsidRDefault="00EA6058" w:rsidP="00EA6058">
      <w:pPr>
        <w:jc w:val="center"/>
        <w:rPr>
          <w:b/>
        </w:rPr>
      </w:pPr>
    </w:p>
    <w:p w:rsidR="00EA6058" w:rsidRPr="00E71CCE" w:rsidRDefault="00EA6058" w:rsidP="00EA6058">
      <w:pPr>
        <w:jc w:val="center"/>
        <w:rPr>
          <w:b/>
        </w:rPr>
      </w:pPr>
    </w:p>
    <w:p w:rsidR="00EA6058" w:rsidRDefault="00520C6E" w:rsidP="00EA6058">
      <w:pPr>
        <w:jc w:val="center"/>
        <w:rPr>
          <w:b/>
        </w:rPr>
      </w:pPr>
      <w:r w:rsidRPr="00520C6E">
        <w:rPr>
          <w:noProof/>
          <w:lang w:val="en-US"/>
        </w:rPr>
        <w:drawing>
          <wp:inline distT="0" distB="0" distL="0" distR="0">
            <wp:extent cx="6280785" cy="46043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280785" cy="4604385"/>
                    </a:xfrm>
                    <a:prstGeom prst="rect">
                      <a:avLst/>
                    </a:prstGeom>
                    <a:noFill/>
                    <a:ln w="9525">
                      <a:noFill/>
                      <a:miter lim="800000"/>
                      <a:headEnd/>
                      <a:tailEnd/>
                    </a:ln>
                  </pic:spPr>
                </pic:pic>
              </a:graphicData>
            </a:graphic>
          </wp:inline>
        </w:drawing>
      </w:r>
    </w:p>
    <w:p w:rsidR="00EA6058" w:rsidRPr="00E71CCE" w:rsidRDefault="00EA6058" w:rsidP="00EA6058">
      <w:pPr>
        <w:jc w:val="center"/>
        <w:rPr>
          <w:b/>
        </w:rPr>
      </w:pPr>
    </w:p>
    <w:p w:rsidR="00EA6058" w:rsidRPr="00B24DA2" w:rsidRDefault="00EA6058" w:rsidP="00EA6058">
      <w:pPr>
        <w:pStyle w:val="Heading1"/>
        <w:jc w:val="center"/>
        <w:rPr>
          <w:lang w:val="es-ES"/>
        </w:rPr>
      </w:pPr>
      <w:r w:rsidRPr="00B24DA2">
        <w:rPr>
          <w:lang w:val="es-ES"/>
        </w:rPr>
        <w:br w:type="page"/>
      </w:r>
      <w:bookmarkStart w:id="18" w:name="_Toc457491913"/>
      <w:bookmarkStart w:id="19" w:name="_Toc15397062"/>
      <w:bookmarkStart w:id="20" w:name="_Toc336009927"/>
      <w:r w:rsidR="00F86F80" w:rsidRPr="002F5001">
        <w:rPr>
          <w:lang w:val="es-ES_tradnl"/>
        </w:rPr>
        <w:lastRenderedPageBreak/>
        <w:t>ESTADO FINANCIERO</w:t>
      </w:r>
      <w:r w:rsidR="00FE1638">
        <w:rPr>
          <w:lang w:val="es-ES_tradnl"/>
        </w:rPr>
        <w:t xml:space="preserve"> </w:t>
      </w:r>
      <w:r w:rsidR="00F86F80" w:rsidRPr="002F5001">
        <w:rPr>
          <w:lang w:val="es-ES_tradnl"/>
        </w:rPr>
        <w:t>V:</w:t>
      </w:r>
      <w:r w:rsidR="00680842" w:rsidRPr="00B24DA2">
        <w:rPr>
          <w:lang w:val="es-ES"/>
        </w:rPr>
        <w:t xml:space="preserve"> </w:t>
      </w:r>
      <w:bookmarkEnd w:id="18"/>
      <w:r w:rsidR="00F86F80" w:rsidRPr="002F5001">
        <w:rPr>
          <w:lang w:val="es-ES_tradnl"/>
        </w:rPr>
        <w:t>ESTADO COMPARATIVO DE IMPORTES PRESUPUESTADOS Y REALES</w:t>
      </w:r>
      <w:bookmarkEnd w:id="19"/>
    </w:p>
    <w:p w:rsidR="00EA6058" w:rsidRPr="00B24DA2" w:rsidRDefault="00F86F80" w:rsidP="00EA6058">
      <w:pPr>
        <w:jc w:val="center"/>
        <w:rPr>
          <w:b/>
          <w:lang w:val="es-ES"/>
        </w:rPr>
      </w:pPr>
      <w:r w:rsidRPr="002F5001">
        <w:rPr>
          <w:b/>
        </w:rPr>
        <w:t>del ejercicio concluido el</w:t>
      </w:r>
      <w:r w:rsidR="00FE1638">
        <w:rPr>
          <w:b/>
        </w:rPr>
        <w:t xml:space="preserve"> </w:t>
      </w:r>
      <w:r w:rsidRPr="002F5001">
        <w:rPr>
          <w:b/>
        </w:rPr>
        <w:t>31 de diciembre de</w:t>
      </w:r>
      <w:r w:rsidR="00FE1638">
        <w:rPr>
          <w:b/>
        </w:rPr>
        <w:t xml:space="preserve"> </w:t>
      </w:r>
      <w:r w:rsidRPr="002F5001">
        <w:rPr>
          <w:b/>
        </w:rPr>
        <w:t>2018</w:t>
      </w:r>
    </w:p>
    <w:p w:rsidR="00EA6058" w:rsidRPr="00B24DA2" w:rsidRDefault="00F86F80" w:rsidP="00EA6058">
      <w:pPr>
        <w:jc w:val="center"/>
        <w:rPr>
          <w:i/>
          <w:lang w:val="es-ES"/>
        </w:rPr>
      </w:pPr>
      <w:r w:rsidRPr="00C77D04">
        <w:rPr>
          <w:i/>
        </w:rPr>
        <w:t>(en miles de francos suizos)</w:t>
      </w:r>
    </w:p>
    <w:p w:rsidR="00EA6058" w:rsidRPr="00B24DA2" w:rsidRDefault="00EA6058" w:rsidP="00EA6058">
      <w:pPr>
        <w:jc w:val="center"/>
        <w:rPr>
          <w:i/>
          <w:lang w:val="es-ES"/>
        </w:rPr>
      </w:pPr>
    </w:p>
    <w:p w:rsidR="00EA6058" w:rsidRPr="00B24DA2" w:rsidRDefault="00EA6058" w:rsidP="00EA6058">
      <w:pPr>
        <w:jc w:val="center"/>
        <w:rPr>
          <w:i/>
          <w:lang w:val="es-ES"/>
        </w:rPr>
      </w:pPr>
    </w:p>
    <w:p w:rsidR="00EA6058" w:rsidRPr="00B24DA2" w:rsidRDefault="00EA6058" w:rsidP="00EA6058">
      <w:pPr>
        <w:rPr>
          <w:noProof/>
          <w:lang w:val="es-ES" w:eastAsia="en-GB"/>
        </w:rPr>
      </w:pPr>
    </w:p>
    <w:p w:rsidR="00EA6058" w:rsidRDefault="008E2D07" w:rsidP="00EA6058">
      <w:pPr>
        <w:jc w:val="center"/>
        <w:rPr>
          <w:noProof/>
          <w:lang w:val="en-GB" w:eastAsia="en-GB"/>
        </w:rPr>
      </w:pPr>
      <w:r w:rsidRPr="008E2D07">
        <w:rPr>
          <w:noProof/>
          <w:lang w:val="en-US"/>
        </w:rPr>
        <w:drawing>
          <wp:inline distT="0" distB="0" distL="0" distR="0">
            <wp:extent cx="5646420" cy="488442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5646420" cy="4884420"/>
                    </a:xfrm>
                    <a:prstGeom prst="rect">
                      <a:avLst/>
                    </a:prstGeom>
                    <a:noFill/>
                    <a:ln w="9525">
                      <a:noFill/>
                      <a:miter lim="800000"/>
                      <a:headEnd/>
                      <a:tailEnd/>
                    </a:ln>
                  </pic:spPr>
                </pic:pic>
              </a:graphicData>
            </a:graphic>
          </wp:inline>
        </w:drawing>
      </w:r>
    </w:p>
    <w:p w:rsidR="00EA6058" w:rsidRPr="00E71CCE" w:rsidRDefault="00EA6058" w:rsidP="00EA6058">
      <w:pPr>
        <w:jc w:val="center"/>
        <w:rPr>
          <w:noProof/>
          <w:lang w:val="en-GB" w:eastAsia="en-GB"/>
        </w:rPr>
      </w:pPr>
    </w:p>
    <w:p w:rsidR="00EA6058" w:rsidRDefault="00EA6058" w:rsidP="00EA6058"/>
    <w:p w:rsidR="00EA6058" w:rsidRPr="00543BF5" w:rsidRDefault="00EA6058" w:rsidP="00EA6058"/>
    <w:p w:rsidR="00EA6058" w:rsidRPr="00B24DA2" w:rsidRDefault="006076C2" w:rsidP="003E24C3">
      <w:pPr>
        <w:numPr>
          <w:ilvl w:val="0"/>
          <w:numId w:val="23"/>
        </w:numPr>
        <w:jc w:val="left"/>
        <w:rPr>
          <w:sz w:val="18"/>
          <w:szCs w:val="18"/>
          <w:lang w:val="es-ES"/>
        </w:rPr>
      </w:pPr>
      <w:r w:rsidRPr="00C77D04">
        <w:rPr>
          <w:sz w:val="18"/>
          <w:szCs w:val="18"/>
        </w:rPr>
        <w:t>corresponde al primer año del presupuesto aprobado para el bienio</w:t>
      </w:r>
      <w:r w:rsidR="00FE1638">
        <w:rPr>
          <w:sz w:val="18"/>
          <w:szCs w:val="18"/>
        </w:rPr>
        <w:t xml:space="preserve"> </w:t>
      </w:r>
      <w:r w:rsidRPr="00C77D04">
        <w:rPr>
          <w:sz w:val="18"/>
          <w:szCs w:val="18"/>
        </w:rPr>
        <w:t>2018-2019;</w:t>
      </w:r>
    </w:p>
    <w:p w:rsidR="00EA6058" w:rsidRPr="00B24DA2" w:rsidRDefault="006076C2" w:rsidP="003E24C3">
      <w:pPr>
        <w:numPr>
          <w:ilvl w:val="0"/>
          <w:numId w:val="23"/>
        </w:numPr>
        <w:jc w:val="left"/>
        <w:rPr>
          <w:sz w:val="18"/>
          <w:szCs w:val="18"/>
          <w:lang w:val="es-ES"/>
        </w:rPr>
      </w:pPr>
      <w:r w:rsidRPr="00C77D04">
        <w:rPr>
          <w:sz w:val="18"/>
          <w:szCs w:val="18"/>
        </w:rPr>
        <w:t>corresponde a la diferencia entre el presupuesto final (revisado) y los ingresos y gastos reales en términos comparables (antes de los ajustes con arreglo a las IPSAS);</w:t>
      </w:r>
    </w:p>
    <w:p w:rsidR="00EA6058" w:rsidRPr="00B24DA2" w:rsidRDefault="006076C2" w:rsidP="003E24C3">
      <w:pPr>
        <w:numPr>
          <w:ilvl w:val="0"/>
          <w:numId w:val="23"/>
        </w:numPr>
        <w:jc w:val="left"/>
        <w:rPr>
          <w:sz w:val="18"/>
          <w:szCs w:val="18"/>
          <w:lang w:val="es-ES"/>
        </w:rPr>
      </w:pPr>
      <w:r w:rsidRPr="00C77D04">
        <w:rPr>
          <w:sz w:val="18"/>
          <w:szCs w:val="18"/>
        </w:rPr>
        <w:t>los ajustes efectuados en el superávit con arreglo a las IPSAS se detallan en la nota</w:t>
      </w:r>
      <w:r w:rsidR="00FE1638">
        <w:rPr>
          <w:sz w:val="18"/>
          <w:szCs w:val="18"/>
        </w:rPr>
        <w:t xml:space="preserve"> </w:t>
      </w:r>
      <w:r w:rsidRPr="00C77D04">
        <w:rPr>
          <w:sz w:val="18"/>
          <w:szCs w:val="18"/>
        </w:rPr>
        <w:t>13 de los presentes estados financieros.</w:t>
      </w:r>
    </w:p>
    <w:p w:rsidR="00EA6058" w:rsidRPr="00B24DA2" w:rsidRDefault="00EA6058" w:rsidP="006076C2">
      <w:pPr>
        <w:tabs>
          <w:tab w:val="num" w:pos="709"/>
        </w:tabs>
        <w:ind w:left="709" w:hanging="349"/>
        <w:jc w:val="left"/>
        <w:rPr>
          <w:sz w:val="18"/>
          <w:szCs w:val="18"/>
          <w:lang w:val="es-ES"/>
        </w:rPr>
      </w:pPr>
    </w:p>
    <w:p w:rsidR="00EA6058" w:rsidRPr="00B24DA2" w:rsidRDefault="00EA6058" w:rsidP="00EA6058">
      <w:pPr>
        <w:jc w:val="left"/>
        <w:rPr>
          <w:sz w:val="18"/>
          <w:szCs w:val="18"/>
          <w:lang w:val="es-ES"/>
        </w:rPr>
      </w:pPr>
    </w:p>
    <w:p w:rsidR="00DF7EFB" w:rsidRPr="00B24DA2" w:rsidRDefault="00DF7EFB">
      <w:pPr>
        <w:jc w:val="left"/>
        <w:rPr>
          <w:sz w:val="18"/>
          <w:szCs w:val="18"/>
          <w:lang w:val="es-ES"/>
        </w:rPr>
      </w:pPr>
      <w:r w:rsidRPr="00B24DA2">
        <w:rPr>
          <w:sz w:val="18"/>
          <w:szCs w:val="18"/>
          <w:lang w:val="es-ES"/>
        </w:rPr>
        <w:br w:type="page"/>
      </w:r>
    </w:p>
    <w:p w:rsidR="00EA6058" w:rsidRPr="00B24DA2" w:rsidRDefault="00A20604" w:rsidP="00EA6058">
      <w:pPr>
        <w:pStyle w:val="Heading1"/>
        <w:jc w:val="center"/>
        <w:rPr>
          <w:lang w:val="es-ES"/>
        </w:rPr>
      </w:pPr>
      <w:bookmarkStart w:id="21" w:name="_Toc15397063"/>
      <w:bookmarkEnd w:id="20"/>
      <w:r w:rsidRPr="00C77D04">
        <w:rPr>
          <w:lang w:val="es-ES_tradnl"/>
        </w:rPr>
        <w:lastRenderedPageBreak/>
        <w:t>NOTAS SOBRE LOS ESTADOS FINANCIEROS</w:t>
      </w:r>
      <w:bookmarkEnd w:id="21"/>
    </w:p>
    <w:p w:rsidR="00EA6058" w:rsidRPr="00B24DA2" w:rsidRDefault="00EA6058" w:rsidP="00EA6058">
      <w:pPr>
        <w:rPr>
          <w:lang w:val="es-ES"/>
        </w:rPr>
      </w:pPr>
    </w:p>
    <w:p w:rsidR="00EA6058" w:rsidRPr="00B24DA2" w:rsidRDefault="00FE1638" w:rsidP="00FE1638">
      <w:pPr>
        <w:pStyle w:val="Heading2Notes"/>
        <w:rPr>
          <w:lang w:val="es-ES"/>
        </w:rPr>
      </w:pPr>
      <w:bookmarkStart w:id="22" w:name="_Toc336009930"/>
      <w:bookmarkStart w:id="23" w:name="_Toc457491915"/>
      <w:bookmarkStart w:id="24" w:name="_Toc15397064"/>
      <w:r w:rsidRPr="00C77D04">
        <w:rPr>
          <w:lang w:val="es-ES_tradnl"/>
        </w:rPr>
        <w:t>Nota</w:t>
      </w:r>
      <w:r>
        <w:rPr>
          <w:lang w:val="es-ES_tradnl"/>
        </w:rPr>
        <w:t xml:space="preserve"> </w:t>
      </w:r>
      <w:r w:rsidR="00A20604" w:rsidRPr="00C77D04">
        <w:rPr>
          <w:lang w:val="es-ES_tradnl"/>
        </w:rPr>
        <w:t>1:</w:t>
      </w:r>
      <w:r w:rsidR="00EA6058" w:rsidRPr="00B24DA2">
        <w:rPr>
          <w:lang w:val="es-ES"/>
        </w:rPr>
        <w:tab/>
      </w:r>
      <w:bookmarkEnd w:id="22"/>
      <w:bookmarkEnd w:id="23"/>
      <w:r w:rsidRPr="00C77D04">
        <w:rPr>
          <w:lang w:val="es-ES_tradnl"/>
        </w:rPr>
        <w:t>Objetivos, gobernanza y presupuesto de la Unión</w:t>
      </w:r>
      <w:bookmarkEnd w:id="24"/>
    </w:p>
    <w:p w:rsidR="00EA6058" w:rsidRPr="00B24DA2" w:rsidRDefault="00EA6058" w:rsidP="00EA6058">
      <w:pPr>
        <w:rPr>
          <w:lang w:val="es-ES"/>
        </w:rPr>
      </w:pPr>
    </w:p>
    <w:p w:rsidR="00EA6058" w:rsidRPr="00B24DA2" w:rsidRDefault="00A20604" w:rsidP="00EA6058">
      <w:pPr>
        <w:rPr>
          <w:lang w:val="es-ES"/>
        </w:rPr>
      </w:pPr>
      <w:r w:rsidRPr="00C77D04">
        <w:t>La Unión Internacional para la Protección de las Obtenciones Vegetales (UPOV) es una organización intergubernamental con sede en Ginebra.</w:t>
      </w:r>
      <w:r w:rsidR="00EA6058" w:rsidRPr="00B24DA2">
        <w:rPr>
          <w:lang w:val="es-ES"/>
        </w:rPr>
        <w:t xml:space="preserve"> </w:t>
      </w:r>
      <w:r w:rsidR="00854EBA">
        <w:rPr>
          <w:lang w:val="es-ES"/>
        </w:rPr>
        <w:t xml:space="preserve"> </w:t>
      </w:r>
      <w:r w:rsidRPr="00C77D04">
        <w:t>La misión de la</w:t>
      </w:r>
      <w:r w:rsidR="00FE1638">
        <w:t xml:space="preserve"> </w:t>
      </w:r>
      <w:r w:rsidRPr="00C77D04">
        <w:t xml:space="preserve">UPOV consiste en proporcionar y fomentar un sistema eficaz de protección de las obtenciones vegetales con miras al desarrollo de </w:t>
      </w:r>
      <w:r w:rsidR="00E663C0" w:rsidRPr="00C77D04">
        <w:t>nuevas variedades vegetales</w:t>
      </w:r>
      <w:r w:rsidRPr="00C77D04">
        <w:t xml:space="preserve"> en beneficio de la sociedad.</w:t>
      </w:r>
    </w:p>
    <w:p w:rsidR="00EA6058" w:rsidRPr="00B24DA2" w:rsidRDefault="00EA6058" w:rsidP="00EA6058">
      <w:pPr>
        <w:rPr>
          <w:lang w:val="es-ES"/>
        </w:rPr>
      </w:pPr>
    </w:p>
    <w:p w:rsidR="00EA6058" w:rsidRPr="00B24DA2" w:rsidRDefault="00A71AA4" w:rsidP="00EA6058">
      <w:pPr>
        <w:rPr>
          <w:lang w:val="es-ES"/>
        </w:rPr>
      </w:pPr>
      <w:r w:rsidRPr="00C77D04">
        <w:t>La</w:t>
      </w:r>
      <w:r w:rsidR="00FE1638">
        <w:t xml:space="preserve"> </w:t>
      </w:r>
      <w:r w:rsidRPr="00C77D04">
        <w:t>UPOV fue establecida por el Convenio Internacional para la Protección d</w:t>
      </w:r>
      <w:r w:rsidR="00854EBA">
        <w:t>e las Obtenciones Vegetales (el </w:t>
      </w:r>
      <w:r w:rsidRPr="00C77D04">
        <w:t>Convenio de la</w:t>
      </w:r>
      <w:r w:rsidR="00FE1638">
        <w:t xml:space="preserve"> </w:t>
      </w:r>
      <w:r w:rsidRPr="00C77D04">
        <w:t>UPOV), firmado en París en</w:t>
      </w:r>
      <w:r w:rsidR="00FE1638">
        <w:t xml:space="preserve"> </w:t>
      </w:r>
      <w:r w:rsidRPr="00C77D04">
        <w:t>1961.</w:t>
      </w:r>
      <w:r w:rsidR="00EA6058" w:rsidRPr="00B24DA2">
        <w:rPr>
          <w:lang w:val="es-ES"/>
        </w:rPr>
        <w:t xml:space="preserve"> </w:t>
      </w:r>
      <w:r w:rsidR="00854EBA">
        <w:rPr>
          <w:lang w:val="es-ES"/>
        </w:rPr>
        <w:t xml:space="preserve"> </w:t>
      </w:r>
      <w:r w:rsidRPr="00C77D04">
        <w:t>El Convenio entró en vigor en</w:t>
      </w:r>
      <w:r w:rsidR="00FE1638">
        <w:t xml:space="preserve"> </w:t>
      </w:r>
      <w:r w:rsidRPr="00C77D04">
        <w:t>1968</w:t>
      </w:r>
      <w:r w:rsidR="00EA6058" w:rsidRPr="00B24DA2">
        <w:rPr>
          <w:lang w:val="es-ES"/>
        </w:rPr>
        <w:t xml:space="preserve"> </w:t>
      </w:r>
      <w:r w:rsidRPr="00C77D04">
        <w:t>y fue revisado en Ginebra en</w:t>
      </w:r>
      <w:r w:rsidR="00FE1638">
        <w:t xml:space="preserve"> </w:t>
      </w:r>
      <w:r w:rsidRPr="00C77D04">
        <w:t>1972, 1978 y</w:t>
      </w:r>
      <w:r w:rsidR="00FE1638">
        <w:t xml:space="preserve"> </w:t>
      </w:r>
      <w:r w:rsidRPr="00C77D04">
        <w:t>1991.</w:t>
      </w:r>
      <w:r w:rsidR="00EA6058" w:rsidRPr="00B24DA2">
        <w:rPr>
          <w:lang w:val="es-ES"/>
        </w:rPr>
        <w:t xml:space="preserve"> </w:t>
      </w:r>
      <w:r w:rsidR="00854EBA">
        <w:rPr>
          <w:lang w:val="es-ES"/>
        </w:rPr>
        <w:t xml:space="preserve"> </w:t>
      </w:r>
      <w:r w:rsidRPr="00C77D04">
        <w:t>El Acta de</w:t>
      </w:r>
      <w:r w:rsidR="00FE1638">
        <w:t xml:space="preserve"> </w:t>
      </w:r>
      <w:r w:rsidRPr="00C77D04">
        <w:t>1991 entró en vigor el</w:t>
      </w:r>
      <w:r w:rsidR="00FE1638">
        <w:t xml:space="preserve"> </w:t>
      </w:r>
      <w:r w:rsidRPr="00C77D04">
        <w:t>24 de abril de</w:t>
      </w:r>
      <w:r w:rsidR="00FE1638">
        <w:t xml:space="preserve"> </w:t>
      </w:r>
      <w:r w:rsidRPr="00C77D04">
        <w:t>1998.</w:t>
      </w:r>
      <w:r w:rsidR="00EA6058" w:rsidRPr="00B24DA2">
        <w:rPr>
          <w:lang w:val="es-ES"/>
        </w:rPr>
        <w:t xml:space="preserve"> </w:t>
      </w:r>
      <w:r w:rsidR="00854EBA">
        <w:rPr>
          <w:lang w:val="es-ES"/>
        </w:rPr>
        <w:t xml:space="preserve"> </w:t>
      </w:r>
      <w:r w:rsidRPr="00C77D04">
        <w:t>Los principales objetivos de la</w:t>
      </w:r>
      <w:r w:rsidR="00FE1638">
        <w:t xml:space="preserve"> </w:t>
      </w:r>
      <w:r w:rsidRPr="00C77D04">
        <w:t>Unión, de conformidad con el Convenio de la</w:t>
      </w:r>
      <w:r w:rsidR="00FE1638">
        <w:t xml:space="preserve"> </w:t>
      </w:r>
      <w:r w:rsidRPr="00C77D04">
        <w:t>UPOV, son los siguientes:</w:t>
      </w:r>
    </w:p>
    <w:p w:rsidR="00EA6058" w:rsidRPr="00B24DA2" w:rsidRDefault="00EA6058" w:rsidP="00EA6058">
      <w:pPr>
        <w:rPr>
          <w:lang w:val="es-ES"/>
        </w:rPr>
      </w:pPr>
    </w:p>
    <w:p w:rsidR="00EA6058" w:rsidRPr="00B24DA2" w:rsidRDefault="00A71AA4" w:rsidP="00EA6058">
      <w:pPr>
        <w:numPr>
          <w:ilvl w:val="0"/>
          <w:numId w:val="16"/>
        </w:numPr>
        <w:ind w:right="713"/>
        <w:rPr>
          <w:lang w:val="es-ES"/>
        </w:rPr>
      </w:pPr>
      <w:r w:rsidRPr="00C77D04">
        <w:t>proporcionar y desarrollar las bases jurídicas, administrativas y técnicas para la cooperación internacional en materia de protección de las variedades vegetales;</w:t>
      </w:r>
    </w:p>
    <w:p w:rsidR="00EA6058" w:rsidRPr="00B24DA2" w:rsidRDefault="00EA6058" w:rsidP="00EA6058">
      <w:pPr>
        <w:ind w:right="713"/>
        <w:rPr>
          <w:lang w:val="es-ES"/>
        </w:rPr>
      </w:pPr>
    </w:p>
    <w:p w:rsidR="00EA6058" w:rsidRPr="00B24DA2" w:rsidRDefault="00A71AA4" w:rsidP="00EA6058">
      <w:pPr>
        <w:numPr>
          <w:ilvl w:val="0"/>
          <w:numId w:val="16"/>
        </w:numPr>
        <w:ind w:right="713"/>
        <w:rPr>
          <w:lang w:val="es-ES"/>
        </w:rPr>
      </w:pPr>
      <w:r w:rsidRPr="00C77D04">
        <w:t>prestar asistencia a los Estados y las organizaciones en la elaboración de legislación y en la aplicación de un sistema eficaz de protección de las obtenciones vegetales; y</w:t>
      </w:r>
    </w:p>
    <w:p w:rsidR="00EA6058" w:rsidRPr="00B24DA2" w:rsidRDefault="00EA6058" w:rsidP="00EA6058">
      <w:pPr>
        <w:ind w:right="713"/>
        <w:rPr>
          <w:lang w:val="es-ES"/>
        </w:rPr>
      </w:pPr>
    </w:p>
    <w:p w:rsidR="00EA6058" w:rsidRPr="00B24DA2" w:rsidRDefault="00A71AA4" w:rsidP="00EA6058">
      <w:pPr>
        <w:numPr>
          <w:ilvl w:val="0"/>
          <w:numId w:val="16"/>
        </w:numPr>
        <w:ind w:right="713"/>
        <w:rPr>
          <w:lang w:val="es-ES"/>
        </w:rPr>
      </w:pPr>
      <w:r w:rsidRPr="00C77D04">
        <w:t>mejorar la comprensión del público en general y sensibilizarlo en relación con el sistema de la</w:t>
      </w:r>
      <w:r w:rsidR="00FE1638">
        <w:t xml:space="preserve"> </w:t>
      </w:r>
      <w:r w:rsidRPr="00C77D04">
        <w:t>UPOV de protección de las variedades vegetales.</w:t>
      </w:r>
    </w:p>
    <w:p w:rsidR="00EA6058" w:rsidRPr="00B24DA2" w:rsidRDefault="00EA6058" w:rsidP="00EA6058">
      <w:pPr>
        <w:rPr>
          <w:lang w:val="es-ES"/>
        </w:rPr>
      </w:pPr>
    </w:p>
    <w:p w:rsidR="00EA6058" w:rsidRPr="00B24DA2" w:rsidRDefault="00A71AA4" w:rsidP="00EA6058">
      <w:pPr>
        <w:rPr>
          <w:lang w:val="es-ES"/>
        </w:rPr>
      </w:pPr>
      <w:r w:rsidRPr="00C77D04">
        <w:t>Según se establece en el artículo</w:t>
      </w:r>
      <w:r w:rsidR="00FE1638">
        <w:t xml:space="preserve"> </w:t>
      </w:r>
      <w:r w:rsidRPr="00C77D04">
        <w:t>25 del Acta de</w:t>
      </w:r>
      <w:r w:rsidR="00FE1638">
        <w:t xml:space="preserve"> </w:t>
      </w:r>
      <w:r w:rsidRPr="00C77D04">
        <w:t>1991 y el artículo</w:t>
      </w:r>
      <w:r w:rsidR="00FE1638">
        <w:t xml:space="preserve"> </w:t>
      </w:r>
      <w:r w:rsidRPr="00C77D04">
        <w:t>15 del Acta de</w:t>
      </w:r>
      <w:r w:rsidR="00FE1638">
        <w:t xml:space="preserve"> </w:t>
      </w:r>
      <w:r w:rsidRPr="00C77D04">
        <w:t>1978, los órganos permanentes de la</w:t>
      </w:r>
      <w:r w:rsidR="00FE1638">
        <w:t xml:space="preserve"> </w:t>
      </w:r>
      <w:r w:rsidRPr="00C77D04">
        <w:t>UPOV son el Consejo y la Oficina de la Unión.</w:t>
      </w:r>
    </w:p>
    <w:p w:rsidR="00EA6058" w:rsidRPr="00B24DA2" w:rsidRDefault="00EA6058" w:rsidP="00EA6058">
      <w:pPr>
        <w:rPr>
          <w:lang w:val="es-ES"/>
        </w:rPr>
      </w:pPr>
    </w:p>
    <w:p w:rsidR="00EA6058" w:rsidRPr="00B24DA2" w:rsidRDefault="00A71AA4" w:rsidP="00EA6058">
      <w:pPr>
        <w:rPr>
          <w:lang w:val="es-ES"/>
        </w:rPr>
      </w:pPr>
      <w:r w:rsidRPr="00C77D04">
        <w:t>El Consejo dirige la</w:t>
      </w:r>
      <w:r w:rsidR="00FE1638">
        <w:t xml:space="preserve"> </w:t>
      </w:r>
      <w:r w:rsidRPr="00C77D04">
        <w:t>UPOV y está compuesto por los representantes de los miembros de la</w:t>
      </w:r>
      <w:r w:rsidR="00FE1638">
        <w:t xml:space="preserve"> </w:t>
      </w:r>
      <w:r w:rsidRPr="00C77D04">
        <w:t>Unión.</w:t>
      </w:r>
      <w:r w:rsidR="00EA6058" w:rsidRPr="00B24DA2">
        <w:rPr>
          <w:lang w:val="es-ES"/>
        </w:rPr>
        <w:t xml:space="preserve"> </w:t>
      </w:r>
      <w:r w:rsidR="00854EBA">
        <w:rPr>
          <w:lang w:val="es-ES"/>
        </w:rPr>
        <w:t xml:space="preserve"> </w:t>
      </w:r>
      <w:r w:rsidRPr="00C77D04">
        <w:t>El Consejo es responsable de salvaguardar los intereses y favorecer el desarrollo de la</w:t>
      </w:r>
      <w:r w:rsidR="00FE1638">
        <w:t xml:space="preserve"> </w:t>
      </w:r>
      <w:r w:rsidRPr="00C77D04">
        <w:t>UPOV, de aprobar su programa de trabajo y su presupuesto y de adoptar todas las decisiones necesarias para el buen funcionamiento de la</w:t>
      </w:r>
      <w:r w:rsidR="00854EBA">
        <w:t> </w:t>
      </w:r>
      <w:r w:rsidRPr="00C77D04">
        <w:t>UPOV.</w:t>
      </w:r>
      <w:r w:rsidR="00EA6058" w:rsidRPr="00B24DA2">
        <w:rPr>
          <w:lang w:val="es-ES"/>
        </w:rPr>
        <w:t xml:space="preserve"> </w:t>
      </w:r>
      <w:r w:rsidR="00854EBA">
        <w:rPr>
          <w:lang w:val="es-ES"/>
        </w:rPr>
        <w:t xml:space="preserve"> </w:t>
      </w:r>
      <w:r w:rsidRPr="00C77D04">
        <w:t>El Consejo se reúne en sesión ordinaria una vez al año.</w:t>
      </w:r>
      <w:r w:rsidR="00EA6058" w:rsidRPr="00B24DA2">
        <w:rPr>
          <w:lang w:val="es-ES"/>
        </w:rPr>
        <w:t xml:space="preserve"> </w:t>
      </w:r>
      <w:r w:rsidRPr="00C77D04">
        <w:t>Si es necesario, también puede convocarse en sesión extraordinaria.</w:t>
      </w:r>
      <w:r w:rsidR="00EA6058" w:rsidRPr="00B24DA2">
        <w:rPr>
          <w:lang w:val="es-ES"/>
        </w:rPr>
        <w:t xml:space="preserve"> </w:t>
      </w:r>
      <w:r w:rsidRPr="00C77D04">
        <w:t>El Consejo ha creado varios órganos, que se reúnen una vez al año.</w:t>
      </w:r>
      <w:r w:rsidR="00EA6058" w:rsidRPr="00B24DA2">
        <w:rPr>
          <w:lang w:val="es-ES"/>
        </w:rPr>
        <w:t xml:space="preserve"> </w:t>
      </w:r>
    </w:p>
    <w:p w:rsidR="00EA6058" w:rsidRPr="00B24DA2" w:rsidRDefault="00EA6058" w:rsidP="00EA6058">
      <w:pPr>
        <w:rPr>
          <w:lang w:val="es-ES"/>
        </w:rPr>
      </w:pPr>
    </w:p>
    <w:p w:rsidR="00EA6058" w:rsidRPr="00B24DA2" w:rsidRDefault="00A71AA4" w:rsidP="00EA6058">
      <w:pPr>
        <w:rPr>
          <w:lang w:val="es-ES"/>
        </w:rPr>
      </w:pPr>
      <w:r w:rsidRPr="00C77D04">
        <w:t>La Oficina de la Unión es la Secretaría de la</w:t>
      </w:r>
      <w:r w:rsidR="00FE1638">
        <w:t xml:space="preserve"> </w:t>
      </w:r>
      <w:r w:rsidRPr="00C77D04">
        <w:t xml:space="preserve">UPOV y está dirigida por el </w:t>
      </w:r>
      <w:r w:rsidR="00854EBA" w:rsidRPr="00C77D04">
        <w:t>Secretario General</w:t>
      </w:r>
      <w:r w:rsidRPr="00C77D04">
        <w:t>.</w:t>
      </w:r>
      <w:r w:rsidR="00EA6058" w:rsidRPr="00B24DA2">
        <w:rPr>
          <w:lang w:val="es-ES"/>
        </w:rPr>
        <w:t xml:space="preserve"> </w:t>
      </w:r>
      <w:r w:rsidR="00854EBA">
        <w:rPr>
          <w:lang w:val="es-ES"/>
        </w:rPr>
        <w:t xml:space="preserve"> </w:t>
      </w:r>
      <w:r w:rsidRPr="00C77D04">
        <w:t>El personal de la Oficina de la</w:t>
      </w:r>
      <w:r w:rsidR="00FE1638">
        <w:t xml:space="preserve"> </w:t>
      </w:r>
      <w:r w:rsidRPr="00C77D04">
        <w:t xml:space="preserve">UPOV, salvo el </w:t>
      </w:r>
      <w:r w:rsidR="00854EBA" w:rsidRPr="00C77D04">
        <w:t>Secretario General Adjunto</w:t>
      </w:r>
      <w:r w:rsidRPr="00C77D04">
        <w:t xml:space="preserve">, está bajo la dirección del </w:t>
      </w:r>
      <w:r w:rsidR="00854EBA" w:rsidRPr="00C77D04">
        <w:t xml:space="preserve">Secretario General Adjunto </w:t>
      </w:r>
      <w:r w:rsidRPr="00C77D04">
        <w:t>de la</w:t>
      </w:r>
      <w:r w:rsidR="00FE1638">
        <w:t xml:space="preserve"> </w:t>
      </w:r>
      <w:r w:rsidRPr="00C77D04">
        <w:t>UPOV.</w:t>
      </w:r>
      <w:r w:rsidR="00EA6058" w:rsidRPr="00B24DA2">
        <w:rPr>
          <w:lang w:val="es-ES"/>
        </w:rPr>
        <w:t xml:space="preserve"> </w:t>
      </w:r>
      <w:r w:rsidR="00854EBA">
        <w:rPr>
          <w:lang w:val="es-ES"/>
        </w:rPr>
        <w:t xml:space="preserve"> </w:t>
      </w:r>
      <w:r w:rsidRPr="00C77D04">
        <w:t>En</w:t>
      </w:r>
      <w:r w:rsidR="00FE1638">
        <w:t xml:space="preserve"> </w:t>
      </w:r>
      <w:r w:rsidRPr="00C77D04">
        <w:t>1982, la</w:t>
      </w:r>
      <w:r w:rsidR="00FE1638">
        <w:t xml:space="preserve"> </w:t>
      </w:r>
      <w:r w:rsidRPr="00C77D04">
        <w:t xml:space="preserve">UPOV y la Organización Mundial de la Propiedad Intelectual (OMPI), un organismo especializado de las Naciones Unidas, suscribieron un acuerdo de cooperación (el Acuerdo </w:t>
      </w:r>
      <w:r w:rsidR="004001AA" w:rsidRPr="00C77D04">
        <w:t>OMPI-</w:t>
      </w:r>
      <w:r w:rsidRPr="00C77D04">
        <w:t>UPOV),</w:t>
      </w:r>
      <w:r w:rsidR="00EA6058" w:rsidRPr="00B24DA2">
        <w:rPr>
          <w:lang w:val="es-ES"/>
        </w:rPr>
        <w:t xml:space="preserve"> </w:t>
      </w:r>
      <w:r w:rsidRPr="00C77D04">
        <w:t>en virtud del cual el Consejo de la</w:t>
      </w:r>
      <w:r w:rsidR="00FE1638">
        <w:t xml:space="preserve"> </w:t>
      </w:r>
      <w:r w:rsidRPr="00C77D04">
        <w:t xml:space="preserve">UPOV nombra </w:t>
      </w:r>
      <w:r w:rsidR="00854EBA" w:rsidRPr="00C77D04">
        <w:t xml:space="preserve">Secretario General </w:t>
      </w:r>
      <w:r w:rsidRPr="00C77D04">
        <w:t>de la</w:t>
      </w:r>
      <w:r w:rsidR="00FE1638">
        <w:t xml:space="preserve"> </w:t>
      </w:r>
      <w:r w:rsidRPr="00C77D04">
        <w:t xml:space="preserve">UPOV al </w:t>
      </w:r>
      <w:r w:rsidR="00854EBA" w:rsidRPr="00C77D04">
        <w:t xml:space="preserve">Director General </w:t>
      </w:r>
      <w:r w:rsidRPr="00C77D04">
        <w:t>de la</w:t>
      </w:r>
      <w:r w:rsidR="00FE1638">
        <w:t xml:space="preserve"> </w:t>
      </w:r>
      <w:r w:rsidRPr="00C77D04">
        <w:t>OMPI.</w:t>
      </w:r>
      <w:r w:rsidR="00EA6058" w:rsidRPr="00B24DA2">
        <w:rPr>
          <w:lang w:val="es-ES"/>
        </w:rPr>
        <w:t xml:space="preserve"> </w:t>
      </w:r>
      <w:r w:rsidR="00854EBA">
        <w:rPr>
          <w:lang w:val="es-ES"/>
        </w:rPr>
        <w:t xml:space="preserve"> </w:t>
      </w:r>
      <w:r w:rsidRPr="00C77D04">
        <w:t xml:space="preserve">Al </w:t>
      </w:r>
      <w:r w:rsidR="00854EBA" w:rsidRPr="00C77D04">
        <w:t xml:space="preserve">Secretario General Adjunto </w:t>
      </w:r>
      <w:r w:rsidRPr="00C77D04">
        <w:t>le incumbe la obtención de los resultados indicados en el programa y presupuesto aprobado.</w:t>
      </w:r>
      <w:r w:rsidR="00680842" w:rsidRPr="00B24DA2">
        <w:rPr>
          <w:lang w:val="es-ES"/>
        </w:rPr>
        <w:t xml:space="preserve"> </w:t>
      </w:r>
      <w:r w:rsidR="00854EBA">
        <w:rPr>
          <w:lang w:val="es-ES"/>
        </w:rPr>
        <w:t xml:space="preserve"> </w:t>
      </w:r>
      <w:r w:rsidRPr="00C77D04">
        <w:t>De conformidad con dicho acuerdo, la</w:t>
      </w:r>
      <w:r w:rsidR="00FE1638">
        <w:t xml:space="preserve"> </w:t>
      </w:r>
      <w:r w:rsidRPr="00C77D04">
        <w:t>OMPI satisface las necesidades de la</w:t>
      </w:r>
      <w:r w:rsidR="00FE1638">
        <w:t xml:space="preserve"> </w:t>
      </w:r>
      <w:r w:rsidRPr="00C77D04">
        <w:t>UPOV en materia de espacio de oficina, administración de personal, administración financiera, servicios de compras y otro tipo de apoyo administrativo.</w:t>
      </w:r>
      <w:r w:rsidR="00EA6058" w:rsidRPr="00B24DA2">
        <w:rPr>
          <w:lang w:val="es-ES"/>
        </w:rPr>
        <w:t xml:space="preserve"> </w:t>
      </w:r>
      <w:r w:rsidR="00854EBA">
        <w:rPr>
          <w:lang w:val="es-ES"/>
        </w:rPr>
        <w:t xml:space="preserve"> </w:t>
      </w:r>
      <w:r w:rsidRPr="00C77D04">
        <w:t>La</w:t>
      </w:r>
      <w:r w:rsidR="00FE1638">
        <w:t xml:space="preserve"> </w:t>
      </w:r>
      <w:r w:rsidRPr="00C77D04">
        <w:t>UPOV indemniza a la</w:t>
      </w:r>
      <w:r w:rsidR="00FE1638">
        <w:t xml:space="preserve"> </w:t>
      </w:r>
      <w:r w:rsidRPr="00C77D04">
        <w:t>OMPI por todo servicio prestado a la</w:t>
      </w:r>
      <w:r w:rsidR="00FE1638">
        <w:t xml:space="preserve"> </w:t>
      </w:r>
      <w:r w:rsidRPr="00C77D04">
        <w:t>UPOV y por cualquier gasto en que se haya incurrido en su nombre.</w:t>
      </w:r>
    </w:p>
    <w:p w:rsidR="00EA6058" w:rsidRPr="00B24DA2" w:rsidRDefault="00EA6058" w:rsidP="00EA6058">
      <w:pPr>
        <w:rPr>
          <w:lang w:val="es-ES"/>
        </w:rPr>
      </w:pPr>
    </w:p>
    <w:p w:rsidR="00EA6058" w:rsidRPr="00B24DA2" w:rsidRDefault="00A71AA4" w:rsidP="00EA6058">
      <w:pPr>
        <w:rPr>
          <w:lang w:val="es-ES"/>
        </w:rPr>
      </w:pPr>
      <w:r w:rsidRPr="00690400">
        <w:t>La</w:t>
      </w:r>
      <w:r w:rsidR="00FE1638">
        <w:t xml:space="preserve"> </w:t>
      </w:r>
      <w:r w:rsidRPr="00690400">
        <w:t xml:space="preserve">UPOV se financia </w:t>
      </w:r>
      <w:r w:rsidR="00C77D04" w:rsidRPr="00690400">
        <w:t xml:space="preserve">principalmente </w:t>
      </w:r>
      <w:r w:rsidRPr="00690400">
        <w:t xml:space="preserve">con </w:t>
      </w:r>
      <w:r w:rsidR="00690400" w:rsidRPr="00690400">
        <w:t xml:space="preserve">las </w:t>
      </w:r>
      <w:r w:rsidRPr="00690400">
        <w:t xml:space="preserve">contribuciones y </w:t>
      </w:r>
      <w:r w:rsidR="00690400" w:rsidRPr="00690400">
        <w:t xml:space="preserve">los </w:t>
      </w:r>
      <w:r w:rsidRPr="00690400">
        <w:t>fondos extrapresupuestarios (fondos fiduciarios) de sus miembros.</w:t>
      </w:r>
      <w:r w:rsidR="00EA6058" w:rsidRPr="00B24DA2">
        <w:rPr>
          <w:lang w:val="es-ES"/>
        </w:rPr>
        <w:t xml:space="preserve"> </w:t>
      </w:r>
      <w:r w:rsidR="00854EBA">
        <w:rPr>
          <w:lang w:val="es-ES"/>
        </w:rPr>
        <w:t xml:space="preserve"> </w:t>
      </w:r>
      <w:r w:rsidRPr="00690400">
        <w:t>La</w:t>
      </w:r>
      <w:r w:rsidR="00FE1638">
        <w:t xml:space="preserve"> </w:t>
      </w:r>
      <w:r w:rsidRPr="00690400">
        <w:t>UPOV funciona en el marco de un programa y presupuesto bienal.</w:t>
      </w:r>
      <w:r w:rsidR="00EA6058" w:rsidRPr="00B24DA2">
        <w:rPr>
          <w:lang w:val="es-ES"/>
        </w:rPr>
        <w:t xml:space="preserve"> </w:t>
      </w:r>
      <w:r w:rsidR="00854EBA">
        <w:rPr>
          <w:lang w:val="es-ES"/>
        </w:rPr>
        <w:t xml:space="preserve"> </w:t>
      </w:r>
      <w:r w:rsidRPr="00690400">
        <w:t>En la propuesta de programa y presupuesto constan las previsiones de ingresos y gastos correspondientes al ejercicio económico al cual se refiera.</w:t>
      </w:r>
      <w:r w:rsidR="00EA6058" w:rsidRPr="00B24DA2">
        <w:rPr>
          <w:lang w:val="es-ES"/>
        </w:rPr>
        <w:t xml:space="preserve"> </w:t>
      </w:r>
      <w:r w:rsidR="00854EBA">
        <w:rPr>
          <w:lang w:val="es-ES"/>
        </w:rPr>
        <w:t xml:space="preserve"> </w:t>
      </w:r>
      <w:r w:rsidRPr="00690400">
        <w:t xml:space="preserve">El </w:t>
      </w:r>
      <w:r w:rsidR="00854EBA" w:rsidRPr="00690400">
        <w:t xml:space="preserve">Secretario General </w:t>
      </w:r>
      <w:r w:rsidRPr="00690400">
        <w:t>presenta dicha propuesta al Comité Consultivo para que la examine y formule comentarios y recomendaciones, tales como posibles modificaciones.</w:t>
      </w:r>
      <w:r w:rsidR="00EA6058" w:rsidRPr="00B24DA2">
        <w:rPr>
          <w:lang w:val="es-ES"/>
        </w:rPr>
        <w:t xml:space="preserve"> </w:t>
      </w:r>
      <w:r w:rsidR="00854EBA">
        <w:rPr>
          <w:lang w:val="es-ES"/>
        </w:rPr>
        <w:t xml:space="preserve"> </w:t>
      </w:r>
      <w:r w:rsidR="00854EBA">
        <w:t>El </w:t>
      </w:r>
      <w:r w:rsidRPr="00690400">
        <w:t>Consejo aprueba el programa y presupuesto tras examinar la propuesta de programa y presupuesto y las recomendaciones del Comité Consultivo.</w:t>
      </w:r>
      <w:r w:rsidR="00680842" w:rsidRPr="00B24DA2">
        <w:rPr>
          <w:lang w:val="es-ES"/>
        </w:rPr>
        <w:t xml:space="preserve"> </w:t>
      </w:r>
    </w:p>
    <w:p w:rsidR="00EA6058" w:rsidRPr="00B24DA2" w:rsidRDefault="00EA6058" w:rsidP="00EA6058">
      <w:pPr>
        <w:rPr>
          <w:lang w:val="es-ES"/>
        </w:rPr>
      </w:pPr>
    </w:p>
    <w:p w:rsidR="00EA6058" w:rsidRPr="00B24DA2" w:rsidRDefault="00EA6058" w:rsidP="00EA6058">
      <w:pPr>
        <w:rPr>
          <w:b/>
          <w:bCs/>
          <w:caps/>
          <w:lang w:val="es-ES"/>
        </w:rPr>
      </w:pPr>
      <w:r w:rsidRPr="00B24DA2">
        <w:rPr>
          <w:b/>
          <w:bCs/>
          <w:caps/>
          <w:lang w:val="es-ES"/>
        </w:rPr>
        <w:br w:type="page"/>
      </w:r>
    </w:p>
    <w:p w:rsidR="00EA6058" w:rsidRPr="00B24DA2" w:rsidRDefault="00EE6431" w:rsidP="00EE6431">
      <w:pPr>
        <w:pStyle w:val="Heading2Notes"/>
        <w:rPr>
          <w:lang w:val="es-ES"/>
        </w:rPr>
      </w:pPr>
      <w:bookmarkStart w:id="25" w:name="_Toc15397065"/>
      <w:r w:rsidRPr="00690400">
        <w:rPr>
          <w:lang w:val="es-ES_tradnl"/>
        </w:rPr>
        <w:lastRenderedPageBreak/>
        <w:t>Nota</w:t>
      </w:r>
      <w:r>
        <w:rPr>
          <w:lang w:val="es-ES_tradnl"/>
        </w:rPr>
        <w:t xml:space="preserve"> </w:t>
      </w:r>
      <w:r w:rsidR="00A71AA4" w:rsidRPr="00690400">
        <w:rPr>
          <w:lang w:val="es-ES_tradnl"/>
        </w:rPr>
        <w:t>2:</w:t>
      </w:r>
      <w:r w:rsidR="00EA6058" w:rsidRPr="00B24DA2">
        <w:rPr>
          <w:lang w:val="es-ES"/>
        </w:rPr>
        <w:tab/>
      </w:r>
      <w:r w:rsidRPr="00690400">
        <w:rPr>
          <w:lang w:val="es-ES_tradnl"/>
        </w:rPr>
        <w:t>Principios contables pertinentes</w:t>
      </w:r>
      <w:bookmarkEnd w:id="25"/>
    </w:p>
    <w:p w:rsidR="00EA6058" w:rsidRPr="00B24DA2" w:rsidRDefault="00EA6058" w:rsidP="00EA6058">
      <w:pPr>
        <w:rPr>
          <w:b/>
          <w:lang w:val="es-ES"/>
        </w:rPr>
      </w:pPr>
    </w:p>
    <w:p w:rsidR="00EA6058" w:rsidRPr="00B24DA2" w:rsidRDefault="00A71AA4" w:rsidP="00EA6058">
      <w:pPr>
        <w:rPr>
          <w:b/>
          <w:lang w:val="es-ES"/>
        </w:rPr>
      </w:pPr>
      <w:r w:rsidRPr="00690400">
        <w:rPr>
          <w:b/>
        </w:rPr>
        <w:t>Método de elaboración</w:t>
      </w:r>
    </w:p>
    <w:p w:rsidR="00EA6058" w:rsidRPr="00B24DA2" w:rsidRDefault="00EA6058" w:rsidP="00EA6058">
      <w:pPr>
        <w:rPr>
          <w:b/>
          <w:lang w:val="es-ES"/>
        </w:rPr>
      </w:pPr>
    </w:p>
    <w:p w:rsidR="00EA6058" w:rsidRPr="00B24DA2" w:rsidRDefault="00B65EE3" w:rsidP="00EA6058">
      <w:pPr>
        <w:pStyle w:val="Style3"/>
        <w:spacing w:after="0"/>
        <w:rPr>
          <w:rFonts w:cs="Arial"/>
          <w:sz w:val="20"/>
          <w:lang w:val="es-ES"/>
        </w:rPr>
      </w:pPr>
      <w:r w:rsidRPr="00690400">
        <w:rPr>
          <w:rFonts w:cs="Arial"/>
          <w:sz w:val="20"/>
        </w:rPr>
        <w:t>Los presentes estados financieros se han preparado de conformidad con las Normas Internacionales de Contabilidad del Sector Público (IPSAS) y cumplen sus requisitos.</w:t>
      </w:r>
      <w:r w:rsidR="00EA6058" w:rsidRPr="00B24DA2">
        <w:rPr>
          <w:rFonts w:cs="Arial"/>
          <w:sz w:val="20"/>
          <w:lang w:val="es-ES"/>
        </w:rPr>
        <w:t xml:space="preserve"> </w:t>
      </w:r>
      <w:r w:rsidR="00854EBA">
        <w:rPr>
          <w:rFonts w:cs="Arial"/>
          <w:sz w:val="20"/>
          <w:lang w:val="es-ES"/>
        </w:rPr>
        <w:t xml:space="preserve"> </w:t>
      </w:r>
      <w:r w:rsidRPr="00690400">
        <w:rPr>
          <w:rFonts w:cs="Arial"/>
          <w:sz w:val="20"/>
        </w:rPr>
        <w:t>Los estados financieros se expresan en francos suizos, que es la moneda funcional de la</w:t>
      </w:r>
      <w:r w:rsidR="00FE1638">
        <w:rPr>
          <w:rFonts w:cs="Arial"/>
          <w:sz w:val="20"/>
        </w:rPr>
        <w:t xml:space="preserve"> </w:t>
      </w:r>
      <w:r w:rsidRPr="00690400">
        <w:rPr>
          <w:rFonts w:cs="Arial"/>
          <w:sz w:val="20"/>
        </w:rPr>
        <w:t>UPOV y la que utiliza en sus informes.</w:t>
      </w:r>
      <w:r w:rsidR="00EA6058" w:rsidRPr="00B24DA2">
        <w:rPr>
          <w:rFonts w:cs="Arial"/>
          <w:sz w:val="20"/>
          <w:lang w:val="es-ES"/>
        </w:rPr>
        <w:t xml:space="preserve"> </w:t>
      </w:r>
      <w:r w:rsidR="00854EBA">
        <w:rPr>
          <w:rFonts w:cs="Arial"/>
          <w:sz w:val="20"/>
          <w:lang w:val="es-ES"/>
        </w:rPr>
        <w:t xml:space="preserve"> </w:t>
      </w:r>
      <w:r w:rsidRPr="00690400">
        <w:rPr>
          <w:rFonts w:cs="Arial"/>
          <w:sz w:val="20"/>
        </w:rPr>
        <w:t>Las políticas contables se han aplicado de manera sistemática a todos los años objeto de presentación.</w:t>
      </w:r>
      <w:r w:rsidR="00EA6058" w:rsidRPr="00B24DA2">
        <w:rPr>
          <w:rFonts w:cs="Arial"/>
          <w:sz w:val="20"/>
          <w:lang w:val="es-ES"/>
        </w:rPr>
        <w:t xml:space="preserve"> </w:t>
      </w:r>
    </w:p>
    <w:p w:rsidR="00EA6058" w:rsidRPr="00B24DA2" w:rsidRDefault="00EA6058" w:rsidP="00EA6058">
      <w:pPr>
        <w:pStyle w:val="Style3"/>
        <w:spacing w:after="0"/>
        <w:rPr>
          <w:rFonts w:cs="Arial"/>
          <w:sz w:val="20"/>
          <w:lang w:val="es-ES"/>
        </w:rPr>
      </w:pPr>
    </w:p>
    <w:p w:rsidR="00EA6058" w:rsidRPr="00B24DA2" w:rsidRDefault="00B65EE3" w:rsidP="00EA6058">
      <w:pPr>
        <w:pStyle w:val="Style3"/>
        <w:spacing w:after="0"/>
        <w:rPr>
          <w:rFonts w:cs="Arial"/>
          <w:sz w:val="20"/>
          <w:lang w:val="es-ES"/>
        </w:rPr>
      </w:pPr>
      <w:r w:rsidRPr="00690400">
        <w:rPr>
          <w:rFonts w:cs="Arial"/>
          <w:sz w:val="20"/>
        </w:rPr>
        <w:t>Para la preparación de estos estados financieros se han utilizado valores históricos, a no ser que se indique lo contrario.</w:t>
      </w:r>
      <w:r w:rsidR="00EA6058" w:rsidRPr="00B24DA2">
        <w:rPr>
          <w:rFonts w:cs="Arial"/>
          <w:sz w:val="20"/>
          <w:lang w:val="es-ES"/>
        </w:rPr>
        <w:t xml:space="preserve"> </w:t>
      </w:r>
      <w:r w:rsidR="00854EBA">
        <w:rPr>
          <w:rFonts w:cs="Arial"/>
          <w:sz w:val="20"/>
          <w:lang w:val="es-ES"/>
        </w:rPr>
        <w:t xml:space="preserve"> </w:t>
      </w:r>
      <w:r w:rsidRPr="00690400">
        <w:rPr>
          <w:rFonts w:cs="Arial"/>
          <w:sz w:val="20"/>
        </w:rPr>
        <w:t>El estado de flujos de efectivo se ha preparado utilizando el método indirecto.</w:t>
      </w:r>
      <w:r w:rsidR="00EA6058" w:rsidRPr="00B24DA2">
        <w:rPr>
          <w:rFonts w:cs="Arial"/>
          <w:sz w:val="20"/>
          <w:lang w:val="es-ES"/>
        </w:rPr>
        <w:t xml:space="preserve"> </w:t>
      </w:r>
      <w:r w:rsidR="00854EBA">
        <w:rPr>
          <w:rFonts w:cs="Arial"/>
          <w:sz w:val="20"/>
          <w:lang w:val="es-ES"/>
        </w:rPr>
        <w:t xml:space="preserve"> </w:t>
      </w:r>
      <w:r w:rsidRPr="00690400">
        <w:rPr>
          <w:rFonts w:cs="Arial"/>
          <w:sz w:val="20"/>
        </w:rPr>
        <w:t>Los estados financieros se han elaborado con arreglo al criterio del devengo modificado y basándose en la plena actividad.</w:t>
      </w:r>
      <w:r w:rsidR="00EA6058" w:rsidRPr="00B24DA2">
        <w:rPr>
          <w:rFonts w:cs="Arial"/>
          <w:sz w:val="20"/>
          <w:lang w:val="es-ES"/>
        </w:rPr>
        <w:t xml:space="preserve"> </w:t>
      </w:r>
    </w:p>
    <w:p w:rsidR="00EA6058" w:rsidRPr="00B24DA2" w:rsidRDefault="00EA6058" w:rsidP="00EA6058">
      <w:pPr>
        <w:pStyle w:val="Style3"/>
        <w:spacing w:after="0"/>
        <w:rPr>
          <w:rFonts w:cs="Arial"/>
          <w:sz w:val="20"/>
          <w:lang w:val="es-ES"/>
        </w:rPr>
      </w:pPr>
    </w:p>
    <w:p w:rsidR="00EA6058" w:rsidRPr="00B24DA2" w:rsidRDefault="00B65EE3" w:rsidP="00690400">
      <w:pPr>
        <w:pStyle w:val="Style3"/>
        <w:rPr>
          <w:rFonts w:cs="Arial"/>
          <w:sz w:val="20"/>
          <w:lang w:val="es-ES"/>
        </w:rPr>
      </w:pPr>
      <w:r w:rsidRPr="00690400">
        <w:rPr>
          <w:rFonts w:cs="Arial"/>
          <w:sz w:val="20"/>
        </w:rPr>
        <w:t>La IPSAS</w:t>
      </w:r>
      <w:r w:rsidR="00FE1638">
        <w:rPr>
          <w:rFonts w:cs="Arial"/>
          <w:sz w:val="20"/>
        </w:rPr>
        <w:t xml:space="preserve"> </w:t>
      </w:r>
      <w:r w:rsidRPr="00690400">
        <w:rPr>
          <w:rFonts w:cs="Arial"/>
          <w:sz w:val="20"/>
        </w:rPr>
        <w:t>39 “Beneficios a los empleados” ya se aplicaba en los estados financieros de la</w:t>
      </w:r>
      <w:r w:rsidR="00FE1638">
        <w:rPr>
          <w:rFonts w:cs="Arial"/>
          <w:sz w:val="20"/>
        </w:rPr>
        <w:t xml:space="preserve"> </w:t>
      </w:r>
      <w:r w:rsidRPr="00690400">
        <w:rPr>
          <w:rFonts w:cs="Arial"/>
          <w:sz w:val="20"/>
        </w:rPr>
        <w:t>UPOV de</w:t>
      </w:r>
      <w:r w:rsidR="00FE1638">
        <w:rPr>
          <w:rFonts w:cs="Arial"/>
          <w:sz w:val="20"/>
        </w:rPr>
        <w:t xml:space="preserve"> </w:t>
      </w:r>
      <w:r w:rsidRPr="00690400">
        <w:rPr>
          <w:rFonts w:cs="Arial"/>
          <w:sz w:val="20"/>
        </w:rPr>
        <w:t>2017, antes de la fecha límite para su aplicación, que era el</w:t>
      </w:r>
      <w:r w:rsidR="00FE1638">
        <w:rPr>
          <w:rFonts w:cs="Arial"/>
          <w:sz w:val="20"/>
        </w:rPr>
        <w:t xml:space="preserve"> </w:t>
      </w:r>
      <w:r w:rsidRPr="00690400">
        <w:rPr>
          <w:rFonts w:cs="Arial"/>
          <w:sz w:val="20"/>
        </w:rPr>
        <w:t>1 de enero de</w:t>
      </w:r>
      <w:r w:rsidR="00FE1638">
        <w:rPr>
          <w:rFonts w:cs="Arial"/>
          <w:sz w:val="20"/>
        </w:rPr>
        <w:t xml:space="preserve"> </w:t>
      </w:r>
      <w:r w:rsidRPr="00690400">
        <w:rPr>
          <w:rFonts w:cs="Arial"/>
          <w:sz w:val="20"/>
        </w:rPr>
        <w:t>2018.</w:t>
      </w:r>
    </w:p>
    <w:p w:rsidR="00EA6058" w:rsidRPr="00B24DA2" w:rsidRDefault="00B65EE3" w:rsidP="00690400">
      <w:pPr>
        <w:pStyle w:val="Style3"/>
        <w:rPr>
          <w:rFonts w:cs="Arial"/>
          <w:sz w:val="20"/>
          <w:lang w:val="es-ES"/>
        </w:rPr>
      </w:pPr>
      <w:r w:rsidRPr="00690400">
        <w:rPr>
          <w:rFonts w:cs="Arial"/>
          <w:sz w:val="20"/>
        </w:rPr>
        <w:t>La IPSAS</w:t>
      </w:r>
      <w:r w:rsidR="00FE1638">
        <w:rPr>
          <w:rFonts w:cs="Arial"/>
          <w:sz w:val="20"/>
        </w:rPr>
        <w:t xml:space="preserve"> </w:t>
      </w:r>
      <w:r w:rsidRPr="00690400">
        <w:rPr>
          <w:rFonts w:cs="Arial"/>
          <w:sz w:val="20"/>
        </w:rPr>
        <w:t>40 “Combinaciones del sector público”</w:t>
      </w:r>
      <w:r w:rsidR="005E2292" w:rsidRPr="00690400">
        <w:rPr>
          <w:rFonts w:cs="Arial"/>
          <w:sz w:val="20"/>
        </w:rPr>
        <w:t>,</w:t>
      </w:r>
      <w:r w:rsidRPr="00690400">
        <w:rPr>
          <w:rFonts w:cs="Arial"/>
          <w:sz w:val="20"/>
        </w:rPr>
        <w:t xml:space="preserve"> publicada en enero de</w:t>
      </w:r>
      <w:r w:rsidR="00FE1638">
        <w:rPr>
          <w:rFonts w:cs="Arial"/>
          <w:sz w:val="20"/>
        </w:rPr>
        <w:t xml:space="preserve"> </w:t>
      </w:r>
      <w:r w:rsidRPr="00690400">
        <w:rPr>
          <w:rFonts w:cs="Arial"/>
          <w:sz w:val="20"/>
        </w:rPr>
        <w:t xml:space="preserve">2017, </w:t>
      </w:r>
      <w:r w:rsidR="005E2292" w:rsidRPr="00690400">
        <w:rPr>
          <w:rFonts w:cs="Arial"/>
          <w:sz w:val="20"/>
        </w:rPr>
        <w:t xml:space="preserve">tiene como fecha de aplicación </w:t>
      </w:r>
      <w:r w:rsidRPr="00690400">
        <w:rPr>
          <w:rFonts w:cs="Arial"/>
          <w:sz w:val="20"/>
        </w:rPr>
        <w:t>el</w:t>
      </w:r>
      <w:r w:rsidR="00FE1638">
        <w:rPr>
          <w:rFonts w:cs="Arial"/>
          <w:sz w:val="20"/>
        </w:rPr>
        <w:t xml:space="preserve"> </w:t>
      </w:r>
      <w:r w:rsidRPr="00690400">
        <w:rPr>
          <w:rFonts w:cs="Arial"/>
          <w:sz w:val="20"/>
        </w:rPr>
        <w:t>1 de enero de</w:t>
      </w:r>
      <w:r w:rsidR="00FE1638">
        <w:rPr>
          <w:rFonts w:cs="Arial"/>
          <w:sz w:val="20"/>
        </w:rPr>
        <w:t xml:space="preserve"> </w:t>
      </w:r>
      <w:r w:rsidRPr="00690400">
        <w:rPr>
          <w:rFonts w:cs="Arial"/>
          <w:sz w:val="20"/>
        </w:rPr>
        <w:t>2019.</w:t>
      </w:r>
      <w:r w:rsidR="00EA6058" w:rsidRPr="00B24DA2">
        <w:rPr>
          <w:rFonts w:cs="Arial"/>
          <w:sz w:val="20"/>
          <w:lang w:val="es-ES"/>
        </w:rPr>
        <w:t xml:space="preserve"> </w:t>
      </w:r>
      <w:r w:rsidR="00854EBA">
        <w:rPr>
          <w:rFonts w:cs="Arial"/>
          <w:sz w:val="20"/>
          <w:lang w:val="es-ES"/>
        </w:rPr>
        <w:t xml:space="preserve"> </w:t>
      </w:r>
      <w:r w:rsidR="002708C5" w:rsidRPr="00690400">
        <w:rPr>
          <w:rFonts w:cs="Arial"/>
          <w:sz w:val="20"/>
        </w:rPr>
        <w:t>No se prevé que esta norma repercuta en los estados financieros de la</w:t>
      </w:r>
      <w:r w:rsidR="00FE1638">
        <w:rPr>
          <w:rFonts w:cs="Arial"/>
          <w:sz w:val="20"/>
        </w:rPr>
        <w:t xml:space="preserve"> </w:t>
      </w:r>
      <w:r w:rsidR="002708C5" w:rsidRPr="00690400">
        <w:rPr>
          <w:rFonts w:cs="Arial"/>
          <w:sz w:val="20"/>
        </w:rPr>
        <w:t>UPOV.</w:t>
      </w:r>
    </w:p>
    <w:p w:rsidR="00EA6058" w:rsidRPr="00B24DA2" w:rsidRDefault="002708C5" w:rsidP="000E2D67">
      <w:pPr>
        <w:pStyle w:val="Style3"/>
        <w:spacing w:after="0"/>
        <w:rPr>
          <w:rFonts w:cs="Arial"/>
          <w:sz w:val="20"/>
          <w:lang w:val="es-ES"/>
        </w:rPr>
      </w:pPr>
      <w:r w:rsidRPr="00690400">
        <w:rPr>
          <w:rFonts w:cs="Arial"/>
          <w:sz w:val="20"/>
        </w:rPr>
        <w:t>La IPSAS</w:t>
      </w:r>
      <w:r w:rsidR="00FE1638">
        <w:rPr>
          <w:rFonts w:cs="Arial"/>
          <w:sz w:val="20"/>
        </w:rPr>
        <w:t xml:space="preserve"> </w:t>
      </w:r>
      <w:r w:rsidRPr="00690400">
        <w:rPr>
          <w:rFonts w:cs="Arial"/>
          <w:sz w:val="20"/>
        </w:rPr>
        <w:t>41 “Instrumentos financieros”, publicada en agosto de</w:t>
      </w:r>
      <w:r w:rsidR="00FE1638">
        <w:rPr>
          <w:rFonts w:cs="Arial"/>
          <w:sz w:val="20"/>
        </w:rPr>
        <w:t xml:space="preserve"> </w:t>
      </w:r>
      <w:r w:rsidRPr="00690400">
        <w:rPr>
          <w:rFonts w:cs="Arial"/>
          <w:sz w:val="20"/>
        </w:rPr>
        <w:t xml:space="preserve">2018, tiene como fecha de aplicación </w:t>
      </w:r>
      <w:r w:rsidR="00854EBA">
        <w:rPr>
          <w:rFonts w:cs="Arial"/>
          <w:sz w:val="20"/>
        </w:rPr>
        <w:br/>
      </w:r>
      <w:r w:rsidRPr="00690400">
        <w:rPr>
          <w:rFonts w:cs="Arial"/>
          <w:sz w:val="20"/>
        </w:rPr>
        <w:t>el</w:t>
      </w:r>
      <w:r w:rsidR="00FE1638">
        <w:rPr>
          <w:rFonts w:cs="Arial"/>
          <w:sz w:val="20"/>
        </w:rPr>
        <w:t xml:space="preserve"> </w:t>
      </w:r>
      <w:r w:rsidRPr="00690400">
        <w:rPr>
          <w:rFonts w:cs="Arial"/>
          <w:sz w:val="20"/>
        </w:rPr>
        <w:t>1 de enero de</w:t>
      </w:r>
      <w:r w:rsidR="00FE1638">
        <w:rPr>
          <w:rFonts w:cs="Arial"/>
          <w:sz w:val="20"/>
        </w:rPr>
        <w:t xml:space="preserve"> </w:t>
      </w:r>
      <w:r w:rsidRPr="00690400">
        <w:rPr>
          <w:rFonts w:cs="Arial"/>
          <w:sz w:val="20"/>
        </w:rPr>
        <w:t>2022.</w:t>
      </w:r>
      <w:r w:rsidR="00EA6058" w:rsidRPr="00B24DA2">
        <w:rPr>
          <w:rFonts w:cs="Arial"/>
          <w:sz w:val="20"/>
          <w:lang w:val="es-ES"/>
        </w:rPr>
        <w:t xml:space="preserve"> </w:t>
      </w:r>
      <w:r w:rsidR="00854EBA">
        <w:rPr>
          <w:rFonts w:cs="Arial"/>
          <w:sz w:val="20"/>
          <w:lang w:val="es-ES"/>
        </w:rPr>
        <w:t xml:space="preserve"> </w:t>
      </w:r>
      <w:r w:rsidRPr="00690400">
        <w:rPr>
          <w:rFonts w:cs="Arial"/>
          <w:sz w:val="20"/>
        </w:rPr>
        <w:t>En la actualidad, la</w:t>
      </w:r>
      <w:r w:rsidR="00FE1638">
        <w:rPr>
          <w:rFonts w:cs="Arial"/>
          <w:sz w:val="20"/>
        </w:rPr>
        <w:t xml:space="preserve"> </w:t>
      </w:r>
      <w:r w:rsidRPr="00690400">
        <w:rPr>
          <w:rFonts w:cs="Arial"/>
          <w:sz w:val="20"/>
        </w:rPr>
        <w:t>UPOV está analizando las repercusiones de esta nueva norma.</w:t>
      </w:r>
    </w:p>
    <w:p w:rsidR="00EA6058" w:rsidRPr="00B24DA2" w:rsidRDefault="00EA6058" w:rsidP="00EA6058">
      <w:pPr>
        <w:pStyle w:val="Style3"/>
        <w:spacing w:after="0"/>
        <w:rPr>
          <w:rFonts w:cs="Arial"/>
          <w:sz w:val="20"/>
          <w:lang w:val="es-ES"/>
        </w:rPr>
      </w:pPr>
    </w:p>
    <w:p w:rsidR="00EA6058" w:rsidRPr="00B24DA2" w:rsidRDefault="002708C5" w:rsidP="00EA6058">
      <w:pPr>
        <w:rPr>
          <w:b/>
          <w:lang w:val="es-ES"/>
        </w:rPr>
      </w:pPr>
      <w:r w:rsidRPr="00690400">
        <w:rPr>
          <w:b/>
        </w:rPr>
        <w:t>Moneda extranjera</w:t>
      </w:r>
    </w:p>
    <w:p w:rsidR="00EA6058" w:rsidRPr="00B24DA2" w:rsidRDefault="00EA6058" w:rsidP="00EA6058">
      <w:pPr>
        <w:rPr>
          <w:b/>
          <w:lang w:val="es-ES"/>
        </w:rPr>
      </w:pPr>
    </w:p>
    <w:p w:rsidR="00EA6058" w:rsidRPr="00B24DA2" w:rsidRDefault="002708C5" w:rsidP="00EA6058">
      <w:pPr>
        <w:pStyle w:val="Style3"/>
        <w:spacing w:after="0"/>
        <w:rPr>
          <w:rFonts w:cs="Arial"/>
          <w:sz w:val="20"/>
          <w:lang w:val="es-ES"/>
        </w:rPr>
      </w:pPr>
      <w:r w:rsidRPr="00690400">
        <w:rPr>
          <w:rFonts w:cs="Arial"/>
          <w:sz w:val="20"/>
        </w:rPr>
        <w:t>La moneda funcional de la</w:t>
      </w:r>
      <w:r w:rsidR="00FE1638">
        <w:rPr>
          <w:rFonts w:cs="Arial"/>
          <w:sz w:val="20"/>
        </w:rPr>
        <w:t xml:space="preserve"> </w:t>
      </w:r>
      <w:r w:rsidRPr="00690400">
        <w:rPr>
          <w:rFonts w:cs="Arial"/>
          <w:sz w:val="20"/>
        </w:rPr>
        <w:t>UPOV es el franco suizo y los presentes estados financieros se presentan en esa moneda.</w:t>
      </w:r>
      <w:r w:rsidR="00680842" w:rsidRPr="00B24DA2">
        <w:rPr>
          <w:rFonts w:cs="Arial"/>
          <w:sz w:val="20"/>
          <w:lang w:val="es-ES"/>
        </w:rPr>
        <w:t xml:space="preserve"> </w:t>
      </w:r>
      <w:r w:rsidR="00854EBA">
        <w:rPr>
          <w:rFonts w:cs="Arial"/>
          <w:sz w:val="20"/>
          <w:lang w:val="es-ES"/>
        </w:rPr>
        <w:t xml:space="preserve"> </w:t>
      </w:r>
      <w:r w:rsidR="00587F64" w:rsidRPr="00690400">
        <w:rPr>
          <w:rFonts w:cs="Arial"/>
          <w:sz w:val="20"/>
        </w:rPr>
        <w:t>Todas las transacciones efectuadas en otras divisas se transforman en francos suizos utilizando los tipos de cambio operacionales de las Naciones Unidas (UNORE) vigentes en la fecha de las transacciones.</w:t>
      </w:r>
      <w:r w:rsidR="00680842" w:rsidRPr="00B24DA2">
        <w:rPr>
          <w:rFonts w:cs="Arial"/>
          <w:sz w:val="20"/>
          <w:lang w:val="es-ES"/>
        </w:rPr>
        <w:t xml:space="preserve"> </w:t>
      </w:r>
      <w:r w:rsidR="00854EBA">
        <w:rPr>
          <w:rFonts w:cs="Arial"/>
          <w:sz w:val="20"/>
          <w:lang w:val="es-ES"/>
        </w:rPr>
        <w:t xml:space="preserve"> </w:t>
      </w:r>
      <w:r w:rsidR="00587F64" w:rsidRPr="00690400">
        <w:rPr>
          <w:rFonts w:cs="Arial"/>
          <w:sz w:val="20"/>
        </w:rPr>
        <w:t>Las ganancias y pérdidas realizadas y no realizadas derivadas del pago de esas transacciones y de la conversión, en la fecha de preparación del informe, de activos y pasivos expresados en monedas distintas de la moneda funcional de la</w:t>
      </w:r>
      <w:r w:rsidR="00FE1638">
        <w:rPr>
          <w:rFonts w:cs="Arial"/>
          <w:sz w:val="20"/>
        </w:rPr>
        <w:t xml:space="preserve"> </w:t>
      </w:r>
      <w:r w:rsidR="00587F64" w:rsidRPr="00690400">
        <w:rPr>
          <w:rFonts w:cs="Arial"/>
          <w:sz w:val="20"/>
        </w:rPr>
        <w:t>UPOV se reconocen en el estado de rendimiento financiero.</w:t>
      </w:r>
    </w:p>
    <w:p w:rsidR="00EA6058" w:rsidRPr="00B24DA2" w:rsidRDefault="00EA6058" w:rsidP="00EA6058">
      <w:pPr>
        <w:pStyle w:val="Style3"/>
        <w:spacing w:after="0"/>
        <w:rPr>
          <w:rFonts w:cs="Arial"/>
          <w:sz w:val="20"/>
          <w:lang w:val="es-ES"/>
        </w:rPr>
      </w:pPr>
    </w:p>
    <w:p w:rsidR="00EA6058" w:rsidRPr="00B24DA2" w:rsidRDefault="00587F64" w:rsidP="00EA6058">
      <w:pPr>
        <w:pStyle w:val="Style3"/>
        <w:spacing w:after="0"/>
        <w:rPr>
          <w:rFonts w:cs="Arial"/>
          <w:b/>
          <w:sz w:val="20"/>
          <w:lang w:val="es-ES"/>
        </w:rPr>
      </w:pPr>
      <w:r w:rsidRPr="00690400">
        <w:rPr>
          <w:rFonts w:cs="Arial"/>
          <w:b/>
          <w:sz w:val="20"/>
        </w:rPr>
        <w:t>Información financiera por segmentos</w:t>
      </w:r>
    </w:p>
    <w:p w:rsidR="00EA6058" w:rsidRPr="00B24DA2" w:rsidRDefault="00EA6058" w:rsidP="00EA6058">
      <w:pPr>
        <w:rPr>
          <w:b/>
          <w:lang w:val="es-ES"/>
        </w:rPr>
      </w:pPr>
    </w:p>
    <w:p w:rsidR="00EA6058" w:rsidRPr="00B24DA2" w:rsidRDefault="00587F64" w:rsidP="00EA6058">
      <w:pPr>
        <w:rPr>
          <w:rStyle w:val="SubtleEmphasis"/>
          <w:lang w:val="es-ES"/>
        </w:rPr>
      </w:pPr>
      <w:r w:rsidRPr="00690400">
        <w:t>Un segmento es una actividad o un grupo de actividades con características diferenciadas, cuya información financiera resulta conveniente presentar por separado.</w:t>
      </w:r>
      <w:r w:rsidR="00EA6058" w:rsidRPr="00B24DA2">
        <w:rPr>
          <w:lang w:val="es-ES"/>
        </w:rPr>
        <w:t xml:space="preserve"> </w:t>
      </w:r>
      <w:r w:rsidR="00854EBA">
        <w:rPr>
          <w:lang w:val="es-ES"/>
        </w:rPr>
        <w:t xml:space="preserve"> </w:t>
      </w:r>
      <w:r w:rsidR="006F1644" w:rsidRPr="00690400">
        <w:t>En la</w:t>
      </w:r>
      <w:r w:rsidR="00FE1638">
        <w:t xml:space="preserve"> </w:t>
      </w:r>
      <w:r w:rsidR="006F1644" w:rsidRPr="00690400">
        <w:t>UPOV, los segmentos corresponden a sus principales actividades y fuentes de financiación,</w:t>
      </w:r>
      <w:r w:rsidR="00EA6058" w:rsidRPr="00B24DA2">
        <w:rPr>
          <w:lang w:val="es-ES"/>
        </w:rPr>
        <w:t xml:space="preserve"> </w:t>
      </w:r>
      <w:r w:rsidR="006F1644" w:rsidRPr="00690400">
        <w:t>por lo que se presenta la información financiera de tres segmentos por separado:</w:t>
      </w:r>
      <w:r w:rsidR="00EA6058" w:rsidRPr="00B24DA2">
        <w:rPr>
          <w:lang w:val="es-ES"/>
        </w:rPr>
        <w:t xml:space="preserve"> </w:t>
      </w:r>
      <w:r w:rsidR="006F1644" w:rsidRPr="00690400">
        <w:t>1)</w:t>
      </w:r>
      <w:r w:rsidR="00FE1638">
        <w:t xml:space="preserve"> </w:t>
      </w:r>
      <w:r w:rsidR="006F1644" w:rsidRPr="00690400">
        <w:t>el programa y presupuesto ordinario, 2)</w:t>
      </w:r>
      <w:r w:rsidR="00FE1638">
        <w:t xml:space="preserve"> </w:t>
      </w:r>
      <w:r w:rsidR="006F1644" w:rsidRPr="00690400">
        <w:t>los fondos fiduciarios y 3)</w:t>
      </w:r>
      <w:r w:rsidR="00FE1638">
        <w:t xml:space="preserve"> </w:t>
      </w:r>
      <w:r w:rsidR="006F1644" w:rsidRPr="00690400">
        <w:t>el fondo para proyectos especiales.</w:t>
      </w:r>
    </w:p>
    <w:p w:rsidR="00EA6058" w:rsidRPr="00B24DA2" w:rsidRDefault="00EA6058" w:rsidP="00EA6058">
      <w:pPr>
        <w:rPr>
          <w:b/>
          <w:lang w:val="es-ES"/>
        </w:rPr>
      </w:pPr>
    </w:p>
    <w:p w:rsidR="00EA6058" w:rsidRPr="00B24DA2" w:rsidRDefault="006F1644" w:rsidP="00EA6058">
      <w:pPr>
        <w:rPr>
          <w:b/>
          <w:lang w:val="es-ES"/>
        </w:rPr>
      </w:pPr>
      <w:r w:rsidRPr="00690400">
        <w:rPr>
          <w:b/>
        </w:rPr>
        <w:t>Efectivo y equivalentes de efectivo</w:t>
      </w:r>
    </w:p>
    <w:p w:rsidR="00EA6058" w:rsidRPr="00B24DA2" w:rsidRDefault="00EA6058" w:rsidP="00EA6058">
      <w:pPr>
        <w:rPr>
          <w:lang w:val="es-ES"/>
        </w:rPr>
      </w:pPr>
    </w:p>
    <w:p w:rsidR="00EA6058" w:rsidRPr="00B24DA2" w:rsidRDefault="006F1644" w:rsidP="00EA6058">
      <w:pPr>
        <w:rPr>
          <w:lang w:val="es-ES"/>
        </w:rPr>
      </w:pPr>
      <w:r w:rsidRPr="00690400">
        <w:t>Forman parte del efectivo y de los equivalentes de efectivo el dinero en caja, los depósitos bancarios a la vista, los depósitos mantenidos hasta</w:t>
      </w:r>
      <w:r w:rsidR="00FE1638">
        <w:t xml:space="preserve"> </w:t>
      </w:r>
      <w:r w:rsidRPr="00690400">
        <w:t>90 días y otras inversiones a corto plazo de gran liquidez, que son fácilmente convertibles en efectivo y están sujetas a un riesgo insignificante de cambios en su valor.</w:t>
      </w:r>
    </w:p>
    <w:p w:rsidR="00EA6058" w:rsidRPr="00B24DA2" w:rsidRDefault="00EA6058" w:rsidP="00EA6058">
      <w:pPr>
        <w:rPr>
          <w:lang w:val="es-ES"/>
        </w:rPr>
      </w:pPr>
    </w:p>
    <w:p w:rsidR="00EA6058" w:rsidRPr="00B24DA2" w:rsidRDefault="00915C9B" w:rsidP="00EA6058">
      <w:pPr>
        <w:rPr>
          <w:b/>
          <w:lang w:val="es-ES"/>
        </w:rPr>
      </w:pPr>
      <w:r w:rsidRPr="00690400">
        <w:rPr>
          <w:b/>
        </w:rPr>
        <w:t>Cuentas por cobrar</w:t>
      </w:r>
    </w:p>
    <w:p w:rsidR="00EA6058" w:rsidRPr="00B24DA2" w:rsidRDefault="00EA6058" w:rsidP="00EA6058">
      <w:pPr>
        <w:rPr>
          <w:b/>
          <w:lang w:val="es-ES"/>
        </w:rPr>
      </w:pPr>
    </w:p>
    <w:p w:rsidR="00EA6058" w:rsidRPr="00B24DA2" w:rsidRDefault="00915C9B" w:rsidP="00F44735">
      <w:pPr>
        <w:pStyle w:val="Style3"/>
        <w:spacing w:after="0"/>
        <w:rPr>
          <w:rFonts w:cs="Arial"/>
          <w:vanish/>
          <w:sz w:val="20"/>
          <w:lang w:val="es-ES"/>
        </w:rPr>
      </w:pPr>
      <w:r w:rsidRPr="00690400">
        <w:rPr>
          <w:sz w:val="20"/>
        </w:rPr>
        <w:t>Las contribuciones se reconocen como ingresos al inicio del ejercicio económico.</w:t>
      </w:r>
      <w:r w:rsidR="00EA6058" w:rsidRPr="00B24DA2">
        <w:rPr>
          <w:sz w:val="20"/>
          <w:lang w:val="es-ES"/>
        </w:rPr>
        <w:t xml:space="preserve"> </w:t>
      </w:r>
      <w:r w:rsidR="00854EBA">
        <w:rPr>
          <w:sz w:val="20"/>
          <w:lang w:val="es-ES"/>
        </w:rPr>
        <w:t xml:space="preserve"> </w:t>
      </w:r>
      <w:r w:rsidRPr="00690400">
        <w:rPr>
          <w:sz w:val="20"/>
        </w:rPr>
        <w:t xml:space="preserve">Se </w:t>
      </w:r>
      <w:r w:rsidR="0095327D" w:rsidRPr="00690400">
        <w:rPr>
          <w:sz w:val="20"/>
        </w:rPr>
        <w:t>establece</w:t>
      </w:r>
      <w:r w:rsidRPr="00690400">
        <w:rPr>
          <w:sz w:val="20"/>
        </w:rPr>
        <w:t xml:space="preserve"> una asignación</w:t>
      </w:r>
      <w:r w:rsidR="00B03C6C" w:rsidRPr="00690400">
        <w:rPr>
          <w:sz w:val="20"/>
        </w:rPr>
        <w:t xml:space="preserve"> íntegra</w:t>
      </w:r>
      <w:r w:rsidRPr="00690400">
        <w:rPr>
          <w:sz w:val="20"/>
        </w:rPr>
        <w:t xml:space="preserve"> para cuentas por cobrar por cada miembro con contribuciones pendientes en </w:t>
      </w:r>
      <w:r w:rsidR="00F44735" w:rsidRPr="00690400">
        <w:rPr>
          <w:sz w:val="20"/>
        </w:rPr>
        <w:t>las</w:t>
      </w:r>
      <w:r w:rsidR="00EE0800" w:rsidRPr="00690400">
        <w:rPr>
          <w:sz w:val="20"/>
        </w:rPr>
        <w:t xml:space="preserve"> </w:t>
      </w:r>
      <w:r w:rsidRPr="00690400">
        <w:rPr>
          <w:sz w:val="20"/>
        </w:rPr>
        <w:t xml:space="preserve">que </w:t>
      </w:r>
      <w:r w:rsidR="00F44735" w:rsidRPr="00690400">
        <w:rPr>
          <w:sz w:val="20"/>
        </w:rPr>
        <w:t>algún</w:t>
      </w:r>
      <w:r w:rsidRPr="00690400">
        <w:rPr>
          <w:sz w:val="20"/>
        </w:rPr>
        <w:t xml:space="preserve"> elemento de los atrasos corresponde a ejercicios anteriores al último bienio.</w:t>
      </w:r>
    </w:p>
    <w:p w:rsidR="00435C43" w:rsidRPr="00B24DA2" w:rsidRDefault="00435C43" w:rsidP="00F44735">
      <w:pPr>
        <w:pStyle w:val="Style3"/>
        <w:spacing w:after="0"/>
        <w:rPr>
          <w:lang w:val="es-ES"/>
        </w:rPr>
      </w:pPr>
    </w:p>
    <w:p w:rsidR="00EA6058" w:rsidRPr="00B24DA2" w:rsidRDefault="00915C9B" w:rsidP="00EA6058">
      <w:pPr>
        <w:rPr>
          <w:b/>
          <w:lang w:val="es-ES"/>
        </w:rPr>
      </w:pPr>
      <w:r w:rsidRPr="00690400">
        <w:rPr>
          <w:b/>
        </w:rPr>
        <w:t>Equipo</w:t>
      </w:r>
    </w:p>
    <w:p w:rsidR="00EA6058" w:rsidRPr="00B24DA2" w:rsidRDefault="00EA6058" w:rsidP="00EA6058">
      <w:pPr>
        <w:rPr>
          <w:b/>
          <w:lang w:val="es-ES"/>
        </w:rPr>
      </w:pPr>
    </w:p>
    <w:p w:rsidR="00EA6058" w:rsidRPr="00B24DA2" w:rsidRDefault="00915C9B" w:rsidP="00EA6058">
      <w:pPr>
        <w:pStyle w:val="Style3"/>
        <w:spacing w:after="0"/>
        <w:rPr>
          <w:rFonts w:cs="Arial"/>
          <w:sz w:val="20"/>
          <w:lang w:val="es-ES"/>
        </w:rPr>
      </w:pPr>
      <w:r w:rsidRPr="00690400">
        <w:rPr>
          <w:rFonts w:cs="Arial"/>
          <w:sz w:val="20"/>
        </w:rPr>
        <w:t>El equipo se valora al costo menos las pérdidas acumuladas por depreciación y deterioro.</w:t>
      </w:r>
      <w:r w:rsidR="00EA6058" w:rsidRPr="00B24DA2">
        <w:rPr>
          <w:rFonts w:cs="Arial"/>
          <w:sz w:val="20"/>
          <w:lang w:val="es-ES"/>
        </w:rPr>
        <w:t xml:space="preserve"> </w:t>
      </w:r>
      <w:r w:rsidR="00854EBA">
        <w:rPr>
          <w:rFonts w:cs="Arial"/>
          <w:sz w:val="20"/>
          <w:lang w:val="es-ES"/>
        </w:rPr>
        <w:t xml:space="preserve"> </w:t>
      </w:r>
      <w:r w:rsidRPr="00690400">
        <w:rPr>
          <w:rFonts w:cs="Arial"/>
          <w:sz w:val="20"/>
        </w:rPr>
        <w:t>El equipo se contabiliza como activo si su costo es de</w:t>
      </w:r>
      <w:r w:rsidR="00FE1638">
        <w:rPr>
          <w:rFonts w:cs="Arial"/>
          <w:sz w:val="20"/>
        </w:rPr>
        <w:t xml:space="preserve"> </w:t>
      </w:r>
      <w:r w:rsidRPr="00690400">
        <w:rPr>
          <w:rFonts w:cs="Arial"/>
          <w:sz w:val="20"/>
        </w:rPr>
        <w:t>5.000 francos suizos o más por unidad.</w:t>
      </w:r>
      <w:r w:rsidR="00EA6058" w:rsidRPr="00B24DA2">
        <w:rPr>
          <w:sz w:val="20"/>
          <w:lang w:val="es-ES"/>
        </w:rPr>
        <w:t xml:space="preserve"> </w:t>
      </w:r>
      <w:r w:rsidR="00854EBA">
        <w:rPr>
          <w:sz w:val="20"/>
          <w:lang w:val="es-ES"/>
        </w:rPr>
        <w:t xml:space="preserve"> </w:t>
      </w:r>
      <w:r w:rsidRPr="00690400">
        <w:rPr>
          <w:sz w:val="20"/>
        </w:rPr>
        <w:t>Al</w:t>
      </w:r>
      <w:r w:rsidR="00FE1638">
        <w:rPr>
          <w:sz w:val="20"/>
        </w:rPr>
        <w:t xml:space="preserve"> </w:t>
      </w:r>
      <w:r w:rsidRPr="00690400">
        <w:rPr>
          <w:sz w:val="20"/>
        </w:rPr>
        <w:t>31 de diciembre de</w:t>
      </w:r>
      <w:r w:rsidR="00FE1638">
        <w:rPr>
          <w:sz w:val="20"/>
        </w:rPr>
        <w:t xml:space="preserve"> </w:t>
      </w:r>
      <w:r w:rsidRPr="00690400">
        <w:rPr>
          <w:sz w:val="20"/>
        </w:rPr>
        <w:t>2018</w:t>
      </w:r>
      <w:r w:rsidR="000E6994" w:rsidRPr="00690400">
        <w:rPr>
          <w:sz w:val="20"/>
        </w:rPr>
        <w:t>,</w:t>
      </w:r>
      <w:r w:rsidRPr="00690400">
        <w:rPr>
          <w:sz w:val="20"/>
        </w:rPr>
        <w:t xml:space="preserve"> no</w:t>
      </w:r>
      <w:r w:rsidR="000E6994" w:rsidRPr="00690400">
        <w:rPr>
          <w:sz w:val="20"/>
        </w:rPr>
        <w:t xml:space="preserve"> se había</w:t>
      </w:r>
      <w:r w:rsidR="002606B3" w:rsidRPr="00690400">
        <w:rPr>
          <w:sz w:val="20"/>
        </w:rPr>
        <w:t>n</w:t>
      </w:r>
      <w:r w:rsidRPr="00690400">
        <w:rPr>
          <w:sz w:val="20"/>
        </w:rPr>
        <w:t xml:space="preserve"> </w:t>
      </w:r>
      <w:r w:rsidR="000E6994" w:rsidRPr="00690400">
        <w:rPr>
          <w:sz w:val="20"/>
        </w:rPr>
        <w:t xml:space="preserve">capitalizado </w:t>
      </w:r>
      <w:r w:rsidR="00C8491D" w:rsidRPr="00690400">
        <w:rPr>
          <w:sz w:val="20"/>
        </w:rPr>
        <w:t>bien</w:t>
      </w:r>
      <w:r w:rsidR="002606B3" w:rsidRPr="00690400">
        <w:rPr>
          <w:sz w:val="20"/>
        </w:rPr>
        <w:t>es</w:t>
      </w:r>
      <w:r w:rsidR="000E6994" w:rsidRPr="00690400">
        <w:rPr>
          <w:sz w:val="20"/>
        </w:rPr>
        <w:t xml:space="preserve"> como equipo</w:t>
      </w:r>
      <w:r w:rsidRPr="00690400">
        <w:rPr>
          <w:sz w:val="20"/>
        </w:rPr>
        <w:t>.</w:t>
      </w:r>
      <w:r w:rsidR="00EA6058" w:rsidRPr="00B24DA2">
        <w:rPr>
          <w:lang w:val="es-ES"/>
        </w:rPr>
        <w:t xml:space="preserve"> </w:t>
      </w:r>
    </w:p>
    <w:p w:rsidR="00EA6058" w:rsidRPr="00B24DA2" w:rsidRDefault="00EA6058" w:rsidP="00EA6058">
      <w:pPr>
        <w:pStyle w:val="Style3"/>
        <w:spacing w:after="0"/>
        <w:rPr>
          <w:rFonts w:cs="Arial"/>
          <w:b/>
          <w:sz w:val="20"/>
          <w:lang w:val="es-ES"/>
        </w:rPr>
      </w:pPr>
    </w:p>
    <w:p w:rsidR="00EA6058" w:rsidRPr="00B24DA2" w:rsidRDefault="000E6994" w:rsidP="00EA6058">
      <w:pPr>
        <w:pStyle w:val="Style3"/>
        <w:spacing w:after="0"/>
        <w:rPr>
          <w:rFonts w:cs="Arial"/>
          <w:sz w:val="20"/>
          <w:lang w:val="es-ES"/>
        </w:rPr>
      </w:pPr>
      <w:r w:rsidRPr="00690400">
        <w:rPr>
          <w:rFonts w:cs="Arial"/>
          <w:b/>
          <w:sz w:val="20"/>
        </w:rPr>
        <w:t>Activos inmateriales</w:t>
      </w:r>
    </w:p>
    <w:p w:rsidR="00EA6058" w:rsidRPr="00B24DA2" w:rsidRDefault="00EA6058" w:rsidP="00EA6058">
      <w:pPr>
        <w:pStyle w:val="Style3"/>
        <w:spacing w:after="0"/>
        <w:rPr>
          <w:rFonts w:cs="Arial"/>
          <w:b/>
          <w:sz w:val="20"/>
          <w:lang w:val="es-ES"/>
        </w:rPr>
      </w:pPr>
    </w:p>
    <w:p w:rsidR="00EA6058" w:rsidRPr="00B24DA2" w:rsidRDefault="000E6994" w:rsidP="00EA6058">
      <w:pPr>
        <w:pStyle w:val="Style3"/>
        <w:spacing w:after="0"/>
        <w:rPr>
          <w:rFonts w:cs="Arial"/>
          <w:sz w:val="20"/>
          <w:lang w:val="es-ES"/>
        </w:rPr>
      </w:pPr>
      <w:r w:rsidRPr="00690400">
        <w:rPr>
          <w:rFonts w:cs="Arial"/>
          <w:sz w:val="20"/>
        </w:rPr>
        <w:t>Los activos inmateriales se valoran al costo menos las pérdidas acumuladas por amortización y deterioro.</w:t>
      </w:r>
      <w:r w:rsidR="00EA6058" w:rsidRPr="00B24DA2">
        <w:rPr>
          <w:rFonts w:cs="Arial"/>
          <w:sz w:val="20"/>
          <w:lang w:val="es-ES"/>
        </w:rPr>
        <w:t xml:space="preserve"> </w:t>
      </w:r>
    </w:p>
    <w:p w:rsidR="00EA6058" w:rsidRPr="00B24DA2" w:rsidRDefault="000E6994" w:rsidP="00EA6058">
      <w:pPr>
        <w:rPr>
          <w:i/>
          <w:lang w:val="es-ES"/>
        </w:rPr>
      </w:pPr>
      <w:r w:rsidRPr="00690400">
        <w:t>Las licencias adquiridas de programas informáticos se capitalizan sobre la base de los costos de adquisición y puesta en funcionamiento de dichos programas informáticos.</w:t>
      </w:r>
      <w:r w:rsidR="00EA6058" w:rsidRPr="00B24DA2">
        <w:rPr>
          <w:lang w:val="es-ES"/>
        </w:rPr>
        <w:t xml:space="preserve"> </w:t>
      </w:r>
      <w:r w:rsidR="00854EBA">
        <w:rPr>
          <w:lang w:val="es-ES"/>
        </w:rPr>
        <w:t xml:space="preserve"> </w:t>
      </w:r>
      <w:r w:rsidRPr="00690400">
        <w:t>Los gastos relacionados directamente con el desarrollo de programas informáticos para su utilización por la</w:t>
      </w:r>
      <w:r w:rsidR="00FE1638">
        <w:t xml:space="preserve"> </w:t>
      </w:r>
      <w:r w:rsidRPr="00690400">
        <w:t>UPOV se capitalizan como activo inmaterial.</w:t>
      </w:r>
      <w:r w:rsidR="00EA6058" w:rsidRPr="00B24DA2">
        <w:rPr>
          <w:lang w:val="es-ES"/>
        </w:rPr>
        <w:t xml:space="preserve"> </w:t>
      </w:r>
      <w:r w:rsidR="00854EBA">
        <w:rPr>
          <w:lang w:val="es-ES"/>
        </w:rPr>
        <w:t xml:space="preserve"> </w:t>
      </w:r>
      <w:r w:rsidRPr="00690400">
        <w:lastRenderedPageBreak/>
        <w:t>Los costos directos corresponden a los gastos de personal derivados del desarrollo de los programas informáticos.</w:t>
      </w:r>
      <w:r w:rsidR="00EA6058" w:rsidRPr="00B24DA2">
        <w:rPr>
          <w:lang w:val="es-ES"/>
        </w:rPr>
        <w:t xml:space="preserve"> </w:t>
      </w:r>
      <w:r w:rsidR="00854EBA">
        <w:rPr>
          <w:lang w:val="es-ES"/>
        </w:rPr>
        <w:t xml:space="preserve"> </w:t>
      </w:r>
      <w:r w:rsidRPr="00690400">
        <w:t>Al</w:t>
      </w:r>
      <w:r w:rsidR="00FE1638">
        <w:t xml:space="preserve"> </w:t>
      </w:r>
      <w:r w:rsidRPr="00690400">
        <w:t>31 de diciembre de</w:t>
      </w:r>
      <w:r w:rsidR="00FE1638">
        <w:t xml:space="preserve"> </w:t>
      </w:r>
      <w:r w:rsidRPr="00690400">
        <w:t>2018, no se habían capitalizado gastos como activos inmateriales.</w:t>
      </w:r>
    </w:p>
    <w:p w:rsidR="00EA6058" w:rsidRPr="00B24DA2" w:rsidRDefault="00EA6058" w:rsidP="00EA6058">
      <w:pPr>
        <w:rPr>
          <w:i/>
          <w:lang w:val="es-ES"/>
        </w:rPr>
      </w:pPr>
    </w:p>
    <w:p w:rsidR="00EA6058" w:rsidRPr="00B24DA2" w:rsidRDefault="004001AA" w:rsidP="00EA6058">
      <w:pPr>
        <w:pStyle w:val="Style3Bold"/>
        <w:spacing w:after="0"/>
        <w:rPr>
          <w:rFonts w:cs="Arial"/>
          <w:sz w:val="20"/>
          <w:lang w:val="es-ES"/>
        </w:rPr>
      </w:pPr>
      <w:r w:rsidRPr="00690400">
        <w:rPr>
          <w:rFonts w:cs="Arial"/>
          <w:sz w:val="20"/>
        </w:rPr>
        <w:t>Prestaciones a los empleados</w:t>
      </w:r>
    </w:p>
    <w:p w:rsidR="00EA6058" w:rsidRPr="00B24DA2" w:rsidRDefault="00EA6058" w:rsidP="00EA6058">
      <w:pPr>
        <w:pStyle w:val="Style3"/>
        <w:spacing w:after="0"/>
        <w:rPr>
          <w:rFonts w:cs="Arial"/>
          <w:sz w:val="20"/>
          <w:lang w:val="es-ES"/>
        </w:rPr>
      </w:pPr>
    </w:p>
    <w:p w:rsidR="00EA6058" w:rsidRPr="00B24DA2" w:rsidRDefault="004001AA" w:rsidP="00EA6058">
      <w:pPr>
        <w:rPr>
          <w:lang w:val="es-ES"/>
        </w:rPr>
      </w:pPr>
      <w:r w:rsidRPr="00690400">
        <w:t>Se establecen pasivos correspondientes al seguro médico tras la separación del servicio, a las primas de repatriación y gastos de viaje y a los días de vacaciones anuales acumulados a largo plazo, que determina anualmente un actuario independiente utilizando el método de las unidades de crédito proyectadas.</w:t>
      </w:r>
      <w:r w:rsidR="00EA6058" w:rsidRPr="00B24DA2">
        <w:rPr>
          <w:lang w:val="es-ES"/>
        </w:rPr>
        <w:t xml:space="preserve"> </w:t>
      </w:r>
      <w:r w:rsidR="00854EBA">
        <w:rPr>
          <w:lang w:val="es-ES"/>
        </w:rPr>
        <w:t xml:space="preserve"> </w:t>
      </w:r>
      <w:r w:rsidRPr="00690400">
        <w:t>En el caso del pasivo por prestaciones de seguro médico tras la separación del servicio, las pérdidas y ganancias actuariales se reconocen en los activos netos.</w:t>
      </w:r>
      <w:r w:rsidR="00EA6058" w:rsidRPr="00B24DA2">
        <w:rPr>
          <w:lang w:val="es-ES"/>
        </w:rPr>
        <w:t xml:space="preserve"> </w:t>
      </w:r>
      <w:r w:rsidR="00854EBA">
        <w:rPr>
          <w:lang w:val="es-ES"/>
        </w:rPr>
        <w:t xml:space="preserve"> </w:t>
      </w:r>
      <w:r w:rsidRPr="00690400">
        <w:t>Además, se establecen pasivos con respecto a los días de vacaciones anuales acumulados a corto plazo, las vacaciones en el país de origen no disfrutadas, las horas extraordinarias devengadas pero impagadas, los beneficios por separación del servicio y los subsidios por gastos de educación pendientes de pago en la fecha de preparación del informe que no hayan sido incluidos en los gastos corrientes.</w:t>
      </w:r>
    </w:p>
    <w:p w:rsidR="00EA6058" w:rsidRPr="00B24DA2" w:rsidRDefault="00EA6058" w:rsidP="00EA6058">
      <w:pPr>
        <w:rPr>
          <w:lang w:val="es-ES"/>
        </w:rPr>
      </w:pPr>
    </w:p>
    <w:p w:rsidR="00EA6058" w:rsidRPr="00B24DA2" w:rsidRDefault="004001AA" w:rsidP="00EA6058">
      <w:pPr>
        <w:rPr>
          <w:lang w:val="es-ES"/>
        </w:rPr>
      </w:pPr>
      <w:r w:rsidRPr="000F7CAA">
        <w:t>En aplicación del Acuerdo OMPI-UPOV, de fecha</w:t>
      </w:r>
      <w:r w:rsidR="00FE1638">
        <w:t xml:space="preserve"> </w:t>
      </w:r>
      <w:r w:rsidRPr="000F7CAA">
        <w:t>26 de noviembre de</w:t>
      </w:r>
      <w:r w:rsidR="00FE1638">
        <w:t xml:space="preserve"> </w:t>
      </w:r>
      <w:r w:rsidRPr="000F7CAA">
        <w:t>1982, los miembros del personal de la</w:t>
      </w:r>
      <w:r w:rsidR="00854EBA">
        <w:t> </w:t>
      </w:r>
      <w:r w:rsidRPr="000F7CAA">
        <w:t>UPOV participan en la Caja Común de Pensiones del Personal de las Naciones Unidas (CCPPNU</w:t>
      </w:r>
      <w:r w:rsidR="00EE089B" w:rsidRPr="000F7CAA">
        <w:t xml:space="preserve"> o Caja</w:t>
      </w:r>
      <w:r w:rsidRPr="000F7CAA">
        <w:t>), e</w:t>
      </w:r>
      <w:r w:rsidR="000F7CAA" w:rsidRPr="000F7CAA">
        <w:t>stablecida por la Asamblea</w:t>
      </w:r>
      <w:r w:rsidR="00FE1638">
        <w:t xml:space="preserve"> </w:t>
      </w:r>
      <w:r w:rsidR="000F7CAA" w:rsidRPr="000F7CAA">
        <w:t>General de las Naciones</w:t>
      </w:r>
      <w:r w:rsidR="00FE1638">
        <w:t xml:space="preserve"> </w:t>
      </w:r>
      <w:r w:rsidRPr="000F7CAA">
        <w:t xml:space="preserve">Unidas </w:t>
      </w:r>
      <w:r w:rsidR="00EE089B" w:rsidRPr="000F7CAA">
        <w:t>(</w:t>
      </w:r>
      <w:r w:rsidR="000F7CAA" w:rsidRPr="000F7CAA">
        <w:t>Asamblea</w:t>
      </w:r>
      <w:r w:rsidR="00FE1638">
        <w:t xml:space="preserve"> </w:t>
      </w:r>
      <w:r w:rsidR="00EE089B" w:rsidRPr="000F7CAA">
        <w:t xml:space="preserve">General) </w:t>
      </w:r>
      <w:r w:rsidRPr="000F7CAA">
        <w:t>para proporcionar a los empleados prestaciones por jubilación, fallecimiento, incapacidad y prestaciones conexas.</w:t>
      </w:r>
      <w:r w:rsidR="00EA6058" w:rsidRPr="00B24DA2">
        <w:rPr>
          <w:lang w:val="es-ES"/>
        </w:rPr>
        <w:t xml:space="preserve"> </w:t>
      </w:r>
      <w:r w:rsidR="00854EBA">
        <w:rPr>
          <w:lang w:val="es-ES"/>
        </w:rPr>
        <w:t xml:space="preserve"> </w:t>
      </w:r>
      <w:r w:rsidR="00EE089B" w:rsidRPr="000F7CAA">
        <w:t>La CCPPNU es un plan de prestaciones definidas y está financiada por múltiples empleadores.</w:t>
      </w:r>
      <w:r w:rsidR="00EA6058" w:rsidRPr="00B24DA2">
        <w:rPr>
          <w:lang w:val="es-ES"/>
        </w:rPr>
        <w:t xml:space="preserve"> </w:t>
      </w:r>
      <w:r w:rsidR="00854EBA">
        <w:rPr>
          <w:lang w:val="es-ES"/>
        </w:rPr>
        <w:t xml:space="preserve"> </w:t>
      </w:r>
      <w:r w:rsidR="00EE089B" w:rsidRPr="000F7CAA">
        <w:t>Como se establece en el artículo</w:t>
      </w:r>
      <w:r w:rsidR="00854EBA">
        <w:t> </w:t>
      </w:r>
      <w:r w:rsidR="00EE089B" w:rsidRPr="000F7CAA">
        <w:t>3.b) de sus estatutos, podrán afiliarse a la Caja los organismos especializados y cualquier otra organización intergubernamental internacional que participe en el régimen común de sueldos, prestaciones y otras condicio</w:t>
      </w:r>
      <w:r w:rsidR="000F7CAA" w:rsidRPr="000F7CAA">
        <w:t>nes de servicio de las Naciones</w:t>
      </w:r>
      <w:r w:rsidR="00FE1638">
        <w:t xml:space="preserve"> </w:t>
      </w:r>
      <w:r w:rsidR="00EE089B" w:rsidRPr="000F7CAA">
        <w:t>Unidas y de los organismos especializados.</w:t>
      </w:r>
    </w:p>
    <w:p w:rsidR="00EA6058" w:rsidRPr="00B24DA2" w:rsidRDefault="00EA6058" w:rsidP="00EA6058">
      <w:pPr>
        <w:rPr>
          <w:lang w:val="es-ES"/>
        </w:rPr>
      </w:pPr>
    </w:p>
    <w:p w:rsidR="00EA6058" w:rsidRPr="00B24DA2" w:rsidRDefault="00EE089B" w:rsidP="00EA6058">
      <w:pPr>
        <w:rPr>
          <w:lang w:val="es-ES"/>
        </w:rPr>
      </w:pPr>
      <w:r w:rsidRPr="000F7CAA">
        <w:t>La CCPPNU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w:t>
      </w:r>
      <w:r w:rsidR="00EA6058" w:rsidRPr="00B24DA2">
        <w:rPr>
          <w:lang w:val="es-ES"/>
        </w:rPr>
        <w:t xml:space="preserve"> </w:t>
      </w:r>
      <w:r w:rsidR="00854EBA">
        <w:rPr>
          <w:lang w:val="es-ES"/>
        </w:rPr>
        <w:t xml:space="preserve"> </w:t>
      </w:r>
      <w:r w:rsidRPr="000F7CAA">
        <w:t>La</w:t>
      </w:r>
      <w:r w:rsidR="00854EBA">
        <w:t> </w:t>
      </w:r>
      <w:r w:rsidRPr="000F7CAA">
        <w:t>UPOV y la CCPPNU, así como las demás organizaciones afiliadas a la Caja, no están en condiciones de determinar con suficiente fiabilidad, a efectos contables, la parte proporcional que le corresponde a la</w:t>
      </w:r>
      <w:r w:rsidR="00FE1638">
        <w:t xml:space="preserve"> </w:t>
      </w:r>
      <w:r w:rsidRPr="000F7CAA">
        <w:t>UPOV en las obligaciones por prestaciones definidas, los activos del plan y los gastos asociados a este.</w:t>
      </w:r>
      <w:r w:rsidR="00EA6058" w:rsidRPr="00B24DA2">
        <w:rPr>
          <w:lang w:val="es-ES"/>
        </w:rPr>
        <w:t xml:space="preserve"> </w:t>
      </w:r>
      <w:r w:rsidR="00854EBA">
        <w:rPr>
          <w:lang w:val="es-ES"/>
        </w:rPr>
        <w:t xml:space="preserve"> </w:t>
      </w:r>
      <w:r w:rsidRPr="000F7CAA">
        <w:t>Por ello, la</w:t>
      </w:r>
      <w:r w:rsidR="00854EBA">
        <w:t> </w:t>
      </w:r>
      <w:r w:rsidRPr="000F7CAA">
        <w:t>UPOV ha considerado dicho plan como un plan de aportaciones definidas en concordancia con los requisitos de la IPSAS</w:t>
      </w:r>
      <w:r w:rsidR="00FE1638">
        <w:t xml:space="preserve"> </w:t>
      </w:r>
      <w:r w:rsidRPr="000F7CAA">
        <w:t>39 “Beneficios a los empleados”.</w:t>
      </w:r>
      <w:r w:rsidR="00EA6058" w:rsidRPr="00B24DA2">
        <w:rPr>
          <w:lang w:val="es-ES"/>
        </w:rPr>
        <w:t xml:space="preserve"> </w:t>
      </w:r>
      <w:r w:rsidR="00854EBA">
        <w:rPr>
          <w:lang w:val="es-ES"/>
        </w:rPr>
        <w:t xml:space="preserve"> </w:t>
      </w:r>
      <w:r w:rsidRPr="000F7CAA">
        <w:t>Las aportaciones de la</w:t>
      </w:r>
      <w:r w:rsidR="00FE1638">
        <w:t xml:space="preserve"> </w:t>
      </w:r>
      <w:r w:rsidRPr="000F7CAA">
        <w:t>UPOV a la Caja efectuadas durante el ejercicio económico se contabilizan como gastos en el estado de rendimiento financiero.</w:t>
      </w:r>
    </w:p>
    <w:p w:rsidR="00EA6058" w:rsidRPr="00B24DA2" w:rsidRDefault="00EA6058" w:rsidP="00EA6058">
      <w:pPr>
        <w:rPr>
          <w:lang w:val="es-ES"/>
        </w:rPr>
      </w:pPr>
    </w:p>
    <w:p w:rsidR="00EA6058" w:rsidRPr="00B24DA2" w:rsidRDefault="00EE089B" w:rsidP="00EA6058">
      <w:pPr>
        <w:pStyle w:val="Style3"/>
        <w:spacing w:after="0"/>
        <w:rPr>
          <w:rFonts w:cs="Arial"/>
          <w:b/>
          <w:sz w:val="20"/>
          <w:lang w:val="es-ES"/>
        </w:rPr>
      </w:pPr>
      <w:r w:rsidRPr="000F7CAA">
        <w:rPr>
          <w:rFonts w:cs="Arial"/>
          <w:b/>
          <w:sz w:val="20"/>
        </w:rPr>
        <w:t>Provisiones</w:t>
      </w:r>
    </w:p>
    <w:p w:rsidR="00EA6058" w:rsidRPr="00B24DA2" w:rsidRDefault="00EA6058" w:rsidP="00EA6058">
      <w:pPr>
        <w:rPr>
          <w:lang w:val="es-ES"/>
        </w:rPr>
      </w:pPr>
    </w:p>
    <w:p w:rsidR="00EA6058" w:rsidRPr="00B24DA2" w:rsidRDefault="00EE089B" w:rsidP="00EA6058">
      <w:pPr>
        <w:pStyle w:val="Style3"/>
        <w:spacing w:after="0"/>
        <w:rPr>
          <w:rFonts w:cs="Arial"/>
          <w:sz w:val="20"/>
          <w:lang w:val="es-ES"/>
        </w:rPr>
      </w:pPr>
      <w:r w:rsidRPr="000F7CAA">
        <w:rPr>
          <w:rFonts w:cs="Arial"/>
          <w:sz w:val="20"/>
        </w:rPr>
        <w:t>Las provisiones se reconocen cuando la</w:t>
      </w:r>
      <w:r w:rsidR="00FE1638">
        <w:rPr>
          <w:rFonts w:cs="Arial"/>
          <w:sz w:val="20"/>
        </w:rPr>
        <w:t xml:space="preserve"> </w:t>
      </w:r>
      <w:r w:rsidRPr="000F7CAA">
        <w:rPr>
          <w:rFonts w:cs="Arial"/>
          <w:sz w:val="20"/>
        </w:rPr>
        <w:t>UPOV tiene una obligación legal o implícita como consecuencia de actos anteriores, conforme a la cual es probable que sea necesario transferir recursos para satisfacerla y quepa efectuar una estimación fiable de su importe.</w:t>
      </w:r>
      <w:r w:rsidR="00680842" w:rsidRPr="00B24DA2">
        <w:rPr>
          <w:rFonts w:cs="Arial"/>
          <w:sz w:val="20"/>
          <w:lang w:val="es-ES"/>
        </w:rPr>
        <w:t xml:space="preserve"> </w:t>
      </w:r>
    </w:p>
    <w:p w:rsidR="00EA6058" w:rsidRPr="00B24DA2" w:rsidRDefault="00EA6058" w:rsidP="00EA6058">
      <w:pPr>
        <w:rPr>
          <w:b/>
          <w:lang w:val="es-ES"/>
        </w:rPr>
      </w:pPr>
    </w:p>
    <w:p w:rsidR="00EA6058" w:rsidRPr="00B24DA2" w:rsidRDefault="00EE089B" w:rsidP="00EA6058">
      <w:pPr>
        <w:pStyle w:val="Style3Bold"/>
        <w:spacing w:after="0"/>
        <w:rPr>
          <w:rFonts w:cs="Arial"/>
          <w:sz w:val="20"/>
          <w:lang w:val="es-ES"/>
        </w:rPr>
      </w:pPr>
      <w:r w:rsidRPr="000F7CAA">
        <w:rPr>
          <w:rFonts w:cs="Arial"/>
          <w:sz w:val="20"/>
        </w:rPr>
        <w:t>Reconocimiento de los ingresos</w:t>
      </w:r>
    </w:p>
    <w:p w:rsidR="00EA6058" w:rsidRPr="00B24DA2" w:rsidRDefault="00EA6058" w:rsidP="00EA6058">
      <w:pPr>
        <w:rPr>
          <w:lang w:val="es-ES"/>
        </w:rPr>
      </w:pPr>
    </w:p>
    <w:p w:rsidR="00EA6058" w:rsidRPr="00B24DA2" w:rsidRDefault="00EE089B" w:rsidP="00EA6058">
      <w:pPr>
        <w:pStyle w:val="Style3"/>
        <w:spacing w:after="0"/>
        <w:rPr>
          <w:rFonts w:cs="Arial"/>
          <w:sz w:val="20"/>
          <w:lang w:val="es-ES"/>
        </w:rPr>
      </w:pPr>
      <w:r w:rsidRPr="000F7CAA">
        <w:rPr>
          <w:rFonts w:cs="Arial"/>
          <w:sz w:val="20"/>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w:t>
      </w:r>
      <w:r w:rsidR="00EA6058" w:rsidRPr="00B24DA2">
        <w:rPr>
          <w:rFonts w:cs="Arial"/>
          <w:sz w:val="20"/>
          <w:lang w:val="es-ES"/>
        </w:rPr>
        <w:t xml:space="preserve"> </w:t>
      </w:r>
      <w:r w:rsidR="00854EBA">
        <w:rPr>
          <w:rFonts w:cs="Arial"/>
          <w:sz w:val="20"/>
          <w:lang w:val="es-ES"/>
        </w:rPr>
        <w:t xml:space="preserve"> </w:t>
      </w:r>
      <w:r w:rsidR="007F24CF" w:rsidRPr="000F7CAA">
        <w:rPr>
          <w:rFonts w:cs="Arial"/>
          <w:sz w:val="20"/>
        </w:rPr>
        <w:t>Tales acuerdos requieren el reconocimiento de responsabilidad para aplazar el reconocimiento de ingresos, tras lo cual los ingresos se reconocen en la medida en que la responsabilidad se descarga mediante la aplicación de las condiciones específicas estipuladas en el contrato.</w:t>
      </w:r>
    </w:p>
    <w:p w:rsidR="00EA6058" w:rsidRPr="00B24DA2" w:rsidRDefault="00EA6058" w:rsidP="00EA6058">
      <w:pPr>
        <w:pStyle w:val="Style3"/>
        <w:spacing w:after="0"/>
        <w:rPr>
          <w:rFonts w:cs="Arial"/>
          <w:sz w:val="20"/>
          <w:lang w:val="es-ES"/>
        </w:rPr>
      </w:pPr>
    </w:p>
    <w:p w:rsidR="00EA6058" w:rsidRPr="00B24DA2" w:rsidRDefault="007F24CF" w:rsidP="00EA6058">
      <w:pPr>
        <w:pStyle w:val="Style3Bold"/>
        <w:spacing w:after="0"/>
        <w:rPr>
          <w:rFonts w:cs="Arial"/>
          <w:b w:val="0"/>
          <w:sz w:val="20"/>
          <w:lang w:val="es-ES"/>
        </w:rPr>
      </w:pPr>
      <w:r w:rsidRPr="000F7CAA">
        <w:rPr>
          <w:rFonts w:cs="Arial"/>
          <w:b w:val="0"/>
          <w:sz w:val="20"/>
        </w:rPr>
        <w:t>Las contribuciones se reconocen como ingresos al inicio del ejercicio presupuestario con el que guarda relación la contribución.</w:t>
      </w:r>
    </w:p>
    <w:p w:rsidR="00EA6058" w:rsidRPr="00B24DA2" w:rsidRDefault="00EA6058" w:rsidP="00EA6058">
      <w:pPr>
        <w:pStyle w:val="Style3Bold"/>
        <w:spacing w:after="0"/>
        <w:rPr>
          <w:rFonts w:cs="Arial"/>
          <w:b w:val="0"/>
          <w:sz w:val="20"/>
          <w:lang w:val="es-ES"/>
        </w:rPr>
      </w:pPr>
    </w:p>
    <w:p w:rsidR="00EA6058" w:rsidRPr="00B24DA2" w:rsidRDefault="007F24CF" w:rsidP="00EA6058">
      <w:pPr>
        <w:pStyle w:val="Style3Bold"/>
        <w:spacing w:after="0"/>
        <w:rPr>
          <w:rFonts w:cs="Arial"/>
          <w:b w:val="0"/>
          <w:sz w:val="20"/>
          <w:lang w:val="es-ES"/>
        </w:rPr>
      </w:pPr>
      <w:r w:rsidRPr="000F7CAA">
        <w:rPr>
          <w:rFonts w:cs="Arial"/>
          <w:b w:val="0"/>
          <w:sz w:val="20"/>
        </w:rPr>
        <w:t>Las contribuciones de servicios en especie no se contabilizan en los estados financieros.</w:t>
      </w:r>
    </w:p>
    <w:p w:rsidR="00EA6058" w:rsidRPr="00B24DA2" w:rsidRDefault="00EA6058" w:rsidP="00EA6058">
      <w:pPr>
        <w:pStyle w:val="Style3Bold"/>
        <w:spacing w:after="0"/>
        <w:rPr>
          <w:rFonts w:cs="Arial"/>
          <w:sz w:val="20"/>
          <w:lang w:val="es-ES"/>
        </w:rPr>
      </w:pPr>
    </w:p>
    <w:p w:rsidR="00EA6058" w:rsidRPr="00B24DA2" w:rsidRDefault="007F24CF" w:rsidP="00EA6058">
      <w:pPr>
        <w:pStyle w:val="Style3Bold"/>
        <w:spacing w:after="0"/>
        <w:rPr>
          <w:rFonts w:cs="Arial"/>
          <w:sz w:val="20"/>
          <w:lang w:val="es-ES"/>
        </w:rPr>
      </w:pPr>
      <w:r w:rsidRPr="000F7CAA">
        <w:rPr>
          <w:rFonts w:cs="Arial"/>
          <w:sz w:val="20"/>
        </w:rPr>
        <w:t>Reconocimiento de los gastos</w:t>
      </w:r>
    </w:p>
    <w:p w:rsidR="00EA6058" w:rsidRPr="00B24DA2" w:rsidRDefault="00EA6058" w:rsidP="00EA6058">
      <w:pPr>
        <w:pStyle w:val="Style3"/>
        <w:spacing w:after="0"/>
        <w:rPr>
          <w:rFonts w:cs="Arial"/>
          <w:sz w:val="20"/>
          <w:lang w:val="es-ES"/>
        </w:rPr>
      </w:pPr>
    </w:p>
    <w:p w:rsidR="00EA6058" w:rsidRPr="00B24DA2" w:rsidRDefault="007F24CF" w:rsidP="00EA6058">
      <w:pPr>
        <w:pStyle w:val="Style3"/>
        <w:spacing w:after="0"/>
        <w:rPr>
          <w:rFonts w:cs="Arial"/>
          <w:sz w:val="20"/>
          <w:lang w:val="es-ES"/>
        </w:rPr>
      </w:pPr>
      <w:r w:rsidRPr="000F7CAA">
        <w:rPr>
          <w:rFonts w:cs="Arial"/>
          <w:sz w:val="20"/>
        </w:rPr>
        <w:t>Los gastos se reconocen a medida que se reciben los productos y se prestan los servicios.</w:t>
      </w:r>
    </w:p>
    <w:p w:rsidR="00EA6058" w:rsidRPr="00B24DA2" w:rsidRDefault="00EA6058" w:rsidP="00EA6058">
      <w:pPr>
        <w:pStyle w:val="Style3"/>
        <w:spacing w:after="0"/>
        <w:rPr>
          <w:rFonts w:cs="Arial"/>
          <w:sz w:val="20"/>
          <w:lang w:val="es-ES"/>
        </w:rPr>
      </w:pPr>
    </w:p>
    <w:p w:rsidR="00EA6058" w:rsidRPr="00B24DA2" w:rsidRDefault="007F24CF" w:rsidP="00D27321">
      <w:pPr>
        <w:pStyle w:val="Style3Bold"/>
        <w:keepNext/>
        <w:spacing w:after="0"/>
        <w:rPr>
          <w:rFonts w:cs="Arial"/>
          <w:sz w:val="20"/>
          <w:lang w:val="es-ES"/>
        </w:rPr>
      </w:pPr>
      <w:r w:rsidRPr="000F7CAA">
        <w:rPr>
          <w:rFonts w:cs="Arial"/>
          <w:sz w:val="20"/>
        </w:rPr>
        <w:lastRenderedPageBreak/>
        <w:t>Instrumentos financieros</w:t>
      </w:r>
    </w:p>
    <w:p w:rsidR="00EA6058" w:rsidRPr="00B24DA2" w:rsidRDefault="00EA6058" w:rsidP="00D27321">
      <w:pPr>
        <w:pStyle w:val="Style3"/>
        <w:keepNext/>
        <w:spacing w:after="0"/>
        <w:rPr>
          <w:rFonts w:cs="Arial"/>
          <w:sz w:val="20"/>
          <w:lang w:val="es-ES"/>
        </w:rPr>
      </w:pPr>
    </w:p>
    <w:p w:rsidR="00EA6058" w:rsidRPr="00B24DA2" w:rsidRDefault="007F24CF" w:rsidP="00D27321">
      <w:pPr>
        <w:pStyle w:val="Style3"/>
        <w:keepNext/>
        <w:spacing w:after="0"/>
        <w:rPr>
          <w:rFonts w:cs="Arial"/>
          <w:b/>
          <w:i/>
          <w:sz w:val="20"/>
          <w:lang w:val="es-ES"/>
        </w:rPr>
      </w:pPr>
      <w:r w:rsidRPr="000F7CAA">
        <w:rPr>
          <w:rFonts w:cs="Arial"/>
          <w:b/>
          <w:i/>
          <w:sz w:val="20"/>
        </w:rPr>
        <w:t>Activos financieros</w:t>
      </w:r>
    </w:p>
    <w:p w:rsidR="00EA6058" w:rsidRPr="00B24DA2" w:rsidRDefault="00EA6058" w:rsidP="00D27321">
      <w:pPr>
        <w:keepNext/>
        <w:autoSpaceDE w:val="0"/>
        <w:autoSpaceDN w:val="0"/>
        <w:adjustRightInd w:val="0"/>
        <w:rPr>
          <w:bCs/>
          <w:lang w:val="es-ES"/>
        </w:rPr>
      </w:pPr>
    </w:p>
    <w:p w:rsidR="00EA6058" w:rsidRPr="00B24DA2" w:rsidRDefault="007F24CF" w:rsidP="00D27321">
      <w:pPr>
        <w:keepNext/>
        <w:autoSpaceDE w:val="0"/>
        <w:autoSpaceDN w:val="0"/>
        <w:adjustRightInd w:val="0"/>
        <w:rPr>
          <w:bCs/>
          <w:i/>
          <w:lang w:val="es-ES"/>
        </w:rPr>
      </w:pPr>
      <w:r w:rsidRPr="000F7CAA">
        <w:rPr>
          <w:bCs/>
          <w:i/>
        </w:rPr>
        <w:t>Reconocimiento y medición iniciales:</w:t>
      </w:r>
      <w:r w:rsidR="00EA6058" w:rsidRPr="00B24DA2">
        <w:rPr>
          <w:bCs/>
          <w:i/>
          <w:lang w:val="es-ES"/>
        </w:rPr>
        <w:t xml:space="preserve"> </w:t>
      </w:r>
    </w:p>
    <w:p w:rsidR="00EA6058" w:rsidRPr="00B24DA2" w:rsidRDefault="00EC6411" w:rsidP="00D27321">
      <w:pPr>
        <w:keepNext/>
        <w:autoSpaceDE w:val="0"/>
        <w:autoSpaceDN w:val="0"/>
        <w:adjustRightInd w:val="0"/>
        <w:rPr>
          <w:lang w:val="es-ES"/>
        </w:rPr>
      </w:pPr>
      <w:r w:rsidRPr="000F7CAA">
        <w:t>Los activos financieros contemplados en la IPSAS</w:t>
      </w:r>
      <w:r w:rsidR="00FE1638">
        <w:t xml:space="preserve"> </w:t>
      </w:r>
      <w:r w:rsidRPr="000F7CAA">
        <w:t>29 “Instrumentos financieros:</w:t>
      </w:r>
      <w:r w:rsidR="00EA6058" w:rsidRPr="00B24DA2">
        <w:rPr>
          <w:i/>
          <w:iCs/>
          <w:lang w:val="es-ES"/>
        </w:rPr>
        <w:t xml:space="preserve"> </w:t>
      </w:r>
      <w:r w:rsidR="00BC176F" w:rsidRPr="000F7CAA">
        <w:rPr>
          <w:iCs/>
        </w:rPr>
        <w:t>reconocimiento y medición” se clasifican, según corresponda, como activos financieros a valor razonable con cambios en superávit o déficit, préstamos y cuentas por cobrar, inversiones mantenidas hasta el vencimiento o activos financieros disponibles para la venta.</w:t>
      </w:r>
      <w:r w:rsidR="00EA6058" w:rsidRPr="00B24DA2">
        <w:rPr>
          <w:lang w:val="es-ES"/>
        </w:rPr>
        <w:t xml:space="preserve"> </w:t>
      </w:r>
      <w:r w:rsidR="00854EBA">
        <w:rPr>
          <w:lang w:val="es-ES"/>
        </w:rPr>
        <w:t xml:space="preserve"> </w:t>
      </w:r>
      <w:r w:rsidR="00BC176F" w:rsidRPr="000F7CAA">
        <w:t>La</w:t>
      </w:r>
      <w:r w:rsidR="00FE1638">
        <w:t xml:space="preserve"> </w:t>
      </w:r>
      <w:r w:rsidR="00BC176F" w:rsidRPr="000F7CAA">
        <w:t>UPOV determina la clasificación de sus activos financieros en el momento de su reconocimiento inicial.</w:t>
      </w:r>
      <w:r w:rsidR="00EA6058" w:rsidRPr="00B24DA2">
        <w:rPr>
          <w:lang w:val="es-ES"/>
        </w:rPr>
        <w:t xml:space="preserve"> </w:t>
      </w:r>
      <w:r w:rsidR="00854EBA">
        <w:rPr>
          <w:lang w:val="es-ES"/>
        </w:rPr>
        <w:t xml:space="preserve"> </w:t>
      </w:r>
      <w:r w:rsidR="00BC176F" w:rsidRPr="000F7CAA">
        <w:t>Los activos financieros de la</w:t>
      </w:r>
      <w:r w:rsidR="00FE1638">
        <w:t xml:space="preserve"> </w:t>
      </w:r>
      <w:r w:rsidR="00BC176F" w:rsidRPr="000F7CAA">
        <w:t>UPOV son los siguientes:</w:t>
      </w:r>
      <w:r w:rsidR="00EA6058" w:rsidRPr="00B24DA2">
        <w:rPr>
          <w:lang w:val="es-ES"/>
        </w:rPr>
        <w:t xml:space="preserve"> </w:t>
      </w:r>
      <w:r w:rsidR="00BC176F" w:rsidRPr="000F7CAA">
        <w:t>efectivo, depósitos a corto plazo y cuentas por cobrar.</w:t>
      </w:r>
    </w:p>
    <w:p w:rsidR="00EA6058" w:rsidRPr="00B24DA2" w:rsidRDefault="00EA6058" w:rsidP="00EA6058">
      <w:pPr>
        <w:autoSpaceDE w:val="0"/>
        <w:autoSpaceDN w:val="0"/>
        <w:adjustRightInd w:val="0"/>
        <w:rPr>
          <w:lang w:val="es-ES"/>
        </w:rPr>
      </w:pPr>
    </w:p>
    <w:p w:rsidR="00EA6058" w:rsidRPr="00B24DA2" w:rsidRDefault="00BC176F" w:rsidP="00EA6058">
      <w:pPr>
        <w:autoSpaceDE w:val="0"/>
        <w:autoSpaceDN w:val="0"/>
        <w:adjustRightInd w:val="0"/>
        <w:rPr>
          <w:i/>
          <w:iCs/>
          <w:lang w:val="es-ES"/>
        </w:rPr>
      </w:pPr>
      <w:r w:rsidRPr="000F7CAA">
        <w:rPr>
          <w:bCs/>
          <w:i/>
        </w:rPr>
        <w:t>Medición posterior:</w:t>
      </w:r>
    </w:p>
    <w:p w:rsidR="00EA6058" w:rsidRDefault="00BC176F" w:rsidP="00EA6058">
      <w:pPr>
        <w:autoSpaceDE w:val="0"/>
        <w:autoSpaceDN w:val="0"/>
        <w:adjustRightInd w:val="0"/>
      </w:pPr>
      <w:r w:rsidRPr="000F7CAA">
        <w:t>Posteriormente, los activos financieros se valoran en función de su clasificación.</w:t>
      </w:r>
    </w:p>
    <w:p w:rsidR="008F788D" w:rsidRPr="00B24DA2" w:rsidRDefault="008F788D" w:rsidP="00EA6058">
      <w:pPr>
        <w:autoSpaceDE w:val="0"/>
        <w:autoSpaceDN w:val="0"/>
        <w:adjustRightInd w:val="0"/>
        <w:rPr>
          <w:lang w:val="es-ES"/>
        </w:rPr>
      </w:pPr>
    </w:p>
    <w:p w:rsidR="00EA6058" w:rsidRPr="00B24DA2" w:rsidRDefault="00BC176F" w:rsidP="00EA6058">
      <w:pPr>
        <w:autoSpaceDE w:val="0"/>
        <w:autoSpaceDN w:val="0"/>
        <w:adjustRightInd w:val="0"/>
        <w:rPr>
          <w:bCs/>
          <w:i/>
          <w:lang w:val="es-ES"/>
        </w:rPr>
      </w:pPr>
      <w:r w:rsidRPr="000F7CAA">
        <w:rPr>
          <w:bCs/>
          <w:i/>
        </w:rPr>
        <w:t>Activos financieros a valor razonable con cambios en superávit o déficit</w:t>
      </w:r>
    </w:p>
    <w:p w:rsidR="00EA6058" w:rsidRPr="00B24DA2" w:rsidRDefault="00BC176F" w:rsidP="00EA6058">
      <w:pPr>
        <w:autoSpaceDE w:val="0"/>
        <w:autoSpaceDN w:val="0"/>
        <w:adjustRightInd w:val="0"/>
        <w:rPr>
          <w:lang w:val="es-ES"/>
        </w:rPr>
      </w:pPr>
      <w:r w:rsidRPr="000F7CAA">
        <w:t>Los activos financieros a valor razonable con cambios en superávit o déficit son los activos financieros mantenidos para negociar y aquellos que en el reconocimiento inicial se designen como activos financieros a valor razonable con cambios en superávit o déficit.</w:t>
      </w:r>
      <w:r w:rsidR="00EA6058" w:rsidRPr="00B24DA2">
        <w:rPr>
          <w:lang w:val="es-ES"/>
        </w:rPr>
        <w:t xml:space="preserve"> </w:t>
      </w:r>
      <w:r w:rsidR="00854EBA">
        <w:rPr>
          <w:lang w:val="es-ES"/>
        </w:rPr>
        <w:t xml:space="preserve"> </w:t>
      </w:r>
      <w:r w:rsidRPr="000F7CAA">
        <w:t>Los activos financieros se clasifican como mantenidos para negociar si se adquieren para su venta o recompra a corto plazo.</w:t>
      </w:r>
      <w:r w:rsidR="00EA6058" w:rsidRPr="00B24DA2">
        <w:rPr>
          <w:lang w:val="es-ES"/>
        </w:rPr>
        <w:t xml:space="preserve"> </w:t>
      </w:r>
      <w:r w:rsidR="00854EBA">
        <w:rPr>
          <w:lang w:val="es-ES"/>
        </w:rPr>
        <w:t xml:space="preserve"> </w:t>
      </w:r>
      <w:r w:rsidRPr="000F7CAA">
        <w:t>Los activos financieros a valor razonable con cambios en superávit o déficit se registran en el estado de la situación financiera a valor razonable y los cambios en el valor razonable se contabilizan como superávit o déficit.</w:t>
      </w:r>
    </w:p>
    <w:p w:rsidR="00EA6058" w:rsidRPr="00B24DA2" w:rsidRDefault="00EA6058" w:rsidP="00EA6058">
      <w:pPr>
        <w:autoSpaceDE w:val="0"/>
        <w:autoSpaceDN w:val="0"/>
        <w:adjustRightInd w:val="0"/>
        <w:rPr>
          <w:i/>
          <w:iCs/>
          <w:lang w:val="es-ES"/>
        </w:rPr>
      </w:pPr>
    </w:p>
    <w:p w:rsidR="00EA6058" w:rsidRPr="00B24DA2" w:rsidRDefault="00BC176F" w:rsidP="00EA6058">
      <w:pPr>
        <w:autoSpaceDE w:val="0"/>
        <w:autoSpaceDN w:val="0"/>
        <w:adjustRightInd w:val="0"/>
        <w:rPr>
          <w:bCs/>
          <w:i/>
          <w:lang w:val="es-ES"/>
        </w:rPr>
      </w:pPr>
      <w:r w:rsidRPr="000F7CAA">
        <w:rPr>
          <w:bCs/>
          <w:i/>
        </w:rPr>
        <w:t>Préstamos y cuentas por cobrar</w:t>
      </w:r>
    </w:p>
    <w:p w:rsidR="00EA6058" w:rsidRPr="00B24DA2" w:rsidRDefault="00BC176F" w:rsidP="00EA6058">
      <w:pPr>
        <w:autoSpaceDE w:val="0"/>
        <w:autoSpaceDN w:val="0"/>
        <w:adjustRightInd w:val="0"/>
        <w:rPr>
          <w:lang w:val="es-ES"/>
        </w:rPr>
      </w:pPr>
      <w:r w:rsidRPr="000F7CAA">
        <w:t>Los préstamos y las cuentas por cobrar son activos financieros no derivados que no cotizan en mercados activos y cuyos pagos son de cuantía fija o determinable.</w:t>
      </w:r>
      <w:r w:rsidR="00EA6058" w:rsidRPr="00B24DA2">
        <w:rPr>
          <w:lang w:val="es-ES"/>
        </w:rPr>
        <w:t xml:space="preserve"> </w:t>
      </w:r>
      <w:r w:rsidR="00854EBA">
        <w:rPr>
          <w:lang w:val="es-ES"/>
        </w:rPr>
        <w:t xml:space="preserve"> </w:t>
      </w:r>
      <w:r w:rsidR="00BD37C7" w:rsidRPr="000F7CAA">
        <w:t>Con posterioridad a la valoración inicial, estos activos financieros se valoran a su costo amortizado utilizando el método del tipo de interés efectivo y deduciendo la pérdida por deterioro.</w:t>
      </w:r>
      <w:r w:rsidR="00EA6058" w:rsidRPr="00B24DA2">
        <w:rPr>
          <w:lang w:val="es-ES"/>
        </w:rPr>
        <w:t xml:space="preserve"> </w:t>
      </w:r>
      <w:r w:rsidR="00854EBA">
        <w:rPr>
          <w:lang w:val="es-ES"/>
        </w:rPr>
        <w:t xml:space="preserve"> </w:t>
      </w:r>
      <w:r w:rsidR="00BD37C7" w:rsidRPr="000F7CAA">
        <w:t>El costo amortizado se calcula tomando en consideración todo descuento o prima en la adquisición, así como las comisiones o los gastos que formen parte del tipo de interés efectivo.</w:t>
      </w:r>
      <w:r w:rsidR="00EA6058" w:rsidRPr="00B24DA2">
        <w:rPr>
          <w:lang w:val="es-ES"/>
        </w:rPr>
        <w:t xml:space="preserve"> </w:t>
      </w:r>
      <w:r w:rsidR="00854EBA">
        <w:rPr>
          <w:lang w:val="es-ES"/>
        </w:rPr>
        <w:t xml:space="preserve"> </w:t>
      </w:r>
      <w:r w:rsidR="00BD37C7" w:rsidRPr="000F7CAA">
        <w:t>Las pérdidas derivadas del deterioro se contabilizan como superávit o déficit.</w:t>
      </w:r>
      <w:r w:rsidR="00EA6058" w:rsidRPr="00B24DA2">
        <w:rPr>
          <w:lang w:val="es-ES"/>
        </w:rPr>
        <w:t xml:space="preserve"> </w:t>
      </w:r>
    </w:p>
    <w:p w:rsidR="00EA6058" w:rsidRPr="00B24DA2" w:rsidRDefault="00EA6058" w:rsidP="00EA6058">
      <w:pPr>
        <w:rPr>
          <w:bCs/>
          <w:lang w:val="es-ES"/>
        </w:rPr>
      </w:pPr>
    </w:p>
    <w:p w:rsidR="00EA6058" w:rsidRPr="00B24DA2" w:rsidRDefault="00BD37C7" w:rsidP="00EA6058">
      <w:pPr>
        <w:autoSpaceDE w:val="0"/>
        <w:autoSpaceDN w:val="0"/>
        <w:adjustRightInd w:val="0"/>
        <w:rPr>
          <w:bCs/>
          <w:i/>
          <w:lang w:val="es-ES"/>
        </w:rPr>
      </w:pPr>
      <w:r w:rsidRPr="000F7CAA">
        <w:rPr>
          <w:bCs/>
          <w:i/>
        </w:rPr>
        <w:t>Baja en cuentas:</w:t>
      </w:r>
    </w:p>
    <w:p w:rsidR="00EA6058" w:rsidRPr="00B24DA2" w:rsidRDefault="00BD37C7" w:rsidP="00EA6058">
      <w:pPr>
        <w:autoSpaceDE w:val="0"/>
        <w:autoSpaceDN w:val="0"/>
        <w:adjustRightInd w:val="0"/>
        <w:rPr>
          <w:lang w:val="es-ES"/>
        </w:rPr>
      </w:pPr>
      <w:r w:rsidRPr="000F7CAA">
        <w:t>La UPOV da de baja un activo financiero o, en su caso, una parte de un activo financiero o de un grupo de activos financieros similares cuando vencen los derechos a recibir los flujos de efectivo del activo o se renuncia a ellos.</w:t>
      </w:r>
    </w:p>
    <w:p w:rsidR="00EA6058" w:rsidRPr="00B24DA2" w:rsidRDefault="00EA6058" w:rsidP="00EA6058">
      <w:pPr>
        <w:autoSpaceDE w:val="0"/>
        <w:autoSpaceDN w:val="0"/>
        <w:adjustRightInd w:val="0"/>
        <w:rPr>
          <w:lang w:val="es-ES"/>
        </w:rPr>
      </w:pPr>
    </w:p>
    <w:p w:rsidR="00EA6058" w:rsidRPr="00B24DA2" w:rsidRDefault="00BD37C7" w:rsidP="00EA6058">
      <w:pPr>
        <w:rPr>
          <w:bCs/>
          <w:i/>
          <w:lang w:val="es-ES"/>
        </w:rPr>
      </w:pPr>
      <w:r w:rsidRPr="000F7CAA">
        <w:rPr>
          <w:bCs/>
          <w:i/>
        </w:rPr>
        <w:t>Deterioro de los activos financieros:</w:t>
      </w:r>
    </w:p>
    <w:p w:rsidR="00EA6058" w:rsidRPr="00B24DA2" w:rsidRDefault="00BD37C7" w:rsidP="00EA6058">
      <w:pPr>
        <w:autoSpaceDE w:val="0"/>
        <w:autoSpaceDN w:val="0"/>
        <w:adjustRightInd w:val="0"/>
        <w:rPr>
          <w:i/>
          <w:iCs/>
          <w:lang w:val="es-ES"/>
        </w:rPr>
      </w:pPr>
      <w:r w:rsidRPr="000F7CAA">
        <w:t>En cada fecha de preparación del informe, la</w:t>
      </w:r>
      <w:r w:rsidR="00FE1638">
        <w:t xml:space="preserve"> </w:t>
      </w:r>
      <w:r w:rsidRPr="000F7CAA">
        <w:t>UPOV determina si existen pruebas objetivas del deterioro de un activo financiero o grupo de activos financieros.</w:t>
      </w:r>
      <w:r w:rsidR="00EA6058" w:rsidRPr="00B24DA2">
        <w:rPr>
          <w:lang w:val="es-ES"/>
        </w:rPr>
        <w:t xml:space="preserve"> </w:t>
      </w:r>
      <w:r w:rsidR="00854EBA">
        <w:rPr>
          <w:lang w:val="es-ES"/>
        </w:rPr>
        <w:t xml:space="preserve"> </w:t>
      </w:r>
      <w:r w:rsidRPr="00BF4ACC">
        <w:t>Se considera que un activo financiero o grupo de activos financieros ha sufrido deterioro únicamente si existen pruebas objetivas de pérdida de valor como consecuencia de uno o más acontecimientos posteriores al reconocimiento inicial del activo (un “acontecimiento de pérdida” en que se haya incurrido), y dicho acontecimiento tiene una repercusión en los flujos de efectivo futuros estimados del activo financiero o grupo de activos financieros que puede calcularse de manera fiable.</w:t>
      </w:r>
      <w:r w:rsidR="00EA6058" w:rsidRPr="00B24DA2">
        <w:rPr>
          <w:lang w:val="es-ES"/>
        </w:rPr>
        <w:t xml:space="preserve"> </w:t>
      </w:r>
    </w:p>
    <w:p w:rsidR="00EA6058" w:rsidRPr="00B24DA2" w:rsidRDefault="00EA6058" w:rsidP="00EA6058">
      <w:pPr>
        <w:autoSpaceDE w:val="0"/>
        <w:autoSpaceDN w:val="0"/>
        <w:adjustRightInd w:val="0"/>
        <w:rPr>
          <w:b/>
          <w:bCs/>
          <w:lang w:val="es-ES"/>
        </w:rPr>
      </w:pPr>
    </w:p>
    <w:p w:rsidR="00EA6058" w:rsidRPr="00B24DA2" w:rsidRDefault="00BD37C7" w:rsidP="00EA6058">
      <w:pPr>
        <w:autoSpaceDE w:val="0"/>
        <w:autoSpaceDN w:val="0"/>
        <w:adjustRightInd w:val="0"/>
        <w:rPr>
          <w:b/>
          <w:bCs/>
          <w:i/>
          <w:lang w:val="es-ES"/>
        </w:rPr>
      </w:pPr>
      <w:r w:rsidRPr="00BF4ACC">
        <w:rPr>
          <w:b/>
          <w:bCs/>
          <w:i/>
        </w:rPr>
        <w:t>Pasivos financieros</w:t>
      </w:r>
    </w:p>
    <w:p w:rsidR="00EA6058" w:rsidRPr="00B24DA2" w:rsidRDefault="00EA6058" w:rsidP="00EA6058">
      <w:pPr>
        <w:autoSpaceDE w:val="0"/>
        <w:autoSpaceDN w:val="0"/>
        <w:adjustRightInd w:val="0"/>
        <w:rPr>
          <w:b/>
          <w:bCs/>
          <w:lang w:val="es-ES"/>
        </w:rPr>
      </w:pPr>
    </w:p>
    <w:p w:rsidR="00EA6058" w:rsidRPr="00B24DA2" w:rsidRDefault="00BD37C7" w:rsidP="00EA6058">
      <w:pPr>
        <w:autoSpaceDE w:val="0"/>
        <w:autoSpaceDN w:val="0"/>
        <w:adjustRightInd w:val="0"/>
        <w:rPr>
          <w:bCs/>
          <w:i/>
          <w:lang w:val="es-ES"/>
        </w:rPr>
      </w:pPr>
      <w:r w:rsidRPr="00BF4ACC">
        <w:rPr>
          <w:bCs/>
          <w:i/>
        </w:rPr>
        <w:t>Reconocimiento y medición iniciales:</w:t>
      </w:r>
    </w:p>
    <w:p w:rsidR="00EA6058" w:rsidRPr="00B24DA2" w:rsidRDefault="00BD37C7" w:rsidP="00EA6058">
      <w:pPr>
        <w:autoSpaceDE w:val="0"/>
        <w:autoSpaceDN w:val="0"/>
        <w:adjustRightInd w:val="0"/>
        <w:rPr>
          <w:lang w:val="es-ES"/>
        </w:rPr>
      </w:pPr>
      <w:r w:rsidRPr="00BF4ACC">
        <w:t>Los pasivos financieros contemplados en la IPSAS</w:t>
      </w:r>
      <w:r w:rsidR="00FE1638">
        <w:t xml:space="preserve"> </w:t>
      </w:r>
      <w:r w:rsidRPr="00BF4ACC">
        <w:t>29 se clasifican, según proceda, como pasivos financieros a valor razonable con cambios en superávit o déficit o como préstamos y empréstitos.</w:t>
      </w:r>
      <w:r w:rsidR="00EA6058" w:rsidRPr="00B24DA2">
        <w:rPr>
          <w:lang w:val="es-ES"/>
        </w:rPr>
        <w:t xml:space="preserve"> </w:t>
      </w:r>
      <w:r w:rsidR="00854EBA">
        <w:rPr>
          <w:lang w:val="es-ES"/>
        </w:rPr>
        <w:t xml:space="preserve"> </w:t>
      </w:r>
      <w:r w:rsidRPr="00BF4ACC">
        <w:t>La</w:t>
      </w:r>
      <w:r w:rsidR="00FE1638">
        <w:t xml:space="preserve"> </w:t>
      </w:r>
      <w:r w:rsidRPr="00BF4ACC">
        <w:t>UPOV determina la clasificación de sus pasivos financieros en el momento de su reconocimiento inicial.</w:t>
      </w:r>
      <w:r w:rsidR="00EA6058" w:rsidRPr="00B24DA2">
        <w:rPr>
          <w:lang w:val="es-ES"/>
        </w:rPr>
        <w:t xml:space="preserve"> </w:t>
      </w:r>
      <w:r w:rsidR="00854EBA">
        <w:rPr>
          <w:lang w:val="es-ES"/>
        </w:rPr>
        <w:t xml:space="preserve"> </w:t>
      </w:r>
      <w:r w:rsidRPr="00BF4ACC">
        <w:t>Todos los pasivos financieros se reconocen inicialmente a valor razonable y, en el caso de los préstamos y empréstitos, se añaden los costos de transacción que les sean directamente atribuibles.</w:t>
      </w:r>
      <w:r w:rsidR="00EA6058" w:rsidRPr="00B24DA2">
        <w:rPr>
          <w:lang w:val="es-ES"/>
        </w:rPr>
        <w:t xml:space="preserve"> </w:t>
      </w:r>
      <w:r w:rsidR="00854EBA">
        <w:rPr>
          <w:lang w:val="es-ES"/>
        </w:rPr>
        <w:t xml:space="preserve"> </w:t>
      </w:r>
      <w:r w:rsidRPr="00BF4ACC">
        <w:t>Los pasivos financieros de la</w:t>
      </w:r>
      <w:r w:rsidR="00FE1638">
        <w:t xml:space="preserve"> </w:t>
      </w:r>
      <w:r w:rsidRPr="00BF4ACC">
        <w:t>UPOV son los efectos comerciales y otras cuentas por pagar.</w:t>
      </w:r>
    </w:p>
    <w:p w:rsidR="00EA6058" w:rsidRPr="00B24DA2" w:rsidRDefault="00EA6058" w:rsidP="00EA6058">
      <w:pPr>
        <w:autoSpaceDE w:val="0"/>
        <w:autoSpaceDN w:val="0"/>
        <w:adjustRightInd w:val="0"/>
        <w:rPr>
          <w:b/>
          <w:bCs/>
          <w:lang w:val="es-ES"/>
        </w:rPr>
      </w:pPr>
    </w:p>
    <w:p w:rsidR="00EA6058" w:rsidRPr="00B24DA2" w:rsidRDefault="00BD37C7" w:rsidP="00EA6058">
      <w:pPr>
        <w:autoSpaceDE w:val="0"/>
        <w:autoSpaceDN w:val="0"/>
        <w:adjustRightInd w:val="0"/>
        <w:rPr>
          <w:bCs/>
          <w:i/>
          <w:lang w:val="es-ES"/>
        </w:rPr>
      </w:pPr>
      <w:r w:rsidRPr="00BF4ACC">
        <w:rPr>
          <w:bCs/>
          <w:i/>
        </w:rPr>
        <w:t>Medición posterior:</w:t>
      </w:r>
    </w:p>
    <w:p w:rsidR="00EA6058" w:rsidRPr="00B24DA2" w:rsidRDefault="00BD37C7" w:rsidP="00EA6058">
      <w:pPr>
        <w:autoSpaceDE w:val="0"/>
        <w:autoSpaceDN w:val="0"/>
        <w:adjustRightInd w:val="0"/>
        <w:rPr>
          <w:lang w:val="es-ES"/>
        </w:rPr>
      </w:pPr>
      <w:r w:rsidRPr="00BF4ACC">
        <w:t>Posteriormente, los pasivos financieros se valoran en función de su clasificación.</w:t>
      </w:r>
    </w:p>
    <w:p w:rsidR="00EA6058" w:rsidRPr="00B24DA2" w:rsidRDefault="00EA6058" w:rsidP="00EA6058">
      <w:pPr>
        <w:autoSpaceDE w:val="0"/>
        <w:autoSpaceDN w:val="0"/>
        <w:adjustRightInd w:val="0"/>
        <w:rPr>
          <w:b/>
          <w:bCs/>
          <w:lang w:val="es-ES"/>
        </w:rPr>
      </w:pPr>
    </w:p>
    <w:p w:rsidR="00EA6058" w:rsidRPr="00B24DA2" w:rsidRDefault="00BD37C7" w:rsidP="00EA6058">
      <w:pPr>
        <w:autoSpaceDE w:val="0"/>
        <w:autoSpaceDN w:val="0"/>
        <w:adjustRightInd w:val="0"/>
        <w:rPr>
          <w:bCs/>
          <w:i/>
          <w:lang w:val="es-ES"/>
        </w:rPr>
      </w:pPr>
      <w:r w:rsidRPr="00BF4ACC">
        <w:rPr>
          <w:bCs/>
          <w:i/>
        </w:rPr>
        <w:t>Pasivos financieros a valor razonable con cambios en superávit o déficit</w:t>
      </w:r>
    </w:p>
    <w:p w:rsidR="00EA6058" w:rsidRPr="00B24DA2" w:rsidRDefault="00BD37C7" w:rsidP="00EA6058">
      <w:pPr>
        <w:autoSpaceDE w:val="0"/>
        <w:autoSpaceDN w:val="0"/>
        <w:adjustRightInd w:val="0"/>
        <w:rPr>
          <w:lang w:val="es-ES"/>
        </w:rPr>
      </w:pPr>
      <w:r w:rsidRPr="00BF4ACC">
        <w:t>Los pasivos financieros a valor razonable con cambios en superávit o déficit son los pasivos financieros mantenidos para negociar y aquellos que en el reconocimiento inicial se designen como pasivos financieros a valor razonable con cambios en superávit o déficit.</w:t>
      </w:r>
      <w:r w:rsidR="00EA6058" w:rsidRPr="00B24DA2">
        <w:rPr>
          <w:lang w:val="es-ES"/>
        </w:rPr>
        <w:t xml:space="preserve"> </w:t>
      </w:r>
      <w:r w:rsidR="00854EBA">
        <w:rPr>
          <w:lang w:val="es-ES"/>
        </w:rPr>
        <w:t xml:space="preserve"> </w:t>
      </w:r>
      <w:r w:rsidRPr="00BF4ACC">
        <w:t xml:space="preserve">Los pasivos financieros se clasifican como mantenidos </w:t>
      </w:r>
      <w:r w:rsidRPr="00BF4ACC">
        <w:lastRenderedPageBreak/>
        <w:t>para negociar si se adquieren para su venta a corto plazo.</w:t>
      </w:r>
      <w:r w:rsidR="00EA6058" w:rsidRPr="00B24DA2">
        <w:rPr>
          <w:lang w:val="es-ES"/>
        </w:rPr>
        <w:t xml:space="preserve"> </w:t>
      </w:r>
      <w:r w:rsidR="00854EBA">
        <w:rPr>
          <w:lang w:val="es-ES"/>
        </w:rPr>
        <w:t xml:space="preserve"> </w:t>
      </w:r>
      <w:r w:rsidRPr="00BF4ACC">
        <w:t>Las ganancias o pérdidas que se produzcan en los pasivos mantenidos para negociar se contabilizan como superávit o déficit.</w:t>
      </w:r>
    </w:p>
    <w:p w:rsidR="00EA6058" w:rsidRPr="00B24DA2" w:rsidRDefault="00EA6058" w:rsidP="00EA6058">
      <w:pPr>
        <w:autoSpaceDE w:val="0"/>
        <w:autoSpaceDN w:val="0"/>
        <w:adjustRightInd w:val="0"/>
        <w:rPr>
          <w:bCs/>
          <w:i/>
          <w:lang w:val="es-ES"/>
        </w:rPr>
      </w:pPr>
    </w:p>
    <w:p w:rsidR="00EA6058" w:rsidRPr="00B24DA2" w:rsidRDefault="00BD37C7" w:rsidP="00EA6058">
      <w:pPr>
        <w:autoSpaceDE w:val="0"/>
        <w:autoSpaceDN w:val="0"/>
        <w:adjustRightInd w:val="0"/>
        <w:rPr>
          <w:bCs/>
          <w:i/>
          <w:lang w:val="es-ES"/>
        </w:rPr>
      </w:pPr>
      <w:r w:rsidRPr="00BF4ACC">
        <w:rPr>
          <w:bCs/>
          <w:i/>
        </w:rPr>
        <w:t>Baja en cuentas:</w:t>
      </w:r>
    </w:p>
    <w:p w:rsidR="00EA6058" w:rsidRPr="00B24DA2" w:rsidRDefault="00BD37C7" w:rsidP="00EA6058">
      <w:pPr>
        <w:pStyle w:val="Style3"/>
        <w:spacing w:after="0"/>
        <w:rPr>
          <w:rFonts w:cs="Arial"/>
          <w:sz w:val="20"/>
          <w:lang w:val="es-ES"/>
        </w:rPr>
      </w:pPr>
      <w:r w:rsidRPr="00BF4ACC">
        <w:rPr>
          <w:rFonts w:cs="Arial"/>
          <w:sz w:val="20"/>
        </w:rPr>
        <w:t>Un pasivo financiero se da de baja cuando la obligación derivada del pasivo se liquida, se cancela o vence.</w:t>
      </w:r>
      <w:r w:rsidR="00EA6058" w:rsidRPr="00B24DA2">
        <w:rPr>
          <w:rFonts w:cs="Arial"/>
          <w:sz w:val="20"/>
          <w:lang w:val="es-ES"/>
        </w:rPr>
        <w:t xml:space="preserve"> </w:t>
      </w:r>
      <w:r w:rsidR="00854EBA">
        <w:rPr>
          <w:rFonts w:cs="Arial"/>
          <w:sz w:val="20"/>
          <w:lang w:val="es-ES"/>
        </w:rPr>
        <w:t xml:space="preserve"> </w:t>
      </w:r>
      <w:r w:rsidRPr="00BF4ACC">
        <w:rPr>
          <w:rFonts w:cs="Arial"/>
          <w:sz w:val="20"/>
        </w:rPr>
        <w:t>Cuando un pasivo financiero es sustituido por otro del mismo prestamista en condiciones sustancialmente diferentes, o cuando las condiciones de un pasivo se modifican sustancialmente, tal sustitución o modificación se registra como una cancelación del pasivo original y consiguiente reconocimiento de un nuevo pasivo, y la diferencia entre los respectivos valores contables se contabiliza como superávit o déficit.</w:t>
      </w:r>
    </w:p>
    <w:p w:rsidR="00EA6058" w:rsidRPr="00B24DA2" w:rsidRDefault="00EA6058" w:rsidP="00EA6058">
      <w:pPr>
        <w:pStyle w:val="Style3"/>
        <w:spacing w:after="0"/>
        <w:rPr>
          <w:rFonts w:cs="Arial"/>
          <w:b/>
          <w:sz w:val="20"/>
          <w:lang w:val="es-ES"/>
        </w:rPr>
      </w:pPr>
    </w:p>
    <w:p w:rsidR="00EA6058" w:rsidRPr="00B24DA2" w:rsidRDefault="00BD37C7" w:rsidP="00EA6058">
      <w:pPr>
        <w:pStyle w:val="Style3"/>
        <w:spacing w:after="0"/>
        <w:rPr>
          <w:rFonts w:cs="Arial"/>
          <w:b/>
          <w:sz w:val="20"/>
          <w:lang w:val="es-ES"/>
        </w:rPr>
      </w:pPr>
      <w:r w:rsidRPr="00BF4ACC">
        <w:rPr>
          <w:rFonts w:cs="Arial"/>
          <w:b/>
          <w:sz w:val="20"/>
        </w:rPr>
        <w:t>Cambios en la política contable</w:t>
      </w:r>
    </w:p>
    <w:p w:rsidR="00EA6058" w:rsidRPr="00B24DA2" w:rsidRDefault="00EA6058" w:rsidP="00EA6058">
      <w:pPr>
        <w:pStyle w:val="Style3"/>
        <w:spacing w:after="0"/>
        <w:rPr>
          <w:rFonts w:cs="Arial"/>
          <w:sz w:val="20"/>
          <w:lang w:val="es-ES"/>
        </w:rPr>
      </w:pPr>
    </w:p>
    <w:p w:rsidR="00EA6058" w:rsidRPr="00B24DA2" w:rsidRDefault="00BF4ACC" w:rsidP="00EA6058">
      <w:pPr>
        <w:pStyle w:val="Style3"/>
        <w:spacing w:after="0"/>
        <w:rPr>
          <w:rFonts w:cs="Arial"/>
          <w:sz w:val="20"/>
          <w:lang w:val="es-ES"/>
        </w:rPr>
      </w:pPr>
      <w:r w:rsidRPr="00BF4ACC">
        <w:rPr>
          <w:rFonts w:cs="Arial"/>
          <w:sz w:val="20"/>
        </w:rPr>
        <w:t>La</w:t>
      </w:r>
      <w:r w:rsidR="00FE1638">
        <w:rPr>
          <w:rFonts w:cs="Arial"/>
          <w:sz w:val="20"/>
        </w:rPr>
        <w:t xml:space="preserve"> </w:t>
      </w:r>
      <w:r w:rsidR="00BD37C7" w:rsidRPr="00BF4ACC">
        <w:rPr>
          <w:rFonts w:cs="Arial"/>
          <w:sz w:val="20"/>
        </w:rPr>
        <w:t>UPOV reconoce retroactivamente los efectos de los cambios en las políticas contables.</w:t>
      </w:r>
      <w:r w:rsidR="00EA6058" w:rsidRPr="00B24DA2">
        <w:rPr>
          <w:rFonts w:cs="Arial"/>
          <w:sz w:val="20"/>
          <w:lang w:val="es-ES"/>
        </w:rPr>
        <w:t xml:space="preserve"> </w:t>
      </w:r>
      <w:r w:rsidR="008057B2">
        <w:rPr>
          <w:rFonts w:cs="Arial"/>
          <w:sz w:val="20"/>
          <w:lang w:val="es-ES"/>
        </w:rPr>
        <w:t xml:space="preserve"> </w:t>
      </w:r>
      <w:r w:rsidR="00BD37C7" w:rsidRPr="00BF4ACC">
        <w:rPr>
          <w:rFonts w:cs="Arial"/>
          <w:sz w:val="20"/>
        </w:rPr>
        <w:t>No obstante, si la aplicación retroactiva resulta impracticable, los efectos de los cambios en las políticas contables se aplican de forma prospectiva.</w:t>
      </w:r>
    </w:p>
    <w:p w:rsidR="00EA6058" w:rsidRPr="00B24DA2" w:rsidRDefault="00EA6058" w:rsidP="00EA6058">
      <w:pPr>
        <w:pStyle w:val="Style3"/>
        <w:spacing w:after="0"/>
        <w:rPr>
          <w:rFonts w:cs="Arial"/>
          <w:b/>
          <w:sz w:val="20"/>
          <w:lang w:val="es-ES"/>
        </w:rPr>
      </w:pPr>
    </w:p>
    <w:p w:rsidR="00EA6058" w:rsidRPr="00B24DA2" w:rsidRDefault="00BD37C7" w:rsidP="00EA6058">
      <w:pPr>
        <w:pStyle w:val="Style3"/>
        <w:spacing w:after="0"/>
        <w:rPr>
          <w:rFonts w:cs="Arial"/>
          <w:b/>
          <w:sz w:val="20"/>
          <w:lang w:val="es-ES"/>
        </w:rPr>
      </w:pPr>
      <w:r w:rsidRPr="00BF4ACC">
        <w:rPr>
          <w:rFonts w:cs="Arial"/>
          <w:b/>
          <w:sz w:val="20"/>
        </w:rPr>
        <w:t>Uso de estimaciones</w:t>
      </w:r>
    </w:p>
    <w:p w:rsidR="00EA6058" w:rsidRPr="00B24DA2" w:rsidRDefault="00EA6058" w:rsidP="00EA6058">
      <w:pPr>
        <w:rPr>
          <w:lang w:val="es-ES"/>
        </w:rPr>
      </w:pPr>
    </w:p>
    <w:p w:rsidR="00EA6058" w:rsidRPr="00B24DA2" w:rsidRDefault="00BD37C7" w:rsidP="00EA6058">
      <w:pPr>
        <w:pStyle w:val="Style3"/>
        <w:spacing w:after="0"/>
        <w:rPr>
          <w:rFonts w:cs="Arial"/>
          <w:sz w:val="20"/>
          <w:lang w:val="es-ES"/>
        </w:rPr>
      </w:pPr>
      <w:r w:rsidRPr="00BF4ACC">
        <w:rPr>
          <w:rFonts w:cs="Arial"/>
          <w:sz w:val="20"/>
        </w:rPr>
        <w:t>En los estados financieros figuran necesariamente importes basados en estimaciones y supuestos efectuados por el equipo directivo.</w:t>
      </w:r>
      <w:r w:rsidR="00EA6058" w:rsidRPr="00B24DA2">
        <w:rPr>
          <w:rFonts w:cs="Arial"/>
          <w:sz w:val="20"/>
          <w:lang w:val="es-ES"/>
        </w:rPr>
        <w:t xml:space="preserve"> </w:t>
      </w:r>
      <w:r w:rsidR="008057B2">
        <w:rPr>
          <w:rFonts w:cs="Arial"/>
          <w:sz w:val="20"/>
          <w:lang w:val="es-ES"/>
        </w:rPr>
        <w:t xml:space="preserve"> </w:t>
      </w:r>
      <w:r w:rsidRPr="00BF4ACC">
        <w:rPr>
          <w:rFonts w:cs="Arial"/>
          <w:sz w:val="20"/>
        </w:rPr>
        <w:t>En las estimaciones figuran, entre otras, las siguientes:</w:t>
      </w:r>
      <w:r w:rsidR="00EA6058" w:rsidRPr="00B24DA2">
        <w:rPr>
          <w:rFonts w:cs="Arial"/>
          <w:sz w:val="20"/>
          <w:lang w:val="es-ES"/>
        </w:rPr>
        <w:t xml:space="preserve"> </w:t>
      </w:r>
      <w:r w:rsidRPr="00BF4ACC">
        <w:rPr>
          <w:rFonts w:cs="Arial"/>
          <w:sz w:val="20"/>
        </w:rPr>
        <w:t>seguro médico tras la separación del servicio y primas de repatriación y traslado (cuyo valor calcula un actuario independiente), pasivos por otras prestaciones a los empleados, riesgos financieros de las cuentas por cobrar y cargos devengados.</w:t>
      </w:r>
      <w:r w:rsidR="00680842" w:rsidRPr="00B24DA2">
        <w:rPr>
          <w:rFonts w:cs="Arial"/>
          <w:sz w:val="20"/>
          <w:lang w:val="es-ES"/>
        </w:rPr>
        <w:t xml:space="preserve"> </w:t>
      </w:r>
      <w:r w:rsidR="008057B2">
        <w:rPr>
          <w:rFonts w:cs="Arial"/>
          <w:sz w:val="20"/>
          <w:lang w:val="es-ES"/>
        </w:rPr>
        <w:t xml:space="preserve"> </w:t>
      </w:r>
      <w:r w:rsidRPr="00BF4ACC">
        <w:rPr>
          <w:rFonts w:cs="Arial"/>
          <w:sz w:val="20"/>
        </w:rPr>
        <w:t>Los resultados reales pueden diferir de esas estimaciones.</w:t>
      </w:r>
      <w:r w:rsidR="00EA6058" w:rsidRPr="00B24DA2">
        <w:rPr>
          <w:rFonts w:cs="Arial"/>
          <w:sz w:val="20"/>
          <w:lang w:val="es-ES"/>
        </w:rPr>
        <w:t xml:space="preserve"> </w:t>
      </w:r>
      <w:r w:rsidR="008057B2">
        <w:rPr>
          <w:rFonts w:cs="Arial"/>
          <w:sz w:val="20"/>
          <w:lang w:val="es-ES"/>
        </w:rPr>
        <w:t xml:space="preserve"> </w:t>
      </w:r>
      <w:r w:rsidRPr="00BF4ACC">
        <w:rPr>
          <w:rFonts w:cs="Arial"/>
          <w:sz w:val="20"/>
        </w:rPr>
        <w:t>Los cambios en las estimaciones se reflejan en el ejercicio en el que se presentan.</w:t>
      </w:r>
    </w:p>
    <w:p w:rsidR="00EA6058" w:rsidRPr="00B24DA2" w:rsidRDefault="00EA6058" w:rsidP="00EA6058">
      <w:pPr>
        <w:pStyle w:val="Style3"/>
        <w:spacing w:after="0"/>
        <w:rPr>
          <w:rFonts w:cs="Arial"/>
          <w:sz w:val="20"/>
          <w:lang w:val="es-ES"/>
        </w:rPr>
      </w:pPr>
    </w:p>
    <w:p w:rsidR="00EA6058" w:rsidRPr="00B24DA2" w:rsidRDefault="00EA6058" w:rsidP="00EA6058">
      <w:pPr>
        <w:pStyle w:val="Style3"/>
        <w:spacing w:after="0"/>
        <w:jc w:val="center"/>
        <w:rPr>
          <w:rFonts w:cs="Arial"/>
          <w:sz w:val="20"/>
          <w:lang w:val="es-ES"/>
        </w:rPr>
      </w:pPr>
    </w:p>
    <w:p w:rsidR="00EA6058" w:rsidRPr="00B24DA2" w:rsidRDefault="00274184" w:rsidP="00274184">
      <w:pPr>
        <w:pStyle w:val="Heading2Notes"/>
        <w:rPr>
          <w:lang w:val="es-ES"/>
        </w:rPr>
      </w:pPr>
      <w:bookmarkStart w:id="26" w:name="_Toc15397066"/>
      <w:r w:rsidRPr="00BF4ACC">
        <w:rPr>
          <w:lang w:val="es-ES_tradnl"/>
        </w:rPr>
        <w:t>Nota</w:t>
      </w:r>
      <w:r>
        <w:rPr>
          <w:lang w:val="es-ES_tradnl"/>
        </w:rPr>
        <w:t xml:space="preserve"> </w:t>
      </w:r>
      <w:r w:rsidR="00BD37C7" w:rsidRPr="00BF4ACC">
        <w:rPr>
          <w:lang w:val="es-ES_tradnl"/>
        </w:rPr>
        <w:t>3:</w:t>
      </w:r>
      <w:r w:rsidR="00EA6058" w:rsidRPr="00B24DA2">
        <w:rPr>
          <w:lang w:val="es-ES"/>
        </w:rPr>
        <w:tab/>
      </w:r>
      <w:r w:rsidRPr="00BF4ACC">
        <w:rPr>
          <w:lang w:val="es-ES_tradnl"/>
        </w:rPr>
        <w:t>Efectivo y equivalentes de efectivo</w:t>
      </w:r>
      <w:bookmarkEnd w:id="26"/>
    </w:p>
    <w:p w:rsidR="00EA6058" w:rsidRPr="00B24DA2" w:rsidRDefault="00EA6058" w:rsidP="00EA6058">
      <w:pPr>
        <w:rPr>
          <w:lang w:val="es-ES"/>
        </w:rPr>
      </w:pPr>
    </w:p>
    <w:p w:rsidR="00EA6058" w:rsidRDefault="0058438C" w:rsidP="00EA6058">
      <w:pPr>
        <w:pStyle w:val="Style3"/>
        <w:spacing w:after="0"/>
        <w:jc w:val="center"/>
        <w:rPr>
          <w:noProof/>
        </w:rPr>
      </w:pPr>
      <w:r w:rsidRPr="0058438C">
        <w:rPr>
          <w:noProof/>
          <w:lang w:val="en-US"/>
        </w:rPr>
        <w:drawing>
          <wp:inline distT="0" distB="0" distL="0" distR="0">
            <wp:extent cx="6210300" cy="3107690"/>
            <wp:effectExtent l="19050" t="0" r="0" b="0"/>
            <wp:docPr id="1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6210300" cy="3107690"/>
                    </a:xfrm>
                    <a:prstGeom prst="rect">
                      <a:avLst/>
                    </a:prstGeom>
                    <a:noFill/>
                    <a:ln w="9525">
                      <a:noFill/>
                      <a:miter lim="800000"/>
                      <a:headEnd/>
                      <a:tailEnd/>
                    </a:ln>
                  </pic:spPr>
                </pic:pic>
              </a:graphicData>
            </a:graphic>
          </wp:inline>
        </w:drawing>
      </w:r>
    </w:p>
    <w:p w:rsidR="00EA6058" w:rsidRDefault="00EA6058" w:rsidP="00EA6058">
      <w:pPr>
        <w:pStyle w:val="Style3"/>
        <w:spacing w:after="0"/>
        <w:rPr>
          <w:rFonts w:cs="Arial"/>
          <w:sz w:val="20"/>
        </w:rPr>
      </w:pPr>
    </w:p>
    <w:p w:rsidR="00EA6058" w:rsidRPr="00B24DA2" w:rsidRDefault="00285084" w:rsidP="00EA6058">
      <w:pPr>
        <w:pStyle w:val="Style3"/>
        <w:spacing w:after="0"/>
        <w:rPr>
          <w:rFonts w:cs="Arial"/>
          <w:sz w:val="20"/>
          <w:lang w:val="es-ES"/>
        </w:rPr>
      </w:pPr>
      <w:r w:rsidRPr="00BF4ACC">
        <w:rPr>
          <w:rFonts w:cs="Arial"/>
          <w:sz w:val="20"/>
        </w:rPr>
        <w:t>Los depósitos en efectivo se mantienen por lo general en cuentas bancarias de acceso inmediato.</w:t>
      </w:r>
      <w:r w:rsidR="00EA6058" w:rsidRPr="00B24DA2">
        <w:rPr>
          <w:rFonts w:cs="Arial"/>
          <w:sz w:val="20"/>
          <w:lang w:val="es-ES"/>
        </w:rPr>
        <w:t xml:space="preserve"> </w:t>
      </w:r>
    </w:p>
    <w:p w:rsidR="00EA6058" w:rsidRPr="00B24DA2" w:rsidRDefault="00EA6058" w:rsidP="00EA6058">
      <w:pPr>
        <w:pStyle w:val="Style3"/>
        <w:spacing w:after="0"/>
        <w:rPr>
          <w:rFonts w:cs="Arial"/>
          <w:sz w:val="20"/>
          <w:lang w:val="es-ES"/>
        </w:rPr>
      </w:pPr>
    </w:p>
    <w:p w:rsidR="00EA6058" w:rsidRPr="00B24DA2" w:rsidRDefault="00285084" w:rsidP="00EA6058">
      <w:pPr>
        <w:pStyle w:val="Style3"/>
        <w:spacing w:after="0"/>
        <w:rPr>
          <w:sz w:val="20"/>
          <w:lang w:val="es-ES"/>
        </w:rPr>
      </w:pPr>
      <w:r w:rsidRPr="00BF4ACC">
        <w:rPr>
          <w:sz w:val="20"/>
        </w:rPr>
        <w:t>El saldo del fondo de operaciones se considera restringido, aunque los intereses percibidos del saldo del fondo de operaciones se ingresan en el fondo general de la</w:t>
      </w:r>
      <w:r w:rsidR="00FE1638">
        <w:rPr>
          <w:sz w:val="20"/>
        </w:rPr>
        <w:t xml:space="preserve"> </w:t>
      </w:r>
      <w:r w:rsidRPr="00BF4ACC">
        <w:rPr>
          <w:sz w:val="20"/>
        </w:rPr>
        <w:t>UPOV.</w:t>
      </w:r>
      <w:r w:rsidR="00EA6058" w:rsidRPr="00B24DA2">
        <w:rPr>
          <w:sz w:val="20"/>
          <w:lang w:val="es-ES"/>
        </w:rPr>
        <w:t xml:space="preserve"> </w:t>
      </w:r>
      <w:r w:rsidR="008057B2">
        <w:rPr>
          <w:sz w:val="20"/>
          <w:lang w:val="es-ES"/>
        </w:rPr>
        <w:t xml:space="preserve"> </w:t>
      </w:r>
      <w:r w:rsidRPr="00BF4ACC">
        <w:rPr>
          <w:sz w:val="20"/>
        </w:rPr>
        <w:t>Los fondos fiduciarios mantenidos en nombre de donantes de fondos extrapresupuestarios (fondos fiduciarios) se depositan en la moneda en que se dará cuenta de los gastos, sobre la base de acuerdos con los donantes.</w:t>
      </w:r>
      <w:r w:rsidR="00EA6058" w:rsidRPr="00B24DA2">
        <w:rPr>
          <w:sz w:val="20"/>
          <w:lang w:val="es-ES"/>
        </w:rPr>
        <w:t xml:space="preserve"> </w:t>
      </w:r>
    </w:p>
    <w:p w:rsidR="00EA6058" w:rsidRPr="00B24DA2" w:rsidRDefault="00EA6058" w:rsidP="00EA6058">
      <w:pPr>
        <w:pStyle w:val="Style3"/>
        <w:spacing w:after="0"/>
        <w:rPr>
          <w:sz w:val="20"/>
          <w:lang w:val="es-ES"/>
        </w:rPr>
      </w:pPr>
    </w:p>
    <w:p w:rsidR="00EA6058" w:rsidRPr="00B24DA2" w:rsidRDefault="00285084" w:rsidP="00EA6058">
      <w:pPr>
        <w:pStyle w:val="Style3"/>
        <w:spacing w:after="0"/>
        <w:rPr>
          <w:sz w:val="20"/>
          <w:lang w:val="es-ES"/>
        </w:rPr>
      </w:pPr>
      <w:r w:rsidRPr="00BF4ACC">
        <w:rPr>
          <w:sz w:val="20"/>
        </w:rPr>
        <w:t>En su trigésima tercera sesión extraordinaria celebrada el</w:t>
      </w:r>
      <w:r w:rsidR="00FE1638">
        <w:rPr>
          <w:sz w:val="20"/>
        </w:rPr>
        <w:t xml:space="preserve"> </w:t>
      </w:r>
      <w:r w:rsidRPr="00BF4ACC">
        <w:rPr>
          <w:sz w:val="20"/>
        </w:rPr>
        <w:t>17 de marzo de</w:t>
      </w:r>
      <w:r w:rsidR="00FE1638">
        <w:rPr>
          <w:sz w:val="20"/>
        </w:rPr>
        <w:t xml:space="preserve"> </w:t>
      </w:r>
      <w:r w:rsidRPr="00BF4ACC">
        <w:rPr>
          <w:sz w:val="20"/>
        </w:rPr>
        <w:t>2016, el Consejo de la</w:t>
      </w:r>
      <w:r w:rsidR="00FE1638">
        <w:rPr>
          <w:sz w:val="20"/>
        </w:rPr>
        <w:t xml:space="preserve"> </w:t>
      </w:r>
      <w:r w:rsidRPr="00BF4ACC">
        <w:rPr>
          <w:sz w:val="20"/>
        </w:rPr>
        <w:t>UPOV decidió mantener en una cuenta aparte los fondos asignados a la futura financiación del pasivo por prestaciones de seguro médico tras la separación del servicio.</w:t>
      </w:r>
      <w:r w:rsidR="00EA6058" w:rsidRPr="00B24DA2">
        <w:rPr>
          <w:sz w:val="20"/>
          <w:lang w:val="es-ES"/>
        </w:rPr>
        <w:t xml:space="preserve"> </w:t>
      </w:r>
      <w:r w:rsidR="008057B2">
        <w:rPr>
          <w:sz w:val="20"/>
          <w:lang w:val="es-ES"/>
        </w:rPr>
        <w:t xml:space="preserve"> </w:t>
      </w:r>
      <w:r w:rsidRPr="00BF4ACC">
        <w:rPr>
          <w:sz w:val="20"/>
        </w:rPr>
        <w:t>Al</w:t>
      </w:r>
      <w:r w:rsidR="00FE1638">
        <w:rPr>
          <w:sz w:val="20"/>
        </w:rPr>
        <w:t xml:space="preserve"> </w:t>
      </w:r>
      <w:r w:rsidRPr="00BF4ACC">
        <w:rPr>
          <w:sz w:val="20"/>
        </w:rPr>
        <w:t>31 de diciembre de</w:t>
      </w:r>
      <w:r w:rsidR="00FE1638">
        <w:rPr>
          <w:sz w:val="20"/>
        </w:rPr>
        <w:t xml:space="preserve"> </w:t>
      </w:r>
      <w:r w:rsidRPr="00BF4ACC">
        <w:rPr>
          <w:sz w:val="20"/>
        </w:rPr>
        <w:t>2018, el saldo total de estos fondos ascendía a</w:t>
      </w:r>
      <w:r w:rsidR="00FE1638">
        <w:rPr>
          <w:sz w:val="20"/>
        </w:rPr>
        <w:t xml:space="preserve"> </w:t>
      </w:r>
      <w:r w:rsidRPr="00BF4ACC">
        <w:rPr>
          <w:sz w:val="20"/>
        </w:rPr>
        <w:t>783.128 francos suizos (709.176 francos suizos al</w:t>
      </w:r>
      <w:r w:rsidR="00FE1638">
        <w:rPr>
          <w:sz w:val="20"/>
        </w:rPr>
        <w:t xml:space="preserve"> </w:t>
      </w:r>
      <w:r w:rsidRPr="00BF4ACC">
        <w:rPr>
          <w:sz w:val="20"/>
        </w:rPr>
        <w:t>31 de diciembre de</w:t>
      </w:r>
      <w:r w:rsidR="00FE1638">
        <w:rPr>
          <w:sz w:val="20"/>
        </w:rPr>
        <w:t xml:space="preserve"> </w:t>
      </w:r>
      <w:r w:rsidRPr="00BF4ACC">
        <w:rPr>
          <w:sz w:val="20"/>
        </w:rPr>
        <w:t>2017).</w:t>
      </w:r>
      <w:r w:rsidR="00EA6058" w:rsidRPr="00B24DA2">
        <w:rPr>
          <w:sz w:val="20"/>
          <w:lang w:val="es-ES"/>
        </w:rPr>
        <w:t xml:space="preserve"> </w:t>
      </w:r>
      <w:r w:rsidR="008057B2">
        <w:rPr>
          <w:sz w:val="20"/>
          <w:lang w:val="es-ES"/>
        </w:rPr>
        <w:t xml:space="preserve"> </w:t>
      </w:r>
      <w:r w:rsidR="008057B2">
        <w:rPr>
          <w:sz w:val="20"/>
          <w:lang w:val="es-ES"/>
        </w:rPr>
        <w:br/>
      </w:r>
      <w:r w:rsidR="005E1EE7" w:rsidRPr="00BF4ACC">
        <w:rPr>
          <w:sz w:val="20"/>
        </w:rPr>
        <w:t>Los</w:t>
      </w:r>
      <w:r w:rsidRPr="00BF4ACC">
        <w:rPr>
          <w:sz w:val="20"/>
        </w:rPr>
        <w:t xml:space="preserve"> fondos </w:t>
      </w:r>
      <w:r w:rsidR="005E1EE7" w:rsidRPr="00BF4ACC">
        <w:rPr>
          <w:sz w:val="20"/>
        </w:rPr>
        <w:t>se mantienen en una de las principales cuentas bancarias de la</w:t>
      </w:r>
      <w:r w:rsidR="00FE1638">
        <w:rPr>
          <w:sz w:val="20"/>
        </w:rPr>
        <w:t xml:space="preserve"> </w:t>
      </w:r>
      <w:r w:rsidR="005E1EE7" w:rsidRPr="00BF4ACC">
        <w:rPr>
          <w:sz w:val="20"/>
        </w:rPr>
        <w:t>UPOV</w:t>
      </w:r>
      <w:r w:rsidRPr="00BF4ACC">
        <w:rPr>
          <w:sz w:val="20"/>
        </w:rPr>
        <w:t xml:space="preserve">, pero </w:t>
      </w:r>
      <w:r w:rsidR="007307B2" w:rsidRPr="00BF4ACC">
        <w:rPr>
          <w:sz w:val="20"/>
        </w:rPr>
        <w:t>s</w:t>
      </w:r>
      <w:r w:rsidRPr="00BF4ACC">
        <w:rPr>
          <w:sz w:val="20"/>
        </w:rPr>
        <w:t xml:space="preserve">e </w:t>
      </w:r>
      <w:r w:rsidR="00D05626" w:rsidRPr="00BF4ACC">
        <w:rPr>
          <w:sz w:val="20"/>
        </w:rPr>
        <w:t>gestionan</w:t>
      </w:r>
      <w:r w:rsidRPr="00BF4ACC">
        <w:rPr>
          <w:sz w:val="20"/>
        </w:rPr>
        <w:t xml:space="preserve"> </w:t>
      </w:r>
      <w:r w:rsidR="007307B2" w:rsidRPr="00BF4ACC">
        <w:rPr>
          <w:sz w:val="20"/>
        </w:rPr>
        <w:t>separadamente de los</w:t>
      </w:r>
      <w:r w:rsidRPr="00BF4ACC">
        <w:rPr>
          <w:sz w:val="20"/>
        </w:rPr>
        <w:t xml:space="preserve"> </w:t>
      </w:r>
      <w:r w:rsidR="007307B2" w:rsidRPr="00BF4ACC">
        <w:rPr>
          <w:sz w:val="20"/>
        </w:rPr>
        <w:t>fondos de explotación mediante</w:t>
      </w:r>
      <w:r w:rsidRPr="00BF4ACC">
        <w:rPr>
          <w:sz w:val="20"/>
        </w:rPr>
        <w:t xml:space="preserve"> </w:t>
      </w:r>
      <w:r w:rsidR="007307B2" w:rsidRPr="00BF4ACC">
        <w:rPr>
          <w:sz w:val="20"/>
        </w:rPr>
        <w:t>un</w:t>
      </w:r>
      <w:r w:rsidRPr="00BF4ACC">
        <w:rPr>
          <w:sz w:val="20"/>
        </w:rPr>
        <w:t xml:space="preserve">a </w:t>
      </w:r>
      <w:r w:rsidR="00F61E1D" w:rsidRPr="00BF4ACC">
        <w:rPr>
          <w:sz w:val="20"/>
        </w:rPr>
        <w:t>orden</w:t>
      </w:r>
      <w:r w:rsidR="007307B2" w:rsidRPr="00BF4ACC">
        <w:rPr>
          <w:sz w:val="20"/>
        </w:rPr>
        <w:t xml:space="preserve"> de </w:t>
      </w:r>
      <w:r w:rsidRPr="00BF4ACC">
        <w:rPr>
          <w:sz w:val="20"/>
        </w:rPr>
        <w:t>blo</w:t>
      </w:r>
      <w:r w:rsidR="007307B2" w:rsidRPr="00BF4ACC">
        <w:rPr>
          <w:sz w:val="20"/>
        </w:rPr>
        <w:t xml:space="preserve">queo </w:t>
      </w:r>
      <w:r w:rsidR="00BF4ACC" w:rsidRPr="00BF4ACC">
        <w:rPr>
          <w:sz w:val="20"/>
        </w:rPr>
        <w:t>que ha sido cursada al banco</w:t>
      </w:r>
      <w:r w:rsidRPr="00BF4ACC">
        <w:rPr>
          <w:sz w:val="20"/>
        </w:rPr>
        <w:t>.</w:t>
      </w:r>
      <w:r w:rsidR="00EA6058" w:rsidRPr="00B24DA2">
        <w:rPr>
          <w:sz w:val="20"/>
          <w:lang w:val="es-ES"/>
        </w:rPr>
        <w:t xml:space="preserve"> </w:t>
      </w:r>
      <w:r w:rsidR="006659CE" w:rsidRPr="00BF4ACC">
        <w:rPr>
          <w:sz w:val="20"/>
        </w:rPr>
        <w:lastRenderedPageBreak/>
        <w:t>La</w:t>
      </w:r>
      <w:r w:rsidR="00FE1638">
        <w:rPr>
          <w:sz w:val="20"/>
        </w:rPr>
        <w:t xml:space="preserve"> </w:t>
      </w:r>
      <w:r w:rsidR="006659CE" w:rsidRPr="00BF4ACC">
        <w:rPr>
          <w:sz w:val="20"/>
        </w:rPr>
        <w:t>UPOV administra los fondos asignados a la futura financiación del pasivo por prestaciones de seguro médico tras la separación del servicio de conformidad con la Política de inversiones de la</w:t>
      </w:r>
      <w:r w:rsidR="00FE1638">
        <w:rPr>
          <w:sz w:val="20"/>
        </w:rPr>
        <w:t xml:space="preserve"> </w:t>
      </w:r>
      <w:r w:rsidR="006659CE" w:rsidRPr="00BF4ACC">
        <w:rPr>
          <w:sz w:val="20"/>
        </w:rPr>
        <w:t>OMPI, según la cual se clasifican como efectivo estratégico.</w:t>
      </w:r>
    </w:p>
    <w:p w:rsidR="00EA6058" w:rsidRPr="00B24DA2" w:rsidRDefault="00EA6058" w:rsidP="00EA6058">
      <w:pPr>
        <w:pStyle w:val="Style3"/>
        <w:spacing w:after="0"/>
        <w:rPr>
          <w:sz w:val="20"/>
          <w:lang w:val="es-ES"/>
        </w:rPr>
      </w:pPr>
    </w:p>
    <w:p w:rsidR="00EA6058" w:rsidRPr="00B24DA2" w:rsidRDefault="00EA6058" w:rsidP="00EA6058">
      <w:pPr>
        <w:pStyle w:val="Style3"/>
        <w:spacing w:after="0"/>
        <w:rPr>
          <w:sz w:val="20"/>
          <w:lang w:val="es-ES"/>
        </w:rPr>
      </w:pPr>
    </w:p>
    <w:p w:rsidR="00EA6058" w:rsidRPr="002D58CC" w:rsidRDefault="001C0768" w:rsidP="001C0768">
      <w:pPr>
        <w:pStyle w:val="Heading2Notes"/>
      </w:pPr>
      <w:bookmarkStart w:id="27" w:name="_Toc15397067"/>
      <w:r w:rsidRPr="00BF4ACC">
        <w:rPr>
          <w:lang w:val="es-ES_tradnl"/>
        </w:rPr>
        <w:t>Nota</w:t>
      </w:r>
      <w:r>
        <w:rPr>
          <w:lang w:val="es-ES_tradnl"/>
        </w:rPr>
        <w:t xml:space="preserve"> </w:t>
      </w:r>
      <w:r w:rsidR="00565619" w:rsidRPr="00BF4ACC">
        <w:rPr>
          <w:lang w:val="es-ES_tradnl"/>
        </w:rPr>
        <w:t>4:</w:t>
      </w:r>
      <w:r w:rsidR="00EA6058" w:rsidRPr="002D58CC">
        <w:tab/>
      </w:r>
      <w:r w:rsidRPr="00BF4ACC">
        <w:rPr>
          <w:lang w:val="es-ES_tradnl"/>
        </w:rPr>
        <w:t>Cuentas por cobrar</w:t>
      </w:r>
      <w:bookmarkEnd w:id="27"/>
    </w:p>
    <w:p w:rsidR="00EA6058" w:rsidRPr="002D58CC" w:rsidRDefault="00EA6058" w:rsidP="00EA6058"/>
    <w:p w:rsidR="00EA6058" w:rsidRDefault="00582590" w:rsidP="00EA6058">
      <w:pPr>
        <w:jc w:val="center"/>
        <w:rPr>
          <w:noProof/>
        </w:rPr>
      </w:pPr>
      <w:r w:rsidRPr="00582590">
        <w:rPr>
          <w:noProof/>
          <w:lang w:val="en-US"/>
        </w:rPr>
        <w:drawing>
          <wp:inline distT="0" distB="0" distL="0" distR="0">
            <wp:extent cx="6120000" cy="2538947"/>
            <wp:effectExtent l="19050" t="0" r="0" b="0"/>
            <wp:docPr id="2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tretch>
                      <a:fillRect/>
                    </a:stretch>
                  </pic:blipFill>
                  <pic:spPr bwMode="auto">
                    <a:xfrm>
                      <a:off x="0" y="0"/>
                      <a:ext cx="6120000" cy="2538947"/>
                    </a:xfrm>
                    <a:prstGeom prst="rect">
                      <a:avLst/>
                    </a:prstGeom>
                    <a:noFill/>
                    <a:ln>
                      <a:noFill/>
                    </a:ln>
                  </pic:spPr>
                </pic:pic>
              </a:graphicData>
            </a:graphic>
          </wp:inline>
        </w:drawing>
      </w:r>
    </w:p>
    <w:p w:rsidR="00EA6058" w:rsidRDefault="00EA6058" w:rsidP="00EA6058">
      <w:pPr>
        <w:rPr>
          <w:noProof/>
        </w:rPr>
      </w:pPr>
    </w:p>
    <w:p w:rsidR="00EA6058" w:rsidRPr="00B24DA2" w:rsidRDefault="00970B07" w:rsidP="00EA6058">
      <w:pPr>
        <w:rPr>
          <w:lang w:val="es-ES"/>
        </w:rPr>
      </w:pPr>
      <w:r w:rsidRPr="00BF4ACC">
        <w:t>Las contribuciones representan ingresos no recaudados que guardan relación con el sistema de contribución de la</w:t>
      </w:r>
      <w:r w:rsidR="00FE1638">
        <w:t xml:space="preserve"> </w:t>
      </w:r>
      <w:r w:rsidRPr="00BF4ACC">
        <w:t>UPOV.</w:t>
      </w:r>
      <w:r w:rsidR="00EA6058" w:rsidRPr="00B24DA2">
        <w:rPr>
          <w:lang w:val="es-ES"/>
        </w:rPr>
        <w:t xml:space="preserve"> </w:t>
      </w:r>
      <w:r w:rsidR="008057B2">
        <w:rPr>
          <w:lang w:val="es-ES"/>
        </w:rPr>
        <w:t xml:space="preserve"> </w:t>
      </w:r>
      <w:r w:rsidRPr="00F910A7">
        <w:t>El importe de la contribución anual de cada miembro de la</w:t>
      </w:r>
      <w:r w:rsidR="00FE1638">
        <w:t xml:space="preserve"> </w:t>
      </w:r>
      <w:r w:rsidRPr="00F910A7">
        <w:t>Unión se calcula sobre la base de</w:t>
      </w:r>
      <w:r w:rsidR="00BF4ACC" w:rsidRPr="00F910A7">
        <w:t>l</w:t>
      </w:r>
      <w:r w:rsidRPr="00F910A7">
        <w:t xml:space="preserve"> </w:t>
      </w:r>
      <w:r w:rsidR="00BF4ACC" w:rsidRPr="00F910A7">
        <w:t>número</w:t>
      </w:r>
      <w:r w:rsidRPr="00F910A7">
        <w:t xml:space="preserve"> de unidades de contribución que se le aplican (artículo</w:t>
      </w:r>
      <w:r w:rsidR="00FE1638">
        <w:t xml:space="preserve"> </w:t>
      </w:r>
      <w:r w:rsidRPr="00F910A7">
        <w:t>II del Acta de</w:t>
      </w:r>
      <w:r w:rsidR="00FE1638">
        <w:t xml:space="preserve"> </w:t>
      </w:r>
      <w:r w:rsidRPr="00F910A7">
        <w:t>1972, artículo</w:t>
      </w:r>
      <w:r w:rsidR="00FE1638">
        <w:t xml:space="preserve"> </w:t>
      </w:r>
      <w:r w:rsidRPr="00F910A7">
        <w:t>26 del Acta de</w:t>
      </w:r>
      <w:r w:rsidR="008057B2">
        <w:t> </w:t>
      </w:r>
      <w:r w:rsidRPr="00F910A7">
        <w:t>1978 y artículo</w:t>
      </w:r>
      <w:r w:rsidR="00FE1638">
        <w:t xml:space="preserve"> </w:t>
      </w:r>
      <w:r w:rsidRPr="00F910A7">
        <w:t>29 del Acta de</w:t>
      </w:r>
      <w:r w:rsidR="00FE1638">
        <w:t xml:space="preserve"> </w:t>
      </w:r>
      <w:r w:rsidRPr="00F910A7">
        <w:t>1991 del Convenio).</w:t>
      </w:r>
      <w:r w:rsidR="00EA6058" w:rsidRPr="00B24DA2">
        <w:rPr>
          <w:lang w:val="es-ES"/>
        </w:rPr>
        <w:t xml:space="preserve"> </w:t>
      </w:r>
      <w:r w:rsidR="008057B2">
        <w:rPr>
          <w:lang w:val="es-ES"/>
        </w:rPr>
        <w:t xml:space="preserve"> </w:t>
      </w:r>
      <w:r w:rsidRPr="00294260">
        <w:t>Cuando procede, se destina una asignación para compensar el valor de las cuentas por cobrar correspondientes a las contribuciones.</w:t>
      </w:r>
      <w:r w:rsidR="00EA6058" w:rsidRPr="00B24DA2">
        <w:rPr>
          <w:lang w:val="es-ES"/>
        </w:rPr>
        <w:t xml:space="preserve"> </w:t>
      </w:r>
      <w:r w:rsidR="008057B2">
        <w:rPr>
          <w:lang w:val="es-ES"/>
        </w:rPr>
        <w:t xml:space="preserve"> </w:t>
      </w:r>
      <w:r w:rsidRPr="00294260">
        <w:t>Dicha asignación cubre los importes adeudados en ejercicios anteriores al último bienio.</w:t>
      </w:r>
      <w:r w:rsidR="00EA6058" w:rsidRPr="00B24DA2">
        <w:rPr>
          <w:lang w:val="es-ES"/>
        </w:rPr>
        <w:t xml:space="preserve"> </w:t>
      </w:r>
    </w:p>
    <w:p w:rsidR="00EA6058" w:rsidRPr="00B24DA2" w:rsidRDefault="00EA6058" w:rsidP="00EA6058">
      <w:pPr>
        <w:rPr>
          <w:lang w:val="es-ES"/>
        </w:rPr>
      </w:pPr>
    </w:p>
    <w:p w:rsidR="00EA6058" w:rsidRPr="00B24DA2" w:rsidRDefault="00970B07" w:rsidP="00EA6058">
      <w:pPr>
        <w:rPr>
          <w:lang w:val="es-ES"/>
        </w:rPr>
      </w:pPr>
      <w:r w:rsidRPr="00294260">
        <w:t>El personal internacional que no reside en su país de origen tiene derecho a percibir un subsidio que cubre los costos admisibles de educación por hijo a cargo hasta el cuarto año de enseñanza escolar superior, pero no los estudios posteriores al final del año escolar en que el hijo cumpla</w:t>
      </w:r>
      <w:r w:rsidR="00FE1638">
        <w:t xml:space="preserve"> </w:t>
      </w:r>
      <w:r w:rsidRPr="00294260">
        <w:t>25 años.</w:t>
      </w:r>
      <w:r w:rsidR="00EA6058" w:rsidRPr="00B24DA2">
        <w:rPr>
          <w:lang w:val="es-ES"/>
        </w:rPr>
        <w:t xml:space="preserve"> </w:t>
      </w:r>
      <w:r w:rsidR="008057B2">
        <w:rPr>
          <w:lang w:val="es-ES"/>
        </w:rPr>
        <w:t xml:space="preserve"> </w:t>
      </w:r>
      <w:r w:rsidRPr="00294260">
        <w:t>Con respecto al año académico</w:t>
      </w:r>
      <w:r w:rsidR="00FE1638">
        <w:t xml:space="preserve"> </w:t>
      </w:r>
      <w:r w:rsidRPr="00294260">
        <w:t>2018-2019, el reembolso se calcula con arreglo a una escala móvil global, con tasas decrecientes de reembolso y un reembolso máximo fijo.</w:t>
      </w:r>
      <w:r w:rsidR="00EA6058" w:rsidRPr="00B24DA2">
        <w:rPr>
          <w:lang w:val="es-ES"/>
        </w:rPr>
        <w:t xml:space="preserve"> </w:t>
      </w:r>
      <w:r w:rsidR="008057B2">
        <w:rPr>
          <w:lang w:val="es-ES"/>
        </w:rPr>
        <w:t xml:space="preserve"> </w:t>
      </w:r>
      <w:r w:rsidR="0070290B" w:rsidRPr="00294260">
        <w:t>El personal internacional tiene derecho a percibir, al comienzo del año académico, un anticipo equivalente al importe estimado del subsidio por gastos de educación correspondiente a cada hijo.</w:t>
      </w:r>
      <w:r w:rsidR="00EA6058" w:rsidRPr="00B24DA2">
        <w:rPr>
          <w:lang w:val="es-ES"/>
        </w:rPr>
        <w:t xml:space="preserve"> </w:t>
      </w:r>
      <w:r w:rsidR="008057B2">
        <w:rPr>
          <w:lang w:val="es-ES"/>
        </w:rPr>
        <w:t xml:space="preserve"> </w:t>
      </w:r>
      <w:r w:rsidR="0070290B" w:rsidRPr="00294260">
        <w:t xml:space="preserve">Los anticipos </w:t>
      </w:r>
      <w:r w:rsidR="00294260" w:rsidRPr="00294260">
        <w:t xml:space="preserve">al personal </w:t>
      </w:r>
      <w:r w:rsidR="0070290B" w:rsidRPr="00294260">
        <w:t>en concepto de subsidios de educación corresponden a los subsidios totales anticipados para el año académico</w:t>
      </w:r>
      <w:r w:rsidR="00FE1638">
        <w:t xml:space="preserve"> </w:t>
      </w:r>
      <w:r w:rsidR="0070290B" w:rsidRPr="00294260">
        <w:t>2018-2019.</w:t>
      </w:r>
    </w:p>
    <w:p w:rsidR="00EA6058" w:rsidRPr="00B24DA2" w:rsidRDefault="00EA6058" w:rsidP="00EA6058">
      <w:pPr>
        <w:rPr>
          <w:lang w:val="es-ES"/>
        </w:rPr>
      </w:pPr>
    </w:p>
    <w:p w:rsidR="00EA6058" w:rsidRPr="00B24DA2" w:rsidRDefault="00EA6058" w:rsidP="00EA6058">
      <w:pPr>
        <w:rPr>
          <w:lang w:val="es-ES"/>
        </w:rPr>
      </w:pPr>
    </w:p>
    <w:p w:rsidR="00EA6058" w:rsidRPr="001C0768" w:rsidRDefault="001C0768" w:rsidP="008F7AF6">
      <w:pPr>
        <w:pStyle w:val="Heading2Notes"/>
      </w:pPr>
      <w:bookmarkStart w:id="28" w:name="_Toc15397068"/>
      <w:r w:rsidRPr="001C0768">
        <w:t xml:space="preserve">Nota </w:t>
      </w:r>
      <w:r w:rsidR="0070290B" w:rsidRPr="001C0768">
        <w:t>5:</w:t>
      </w:r>
      <w:r w:rsidR="00EA6058" w:rsidRPr="001C0768">
        <w:tab/>
      </w:r>
      <w:r w:rsidRPr="001C0768">
        <w:t>Cuentas por pagar</w:t>
      </w:r>
      <w:bookmarkEnd w:id="28"/>
    </w:p>
    <w:p w:rsidR="00EA6058" w:rsidRPr="0020503E" w:rsidRDefault="00EA6058" w:rsidP="00EA6058"/>
    <w:p w:rsidR="00EA6058" w:rsidRPr="001D491C" w:rsidRDefault="000E6536" w:rsidP="00EA6058">
      <w:pPr>
        <w:jc w:val="center"/>
      </w:pPr>
      <w:r w:rsidRPr="000E6536">
        <w:rPr>
          <w:noProof/>
          <w:lang w:val="en-US"/>
        </w:rPr>
        <w:drawing>
          <wp:inline distT="0" distB="0" distL="0" distR="0">
            <wp:extent cx="5897880" cy="1348740"/>
            <wp:effectExtent l="19050" t="0" r="7620" b="0"/>
            <wp:docPr id="2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897880" cy="1348740"/>
                    </a:xfrm>
                    <a:prstGeom prst="rect">
                      <a:avLst/>
                    </a:prstGeom>
                    <a:noFill/>
                    <a:ln w="9525">
                      <a:noFill/>
                      <a:miter lim="800000"/>
                      <a:headEnd/>
                      <a:tailEnd/>
                    </a:ln>
                  </pic:spPr>
                </pic:pic>
              </a:graphicData>
            </a:graphic>
          </wp:inline>
        </w:drawing>
      </w:r>
    </w:p>
    <w:p w:rsidR="00EA6058" w:rsidRPr="0020503E" w:rsidRDefault="00EA6058" w:rsidP="00EA6058"/>
    <w:p w:rsidR="00EA6058" w:rsidRPr="001C0768" w:rsidRDefault="001C0768" w:rsidP="008F7AF6">
      <w:pPr>
        <w:pStyle w:val="Heading2Notes"/>
      </w:pPr>
      <w:bookmarkStart w:id="29" w:name="_Toc15397069"/>
      <w:r w:rsidRPr="001C0768">
        <w:lastRenderedPageBreak/>
        <w:t xml:space="preserve">Nota </w:t>
      </w:r>
      <w:r w:rsidR="009E2AC9" w:rsidRPr="001C0768">
        <w:t>6:</w:t>
      </w:r>
      <w:r w:rsidR="00EA6058" w:rsidRPr="001C0768">
        <w:tab/>
      </w:r>
      <w:r w:rsidRPr="001C0768">
        <w:t>Prestaciones a los empleados</w:t>
      </w:r>
      <w:bookmarkEnd w:id="29"/>
    </w:p>
    <w:p w:rsidR="00EA6058" w:rsidRPr="003631E5" w:rsidRDefault="00EA6058" w:rsidP="00EA6058">
      <w:pPr>
        <w:keepNext/>
      </w:pPr>
    </w:p>
    <w:p w:rsidR="00EA6058" w:rsidRPr="003631E5" w:rsidRDefault="002927E1" w:rsidP="00EA6058">
      <w:pPr>
        <w:pStyle w:val="Style3"/>
        <w:spacing w:after="0"/>
        <w:jc w:val="center"/>
        <w:rPr>
          <w:rFonts w:cs="Arial"/>
          <w:sz w:val="20"/>
        </w:rPr>
      </w:pPr>
      <w:r w:rsidRPr="002927E1">
        <w:rPr>
          <w:noProof/>
          <w:lang w:val="en-US"/>
        </w:rPr>
        <w:drawing>
          <wp:inline distT="0" distB="0" distL="0" distR="0">
            <wp:extent cx="5897880" cy="3870960"/>
            <wp:effectExtent l="19050" t="0" r="7620" b="0"/>
            <wp:docPr id="26"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cstate="print"/>
                    <a:srcRect/>
                    <a:stretch>
                      <a:fillRect/>
                    </a:stretch>
                  </pic:blipFill>
                  <pic:spPr bwMode="auto">
                    <a:xfrm>
                      <a:off x="0" y="0"/>
                      <a:ext cx="5897880" cy="3870960"/>
                    </a:xfrm>
                    <a:prstGeom prst="rect">
                      <a:avLst/>
                    </a:prstGeom>
                    <a:noFill/>
                    <a:ln w="9525">
                      <a:noFill/>
                      <a:miter lim="800000"/>
                      <a:headEnd/>
                      <a:tailEnd/>
                    </a:ln>
                  </pic:spPr>
                </pic:pic>
              </a:graphicData>
            </a:graphic>
          </wp:inline>
        </w:drawing>
      </w:r>
    </w:p>
    <w:p w:rsidR="00EA6058" w:rsidRPr="003631E5" w:rsidRDefault="00EA6058" w:rsidP="00EA6058">
      <w:pPr>
        <w:pStyle w:val="Style3"/>
        <w:spacing w:after="0"/>
        <w:rPr>
          <w:rFonts w:cs="Arial"/>
          <w:sz w:val="20"/>
        </w:rPr>
      </w:pPr>
    </w:p>
    <w:p w:rsidR="00EA6058" w:rsidRPr="00B24DA2" w:rsidRDefault="00A07032" w:rsidP="00EA6058">
      <w:pPr>
        <w:pStyle w:val="Style3"/>
        <w:spacing w:after="0"/>
        <w:rPr>
          <w:rFonts w:cs="Arial"/>
          <w:sz w:val="20"/>
          <w:lang w:val="es-ES"/>
        </w:rPr>
      </w:pPr>
      <w:r w:rsidRPr="00294260">
        <w:rPr>
          <w:rFonts w:cs="Arial"/>
          <w:sz w:val="20"/>
        </w:rPr>
        <w:t>Conforme a las IPSAS, las prestaciones a los empleados son las siguientes:</w:t>
      </w:r>
    </w:p>
    <w:p w:rsidR="00EA6058" w:rsidRPr="00B24DA2" w:rsidRDefault="00EA6058" w:rsidP="00EA6058">
      <w:pPr>
        <w:pStyle w:val="Style3"/>
        <w:spacing w:after="0"/>
        <w:rPr>
          <w:rFonts w:cs="Arial"/>
          <w:i/>
          <w:sz w:val="20"/>
          <w:lang w:val="es-ES"/>
        </w:rPr>
      </w:pPr>
    </w:p>
    <w:p w:rsidR="00EA6058" w:rsidRPr="00B24DA2" w:rsidRDefault="008057B2" w:rsidP="002576BB">
      <w:pPr>
        <w:pStyle w:val="Style3"/>
        <w:rPr>
          <w:rFonts w:cs="Arial"/>
          <w:sz w:val="20"/>
          <w:lang w:val="es-ES"/>
        </w:rPr>
      </w:pPr>
      <w:r>
        <w:rPr>
          <w:rFonts w:cs="Arial"/>
          <w:sz w:val="20"/>
        </w:rPr>
        <w:t>L</w:t>
      </w:r>
      <w:r w:rsidR="002576BB" w:rsidRPr="002576BB">
        <w:rPr>
          <w:rFonts w:cs="Arial"/>
          <w:sz w:val="20"/>
        </w:rPr>
        <w:t>as</w:t>
      </w:r>
      <w:r w:rsidR="002576BB" w:rsidRPr="002576BB">
        <w:rPr>
          <w:rFonts w:cs="Arial"/>
          <w:i/>
          <w:sz w:val="20"/>
        </w:rPr>
        <w:t xml:space="preserve"> </w:t>
      </w:r>
      <w:r w:rsidR="00A07032" w:rsidRPr="002576BB">
        <w:rPr>
          <w:rFonts w:cs="Arial"/>
          <w:i/>
          <w:sz w:val="20"/>
        </w:rPr>
        <w:t>prestaciones a corto plazo a los empleados</w:t>
      </w:r>
      <w:r w:rsidR="00A07032" w:rsidRPr="002576BB">
        <w:rPr>
          <w:rFonts w:cs="Arial"/>
          <w:sz w:val="20"/>
        </w:rPr>
        <w:t>, que incluyen el sueldo, subsidios y otras prestaciones por nombramiento inicial y para la educación de hijos a cargo, vacaciones anuales y seguro de accidentes y de vida, cuando se prevea que estas prestaciones se satisfagan en un plazo de doce meses;</w:t>
      </w:r>
    </w:p>
    <w:p w:rsidR="002576BB" w:rsidRPr="00B24DA2" w:rsidRDefault="008057B2" w:rsidP="002576BB">
      <w:pPr>
        <w:pStyle w:val="Style3"/>
        <w:rPr>
          <w:rFonts w:cs="Arial"/>
          <w:sz w:val="20"/>
          <w:lang w:val="es-ES"/>
        </w:rPr>
      </w:pPr>
      <w:r>
        <w:rPr>
          <w:rFonts w:cs="Arial"/>
          <w:sz w:val="20"/>
        </w:rPr>
        <w:t>L</w:t>
      </w:r>
      <w:r w:rsidR="002576BB" w:rsidRPr="002576BB">
        <w:rPr>
          <w:rFonts w:cs="Arial"/>
          <w:sz w:val="20"/>
        </w:rPr>
        <w:t>as</w:t>
      </w:r>
      <w:r w:rsidR="002576BB" w:rsidRPr="002576BB">
        <w:rPr>
          <w:rFonts w:cs="Arial"/>
          <w:i/>
          <w:sz w:val="20"/>
        </w:rPr>
        <w:t xml:space="preserve"> </w:t>
      </w:r>
      <w:r w:rsidR="00A07032" w:rsidRPr="002576BB">
        <w:rPr>
          <w:rFonts w:cs="Arial"/>
          <w:i/>
          <w:sz w:val="20"/>
        </w:rPr>
        <w:t xml:space="preserve">prestaciones a largo plazo a los empleados </w:t>
      </w:r>
      <w:r w:rsidR="00A07032" w:rsidRPr="002576BB">
        <w:rPr>
          <w:rFonts w:cs="Arial"/>
          <w:sz w:val="20"/>
        </w:rPr>
        <w:t>(o prestaciones a los empleados tras la separación del servicio), que incluyen las prestaciones posteriores al empleo, como el seguro médico tras la separación del servicio, y otras prestaciones a largo plazo a los empleados, como las prestaciones por separación del servicio, consistentes en primas de repatriación, traslado y transporte de efectos personales, y los días de vacaciones anuales acumulados a largo plazo;</w:t>
      </w:r>
      <w:r w:rsidR="00EA6058" w:rsidRPr="00B24DA2">
        <w:rPr>
          <w:rFonts w:cs="Arial"/>
          <w:sz w:val="20"/>
          <w:lang w:val="es-ES"/>
        </w:rPr>
        <w:t xml:space="preserve"> </w:t>
      </w:r>
      <w:r>
        <w:rPr>
          <w:rFonts w:cs="Arial"/>
          <w:sz w:val="20"/>
          <w:lang w:val="es-ES"/>
        </w:rPr>
        <w:t>y</w:t>
      </w:r>
    </w:p>
    <w:p w:rsidR="00EA6058" w:rsidRPr="00B24DA2" w:rsidRDefault="008057B2" w:rsidP="002576BB">
      <w:pPr>
        <w:pStyle w:val="Style3"/>
        <w:rPr>
          <w:rFonts w:cs="Arial"/>
          <w:sz w:val="20"/>
          <w:lang w:val="es-ES"/>
        </w:rPr>
      </w:pPr>
      <w:r>
        <w:rPr>
          <w:rFonts w:cs="Arial"/>
          <w:sz w:val="20"/>
        </w:rPr>
        <w:t>L</w:t>
      </w:r>
      <w:r w:rsidR="00A07032" w:rsidRPr="002576BB">
        <w:rPr>
          <w:rFonts w:cs="Arial"/>
          <w:sz w:val="20"/>
        </w:rPr>
        <w:t>os</w:t>
      </w:r>
      <w:r w:rsidR="00A07032" w:rsidRPr="002576BB">
        <w:rPr>
          <w:rFonts w:cs="Arial"/>
          <w:i/>
          <w:sz w:val="20"/>
        </w:rPr>
        <w:t xml:space="preserve"> beneficios por cese</w:t>
      </w:r>
      <w:r w:rsidR="00A07032" w:rsidRPr="002576BB">
        <w:rPr>
          <w:rFonts w:cs="Arial"/>
          <w:sz w:val="20"/>
        </w:rPr>
        <w:t>, que incluyen la indemnización pagadera a los miembros del personal beneficiarios de un nombramiento permanente, continuo o por un plazo fijo que hayan sido cesados por la Organización antes de la finalización del contrato.</w:t>
      </w:r>
    </w:p>
    <w:p w:rsidR="00EA6058" w:rsidRPr="00B24DA2" w:rsidRDefault="00EA6058" w:rsidP="00EA6058">
      <w:pPr>
        <w:pStyle w:val="Style3"/>
        <w:spacing w:after="0"/>
        <w:rPr>
          <w:rFonts w:cs="Arial"/>
          <w:sz w:val="20"/>
          <w:lang w:val="es-ES"/>
        </w:rPr>
      </w:pPr>
    </w:p>
    <w:p w:rsidR="00EA6058" w:rsidRPr="00B24DA2" w:rsidRDefault="00A07032" w:rsidP="00EA6058">
      <w:pPr>
        <w:pStyle w:val="Style3"/>
        <w:spacing w:after="0"/>
        <w:rPr>
          <w:rFonts w:cs="Arial"/>
          <w:b/>
          <w:sz w:val="20"/>
          <w:lang w:val="es-ES"/>
        </w:rPr>
      </w:pPr>
      <w:r w:rsidRPr="00B73A84">
        <w:rPr>
          <w:rFonts w:cs="Arial"/>
          <w:b/>
          <w:sz w:val="20"/>
        </w:rPr>
        <w:t>Prestaciones a corto plazo a los empleados</w:t>
      </w:r>
    </w:p>
    <w:p w:rsidR="00EA6058" w:rsidRPr="00B24DA2" w:rsidRDefault="00EA6058" w:rsidP="00EA6058">
      <w:pPr>
        <w:pStyle w:val="Style3"/>
        <w:spacing w:after="0"/>
        <w:rPr>
          <w:rFonts w:cs="Arial"/>
          <w:sz w:val="20"/>
          <w:lang w:val="es-ES"/>
        </w:rPr>
      </w:pPr>
    </w:p>
    <w:p w:rsidR="00EA6058" w:rsidRPr="00B24DA2" w:rsidRDefault="00A07032" w:rsidP="00EA6058">
      <w:pPr>
        <w:pStyle w:val="Style3"/>
        <w:spacing w:after="0"/>
        <w:rPr>
          <w:rFonts w:cs="Arial"/>
          <w:sz w:val="20"/>
          <w:lang w:val="es-ES"/>
        </w:rPr>
      </w:pPr>
      <w:r w:rsidRPr="00B73A84">
        <w:rPr>
          <w:rFonts w:cs="Arial"/>
          <w:sz w:val="20"/>
        </w:rPr>
        <w:t>La</w:t>
      </w:r>
      <w:r w:rsidR="00FE1638">
        <w:rPr>
          <w:rFonts w:cs="Arial"/>
          <w:sz w:val="20"/>
        </w:rPr>
        <w:t xml:space="preserve"> </w:t>
      </w:r>
      <w:r w:rsidRPr="00B73A84">
        <w:rPr>
          <w:rFonts w:cs="Arial"/>
          <w:sz w:val="20"/>
        </w:rPr>
        <w:t>UPOV ha reconocido pasivos por las siguientes prestaciones a corto plazo, cuyo valor se basa en el importe pagadero a cada miembro del personal en la fecha de preparación del informe:</w:t>
      </w:r>
    </w:p>
    <w:p w:rsidR="00EA6058" w:rsidRPr="00B24DA2" w:rsidRDefault="00EA6058" w:rsidP="00EA6058">
      <w:pPr>
        <w:pStyle w:val="Style3"/>
        <w:spacing w:after="0"/>
        <w:rPr>
          <w:rFonts w:cs="Arial"/>
          <w:sz w:val="20"/>
          <w:lang w:val="es-ES"/>
        </w:rPr>
      </w:pPr>
    </w:p>
    <w:p w:rsidR="00EA6058" w:rsidRPr="00B24DA2" w:rsidRDefault="004257EE" w:rsidP="00EA6058">
      <w:pPr>
        <w:pStyle w:val="Style3"/>
        <w:spacing w:after="0"/>
        <w:rPr>
          <w:rFonts w:cs="Arial"/>
          <w:sz w:val="20"/>
          <w:lang w:val="es-ES"/>
        </w:rPr>
      </w:pPr>
      <w:r w:rsidRPr="00B73A84">
        <w:rPr>
          <w:rFonts w:cs="Arial"/>
          <w:i/>
          <w:sz w:val="20"/>
        </w:rPr>
        <w:t>Días de vacaciones acumulados (personal temporero):</w:t>
      </w:r>
      <w:r w:rsidR="00EA6058" w:rsidRPr="00B24DA2">
        <w:rPr>
          <w:rFonts w:cs="Arial"/>
          <w:sz w:val="20"/>
          <w:lang w:val="es-ES"/>
        </w:rPr>
        <w:t xml:space="preserve"> </w:t>
      </w:r>
      <w:r w:rsidRPr="00B73A84">
        <w:rPr>
          <w:rFonts w:cs="Arial"/>
          <w:sz w:val="20"/>
        </w:rPr>
        <w:t>en el caso de los miembros del personal que hayan sido contratados con carácter temporal, los días de vacaciones anuales acumulados se clasifican como una prestación a corto plazo a los empleados.</w:t>
      </w:r>
      <w:r w:rsidR="00EA6058" w:rsidRPr="00B24DA2">
        <w:rPr>
          <w:rFonts w:cs="Arial"/>
          <w:sz w:val="20"/>
          <w:lang w:val="es-ES"/>
        </w:rPr>
        <w:t xml:space="preserve"> </w:t>
      </w:r>
      <w:r w:rsidR="008057B2">
        <w:rPr>
          <w:rFonts w:cs="Arial"/>
          <w:sz w:val="20"/>
          <w:lang w:val="es-ES"/>
        </w:rPr>
        <w:t xml:space="preserve"> </w:t>
      </w:r>
      <w:r w:rsidRPr="00B73A84">
        <w:rPr>
          <w:rFonts w:cs="Arial"/>
          <w:sz w:val="20"/>
        </w:rPr>
        <w:t>Los miembros del personal con contrato temporal pueden acumular hasta</w:t>
      </w:r>
      <w:r w:rsidR="00FE1638">
        <w:rPr>
          <w:rFonts w:cs="Arial"/>
          <w:sz w:val="20"/>
        </w:rPr>
        <w:t xml:space="preserve"> </w:t>
      </w:r>
      <w:r w:rsidRPr="00B73A84">
        <w:rPr>
          <w:rFonts w:cs="Arial"/>
          <w:sz w:val="20"/>
        </w:rPr>
        <w:t>15 días de vacaciones en un año determinado, y al final del nombramiento podrán abonarse como máximo</w:t>
      </w:r>
      <w:r w:rsidR="00FE1638">
        <w:rPr>
          <w:rFonts w:cs="Arial"/>
          <w:sz w:val="20"/>
        </w:rPr>
        <w:t xml:space="preserve"> </w:t>
      </w:r>
      <w:r w:rsidRPr="00B73A84">
        <w:rPr>
          <w:rFonts w:cs="Arial"/>
          <w:sz w:val="20"/>
        </w:rPr>
        <w:t>15 días acumulados de vacaciones.</w:t>
      </w:r>
      <w:r w:rsidR="00EA6058" w:rsidRPr="00B24DA2">
        <w:rPr>
          <w:rFonts w:cs="Arial"/>
          <w:sz w:val="20"/>
          <w:lang w:val="es-ES"/>
        </w:rPr>
        <w:t xml:space="preserve"> </w:t>
      </w:r>
      <w:r w:rsidR="008057B2">
        <w:rPr>
          <w:rFonts w:cs="Arial"/>
          <w:sz w:val="20"/>
          <w:lang w:val="es-ES"/>
        </w:rPr>
        <w:t xml:space="preserve"> </w:t>
      </w:r>
      <w:r w:rsidRPr="00B73A84">
        <w:rPr>
          <w:rFonts w:cs="Arial"/>
          <w:sz w:val="20"/>
        </w:rPr>
        <w:t>El pasivo pendiente en la fecha de preparación del informe asciende a</w:t>
      </w:r>
      <w:r w:rsidR="00FE1638">
        <w:rPr>
          <w:rFonts w:cs="Arial"/>
          <w:sz w:val="20"/>
        </w:rPr>
        <w:t xml:space="preserve"> </w:t>
      </w:r>
      <w:r w:rsidRPr="00B73A84">
        <w:rPr>
          <w:rFonts w:cs="Arial"/>
          <w:sz w:val="20"/>
        </w:rPr>
        <w:t>813 francos suizos (5.581 francos suizos al</w:t>
      </w:r>
      <w:r w:rsidR="00FE1638">
        <w:rPr>
          <w:rFonts w:cs="Arial"/>
          <w:sz w:val="20"/>
        </w:rPr>
        <w:t xml:space="preserve"> </w:t>
      </w:r>
      <w:r w:rsidRPr="00B73A84">
        <w:rPr>
          <w:rFonts w:cs="Arial"/>
          <w:sz w:val="20"/>
        </w:rPr>
        <w:t>31 de diciembre de</w:t>
      </w:r>
      <w:r w:rsidR="00FE1638">
        <w:rPr>
          <w:rFonts w:cs="Arial"/>
          <w:sz w:val="20"/>
        </w:rPr>
        <w:t xml:space="preserve"> </w:t>
      </w:r>
      <w:r w:rsidRPr="00B73A84">
        <w:rPr>
          <w:rFonts w:cs="Arial"/>
          <w:sz w:val="20"/>
        </w:rPr>
        <w:t>2017).</w:t>
      </w:r>
    </w:p>
    <w:p w:rsidR="00EA6058" w:rsidRPr="00B24DA2" w:rsidRDefault="00EA6058" w:rsidP="00EA6058">
      <w:pPr>
        <w:pStyle w:val="Style3"/>
        <w:spacing w:after="0"/>
        <w:rPr>
          <w:rFonts w:cs="Arial"/>
          <w:sz w:val="20"/>
          <w:lang w:val="es-ES"/>
        </w:rPr>
      </w:pPr>
    </w:p>
    <w:p w:rsidR="00EA6058" w:rsidRPr="00B24DA2" w:rsidRDefault="004257EE" w:rsidP="00EA6058">
      <w:pPr>
        <w:pStyle w:val="Style3"/>
        <w:spacing w:after="0"/>
        <w:rPr>
          <w:rFonts w:cs="Arial"/>
          <w:sz w:val="20"/>
          <w:lang w:val="es-ES"/>
        </w:rPr>
      </w:pPr>
      <w:r w:rsidRPr="00B73A84">
        <w:rPr>
          <w:rFonts w:cs="Arial"/>
          <w:i/>
          <w:sz w:val="20"/>
        </w:rPr>
        <w:t>Horas extraordinarias y horas acumuladas:</w:t>
      </w:r>
      <w:r w:rsidR="00EA6058" w:rsidRPr="00B24DA2">
        <w:rPr>
          <w:rFonts w:cs="Arial"/>
          <w:sz w:val="20"/>
          <w:lang w:val="es-ES"/>
        </w:rPr>
        <w:t xml:space="preserve"> </w:t>
      </w:r>
      <w:r w:rsidRPr="00B73A84">
        <w:rPr>
          <w:rFonts w:cs="Arial"/>
          <w:sz w:val="20"/>
        </w:rPr>
        <w:t>ciertos miembros del personal están facultados a percibir el pago en efectivo de las horas extraordinarias y las horas acumuladas tras la expiración de un período establecido en el Estatuto y el Reglamento del Personal.</w:t>
      </w:r>
      <w:r w:rsidR="00EA6058" w:rsidRPr="00B24DA2">
        <w:rPr>
          <w:rFonts w:cs="Arial"/>
          <w:sz w:val="20"/>
          <w:lang w:val="es-ES"/>
        </w:rPr>
        <w:t xml:space="preserve"> </w:t>
      </w:r>
      <w:r w:rsidR="008057B2">
        <w:rPr>
          <w:rFonts w:cs="Arial"/>
          <w:sz w:val="20"/>
          <w:lang w:val="es-ES"/>
        </w:rPr>
        <w:t xml:space="preserve"> </w:t>
      </w:r>
      <w:r w:rsidR="0083304E" w:rsidRPr="00B73A84">
        <w:rPr>
          <w:rFonts w:cs="Arial"/>
          <w:sz w:val="20"/>
        </w:rPr>
        <w:t>Hasta el final de</w:t>
      </w:r>
      <w:r w:rsidR="00FE1638">
        <w:rPr>
          <w:rFonts w:cs="Arial"/>
          <w:sz w:val="20"/>
        </w:rPr>
        <w:t xml:space="preserve"> </w:t>
      </w:r>
      <w:r w:rsidR="0083304E" w:rsidRPr="00B73A84">
        <w:rPr>
          <w:rFonts w:cs="Arial"/>
          <w:sz w:val="20"/>
        </w:rPr>
        <w:t>2018, los miembros del personal que se hubieran acogido al sistema de horario flexible podían acumular horas por el tiempo trabajado que superara las</w:t>
      </w:r>
      <w:r w:rsidR="00FE1638">
        <w:rPr>
          <w:rFonts w:cs="Arial"/>
          <w:sz w:val="20"/>
        </w:rPr>
        <w:t xml:space="preserve"> </w:t>
      </w:r>
      <w:r w:rsidR="0083304E" w:rsidRPr="00B73A84">
        <w:rPr>
          <w:rFonts w:cs="Arial"/>
          <w:sz w:val="20"/>
        </w:rPr>
        <w:t>40 horas semanales.</w:t>
      </w:r>
      <w:r w:rsidR="00EA6058" w:rsidRPr="00B24DA2">
        <w:rPr>
          <w:rFonts w:cs="Arial"/>
          <w:sz w:val="20"/>
          <w:lang w:val="es-ES"/>
        </w:rPr>
        <w:t xml:space="preserve"> </w:t>
      </w:r>
      <w:r w:rsidR="008057B2">
        <w:rPr>
          <w:rFonts w:cs="Arial"/>
          <w:sz w:val="20"/>
          <w:lang w:val="es-ES"/>
        </w:rPr>
        <w:t xml:space="preserve"> </w:t>
      </w:r>
      <w:r w:rsidR="009546E9" w:rsidRPr="00B73A84">
        <w:rPr>
          <w:rFonts w:cs="Arial"/>
          <w:sz w:val="20"/>
        </w:rPr>
        <w:t xml:space="preserve">Tras la introducción de una nueva política </w:t>
      </w:r>
      <w:r w:rsidR="00DB69C0" w:rsidRPr="00B73A84">
        <w:rPr>
          <w:rFonts w:cs="Arial"/>
          <w:sz w:val="20"/>
        </w:rPr>
        <w:t xml:space="preserve">sobre la gestión del tiempo de trabajo y </w:t>
      </w:r>
      <w:r w:rsidR="00F83840" w:rsidRPr="00B73A84">
        <w:rPr>
          <w:rFonts w:cs="Arial"/>
          <w:sz w:val="20"/>
        </w:rPr>
        <w:t>el régimen de trabajo flexible</w:t>
      </w:r>
      <w:r w:rsidR="009546E9" w:rsidRPr="00B73A84">
        <w:rPr>
          <w:rFonts w:cs="Arial"/>
          <w:sz w:val="20"/>
        </w:rPr>
        <w:t xml:space="preserve">, </w:t>
      </w:r>
      <w:r w:rsidR="004E21DF" w:rsidRPr="00B73A84">
        <w:rPr>
          <w:rFonts w:cs="Arial"/>
          <w:sz w:val="20"/>
        </w:rPr>
        <w:t xml:space="preserve">se </w:t>
      </w:r>
      <w:r w:rsidR="00586716" w:rsidRPr="00B73A84">
        <w:rPr>
          <w:rFonts w:cs="Arial"/>
          <w:sz w:val="20"/>
        </w:rPr>
        <w:t>suprimie</w:t>
      </w:r>
      <w:r w:rsidR="004E21DF" w:rsidRPr="00B73A84">
        <w:rPr>
          <w:rFonts w:cs="Arial"/>
          <w:sz w:val="20"/>
        </w:rPr>
        <w:t xml:space="preserve">ron </w:t>
      </w:r>
      <w:r w:rsidR="002A1275" w:rsidRPr="00B73A84">
        <w:rPr>
          <w:rFonts w:cs="Arial"/>
          <w:sz w:val="20"/>
        </w:rPr>
        <w:t xml:space="preserve">las horas </w:t>
      </w:r>
      <w:r w:rsidR="009546E9" w:rsidRPr="00B73A84">
        <w:rPr>
          <w:rFonts w:cs="Arial"/>
          <w:sz w:val="20"/>
        </w:rPr>
        <w:t>acumula</w:t>
      </w:r>
      <w:r w:rsidR="002A1275" w:rsidRPr="00B73A84">
        <w:rPr>
          <w:rFonts w:cs="Arial"/>
          <w:sz w:val="20"/>
        </w:rPr>
        <w:t xml:space="preserve">das </w:t>
      </w:r>
      <w:r w:rsidR="00F83840" w:rsidRPr="00B73A84">
        <w:rPr>
          <w:rFonts w:cs="Arial"/>
          <w:sz w:val="20"/>
        </w:rPr>
        <w:t>y</w:t>
      </w:r>
      <w:r w:rsidR="002A1275" w:rsidRPr="00B73A84">
        <w:rPr>
          <w:rFonts w:cs="Arial"/>
          <w:sz w:val="20"/>
        </w:rPr>
        <w:t xml:space="preserve"> </w:t>
      </w:r>
      <w:r w:rsidR="009546E9" w:rsidRPr="00B73A84">
        <w:rPr>
          <w:rFonts w:cs="Arial"/>
          <w:sz w:val="20"/>
        </w:rPr>
        <w:t xml:space="preserve">no </w:t>
      </w:r>
      <w:r w:rsidR="002A1275" w:rsidRPr="00B73A84">
        <w:rPr>
          <w:rFonts w:cs="Arial"/>
          <w:sz w:val="20"/>
        </w:rPr>
        <w:t>utilizad</w:t>
      </w:r>
      <w:r w:rsidR="00F83840" w:rsidRPr="00B73A84">
        <w:rPr>
          <w:rFonts w:cs="Arial"/>
          <w:sz w:val="20"/>
        </w:rPr>
        <w:t>as</w:t>
      </w:r>
      <w:r w:rsidR="009546E9" w:rsidRPr="00B73A84">
        <w:rPr>
          <w:rFonts w:cs="Arial"/>
          <w:sz w:val="20"/>
        </w:rPr>
        <w:t xml:space="preserve"> </w:t>
      </w:r>
      <w:r w:rsidR="00F83840" w:rsidRPr="00B73A84">
        <w:rPr>
          <w:rFonts w:cs="Arial"/>
          <w:sz w:val="20"/>
        </w:rPr>
        <w:t xml:space="preserve">hasta </w:t>
      </w:r>
      <w:r w:rsidR="002A1275" w:rsidRPr="00B73A84">
        <w:rPr>
          <w:rFonts w:cs="Arial"/>
          <w:sz w:val="20"/>
        </w:rPr>
        <w:t>el</w:t>
      </w:r>
      <w:r w:rsidR="00FE1638">
        <w:rPr>
          <w:rFonts w:cs="Arial"/>
          <w:sz w:val="20"/>
        </w:rPr>
        <w:t xml:space="preserve"> </w:t>
      </w:r>
      <w:r w:rsidR="002A1275" w:rsidRPr="00B73A84">
        <w:rPr>
          <w:rFonts w:cs="Arial"/>
          <w:sz w:val="20"/>
        </w:rPr>
        <w:t xml:space="preserve">28 de diciembre </w:t>
      </w:r>
      <w:r w:rsidR="002A1275" w:rsidRPr="00B73A84">
        <w:rPr>
          <w:rFonts w:cs="Arial"/>
          <w:sz w:val="20"/>
        </w:rPr>
        <w:lastRenderedPageBreak/>
        <w:t>de</w:t>
      </w:r>
      <w:r w:rsidR="00FE1638">
        <w:rPr>
          <w:rFonts w:cs="Arial"/>
          <w:sz w:val="20"/>
        </w:rPr>
        <w:t xml:space="preserve"> </w:t>
      </w:r>
      <w:r w:rsidR="009546E9" w:rsidRPr="00B73A84">
        <w:rPr>
          <w:rFonts w:cs="Arial"/>
          <w:sz w:val="20"/>
        </w:rPr>
        <w:t>2018 (</w:t>
      </w:r>
      <w:r w:rsidR="002A1275" w:rsidRPr="00B73A84">
        <w:rPr>
          <w:rFonts w:cs="Arial"/>
          <w:sz w:val="20"/>
        </w:rPr>
        <w:t>el</w:t>
      </w:r>
      <w:r w:rsidR="009546E9" w:rsidRPr="00B73A84">
        <w:rPr>
          <w:rFonts w:cs="Arial"/>
          <w:sz w:val="20"/>
        </w:rPr>
        <w:t xml:space="preserve"> </w:t>
      </w:r>
      <w:r w:rsidR="002A1275" w:rsidRPr="00B73A84">
        <w:rPr>
          <w:rFonts w:cs="Arial"/>
          <w:sz w:val="20"/>
        </w:rPr>
        <w:t>último</w:t>
      </w:r>
      <w:r w:rsidR="009546E9" w:rsidRPr="00B73A84">
        <w:rPr>
          <w:rFonts w:cs="Arial"/>
          <w:sz w:val="20"/>
        </w:rPr>
        <w:t xml:space="preserve"> día </w:t>
      </w:r>
      <w:r w:rsidR="002A1275" w:rsidRPr="00B73A84">
        <w:rPr>
          <w:rFonts w:cs="Arial"/>
          <w:sz w:val="20"/>
        </w:rPr>
        <w:t xml:space="preserve">laborable </w:t>
      </w:r>
      <w:r w:rsidR="009546E9" w:rsidRPr="00B73A84">
        <w:rPr>
          <w:rFonts w:cs="Arial"/>
          <w:sz w:val="20"/>
        </w:rPr>
        <w:t>de</w:t>
      </w:r>
      <w:r w:rsidR="002A1275" w:rsidRPr="00B73A84">
        <w:rPr>
          <w:rFonts w:cs="Arial"/>
          <w:sz w:val="20"/>
        </w:rPr>
        <w:t>l</w:t>
      </w:r>
      <w:r w:rsidR="009546E9" w:rsidRPr="00B73A84">
        <w:rPr>
          <w:rFonts w:cs="Arial"/>
          <w:sz w:val="20"/>
        </w:rPr>
        <w:t xml:space="preserve"> año).</w:t>
      </w:r>
      <w:r w:rsidR="00EA6058" w:rsidRPr="00B24DA2">
        <w:rPr>
          <w:rFonts w:cs="Arial"/>
          <w:sz w:val="20"/>
          <w:lang w:val="es-ES"/>
        </w:rPr>
        <w:t xml:space="preserve"> </w:t>
      </w:r>
      <w:r w:rsidR="008057B2">
        <w:rPr>
          <w:rFonts w:cs="Arial"/>
          <w:sz w:val="20"/>
          <w:lang w:val="es-ES"/>
        </w:rPr>
        <w:t xml:space="preserve"> </w:t>
      </w:r>
      <w:r w:rsidR="00586716" w:rsidRPr="00B73A84">
        <w:rPr>
          <w:rFonts w:cs="Arial"/>
          <w:sz w:val="20"/>
        </w:rPr>
        <w:t>El pasivo total por las horas extraordinarias en la fecha de preparación del informe asciende a</w:t>
      </w:r>
      <w:r w:rsidR="00FE1638">
        <w:rPr>
          <w:rFonts w:cs="Arial"/>
          <w:sz w:val="20"/>
        </w:rPr>
        <w:t xml:space="preserve"> </w:t>
      </w:r>
      <w:r w:rsidR="00586716" w:rsidRPr="00B73A84">
        <w:rPr>
          <w:rFonts w:cs="Arial"/>
          <w:sz w:val="20"/>
        </w:rPr>
        <w:t>5.361 francos suizos (9.584 francos suizos al</w:t>
      </w:r>
      <w:r w:rsidR="00FE1638">
        <w:rPr>
          <w:rFonts w:cs="Arial"/>
          <w:sz w:val="20"/>
        </w:rPr>
        <w:t xml:space="preserve"> </w:t>
      </w:r>
      <w:r w:rsidR="00586716" w:rsidRPr="00B73A84">
        <w:rPr>
          <w:rFonts w:cs="Arial"/>
          <w:sz w:val="20"/>
        </w:rPr>
        <w:t>31 de diciembre de</w:t>
      </w:r>
      <w:r w:rsidR="00FE1638">
        <w:rPr>
          <w:rFonts w:cs="Arial"/>
          <w:sz w:val="20"/>
        </w:rPr>
        <w:t xml:space="preserve"> </w:t>
      </w:r>
      <w:r w:rsidR="00586716" w:rsidRPr="00B73A84">
        <w:rPr>
          <w:rFonts w:cs="Arial"/>
          <w:sz w:val="20"/>
        </w:rPr>
        <w:t>2017, incluidas las horas acumuladas).</w:t>
      </w:r>
    </w:p>
    <w:p w:rsidR="00EA6058" w:rsidRPr="00B24DA2" w:rsidRDefault="00EA6058" w:rsidP="00EA6058">
      <w:pPr>
        <w:rPr>
          <w:lang w:val="es-ES"/>
        </w:rPr>
      </w:pPr>
    </w:p>
    <w:p w:rsidR="00EA6058" w:rsidRPr="00BD0A1D" w:rsidRDefault="00F83840" w:rsidP="00EA6058">
      <w:pPr>
        <w:pStyle w:val="Style3"/>
        <w:spacing w:after="0"/>
        <w:rPr>
          <w:rFonts w:cs="Arial"/>
          <w:sz w:val="20"/>
          <w:lang w:val="es-ES"/>
        </w:rPr>
      </w:pPr>
      <w:r w:rsidRPr="00B73A84">
        <w:rPr>
          <w:rFonts w:cs="Arial"/>
          <w:i/>
          <w:sz w:val="20"/>
        </w:rPr>
        <w:t>Subsidio por gastos de educación:</w:t>
      </w:r>
      <w:r w:rsidR="00EA6058" w:rsidRPr="00B24DA2">
        <w:rPr>
          <w:rFonts w:cs="Arial"/>
          <w:sz w:val="20"/>
          <w:lang w:val="es-ES"/>
        </w:rPr>
        <w:t xml:space="preserve"> </w:t>
      </w:r>
      <w:r w:rsidRPr="00B73A84">
        <w:rPr>
          <w:rFonts w:cs="Arial"/>
          <w:sz w:val="20"/>
        </w:rPr>
        <w:t>ciertos miembros del personal contratados internacionalmente que no residen en su país de origen tienen derecho a percibir un subsidio que cubre el</w:t>
      </w:r>
      <w:r w:rsidR="00FE1638">
        <w:rPr>
          <w:rFonts w:cs="Arial"/>
          <w:sz w:val="20"/>
        </w:rPr>
        <w:t xml:space="preserve"> </w:t>
      </w:r>
      <w:r w:rsidRPr="00B73A84">
        <w:rPr>
          <w:rFonts w:cs="Arial"/>
          <w:sz w:val="20"/>
        </w:rPr>
        <w:t>75% de los costos de educación por hijo a cargo hasta el cuarto año de enseñanza escolar superior, pero no los estudios posteriores al final del año escolar en que el hijo cumpla</w:t>
      </w:r>
      <w:r w:rsidR="00FE1638">
        <w:rPr>
          <w:rFonts w:cs="Arial"/>
          <w:sz w:val="20"/>
        </w:rPr>
        <w:t xml:space="preserve"> </w:t>
      </w:r>
      <w:r w:rsidRPr="00B73A84">
        <w:rPr>
          <w:rFonts w:cs="Arial"/>
          <w:sz w:val="20"/>
        </w:rPr>
        <w:t>25 años.</w:t>
      </w:r>
      <w:r w:rsidR="00EA6058" w:rsidRPr="00B24DA2">
        <w:rPr>
          <w:rFonts w:cs="Arial"/>
          <w:sz w:val="20"/>
          <w:lang w:val="es-ES"/>
        </w:rPr>
        <w:t xml:space="preserve"> </w:t>
      </w:r>
      <w:r w:rsidR="008057B2">
        <w:rPr>
          <w:rFonts w:cs="Arial"/>
          <w:sz w:val="20"/>
          <w:lang w:val="es-ES"/>
        </w:rPr>
        <w:t xml:space="preserve"> </w:t>
      </w:r>
      <w:r w:rsidRPr="00B73A84">
        <w:rPr>
          <w:rFonts w:cs="Arial"/>
          <w:sz w:val="20"/>
        </w:rPr>
        <w:t>El pasivo por subsidios de educación pendientes de pago guarda relación con el número de meses que han transcurrido desde el inicio del año escolar o universitario hasta el</w:t>
      </w:r>
      <w:r w:rsidR="00FE1638">
        <w:rPr>
          <w:rFonts w:cs="Arial"/>
          <w:sz w:val="20"/>
        </w:rPr>
        <w:t xml:space="preserve"> </w:t>
      </w:r>
      <w:r w:rsidRPr="00B73A84">
        <w:rPr>
          <w:rFonts w:cs="Arial"/>
          <w:sz w:val="20"/>
        </w:rPr>
        <w:t>31 de diciembre de</w:t>
      </w:r>
      <w:r w:rsidR="00FE1638">
        <w:rPr>
          <w:rFonts w:cs="Arial"/>
          <w:sz w:val="20"/>
        </w:rPr>
        <w:t xml:space="preserve"> </w:t>
      </w:r>
      <w:r w:rsidRPr="00B73A84">
        <w:rPr>
          <w:rFonts w:cs="Arial"/>
          <w:sz w:val="20"/>
        </w:rPr>
        <w:t>2018, respecto de los cuales se adeudan los respectivos derechos de matrícula.</w:t>
      </w:r>
      <w:r w:rsidR="00EA6058" w:rsidRPr="00B24DA2">
        <w:rPr>
          <w:rFonts w:cs="Arial"/>
          <w:sz w:val="20"/>
          <w:lang w:val="es-ES"/>
        </w:rPr>
        <w:t xml:space="preserve"> </w:t>
      </w:r>
      <w:r w:rsidR="008057B2">
        <w:rPr>
          <w:rFonts w:cs="Arial"/>
          <w:sz w:val="20"/>
          <w:lang w:val="es-ES"/>
        </w:rPr>
        <w:t xml:space="preserve"> </w:t>
      </w:r>
      <w:r w:rsidRPr="00B73A84">
        <w:rPr>
          <w:rFonts w:cs="Arial"/>
          <w:sz w:val="20"/>
        </w:rPr>
        <w:t>El pasivo total en la fecha de preparación del informe asciende a</w:t>
      </w:r>
      <w:r w:rsidR="00FE1638">
        <w:rPr>
          <w:rFonts w:cs="Arial"/>
          <w:sz w:val="20"/>
        </w:rPr>
        <w:t xml:space="preserve"> </w:t>
      </w:r>
      <w:r w:rsidR="008057B2">
        <w:rPr>
          <w:rFonts w:cs="Arial"/>
          <w:sz w:val="20"/>
        </w:rPr>
        <w:t>9.467 francos suizos (6.933 </w:t>
      </w:r>
      <w:r w:rsidRPr="00B73A84">
        <w:rPr>
          <w:rFonts w:cs="Arial"/>
          <w:sz w:val="20"/>
        </w:rPr>
        <w:t>francos suizos al</w:t>
      </w:r>
      <w:r w:rsidR="00FE1638">
        <w:rPr>
          <w:rFonts w:cs="Arial"/>
          <w:sz w:val="20"/>
        </w:rPr>
        <w:t xml:space="preserve"> </w:t>
      </w:r>
      <w:r w:rsidRPr="00B73A84">
        <w:rPr>
          <w:rFonts w:cs="Arial"/>
          <w:sz w:val="20"/>
        </w:rPr>
        <w:t>31 de diciembre de</w:t>
      </w:r>
      <w:r w:rsidR="00FE1638">
        <w:rPr>
          <w:rFonts w:cs="Arial"/>
          <w:sz w:val="20"/>
        </w:rPr>
        <w:t xml:space="preserve"> </w:t>
      </w:r>
      <w:r w:rsidRPr="00B73A84">
        <w:rPr>
          <w:rFonts w:cs="Arial"/>
          <w:sz w:val="20"/>
        </w:rPr>
        <w:t>2017).</w:t>
      </w:r>
    </w:p>
    <w:p w:rsidR="00EA6058" w:rsidRPr="00BD0A1D" w:rsidRDefault="00EA6058" w:rsidP="00EA6058">
      <w:pPr>
        <w:pStyle w:val="Style3"/>
        <w:spacing w:after="0"/>
        <w:rPr>
          <w:rFonts w:cs="Arial"/>
          <w:sz w:val="20"/>
          <w:lang w:val="es-ES"/>
        </w:rPr>
      </w:pPr>
    </w:p>
    <w:p w:rsidR="00EA6058" w:rsidRPr="00BD0A1D" w:rsidRDefault="00F83840" w:rsidP="00EA6058">
      <w:pPr>
        <w:pStyle w:val="Style3"/>
        <w:spacing w:after="0"/>
        <w:rPr>
          <w:rFonts w:cs="Arial"/>
          <w:b/>
          <w:sz w:val="20"/>
          <w:lang w:val="es-ES"/>
        </w:rPr>
      </w:pPr>
      <w:r w:rsidRPr="00B73A84">
        <w:rPr>
          <w:rFonts w:cs="Arial"/>
          <w:b/>
          <w:sz w:val="20"/>
        </w:rPr>
        <w:t>Prestaciones a largo plazo a los empleados</w:t>
      </w:r>
      <w:r w:rsidR="00EA6058" w:rsidRPr="00BD0A1D">
        <w:rPr>
          <w:rFonts w:cs="Arial"/>
          <w:b/>
          <w:sz w:val="20"/>
          <w:lang w:val="es-ES"/>
        </w:rPr>
        <w:t xml:space="preserve"> </w:t>
      </w:r>
    </w:p>
    <w:p w:rsidR="00EA6058" w:rsidRPr="00BD0A1D" w:rsidRDefault="00EA6058" w:rsidP="00EA6058">
      <w:pPr>
        <w:pStyle w:val="Style3"/>
        <w:spacing w:after="0"/>
        <w:rPr>
          <w:rFonts w:cs="Arial"/>
          <w:b/>
          <w:sz w:val="20"/>
          <w:lang w:val="es-ES"/>
        </w:rPr>
      </w:pPr>
    </w:p>
    <w:p w:rsidR="00EA6058" w:rsidRPr="00BD0A1D" w:rsidRDefault="00F83840" w:rsidP="00EA6058">
      <w:pPr>
        <w:pStyle w:val="Style3"/>
        <w:spacing w:after="0"/>
        <w:rPr>
          <w:rFonts w:cs="Arial"/>
          <w:sz w:val="20"/>
          <w:lang w:val="es-ES"/>
        </w:rPr>
      </w:pPr>
      <w:r w:rsidRPr="00B73A84">
        <w:rPr>
          <w:rFonts w:cs="Arial"/>
          <w:i/>
          <w:sz w:val="20"/>
        </w:rPr>
        <w:t>Días de vacaciones acumulados (puestos):</w:t>
      </w:r>
      <w:r w:rsidR="00EA6058" w:rsidRPr="00BD0A1D">
        <w:rPr>
          <w:rFonts w:cs="Arial"/>
          <w:sz w:val="20"/>
          <w:lang w:val="es-ES"/>
        </w:rPr>
        <w:t xml:space="preserve"> </w:t>
      </w:r>
      <w:r w:rsidRPr="00B73A84">
        <w:rPr>
          <w:rFonts w:cs="Arial"/>
          <w:sz w:val="20"/>
        </w:rPr>
        <w:t>en el caso de los miembros del personal con nombramientos permanentes, continuos o de plazo fijo, los días de vacaciones anuales acumulados se clasifican como una prestación a largo plazo a los empleados y el pasivo lo calcula un actuario externo.</w:t>
      </w:r>
      <w:r w:rsidR="00EA6058" w:rsidRPr="00BD0A1D">
        <w:rPr>
          <w:rFonts w:cs="Arial"/>
          <w:sz w:val="20"/>
          <w:lang w:val="es-ES"/>
        </w:rPr>
        <w:t xml:space="preserve"> </w:t>
      </w:r>
      <w:r w:rsidR="008057B2">
        <w:rPr>
          <w:rFonts w:cs="Arial"/>
          <w:sz w:val="20"/>
          <w:lang w:val="es-ES"/>
        </w:rPr>
        <w:t xml:space="preserve"> </w:t>
      </w:r>
      <w:r w:rsidRPr="00B73A84">
        <w:rPr>
          <w:rFonts w:cs="Arial"/>
          <w:sz w:val="20"/>
        </w:rPr>
        <w:t>Los miembros del personal permanente podrán acumular hasta</w:t>
      </w:r>
      <w:r w:rsidR="00FE1638">
        <w:rPr>
          <w:rFonts w:cs="Arial"/>
          <w:sz w:val="20"/>
        </w:rPr>
        <w:t xml:space="preserve"> </w:t>
      </w:r>
      <w:r w:rsidRPr="00B73A84">
        <w:rPr>
          <w:rFonts w:cs="Arial"/>
          <w:sz w:val="20"/>
        </w:rPr>
        <w:t>15 días de vacaciones anuales en un año determinado y tener un saldo acumulado de 60</w:t>
      </w:r>
      <w:r w:rsidR="00FE1638">
        <w:rPr>
          <w:rFonts w:cs="Arial"/>
          <w:sz w:val="20"/>
        </w:rPr>
        <w:t xml:space="preserve"> </w:t>
      </w:r>
      <w:r w:rsidRPr="00B73A84">
        <w:rPr>
          <w:rFonts w:cs="Arial"/>
          <w:sz w:val="20"/>
        </w:rPr>
        <w:t>días.</w:t>
      </w:r>
      <w:r w:rsidR="00EA6058" w:rsidRPr="00BD0A1D">
        <w:rPr>
          <w:rFonts w:cs="Arial"/>
          <w:sz w:val="20"/>
          <w:lang w:val="es-ES"/>
        </w:rPr>
        <w:t xml:space="preserve"> </w:t>
      </w:r>
      <w:r w:rsidR="008057B2">
        <w:rPr>
          <w:rFonts w:cs="Arial"/>
          <w:sz w:val="20"/>
          <w:lang w:val="es-ES"/>
        </w:rPr>
        <w:t xml:space="preserve"> </w:t>
      </w:r>
      <w:r w:rsidRPr="00B73A84">
        <w:rPr>
          <w:rFonts w:cs="Arial"/>
          <w:sz w:val="20"/>
        </w:rPr>
        <w:t>En el momento de la separación del servicio, los miembros del personal permanente que hayan acumulado días de vacaciones anuales tienen derecho a percibir una compensación económica de un importe equivalente al sueldo correspondiente a esos días de vacaciones anuales acumulados.</w:t>
      </w:r>
      <w:r w:rsidR="00EA6058" w:rsidRPr="00BD0A1D">
        <w:rPr>
          <w:rFonts w:cs="Arial"/>
          <w:sz w:val="20"/>
          <w:lang w:val="es-ES"/>
        </w:rPr>
        <w:t xml:space="preserve"> </w:t>
      </w:r>
      <w:r w:rsidR="008057B2">
        <w:rPr>
          <w:rFonts w:cs="Arial"/>
          <w:sz w:val="20"/>
          <w:lang w:val="es-ES"/>
        </w:rPr>
        <w:t xml:space="preserve"> </w:t>
      </w:r>
      <w:r w:rsidRPr="00B73A84">
        <w:rPr>
          <w:rFonts w:cs="Arial"/>
          <w:sz w:val="20"/>
        </w:rPr>
        <w:t>En circunstancias excepcionales, a un miembro del personal puede concedérsele un anticipo de las vacaciones anuales de un máximo de</w:t>
      </w:r>
      <w:r w:rsidR="00FE1638">
        <w:rPr>
          <w:rFonts w:cs="Arial"/>
          <w:sz w:val="20"/>
        </w:rPr>
        <w:t xml:space="preserve"> </w:t>
      </w:r>
      <w:r w:rsidRPr="00B73A84">
        <w:rPr>
          <w:rFonts w:cs="Arial"/>
          <w:sz w:val="20"/>
        </w:rPr>
        <w:t>10 días laborables.</w:t>
      </w:r>
      <w:r w:rsidR="00EA6058" w:rsidRPr="00BD0A1D">
        <w:rPr>
          <w:rFonts w:cs="Arial"/>
          <w:sz w:val="20"/>
          <w:lang w:val="es-ES"/>
        </w:rPr>
        <w:t xml:space="preserve"> </w:t>
      </w:r>
      <w:r w:rsidR="008057B2">
        <w:rPr>
          <w:rFonts w:cs="Arial"/>
          <w:sz w:val="20"/>
          <w:lang w:val="es-ES"/>
        </w:rPr>
        <w:t xml:space="preserve"> </w:t>
      </w:r>
      <w:r w:rsidRPr="00B73A84">
        <w:rPr>
          <w:rFonts w:cs="Arial"/>
          <w:sz w:val="20"/>
        </w:rPr>
        <w:t>Esos casos se incluyen en el cálculo del saldo total de vacaciones acumuladas.</w:t>
      </w:r>
      <w:r w:rsidR="00EA6058" w:rsidRPr="00BD0A1D">
        <w:rPr>
          <w:rFonts w:cs="Arial"/>
          <w:sz w:val="20"/>
          <w:lang w:val="es-ES"/>
        </w:rPr>
        <w:t xml:space="preserve"> </w:t>
      </w:r>
      <w:r w:rsidR="008057B2">
        <w:rPr>
          <w:rFonts w:cs="Arial"/>
          <w:sz w:val="20"/>
          <w:lang w:val="es-ES"/>
        </w:rPr>
        <w:t xml:space="preserve"> </w:t>
      </w:r>
      <w:r w:rsidRPr="00B73A84">
        <w:rPr>
          <w:rFonts w:cs="Arial"/>
          <w:sz w:val="20"/>
        </w:rPr>
        <w:t>El pasivo pendiente en la fecha de preparación del informe asciende a</w:t>
      </w:r>
      <w:r w:rsidR="00FE1638">
        <w:rPr>
          <w:rFonts w:cs="Arial"/>
          <w:sz w:val="20"/>
        </w:rPr>
        <w:t xml:space="preserve"> </w:t>
      </w:r>
      <w:r w:rsidR="008057B2">
        <w:rPr>
          <w:rFonts w:cs="Arial"/>
          <w:sz w:val="20"/>
        </w:rPr>
        <w:t>56.609 </w:t>
      </w:r>
      <w:r w:rsidRPr="00B73A84">
        <w:rPr>
          <w:rFonts w:cs="Arial"/>
          <w:sz w:val="20"/>
        </w:rPr>
        <w:t>francos suizos (61.975 francos suizos al</w:t>
      </w:r>
      <w:r w:rsidR="00FE1638">
        <w:rPr>
          <w:rFonts w:cs="Arial"/>
          <w:sz w:val="20"/>
        </w:rPr>
        <w:t xml:space="preserve"> </w:t>
      </w:r>
      <w:r w:rsidRPr="00B73A84">
        <w:rPr>
          <w:rFonts w:cs="Arial"/>
          <w:sz w:val="20"/>
        </w:rPr>
        <w:t>31 de diciembre de</w:t>
      </w:r>
      <w:r w:rsidR="00FE1638">
        <w:rPr>
          <w:rFonts w:cs="Arial"/>
          <w:sz w:val="20"/>
        </w:rPr>
        <w:t xml:space="preserve"> </w:t>
      </w:r>
      <w:r w:rsidRPr="00B73A84">
        <w:rPr>
          <w:rFonts w:cs="Arial"/>
          <w:sz w:val="20"/>
        </w:rPr>
        <w:t>2017).</w:t>
      </w:r>
    </w:p>
    <w:p w:rsidR="00EA6058" w:rsidRPr="00BD0A1D" w:rsidRDefault="00EA6058" w:rsidP="00EA6058">
      <w:pPr>
        <w:pStyle w:val="Style3"/>
        <w:spacing w:after="0"/>
        <w:rPr>
          <w:rFonts w:cs="Arial"/>
          <w:sz w:val="20"/>
          <w:lang w:val="es-ES"/>
        </w:rPr>
      </w:pPr>
    </w:p>
    <w:p w:rsidR="00EA6058" w:rsidRPr="00B24DA2" w:rsidRDefault="00F83840" w:rsidP="00EA6058">
      <w:pPr>
        <w:pStyle w:val="Style3"/>
        <w:spacing w:after="0"/>
        <w:rPr>
          <w:rFonts w:cs="Arial"/>
          <w:sz w:val="20"/>
          <w:lang w:val="es-ES"/>
        </w:rPr>
      </w:pPr>
      <w:r w:rsidRPr="00B73A84">
        <w:rPr>
          <w:rFonts w:cs="Arial"/>
          <w:i/>
          <w:sz w:val="20"/>
        </w:rPr>
        <w:t>Primas de repatriación y traslado:</w:t>
      </w:r>
      <w:r w:rsidR="00EA6058" w:rsidRPr="00B24DA2">
        <w:rPr>
          <w:rFonts w:cs="Arial"/>
          <w:sz w:val="20"/>
          <w:lang w:val="es-ES"/>
        </w:rPr>
        <w:t xml:space="preserve"> </w:t>
      </w:r>
      <w:r w:rsidRPr="00B73A84">
        <w:rPr>
          <w:rFonts w:cs="Arial"/>
          <w:sz w:val="20"/>
        </w:rPr>
        <w:t>la</w:t>
      </w:r>
      <w:r w:rsidR="00FE1638">
        <w:rPr>
          <w:rFonts w:cs="Arial"/>
          <w:sz w:val="20"/>
        </w:rPr>
        <w:t xml:space="preserve"> </w:t>
      </w:r>
      <w:r w:rsidRPr="00B73A84">
        <w:rPr>
          <w:rFonts w:cs="Arial"/>
          <w:sz w:val="20"/>
        </w:rPr>
        <w:t>UPOV tiene la obligación contractual de proporcionar, en el momento de la separación del servicio y a determinados miembros del personal contratados internacionalmente, prestaciones como las primas de repatriación y traslado.</w:t>
      </w:r>
      <w:r w:rsidR="00680842" w:rsidRPr="00B24DA2">
        <w:rPr>
          <w:rFonts w:cs="Arial"/>
          <w:sz w:val="20"/>
          <w:lang w:val="es-ES"/>
        </w:rPr>
        <w:t xml:space="preserve"> </w:t>
      </w:r>
      <w:r w:rsidR="008057B2">
        <w:rPr>
          <w:rFonts w:cs="Arial"/>
          <w:sz w:val="20"/>
          <w:lang w:val="es-ES"/>
        </w:rPr>
        <w:t xml:space="preserve"> </w:t>
      </w:r>
      <w:r w:rsidRPr="00B73A84">
        <w:rPr>
          <w:rFonts w:cs="Arial"/>
          <w:sz w:val="20"/>
        </w:rPr>
        <w:t>Sobre la base de una valoración actuarial llevada a cabo en diciembre de</w:t>
      </w:r>
      <w:r w:rsidR="00FE1638">
        <w:rPr>
          <w:rFonts w:cs="Arial"/>
          <w:sz w:val="20"/>
        </w:rPr>
        <w:t xml:space="preserve"> </w:t>
      </w:r>
      <w:r w:rsidRPr="00B73A84">
        <w:rPr>
          <w:rFonts w:cs="Arial"/>
          <w:sz w:val="20"/>
        </w:rPr>
        <w:t>2018 por un actuario independiente, se estimó que, en la fecha de preparación del informe, dicha obligación representaba el importe siguiente:</w:t>
      </w:r>
    </w:p>
    <w:p w:rsidR="00EA6058" w:rsidRPr="00B24DA2" w:rsidRDefault="00850FDE" w:rsidP="00EA6058">
      <w:pPr>
        <w:pStyle w:val="Style3"/>
        <w:spacing w:after="0"/>
        <w:rPr>
          <w:rFonts w:cs="Arial"/>
          <w:sz w:val="20"/>
          <w:lang w:val="es-ES"/>
        </w:rPr>
      </w:pPr>
      <w:r w:rsidRPr="003631E5">
        <w:rPr>
          <w:rFonts w:cs="Arial"/>
          <w:noProof/>
          <w:sz w:val="20"/>
        </w:rPr>
        <w:fldChar w:fldCharType="begin"/>
      </w:r>
      <w:r w:rsidR="00EA6058" w:rsidRPr="00B24DA2">
        <w:rPr>
          <w:rFonts w:cs="Arial"/>
          <w:noProof/>
          <w:sz w:val="20"/>
          <w:lang w:val="es-ES"/>
        </w:rPr>
        <w:instrText xml:space="preserve"> LINK Excel.Sheet.12 "\\\\wipogvafs01\\FIN\\ORGBFFI\\SHARED\\IPSAS\\13. UPOV YEAR END FILES\\2013\\01. LEAD DOCUMENTS\\01. UPOV TABLES FOR FINANCIAL STATEMENTS 2013.xlsx" "Note 7 Repat Grant!Print_Area" \a \f 4 \h  \* MERGEFORMAT </w:instrText>
      </w:r>
      <w:r w:rsidRPr="003631E5">
        <w:rPr>
          <w:rFonts w:cs="Arial"/>
          <w:noProof/>
          <w:sz w:val="20"/>
        </w:rPr>
        <w:fldChar w:fldCharType="separate"/>
      </w:r>
      <w:bookmarkStart w:id="30" w:name="RANGE!B3:E6"/>
      <w:bookmarkEnd w:id="30"/>
    </w:p>
    <w:p w:rsidR="00EA6058" w:rsidRPr="003631E5" w:rsidRDefault="00850FDE" w:rsidP="00EA6058">
      <w:pPr>
        <w:pStyle w:val="Style3"/>
        <w:spacing w:after="0"/>
        <w:jc w:val="center"/>
        <w:rPr>
          <w:rFonts w:cs="Arial"/>
          <w:sz w:val="20"/>
        </w:rPr>
      </w:pPr>
      <w:r w:rsidRPr="003631E5">
        <w:rPr>
          <w:rFonts w:cs="Arial"/>
          <w:noProof/>
          <w:sz w:val="20"/>
        </w:rPr>
        <w:fldChar w:fldCharType="end"/>
      </w:r>
      <w:r w:rsidR="00940928" w:rsidRPr="00940928">
        <w:rPr>
          <w:noProof/>
          <w:lang w:val="en-US"/>
        </w:rPr>
        <w:drawing>
          <wp:inline distT="0" distB="0" distL="0" distR="0">
            <wp:extent cx="5882640" cy="1310640"/>
            <wp:effectExtent l="19050" t="0" r="381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cstate="print"/>
                    <a:srcRect/>
                    <a:stretch>
                      <a:fillRect/>
                    </a:stretch>
                  </pic:blipFill>
                  <pic:spPr bwMode="auto">
                    <a:xfrm>
                      <a:off x="0" y="0"/>
                      <a:ext cx="5882640" cy="1310640"/>
                    </a:xfrm>
                    <a:prstGeom prst="rect">
                      <a:avLst/>
                    </a:prstGeom>
                    <a:noFill/>
                    <a:ln w="9525">
                      <a:noFill/>
                      <a:miter lim="800000"/>
                      <a:headEnd/>
                      <a:tailEnd/>
                    </a:ln>
                  </pic:spPr>
                </pic:pic>
              </a:graphicData>
            </a:graphic>
          </wp:inline>
        </w:drawing>
      </w:r>
    </w:p>
    <w:p w:rsidR="00EA6058" w:rsidRPr="003631E5" w:rsidRDefault="00EA6058" w:rsidP="00EA6058"/>
    <w:p w:rsidR="00EA6058" w:rsidRPr="00BD0A1D" w:rsidRDefault="00103976" w:rsidP="00EA6058">
      <w:pPr>
        <w:rPr>
          <w:lang w:val="es-ES"/>
        </w:rPr>
      </w:pPr>
      <w:r w:rsidRPr="00B73A84">
        <w:rPr>
          <w:i/>
        </w:rPr>
        <w:t>Seguro médico tras la separación del servicio:</w:t>
      </w:r>
      <w:r w:rsidR="00EA6058" w:rsidRPr="00B24DA2">
        <w:rPr>
          <w:i/>
          <w:lang w:val="es-ES"/>
        </w:rPr>
        <w:t xml:space="preserve"> </w:t>
      </w:r>
      <w:r w:rsidRPr="00B73A84">
        <w:t>la</w:t>
      </w:r>
      <w:r w:rsidR="00FE1638">
        <w:t xml:space="preserve"> </w:t>
      </w:r>
      <w:r w:rsidRPr="00B73A84">
        <w:t>UPOV tiene asimismo la obligación contractual de proporcionar prestaciones médicas a los miembros de su personal tras la separación del servicio, en forma de aportaciones para el plan colectivo de seguro médico.</w:t>
      </w:r>
      <w:r w:rsidR="00EA6058" w:rsidRPr="00B24DA2">
        <w:rPr>
          <w:lang w:val="es-ES"/>
        </w:rPr>
        <w:t xml:space="preserve"> </w:t>
      </w:r>
      <w:r w:rsidR="008057B2">
        <w:rPr>
          <w:lang w:val="es-ES"/>
        </w:rPr>
        <w:t xml:space="preserve"> </w:t>
      </w:r>
      <w:r w:rsidRPr="00B73A84">
        <w:t>Los miembros del personal (y sus cónyuges, hijos a cargo y causahabientes) que se jubilan están facultados a gozar de prestaciones de seguro médico tras la separación del servicio si siguen participando en el plan de seguro médico colectivo tras la separación del servicio.</w:t>
      </w:r>
      <w:r w:rsidR="00EA6058" w:rsidRPr="00B24DA2">
        <w:rPr>
          <w:lang w:val="es-ES"/>
        </w:rPr>
        <w:t xml:space="preserve"> </w:t>
      </w:r>
      <w:r w:rsidR="008057B2">
        <w:rPr>
          <w:lang w:val="es-ES"/>
        </w:rPr>
        <w:t xml:space="preserve"> </w:t>
      </w:r>
      <w:r w:rsidRPr="00B73A84">
        <w:t>Conforme al Estatuto y el Reglamento del Personal, la</w:t>
      </w:r>
      <w:r w:rsidR="00FE1638">
        <w:t xml:space="preserve"> </w:t>
      </w:r>
      <w:r w:rsidRPr="00B73A84">
        <w:t>UPOV sufraga el</w:t>
      </w:r>
      <w:r w:rsidR="00FE1638">
        <w:t xml:space="preserve"> </w:t>
      </w:r>
      <w:r w:rsidRPr="00B73A84">
        <w:t>65% de la prima mensual de seguro médico.</w:t>
      </w:r>
      <w:r w:rsidR="00EA6058" w:rsidRPr="00BD0A1D">
        <w:rPr>
          <w:lang w:val="es-ES"/>
        </w:rPr>
        <w:t xml:space="preserve"> </w:t>
      </w:r>
      <w:r w:rsidR="008057B2">
        <w:rPr>
          <w:lang w:val="es-ES"/>
        </w:rPr>
        <w:t xml:space="preserve"> </w:t>
      </w:r>
      <w:r w:rsidRPr="00B73A84">
        <w:t>Desde el</w:t>
      </w:r>
      <w:r w:rsidR="00FE1638">
        <w:t xml:space="preserve"> </w:t>
      </w:r>
      <w:r w:rsidRPr="00B73A84">
        <w:t>1 de enero de</w:t>
      </w:r>
      <w:r w:rsidR="00FE1638">
        <w:t xml:space="preserve"> </w:t>
      </w:r>
      <w:r w:rsidRPr="00B73A84">
        <w:t>2019, las primas mensuales del seguro médico son de</w:t>
      </w:r>
      <w:r w:rsidR="00FE1638">
        <w:t xml:space="preserve"> </w:t>
      </w:r>
      <w:r w:rsidRPr="00B73A84">
        <w:t>596 francos suizos para los adultos y</w:t>
      </w:r>
      <w:r w:rsidR="00FE1638">
        <w:t xml:space="preserve"> </w:t>
      </w:r>
      <w:r w:rsidRPr="00B73A84">
        <w:t>265 francos suizos para los hijos.</w:t>
      </w:r>
      <w:r w:rsidR="00EA6058" w:rsidRPr="00BD0A1D">
        <w:rPr>
          <w:lang w:val="es-ES"/>
        </w:rPr>
        <w:t xml:space="preserve"> </w:t>
      </w:r>
      <w:r w:rsidR="008057B2">
        <w:rPr>
          <w:lang w:val="es-ES"/>
        </w:rPr>
        <w:t xml:space="preserve"> </w:t>
      </w:r>
      <w:r w:rsidRPr="00B73A84">
        <w:t>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en francos suizos.</w:t>
      </w:r>
      <w:r w:rsidR="00EA6058" w:rsidRPr="00BD0A1D">
        <w:rPr>
          <w:lang w:val="es-ES"/>
        </w:rPr>
        <w:t xml:space="preserve"> </w:t>
      </w:r>
      <w:r w:rsidR="008057B2">
        <w:rPr>
          <w:lang w:val="es-ES"/>
        </w:rPr>
        <w:t xml:space="preserve"> </w:t>
      </w:r>
      <w:r w:rsidRPr="00B73A84">
        <w:t>De conformidad con las IPSAS, se considera que el pasivo de la</w:t>
      </w:r>
      <w:r w:rsidR="00FE1638">
        <w:t xml:space="preserve"> </w:t>
      </w:r>
      <w:r w:rsidRPr="00B73A84">
        <w:t>UPOV por prestaciones de seguro médico tras la separación del servicio carece de financiación, dado que no se mantienen activos del plan en una entidad o fondo legalmente separados y, por consiguiente, no se deduce del pasivo ningún activo del plan, como figura en el estado de la situación financiera.</w:t>
      </w:r>
      <w:r w:rsidR="00EA6058" w:rsidRPr="00BD0A1D">
        <w:rPr>
          <w:rFonts w:cs="Arial"/>
          <w:lang w:val="es-ES"/>
        </w:rPr>
        <w:t xml:space="preserve"> </w:t>
      </w:r>
      <w:r w:rsidR="008057B2">
        <w:rPr>
          <w:rFonts w:cs="Arial"/>
          <w:lang w:val="es-ES"/>
        </w:rPr>
        <w:t xml:space="preserve"> </w:t>
      </w:r>
      <w:r w:rsidRPr="00B73A84">
        <w:rPr>
          <w:rFonts w:cs="Arial"/>
        </w:rPr>
        <w:t>No obstante, cabe señalar que la</w:t>
      </w:r>
      <w:r w:rsidR="00FE1638">
        <w:rPr>
          <w:rFonts w:cs="Arial"/>
        </w:rPr>
        <w:t xml:space="preserve"> </w:t>
      </w:r>
      <w:r w:rsidRPr="00B73A84">
        <w:rPr>
          <w:rFonts w:cs="Arial"/>
        </w:rPr>
        <w:t>UPOV dispone de una cuenta bancaria aparte en la que mantiene fondos constituidos para la futura financiación del pasivo por el seguro médico tras la separación del servicio (véase la nota</w:t>
      </w:r>
      <w:r w:rsidR="00FE1638">
        <w:rPr>
          <w:rFonts w:cs="Arial"/>
        </w:rPr>
        <w:t xml:space="preserve"> </w:t>
      </w:r>
      <w:r w:rsidRPr="00B73A84">
        <w:rPr>
          <w:rFonts w:cs="Arial"/>
        </w:rPr>
        <w:t>3).</w:t>
      </w:r>
      <w:r w:rsidR="00EA6058" w:rsidRPr="00BD0A1D">
        <w:rPr>
          <w:rFonts w:cs="Arial"/>
          <w:lang w:val="es-ES"/>
        </w:rPr>
        <w:t xml:space="preserve"> </w:t>
      </w:r>
      <w:r w:rsidR="008057B2">
        <w:rPr>
          <w:rFonts w:cs="Arial"/>
          <w:lang w:val="es-ES"/>
        </w:rPr>
        <w:t xml:space="preserve"> </w:t>
      </w:r>
      <w:r w:rsidRPr="00B73A84">
        <w:t>Sobre la base de una valoración actuarial llevada a cabo en diciembre de</w:t>
      </w:r>
      <w:r w:rsidR="00FE1638">
        <w:t xml:space="preserve"> </w:t>
      </w:r>
      <w:r w:rsidRPr="00B73A84">
        <w:t>2018 por una oficina independiente, se estimó que ese pasivo ascendía al importe siguiente en la fecha de preparación del informe:</w:t>
      </w:r>
    </w:p>
    <w:p w:rsidR="00EA6058" w:rsidRPr="00BD0A1D" w:rsidRDefault="00EA6058" w:rsidP="00EA6058">
      <w:pPr>
        <w:rPr>
          <w:lang w:val="es-ES"/>
        </w:rPr>
      </w:pPr>
    </w:p>
    <w:p w:rsidR="00EA6058" w:rsidRPr="003631E5" w:rsidRDefault="006C5B20" w:rsidP="00EA6058">
      <w:pPr>
        <w:pStyle w:val="Style3"/>
        <w:spacing w:after="0"/>
        <w:jc w:val="center"/>
        <w:rPr>
          <w:rFonts w:cs="Arial"/>
          <w:sz w:val="20"/>
        </w:rPr>
      </w:pPr>
      <w:r w:rsidRPr="006C5B20">
        <w:rPr>
          <w:noProof/>
          <w:lang w:val="en-US"/>
        </w:rPr>
        <w:lastRenderedPageBreak/>
        <w:drawing>
          <wp:inline distT="0" distB="0" distL="0" distR="0">
            <wp:extent cx="5882640" cy="1684020"/>
            <wp:effectExtent l="19050" t="0" r="381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2" cstate="print"/>
                    <a:srcRect/>
                    <a:stretch>
                      <a:fillRect/>
                    </a:stretch>
                  </pic:blipFill>
                  <pic:spPr bwMode="auto">
                    <a:xfrm>
                      <a:off x="0" y="0"/>
                      <a:ext cx="5882640" cy="1684020"/>
                    </a:xfrm>
                    <a:prstGeom prst="rect">
                      <a:avLst/>
                    </a:prstGeom>
                    <a:noFill/>
                    <a:ln w="9525">
                      <a:noFill/>
                      <a:miter lim="800000"/>
                      <a:headEnd/>
                      <a:tailEnd/>
                    </a:ln>
                  </pic:spPr>
                </pic:pic>
              </a:graphicData>
            </a:graphic>
          </wp:inline>
        </w:drawing>
      </w:r>
    </w:p>
    <w:p w:rsidR="00EA6058" w:rsidRDefault="00EA6058" w:rsidP="00EA6058"/>
    <w:p w:rsidR="00EA6058" w:rsidRPr="00BD0A1D" w:rsidRDefault="00991EFC" w:rsidP="00EA6058">
      <w:pPr>
        <w:rPr>
          <w:lang w:val="es-ES"/>
        </w:rPr>
      </w:pPr>
      <w:r w:rsidRPr="00B73A84">
        <w:t>En el cuadro siguiente figuran los gastos correspondientes al seguro médico tras la separación del servicio contabilizados en el estado de rendimiento financiero:</w:t>
      </w:r>
    </w:p>
    <w:p w:rsidR="00EA6058" w:rsidRPr="00BD0A1D" w:rsidRDefault="00EA6058" w:rsidP="00EA6058">
      <w:pPr>
        <w:rPr>
          <w:lang w:val="es-ES"/>
        </w:rPr>
      </w:pPr>
    </w:p>
    <w:p w:rsidR="00EA6058" w:rsidRPr="003631E5" w:rsidRDefault="00366DE0" w:rsidP="00EA6058">
      <w:pPr>
        <w:jc w:val="center"/>
      </w:pPr>
      <w:r w:rsidRPr="00366DE0">
        <w:rPr>
          <w:noProof/>
          <w:lang w:val="en-US"/>
        </w:rPr>
        <w:drawing>
          <wp:inline distT="0" distB="0" distL="0" distR="0">
            <wp:extent cx="5882640" cy="1645920"/>
            <wp:effectExtent l="19050" t="0" r="381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cstate="print"/>
                    <a:srcRect/>
                    <a:stretch>
                      <a:fillRect/>
                    </a:stretch>
                  </pic:blipFill>
                  <pic:spPr bwMode="auto">
                    <a:xfrm>
                      <a:off x="0" y="0"/>
                      <a:ext cx="5882640" cy="1645920"/>
                    </a:xfrm>
                    <a:prstGeom prst="rect">
                      <a:avLst/>
                    </a:prstGeom>
                    <a:noFill/>
                    <a:ln w="9525">
                      <a:noFill/>
                      <a:miter lim="800000"/>
                      <a:headEnd/>
                      <a:tailEnd/>
                    </a:ln>
                  </pic:spPr>
                </pic:pic>
              </a:graphicData>
            </a:graphic>
          </wp:inline>
        </w:drawing>
      </w:r>
    </w:p>
    <w:p w:rsidR="00EA6058" w:rsidRPr="003631E5" w:rsidRDefault="00EA6058" w:rsidP="00EA6058"/>
    <w:p w:rsidR="00EA6058" w:rsidRPr="00BD0A1D" w:rsidRDefault="003A5E54" w:rsidP="00EA6058">
      <w:pPr>
        <w:rPr>
          <w:lang w:val="es-ES"/>
        </w:rPr>
      </w:pPr>
      <w:r w:rsidRPr="00B73A84">
        <w:t>Antes de la aplicación de la IPSAS</w:t>
      </w:r>
      <w:r w:rsidR="00FE1638">
        <w:t xml:space="preserve"> </w:t>
      </w:r>
      <w:r w:rsidRPr="00B73A84">
        <w:t>39, la</w:t>
      </w:r>
      <w:r w:rsidR="00FE1638">
        <w:t xml:space="preserve"> </w:t>
      </w:r>
      <w:r w:rsidRPr="00B73A84">
        <w:t>UPOV utilizaba el método de la “banda de fluctuación” para el reconocimiento de las pérdidas y ganancias actuariales correspondientes al seguro médico tras la separación del servicio.</w:t>
      </w:r>
      <w:r w:rsidR="00EA6058" w:rsidRPr="00BD0A1D">
        <w:rPr>
          <w:lang w:val="es-ES"/>
        </w:rPr>
        <w:t xml:space="preserve"> </w:t>
      </w:r>
      <w:r w:rsidR="008057B2">
        <w:rPr>
          <w:lang w:val="es-ES"/>
        </w:rPr>
        <w:t xml:space="preserve"> </w:t>
      </w:r>
      <w:r w:rsidRPr="00B73A84">
        <w:t>Conforme a esa política contable, se contabilizaba una parte de las pérdidas y ganancias actuariales netas si la cuantía neta acumulada de las pérdidas y ganancias no reconocidas al final del período correspondiente al informe anterior superaba el</w:t>
      </w:r>
      <w:r w:rsidR="00FE1638">
        <w:t xml:space="preserve"> </w:t>
      </w:r>
      <w:r w:rsidRPr="00B73A84">
        <w:t>10% del valor actual de las obligaciones por prestaciones definidas en esa fecha.</w:t>
      </w:r>
      <w:r w:rsidR="00680842" w:rsidRPr="00BD0A1D">
        <w:rPr>
          <w:lang w:val="es-ES"/>
        </w:rPr>
        <w:t xml:space="preserve"> </w:t>
      </w:r>
      <w:r w:rsidR="008057B2">
        <w:rPr>
          <w:lang w:val="es-ES"/>
        </w:rPr>
        <w:t xml:space="preserve"> </w:t>
      </w:r>
      <w:r w:rsidRPr="00B73A84">
        <w:t>Tras la aplicación de la IPSAS</w:t>
      </w:r>
      <w:r w:rsidR="00FE1638">
        <w:t xml:space="preserve"> </w:t>
      </w:r>
      <w:r w:rsidRPr="00B73A84">
        <w:t>39 en</w:t>
      </w:r>
      <w:r w:rsidR="00FE1638">
        <w:t xml:space="preserve"> </w:t>
      </w:r>
      <w:r w:rsidRPr="00B73A84">
        <w:t>2017, las pérdidas y ganancias actuariales correspondientes al seguro médico tras la separación del servicio se reconocen directamente en los activos netos.</w:t>
      </w:r>
      <w:r w:rsidR="00EA6058" w:rsidRPr="00BD0A1D">
        <w:rPr>
          <w:lang w:val="es-ES"/>
        </w:rPr>
        <w:t xml:space="preserve"> </w:t>
      </w:r>
      <w:r w:rsidR="008057B2">
        <w:rPr>
          <w:lang w:val="es-ES"/>
        </w:rPr>
        <w:t xml:space="preserve"> </w:t>
      </w:r>
      <w:r w:rsidRPr="00C54A49">
        <w:t>En el cuadro siguiente se detallan los cambios en las obligaciones por prestaciones definidas de seguro médico tras la separación del servicio y se indica la incidencia de las ganancias (o pérdidas) actuariales:</w:t>
      </w:r>
    </w:p>
    <w:p w:rsidR="00EA6058" w:rsidRPr="00BD0A1D" w:rsidRDefault="00EA6058" w:rsidP="00EA6058">
      <w:pPr>
        <w:rPr>
          <w:lang w:val="es-ES"/>
        </w:rPr>
      </w:pPr>
    </w:p>
    <w:p w:rsidR="00EA6058" w:rsidRDefault="00B95234" w:rsidP="00EA6058">
      <w:pPr>
        <w:jc w:val="center"/>
      </w:pPr>
      <w:r w:rsidRPr="00B95234">
        <w:rPr>
          <w:noProof/>
          <w:lang w:val="en-US"/>
        </w:rPr>
        <w:drawing>
          <wp:inline distT="0" distB="0" distL="0" distR="0">
            <wp:extent cx="6203218" cy="2857748"/>
            <wp:effectExtent l="19050" t="0" r="7082" b="0"/>
            <wp:docPr id="3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stretch>
                      <a:fillRect/>
                    </a:stretch>
                  </pic:blipFill>
                  <pic:spPr bwMode="auto">
                    <a:xfrm>
                      <a:off x="0" y="0"/>
                      <a:ext cx="6203218" cy="2857748"/>
                    </a:xfrm>
                    <a:prstGeom prst="rect">
                      <a:avLst/>
                    </a:prstGeom>
                    <a:noFill/>
                    <a:ln>
                      <a:noFill/>
                    </a:ln>
                  </pic:spPr>
                </pic:pic>
              </a:graphicData>
            </a:graphic>
          </wp:inline>
        </w:drawing>
      </w:r>
    </w:p>
    <w:p w:rsidR="008F788D" w:rsidRPr="003631E5" w:rsidRDefault="008F788D" w:rsidP="00EA6058">
      <w:pPr>
        <w:jc w:val="center"/>
      </w:pPr>
    </w:p>
    <w:p w:rsidR="00EA6058" w:rsidRPr="00BD0A1D" w:rsidRDefault="004003C8" w:rsidP="00EA6058">
      <w:pPr>
        <w:rPr>
          <w:lang w:val="es-ES"/>
        </w:rPr>
      </w:pPr>
      <w:r w:rsidRPr="00C54A49">
        <w:t>Las aportaciones al seguro médico tras la separación del servicio pagadas por la</w:t>
      </w:r>
      <w:r w:rsidR="00FE1638">
        <w:t xml:space="preserve"> </w:t>
      </w:r>
      <w:r w:rsidRPr="00C54A49">
        <w:t>UPOV durante</w:t>
      </w:r>
      <w:r w:rsidR="00FE1638">
        <w:t xml:space="preserve"> </w:t>
      </w:r>
      <w:r w:rsidRPr="00C54A49">
        <w:t>2018 ascendieron a</w:t>
      </w:r>
      <w:r w:rsidR="00FE1638">
        <w:t xml:space="preserve"> </w:t>
      </w:r>
      <w:r w:rsidRPr="00C54A49">
        <w:t>37.189 francos suizos (37.191 francos suizos en</w:t>
      </w:r>
      <w:r w:rsidR="00FE1638">
        <w:t xml:space="preserve"> </w:t>
      </w:r>
      <w:r w:rsidRPr="00C54A49">
        <w:t>2017).</w:t>
      </w:r>
      <w:r w:rsidR="00EA6058" w:rsidRPr="00BD0A1D">
        <w:rPr>
          <w:lang w:val="es-ES"/>
        </w:rPr>
        <w:t xml:space="preserve"> </w:t>
      </w:r>
      <w:r w:rsidR="008057B2">
        <w:rPr>
          <w:lang w:val="es-ES"/>
        </w:rPr>
        <w:t xml:space="preserve"> </w:t>
      </w:r>
      <w:r w:rsidRPr="00C54A49">
        <w:t>Las aportaciones al seguro médico tras la separación del servicio previstas para</w:t>
      </w:r>
      <w:r w:rsidR="00FE1638">
        <w:t xml:space="preserve"> </w:t>
      </w:r>
      <w:r w:rsidRPr="00C54A49">
        <w:t>2019 son de</w:t>
      </w:r>
      <w:r w:rsidR="00FE1638">
        <w:t xml:space="preserve"> </w:t>
      </w:r>
      <w:r w:rsidRPr="00C54A49">
        <w:t>37.808 francos suizos.</w:t>
      </w:r>
      <w:r w:rsidR="00EA6058" w:rsidRPr="00BD0A1D">
        <w:rPr>
          <w:lang w:val="es-ES"/>
        </w:rPr>
        <w:t xml:space="preserve"> </w:t>
      </w:r>
      <w:r w:rsidR="008057B2">
        <w:rPr>
          <w:lang w:val="es-ES"/>
        </w:rPr>
        <w:t xml:space="preserve"> </w:t>
      </w:r>
      <w:r w:rsidRPr="00C54A49">
        <w:t>Al</w:t>
      </w:r>
      <w:r w:rsidR="00FE1638">
        <w:t xml:space="preserve"> </w:t>
      </w:r>
      <w:r w:rsidRPr="00C54A49">
        <w:t>31 de diciembre de</w:t>
      </w:r>
      <w:r w:rsidR="00FE1638">
        <w:t xml:space="preserve"> </w:t>
      </w:r>
      <w:r w:rsidRPr="00C54A49">
        <w:t>2018, la duración media ponderada de las obligaciones por prestaciones definidas era de</w:t>
      </w:r>
      <w:r w:rsidR="00FE1638">
        <w:t xml:space="preserve"> </w:t>
      </w:r>
      <w:r w:rsidRPr="00C54A49">
        <w:t>22,1 años.</w:t>
      </w:r>
      <w:r w:rsidR="00EA6058" w:rsidRPr="00BD0A1D">
        <w:rPr>
          <w:lang w:val="es-ES"/>
        </w:rPr>
        <w:t xml:space="preserve"> </w:t>
      </w:r>
      <w:r w:rsidR="008057B2">
        <w:rPr>
          <w:lang w:val="es-ES"/>
        </w:rPr>
        <w:t xml:space="preserve"> </w:t>
      </w:r>
      <w:r w:rsidRPr="00C54A49">
        <w:t xml:space="preserve">En el cuadro siguiente figuran el valor actual de las obligaciones por prestaciones definidas y los ajustes por experiencia </w:t>
      </w:r>
      <w:r w:rsidRPr="00C54A49">
        <w:lastRenderedPageBreak/>
        <w:t>efectuados en el pasivo por prestaciones de seguro médico tras la separación del servicio en</w:t>
      </w:r>
      <w:r w:rsidR="00FE1638">
        <w:t xml:space="preserve"> </w:t>
      </w:r>
      <w:r w:rsidRPr="00C54A49">
        <w:t>2018 y en los cuatro años anteriores:</w:t>
      </w:r>
    </w:p>
    <w:p w:rsidR="00EA6058" w:rsidRPr="00BD0A1D" w:rsidRDefault="00EA6058" w:rsidP="00EA6058">
      <w:pPr>
        <w:rPr>
          <w:noProof/>
          <w:lang w:val="es-ES"/>
        </w:rPr>
      </w:pPr>
    </w:p>
    <w:p w:rsidR="00EA6058" w:rsidRPr="003631E5" w:rsidRDefault="00244D42" w:rsidP="00EA6058">
      <w:pPr>
        <w:jc w:val="center"/>
        <w:rPr>
          <w:noProof/>
        </w:rPr>
      </w:pPr>
      <w:r w:rsidRPr="00244D42">
        <w:rPr>
          <w:noProof/>
          <w:lang w:val="en-US"/>
        </w:rPr>
        <w:drawing>
          <wp:inline distT="0" distB="0" distL="0" distR="0">
            <wp:extent cx="6120000" cy="1235368"/>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5" cstate="print"/>
                    <a:stretch>
                      <a:fillRect/>
                    </a:stretch>
                  </pic:blipFill>
                  <pic:spPr bwMode="auto">
                    <a:xfrm>
                      <a:off x="0" y="0"/>
                      <a:ext cx="6120000" cy="1235368"/>
                    </a:xfrm>
                    <a:prstGeom prst="rect">
                      <a:avLst/>
                    </a:prstGeom>
                    <a:noFill/>
                    <a:ln>
                      <a:noFill/>
                    </a:ln>
                  </pic:spPr>
                </pic:pic>
              </a:graphicData>
            </a:graphic>
          </wp:inline>
        </w:drawing>
      </w:r>
    </w:p>
    <w:p w:rsidR="00EA6058" w:rsidRDefault="00EA6058" w:rsidP="00EA6058">
      <w:pPr>
        <w:rPr>
          <w:noProof/>
        </w:rPr>
      </w:pPr>
    </w:p>
    <w:p w:rsidR="00EA6058" w:rsidRPr="00BD0A1D" w:rsidRDefault="00717065" w:rsidP="00EA6058">
      <w:pPr>
        <w:rPr>
          <w:noProof/>
          <w:lang w:val="es-ES"/>
        </w:rPr>
      </w:pPr>
      <w:r w:rsidRPr="00C54A49">
        <w:t>La determinación del pasivo por prestaciones de seguro médico tras la separación del servicio y de las obligaciones por prestaciones definidas se basó en los siguientes supuestos principales:</w:t>
      </w:r>
    </w:p>
    <w:p w:rsidR="00EA6058" w:rsidRPr="00BD0A1D" w:rsidRDefault="00EA6058" w:rsidP="00EA6058">
      <w:pPr>
        <w:rPr>
          <w:noProof/>
          <w:lang w:val="es-ES"/>
        </w:rPr>
      </w:pPr>
    </w:p>
    <w:p w:rsidR="00EA6058" w:rsidRPr="003631E5" w:rsidRDefault="00300414" w:rsidP="00EA6058">
      <w:pPr>
        <w:jc w:val="center"/>
        <w:rPr>
          <w:noProof/>
        </w:rPr>
      </w:pPr>
      <w:r w:rsidRPr="00300414">
        <w:rPr>
          <w:noProof/>
          <w:lang w:val="en-US"/>
        </w:rPr>
        <w:drawing>
          <wp:inline distT="0" distB="0" distL="0" distR="0">
            <wp:extent cx="6111240" cy="1912620"/>
            <wp:effectExtent l="19050" t="0" r="381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cstate="print"/>
                    <a:srcRect/>
                    <a:stretch>
                      <a:fillRect/>
                    </a:stretch>
                  </pic:blipFill>
                  <pic:spPr bwMode="auto">
                    <a:xfrm>
                      <a:off x="0" y="0"/>
                      <a:ext cx="6111240" cy="1912620"/>
                    </a:xfrm>
                    <a:prstGeom prst="rect">
                      <a:avLst/>
                    </a:prstGeom>
                    <a:noFill/>
                    <a:ln w="9525">
                      <a:noFill/>
                      <a:miter lim="800000"/>
                      <a:headEnd/>
                      <a:tailEnd/>
                    </a:ln>
                  </pic:spPr>
                </pic:pic>
              </a:graphicData>
            </a:graphic>
          </wp:inline>
        </w:drawing>
      </w:r>
    </w:p>
    <w:p w:rsidR="00EA6058" w:rsidRPr="003631E5" w:rsidRDefault="00EA6058" w:rsidP="00EA6058"/>
    <w:p w:rsidR="00EA6058" w:rsidRPr="00BD0A1D" w:rsidRDefault="00843932" w:rsidP="00EA6058">
      <w:pPr>
        <w:rPr>
          <w:rFonts w:cs="Arial"/>
          <w:lang w:val="es-ES"/>
        </w:rPr>
      </w:pPr>
      <w:r w:rsidRPr="00C54A49">
        <w:rPr>
          <w:rFonts w:cs="Arial"/>
        </w:rPr>
        <w:t>Las hipótesis actuariales tienen una incidencia significativa en las cuantías calculadas para el pasivo por prestaciones de seguro médico tras la separación del servicio.</w:t>
      </w:r>
      <w:r w:rsidR="00EA6058" w:rsidRPr="00BD0A1D">
        <w:rPr>
          <w:rFonts w:cs="Arial"/>
          <w:lang w:val="es-ES"/>
        </w:rPr>
        <w:t xml:space="preserve"> </w:t>
      </w:r>
      <w:r w:rsidR="008057B2">
        <w:rPr>
          <w:rFonts w:cs="Arial"/>
          <w:lang w:val="es-ES"/>
        </w:rPr>
        <w:t xml:space="preserve"> </w:t>
      </w:r>
      <w:r w:rsidRPr="00525BD1">
        <w:rPr>
          <w:rFonts w:cs="Arial"/>
        </w:rPr>
        <w:t>En el análisis de sensibilidad que se ofrece a continuación se observa cómo inciden en las obligaciones por prestaciones definidas l</w:t>
      </w:r>
      <w:r w:rsidR="00B95234" w:rsidRPr="00525BD1">
        <w:rPr>
          <w:rFonts w:cs="Arial"/>
        </w:rPr>
        <w:t>a</w:t>
      </w:r>
      <w:r w:rsidRPr="00525BD1">
        <w:rPr>
          <w:rFonts w:cs="Arial"/>
        </w:rPr>
        <w:t xml:space="preserve">s </w:t>
      </w:r>
      <w:r w:rsidR="00B95234" w:rsidRPr="00525BD1">
        <w:rPr>
          <w:rFonts w:cs="Arial"/>
        </w:rPr>
        <w:t xml:space="preserve">variaciones </w:t>
      </w:r>
      <w:r w:rsidRPr="00525BD1">
        <w:rPr>
          <w:rFonts w:cs="Arial"/>
        </w:rPr>
        <w:t>en las hipótesis actuariales pertinentes:</w:t>
      </w:r>
      <w:r w:rsidR="00EA6058" w:rsidRPr="00BD0A1D">
        <w:rPr>
          <w:rFonts w:cs="Arial"/>
          <w:lang w:val="es-ES"/>
        </w:rPr>
        <w:t xml:space="preserve"> </w:t>
      </w:r>
    </w:p>
    <w:p w:rsidR="00EA6058" w:rsidRPr="00BD0A1D" w:rsidRDefault="00EA6058" w:rsidP="00EA6058">
      <w:pPr>
        <w:rPr>
          <w:rFonts w:cs="Arial"/>
          <w:lang w:val="es-ES"/>
        </w:rPr>
      </w:pPr>
    </w:p>
    <w:p w:rsidR="00EA6058" w:rsidRPr="003631E5" w:rsidRDefault="00606651" w:rsidP="00EA6058">
      <w:pPr>
        <w:pStyle w:val="Style3"/>
        <w:spacing w:after="0"/>
        <w:rPr>
          <w:rFonts w:cs="Arial"/>
          <w:sz w:val="20"/>
        </w:rPr>
      </w:pPr>
      <w:r w:rsidRPr="00606651">
        <w:rPr>
          <w:noProof/>
          <w:lang w:val="en-US"/>
        </w:rPr>
        <w:drawing>
          <wp:inline distT="0" distB="0" distL="0" distR="0">
            <wp:extent cx="6120765" cy="1704517"/>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7" cstate="print"/>
                    <a:srcRect/>
                    <a:stretch>
                      <a:fillRect/>
                    </a:stretch>
                  </pic:blipFill>
                  <pic:spPr bwMode="auto">
                    <a:xfrm>
                      <a:off x="0" y="0"/>
                      <a:ext cx="6120765" cy="1704517"/>
                    </a:xfrm>
                    <a:prstGeom prst="rect">
                      <a:avLst/>
                    </a:prstGeom>
                    <a:noFill/>
                    <a:ln w="9525">
                      <a:noFill/>
                      <a:miter lim="800000"/>
                      <a:headEnd/>
                      <a:tailEnd/>
                    </a:ln>
                  </pic:spPr>
                </pic:pic>
              </a:graphicData>
            </a:graphic>
          </wp:inline>
        </w:drawing>
      </w:r>
    </w:p>
    <w:p w:rsidR="00EA6058" w:rsidRPr="003631E5" w:rsidRDefault="00744743" w:rsidP="00EA6058">
      <w:pPr>
        <w:pStyle w:val="Style3"/>
        <w:spacing w:after="0"/>
        <w:rPr>
          <w:rFonts w:cs="Arial"/>
          <w:sz w:val="20"/>
        </w:rPr>
      </w:pPr>
      <w:r w:rsidRPr="00744743">
        <w:rPr>
          <w:noProof/>
          <w:lang w:val="en-US"/>
        </w:rPr>
        <w:drawing>
          <wp:inline distT="0" distB="0" distL="0" distR="0">
            <wp:extent cx="6120765" cy="1394605"/>
            <wp:effectExtent l="1905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8" cstate="print"/>
                    <a:srcRect/>
                    <a:stretch>
                      <a:fillRect/>
                    </a:stretch>
                  </pic:blipFill>
                  <pic:spPr bwMode="auto">
                    <a:xfrm>
                      <a:off x="0" y="0"/>
                      <a:ext cx="6120765" cy="1394605"/>
                    </a:xfrm>
                    <a:prstGeom prst="rect">
                      <a:avLst/>
                    </a:prstGeom>
                    <a:noFill/>
                    <a:ln w="9525">
                      <a:noFill/>
                      <a:miter lim="800000"/>
                      <a:headEnd/>
                      <a:tailEnd/>
                    </a:ln>
                  </pic:spPr>
                </pic:pic>
              </a:graphicData>
            </a:graphic>
          </wp:inline>
        </w:drawing>
      </w:r>
    </w:p>
    <w:p w:rsidR="00EA6058" w:rsidRDefault="00EA6058" w:rsidP="00EA6058">
      <w:pPr>
        <w:pStyle w:val="Style3"/>
        <w:spacing w:after="0"/>
        <w:rPr>
          <w:rFonts w:cs="Arial"/>
          <w:b/>
          <w:color w:val="000000" w:themeColor="text1"/>
          <w:sz w:val="20"/>
        </w:rPr>
      </w:pPr>
    </w:p>
    <w:p w:rsidR="00EA6058" w:rsidRPr="00BD0A1D" w:rsidRDefault="001721A2" w:rsidP="00EA6058">
      <w:pPr>
        <w:pStyle w:val="Style3"/>
        <w:spacing w:after="0"/>
        <w:rPr>
          <w:rFonts w:cs="Arial"/>
          <w:b/>
          <w:color w:val="000000" w:themeColor="text1"/>
          <w:sz w:val="20"/>
          <w:lang w:val="es-ES"/>
        </w:rPr>
      </w:pPr>
      <w:r w:rsidRPr="00525BD1">
        <w:rPr>
          <w:rFonts w:cs="Arial"/>
          <w:b/>
          <w:color w:val="000000" w:themeColor="text1"/>
          <w:sz w:val="20"/>
        </w:rPr>
        <w:t>Caja Común de Pensiones del Personal de las Naciones Unidas</w:t>
      </w:r>
    </w:p>
    <w:p w:rsidR="00EA6058" w:rsidRPr="00BD0A1D" w:rsidRDefault="00EA6058" w:rsidP="00EA6058">
      <w:pPr>
        <w:pStyle w:val="Style3"/>
        <w:spacing w:after="0"/>
        <w:rPr>
          <w:rFonts w:cs="Arial"/>
          <w:sz w:val="20"/>
          <w:lang w:val="es-ES"/>
        </w:rPr>
      </w:pPr>
    </w:p>
    <w:p w:rsidR="00EA6058" w:rsidRPr="00BD0A1D" w:rsidRDefault="0078153B" w:rsidP="00EA6058">
      <w:pPr>
        <w:rPr>
          <w:rFonts w:cs="Arial"/>
          <w:lang w:val="es-ES"/>
        </w:rPr>
      </w:pPr>
      <w:r w:rsidRPr="00525BD1">
        <w:rPr>
          <w:rFonts w:cs="Arial"/>
        </w:rPr>
        <w:t>En los Estatutos de la Caja se dispone que el Comité Mixto de Pensiones encargará al actuario consultor una valoración actuarial de la Caja al menos una vez cada tres años.</w:t>
      </w:r>
      <w:r w:rsidR="00EA6058" w:rsidRPr="00BD0A1D">
        <w:rPr>
          <w:rFonts w:cs="Arial"/>
          <w:lang w:val="es-ES"/>
        </w:rPr>
        <w:t xml:space="preserve"> </w:t>
      </w:r>
      <w:r w:rsidR="006C0151">
        <w:rPr>
          <w:rFonts w:cs="Arial"/>
          <w:lang w:val="es-ES"/>
        </w:rPr>
        <w:t xml:space="preserve"> </w:t>
      </w:r>
      <w:r w:rsidRPr="00525BD1">
        <w:rPr>
          <w:rFonts w:cs="Arial"/>
        </w:rPr>
        <w:t xml:space="preserve">El Comité Mixto de Pensiones tiene por costumbre realizar valoraciones actuariales cada dos años utilizando el método denominado de “grupo </w:t>
      </w:r>
      <w:r w:rsidRPr="00525BD1">
        <w:rPr>
          <w:rFonts w:cs="Arial"/>
        </w:rPr>
        <w:lastRenderedPageBreak/>
        <w:t>abierto”.</w:t>
      </w:r>
      <w:r w:rsidR="00EA6058" w:rsidRPr="00BD0A1D">
        <w:rPr>
          <w:rFonts w:cs="Arial"/>
          <w:lang w:val="es-ES"/>
        </w:rPr>
        <w:t xml:space="preserve"> </w:t>
      </w:r>
      <w:r w:rsidR="006C0151">
        <w:rPr>
          <w:rFonts w:cs="Arial"/>
          <w:lang w:val="es-ES"/>
        </w:rPr>
        <w:t xml:space="preserve"> </w:t>
      </w:r>
      <w:r w:rsidR="00E663C0" w:rsidRPr="001D7559">
        <w:rPr>
          <w:rFonts w:cs="Arial"/>
        </w:rPr>
        <w:t>La valoración actuarial tiene</w:t>
      </w:r>
      <w:r w:rsidRPr="001D7559">
        <w:rPr>
          <w:rFonts w:cs="Arial"/>
        </w:rPr>
        <w:t xml:space="preserve"> por finalidad principal determinar si los activos actuales de la Caja y los previstos para el futuro serán suficientes para hacer frente a su pasivo.</w:t>
      </w:r>
    </w:p>
    <w:p w:rsidR="00EA6058" w:rsidRPr="00BD0A1D" w:rsidRDefault="00EA6058" w:rsidP="00EA6058">
      <w:pPr>
        <w:rPr>
          <w:rFonts w:cs="Arial"/>
          <w:lang w:val="es-ES"/>
        </w:rPr>
      </w:pPr>
    </w:p>
    <w:p w:rsidR="00EA6058" w:rsidRPr="00BD0A1D" w:rsidRDefault="0078153B" w:rsidP="00EA6058">
      <w:pPr>
        <w:rPr>
          <w:rFonts w:cs="Arial"/>
          <w:lang w:val="es-ES"/>
        </w:rPr>
      </w:pPr>
      <w:r w:rsidRPr="001D7559">
        <w:rPr>
          <w:rFonts w:cs="Arial"/>
        </w:rPr>
        <w:t>La obligación financiera de la</w:t>
      </w:r>
      <w:r w:rsidR="00FE1638">
        <w:rPr>
          <w:rFonts w:cs="Arial"/>
        </w:rPr>
        <w:t xml:space="preserve"> </w:t>
      </w:r>
      <w:r w:rsidRPr="001D7559">
        <w:rPr>
          <w:rFonts w:cs="Arial"/>
        </w:rPr>
        <w:t>UPOV respecto de la CCPPNU consiste en la aportación estipulada que debe efectuar con arreglo al índ</w:t>
      </w:r>
      <w:r w:rsidR="001D7559" w:rsidRPr="001D7559">
        <w:rPr>
          <w:rFonts w:cs="Arial"/>
        </w:rPr>
        <w:t>ice establecido por la Asamblea</w:t>
      </w:r>
      <w:r w:rsidR="00FE1638">
        <w:rPr>
          <w:rFonts w:cs="Arial"/>
        </w:rPr>
        <w:t xml:space="preserve"> </w:t>
      </w:r>
      <w:r w:rsidRPr="001D7559">
        <w:rPr>
          <w:rFonts w:cs="Arial"/>
        </w:rPr>
        <w:t>General (actualmente del</w:t>
      </w:r>
      <w:r w:rsidR="00FE1638">
        <w:rPr>
          <w:rFonts w:cs="Arial"/>
        </w:rPr>
        <w:t xml:space="preserve"> </w:t>
      </w:r>
      <w:r w:rsidRPr="001D7559">
        <w:rPr>
          <w:rFonts w:cs="Arial"/>
        </w:rPr>
        <w:t>7,9% para los participantes y del</w:t>
      </w:r>
      <w:r w:rsidR="00FE1638">
        <w:rPr>
          <w:rFonts w:cs="Arial"/>
        </w:rPr>
        <w:t xml:space="preserve"> </w:t>
      </w:r>
      <w:r w:rsidRPr="001D7559">
        <w:rPr>
          <w:rFonts w:cs="Arial"/>
        </w:rPr>
        <w:t>15,8% para las organizaciones afiliadas), junto con la parte que le corresponda de los pagos destinados a suplir un eventual déficit actuarial de conformidad con el artículo</w:t>
      </w:r>
      <w:r w:rsidR="00FE1638">
        <w:rPr>
          <w:rFonts w:cs="Arial"/>
        </w:rPr>
        <w:t xml:space="preserve"> </w:t>
      </w:r>
      <w:r w:rsidRPr="001D7559">
        <w:rPr>
          <w:rFonts w:cs="Arial"/>
        </w:rPr>
        <w:t>26 de los Estatutos de la Caja.</w:t>
      </w:r>
      <w:r w:rsidR="00EA6058" w:rsidRPr="00BD0A1D">
        <w:rPr>
          <w:rFonts w:cs="Arial"/>
          <w:lang w:val="es-ES"/>
        </w:rPr>
        <w:t xml:space="preserve"> </w:t>
      </w:r>
      <w:r w:rsidR="006C0151">
        <w:rPr>
          <w:rFonts w:cs="Arial"/>
          <w:lang w:val="es-ES"/>
        </w:rPr>
        <w:t xml:space="preserve"> </w:t>
      </w:r>
      <w:r w:rsidR="00C30677" w:rsidRPr="001D7559">
        <w:rPr>
          <w:rFonts w:cs="Arial"/>
        </w:rPr>
        <w:t>Estos pagos destinados a suplir el eventual déficit actuarial deberán efect</w:t>
      </w:r>
      <w:r w:rsidR="001D7559" w:rsidRPr="001D7559">
        <w:rPr>
          <w:rFonts w:cs="Arial"/>
        </w:rPr>
        <w:t>uarse únicamente si la Asamblea</w:t>
      </w:r>
      <w:r w:rsidR="00FE1638">
        <w:rPr>
          <w:rFonts w:cs="Arial"/>
        </w:rPr>
        <w:t xml:space="preserve"> </w:t>
      </w:r>
      <w:r w:rsidR="00C30677" w:rsidRPr="001D7559">
        <w:rPr>
          <w:rFonts w:cs="Arial"/>
        </w:rPr>
        <w:t>General invoca la aplicación del artículo</w:t>
      </w:r>
      <w:r w:rsidR="00FE1638">
        <w:rPr>
          <w:rFonts w:cs="Arial"/>
        </w:rPr>
        <w:t xml:space="preserve"> </w:t>
      </w:r>
      <w:r w:rsidR="00C30677" w:rsidRPr="001D7559">
        <w:rPr>
          <w:rFonts w:cs="Arial"/>
        </w:rPr>
        <w:t>26, tras determinar que dichos pagos son necesarios sobre la base de una evaluación de la suficiencia actuarial de la Caja en la fecha de la valoración.</w:t>
      </w:r>
      <w:r w:rsidR="00EA6058" w:rsidRPr="00BD0A1D">
        <w:rPr>
          <w:rFonts w:cs="Arial"/>
          <w:lang w:val="es-ES"/>
        </w:rPr>
        <w:t xml:space="preserve"> </w:t>
      </w:r>
      <w:r w:rsidR="006C0151">
        <w:rPr>
          <w:rFonts w:cs="Arial"/>
          <w:lang w:val="es-ES"/>
        </w:rPr>
        <w:t xml:space="preserve"> </w:t>
      </w:r>
      <w:r w:rsidR="00C30677" w:rsidRPr="001D7559">
        <w:rPr>
          <w:rFonts w:cs="Arial"/>
        </w:rPr>
        <w:t>Cada organización afiliada deberá contribuir a suplir este déficit con una cantidad proporcional al total de las aportaciones que haya pagado durante los tres años anteriores a la fecha de la valoración.</w:t>
      </w:r>
    </w:p>
    <w:p w:rsidR="00EA6058" w:rsidRPr="00BD0A1D" w:rsidRDefault="00EA6058" w:rsidP="00EA6058">
      <w:pPr>
        <w:rPr>
          <w:rFonts w:cs="Arial"/>
          <w:lang w:val="es-ES"/>
        </w:rPr>
      </w:pPr>
    </w:p>
    <w:p w:rsidR="00EA6058" w:rsidRPr="00BD0A1D" w:rsidRDefault="00C30677" w:rsidP="00EA6058">
      <w:pPr>
        <w:rPr>
          <w:rFonts w:cs="Arial"/>
          <w:lang w:val="es-ES"/>
        </w:rPr>
      </w:pPr>
      <w:r w:rsidRPr="001D7559">
        <w:rPr>
          <w:rFonts w:cs="Arial"/>
        </w:rPr>
        <w:t>En</w:t>
      </w:r>
      <w:r w:rsidR="00FE1638">
        <w:rPr>
          <w:rFonts w:cs="Arial"/>
        </w:rPr>
        <w:t xml:space="preserve"> </w:t>
      </w:r>
      <w:r w:rsidRPr="001D7559">
        <w:rPr>
          <w:rFonts w:cs="Arial"/>
        </w:rPr>
        <w:t>2017, la Caja detectó anomalías en los datos censales que se utilizaron en la valoración actuarial efectuada al</w:t>
      </w:r>
      <w:r w:rsidR="00FE1638">
        <w:rPr>
          <w:rFonts w:cs="Arial"/>
        </w:rPr>
        <w:t xml:space="preserve"> </w:t>
      </w:r>
      <w:r w:rsidRPr="001D7559">
        <w:rPr>
          <w:rFonts w:cs="Arial"/>
        </w:rPr>
        <w:t>31 de diciembre de</w:t>
      </w:r>
      <w:r w:rsidR="00FE1638">
        <w:rPr>
          <w:rFonts w:cs="Arial"/>
        </w:rPr>
        <w:t xml:space="preserve"> </w:t>
      </w:r>
      <w:r w:rsidRPr="001D7559">
        <w:rPr>
          <w:rFonts w:cs="Arial"/>
        </w:rPr>
        <w:t>2015.</w:t>
      </w:r>
      <w:r w:rsidR="006C0151">
        <w:rPr>
          <w:rFonts w:cs="Arial"/>
        </w:rPr>
        <w:t xml:space="preserve"> </w:t>
      </w:r>
      <w:r w:rsidR="00EA6058" w:rsidRPr="00BD0A1D">
        <w:rPr>
          <w:rFonts w:cs="Arial"/>
          <w:lang w:val="es-ES"/>
        </w:rPr>
        <w:t xml:space="preserve"> </w:t>
      </w:r>
      <w:r w:rsidRPr="001D7559">
        <w:rPr>
          <w:rFonts w:cs="Arial"/>
        </w:rPr>
        <w:t>Por tal motivo, la Caja utilizó en sus estados financieros de</w:t>
      </w:r>
      <w:r w:rsidR="00FE1638">
        <w:rPr>
          <w:rFonts w:cs="Arial"/>
        </w:rPr>
        <w:t xml:space="preserve"> </w:t>
      </w:r>
      <w:r w:rsidRPr="001D7559">
        <w:rPr>
          <w:rFonts w:cs="Arial"/>
        </w:rPr>
        <w:t>2016, como excepción al ciclo bienal habitual, un</w:t>
      </w:r>
      <w:r w:rsidR="00C66148" w:rsidRPr="001D7559">
        <w:rPr>
          <w:rFonts w:cs="Arial"/>
        </w:rPr>
        <w:t>a</w:t>
      </w:r>
      <w:r w:rsidRPr="001D7559">
        <w:rPr>
          <w:rFonts w:cs="Arial"/>
        </w:rPr>
        <w:t xml:space="preserve"> </w:t>
      </w:r>
      <w:r w:rsidR="00C66148" w:rsidRPr="001D7559">
        <w:rPr>
          <w:rFonts w:cs="Arial"/>
        </w:rPr>
        <w:t xml:space="preserve">proyección </w:t>
      </w:r>
      <w:r w:rsidRPr="001D7559">
        <w:rPr>
          <w:rFonts w:cs="Arial"/>
        </w:rPr>
        <w:t>de los datos de participación del</w:t>
      </w:r>
      <w:r w:rsidR="00FE1638">
        <w:rPr>
          <w:rFonts w:cs="Arial"/>
        </w:rPr>
        <w:t xml:space="preserve"> </w:t>
      </w:r>
      <w:r w:rsidRPr="001D7559">
        <w:rPr>
          <w:rFonts w:cs="Arial"/>
        </w:rPr>
        <w:t>31 de diciembre de</w:t>
      </w:r>
      <w:r w:rsidR="00FE1638">
        <w:rPr>
          <w:rFonts w:cs="Arial"/>
        </w:rPr>
        <w:t xml:space="preserve"> </w:t>
      </w:r>
      <w:r w:rsidRPr="001D7559">
        <w:rPr>
          <w:rFonts w:cs="Arial"/>
        </w:rPr>
        <w:t>2013 al</w:t>
      </w:r>
      <w:r w:rsidR="00FE1638">
        <w:rPr>
          <w:rFonts w:cs="Arial"/>
        </w:rPr>
        <w:t xml:space="preserve"> </w:t>
      </w:r>
      <w:r w:rsidR="006C0151">
        <w:rPr>
          <w:rFonts w:cs="Arial"/>
        </w:rPr>
        <w:br/>
      </w:r>
      <w:r w:rsidRPr="001D7559">
        <w:rPr>
          <w:rFonts w:cs="Arial"/>
        </w:rPr>
        <w:t>31 de diciembre de</w:t>
      </w:r>
      <w:r w:rsidR="00FE1638">
        <w:rPr>
          <w:rFonts w:cs="Arial"/>
        </w:rPr>
        <w:t xml:space="preserve"> </w:t>
      </w:r>
      <w:r w:rsidRPr="001D7559">
        <w:rPr>
          <w:rFonts w:cs="Arial"/>
        </w:rPr>
        <w:t>2016.</w:t>
      </w:r>
      <w:r w:rsidR="00C66148" w:rsidRPr="001D7559">
        <w:rPr>
          <w:rFonts w:cs="Arial"/>
        </w:rPr>
        <w:t xml:space="preserve"> </w:t>
      </w:r>
    </w:p>
    <w:p w:rsidR="00EA6058" w:rsidRPr="00BD0A1D" w:rsidRDefault="00EA6058" w:rsidP="00EA6058">
      <w:pPr>
        <w:rPr>
          <w:rFonts w:cs="Arial"/>
          <w:lang w:val="es-ES"/>
        </w:rPr>
      </w:pPr>
    </w:p>
    <w:p w:rsidR="00EA6058" w:rsidRPr="00BD0A1D" w:rsidRDefault="009A19D9" w:rsidP="00EA6058">
      <w:pPr>
        <w:rPr>
          <w:rFonts w:cs="Arial"/>
          <w:lang w:val="es-ES"/>
        </w:rPr>
      </w:pPr>
      <w:r w:rsidRPr="001D7559">
        <w:rPr>
          <w:rFonts w:cs="Arial"/>
        </w:rPr>
        <w:t>La</w:t>
      </w:r>
      <w:r w:rsidR="00D220B5" w:rsidRPr="001D7559">
        <w:rPr>
          <w:rFonts w:cs="Arial"/>
        </w:rPr>
        <w:t xml:space="preserve"> valoración actuarial al</w:t>
      </w:r>
      <w:r w:rsidR="00FE1638">
        <w:rPr>
          <w:rFonts w:cs="Arial"/>
        </w:rPr>
        <w:t xml:space="preserve"> </w:t>
      </w:r>
      <w:r w:rsidR="00D220B5" w:rsidRPr="001D7559">
        <w:rPr>
          <w:rFonts w:cs="Arial"/>
        </w:rPr>
        <w:t>31 de diciembre de</w:t>
      </w:r>
      <w:r w:rsidR="00FE1638">
        <w:rPr>
          <w:rFonts w:cs="Arial"/>
        </w:rPr>
        <w:t xml:space="preserve"> </w:t>
      </w:r>
      <w:r w:rsidR="00D220B5" w:rsidRPr="001D7559">
        <w:rPr>
          <w:rFonts w:cs="Arial"/>
        </w:rPr>
        <w:t xml:space="preserve">2017 </w:t>
      </w:r>
      <w:r w:rsidRPr="001D7559">
        <w:rPr>
          <w:rFonts w:cs="Arial"/>
        </w:rPr>
        <w:t>arrojó un</w:t>
      </w:r>
      <w:r w:rsidR="00C01CB1" w:rsidRPr="001D7559">
        <w:rPr>
          <w:rFonts w:cs="Arial"/>
        </w:rPr>
        <w:t>a</w:t>
      </w:r>
      <w:r w:rsidRPr="001D7559">
        <w:rPr>
          <w:rFonts w:cs="Arial"/>
        </w:rPr>
        <w:t xml:space="preserve"> </w:t>
      </w:r>
      <w:r w:rsidR="00C01CB1" w:rsidRPr="001D7559">
        <w:rPr>
          <w:rFonts w:cs="Arial"/>
        </w:rPr>
        <w:t>tasa de capitalización de los activos actuariales respecto al pasivo actuarial</w:t>
      </w:r>
      <w:r w:rsidRPr="001D7559">
        <w:rPr>
          <w:rFonts w:cs="Arial"/>
        </w:rPr>
        <w:t>, suponiendo que no se realicen ajustes de las pensiones en el futuro, del</w:t>
      </w:r>
      <w:r w:rsidR="00FE1638">
        <w:rPr>
          <w:rFonts w:cs="Arial"/>
        </w:rPr>
        <w:t xml:space="preserve"> </w:t>
      </w:r>
      <w:r w:rsidR="00D220B5" w:rsidRPr="001D7559">
        <w:rPr>
          <w:rFonts w:cs="Arial"/>
        </w:rPr>
        <w:t>139,2</w:t>
      </w:r>
      <w:r w:rsidR="001D7559" w:rsidRPr="001D7559">
        <w:rPr>
          <w:rFonts w:cs="Arial"/>
        </w:rPr>
        <w:t>%</w:t>
      </w:r>
      <w:r w:rsidR="00D220B5" w:rsidRPr="001D7559">
        <w:rPr>
          <w:rFonts w:cs="Arial"/>
        </w:rPr>
        <w:t xml:space="preserve"> (150</w:t>
      </w:r>
      <w:r w:rsidRPr="001D7559">
        <w:rPr>
          <w:rFonts w:cs="Arial"/>
        </w:rPr>
        <w:t>,</w:t>
      </w:r>
      <w:r w:rsidR="00D220B5" w:rsidRPr="001D7559">
        <w:rPr>
          <w:rFonts w:cs="Arial"/>
        </w:rPr>
        <w:t>1</w:t>
      </w:r>
      <w:r w:rsidRPr="001D7559">
        <w:rPr>
          <w:rFonts w:cs="Arial"/>
        </w:rPr>
        <w:t>%</w:t>
      </w:r>
      <w:r w:rsidR="00D220B5" w:rsidRPr="001D7559">
        <w:rPr>
          <w:rFonts w:cs="Arial"/>
        </w:rPr>
        <w:t xml:space="preserve"> en </w:t>
      </w:r>
      <w:r w:rsidR="00C66148" w:rsidRPr="001D7559">
        <w:rPr>
          <w:rFonts w:cs="Arial"/>
        </w:rPr>
        <w:t>la proyección</w:t>
      </w:r>
      <w:r w:rsidR="00D220B5" w:rsidRPr="001D7559">
        <w:rPr>
          <w:rFonts w:cs="Arial"/>
        </w:rPr>
        <w:t xml:space="preserve"> </w:t>
      </w:r>
      <w:r w:rsidR="00C66148" w:rsidRPr="001D7559">
        <w:rPr>
          <w:rFonts w:cs="Arial"/>
        </w:rPr>
        <w:t>de</w:t>
      </w:r>
      <w:r w:rsidR="00FE1638">
        <w:rPr>
          <w:rFonts w:cs="Arial"/>
        </w:rPr>
        <w:t xml:space="preserve"> </w:t>
      </w:r>
      <w:r w:rsidR="00D220B5" w:rsidRPr="001D7559">
        <w:rPr>
          <w:rFonts w:cs="Arial"/>
        </w:rPr>
        <w:t>2016).</w:t>
      </w:r>
      <w:r w:rsidR="00EA6058" w:rsidRPr="00BD0A1D">
        <w:rPr>
          <w:rFonts w:cs="Arial"/>
          <w:lang w:val="es-ES"/>
        </w:rPr>
        <w:t xml:space="preserve"> </w:t>
      </w:r>
      <w:r w:rsidR="006C0151">
        <w:rPr>
          <w:rFonts w:cs="Arial"/>
          <w:lang w:val="es-ES"/>
        </w:rPr>
        <w:t xml:space="preserve"> </w:t>
      </w:r>
      <w:r w:rsidR="00C66148" w:rsidRPr="001D7559">
        <w:rPr>
          <w:rFonts w:cs="Arial"/>
        </w:rPr>
        <w:t>Aplicando el sistema actual de ajuste de las pensiones, la tasa de capitalización era del</w:t>
      </w:r>
      <w:r w:rsidR="00FE1638">
        <w:rPr>
          <w:rFonts w:cs="Arial"/>
        </w:rPr>
        <w:t xml:space="preserve"> </w:t>
      </w:r>
      <w:r w:rsidR="00C66148" w:rsidRPr="001D7559">
        <w:rPr>
          <w:rFonts w:cs="Arial"/>
        </w:rPr>
        <w:t>102,7% (101,4% en la proyección de</w:t>
      </w:r>
      <w:r w:rsidR="00FE1638">
        <w:rPr>
          <w:rFonts w:cs="Arial"/>
        </w:rPr>
        <w:t xml:space="preserve"> </w:t>
      </w:r>
      <w:r w:rsidR="00C66148" w:rsidRPr="001D7559">
        <w:rPr>
          <w:rFonts w:cs="Arial"/>
        </w:rPr>
        <w:t>2016).</w:t>
      </w:r>
    </w:p>
    <w:p w:rsidR="00EA6058" w:rsidRPr="00BD0A1D" w:rsidRDefault="00EA6058" w:rsidP="00EA6058">
      <w:pPr>
        <w:rPr>
          <w:rFonts w:cs="Arial"/>
          <w:lang w:val="es-ES"/>
        </w:rPr>
      </w:pPr>
    </w:p>
    <w:p w:rsidR="00EA6058" w:rsidRPr="00BD0A1D" w:rsidRDefault="00C66148" w:rsidP="00EA6058">
      <w:pPr>
        <w:rPr>
          <w:rFonts w:cs="Arial"/>
          <w:lang w:val="es-ES"/>
        </w:rPr>
      </w:pPr>
      <w:r w:rsidRPr="001D7559">
        <w:rPr>
          <w:rFonts w:cs="Arial"/>
        </w:rPr>
        <w:t>Tras evaluar la suficiencia actuarial de la Caja, el actuario consultor concluyó que, al</w:t>
      </w:r>
      <w:r w:rsidR="00FE1638">
        <w:rPr>
          <w:rFonts w:cs="Arial"/>
        </w:rPr>
        <w:t xml:space="preserve"> </w:t>
      </w:r>
      <w:r w:rsidRPr="001D7559">
        <w:rPr>
          <w:rFonts w:cs="Arial"/>
        </w:rPr>
        <w:t>31 de diciembre de</w:t>
      </w:r>
      <w:r w:rsidR="00FE1638">
        <w:rPr>
          <w:rFonts w:cs="Arial"/>
        </w:rPr>
        <w:t xml:space="preserve"> </w:t>
      </w:r>
      <w:r w:rsidRPr="001D7559">
        <w:rPr>
          <w:rFonts w:cs="Arial"/>
        </w:rPr>
        <w:t>2017, no era necesario efectuar pagos para suplir el déficit actuarial con arreglo al artículo</w:t>
      </w:r>
      <w:r w:rsidR="00FE1638">
        <w:rPr>
          <w:rFonts w:cs="Arial"/>
        </w:rPr>
        <w:t xml:space="preserve"> </w:t>
      </w:r>
      <w:r w:rsidRPr="001D7559">
        <w:rPr>
          <w:rFonts w:cs="Arial"/>
        </w:rPr>
        <w:t>26 de los Estatutos, ya que el valor actuarial de los activos era superior al valor actuarial del pasivo acumulado total de</w:t>
      </w:r>
      <w:r w:rsidR="003265CA" w:rsidRPr="001D7559">
        <w:rPr>
          <w:rFonts w:cs="Arial"/>
        </w:rPr>
        <w:t>l</w:t>
      </w:r>
      <w:r w:rsidRPr="001D7559">
        <w:rPr>
          <w:rFonts w:cs="Arial"/>
        </w:rPr>
        <w:t xml:space="preserve"> </w:t>
      </w:r>
      <w:r w:rsidR="003265CA" w:rsidRPr="001D7559">
        <w:rPr>
          <w:rFonts w:cs="Arial"/>
        </w:rPr>
        <w:t>plan</w:t>
      </w:r>
      <w:r w:rsidRPr="001D7559">
        <w:rPr>
          <w:rFonts w:cs="Arial"/>
        </w:rPr>
        <w:t>.</w:t>
      </w:r>
      <w:r w:rsidR="00EA6058" w:rsidRPr="00BD0A1D">
        <w:rPr>
          <w:rFonts w:cs="Arial"/>
          <w:lang w:val="es-ES"/>
        </w:rPr>
        <w:t xml:space="preserve"> </w:t>
      </w:r>
      <w:r w:rsidR="006C0151">
        <w:rPr>
          <w:rFonts w:cs="Arial"/>
          <w:lang w:val="es-ES"/>
        </w:rPr>
        <w:t xml:space="preserve"> </w:t>
      </w:r>
      <w:r w:rsidR="003265CA" w:rsidRPr="001D7559">
        <w:rPr>
          <w:rFonts w:cs="Arial"/>
        </w:rPr>
        <w:t>Asimismo, la cotización de los activos también era superior al valor actuarial del pasivo acumulado total en la fecha de la valoración.</w:t>
      </w:r>
      <w:r w:rsidR="00EA6058" w:rsidRPr="00BD0A1D">
        <w:rPr>
          <w:rFonts w:cs="Arial"/>
          <w:lang w:val="es-ES"/>
        </w:rPr>
        <w:t xml:space="preserve"> </w:t>
      </w:r>
      <w:r w:rsidR="006C0151">
        <w:rPr>
          <w:rFonts w:cs="Arial"/>
          <w:lang w:val="es-ES"/>
        </w:rPr>
        <w:t xml:space="preserve"> </w:t>
      </w:r>
      <w:r w:rsidR="003265CA" w:rsidRPr="001D7559">
        <w:rPr>
          <w:rFonts w:cs="Arial"/>
        </w:rPr>
        <w:t>Hasta la fecha de redacción de</w:t>
      </w:r>
      <w:r w:rsidR="001D7559" w:rsidRPr="001D7559">
        <w:rPr>
          <w:rFonts w:cs="Arial"/>
        </w:rPr>
        <w:t>l presente informe, la Asamblea</w:t>
      </w:r>
      <w:r w:rsidR="00FE1638">
        <w:rPr>
          <w:rFonts w:cs="Arial"/>
        </w:rPr>
        <w:t xml:space="preserve"> </w:t>
      </w:r>
      <w:r w:rsidR="003265CA" w:rsidRPr="001D7559">
        <w:rPr>
          <w:rFonts w:cs="Arial"/>
        </w:rPr>
        <w:t>General no había invocado la disposición del artículo</w:t>
      </w:r>
      <w:r w:rsidR="00FE1638">
        <w:rPr>
          <w:rFonts w:cs="Arial"/>
        </w:rPr>
        <w:t xml:space="preserve"> </w:t>
      </w:r>
      <w:r w:rsidR="003265CA" w:rsidRPr="001D7559">
        <w:rPr>
          <w:rFonts w:cs="Arial"/>
        </w:rPr>
        <w:t>26.</w:t>
      </w:r>
    </w:p>
    <w:p w:rsidR="00EA6058" w:rsidRPr="00BD0A1D" w:rsidRDefault="00EA6058" w:rsidP="00EA6058">
      <w:pPr>
        <w:rPr>
          <w:rFonts w:cs="Arial"/>
          <w:lang w:val="es-ES"/>
        </w:rPr>
      </w:pPr>
    </w:p>
    <w:p w:rsidR="00EA6058" w:rsidRPr="00BD0A1D" w:rsidRDefault="003265CA" w:rsidP="00EA6058">
      <w:pPr>
        <w:rPr>
          <w:rFonts w:cs="Arial"/>
          <w:lang w:val="es-ES"/>
        </w:rPr>
      </w:pPr>
      <w:r w:rsidRPr="001D7559">
        <w:rPr>
          <w:rFonts w:cs="Arial"/>
        </w:rPr>
        <w:t>Si se invocara el artículo</w:t>
      </w:r>
      <w:r w:rsidR="00FE1638">
        <w:rPr>
          <w:rFonts w:cs="Arial"/>
        </w:rPr>
        <w:t xml:space="preserve"> </w:t>
      </w:r>
      <w:r w:rsidRPr="001D7559">
        <w:rPr>
          <w:rFonts w:cs="Arial"/>
        </w:rPr>
        <w:t>26 a causa de un déficit actuarial, bien durante las operaciones en curso o bien por la cancelación del plan de pensiones de la CCPPNU, el pago que debería realizar cada organización afiliada para suplir el déficit dependería de la proporción de sus aportaciones respecto de las aportaciones totales efectuadas a la Caja durante los tres años anteriores a la fecha de la valoración.</w:t>
      </w:r>
      <w:r w:rsidR="00EA6058" w:rsidRPr="00BD0A1D">
        <w:rPr>
          <w:rFonts w:cs="Arial"/>
          <w:lang w:val="es-ES"/>
        </w:rPr>
        <w:t xml:space="preserve"> </w:t>
      </w:r>
      <w:r w:rsidR="006C0151">
        <w:rPr>
          <w:rFonts w:cs="Arial"/>
          <w:lang w:val="es-ES"/>
        </w:rPr>
        <w:t xml:space="preserve"> </w:t>
      </w:r>
      <w:r w:rsidRPr="001D7559">
        <w:rPr>
          <w:rFonts w:cs="Arial"/>
        </w:rPr>
        <w:t>Las aportaciones efectuadas a la CCPPNU durante los tres años anteriores (2015, 2016 y 2017) ascienden a un total de</w:t>
      </w:r>
      <w:r w:rsidR="00FE1638">
        <w:rPr>
          <w:rFonts w:cs="Arial"/>
        </w:rPr>
        <w:t xml:space="preserve"> </w:t>
      </w:r>
      <w:r w:rsidRPr="001D7559">
        <w:rPr>
          <w:rFonts w:cs="Arial"/>
        </w:rPr>
        <w:t>6.931,4 millones de dólares</w:t>
      </w:r>
      <w:r w:rsidR="00FE1638">
        <w:rPr>
          <w:rFonts w:cs="Arial"/>
        </w:rPr>
        <w:t xml:space="preserve"> </w:t>
      </w:r>
      <w:r w:rsidRPr="001D7559">
        <w:rPr>
          <w:rFonts w:cs="Arial"/>
        </w:rPr>
        <w:t>EE.UU., de los cuales el</w:t>
      </w:r>
      <w:r w:rsidR="00FE1638">
        <w:rPr>
          <w:rFonts w:cs="Arial"/>
        </w:rPr>
        <w:t xml:space="preserve"> </w:t>
      </w:r>
      <w:r w:rsidRPr="001D7559">
        <w:rPr>
          <w:rFonts w:cs="Arial"/>
        </w:rPr>
        <w:t>0,018% corresponde a las aportaciones de la</w:t>
      </w:r>
      <w:r w:rsidR="00FE1638">
        <w:rPr>
          <w:rFonts w:cs="Arial"/>
        </w:rPr>
        <w:t xml:space="preserve"> </w:t>
      </w:r>
      <w:r w:rsidRPr="001D7559">
        <w:rPr>
          <w:rFonts w:cs="Arial"/>
        </w:rPr>
        <w:t>UPOV (que comprenden las aportaciones de los afiliados y las de la</w:t>
      </w:r>
      <w:r w:rsidR="00FE1638">
        <w:rPr>
          <w:rFonts w:cs="Arial"/>
        </w:rPr>
        <w:t xml:space="preserve"> </w:t>
      </w:r>
      <w:r w:rsidRPr="001D7559">
        <w:rPr>
          <w:rFonts w:cs="Arial"/>
        </w:rPr>
        <w:t>Unión).</w:t>
      </w:r>
    </w:p>
    <w:p w:rsidR="00EA6058" w:rsidRPr="00BD0A1D" w:rsidRDefault="00EA6058" w:rsidP="00EA6058">
      <w:pPr>
        <w:rPr>
          <w:rFonts w:cs="Arial"/>
          <w:lang w:val="es-ES"/>
        </w:rPr>
      </w:pPr>
    </w:p>
    <w:p w:rsidR="00EA6058" w:rsidRPr="00BD0A1D" w:rsidRDefault="00674211" w:rsidP="00EA6058">
      <w:pPr>
        <w:rPr>
          <w:rFonts w:cs="Arial"/>
          <w:lang w:val="es-ES"/>
        </w:rPr>
      </w:pPr>
      <w:r w:rsidRPr="001D7559">
        <w:rPr>
          <w:rFonts w:cs="Arial"/>
          <w:spacing w:val="-2"/>
        </w:rPr>
        <w:t>Las aportaciones a la CCPPNU efectuadas por la</w:t>
      </w:r>
      <w:r w:rsidR="00FE1638">
        <w:rPr>
          <w:rFonts w:cs="Arial"/>
          <w:spacing w:val="-2"/>
        </w:rPr>
        <w:t xml:space="preserve"> </w:t>
      </w:r>
      <w:r w:rsidRPr="001D7559">
        <w:rPr>
          <w:rFonts w:cs="Arial"/>
          <w:spacing w:val="-2"/>
        </w:rPr>
        <w:t>UPOV en</w:t>
      </w:r>
      <w:r w:rsidR="00FE1638">
        <w:rPr>
          <w:rFonts w:cs="Arial"/>
          <w:spacing w:val="-2"/>
        </w:rPr>
        <w:t xml:space="preserve"> </w:t>
      </w:r>
      <w:r w:rsidRPr="001D7559">
        <w:rPr>
          <w:rFonts w:cs="Arial"/>
          <w:spacing w:val="-2"/>
        </w:rPr>
        <w:t>2018 ascendieron a</w:t>
      </w:r>
      <w:r w:rsidR="00FE1638">
        <w:rPr>
          <w:rFonts w:cs="Arial"/>
          <w:spacing w:val="-2"/>
        </w:rPr>
        <w:t xml:space="preserve"> </w:t>
      </w:r>
      <w:r w:rsidRPr="001D7559">
        <w:rPr>
          <w:rFonts w:cs="Arial"/>
          <w:spacing w:val="-2"/>
        </w:rPr>
        <w:t>276.107 francos suizos (esta cifra incluye únicamente las aportaciones de la</w:t>
      </w:r>
      <w:r w:rsidR="00FE1638">
        <w:rPr>
          <w:rFonts w:cs="Arial"/>
          <w:spacing w:val="-2"/>
        </w:rPr>
        <w:t xml:space="preserve"> </w:t>
      </w:r>
      <w:r w:rsidRPr="001D7559">
        <w:rPr>
          <w:rFonts w:cs="Arial"/>
          <w:spacing w:val="-2"/>
        </w:rPr>
        <w:t>Unión; 268.883 francos suizos en</w:t>
      </w:r>
      <w:r w:rsidR="00FE1638">
        <w:rPr>
          <w:rFonts w:cs="Arial"/>
          <w:spacing w:val="-2"/>
        </w:rPr>
        <w:t xml:space="preserve"> </w:t>
      </w:r>
      <w:r w:rsidRPr="001D7559">
        <w:rPr>
          <w:rFonts w:cs="Arial"/>
          <w:spacing w:val="-2"/>
        </w:rPr>
        <w:t>2017).</w:t>
      </w:r>
      <w:r w:rsidR="00EA6058" w:rsidRPr="00BD0A1D">
        <w:rPr>
          <w:rFonts w:cs="Arial"/>
          <w:lang w:val="es-ES"/>
        </w:rPr>
        <w:t xml:space="preserve"> </w:t>
      </w:r>
      <w:r w:rsidR="006C0151">
        <w:rPr>
          <w:rFonts w:cs="Arial"/>
          <w:lang w:val="es-ES"/>
        </w:rPr>
        <w:t xml:space="preserve"> </w:t>
      </w:r>
      <w:r w:rsidR="008477A1" w:rsidRPr="001D7559">
        <w:rPr>
          <w:rFonts w:cs="Arial"/>
        </w:rPr>
        <w:t>Las aportaciones previstas para</w:t>
      </w:r>
      <w:r w:rsidR="00FE1638">
        <w:rPr>
          <w:rFonts w:cs="Arial"/>
        </w:rPr>
        <w:t xml:space="preserve"> </w:t>
      </w:r>
      <w:r w:rsidR="008477A1" w:rsidRPr="001D7559">
        <w:rPr>
          <w:rFonts w:cs="Arial"/>
        </w:rPr>
        <w:t>2019 son de</w:t>
      </w:r>
      <w:r w:rsidR="00FE1638">
        <w:rPr>
          <w:rFonts w:cs="Arial"/>
        </w:rPr>
        <w:t xml:space="preserve"> </w:t>
      </w:r>
      <w:r w:rsidR="008477A1" w:rsidRPr="001D7559">
        <w:rPr>
          <w:rFonts w:cs="Arial"/>
        </w:rPr>
        <w:t>288.756 francos suizos.</w:t>
      </w:r>
    </w:p>
    <w:p w:rsidR="00EA6058" w:rsidRPr="00BD0A1D" w:rsidRDefault="00EA6058" w:rsidP="00EA6058">
      <w:pPr>
        <w:rPr>
          <w:rFonts w:cs="Arial"/>
          <w:lang w:val="es-ES"/>
        </w:rPr>
      </w:pPr>
    </w:p>
    <w:p w:rsidR="00EA6058" w:rsidRPr="00BD0A1D" w:rsidRDefault="008477A1" w:rsidP="00EA6058">
      <w:pPr>
        <w:rPr>
          <w:rFonts w:cs="Arial"/>
          <w:lang w:val="es-ES"/>
        </w:rPr>
      </w:pPr>
      <w:r w:rsidRPr="001D7559">
        <w:rPr>
          <w:rFonts w:cs="Arial"/>
        </w:rPr>
        <w:t>La afiliación a la Caja puede ser cancel</w:t>
      </w:r>
      <w:r w:rsidR="001D7559" w:rsidRPr="001D7559">
        <w:rPr>
          <w:rFonts w:cs="Arial"/>
        </w:rPr>
        <w:t>ada por decisión de la Asamblea</w:t>
      </w:r>
      <w:r w:rsidR="00FE1638">
        <w:rPr>
          <w:rFonts w:cs="Arial"/>
        </w:rPr>
        <w:t xml:space="preserve"> </w:t>
      </w:r>
      <w:r w:rsidRPr="001D7559">
        <w:rPr>
          <w:rFonts w:cs="Arial"/>
        </w:rPr>
        <w:t>General, previa recomendación del Comité Mixto de Pensiones en ese sentido.</w:t>
      </w:r>
      <w:r w:rsidR="00EA6058" w:rsidRPr="00BD0A1D">
        <w:rPr>
          <w:rFonts w:cs="Arial"/>
          <w:lang w:val="es-ES"/>
        </w:rPr>
        <w:t xml:space="preserve"> </w:t>
      </w:r>
      <w:r w:rsidR="006C0151">
        <w:rPr>
          <w:rFonts w:cs="Arial"/>
          <w:lang w:val="es-ES"/>
        </w:rPr>
        <w:t xml:space="preserve"> </w:t>
      </w:r>
      <w:r w:rsidRPr="00FF7C56">
        <w:rPr>
          <w:rFonts w:cs="Arial"/>
        </w:rPr>
        <w:t>En tal caso, se abonará a la organización en cuestión una parte proporcional del activo total de la Caja en la fecha de cancelación de la afiliación, exclusivamente en beneficio del personal de la organización que estuviera afiliado a la Caja en esa fecha y conforme a un arreglo convenido de común acuerdo entre la organización y el Comité Mixto de Pensiones.</w:t>
      </w:r>
      <w:r w:rsidR="00EA6058" w:rsidRPr="00BD0A1D">
        <w:rPr>
          <w:rFonts w:cs="Arial"/>
          <w:lang w:val="es-ES"/>
        </w:rPr>
        <w:t xml:space="preserve"> </w:t>
      </w:r>
      <w:r w:rsidR="006C0151">
        <w:rPr>
          <w:rFonts w:cs="Arial"/>
          <w:lang w:val="es-ES"/>
        </w:rPr>
        <w:t xml:space="preserve"> </w:t>
      </w:r>
      <w:r w:rsidR="00ED4FF6" w:rsidRPr="00FF7C56">
        <w:rPr>
          <w:rFonts w:cs="Arial"/>
        </w:rPr>
        <w:t>La cuantía de esa parte proporcional será determinada por el Comité Mixto sobre la base de una valoración actuarial del activo y el pasivo de la Caja en la fecha de cancelación de la afiliación; en esa cuantía no se incluirá ninguna parte del activo que exceda del pasivo.</w:t>
      </w:r>
    </w:p>
    <w:p w:rsidR="00EA6058" w:rsidRPr="00BD0A1D" w:rsidRDefault="00EA6058" w:rsidP="00EA6058">
      <w:pPr>
        <w:rPr>
          <w:rFonts w:cs="Arial"/>
          <w:lang w:val="es-ES"/>
        </w:rPr>
      </w:pPr>
    </w:p>
    <w:p w:rsidR="00EA6058" w:rsidRPr="00BD0A1D" w:rsidRDefault="00ED4FF6" w:rsidP="00EA6058">
      <w:pPr>
        <w:rPr>
          <w:lang w:val="es-ES"/>
        </w:rPr>
      </w:pPr>
      <w:r w:rsidRPr="00FF7C56">
        <w:t>La Jun</w:t>
      </w:r>
      <w:r w:rsidR="00FF7C56" w:rsidRPr="00FF7C56">
        <w:t>ta de Auditores de las Naciones</w:t>
      </w:r>
      <w:r w:rsidR="00FE1638">
        <w:t xml:space="preserve"> </w:t>
      </w:r>
      <w:r w:rsidRPr="00FF7C56">
        <w:t>Unidas lleva a cabo cada año una auditoría de la CCPPNU y remite un informe anual de los resultados al Comité Mixto de la CCPPNU.</w:t>
      </w:r>
      <w:r w:rsidR="00EA6058" w:rsidRPr="00BD0A1D">
        <w:rPr>
          <w:lang w:val="es-ES"/>
        </w:rPr>
        <w:t xml:space="preserve"> </w:t>
      </w:r>
      <w:r w:rsidR="006C0151">
        <w:rPr>
          <w:lang w:val="es-ES"/>
        </w:rPr>
        <w:t xml:space="preserve"> </w:t>
      </w:r>
      <w:r w:rsidRPr="00FF7C56">
        <w:t>La CCPPNU publica informes trimestrales sobre sus inversiones, los cuales pueden consultarse en su sitio web</w:t>
      </w:r>
      <w:r w:rsidR="00EA6058" w:rsidRPr="00BD0A1D">
        <w:rPr>
          <w:lang w:val="es-ES"/>
        </w:rPr>
        <w:t xml:space="preserve"> </w:t>
      </w:r>
      <w:r w:rsidRPr="00BD0A1D">
        <w:rPr>
          <w:lang w:val="es-ES"/>
        </w:rPr>
        <w:t>(</w:t>
      </w:r>
      <w:hyperlink r:id="rId29" w:history="1">
        <w:r w:rsidR="00EA6058" w:rsidRPr="00BD0A1D">
          <w:rPr>
            <w:rStyle w:val="Hyperlink"/>
            <w:lang w:val="es-ES"/>
          </w:rPr>
          <w:t>www.unjspf.org</w:t>
        </w:r>
      </w:hyperlink>
      <w:r w:rsidRPr="00BD0A1D">
        <w:rPr>
          <w:lang w:val="es-ES"/>
        </w:rPr>
        <w:t>)</w:t>
      </w:r>
      <w:r w:rsidR="00EA6058" w:rsidRPr="00BD0A1D">
        <w:rPr>
          <w:lang w:val="es-ES"/>
        </w:rPr>
        <w:t>.</w:t>
      </w:r>
    </w:p>
    <w:p w:rsidR="00EA6058" w:rsidRPr="00BD0A1D" w:rsidRDefault="00EA6058" w:rsidP="00FC47DB">
      <w:pPr>
        <w:pStyle w:val="Heading2Notes"/>
        <w:keepNext w:val="0"/>
        <w:rPr>
          <w:color w:val="000000" w:themeColor="text1"/>
          <w:lang w:val="es-ES"/>
        </w:rPr>
      </w:pPr>
    </w:p>
    <w:p w:rsidR="00EA6058" w:rsidRPr="00BD0A1D" w:rsidRDefault="00EA6058" w:rsidP="00FC47DB">
      <w:pPr>
        <w:pStyle w:val="Heading2Notes"/>
        <w:keepNext w:val="0"/>
        <w:rPr>
          <w:color w:val="000000" w:themeColor="text1"/>
          <w:lang w:val="es-ES"/>
        </w:rPr>
      </w:pPr>
    </w:p>
    <w:p w:rsidR="00EA6058" w:rsidRPr="001C0768" w:rsidRDefault="001C0768" w:rsidP="008F7AF6">
      <w:pPr>
        <w:pStyle w:val="Heading2Notes"/>
      </w:pPr>
      <w:bookmarkStart w:id="31" w:name="_Toc15397070"/>
      <w:r w:rsidRPr="001C0768">
        <w:lastRenderedPageBreak/>
        <w:t xml:space="preserve">Nota </w:t>
      </w:r>
      <w:r w:rsidR="00ED4FF6" w:rsidRPr="001C0768">
        <w:t>7:</w:t>
      </w:r>
      <w:r w:rsidR="00EA6058" w:rsidRPr="001C0768">
        <w:tab/>
      </w:r>
      <w:r w:rsidRPr="001C0768">
        <w:t xml:space="preserve">Transferencias </w:t>
      </w:r>
      <w:r w:rsidR="00ED4FF6" w:rsidRPr="001C0768">
        <w:t>por pagar</w:t>
      </w:r>
      <w:bookmarkEnd w:id="31"/>
    </w:p>
    <w:p w:rsidR="00EA6058" w:rsidRPr="00312A3B" w:rsidRDefault="00EA6058" w:rsidP="00EA6058">
      <w:pPr>
        <w:pStyle w:val="Heading2Notes"/>
        <w:rPr>
          <w:color w:val="000000" w:themeColor="text1"/>
        </w:rPr>
      </w:pPr>
    </w:p>
    <w:p w:rsidR="00EA6058" w:rsidRDefault="00FF7C56" w:rsidP="00EA6058">
      <w:r w:rsidRPr="00FF7C56">
        <w:rPr>
          <w:noProof/>
          <w:lang w:val="en-US"/>
        </w:rPr>
        <w:drawing>
          <wp:inline distT="0" distB="0" distL="0" distR="0">
            <wp:extent cx="6120000" cy="1152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tretch>
                      <a:fillRect/>
                    </a:stretch>
                  </pic:blipFill>
                  <pic:spPr bwMode="auto">
                    <a:xfrm>
                      <a:off x="0" y="0"/>
                      <a:ext cx="6120000" cy="1152000"/>
                    </a:xfrm>
                    <a:prstGeom prst="rect">
                      <a:avLst/>
                    </a:prstGeom>
                    <a:noFill/>
                    <a:ln>
                      <a:noFill/>
                    </a:ln>
                  </pic:spPr>
                </pic:pic>
              </a:graphicData>
            </a:graphic>
          </wp:inline>
        </w:drawing>
      </w:r>
    </w:p>
    <w:p w:rsidR="00EA6058" w:rsidRDefault="00EA6058" w:rsidP="00EA6058"/>
    <w:p w:rsidR="00EA6058" w:rsidRPr="00B24DA2" w:rsidRDefault="007E0CF0" w:rsidP="00EA6058">
      <w:pPr>
        <w:rPr>
          <w:lang w:val="es-ES"/>
        </w:rPr>
      </w:pPr>
      <w:r w:rsidRPr="006A33F1">
        <w:t>El Consejo de la</w:t>
      </w:r>
      <w:r w:rsidR="00FE1638">
        <w:t xml:space="preserve"> </w:t>
      </w:r>
      <w:r w:rsidRPr="006A33F1">
        <w:t>UPOV ha decidido que no se cobre</w:t>
      </w:r>
      <w:r w:rsidR="006A33F1" w:rsidRPr="006A33F1">
        <w:t>n</w:t>
      </w:r>
      <w:r w:rsidRPr="006A33F1">
        <w:t xml:space="preserve"> tasa</w:t>
      </w:r>
      <w:r w:rsidR="006A33F1" w:rsidRPr="006A33F1">
        <w:t>s</w:t>
      </w:r>
      <w:r w:rsidRPr="006A33F1">
        <w:t xml:space="preserve"> por el uso de UPOV</w:t>
      </w:r>
      <w:r w:rsidR="00FE1638">
        <w:t xml:space="preserve"> </w:t>
      </w:r>
      <w:r w:rsidRPr="006A33F1">
        <w:t>PRISMA durante la fase introductoria.</w:t>
      </w:r>
      <w:r w:rsidR="00EA6058" w:rsidRPr="00B24DA2">
        <w:rPr>
          <w:lang w:val="es-ES"/>
        </w:rPr>
        <w:t xml:space="preserve"> </w:t>
      </w:r>
      <w:r w:rsidR="006C0151">
        <w:rPr>
          <w:lang w:val="es-ES"/>
        </w:rPr>
        <w:t xml:space="preserve"> </w:t>
      </w:r>
      <w:r w:rsidR="006A33F1" w:rsidRPr="006A33F1">
        <w:t xml:space="preserve">Esta </w:t>
      </w:r>
      <w:r w:rsidRPr="006A33F1">
        <w:t xml:space="preserve">decisión no afecta a las tasas que las oficinas de protección de las obtenciones vegetales </w:t>
      </w:r>
      <w:r w:rsidR="006C0151">
        <w:t xml:space="preserve">(POV) </w:t>
      </w:r>
      <w:r w:rsidRPr="006A33F1">
        <w:t>reciben por solicitud.</w:t>
      </w:r>
      <w:r w:rsidR="00EA6058" w:rsidRPr="00B24DA2">
        <w:rPr>
          <w:lang w:val="es-ES"/>
        </w:rPr>
        <w:t xml:space="preserve"> </w:t>
      </w:r>
      <w:r w:rsidR="006C0151">
        <w:rPr>
          <w:lang w:val="es-ES"/>
        </w:rPr>
        <w:t xml:space="preserve"> </w:t>
      </w:r>
      <w:r w:rsidRPr="006A33F1">
        <w:t>Al</w:t>
      </w:r>
      <w:r w:rsidR="00FE1638">
        <w:t xml:space="preserve"> </w:t>
      </w:r>
      <w:r w:rsidRPr="006A33F1">
        <w:t>31 de diciembre de</w:t>
      </w:r>
      <w:r w:rsidR="00FE1638">
        <w:t xml:space="preserve"> </w:t>
      </w:r>
      <w:r w:rsidRPr="006A33F1">
        <w:t>2018, el importe recaudado por medio de UPOV</w:t>
      </w:r>
      <w:r w:rsidR="00FE1638">
        <w:t xml:space="preserve"> </w:t>
      </w:r>
      <w:r w:rsidRPr="006A33F1">
        <w:t xml:space="preserve">PRISMA que no se había transferido a las oficinas de </w:t>
      </w:r>
      <w:r w:rsidR="006C0151">
        <w:t xml:space="preserve">POV </w:t>
      </w:r>
      <w:r w:rsidRPr="006A33F1">
        <w:t>era de</w:t>
      </w:r>
      <w:r w:rsidR="00FE1638">
        <w:t xml:space="preserve"> </w:t>
      </w:r>
      <w:r w:rsidRPr="006A33F1">
        <w:t>1.352 francos suizos.</w:t>
      </w:r>
    </w:p>
    <w:p w:rsidR="00EA6058" w:rsidRPr="00B24DA2" w:rsidRDefault="00EA6058" w:rsidP="006D1040">
      <w:pPr>
        <w:pStyle w:val="Heading2Notes"/>
        <w:keepNext w:val="0"/>
        <w:rPr>
          <w:lang w:val="es-ES"/>
        </w:rPr>
      </w:pPr>
    </w:p>
    <w:p w:rsidR="006D1040" w:rsidRPr="00B24DA2" w:rsidRDefault="006D1040" w:rsidP="006D1040">
      <w:pPr>
        <w:pStyle w:val="Heading2Notes"/>
        <w:keepNext w:val="0"/>
        <w:rPr>
          <w:lang w:val="es-ES"/>
        </w:rPr>
      </w:pPr>
    </w:p>
    <w:p w:rsidR="00EA6058" w:rsidRPr="001C0768" w:rsidRDefault="001C0768" w:rsidP="008F7AF6">
      <w:pPr>
        <w:pStyle w:val="Heading2Notes"/>
      </w:pPr>
      <w:bookmarkStart w:id="32" w:name="_Toc15397071"/>
      <w:r w:rsidRPr="001C0768">
        <w:t xml:space="preserve">Nota </w:t>
      </w:r>
      <w:r w:rsidR="00AD760A" w:rsidRPr="001C0768">
        <w:t>8:</w:t>
      </w:r>
      <w:r w:rsidR="00EA6058" w:rsidRPr="001C0768">
        <w:tab/>
      </w:r>
      <w:r w:rsidRPr="001C0768">
        <w:t>Cobros anticipados</w:t>
      </w:r>
      <w:bookmarkEnd w:id="32"/>
    </w:p>
    <w:p w:rsidR="00EA6058" w:rsidRPr="003631E5" w:rsidRDefault="00EA6058" w:rsidP="00EA6058">
      <w:pPr>
        <w:rPr>
          <w:noProof/>
        </w:rPr>
      </w:pPr>
    </w:p>
    <w:p w:rsidR="00EA6058" w:rsidRPr="003631E5" w:rsidRDefault="00DF6131" w:rsidP="00EA6058">
      <w:pPr>
        <w:jc w:val="center"/>
        <w:rPr>
          <w:noProof/>
        </w:rPr>
      </w:pPr>
      <w:r w:rsidRPr="00DF6131">
        <w:rPr>
          <w:noProof/>
          <w:lang w:val="en-US"/>
        </w:rPr>
        <w:drawing>
          <wp:inline distT="0" distB="0" distL="0" distR="0">
            <wp:extent cx="6120765" cy="1366846"/>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srcRect/>
                    <a:stretch>
                      <a:fillRect/>
                    </a:stretch>
                  </pic:blipFill>
                  <pic:spPr bwMode="auto">
                    <a:xfrm>
                      <a:off x="0" y="0"/>
                      <a:ext cx="6120765" cy="1366846"/>
                    </a:xfrm>
                    <a:prstGeom prst="rect">
                      <a:avLst/>
                    </a:prstGeom>
                    <a:noFill/>
                    <a:ln w="9525">
                      <a:noFill/>
                      <a:miter lim="800000"/>
                      <a:headEnd/>
                      <a:tailEnd/>
                    </a:ln>
                  </pic:spPr>
                </pic:pic>
              </a:graphicData>
            </a:graphic>
          </wp:inline>
        </w:drawing>
      </w:r>
    </w:p>
    <w:p w:rsidR="00EA6058" w:rsidRPr="003631E5" w:rsidRDefault="00EA6058" w:rsidP="00EA6058">
      <w:pPr>
        <w:pStyle w:val="Style3"/>
        <w:spacing w:after="0"/>
        <w:rPr>
          <w:rFonts w:cs="Arial"/>
          <w:sz w:val="20"/>
        </w:rPr>
      </w:pPr>
    </w:p>
    <w:p w:rsidR="00EA6058" w:rsidRPr="00BD0A1D" w:rsidRDefault="00F36A74" w:rsidP="00EA6058">
      <w:pPr>
        <w:pStyle w:val="Style3"/>
        <w:spacing w:after="0"/>
        <w:rPr>
          <w:rFonts w:cs="Arial"/>
          <w:sz w:val="20"/>
          <w:lang w:val="es-ES"/>
        </w:rPr>
      </w:pPr>
      <w:r w:rsidRPr="006A33F1">
        <w:rPr>
          <w:rFonts w:cs="Arial"/>
          <w:sz w:val="20"/>
        </w:rPr>
        <w:t>Las contribuciones percibidas por anticipado se registran como pasivo por cobros anticipados y se contabilizan como ingresos en el ejercicio al que corresponden.</w:t>
      </w:r>
      <w:r w:rsidR="00D61DE6">
        <w:rPr>
          <w:rFonts w:cs="Arial"/>
          <w:sz w:val="20"/>
        </w:rPr>
        <w:t xml:space="preserve"> </w:t>
      </w:r>
      <w:r w:rsidR="00EA6058" w:rsidRPr="00BD0A1D">
        <w:rPr>
          <w:rFonts w:cs="Arial"/>
          <w:sz w:val="20"/>
          <w:lang w:val="es-ES"/>
        </w:rPr>
        <w:t xml:space="preserve"> </w:t>
      </w:r>
      <w:r w:rsidRPr="006A33F1">
        <w:rPr>
          <w:rFonts w:cs="Arial"/>
          <w:sz w:val="20"/>
        </w:rPr>
        <w:t>Los fondos extrapresupuestarios aportados por donantes a fondos fiduciarios que estén sujetos a condiciones que prevean la prestación de servicios por parte de la</w:t>
      </w:r>
      <w:r w:rsidR="00D61DE6">
        <w:rPr>
          <w:rFonts w:cs="Arial"/>
          <w:sz w:val="20"/>
        </w:rPr>
        <w:t> </w:t>
      </w:r>
      <w:r w:rsidRPr="006A33F1">
        <w:rPr>
          <w:rFonts w:cs="Arial"/>
          <w:sz w:val="20"/>
        </w:rPr>
        <w:t>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EA6058" w:rsidRPr="00BD0A1D" w:rsidRDefault="00EA6058" w:rsidP="00EA6058">
      <w:pPr>
        <w:pStyle w:val="Style3"/>
        <w:spacing w:after="0"/>
        <w:rPr>
          <w:rFonts w:cs="Arial"/>
          <w:sz w:val="20"/>
          <w:lang w:val="es-ES"/>
        </w:rPr>
      </w:pPr>
    </w:p>
    <w:p w:rsidR="00EA6058" w:rsidRPr="00BD0A1D" w:rsidRDefault="00EA6058" w:rsidP="00EA6058">
      <w:pPr>
        <w:pStyle w:val="Style3"/>
        <w:spacing w:after="0"/>
        <w:rPr>
          <w:rFonts w:cs="Arial"/>
          <w:sz w:val="20"/>
          <w:lang w:val="es-ES"/>
        </w:rPr>
      </w:pPr>
    </w:p>
    <w:p w:rsidR="00EA6058" w:rsidRPr="001C0768" w:rsidRDefault="001C0768" w:rsidP="008F7AF6">
      <w:pPr>
        <w:pStyle w:val="Heading2Notes"/>
      </w:pPr>
      <w:bookmarkStart w:id="33" w:name="_Toc15397072"/>
      <w:r w:rsidRPr="001C0768">
        <w:t xml:space="preserve">Nota </w:t>
      </w:r>
      <w:r w:rsidR="00F36A74" w:rsidRPr="001C0768">
        <w:t>9:</w:t>
      </w:r>
      <w:r w:rsidR="00EA6058" w:rsidRPr="001C0768">
        <w:tab/>
      </w:r>
      <w:r w:rsidRPr="001C0768">
        <w:t>Otros pasivos corrientes</w:t>
      </w:r>
      <w:bookmarkEnd w:id="33"/>
    </w:p>
    <w:p w:rsidR="00EA6058" w:rsidRPr="003631E5" w:rsidRDefault="00EA6058" w:rsidP="00EA6058"/>
    <w:p w:rsidR="00EA6058" w:rsidRPr="003631E5" w:rsidRDefault="00EC433F" w:rsidP="00EA6058">
      <w:pPr>
        <w:jc w:val="center"/>
      </w:pPr>
      <w:r w:rsidRPr="00EC433F">
        <w:rPr>
          <w:noProof/>
          <w:lang w:val="en-US"/>
        </w:rPr>
        <w:drawing>
          <wp:inline distT="0" distB="0" distL="0" distR="0">
            <wp:extent cx="6120000" cy="1152000"/>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tretch>
                      <a:fillRect/>
                    </a:stretch>
                  </pic:blipFill>
                  <pic:spPr bwMode="auto">
                    <a:xfrm>
                      <a:off x="0" y="0"/>
                      <a:ext cx="6120000" cy="1152000"/>
                    </a:xfrm>
                    <a:prstGeom prst="rect">
                      <a:avLst/>
                    </a:prstGeom>
                    <a:noFill/>
                    <a:ln>
                      <a:noFill/>
                    </a:ln>
                  </pic:spPr>
                </pic:pic>
              </a:graphicData>
            </a:graphic>
          </wp:inline>
        </w:drawing>
      </w:r>
    </w:p>
    <w:p w:rsidR="00EA6058" w:rsidRPr="003631E5" w:rsidRDefault="00EA6058" w:rsidP="00EA6058"/>
    <w:p w:rsidR="00EA6058" w:rsidRPr="00BD0A1D" w:rsidRDefault="00117506" w:rsidP="00EA6058">
      <w:pPr>
        <w:rPr>
          <w:lang w:val="es-ES"/>
        </w:rPr>
      </w:pPr>
      <w:r w:rsidRPr="006A33F1">
        <w:t>Otros pasivos corrientes son los importes pagaderos a la</w:t>
      </w:r>
      <w:r w:rsidR="00FE1638">
        <w:t xml:space="preserve"> </w:t>
      </w:r>
      <w:r w:rsidRPr="006A33F1">
        <w:t>OMPI correspondientes a los servicios prestados en el marco del Acuerdo OMPI-UPOV.</w:t>
      </w:r>
    </w:p>
    <w:p w:rsidR="00EA6058" w:rsidRPr="00BD0A1D" w:rsidRDefault="00EA6058" w:rsidP="00EA6058">
      <w:pPr>
        <w:rPr>
          <w:lang w:val="es-ES"/>
        </w:rPr>
      </w:pPr>
    </w:p>
    <w:p w:rsidR="00EA6058" w:rsidRPr="00BD0A1D" w:rsidRDefault="00EA6058" w:rsidP="00EA6058">
      <w:pPr>
        <w:rPr>
          <w:lang w:val="es-ES"/>
        </w:rPr>
      </w:pPr>
    </w:p>
    <w:p w:rsidR="00EA6058" w:rsidRPr="001C0768" w:rsidRDefault="001C0768" w:rsidP="008F7AF6">
      <w:pPr>
        <w:pStyle w:val="Heading2Notes"/>
      </w:pPr>
      <w:bookmarkStart w:id="34" w:name="_Toc15397073"/>
      <w:r w:rsidRPr="001C0768">
        <w:t xml:space="preserve">Nota </w:t>
      </w:r>
      <w:r w:rsidR="00117506" w:rsidRPr="001C0768">
        <w:t>10:</w:t>
      </w:r>
      <w:r w:rsidR="00EA6058" w:rsidRPr="001C0768">
        <w:tab/>
      </w:r>
      <w:r w:rsidRPr="001C0768">
        <w:t>Transacciones con entidades relacionadas</w:t>
      </w:r>
      <w:bookmarkEnd w:id="34"/>
    </w:p>
    <w:p w:rsidR="00EA6058" w:rsidRPr="00BD0A1D" w:rsidRDefault="00EA6058" w:rsidP="00EA6058">
      <w:pPr>
        <w:rPr>
          <w:lang w:val="es-ES"/>
        </w:rPr>
      </w:pPr>
    </w:p>
    <w:p w:rsidR="00EA6058" w:rsidRPr="00BD0A1D" w:rsidRDefault="00117506" w:rsidP="00EA6058">
      <w:pPr>
        <w:pStyle w:val="Style3"/>
        <w:spacing w:after="0"/>
        <w:rPr>
          <w:sz w:val="20"/>
          <w:lang w:val="es-ES"/>
        </w:rPr>
      </w:pPr>
      <w:r w:rsidRPr="006A33F1">
        <w:rPr>
          <w:sz w:val="20"/>
        </w:rPr>
        <w:t>El Consejo de la</w:t>
      </w:r>
      <w:r w:rsidR="00FE1638">
        <w:rPr>
          <w:sz w:val="20"/>
        </w:rPr>
        <w:t xml:space="preserve"> </w:t>
      </w:r>
      <w:r w:rsidRPr="006A33F1">
        <w:rPr>
          <w:sz w:val="20"/>
        </w:rPr>
        <w:t>UPOV está compuesto por los representantes de los miembros de la</w:t>
      </w:r>
      <w:r w:rsidR="00FE1638">
        <w:rPr>
          <w:sz w:val="20"/>
        </w:rPr>
        <w:t xml:space="preserve"> </w:t>
      </w:r>
      <w:r w:rsidRPr="006A33F1">
        <w:rPr>
          <w:sz w:val="20"/>
        </w:rPr>
        <w:t>Unión,</w:t>
      </w:r>
      <w:r w:rsidR="00EA6058" w:rsidRPr="00BD0A1D">
        <w:rPr>
          <w:sz w:val="20"/>
          <w:lang w:val="es-ES"/>
        </w:rPr>
        <w:t xml:space="preserve"> </w:t>
      </w:r>
      <w:r w:rsidRPr="006A33F1">
        <w:rPr>
          <w:sz w:val="20"/>
        </w:rPr>
        <w:t>que no perciben remuneración alguna de esta.</w:t>
      </w:r>
      <w:r w:rsidR="00EA6058" w:rsidRPr="00BD0A1D">
        <w:rPr>
          <w:sz w:val="20"/>
          <w:lang w:val="es-ES"/>
        </w:rPr>
        <w:t xml:space="preserve"> </w:t>
      </w:r>
    </w:p>
    <w:p w:rsidR="00EA6058" w:rsidRPr="00BD0A1D" w:rsidRDefault="00EA6058" w:rsidP="00EA6058">
      <w:pPr>
        <w:pStyle w:val="Style3"/>
        <w:spacing w:after="0"/>
        <w:rPr>
          <w:sz w:val="20"/>
          <w:lang w:val="es-ES"/>
        </w:rPr>
      </w:pPr>
    </w:p>
    <w:p w:rsidR="00EA6058" w:rsidRPr="00BD0A1D" w:rsidRDefault="00117506" w:rsidP="00EA6058">
      <w:pPr>
        <w:pStyle w:val="Style3"/>
        <w:spacing w:after="0"/>
        <w:rPr>
          <w:sz w:val="20"/>
          <w:lang w:val="es-ES"/>
        </w:rPr>
      </w:pPr>
      <w:r w:rsidRPr="006A33F1">
        <w:rPr>
          <w:sz w:val="20"/>
        </w:rPr>
        <w:t>La</w:t>
      </w:r>
      <w:r w:rsidR="00FE1638">
        <w:rPr>
          <w:sz w:val="20"/>
        </w:rPr>
        <w:t xml:space="preserve"> </w:t>
      </w:r>
      <w:r w:rsidRPr="006A33F1">
        <w:rPr>
          <w:sz w:val="20"/>
        </w:rPr>
        <w:t>UPOV no posee ninguna participación en asociaciones o negocios conjuntos ni en ninguna entidad controlada.</w:t>
      </w:r>
      <w:r w:rsidR="00EA6058" w:rsidRPr="00BD0A1D">
        <w:rPr>
          <w:sz w:val="20"/>
          <w:lang w:val="es-ES"/>
        </w:rPr>
        <w:t xml:space="preserve"> </w:t>
      </w:r>
      <w:r w:rsidR="00D61DE6">
        <w:rPr>
          <w:sz w:val="20"/>
          <w:lang w:val="es-ES"/>
        </w:rPr>
        <w:t xml:space="preserve"> </w:t>
      </w:r>
      <w:r w:rsidR="00BD0937" w:rsidRPr="006A33F1">
        <w:rPr>
          <w:sz w:val="20"/>
        </w:rPr>
        <w:t>En 1982, la</w:t>
      </w:r>
      <w:r w:rsidR="00FE1638">
        <w:rPr>
          <w:sz w:val="20"/>
        </w:rPr>
        <w:t xml:space="preserve"> </w:t>
      </w:r>
      <w:r w:rsidR="00BD0937" w:rsidRPr="006A33F1">
        <w:rPr>
          <w:sz w:val="20"/>
        </w:rPr>
        <w:t>UPOV y la</w:t>
      </w:r>
      <w:r w:rsidR="00FE1638">
        <w:rPr>
          <w:sz w:val="20"/>
        </w:rPr>
        <w:t xml:space="preserve"> </w:t>
      </w:r>
      <w:r w:rsidR="00BD0937" w:rsidRPr="006A33F1">
        <w:rPr>
          <w:sz w:val="20"/>
        </w:rPr>
        <w:t>OMPI suscribieron un acuerdo de cooperación (el Acuerdo OMPI-UPOV),</w:t>
      </w:r>
      <w:r w:rsidR="00680842" w:rsidRPr="00BD0A1D">
        <w:rPr>
          <w:sz w:val="20"/>
          <w:lang w:val="es-ES"/>
        </w:rPr>
        <w:t xml:space="preserve"> </w:t>
      </w:r>
      <w:r w:rsidR="00BD0937" w:rsidRPr="006A33F1">
        <w:rPr>
          <w:sz w:val="20"/>
        </w:rPr>
        <w:t>en virtud del cual el Consejo de la</w:t>
      </w:r>
      <w:r w:rsidR="00FE1638">
        <w:rPr>
          <w:sz w:val="20"/>
        </w:rPr>
        <w:t xml:space="preserve"> </w:t>
      </w:r>
      <w:r w:rsidR="00BD0937" w:rsidRPr="006A33F1">
        <w:rPr>
          <w:sz w:val="20"/>
        </w:rPr>
        <w:t xml:space="preserve">UPOV nombra </w:t>
      </w:r>
      <w:r w:rsidR="00D61DE6" w:rsidRPr="006A33F1">
        <w:rPr>
          <w:sz w:val="20"/>
        </w:rPr>
        <w:t xml:space="preserve">Secretario General </w:t>
      </w:r>
      <w:r w:rsidR="00BD0937" w:rsidRPr="006A33F1">
        <w:rPr>
          <w:sz w:val="20"/>
        </w:rPr>
        <w:t>de la</w:t>
      </w:r>
      <w:r w:rsidR="00FE1638">
        <w:rPr>
          <w:sz w:val="20"/>
        </w:rPr>
        <w:t xml:space="preserve"> </w:t>
      </w:r>
      <w:r w:rsidR="00BD0937" w:rsidRPr="006A33F1">
        <w:rPr>
          <w:sz w:val="20"/>
        </w:rPr>
        <w:t xml:space="preserve">UPOV al </w:t>
      </w:r>
      <w:r w:rsidR="00D61DE6" w:rsidRPr="006A33F1">
        <w:rPr>
          <w:sz w:val="20"/>
        </w:rPr>
        <w:t xml:space="preserve">Director General </w:t>
      </w:r>
      <w:r w:rsidR="00BD0937" w:rsidRPr="006A33F1">
        <w:rPr>
          <w:sz w:val="20"/>
        </w:rPr>
        <w:t>de la</w:t>
      </w:r>
      <w:r w:rsidR="00D61DE6">
        <w:rPr>
          <w:sz w:val="20"/>
        </w:rPr>
        <w:t> </w:t>
      </w:r>
      <w:r w:rsidR="00BD0937" w:rsidRPr="006A33F1">
        <w:rPr>
          <w:sz w:val="20"/>
        </w:rPr>
        <w:t>OMPI.</w:t>
      </w:r>
      <w:r w:rsidR="00EA6058" w:rsidRPr="00BD0A1D">
        <w:rPr>
          <w:sz w:val="20"/>
          <w:lang w:val="es-ES"/>
        </w:rPr>
        <w:t xml:space="preserve"> </w:t>
      </w:r>
      <w:r w:rsidR="00D61DE6">
        <w:rPr>
          <w:sz w:val="20"/>
          <w:lang w:val="es-ES"/>
        </w:rPr>
        <w:t xml:space="preserve"> </w:t>
      </w:r>
      <w:r w:rsidR="00BD0937" w:rsidRPr="006A33F1">
        <w:rPr>
          <w:sz w:val="20"/>
        </w:rPr>
        <w:t>De conformidad con dicho acuerdo, la</w:t>
      </w:r>
      <w:r w:rsidR="00FE1638">
        <w:rPr>
          <w:sz w:val="20"/>
        </w:rPr>
        <w:t xml:space="preserve"> </w:t>
      </w:r>
      <w:r w:rsidR="00BD0937" w:rsidRPr="006A33F1">
        <w:rPr>
          <w:sz w:val="20"/>
        </w:rPr>
        <w:t>OMPI satisface las necesidades de la</w:t>
      </w:r>
      <w:r w:rsidR="00FE1638">
        <w:rPr>
          <w:sz w:val="20"/>
        </w:rPr>
        <w:t xml:space="preserve"> </w:t>
      </w:r>
      <w:r w:rsidR="00BD0937" w:rsidRPr="006A33F1">
        <w:rPr>
          <w:sz w:val="20"/>
        </w:rPr>
        <w:t>UPOV en materia de espacio de oficina, administración de personal, administración financiera, servicios de compras y otro tipo de apoyo administrativo.</w:t>
      </w:r>
      <w:r w:rsidR="00680842" w:rsidRPr="00BD0A1D">
        <w:rPr>
          <w:sz w:val="20"/>
          <w:lang w:val="es-ES"/>
        </w:rPr>
        <w:t xml:space="preserve"> </w:t>
      </w:r>
      <w:r w:rsidR="00D61DE6">
        <w:rPr>
          <w:sz w:val="20"/>
          <w:lang w:val="es-ES"/>
        </w:rPr>
        <w:t xml:space="preserve"> </w:t>
      </w:r>
      <w:r w:rsidR="00BD0937" w:rsidRPr="006A33F1">
        <w:rPr>
          <w:sz w:val="20"/>
        </w:rPr>
        <w:t>La</w:t>
      </w:r>
      <w:r w:rsidR="00FE1638">
        <w:rPr>
          <w:sz w:val="20"/>
        </w:rPr>
        <w:t xml:space="preserve"> </w:t>
      </w:r>
      <w:r w:rsidR="00BD0937" w:rsidRPr="006A33F1">
        <w:rPr>
          <w:sz w:val="20"/>
        </w:rPr>
        <w:t>UPOV indemniza a la</w:t>
      </w:r>
      <w:r w:rsidR="00FE1638">
        <w:rPr>
          <w:sz w:val="20"/>
        </w:rPr>
        <w:t xml:space="preserve"> </w:t>
      </w:r>
      <w:r w:rsidR="00BD0937" w:rsidRPr="006A33F1">
        <w:rPr>
          <w:sz w:val="20"/>
        </w:rPr>
        <w:t>OMPI por todo servicio prestado a la</w:t>
      </w:r>
      <w:r w:rsidR="00FE1638">
        <w:rPr>
          <w:sz w:val="20"/>
        </w:rPr>
        <w:t xml:space="preserve"> </w:t>
      </w:r>
      <w:r w:rsidR="00BD0937" w:rsidRPr="006A33F1">
        <w:rPr>
          <w:sz w:val="20"/>
        </w:rPr>
        <w:t xml:space="preserve">UPOV y por cualquier </w:t>
      </w:r>
      <w:r w:rsidR="00BD0937" w:rsidRPr="006A33F1">
        <w:rPr>
          <w:sz w:val="20"/>
        </w:rPr>
        <w:lastRenderedPageBreak/>
        <w:t>gasto en que se haya incurrido en su nombre.</w:t>
      </w:r>
      <w:r w:rsidR="00680842" w:rsidRPr="00BD0A1D">
        <w:rPr>
          <w:sz w:val="20"/>
          <w:lang w:val="es-ES"/>
        </w:rPr>
        <w:t xml:space="preserve"> </w:t>
      </w:r>
      <w:r w:rsidR="00D61DE6">
        <w:rPr>
          <w:sz w:val="20"/>
          <w:lang w:val="es-ES"/>
        </w:rPr>
        <w:t xml:space="preserve"> </w:t>
      </w:r>
      <w:r w:rsidR="00BD0937" w:rsidRPr="006A33F1">
        <w:rPr>
          <w:sz w:val="20"/>
        </w:rPr>
        <w:t>A tenor del Acuerdo, la Oficina de la</w:t>
      </w:r>
      <w:r w:rsidR="00FE1638">
        <w:rPr>
          <w:sz w:val="20"/>
        </w:rPr>
        <w:t xml:space="preserve"> </w:t>
      </w:r>
      <w:r w:rsidR="00BD0937" w:rsidRPr="006A33F1">
        <w:rPr>
          <w:sz w:val="20"/>
        </w:rPr>
        <w:t>Unión ejerce sus funciones en completa independencia de la</w:t>
      </w:r>
      <w:r w:rsidR="00FE1638">
        <w:rPr>
          <w:sz w:val="20"/>
        </w:rPr>
        <w:t xml:space="preserve"> </w:t>
      </w:r>
      <w:r w:rsidR="00BD0937" w:rsidRPr="006A33F1">
        <w:rPr>
          <w:sz w:val="20"/>
        </w:rPr>
        <w:t>OMPI.</w:t>
      </w:r>
      <w:r w:rsidR="00680842" w:rsidRPr="00BD0A1D">
        <w:rPr>
          <w:sz w:val="20"/>
          <w:lang w:val="es-ES"/>
        </w:rPr>
        <w:t xml:space="preserve"> </w:t>
      </w:r>
    </w:p>
    <w:p w:rsidR="00EA6058" w:rsidRPr="00BD0A1D" w:rsidRDefault="00EA6058" w:rsidP="00EA6058">
      <w:pPr>
        <w:pStyle w:val="Style3"/>
        <w:spacing w:after="0"/>
        <w:rPr>
          <w:sz w:val="20"/>
          <w:lang w:val="es-ES"/>
        </w:rPr>
      </w:pPr>
    </w:p>
    <w:p w:rsidR="00EA6058" w:rsidRPr="00BD0A1D" w:rsidRDefault="00BD0937" w:rsidP="00EA6058">
      <w:pPr>
        <w:pStyle w:val="Style3"/>
        <w:spacing w:after="0"/>
        <w:rPr>
          <w:sz w:val="20"/>
          <w:lang w:val="es-ES"/>
        </w:rPr>
      </w:pPr>
      <w:r w:rsidRPr="006A33F1">
        <w:rPr>
          <w:sz w:val="20"/>
        </w:rPr>
        <w:t xml:space="preserve">El personal directivo clave lo constituyen el </w:t>
      </w:r>
      <w:r w:rsidR="00D61DE6" w:rsidRPr="006A33F1">
        <w:rPr>
          <w:sz w:val="20"/>
        </w:rPr>
        <w:t>Secretario General</w:t>
      </w:r>
      <w:r w:rsidRPr="006A33F1">
        <w:rPr>
          <w:sz w:val="20"/>
        </w:rPr>
        <w:t xml:space="preserve">, el </w:t>
      </w:r>
      <w:r w:rsidR="00D61DE6" w:rsidRPr="006A33F1">
        <w:rPr>
          <w:sz w:val="20"/>
        </w:rPr>
        <w:t xml:space="preserve">Secretario General Adjunto </w:t>
      </w:r>
      <w:r w:rsidRPr="006A33F1">
        <w:rPr>
          <w:sz w:val="20"/>
        </w:rPr>
        <w:t>y los altos funcionarios en puestos.</w:t>
      </w:r>
      <w:r w:rsidR="00EA6058" w:rsidRPr="00BD0A1D">
        <w:rPr>
          <w:sz w:val="20"/>
          <w:lang w:val="es-ES"/>
        </w:rPr>
        <w:t xml:space="preserve"> </w:t>
      </w:r>
      <w:r w:rsidR="00D61DE6">
        <w:rPr>
          <w:sz w:val="20"/>
          <w:lang w:val="es-ES"/>
        </w:rPr>
        <w:t xml:space="preserve"> </w:t>
      </w:r>
      <w:r w:rsidRPr="006A33F1">
        <w:rPr>
          <w:sz w:val="20"/>
        </w:rPr>
        <w:t xml:space="preserve">El actual </w:t>
      </w:r>
      <w:r w:rsidR="00D61DE6" w:rsidRPr="006A33F1">
        <w:rPr>
          <w:sz w:val="20"/>
        </w:rPr>
        <w:t xml:space="preserve">Director General </w:t>
      </w:r>
      <w:r w:rsidRPr="006A33F1">
        <w:rPr>
          <w:sz w:val="20"/>
        </w:rPr>
        <w:t>de la</w:t>
      </w:r>
      <w:r w:rsidR="00FE1638">
        <w:rPr>
          <w:sz w:val="20"/>
        </w:rPr>
        <w:t xml:space="preserve"> </w:t>
      </w:r>
      <w:r w:rsidRPr="006A33F1">
        <w:rPr>
          <w:sz w:val="20"/>
        </w:rPr>
        <w:t>OMPI ha declinado recibir sueldo o asignación alguna como secretario general de la</w:t>
      </w:r>
      <w:r w:rsidR="00FE1638">
        <w:rPr>
          <w:sz w:val="20"/>
        </w:rPr>
        <w:t xml:space="preserve"> </w:t>
      </w:r>
      <w:r w:rsidRPr="006A33F1">
        <w:rPr>
          <w:sz w:val="20"/>
        </w:rPr>
        <w:t>UPOV.</w:t>
      </w:r>
      <w:r w:rsidR="00EA6058" w:rsidRPr="00BD0A1D">
        <w:rPr>
          <w:sz w:val="20"/>
          <w:lang w:val="es-ES"/>
        </w:rPr>
        <w:t xml:space="preserve"> </w:t>
      </w:r>
      <w:r w:rsidRPr="006A33F1">
        <w:rPr>
          <w:sz w:val="20"/>
        </w:rPr>
        <w:t>Los restantes miembros del personal directivo clave son remunerados por la</w:t>
      </w:r>
      <w:r w:rsidR="00FE1638">
        <w:rPr>
          <w:sz w:val="20"/>
        </w:rPr>
        <w:t xml:space="preserve"> </w:t>
      </w:r>
      <w:r w:rsidRPr="006A33F1">
        <w:rPr>
          <w:sz w:val="20"/>
        </w:rPr>
        <w:t>UPOV.</w:t>
      </w:r>
      <w:r w:rsidR="00EA6058" w:rsidRPr="00BD0A1D">
        <w:rPr>
          <w:sz w:val="20"/>
          <w:lang w:val="es-ES"/>
        </w:rPr>
        <w:t xml:space="preserve"> </w:t>
      </w:r>
      <w:r w:rsidR="00D61DE6">
        <w:rPr>
          <w:sz w:val="20"/>
          <w:lang w:val="es-ES"/>
        </w:rPr>
        <w:t xml:space="preserve"> </w:t>
      </w:r>
      <w:r w:rsidRPr="006A33F1">
        <w:rPr>
          <w:sz w:val="20"/>
        </w:rPr>
        <w:t>La remuneración total que perciben incluye salarios, subsidios, viajes reglamentarios y otras prestaciones pagadas de conformidad con el Estatuto y el Reglamento del Personal.</w:t>
      </w:r>
      <w:r w:rsidR="00EA6058" w:rsidRPr="00BD0A1D">
        <w:rPr>
          <w:sz w:val="20"/>
          <w:lang w:val="es-ES"/>
        </w:rPr>
        <w:t xml:space="preserve"> </w:t>
      </w:r>
      <w:r w:rsidRPr="006A33F1">
        <w:rPr>
          <w:sz w:val="20"/>
        </w:rPr>
        <w:t>Los miembros del personal directivo clave están afiliados a la Caja Común de Pensiones del Personal de las Naciones Unidas (CCPPNU), a la cual contribuyen el personal y la</w:t>
      </w:r>
      <w:r w:rsidR="00FE1638">
        <w:rPr>
          <w:sz w:val="20"/>
        </w:rPr>
        <w:t xml:space="preserve"> </w:t>
      </w:r>
      <w:r w:rsidRPr="006A33F1">
        <w:rPr>
          <w:sz w:val="20"/>
        </w:rPr>
        <w:t>UPOV, y también tienen derecho a participar en el plan colectivo de seguro médico.</w:t>
      </w:r>
      <w:r w:rsidR="00EA6058" w:rsidRPr="00BD0A1D">
        <w:rPr>
          <w:sz w:val="20"/>
          <w:lang w:val="es-ES"/>
        </w:rPr>
        <w:t xml:space="preserve"> </w:t>
      </w:r>
    </w:p>
    <w:p w:rsidR="00EA6058" w:rsidRPr="00BD0A1D" w:rsidRDefault="00EA6058" w:rsidP="00EA6058">
      <w:pPr>
        <w:pStyle w:val="Style3"/>
        <w:spacing w:after="0"/>
        <w:rPr>
          <w:sz w:val="20"/>
          <w:lang w:val="es-ES"/>
        </w:rPr>
      </w:pPr>
    </w:p>
    <w:p w:rsidR="00EA6058" w:rsidRPr="00BD0A1D" w:rsidRDefault="00BD0937" w:rsidP="00EA6058">
      <w:pPr>
        <w:jc w:val="left"/>
        <w:rPr>
          <w:lang w:val="es-ES"/>
        </w:rPr>
      </w:pPr>
      <w:r w:rsidRPr="006A33F1">
        <w:t xml:space="preserve">A continuación se indica la remuneración total del personal directivo clave (cabe señalar que no se incluye en el cuadro la remuneración del </w:t>
      </w:r>
      <w:r w:rsidR="00D61DE6" w:rsidRPr="006A33F1">
        <w:t>Secretario General</w:t>
      </w:r>
      <w:r w:rsidRPr="006A33F1">
        <w:t>, dado que no recibe remuneración de la</w:t>
      </w:r>
      <w:r w:rsidR="00FE1638">
        <w:t xml:space="preserve"> </w:t>
      </w:r>
      <w:r w:rsidRPr="006A33F1">
        <w:t>UPOV):</w:t>
      </w:r>
    </w:p>
    <w:p w:rsidR="00EA6058" w:rsidRPr="00BD0A1D" w:rsidRDefault="00EA6058" w:rsidP="00EA6058">
      <w:pPr>
        <w:pStyle w:val="Style3"/>
        <w:spacing w:after="0"/>
        <w:jc w:val="center"/>
        <w:rPr>
          <w:sz w:val="20"/>
          <w:lang w:val="es-ES"/>
        </w:rPr>
      </w:pPr>
    </w:p>
    <w:p w:rsidR="008169F6" w:rsidRDefault="008169F6" w:rsidP="00EA6058">
      <w:r w:rsidRPr="008169F6">
        <w:rPr>
          <w:noProof/>
          <w:lang w:val="en-US"/>
        </w:rPr>
        <w:drawing>
          <wp:inline distT="0" distB="0" distL="0" distR="0">
            <wp:extent cx="6120000" cy="1311158"/>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cstate="print"/>
                    <a:stretch>
                      <a:fillRect/>
                    </a:stretch>
                  </pic:blipFill>
                  <pic:spPr bwMode="auto">
                    <a:xfrm>
                      <a:off x="0" y="0"/>
                      <a:ext cx="6120000" cy="1311158"/>
                    </a:xfrm>
                    <a:prstGeom prst="rect">
                      <a:avLst/>
                    </a:prstGeom>
                    <a:noFill/>
                    <a:ln>
                      <a:noFill/>
                    </a:ln>
                  </pic:spPr>
                </pic:pic>
              </a:graphicData>
            </a:graphic>
          </wp:inline>
        </w:drawing>
      </w:r>
    </w:p>
    <w:p w:rsidR="00EA6058" w:rsidRPr="003631E5" w:rsidRDefault="00850FDE" w:rsidP="00EA6058">
      <w:r w:rsidRPr="003631E5">
        <w:fldChar w:fldCharType="begin"/>
      </w:r>
      <w:r w:rsidR="00EA6058" w:rsidRPr="003631E5">
        <w:instrText xml:space="preserve"> LINK Excel.Sheet.12 "\\\\wipogvafs01\\FIN\\ORGBFFI\\SHARED\\IPSAS\\13. UPOV YEAR END FILES\\2013\\01. LEAD DOCUMENTS\\01. UPOV TABLES FOR FINANCIAL STATEMENTS 2013.xlsx" "Note 10 Related Parties!R7C5:R10C8" \a \f 4 \h  \* MERGEFORMAT </w:instrText>
      </w:r>
      <w:r w:rsidRPr="003631E5">
        <w:fldChar w:fldCharType="separate"/>
      </w:r>
    </w:p>
    <w:p w:rsidR="00EA6058" w:rsidRPr="00BD0A1D" w:rsidRDefault="00850FDE" w:rsidP="00EA6058">
      <w:pPr>
        <w:rPr>
          <w:lang w:val="es-ES"/>
        </w:rPr>
      </w:pPr>
      <w:r w:rsidRPr="003631E5">
        <w:fldChar w:fldCharType="end"/>
      </w:r>
      <w:r w:rsidR="008169F6" w:rsidRPr="006A33F1">
        <w:t>No se ha concedido ninguna otra remuneración o compensación a los miembros del personal directivo clave ni a sus familiares cercanos.</w:t>
      </w:r>
      <w:r w:rsidR="00680842" w:rsidRPr="00BD0A1D">
        <w:rPr>
          <w:lang w:val="es-ES"/>
        </w:rPr>
        <w:t xml:space="preserve"> </w:t>
      </w:r>
    </w:p>
    <w:p w:rsidR="00EA6058" w:rsidRPr="00BD0A1D" w:rsidRDefault="00EA6058" w:rsidP="00EA6058">
      <w:pPr>
        <w:rPr>
          <w:lang w:val="es-ES"/>
        </w:rPr>
      </w:pPr>
    </w:p>
    <w:p w:rsidR="00EA6058" w:rsidRPr="00BD0A1D" w:rsidRDefault="00EA6058" w:rsidP="00EA6058">
      <w:pPr>
        <w:pStyle w:val="Heading2Notes"/>
        <w:rPr>
          <w:rFonts w:ascii="Arial" w:hAnsi="Arial"/>
          <w:b w:val="0"/>
          <w:caps w:val="0"/>
          <w:lang w:val="es-ES"/>
        </w:rPr>
      </w:pPr>
    </w:p>
    <w:p w:rsidR="00EA6058" w:rsidRPr="001C0768" w:rsidRDefault="001C0768" w:rsidP="008F7AF6">
      <w:pPr>
        <w:pStyle w:val="Heading2Notes"/>
      </w:pPr>
      <w:bookmarkStart w:id="35" w:name="_Toc15397074"/>
      <w:r w:rsidRPr="001C0768">
        <w:t xml:space="preserve">Nota </w:t>
      </w:r>
      <w:r w:rsidR="008169F6" w:rsidRPr="001C0768">
        <w:t>11:</w:t>
      </w:r>
      <w:r w:rsidR="00EA6058" w:rsidRPr="001C0768">
        <w:tab/>
      </w:r>
      <w:r w:rsidRPr="001C0768">
        <w:t>Activos netos</w:t>
      </w:r>
      <w:bookmarkEnd w:id="35"/>
    </w:p>
    <w:p w:rsidR="00EA6058" w:rsidRPr="003631E5" w:rsidRDefault="00EA6058" w:rsidP="00EA6058">
      <w:pPr>
        <w:rPr>
          <w:b/>
          <w:bCs/>
          <w:caps/>
        </w:rPr>
      </w:pPr>
    </w:p>
    <w:p w:rsidR="00EA6058" w:rsidRPr="003631E5" w:rsidRDefault="00595C7E" w:rsidP="00EA6058">
      <w:pPr>
        <w:jc w:val="center"/>
        <w:rPr>
          <w:b/>
          <w:bCs/>
          <w:caps/>
        </w:rPr>
      </w:pPr>
      <w:r w:rsidRPr="00595C7E">
        <w:rPr>
          <w:noProof/>
          <w:lang w:val="en-US"/>
        </w:rPr>
        <w:drawing>
          <wp:inline distT="0" distB="0" distL="0" distR="0">
            <wp:extent cx="6120000" cy="2678679"/>
            <wp:effectExtent l="19050" t="0" r="0" b="0"/>
            <wp:docPr id="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cstate="print"/>
                    <a:stretch>
                      <a:fillRect/>
                    </a:stretch>
                  </pic:blipFill>
                  <pic:spPr bwMode="auto">
                    <a:xfrm>
                      <a:off x="0" y="0"/>
                      <a:ext cx="6120000" cy="2678679"/>
                    </a:xfrm>
                    <a:prstGeom prst="rect">
                      <a:avLst/>
                    </a:prstGeom>
                    <a:noFill/>
                    <a:ln>
                      <a:noFill/>
                    </a:ln>
                  </pic:spPr>
                </pic:pic>
              </a:graphicData>
            </a:graphic>
          </wp:inline>
        </w:drawing>
      </w:r>
    </w:p>
    <w:p w:rsidR="00EA6058" w:rsidRPr="003631E5" w:rsidRDefault="00EA6058" w:rsidP="00EA6058"/>
    <w:p w:rsidR="00EA6058" w:rsidRPr="00BD0A1D" w:rsidRDefault="003F4212" w:rsidP="00EA6058">
      <w:pPr>
        <w:rPr>
          <w:lang w:val="es-ES"/>
        </w:rPr>
      </w:pPr>
      <w:r w:rsidRPr="006A33F1">
        <w:t>De conformidad con el artículo</w:t>
      </w:r>
      <w:r w:rsidR="00FE1638">
        <w:t xml:space="preserve"> </w:t>
      </w:r>
      <w:r w:rsidRPr="006A33F1">
        <w:t>4.2 del Reglamento Financiero y la Reglamentación Financiera de la</w:t>
      </w:r>
      <w:r w:rsidR="00FE1638">
        <w:t xml:space="preserve"> </w:t>
      </w:r>
      <w:r w:rsidRPr="006A33F1">
        <w:t>UPOV, esta posee un fondo de operaciones</w:t>
      </w:r>
      <w:r w:rsidR="00EA6058" w:rsidRPr="00BD0A1D">
        <w:rPr>
          <w:lang w:val="es-ES"/>
        </w:rPr>
        <w:t xml:space="preserve"> </w:t>
      </w:r>
      <w:r w:rsidRPr="006A33F1">
        <w:t>que, al</w:t>
      </w:r>
      <w:r w:rsidR="00FE1638">
        <w:t xml:space="preserve"> </w:t>
      </w:r>
      <w:r w:rsidRPr="006A33F1">
        <w:t>31 de diciembre de</w:t>
      </w:r>
      <w:r w:rsidR="00FE1638">
        <w:t xml:space="preserve"> </w:t>
      </w:r>
      <w:r w:rsidRPr="006A33F1">
        <w:t>2018, ascendía a</w:t>
      </w:r>
      <w:r w:rsidR="00FE1638">
        <w:t xml:space="preserve"> </w:t>
      </w:r>
      <w:r w:rsidRPr="006A33F1">
        <w:t>548.346 francos suizos.</w:t>
      </w:r>
      <w:r w:rsidR="00EA6058" w:rsidRPr="00BD0A1D">
        <w:rPr>
          <w:color w:val="000000" w:themeColor="text1"/>
          <w:lang w:val="es-ES"/>
        </w:rPr>
        <w:t xml:space="preserve"> </w:t>
      </w:r>
      <w:r w:rsidR="00905A34">
        <w:rPr>
          <w:color w:val="000000" w:themeColor="text1"/>
          <w:lang w:val="es-ES"/>
        </w:rPr>
        <w:t xml:space="preserve"> </w:t>
      </w:r>
      <w:r w:rsidRPr="006A33F1">
        <w:t>Según el artículo</w:t>
      </w:r>
      <w:r w:rsidR="00FE1638">
        <w:t xml:space="preserve"> </w:t>
      </w:r>
      <w:r w:rsidRPr="006A33F1">
        <w:t>4.2, el fondo de operaciones se destina a los siguientes fines:</w:t>
      </w:r>
    </w:p>
    <w:p w:rsidR="00EA6058" w:rsidRPr="00BD0A1D" w:rsidRDefault="00EA6058" w:rsidP="00EA6058">
      <w:pPr>
        <w:rPr>
          <w:lang w:val="es-ES"/>
        </w:rPr>
      </w:pPr>
    </w:p>
    <w:p w:rsidR="00EA6058" w:rsidRPr="00BD0A1D" w:rsidRDefault="003F4212" w:rsidP="00905A34">
      <w:pPr>
        <w:numPr>
          <w:ilvl w:val="0"/>
          <w:numId w:val="21"/>
        </w:numPr>
        <w:tabs>
          <w:tab w:val="clear" w:pos="418"/>
          <w:tab w:val="num" w:pos="1170"/>
        </w:tabs>
        <w:ind w:left="1170" w:hanging="603"/>
        <w:rPr>
          <w:lang w:val="es-ES"/>
        </w:rPr>
      </w:pPr>
      <w:r w:rsidRPr="006A33F1">
        <w:t>atender los gastos presupuestados hasta que se reciban las contribuciones de los miembros de la</w:t>
      </w:r>
      <w:r w:rsidR="00FE1638">
        <w:t xml:space="preserve"> </w:t>
      </w:r>
      <w:r w:rsidRPr="006A33F1">
        <w:t>UPOV;</w:t>
      </w:r>
    </w:p>
    <w:p w:rsidR="00EA6058" w:rsidRPr="00BD0A1D" w:rsidRDefault="003F4212" w:rsidP="00905A34">
      <w:pPr>
        <w:numPr>
          <w:ilvl w:val="0"/>
          <w:numId w:val="21"/>
        </w:numPr>
        <w:tabs>
          <w:tab w:val="clear" w:pos="418"/>
          <w:tab w:val="num" w:pos="1170"/>
        </w:tabs>
        <w:ind w:left="1170" w:hanging="603"/>
        <w:rPr>
          <w:lang w:val="es-ES"/>
        </w:rPr>
      </w:pPr>
      <w:r w:rsidRPr="006A33F1">
        <w:t>atender los gastos imprevistos inevitables que resulten de la ejecución del programa aprobado;</w:t>
      </w:r>
    </w:p>
    <w:p w:rsidR="00EA6058" w:rsidRPr="00BD0A1D" w:rsidRDefault="003F4212" w:rsidP="00905A34">
      <w:pPr>
        <w:numPr>
          <w:ilvl w:val="0"/>
          <w:numId w:val="21"/>
        </w:numPr>
        <w:tabs>
          <w:tab w:val="clear" w:pos="418"/>
          <w:tab w:val="num" w:pos="1170"/>
        </w:tabs>
        <w:ind w:left="1170" w:hanging="603"/>
        <w:rPr>
          <w:lang w:val="es-ES"/>
        </w:rPr>
      </w:pPr>
      <w:r w:rsidRPr="006A33F1">
        <w:t>atender los demás gastos que determine el Consejo.</w:t>
      </w:r>
    </w:p>
    <w:p w:rsidR="00EA6058" w:rsidRPr="00BD0A1D" w:rsidRDefault="00EA6058" w:rsidP="00EA6058">
      <w:pPr>
        <w:rPr>
          <w:lang w:val="es-ES"/>
        </w:rPr>
      </w:pPr>
    </w:p>
    <w:p w:rsidR="00EA6058" w:rsidRPr="00BD0A1D" w:rsidRDefault="003F4212" w:rsidP="00EA6058">
      <w:pPr>
        <w:rPr>
          <w:lang w:val="es-ES"/>
        </w:rPr>
      </w:pPr>
      <w:r w:rsidRPr="006A33F1">
        <w:t>Los anticipos que se hagan con cargo al fondo de operaciones para atender las necesidades de gasto antedichas deben reembolsarse con arreglo al artículo</w:t>
      </w:r>
      <w:r w:rsidR="00FE1638">
        <w:t xml:space="preserve"> </w:t>
      </w:r>
      <w:r w:rsidRPr="006A33F1">
        <w:t>4.2.</w:t>
      </w:r>
    </w:p>
    <w:p w:rsidR="00EA6058" w:rsidRPr="00BD0A1D" w:rsidRDefault="00EA6058" w:rsidP="00EA6058">
      <w:pPr>
        <w:rPr>
          <w:lang w:val="es-ES"/>
        </w:rPr>
      </w:pPr>
    </w:p>
    <w:p w:rsidR="00EA6058" w:rsidRPr="00BD0A1D" w:rsidRDefault="003F4212" w:rsidP="00EA6058">
      <w:pPr>
        <w:rPr>
          <w:lang w:val="es-ES"/>
        </w:rPr>
      </w:pPr>
      <w:r w:rsidRPr="006A33F1">
        <w:lastRenderedPageBreak/>
        <w:t>El fondo de reserva representa el superávit y el déficit acumulados de la</w:t>
      </w:r>
      <w:r w:rsidR="00FE1638">
        <w:t xml:space="preserve"> </w:t>
      </w:r>
      <w:r w:rsidRPr="006A33F1">
        <w:t>UPOV.</w:t>
      </w:r>
      <w:r w:rsidR="006D1040" w:rsidRPr="00B24DA2">
        <w:rPr>
          <w:lang w:val="es-ES"/>
        </w:rPr>
        <w:t xml:space="preserve"> </w:t>
      </w:r>
      <w:r w:rsidR="00905A34">
        <w:rPr>
          <w:lang w:val="es-ES"/>
        </w:rPr>
        <w:t xml:space="preserve"> </w:t>
      </w:r>
      <w:r w:rsidRPr="006A33F1">
        <w:t>En virtud del artículo</w:t>
      </w:r>
      <w:r w:rsidR="00FE1638">
        <w:t xml:space="preserve"> </w:t>
      </w:r>
      <w:r w:rsidRPr="006A33F1">
        <w:t>4.6 del Reglamento Financiero y la Reglamentación Financiera de la</w:t>
      </w:r>
      <w:r w:rsidR="00FE1638">
        <w:t xml:space="preserve"> </w:t>
      </w:r>
      <w:r w:rsidRPr="006A33F1">
        <w:t>UPOV, la utilización del fondo de reserva para fines distintos de la cobertura de déficit deberá ser decidida por el Consejo.</w:t>
      </w:r>
      <w:r w:rsidR="00EA6058" w:rsidRPr="00B24DA2">
        <w:rPr>
          <w:lang w:val="es-ES"/>
        </w:rPr>
        <w:t xml:space="preserve"> </w:t>
      </w:r>
      <w:r w:rsidR="00905A34">
        <w:rPr>
          <w:lang w:val="es-ES"/>
        </w:rPr>
        <w:t xml:space="preserve"> </w:t>
      </w:r>
      <w:r w:rsidRPr="006A33F1">
        <w:t>Si, tras el cierre del ejercicio económico, el importe del fondo de reserva supera el</w:t>
      </w:r>
      <w:r w:rsidR="00FE1638">
        <w:t xml:space="preserve"> </w:t>
      </w:r>
      <w:r w:rsidRPr="006A33F1">
        <w:t>15% de los ingresos totales del ejercicio económico, se reintegrará el excedente a los miembros de la</w:t>
      </w:r>
      <w:r w:rsidR="00FE1638">
        <w:t xml:space="preserve"> </w:t>
      </w:r>
      <w:r w:rsidRPr="006A33F1">
        <w:t>UPOV a menos que el Consejo decida otra cosa.</w:t>
      </w:r>
      <w:r w:rsidR="00EA6058" w:rsidRPr="00B24DA2">
        <w:rPr>
          <w:lang w:val="es-ES"/>
        </w:rPr>
        <w:t xml:space="preserve"> </w:t>
      </w:r>
      <w:r w:rsidR="00905A34">
        <w:rPr>
          <w:lang w:val="es-ES"/>
        </w:rPr>
        <w:t xml:space="preserve"> </w:t>
      </w:r>
      <w:r w:rsidRPr="006A33F1">
        <w:t>Los miembros de la</w:t>
      </w:r>
      <w:r w:rsidR="00FE1638">
        <w:t xml:space="preserve"> </w:t>
      </w:r>
      <w:r w:rsidRPr="006A33F1">
        <w:t>Unión podrán solicitar que el reintegro que les corresponde se deposite en la cuenta especial o el fondo fiduciario que ellos indiquen.</w:t>
      </w:r>
    </w:p>
    <w:p w:rsidR="00EA6058" w:rsidRPr="00BD0A1D" w:rsidRDefault="00EA6058" w:rsidP="00EA6058">
      <w:pPr>
        <w:rPr>
          <w:lang w:val="es-ES"/>
        </w:rPr>
      </w:pPr>
    </w:p>
    <w:p w:rsidR="00EA6058" w:rsidRPr="00BD0A1D" w:rsidRDefault="003F4212" w:rsidP="00EA6058">
      <w:pPr>
        <w:rPr>
          <w:lang w:val="es-ES"/>
        </w:rPr>
      </w:pPr>
      <w:r w:rsidRPr="006A33F1">
        <w:t>En</w:t>
      </w:r>
      <w:r w:rsidR="00FE1638">
        <w:t xml:space="preserve"> </w:t>
      </w:r>
      <w:r w:rsidRPr="006A33F1">
        <w:t>2015 se transfirieron</w:t>
      </w:r>
      <w:r w:rsidR="00FE1638">
        <w:t xml:space="preserve"> </w:t>
      </w:r>
      <w:r w:rsidRPr="006A33F1">
        <w:t>183.824 francos suizos, que corresponden al importe del fondo de reserva que supera el</w:t>
      </w:r>
      <w:r w:rsidR="00FE1638">
        <w:t xml:space="preserve"> </w:t>
      </w:r>
      <w:r w:rsidRPr="006A33F1">
        <w:t>15% de los ingresos totales del bienio</w:t>
      </w:r>
      <w:r w:rsidR="00FE1638">
        <w:t xml:space="preserve"> </w:t>
      </w:r>
      <w:r w:rsidRPr="006A33F1">
        <w:t xml:space="preserve">2012-2013, </w:t>
      </w:r>
      <w:r w:rsidR="00CA17BC" w:rsidRPr="006A33F1">
        <w:t>a un fondo para proyectos especiales destinado a proyectos específicos</w:t>
      </w:r>
      <w:r w:rsidRPr="006A33F1">
        <w:t>.</w:t>
      </w:r>
      <w:r w:rsidR="00905A34">
        <w:t xml:space="preserve"> </w:t>
      </w:r>
      <w:r w:rsidR="00EA6058" w:rsidRPr="00BD0A1D">
        <w:rPr>
          <w:lang w:val="es-ES"/>
        </w:rPr>
        <w:t xml:space="preserve"> </w:t>
      </w:r>
      <w:r w:rsidR="00922768" w:rsidRPr="006A33F1">
        <w:t>Del saldo remanente de</w:t>
      </w:r>
      <w:r w:rsidR="00FE1638">
        <w:t xml:space="preserve"> </w:t>
      </w:r>
      <w:r w:rsidR="00922768" w:rsidRPr="006A33F1">
        <w:t>13.957 francos suizos que existía al cierre del ejercicio</w:t>
      </w:r>
      <w:r w:rsidR="00FE1638">
        <w:t xml:space="preserve"> </w:t>
      </w:r>
      <w:r w:rsidR="00922768" w:rsidRPr="006A33F1">
        <w:t>2017, en</w:t>
      </w:r>
      <w:r w:rsidR="00FE1638">
        <w:t xml:space="preserve"> </w:t>
      </w:r>
      <w:r w:rsidR="00922768" w:rsidRPr="006A33F1">
        <w:t>2018 se han consumido</w:t>
      </w:r>
      <w:r w:rsidR="00FE1638">
        <w:t xml:space="preserve"> </w:t>
      </w:r>
      <w:r w:rsidR="00922768" w:rsidRPr="006A33F1">
        <w:t>13.799 francos suizos.</w:t>
      </w:r>
      <w:r w:rsidR="00EA6058" w:rsidRPr="00BD0A1D">
        <w:rPr>
          <w:lang w:val="es-ES"/>
        </w:rPr>
        <w:t xml:space="preserve"> </w:t>
      </w:r>
      <w:r w:rsidR="00905A34">
        <w:rPr>
          <w:lang w:val="es-ES"/>
        </w:rPr>
        <w:t xml:space="preserve"> </w:t>
      </w:r>
      <w:r w:rsidR="00922768" w:rsidRPr="006A33F1">
        <w:t xml:space="preserve">El saldo del fondo para proyectos especiales, que </w:t>
      </w:r>
      <w:r w:rsidR="00905A34">
        <w:br/>
      </w:r>
      <w:r w:rsidR="00922768" w:rsidRPr="006A33F1">
        <w:t>al</w:t>
      </w:r>
      <w:r w:rsidR="00FE1638">
        <w:t xml:space="preserve"> </w:t>
      </w:r>
      <w:r w:rsidR="00922768" w:rsidRPr="006A33F1">
        <w:t>31 de diciembre de</w:t>
      </w:r>
      <w:r w:rsidR="00FE1638">
        <w:t xml:space="preserve"> </w:t>
      </w:r>
      <w:r w:rsidR="00922768" w:rsidRPr="006A33F1">
        <w:t>2018 ascendía a</w:t>
      </w:r>
      <w:r w:rsidR="00FE1638">
        <w:t xml:space="preserve"> </w:t>
      </w:r>
      <w:r w:rsidR="00922768" w:rsidRPr="006A33F1">
        <w:t>158 francos suizos, forma parte de los activos netos de la</w:t>
      </w:r>
      <w:r w:rsidR="00FE1638">
        <w:t xml:space="preserve"> </w:t>
      </w:r>
      <w:r w:rsidR="00922768" w:rsidRPr="006A33F1">
        <w:t>UPOV.</w:t>
      </w:r>
    </w:p>
    <w:p w:rsidR="00EA6058" w:rsidRPr="00BD0A1D" w:rsidRDefault="00EA6058" w:rsidP="00EA6058">
      <w:pPr>
        <w:rPr>
          <w:lang w:val="es-ES"/>
        </w:rPr>
      </w:pPr>
    </w:p>
    <w:p w:rsidR="00EA6058" w:rsidRPr="00BD0A1D" w:rsidRDefault="00922768" w:rsidP="00EA6058">
      <w:pPr>
        <w:rPr>
          <w:lang w:val="es-ES"/>
        </w:rPr>
      </w:pPr>
      <w:r w:rsidRPr="006A33F1">
        <w:t>Tras la aplicación de la IPSAS</w:t>
      </w:r>
      <w:r w:rsidR="00FE1638">
        <w:t xml:space="preserve"> </w:t>
      </w:r>
      <w:r w:rsidRPr="006A33F1">
        <w:t>39 en</w:t>
      </w:r>
      <w:r w:rsidR="00FE1638">
        <w:t xml:space="preserve"> </w:t>
      </w:r>
      <w:r w:rsidRPr="006A33F1">
        <w:t>2017, las pérdidas y ganancias actuariales correspondientes al seguro médico tras la separación del servicio deben reconocerse directamente en los activos netos.</w:t>
      </w:r>
      <w:r w:rsidR="00EA6058" w:rsidRPr="00BD0A1D">
        <w:rPr>
          <w:lang w:val="es-ES"/>
        </w:rPr>
        <w:t xml:space="preserve"> </w:t>
      </w:r>
      <w:r w:rsidR="00905A34">
        <w:rPr>
          <w:lang w:val="es-ES"/>
        </w:rPr>
        <w:t xml:space="preserve"> </w:t>
      </w:r>
      <w:r w:rsidRPr="006A33F1">
        <w:t>El monto de las pérdidas actuariales en los activos netos al</w:t>
      </w:r>
      <w:r w:rsidR="00FE1638">
        <w:t xml:space="preserve"> </w:t>
      </w:r>
      <w:r w:rsidRPr="006A33F1">
        <w:t>31 de diciembre de</w:t>
      </w:r>
      <w:r w:rsidR="00FE1638">
        <w:t xml:space="preserve"> </w:t>
      </w:r>
      <w:r w:rsidRPr="006A33F1">
        <w:t>2018 asciende a</w:t>
      </w:r>
      <w:r w:rsidR="00FE1638">
        <w:t xml:space="preserve"> </w:t>
      </w:r>
      <w:r w:rsidRPr="006A33F1">
        <w:t>807.939 francos suizos debido a las ganancias actuariales de</w:t>
      </w:r>
      <w:r w:rsidR="00FE1638">
        <w:t xml:space="preserve"> </w:t>
      </w:r>
      <w:r w:rsidRPr="006A33F1">
        <w:t>93.337 francos suizos registradas en</w:t>
      </w:r>
      <w:r w:rsidR="00FE1638">
        <w:t xml:space="preserve"> </w:t>
      </w:r>
      <w:r w:rsidRPr="006A33F1">
        <w:t>2018.</w:t>
      </w:r>
      <w:r w:rsidR="00EA6058" w:rsidRPr="00BD0A1D">
        <w:rPr>
          <w:lang w:val="es-ES"/>
        </w:rPr>
        <w:t xml:space="preserve"> </w:t>
      </w:r>
    </w:p>
    <w:p w:rsidR="00EA6058" w:rsidRPr="00BD0A1D" w:rsidRDefault="00EA6058" w:rsidP="00EA6058">
      <w:pPr>
        <w:rPr>
          <w:lang w:val="es-ES"/>
        </w:rPr>
      </w:pPr>
    </w:p>
    <w:p w:rsidR="00EA6058" w:rsidRPr="00BD0A1D" w:rsidRDefault="00EA6058" w:rsidP="00EA6058">
      <w:pPr>
        <w:jc w:val="left"/>
        <w:rPr>
          <w:rFonts w:ascii="Arial Bold" w:hAnsi="Arial Bold"/>
          <w:b/>
          <w:caps/>
          <w:lang w:val="es-ES"/>
        </w:rPr>
      </w:pPr>
    </w:p>
    <w:p w:rsidR="00EA6058" w:rsidRPr="001C0768" w:rsidRDefault="001C0768" w:rsidP="003A143E">
      <w:pPr>
        <w:pStyle w:val="Heading2Notes"/>
        <w:ind w:left="1134" w:hanging="1134"/>
      </w:pPr>
      <w:bookmarkStart w:id="36" w:name="_Toc15397075"/>
      <w:r w:rsidRPr="001C0768">
        <w:t>Nota 12:</w:t>
      </w:r>
      <w:r w:rsidRPr="001C0768">
        <w:tab/>
        <w:t xml:space="preserve">Conciliación del estado comparativo de importes </w:t>
      </w:r>
      <w:r w:rsidR="003A143E">
        <w:t>presupuestados y reales (estado </w:t>
      </w:r>
      <w:r w:rsidRPr="001C0768">
        <w:t>financiero</w:t>
      </w:r>
      <w:r w:rsidR="003A143E">
        <w:t> </w:t>
      </w:r>
      <w:r w:rsidRPr="001C0768">
        <w:t>V) y del estado de rendimiento financiero (estado financiero II)</w:t>
      </w:r>
      <w:bookmarkEnd w:id="36"/>
    </w:p>
    <w:p w:rsidR="00EA6058" w:rsidRPr="00B24DA2" w:rsidRDefault="00EA6058" w:rsidP="00EA6058">
      <w:pPr>
        <w:rPr>
          <w:lang w:val="es-ES"/>
        </w:rPr>
      </w:pPr>
    </w:p>
    <w:p w:rsidR="00EA6058" w:rsidRPr="00BD0A1D" w:rsidRDefault="00520998" w:rsidP="00EA6058">
      <w:pPr>
        <w:rPr>
          <w:color w:val="000000" w:themeColor="text1"/>
          <w:lang w:val="es-ES"/>
        </w:rPr>
      </w:pPr>
      <w:r w:rsidRPr="006A33F1">
        <w:t>El programa y presupuesto de la</w:t>
      </w:r>
      <w:r w:rsidR="00FE1638">
        <w:t xml:space="preserve"> </w:t>
      </w:r>
      <w:r w:rsidRPr="006A33F1">
        <w:t>UPOV se establece sobre la base contable de acumulación (o devengo) modificada de conformidad con el Reglamento Financiero y la Reglamentación Financiera de la</w:t>
      </w:r>
      <w:r w:rsidR="00FE1638">
        <w:t xml:space="preserve"> </w:t>
      </w:r>
      <w:r w:rsidRPr="006A33F1">
        <w:t>UPOV y es aprobado por el Consejo.</w:t>
      </w:r>
      <w:r w:rsidR="00EA6058" w:rsidRPr="00B24DA2">
        <w:rPr>
          <w:lang w:val="es-ES"/>
        </w:rPr>
        <w:t xml:space="preserve"> </w:t>
      </w:r>
      <w:r w:rsidR="00905A34">
        <w:rPr>
          <w:lang w:val="es-ES"/>
        </w:rPr>
        <w:t xml:space="preserve"> </w:t>
      </w:r>
      <w:r w:rsidRPr="006A33F1">
        <w:t>El programa y presupuesto ordinario del bienio</w:t>
      </w:r>
      <w:r w:rsidR="00FE1638">
        <w:t xml:space="preserve"> </w:t>
      </w:r>
      <w:r w:rsidRPr="006A33F1">
        <w:t>2018-2019 ofrecía una estimación presupuestaria de ingresos y gastos para el bienio de</w:t>
      </w:r>
      <w:r w:rsidR="00FE1638">
        <w:t xml:space="preserve"> </w:t>
      </w:r>
      <w:r w:rsidRPr="006A33F1">
        <w:t>6.940.000 francos suizos.</w:t>
      </w:r>
    </w:p>
    <w:p w:rsidR="00EA6058" w:rsidRPr="00BD0A1D" w:rsidRDefault="00EA6058" w:rsidP="00EA6058">
      <w:pPr>
        <w:rPr>
          <w:color w:val="000000" w:themeColor="text1"/>
          <w:lang w:val="es-ES"/>
        </w:rPr>
      </w:pPr>
    </w:p>
    <w:p w:rsidR="00EA6058" w:rsidRPr="00BD0A1D" w:rsidRDefault="00520998" w:rsidP="00EA6058">
      <w:pPr>
        <w:pStyle w:val="STYLEDUTEXTE"/>
        <w:rPr>
          <w:sz w:val="20"/>
          <w:lang w:val="es-ES"/>
        </w:rPr>
      </w:pPr>
      <w:r w:rsidRPr="006A33F1">
        <w:rPr>
          <w:sz w:val="20"/>
        </w:rPr>
        <w:t>Para</w:t>
      </w:r>
      <w:r w:rsidR="00FE1638">
        <w:rPr>
          <w:sz w:val="20"/>
        </w:rPr>
        <w:t xml:space="preserve"> </w:t>
      </w:r>
      <w:r w:rsidRPr="006A33F1">
        <w:rPr>
          <w:sz w:val="20"/>
        </w:rPr>
        <w:t>2018, el primer año del bienio, la estimación presupuestaria inicial y final de ingresos y gastos ascendía a</w:t>
      </w:r>
      <w:r w:rsidR="00FE1638">
        <w:rPr>
          <w:sz w:val="20"/>
        </w:rPr>
        <w:t xml:space="preserve"> </w:t>
      </w:r>
      <w:r w:rsidRPr="006A33F1">
        <w:rPr>
          <w:sz w:val="20"/>
        </w:rPr>
        <w:t>3.470.000 francos suizos.</w:t>
      </w:r>
      <w:r w:rsidR="00EA6058" w:rsidRPr="00BD0A1D">
        <w:rPr>
          <w:sz w:val="20"/>
          <w:lang w:val="es-ES"/>
        </w:rPr>
        <w:t xml:space="preserve"> </w:t>
      </w:r>
      <w:r w:rsidR="00905A34">
        <w:rPr>
          <w:sz w:val="20"/>
          <w:lang w:val="es-ES"/>
        </w:rPr>
        <w:t xml:space="preserve"> </w:t>
      </w:r>
      <w:r w:rsidRPr="006A33F1">
        <w:rPr>
          <w:sz w:val="20"/>
        </w:rPr>
        <w:t>Los ingresos reales en el primer año del bienio, sobre la base contable de acumulación (o devengo) modificada, ascendieron a</w:t>
      </w:r>
      <w:r w:rsidR="00FE1638">
        <w:rPr>
          <w:sz w:val="20"/>
        </w:rPr>
        <w:t xml:space="preserve"> </w:t>
      </w:r>
      <w:r w:rsidRPr="006A33F1">
        <w:rPr>
          <w:sz w:val="20"/>
        </w:rPr>
        <w:t>3.422.060 francos suizos.</w:t>
      </w:r>
      <w:r w:rsidR="00EA6058" w:rsidRPr="00BD0A1D">
        <w:rPr>
          <w:color w:val="000000" w:themeColor="text1"/>
          <w:sz w:val="20"/>
          <w:lang w:val="es-ES"/>
        </w:rPr>
        <w:t xml:space="preserve"> </w:t>
      </w:r>
      <w:r w:rsidR="00905A34">
        <w:rPr>
          <w:color w:val="000000" w:themeColor="text1"/>
          <w:sz w:val="20"/>
          <w:lang w:val="es-ES"/>
        </w:rPr>
        <w:t xml:space="preserve"> </w:t>
      </w:r>
      <w:r w:rsidRPr="006A33F1">
        <w:rPr>
          <w:color w:val="000000" w:themeColor="text1"/>
          <w:sz w:val="20"/>
        </w:rPr>
        <w:t xml:space="preserve">Los gastos reales en el </w:t>
      </w:r>
      <w:r w:rsidR="00905A34">
        <w:rPr>
          <w:color w:val="000000" w:themeColor="text1"/>
          <w:sz w:val="20"/>
        </w:rPr>
        <w:br/>
      </w:r>
      <w:r w:rsidRPr="006A33F1">
        <w:rPr>
          <w:color w:val="000000" w:themeColor="text1"/>
          <w:sz w:val="20"/>
        </w:rPr>
        <w:t>primer año del bienio, sobre la base contable de acumulación (o devengo) modificada, ascendieron a</w:t>
      </w:r>
      <w:r w:rsidR="00FE1638">
        <w:rPr>
          <w:color w:val="000000" w:themeColor="text1"/>
          <w:sz w:val="20"/>
        </w:rPr>
        <w:t xml:space="preserve"> </w:t>
      </w:r>
      <w:r w:rsidR="00905A34">
        <w:rPr>
          <w:color w:val="000000" w:themeColor="text1"/>
          <w:sz w:val="20"/>
        </w:rPr>
        <w:t>3.354.800 </w:t>
      </w:r>
      <w:r w:rsidRPr="006A33F1">
        <w:rPr>
          <w:color w:val="000000" w:themeColor="text1"/>
          <w:sz w:val="20"/>
        </w:rPr>
        <w:t>francos suizos.</w:t>
      </w:r>
      <w:r w:rsidR="00EA6058" w:rsidRPr="00BD0A1D">
        <w:rPr>
          <w:color w:val="000000" w:themeColor="text1"/>
          <w:sz w:val="20"/>
          <w:lang w:val="es-ES"/>
        </w:rPr>
        <w:t xml:space="preserve"> </w:t>
      </w:r>
      <w:r w:rsidR="00905A34">
        <w:rPr>
          <w:color w:val="000000" w:themeColor="text1"/>
          <w:sz w:val="20"/>
          <w:lang w:val="es-ES"/>
        </w:rPr>
        <w:t xml:space="preserve"> </w:t>
      </w:r>
      <w:r w:rsidRPr="006A33F1">
        <w:rPr>
          <w:sz w:val="20"/>
        </w:rPr>
        <w:t>El análisis de la ejecución presupuestaria que figura en la página</w:t>
      </w:r>
      <w:r w:rsidR="00FE1638">
        <w:rPr>
          <w:sz w:val="20"/>
        </w:rPr>
        <w:t xml:space="preserve"> </w:t>
      </w:r>
      <w:r w:rsidRPr="00393E70">
        <w:rPr>
          <w:sz w:val="20"/>
        </w:rPr>
        <w:t>4</w:t>
      </w:r>
      <w:r w:rsidRPr="006A33F1">
        <w:rPr>
          <w:sz w:val="20"/>
        </w:rPr>
        <w:t xml:space="preserve"> de los presentes estados financieros contiene una explicación de las diferencias sustanciales entre los importes presupuestados y los reales.</w:t>
      </w:r>
      <w:r w:rsidR="00EA6058" w:rsidRPr="00BD0A1D">
        <w:rPr>
          <w:sz w:val="20"/>
          <w:lang w:val="es-ES"/>
        </w:rPr>
        <w:t xml:space="preserve"> </w:t>
      </w:r>
    </w:p>
    <w:p w:rsidR="00EA6058" w:rsidRPr="00BD0A1D" w:rsidRDefault="00EA6058" w:rsidP="00EA6058">
      <w:pPr>
        <w:pStyle w:val="STYLEDUTEXTE"/>
        <w:rPr>
          <w:sz w:val="20"/>
          <w:lang w:val="es-ES"/>
        </w:rPr>
      </w:pPr>
    </w:p>
    <w:p w:rsidR="00EA6058" w:rsidRPr="00BD0A1D" w:rsidRDefault="00520998" w:rsidP="00EA6058">
      <w:pPr>
        <w:pStyle w:val="STYLEDUTEXTE"/>
        <w:rPr>
          <w:sz w:val="20"/>
          <w:lang w:val="es-ES"/>
        </w:rPr>
      </w:pPr>
      <w:r w:rsidRPr="006A33F1">
        <w:rPr>
          <w:sz w:val="20"/>
        </w:rPr>
        <w:t>El presupuesto de la</w:t>
      </w:r>
      <w:r w:rsidR="00FE1638">
        <w:rPr>
          <w:sz w:val="20"/>
        </w:rPr>
        <w:t xml:space="preserve"> </w:t>
      </w:r>
      <w:r w:rsidRPr="006A33F1">
        <w:rPr>
          <w:sz w:val="20"/>
        </w:rPr>
        <w:t>UPOV y las cuentas financieras se preparan utilizando dos bases contables distintas.</w:t>
      </w:r>
      <w:r w:rsidR="00905A34">
        <w:rPr>
          <w:sz w:val="20"/>
        </w:rPr>
        <w:t xml:space="preserve"> </w:t>
      </w:r>
      <w:r w:rsidR="00EA6058" w:rsidRPr="00BD0A1D">
        <w:rPr>
          <w:sz w:val="20"/>
          <w:lang w:val="es-ES"/>
        </w:rPr>
        <w:t xml:space="preserve"> </w:t>
      </w:r>
      <w:r w:rsidR="00905A34">
        <w:rPr>
          <w:sz w:val="20"/>
        </w:rPr>
        <w:t>El </w:t>
      </w:r>
      <w:r w:rsidRPr="006A33F1">
        <w:rPr>
          <w:sz w:val="20"/>
        </w:rPr>
        <w:t>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w:t>
      </w:r>
      <w:r w:rsidR="00C35EC2" w:rsidRPr="006A33F1">
        <w:rPr>
          <w:sz w:val="20"/>
        </w:rPr>
        <w:t>estado</w:t>
      </w:r>
      <w:r w:rsidRPr="006A33F1">
        <w:rPr>
          <w:sz w:val="20"/>
        </w:rPr>
        <w:t xml:space="preserve"> financiero</w:t>
      </w:r>
      <w:r w:rsidR="00FE1638">
        <w:rPr>
          <w:sz w:val="20"/>
        </w:rPr>
        <w:t xml:space="preserve"> </w:t>
      </w:r>
      <w:r w:rsidRPr="006A33F1">
        <w:rPr>
          <w:sz w:val="20"/>
        </w:rPr>
        <w:t>V) se elabora sobre la base contable de acumulación (o devengo) modificada.</w:t>
      </w:r>
      <w:r w:rsidR="00EA6058" w:rsidRPr="00BD0A1D">
        <w:rPr>
          <w:sz w:val="20"/>
          <w:lang w:val="es-ES"/>
        </w:rPr>
        <w:t xml:space="preserve"> </w:t>
      </w:r>
    </w:p>
    <w:p w:rsidR="00EA6058" w:rsidRPr="00BD0A1D" w:rsidRDefault="00EA6058" w:rsidP="00EA6058">
      <w:pPr>
        <w:pStyle w:val="STYLEDUTEXTE"/>
        <w:rPr>
          <w:sz w:val="20"/>
          <w:lang w:val="es-ES"/>
        </w:rPr>
      </w:pPr>
    </w:p>
    <w:p w:rsidR="00EA6058" w:rsidRPr="00BD0A1D" w:rsidRDefault="00520998" w:rsidP="00EA6058">
      <w:pPr>
        <w:pStyle w:val="STYLEDUTEXTE"/>
        <w:rPr>
          <w:sz w:val="20"/>
          <w:lang w:val="es-ES"/>
        </w:rPr>
      </w:pPr>
      <w:r w:rsidRPr="006A33F1">
        <w:rPr>
          <w:sz w:val="20"/>
        </w:rPr>
        <w:t>Tal como exige la IPSAS</w:t>
      </w:r>
      <w:r w:rsidR="00FE1638">
        <w:rPr>
          <w:sz w:val="20"/>
        </w:rPr>
        <w:t xml:space="preserve"> </w:t>
      </w:r>
      <w:r w:rsidRPr="006A33F1">
        <w:rPr>
          <w:sz w:val="20"/>
        </w:rPr>
        <w:t xml:space="preserve">24, se suministra una conciliación, en términos comparables con el presupuesto, entre los importes reales expuestos </w:t>
      </w:r>
      <w:r w:rsidR="00B95234" w:rsidRPr="006A33F1">
        <w:rPr>
          <w:sz w:val="20"/>
        </w:rPr>
        <w:t>en el estado financiero</w:t>
      </w:r>
      <w:r w:rsidR="00FE1638">
        <w:rPr>
          <w:sz w:val="20"/>
        </w:rPr>
        <w:t xml:space="preserve"> </w:t>
      </w:r>
      <w:r w:rsidRPr="006A33F1">
        <w:rPr>
          <w:sz w:val="20"/>
        </w:rPr>
        <w:t>V y los importes reales indicados en las cuentas financieras, señalando por separado las diferencias existentes en cuanto a la base, el período y la entidad.</w:t>
      </w:r>
      <w:r w:rsidR="00EA6058" w:rsidRPr="00BD0A1D">
        <w:rPr>
          <w:sz w:val="20"/>
          <w:lang w:val="es-ES"/>
        </w:rPr>
        <w:t xml:space="preserve"> </w:t>
      </w:r>
      <w:r w:rsidR="00905A34">
        <w:rPr>
          <w:sz w:val="20"/>
          <w:lang w:val="es-ES"/>
        </w:rPr>
        <w:t xml:space="preserve"> </w:t>
      </w:r>
      <w:r w:rsidR="00210764" w:rsidRPr="006A33F1">
        <w:rPr>
          <w:sz w:val="20"/>
        </w:rPr>
        <w:t>Si bien el Consejo aprueba el presupuesto de la</w:t>
      </w:r>
      <w:r w:rsidR="00FE1638">
        <w:rPr>
          <w:sz w:val="20"/>
        </w:rPr>
        <w:t xml:space="preserve"> </w:t>
      </w:r>
      <w:r w:rsidR="00210764" w:rsidRPr="006A33F1">
        <w:rPr>
          <w:sz w:val="20"/>
        </w:rPr>
        <w:t>UPOV por un período bienal, se efectúan estimaciones por separado para cada uno de los períodos anuales.</w:t>
      </w:r>
      <w:r w:rsidR="00EA6058" w:rsidRPr="00BD0A1D">
        <w:rPr>
          <w:sz w:val="20"/>
          <w:lang w:val="es-ES"/>
        </w:rPr>
        <w:t xml:space="preserve"> </w:t>
      </w:r>
      <w:r w:rsidR="00905A34">
        <w:rPr>
          <w:sz w:val="20"/>
          <w:lang w:val="es-ES"/>
        </w:rPr>
        <w:t xml:space="preserve"> </w:t>
      </w:r>
      <w:r w:rsidR="00210764" w:rsidRPr="006A33F1">
        <w:rPr>
          <w:sz w:val="20"/>
        </w:rPr>
        <w:t>Por lo tanto, no existen diferencias en la periodicidad sobre las que haya que informar.</w:t>
      </w:r>
      <w:r w:rsidR="00EA6058" w:rsidRPr="00BD0A1D">
        <w:rPr>
          <w:sz w:val="20"/>
          <w:lang w:val="es-ES"/>
        </w:rPr>
        <w:t xml:space="preserve"> </w:t>
      </w:r>
      <w:r w:rsidR="00905A34">
        <w:rPr>
          <w:sz w:val="20"/>
          <w:lang w:val="es-ES"/>
        </w:rPr>
        <w:t xml:space="preserve"> </w:t>
      </w:r>
      <w:r w:rsidR="00210764" w:rsidRPr="006A33F1">
        <w:rPr>
          <w:sz w:val="20"/>
        </w:rPr>
        <w:t>Las diferencias en cuanto a la base se producen cuando el presupuesto aprobado se elabora según una base distinta a la base contable integral de acumulación (o devengo).</w:t>
      </w:r>
      <w:r w:rsidR="00905A34">
        <w:rPr>
          <w:sz w:val="20"/>
        </w:rPr>
        <w:t xml:space="preserve"> </w:t>
      </w:r>
      <w:r w:rsidR="00680842" w:rsidRPr="00BD0A1D">
        <w:rPr>
          <w:sz w:val="20"/>
          <w:lang w:val="es-ES"/>
        </w:rPr>
        <w:t xml:space="preserve"> </w:t>
      </w:r>
      <w:r w:rsidR="00D321C8" w:rsidRPr="006A33F1">
        <w:rPr>
          <w:sz w:val="20"/>
        </w:rPr>
        <w:t>Las diferencias en cuanto a la base radican en el reconocimiento pleno de los costos de las prestaciones a los empleados, las asignaciones y las provisiones.</w:t>
      </w:r>
      <w:r w:rsidR="00EA6058" w:rsidRPr="00BD0A1D">
        <w:rPr>
          <w:sz w:val="20"/>
          <w:lang w:val="es-ES"/>
        </w:rPr>
        <w:t xml:space="preserve"> </w:t>
      </w:r>
      <w:r w:rsidR="00905A34">
        <w:rPr>
          <w:sz w:val="20"/>
          <w:lang w:val="es-ES"/>
        </w:rPr>
        <w:t xml:space="preserve"> </w:t>
      </w:r>
      <w:r w:rsidR="00D321C8" w:rsidRPr="006A33F1">
        <w:rPr>
          <w:sz w:val="20"/>
        </w:rPr>
        <w:t>Las diferencias en cuanto a la entidad se deben a que en las cuentas financieras de la</w:t>
      </w:r>
      <w:r w:rsidR="00FE1638">
        <w:rPr>
          <w:sz w:val="20"/>
        </w:rPr>
        <w:t xml:space="preserve"> </w:t>
      </w:r>
      <w:r w:rsidR="00D321C8" w:rsidRPr="006A33F1">
        <w:rPr>
          <w:sz w:val="20"/>
        </w:rPr>
        <w:t>UPOV se incluyen los fondos fiduciarios y el fondo para proyectos especiales, que no están contemplados en su programa y presupuesto ordinario.</w:t>
      </w:r>
      <w:r w:rsidR="00EA6058" w:rsidRPr="00BD0A1D">
        <w:rPr>
          <w:sz w:val="20"/>
          <w:lang w:val="es-ES"/>
        </w:rPr>
        <w:t xml:space="preserve"> </w:t>
      </w:r>
      <w:r w:rsidR="00905A34">
        <w:rPr>
          <w:sz w:val="20"/>
          <w:lang w:val="es-ES"/>
        </w:rPr>
        <w:t xml:space="preserve"> </w:t>
      </w:r>
      <w:r w:rsidR="00D321C8" w:rsidRPr="00CC03B8">
        <w:rPr>
          <w:sz w:val="20"/>
        </w:rPr>
        <w:t xml:space="preserve">Las diferencias en cuanto a la presentación, cuando proceda, pueden corresponder a la consideración de las adquisiciones de equipos como actividades de inversión </w:t>
      </w:r>
      <w:r w:rsidR="00B95234" w:rsidRPr="00CC03B8">
        <w:rPr>
          <w:sz w:val="20"/>
        </w:rPr>
        <w:t>en el estado financiero</w:t>
      </w:r>
      <w:r w:rsidR="00FE1638">
        <w:rPr>
          <w:sz w:val="20"/>
        </w:rPr>
        <w:t xml:space="preserve"> </w:t>
      </w:r>
      <w:r w:rsidR="00D321C8" w:rsidRPr="00CC03B8">
        <w:rPr>
          <w:sz w:val="20"/>
        </w:rPr>
        <w:t xml:space="preserve">IV, en lugar de indicarse como actividades de explotación </w:t>
      </w:r>
      <w:r w:rsidR="00B95234" w:rsidRPr="00CC03B8">
        <w:rPr>
          <w:sz w:val="20"/>
        </w:rPr>
        <w:t>en el estado financiero</w:t>
      </w:r>
      <w:r w:rsidR="00FE1638">
        <w:rPr>
          <w:sz w:val="20"/>
        </w:rPr>
        <w:t xml:space="preserve"> </w:t>
      </w:r>
      <w:r w:rsidR="00D321C8" w:rsidRPr="00CC03B8">
        <w:rPr>
          <w:sz w:val="20"/>
        </w:rPr>
        <w:t>V.</w:t>
      </w:r>
    </w:p>
    <w:p w:rsidR="00EA6058" w:rsidRPr="00BD0A1D" w:rsidRDefault="00EA6058" w:rsidP="00EA6058">
      <w:pPr>
        <w:pStyle w:val="STYLEDUTEXTE"/>
        <w:rPr>
          <w:sz w:val="20"/>
          <w:lang w:val="es-ES"/>
        </w:rPr>
      </w:pPr>
    </w:p>
    <w:p w:rsidR="00EA6058" w:rsidRDefault="0037675D" w:rsidP="00EA6058">
      <w:pPr>
        <w:pStyle w:val="STYLEDUTEXTE"/>
        <w:jc w:val="center"/>
        <w:rPr>
          <w:sz w:val="20"/>
        </w:rPr>
      </w:pPr>
      <w:r w:rsidRPr="0037675D">
        <w:rPr>
          <w:noProof/>
          <w:lang w:val="en-US"/>
        </w:rPr>
        <w:lastRenderedPageBreak/>
        <w:drawing>
          <wp:inline distT="0" distB="0" distL="0" distR="0">
            <wp:extent cx="6120765" cy="3018073"/>
            <wp:effectExtent l="19050" t="0" r="0" b="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srcRect/>
                    <a:stretch>
                      <a:fillRect/>
                    </a:stretch>
                  </pic:blipFill>
                  <pic:spPr bwMode="auto">
                    <a:xfrm>
                      <a:off x="0" y="0"/>
                      <a:ext cx="6120765" cy="3018073"/>
                    </a:xfrm>
                    <a:prstGeom prst="rect">
                      <a:avLst/>
                    </a:prstGeom>
                    <a:noFill/>
                    <a:ln w="9525">
                      <a:noFill/>
                      <a:miter lim="800000"/>
                      <a:headEnd/>
                      <a:tailEnd/>
                    </a:ln>
                  </pic:spPr>
                </pic:pic>
              </a:graphicData>
            </a:graphic>
          </wp:inline>
        </w:drawing>
      </w:r>
    </w:p>
    <w:p w:rsidR="00EA6058" w:rsidRDefault="00EA6058" w:rsidP="00EA6058"/>
    <w:p w:rsidR="00BC3331" w:rsidRDefault="00BC3331" w:rsidP="00EA6058"/>
    <w:p w:rsidR="00EA6058" w:rsidRPr="001C0768" w:rsidRDefault="001C0768" w:rsidP="008F7AF6">
      <w:pPr>
        <w:pStyle w:val="Heading2Notes"/>
      </w:pPr>
      <w:bookmarkStart w:id="37" w:name="_Toc15397076"/>
      <w:r w:rsidRPr="001C0768">
        <w:t xml:space="preserve">Nota </w:t>
      </w:r>
      <w:r w:rsidR="00D321C8" w:rsidRPr="001C0768">
        <w:t>13:</w:t>
      </w:r>
      <w:r w:rsidR="00EA6058" w:rsidRPr="001C0768">
        <w:tab/>
      </w:r>
      <w:r w:rsidRPr="001C0768">
        <w:t>Ingresos</w:t>
      </w:r>
      <w:bookmarkEnd w:id="37"/>
    </w:p>
    <w:p w:rsidR="00EA6058" w:rsidRPr="00187DDC" w:rsidRDefault="00EA6058" w:rsidP="00EA6058">
      <w:pPr>
        <w:keepNext/>
      </w:pPr>
    </w:p>
    <w:p w:rsidR="00EA6058" w:rsidRPr="00445D85" w:rsidRDefault="00D11374" w:rsidP="00EA6058">
      <w:pPr>
        <w:jc w:val="center"/>
        <w:rPr>
          <w:rFonts w:ascii="Times New Roman" w:hAnsi="Times New Roman"/>
        </w:rPr>
      </w:pPr>
      <w:r w:rsidRPr="00D11374">
        <w:rPr>
          <w:noProof/>
          <w:lang w:val="en-US"/>
        </w:rPr>
        <w:drawing>
          <wp:inline distT="0" distB="0" distL="0" distR="0">
            <wp:extent cx="6120765" cy="19780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978019"/>
                    </a:xfrm>
                    <a:prstGeom prst="rect">
                      <a:avLst/>
                    </a:prstGeom>
                    <a:noFill/>
                    <a:ln>
                      <a:noFill/>
                    </a:ln>
                  </pic:spPr>
                </pic:pic>
              </a:graphicData>
            </a:graphic>
          </wp:inline>
        </w:drawing>
      </w:r>
    </w:p>
    <w:p w:rsidR="00EA6058" w:rsidRPr="00445D85" w:rsidRDefault="00EA6058" w:rsidP="00EA6058">
      <w:pPr>
        <w:rPr>
          <w:noProof/>
        </w:rPr>
      </w:pPr>
    </w:p>
    <w:p w:rsidR="00EA6058" w:rsidRPr="00BD0A1D" w:rsidRDefault="002A0423" w:rsidP="00EA6058">
      <w:pPr>
        <w:pStyle w:val="Styletexte"/>
        <w:spacing w:after="0"/>
        <w:rPr>
          <w:rFonts w:cs="Arial"/>
          <w:sz w:val="20"/>
          <w:lang w:val="es-ES"/>
        </w:rPr>
      </w:pPr>
      <w:r w:rsidRPr="00402D61">
        <w:rPr>
          <w:rFonts w:cs="Arial"/>
          <w:sz w:val="20"/>
        </w:rPr>
        <w:t>Las contribuciones contempladas en el programa y presupuesto ordinario representan importes pagaderos en enero de</w:t>
      </w:r>
      <w:r w:rsidR="00FE1638">
        <w:rPr>
          <w:rFonts w:cs="Arial"/>
          <w:sz w:val="20"/>
        </w:rPr>
        <w:t xml:space="preserve"> </w:t>
      </w:r>
      <w:r w:rsidRPr="00402D61">
        <w:rPr>
          <w:rFonts w:cs="Arial"/>
          <w:sz w:val="20"/>
        </w:rPr>
        <w:t>2018.</w:t>
      </w:r>
      <w:r w:rsidR="00EA6058" w:rsidRPr="00BD0A1D">
        <w:rPr>
          <w:rFonts w:cs="Arial"/>
          <w:sz w:val="20"/>
          <w:lang w:val="es-ES"/>
        </w:rPr>
        <w:t xml:space="preserve"> </w:t>
      </w:r>
      <w:r w:rsidR="003F30EA">
        <w:rPr>
          <w:rFonts w:cs="Arial"/>
          <w:sz w:val="20"/>
          <w:lang w:val="es-ES"/>
        </w:rPr>
        <w:t xml:space="preserve"> </w:t>
      </w:r>
      <w:r w:rsidRPr="00402D61">
        <w:rPr>
          <w:rFonts w:cs="Arial"/>
          <w:sz w:val="20"/>
        </w:rPr>
        <w:t>Los fondos extrapresupuestarios procedentes de fondos fiduciarios representan ingresos percibidos en relación con las aportaciones efectuadas por donantes a proyectos concretos no incluidos en el programa y presupuesto ordinario.</w:t>
      </w:r>
      <w:r w:rsidR="00EA6058" w:rsidRPr="00BD0A1D">
        <w:rPr>
          <w:rFonts w:cs="Arial"/>
          <w:sz w:val="20"/>
          <w:lang w:val="es-ES"/>
        </w:rPr>
        <w:t xml:space="preserve"> </w:t>
      </w:r>
      <w:r w:rsidR="003F30EA">
        <w:rPr>
          <w:rFonts w:cs="Arial"/>
          <w:sz w:val="20"/>
          <w:lang w:val="es-ES"/>
        </w:rPr>
        <w:t xml:space="preserve"> </w:t>
      </w:r>
      <w:r w:rsidRPr="00402D61">
        <w:rPr>
          <w:rFonts w:cs="Arial"/>
          <w:sz w:val="20"/>
        </w:rPr>
        <w:t>Los ingresos derivados de los fondos extrapresupuestarios (fondos fiduciarios) se aplazan hasta su devengo mediante la prestación de los servicios concretos estipulados en el plan de trabajo acordado con el donante.</w:t>
      </w:r>
      <w:r w:rsidR="00EA6058" w:rsidRPr="00BD0A1D">
        <w:rPr>
          <w:rFonts w:cs="Arial"/>
          <w:sz w:val="20"/>
          <w:lang w:val="es-ES"/>
        </w:rPr>
        <w:t xml:space="preserve"> </w:t>
      </w:r>
    </w:p>
    <w:p w:rsidR="00EA6058" w:rsidRPr="00BD0A1D" w:rsidRDefault="00EA6058" w:rsidP="00EA6058">
      <w:pPr>
        <w:rPr>
          <w:lang w:val="es-ES"/>
        </w:rPr>
      </w:pPr>
    </w:p>
    <w:p w:rsidR="00EA6058" w:rsidRPr="00BD0A1D" w:rsidRDefault="00EA6058" w:rsidP="00EA6058">
      <w:pPr>
        <w:rPr>
          <w:lang w:val="es-ES"/>
        </w:rPr>
      </w:pPr>
    </w:p>
    <w:p w:rsidR="00EA6058" w:rsidRPr="001C0768" w:rsidRDefault="001C0768" w:rsidP="008F7AF6">
      <w:pPr>
        <w:pStyle w:val="Heading2Notes"/>
      </w:pPr>
      <w:bookmarkStart w:id="38" w:name="_Toc15397077"/>
      <w:r w:rsidRPr="001C0768">
        <w:lastRenderedPageBreak/>
        <w:t xml:space="preserve">Nota </w:t>
      </w:r>
      <w:r w:rsidR="002A0423" w:rsidRPr="001C0768">
        <w:t>14:</w:t>
      </w:r>
      <w:r w:rsidR="00EA6058" w:rsidRPr="001C0768">
        <w:tab/>
      </w:r>
      <w:r w:rsidRPr="001C0768">
        <w:t>Gastos</w:t>
      </w:r>
      <w:bookmarkEnd w:id="38"/>
    </w:p>
    <w:p w:rsidR="00EA6058" w:rsidRPr="00F45269" w:rsidRDefault="00EA6058" w:rsidP="00BC3331">
      <w:pPr>
        <w:keepNext/>
      </w:pPr>
    </w:p>
    <w:p w:rsidR="00EA6058" w:rsidRPr="00F536AE" w:rsidRDefault="000D270E" w:rsidP="00EA6058">
      <w:pPr>
        <w:jc w:val="center"/>
        <w:rPr>
          <w:rFonts w:cs="Arial"/>
        </w:rPr>
      </w:pPr>
      <w:r w:rsidRPr="000D270E">
        <w:rPr>
          <w:noProof/>
          <w:lang w:val="en-US"/>
        </w:rPr>
        <w:drawing>
          <wp:inline distT="0" distB="0" distL="0" distR="0">
            <wp:extent cx="6120765" cy="2151831"/>
            <wp:effectExtent l="19050" t="0" r="0" b="0"/>
            <wp:docPr id="3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srcRect/>
                    <a:stretch>
                      <a:fillRect/>
                    </a:stretch>
                  </pic:blipFill>
                  <pic:spPr bwMode="auto">
                    <a:xfrm>
                      <a:off x="0" y="0"/>
                      <a:ext cx="6120765" cy="2151831"/>
                    </a:xfrm>
                    <a:prstGeom prst="rect">
                      <a:avLst/>
                    </a:prstGeom>
                    <a:noFill/>
                    <a:ln w="9525">
                      <a:noFill/>
                      <a:miter lim="800000"/>
                      <a:headEnd/>
                      <a:tailEnd/>
                    </a:ln>
                  </pic:spPr>
                </pic:pic>
              </a:graphicData>
            </a:graphic>
          </wp:inline>
        </w:drawing>
      </w:r>
    </w:p>
    <w:p w:rsidR="00EA6058" w:rsidRPr="00F536AE" w:rsidRDefault="00EA6058" w:rsidP="00EA6058">
      <w:pPr>
        <w:jc w:val="center"/>
        <w:rPr>
          <w:rFonts w:cs="Arial"/>
        </w:rPr>
      </w:pPr>
    </w:p>
    <w:p w:rsidR="00EA6058" w:rsidRPr="00BD0A1D" w:rsidRDefault="00BA2CF8" w:rsidP="00EA6058">
      <w:pPr>
        <w:pStyle w:val="Styletexte"/>
        <w:spacing w:after="0"/>
        <w:rPr>
          <w:sz w:val="20"/>
          <w:lang w:val="es-ES"/>
        </w:rPr>
      </w:pPr>
      <w:r w:rsidRPr="00402D61">
        <w:rPr>
          <w:rFonts w:cs="Arial"/>
          <w:sz w:val="20"/>
        </w:rPr>
        <w:t>En 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puestos y plazas temporales.</w:t>
      </w:r>
      <w:r w:rsidR="00EA6058" w:rsidRPr="00B24DA2">
        <w:rPr>
          <w:sz w:val="20"/>
          <w:lang w:val="es-ES"/>
        </w:rPr>
        <w:t xml:space="preserve"> </w:t>
      </w:r>
      <w:r w:rsidR="003F30EA">
        <w:rPr>
          <w:sz w:val="20"/>
          <w:lang w:val="es-ES"/>
        </w:rPr>
        <w:t xml:space="preserve"> </w:t>
      </w:r>
      <w:r w:rsidRPr="00402D61">
        <w:rPr>
          <w:sz w:val="20"/>
        </w:rPr>
        <w:t>Como consecuencia de la aplicación de las</w:t>
      </w:r>
      <w:r w:rsidR="00FE1638">
        <w:rPr>
          <w:sz w:val="20"/>
        </w:rPr>
        <w:t xml:space="preserve"> </w:t>
      </w:r>
      <w:r w:rsidRPr="00402D61">
        <w:rPr>
          <w:sz w:val="20"/>
        </w:rPr>
        <w:t>IPSAS, los gastos de personal incluyen también los importes correspondientes a los movimientos registrados en el pasivo por prestaciones a los empleados.</w:t>
      </w:r>
    </w:p>
    <w:p w:rsidR="00EA6058" w:rsidRPr="00BD0A1D" w:rsidRDefault="00EA6058" w:rsidP="00EA6058">
      <w:pPr>
        <w:pStyle w:val="Styletexte"/>
        <w:spacing w:after="0"/>
        <w:rPr>
          <w:sz w:val="20"/>
          <w:lang w:val="es-ES"/>
        </w:rPr>
      </w:pPr>
    </w:p>
    <w:p w:rsidR="00EA6058" w:rsidRPr="00BD0A1D" w:rsidRDefault="00BA2CF8" w:rsidP="00EA6058">
      <w:pPr>
        <w:pStyle w:val="Styletexte"/>
        <w:spacing w:after="0"/>
        <w:rPr>
          <w:sz w:val="20"/>
          <w:lang w:val="es-ES"/>
        </w:rPr>
      </w:pPr>
      <w:r w:rsidRPr="00402D61">
        <w:rPr>
          <w:sz w:val="20"/>
        </w:rPr>
        <w:t>En los gastos de viajes y becas se incluyen los costos del pasaje aéreo, las dietas, los pequeños gastos de salida y llegada y otros gastos de viaje del personal relativos a misiones oficiales, así como los gastos de viaje para participantes y conferenciantes en relación con actividades de formación.</w:t>
      </w:r>
      <w:r w:rsidR="00EA6058" w:rsidRPr="00BD0A1D">
        <w:rPr>
          <w:sz w:val="20"/>
          <w:lang w:val="es-ES"/>
        </w:rPr>
        <w:t xml:space="preserve"> </w:t>
      </w:r>
      <w:r w:rsidR="003F30EA">
        <w:rPr>
          <w:sz w:val="20"/>
          <w:lang w:val="es-ES"/>
        </w:rPr>
        <w:t xml:space="preserve"> </w:t>
      </w:r>
      <w:r w:rsidRPr="00402D61">
        <w:rPr>
          <w:sz w:val="20"/>
        </w:rPr>
        <w:t>En los servicios contractuales se incluyen los honorarios de los traductores e intérpretes y los correspondientes a otros acuerdos de servicios externos.</w:t>
      </w:r>
      <w:r w:rsidR="00EA6058" w:rsidRPr="00BD0A1D">
        <w:rPr>
          <w:sz w:val="20"/>
          <w:lang w:val="es-ES"/>
        </w:rPr>
        <w:t xml:space="preserve"> </w:t>
      </w:r>
      <w:r w:rsidR="003F30EA">
        <w:rPr>
          <w:sz w:val="20"/>
          <w:lang w:val="es-ES"/>
        </w:rPr>
        <w:t xml:space="preserve"> </w:t>
      </w:r>
      <w:r w:rsidRPr="00402D61">
        <w:rPr>
          <w:sz w:val="20"/>
        </w:rPr>
        <w:t>En los gastos de funcionamiento se incluyen gastos tales como el alquiler, el mantenimiento y los cargos bancarios.</w:t>
      </w:r>
    </w:p>
    <w:p w:rsidR="00EA6058" w:rsidRPr="00BD0A1D" w:rsidRDefault="00EA6058" w:rsidP="00EA6058">
      <w:pPr>
        <w:pStyle w:val="Styletexte"/>
        <w:spacing w:after="0"/>
        <w:rPr>
          <w:sz w:val="20"/>
          <w:lang w:val="es-ES"/>
        </w:rPr>
      </w:pPr>
    </w:p>
    <w:p w:rsidR="00EA6058" w:rsidRPr="00BD0A1D" w:rsidRDefault="00EA6058" w:rsidP="00EA6058">
      <w:pPr>
        <w:rPr>
          <w:b/>
          <w:bCs/>
          <w:caps/>
          <w:lang w:val="es-ES"/>
        </w:rPr>
      </w:pPr>
    </w:p>
    <w:p w:rsidR="00EA6058" w:rsidRPr="001C0768" w:rsidRDefault="001C0768" w:rsidP="008F7AF6">
      <w:pPr>
        <w:pStyle w:val="Heading2Notes"/>
      </w:pPr>
      <w:bookmarkStart w:id="39" w:name="_Toc15397078"/>
      <w:r w:rsidRPr="001C0768">
        <w:t xml:space="preserve">Nota </w:t>
      </w:r>
      <w:r w:rsidR="00BA2CF8" w:rsidRPr="001C0768">
        <w:t>15:</w:t>
      </w:r>
      <w:r w:rsidR="00EA6058" w:rsidRPr="001C0768">
        <w:tab/>
      </w:r>
      <w:r w:rsidRPr="001C0768">
        <w:t>Instrumentos financieros</w:t>
      </w:r>
      <w:bookmarkEnd w:id="39"/>
    </w:p>
    <w:p w:rsidR="00EA6058" w:rsidRPr="00BD0A1D" w:rsidRDefault="00EA6058" w:rsidP="00EA6058">
      <w:pPr>
        <w:rPr>
          <w:lang w:val="es-ES"/>
        </w:rPr>
      </w:pPr>
    </w:p>
    <w:p w:rsidR="00EA6058" w:rsidRPr="00BD0A1D" w:rsidRDefault="00BA2CF8" w:rsidP="00EA6058">
      <w:pPr>
        <w:autoSpaceDE w:val="0"/>
        <w:autoSpaceDN w:val="0"/>
        <w:adjustRightInd w:val="0"/>
        <w:rPr>
          <w:lang w:val="es-ES" w:eastAsia="en-GB"/>
        </w:rPr>
      </w:pPr>
      <w:r w:rsidRPr="00402D61">
        <w:t>La</w:t>
      </w:r>
      <w:r w:rsidR="00FE1638">
        <w:t xml:space="preserve"> </w:t>
      </w:r>
      <w:r w:rsidRPr="00402D61">
        <w:t>UPOV está expuesta en cierta medida a los riesgos de liquidez, de tipo de interés, de tipo de cambio y de índice de crédito que se generan en el curso ordinario de sus actividades.</w:t>
      </w:r>
      <w:r w:rsidR="00EA6058" w:rsidRPr="00BD0A1D">
        <w:rPr>
          <w:lang w:val="es-ES"/>
        </w:rPr>
        <w:t xml:space="preserve"> </w:t>
      </w:r>
      <w:r w:rsidR="003F30EA">
        <w:rPr>
          <w:lang w:val="es-ES"/>
        </w:rPr>
        <w:t xml:space="preserve"> </w:t>
      </w:r>
      <w:r w:rsidRPr="00402D61">
        <w:rPr>
          <w:lang w:eastAsia="en-GB"/>
        </w:rPr>
        <w:t>En esta nota se presenta información sobre la exposición de la</w:t>
      </w:r>
      <w:r w:rsidR="00FE1638">
        <w:rPr>
          <w:lang w:eastAsia="en-GB"/>
        </w:rPr>
        <w:t xml:space="preserve"> </w:t>
      </w:r>
      <w:r w:rsidRPr="00402D61">
        <w:rPr>
          <w:lang w:eastAsia="en-GB"/>
        </w:rPr>
        <w:t>UPOV a cada uno de dichos riesgos y sobre las políticas y los procesos de valoración y gestión del riesgo.</w:t>
      </w:r>
      <w:r w:rsidR="00EA6058" w:rsidRPr="00BD0A1D">
        <w:rPr>
          <w:lang w:val="es-ES" w:eastAsia="en-GB"/>
        </w:rPr>
        <w:t xml:space="preserve"> </w:t>
      </w:r>
    </w:p>
    <w:p w:rsidR="00EA6058" w:rsidRPr="00BD0A1D" w:rsidRDefault="00EA6058" w:rsidP="00EA6058">
      <w:pPr>
        <w:autoSpaceDE w:val="0"/>
        <w:autoSpaceDN w:val="0"/>
        <w:adjustRightInd w:val="0"/>
        <w:rPr>
          <w:lang w:val="es-ES" w:eastAsia="en-GB"/>
        </w:rPr>
      </w:pPr>
    </w:p>
    <w:p w:rsidR="00EA6058" w:rsidRPr="00BD0A1D" w:rsidRDefault="00D7623D" w:rsidP="00EA6058">
      <w:pPr>
        <w:autoSpaceDE w:val="0"/>
        <w:autoSpaceDN w:val="0"/>
        <w:adjustRightInd w:val="0"/>
        <w:rPr>
          <w:lang w:val="es-ES"/>
        </w:rPr>
      </w:pPr>
      <w:r w:rsidRPr="00402D61">
        <w:t>Salvo que el Consejo acuerde otro extremo, la</w:t>
      </w:r>
      <w:r w:rsidR="00FE1638">
        <w:t xml:space="preserve"> </w:t>
      </w:r>
      <w:r w:rsidRPr="00402D61">
        <w:t>UPOV se regirá por la misma política de inversiones de la</w:t>
      </w:r>
      <w:r w:rsidR="00FE1638">
        <w:t xml:space="preserve"> </w:t>
      </w:r>
      <w:r w:rsidRPr="00402D61">
        <w:t>OMPI para el “efectivo para gastos de funcionamiento”.</w:t>
      </w:r>
      <w:r w:rsidR="00EA6058" w:rsidRPr="00BD0A1D">
        <w:rPr>
          <w:lang w:val="es-ES"/>
        </w:rPr>
        <w:t xml:space="preserve"> </w:t>
      </w:r>
      <w:r w:rsidR="003F30EA">
        <w:rPr>
          <w:lang w:val="es-ES"/>
        </w:rPr>
        <w:t xml:space="preserve"> </w:t>
      </w:r>
      <w:r w:rsidRPr="00402D61">
        <w:t xml:space="preserve">El </w:t>
      </w:r>
      <w:r w:rsidR="003F30EA" w:rsidRPr="00402D61">
        <w:t xml:space="preserve">Secretario General </w:t>
      </w:r>
      <w:r w:rsidRPr="00402D61">
        <w:t>podrá recabar el dictamen de la comisión asesora sobre inversiones de la</w:t>
      </w:r>
      <w:r w:rsidR="00FE1638">
        <w:t xml:space="preserve"> </w:t>
      </w:r>
      <w:r w:rsidRPr="00402D61">
        <w:t>OMPI para cuestiones relacionadas exclusivamente con la</w:t>
      </w:r>
      <w:r w:rsidR="00FE1638">
        <w:t xml:space="preserve"> </w:t>
      </w:r>
      <w:r w:rsidRPr="00402D61">
        <w:t>UPOV.</w:t>
      </w:r>
      <w:r w:rsidR="00EA6058" w:rsidRPr="00BD0A1D">
        <w:rPr>
          <w:lang w:val="es-ES"/>
        </w:rPr>
        <w:t xml:space="preserve"> </w:t>
      </w:r>
      <w:r w:rsidR="003F30EA">
        <w:rPr>
          <w:lang w:val="es-ES"/>
        </w:rPr>
        <w:t xml:space="preserve"> </w:t>
      </w:r>
      <w:r w:rsidRPr="00402D61">
        <w:t xml:space="preserve">El </w:t>
      </w:r>
      <w:r w:rsidR="003F30EA" w:rsidRPr="00402D61">
        <w:t xml:space="preserve">Secretario General </w:t>
      </w:r>
      <w:r w:rsidRPr="00402D61">
        <w:t>informará periódicamente al Comité Consultivo sobre toda inversión.</w:t>
      </w:r>
      <w:r w:rsidR="00EA6058" w:rsidRPr="00BD0A1D">
        <w:rPr>
          <w:lang w:val="es-ES"/>
        </w:rPr>
        <w:t xml:space="preserve"> </w:t>
      </w:r>
      <w:r w:rsidR="003F30EA">
        <w:rPr>
          <w:lang w:val="es-ES"/>
        </w:rPr>
        <w:t xml:space="preserve"> </w:t>
      </w:r>
      <w:r w:rsidR="00765A52" w:rsidRPr="00402D61">
        <w:t>La facultad de realizar inversiones y administrarlas con prudencia, de acuerdo con la política en materia de inversiones, se delega en el contralor de la</w:t>
      </w:r>
      <w:r w:rsidR="00FE1638">
        <w:t xml:space="preserve"> </w:t>
      </w:r>
      <w:r w:rsidR="00765A52" w:rsidRPr="00402D61">
        <w:t>OMPI.</w:t>
      </w:r>
      <w:r w:rsidR="00EA6058" w:rsidRPr="00BD0A1D">
        <w:rPr>
          <w:lang w:val="es-ES"/>
        </w:rPr>
        <w:t xml:space="preserve"> </w:t>
      </w:r>
      <w:r w:rsidR="003F30EA">
        <w:rPr>
          <w:lang w:val="es-ES"/>
        </w:rPr>
        <w:t xml:space="preserve"> </w:t>
      </w:r>
      <w:r w:rsidR="00765A52" w:rsidRPr="00402D61">
        <w:t>En</w:t>
      </w:r>
      <w:r w:rsidR="00FE1638">
        <w:t xml:space="preserve"> </w:t>
      </w:r>
      <w:r w:rsidR="00765A52" w:rsidRPr="00402D61">
        <w:t>2015, la política fue revisada exhaustivamente y aprobada por la quincuagésima quinta serie de reuniones de las Asambleas de los Estados miembros de la</w:t>
      </w:r>
      <w:r w:rsidR="00FE1638">
        <w:t xml:space="preserve"> </w:t>
      </w:r>
      <w:r w:rsidR="00765A52" w:rsidRPr="00402D61">
        <w:t>OMPI.</w:t>
      </w:r>
      <w:r w:rsidR="00EA6058" w:rsidRPr="00BD0A1D">
        <w:rPr>
          <w:lang w:val="es-ES"/>
        </w:rPr>
        <w:t xml:space="preserve"> </w:t>
      </w:r>
      <w:r w:rsidR="003F30EA">
        <w:rPr>
          <w:lang w:val="es-ES"/>
        </w:rPr>
        <w:t xml:space="preserve"> </w:t>
      </w:r>
      <w:r w:rsidR="00765A52" w:rsidRPr="00402D61">
        <w:t>En la quincuagésima séptima serie de reuniones, celebrada en</w:t>
      </w:r>
      <w:r w:rsidR="00FE1638">
        <w:t xml:space="preserve"> </w:t>
      </w:r>
      <w:r w:rsidR="00765A52" w:rsidRPr="00402D61">
        <w:t xml:space="preserve">2017, se aprobaron nuevas modificaciones de la </w:t>
      </w:r>
      <w:r w:rsidR="00402D61" w:rsidRPr="00402D61">
        <w:t xml:space="preserve">política </w:t>
      </w:r>
      <w:r w:rsidR="00765A52" w:rsidRPr="00402D61">
        <w:t>de inversiones.</w:t>
      </w:r>
      <w:r w:rsidR="00EA6058" w:rsidRPr="00BD0A1D">
        <w:rPr>
          <w:lang w:val="es-ES"/>
        </w:rPr>
        <w:t xml:space="preserve"> </w:t>
      </w:r>
      <w:r w:rsidR="003F30EA">
        <w:rPr>
          <w:lang w:val="es-ES"/>
        </w:rPr>
        <w:t xml:space="preserve"> </w:t>
      </w:r>
      <w:r w:rsidR="00765A52" w:rsidRPr="00402D61">
        <w:t>La política revisada contiene dos políticas de inversiones específicas, una referida al efectivo para gastos de funcionamiento y al efectivo básico, y otra relativa al efectivo estratégico.</w:t>
      </w:r>
      <w:r w:rsidR="00EA6058" w:rsidRPr="00BD0A1D">
        <w:rPr>
          <w:lang w:val="es-ES"/>
        </w:rPr>
        <w:t xml:space="preserve"> </w:t>
      </w:r>
      <w:r w:rsidR="003F30EA">
        <w:rPr>
          <w:lang w:val="es-ES"/>
        </w:rPr>
        <w:t xml:space="preserve"> </w:t>
      </w:r>
      <w:r w:rsidR="00765A52" w:rsidRPr="00402D61">
        <w:t>El efectivo para gastos de funcionamiento es el efectivo que necesita la</w:t>
      </w:r>
      <w:r w:rsidR="00FE1638">
        <w:t xml:space="preserve"> </w:t>
      </w:r>
      <w:r w:rsidR="00765A52" w:rsidRPr="00402D61">
        <w:t>UPOV para cubrir las necesidades de pagos diarios.</w:t>
      </w:r>
      <w:r w:rsidR="00EA6058" w:rsidRPr="00BD0A1D">
        <w:rPr>
          <w:lang w:val="es-ES"/>
        </w:rPr>
        <w:t xml:space="preserve"> </w:t>
      </w:r>
      <w:r w:rsidR="003F30EA">
        <w:rPr>
          <w:lang w:val="es-ES"/>
        </w:rPr>
        <w:t xml:space="preserve"> </w:t>
      </w:r>
      <w:r w:rsidR="00765A52" w:rsidRPr="00402D61">
        <w:t>El efectivo básico es el saldo de efectivo remanente una vez deducidos el efectivo para gastos de funcionamiento y el efectivo estratégico.</w:t>
      </w:r>
      <w:r w:rsidR="00EA6058" w:rsidRPr="00BD0A1D">
        <w:rPr>
          <w:lang w:val="es-ES"/>
        </w:rPr>
        <w:t xml:space="preserve"> </w:t>
      </w:r>
      <w:r w:rsidR="003F30EA">
        <w:rPr>
          <w:lang w:val="es-ES"/>
        </w:rPr>
        <w:t xml:space="preserve"> </w:t>
      </w:r>
      <w:r w:rsidR="00765A52" w:rsidRPr="00402D61">
        <w:t>El efectivo estratégico es el que ya se ha reservado para financiar los pasivos por las prestaciones a los empleados tras la separación del servicio, entre ellas el seguro médico tras la separación del servicio.</w:t>
      </w:r>
    </w:p>
    <w:p w:rsidR="00EA6058" w:rsidRPr="00BD0A1D" w:rsidRDefault="00EA6058" w:rsidP="00EA6058">
      <w:pPr>
        <w:autoSpaceDE w:val="0"/>
        <w:autoSpaceDN w:val="0"/>
        <w:adjustRightInd w:val="0"/>
        <w:rPr>
          <w:lang w:val="es-ES"/>
        </w:rPr>
      </w:pPr>
    </w:p>
    <w:p w:rsidR="00EA6058" w:rsidRPr="00BD0A1D" w:rsidRDefault="00765A52" w:rsidP="00EA6058">
      <w:pPr>
        <w:autoSpaceDE w:val="0"/>
        <w:autoSpaceDN w:val="0"/>
        <w:adjustRightInd w:val="0"/>
        <w:rPr>
          <w:b/>
          <w:lang w:val="es-ES" w:eastAsia="en-GB"/>
        </w:rPr>
      </w:pPr>
      <w:r w:rsidRPr="00402D61">
        <w:rPr>
          <w:b/>
          <w:lang w:eastAsia="en-GB"/>
        </w:rPr>
        <w:t>Valores razonables</w:t>
      </w:r>
    </w:p>
    <w:p w:rsidR="00EA6058" w:rsidRPr="00BD0A1D" w:rsidRDefault="00EA6058" w:rsidP="00EA6058">
      <w:pPr>
        <w:autoSpaceDE w:val="0"/>
        <w:autoSpaceDN w:val="0"/>
        <w:adjustRightInd w:val="0"/>
        <w:rPr>
          <w:lang w:val="es-ES" w:eastAsia="en-GB"/>
        </w:rPr>
      </w:pPr>
    </w:p>
    <w:p w:rsidR="00EA6058" w:rsidRPr="00BD0A1D" w:rsidRDefault="00765A52" w:rsidP="00EA6058">
      <w:pPr>
        <w:autoSpaceDE w:val="0"/>
        <w:autoSpaceDN w:val="0"/>
        <w:adjustRightInd w:val="0"/>
        <w:rPr>
          <w:lang w:val="es-ES" w:eastAsia="en-GB"/>
        </w:rPr>
      </w:pPr>
      <w:r w:rsidRPr="00402D61">
        <w:rPr>
          <w:lang w:eastAsia="en-GB"/>
        </w:rPr>
        <w:t>A continuación se ofrece una comparación por clases del valor contable y el valor razonable de los instrumentos financieros de la</w:t>
      </w:r>
      <w:r w:rsidR="00FE1638">
        <w:rPr>
          <w:lang w:eastAsia="en-GB"/>
        </w:rPr>
        <w:t xml:space="preserve"> </w:t>
      </w:r>
      <w:r w:rsidRPr="00402D61">
        <w:rPr>
          <w:lang w:eastAsia="en-GB"/>
        </w:rPr>
        <w:t>UPOV.</w:t>
      </w:r>
    </w:p>
    <w:p w:rsidR="00EA6058" w:rsidRPr="00BD0A1D" w:rsidRDefault="00EA6058" w:rsidP="00EA6058">
      <w:pPr>
        <w:autoSpaceDE w:val="0"/>
        <w:autoSpaceDN w:val="0"/>
        <w:adjustRightInd w:val="0"/>
        <w:rPr>
          <w:lang w:val="es-ES" w:eastAsia="en-GB"/>
        </w:rPr>
      </w:pPr>
    </w:p>
    <w:p w:rsidR="00EA6058" w:rsidRPr="00667F02" w:rsidRDefault="00243635" w:rsidP="00EA6058">
      <w:pPr>
        <w:autoSpaceDE w:val="0"/>
        <w:autoSpaceDN w:val="0"/>
        <w:adjustRightInd w:val="0"/>
        <w:jc w:val="center"/>
        <w:rPr>
          <w:lang w:val="en-GB" w:eastAsia="en-GB"/>
        </w:rPr>
      </w:pPr>
      <w:r w:rsidRPr="00243635">
        <w:rPr>
          <w:noProof/>
          <w:lang w:val="en-US"/>
        </w:rPr>
        <w:lastRenderedPageBreak/>
        <w:drawing>
          <wp:inline distT="0" distB="0" distL="0" distR="0">
            <wp:extent cx="5585460" cy="2019300"/>
            <wp:effectExtent l="19050" t="0" r="0" b="0"/>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5585460" cy="2019300"/>
                    </a:xfrm>
                    <a:prstGeom prst="rect">
                      <a:avLst/>
                    </a:prstGeom>
                    <a:noFill/>
                    <a:ln w="9525">
                      <a:noFill/>
                      <a:miter lim="800000"/>
                      <a:headEnd/>
                      <a:tailEnd/>
                    </a:ln>
                  </pic:spPr>
                </pic:pic>
              </a:graphicData>
            </a:graphic>
          </wp:inline>
        </w:drawing>
      </w:r>
    </w:p>
    <w:p w:rsidR="00EA6058" w:rsidRDefault="00243635" w:rsidP="00EA6058">
      <w:pPr>
        <w:autoSpaceDE w:val="0"/>
        <w:autoSpaceDN w:val="0"/>
        <w:adjustRightInd w:val="0"/>
        <w:jc w:val="center"/>
        <w:rPr>
          <w:lang w:val="en-GB" w:eastAsia="en-GB"/>
        </w:rPr>
      </w:pPr>
      <w:r w:rsidRPr="00243635">
        <w:rPr>
          <w:noProof/>
          <w:lang w:val="en-US"/>
        </w:rPr>
        <w:drawing>
          <wp:inline distT="0" distB="0" distL="0" distR="0">
            <wp:extent cx="5585460" cy="218694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cstate="print"/>
                    <a:srcRect/>
                    <a:stretch>
                      <a:fillRect/>
                    </a:stretch>
                  </pic:blipFill>
                  <pic:spPr bwMode="auto">
                    <a:xfrm>
                      <a:off x="0" y="0"/>
                      <a:ext cx="5585460" cy="2186940"/>
                    </a:xfrm>
                    <a:prstGeom prst="rect">
                      <a:avLst/>
                    </a:prstGeom>
                    <a:noFill/>
                    <a:ln w="9525">
                      <a:noFill/>
                      <a:miter lim="800000"/>
                      <a:headEnd/>
                      <a:tailEnd/>
                    </a:ln>
                  </pic:spPr>
                </pic:pic>
              </a:graphicData>
            </a:graphic>
          </wp:inline>
        </w:drawing>
      </w:r>
    </w:p>
    <w:p w:rsidR="00EA6058" w:rsidRPr="00A34F3A" w:rsidRDefault="00EA6058" w:rsidP="00EA6058">
      <w:pPr>
        <w:autoSpaceDE w:val="0"/>
        <w:autoSpaceDN w:val="0"/>
        <w:adjustRightInd w:val="0"/>
        <w:rPr>
          <w:lang w:val="en-GB" w:eastAsia="en-GB"/>
        </w:rPr>
      </w:pPr>
    </w:p>
    <w:p w:rsidR="00EA6058" w:rsidRPr="00BD0A1D" w:rsidRDefault="00D6221B" w:rsidP="00EA6058">
      <w:pPr>
        <w:autoSpaceDE w:val="0"/>
        <w:autoSpaceDN w:val="0"/>
        <w:adjustRightInd w:val="0"/>
        <w:rPr>
          <w:lang w:val="es-ES" w:eastAsia="en-GB"/>
        </w:rPr>
      </w:pPr>
      <w:r w:rsidRPr="00402D61">
        <w:rPr>
          <w:lang w:eastAsia="en-GB"/>
        </w:rPr>
        <w:t>El valor razonable de los activos y los pasivos financieros es el importe al que podría intercambiarse el instrumento en una transacción actual entre dos partes interesadas que no constituya una venta forzada o de liquidación.</w:t>
      </w:r>
      <w:r w:rsidR="00EA6058" w:rsidRPr="00BD0A1D">
        <w:rPr>
          <w:lang w:val="es-ES" w:eastAsia="en-GB"/>
        </w:rPr>
        <w:t xml:space="preserve"> </w:t>
      </w:r>
      <w:r w:rsidR="00ED5948">
        <w:rPr>
          <w:lang w:val="es-ES" w:eastAsia="en-GB"/>
        </w:rPr>
        <w:t xml:space="preserve"> </w:t>
      </w:r>
      <w:r w:rsidRPr="00402D61">
        <w:rPr>
          <w:lang w:eastAsia="en-GB"/>
        </w:rPr>
        <w:t>Para calcular el valor razonable se han empleado los siguientes métodos y supuestos:</w:t>
      </w:r>
    </w:p>
    <w:p w:rsidR="00EA6058" w:rsidRPr="00BD0A1D" w:rsidRDefault="00EA6058" w:rsidP="00EA6058">
      <w:pPr>
        <w:autoSpaceDE w:val="0"/>
        <w:autoSpaceDN w:val="0"/>
        <w:adjustRightInd w:val="0"/>
        <w:rPr>
          <w:lang w:val="es-ES" w:eastAsia="en-GB"/>
        </w:rPr>
      </w:pPr>
    </w:p>
    <w:p w:rsidR="00EA6058" w:rsidRPr="00BD0A1D" w:rsidRDefault="00D6221B" w:rsidP="00EA6058">
      <w:pPr>
        <w:numPr>
          <w:ilvl w:val="0"/>
          <w:numId w:val="24"/>
        </w:numPr>
        <w:autoSpaceDE w:val="0"/>
        <w:autoSpaceDN w:val="0"/>
        <w:adjustRightInd w:val="0"/>
        <w:rPr>
          <w:lang w:val="es-ES" w:eastAsia="en-GB"/>
        </w:rPr>
      </w:pPr>
      <w:r w:rsidRPr="00402D61">
        <w:rPr>
          <w:lang w:eastAsia="en-GB"/>
        </w:rPr>
        <w:t>En el caso del efectivo y los depósitos a corto plazo, las cuentas por cobrar procedentes de transacciones con contraprestación y las cuentas por pagar, el valor razonable es muy similar al valor contable debido al corto plazo de vencimiento de estos instrumentos.</w:t>
      </w:r>
    </w:p>
    <w:p w:rsidR="00EA6058" w:rsidRPr="00BD0A1D" w:rsidRDefault="00D6221B" w:rsidP="004E4C25">
      <w:pPr>
        <w:numPr>
          <w:ilvl w:val="0"/>
          <w:numId w:val="24"/>
        </w:numPr>
        <w:rPr>
          <w:b/>
          <w:vanish/>
          <w:lang w:val="es-ES"/>
        </w:rPr>
      </w:pPr>
      <w:r w:rsidRPr="00402D61">
        <w:rPr>
          <w:lang w:eastAsia="en-GB"/>
        </w:rPr>
        <w:t>La</w:t>
      </w:r>
      <w:r w:rsidR="00FE1638">
        <w:rPr>
          <w:lang w:eastAsia="en-GB"/>
        </w:rPr>
        <w:t xml:space="preserve"> </w:t>
      </w:r>
      <w:r w:rsidRPr="00402D61">
        <w:rPr>
          <w:lang w:eastAsia="en-GB"/>
        </w:rPr>
        <w:t>UPOV evalúa las cuentas por cobrar procedentes de transacciones sin contraprestación sobre la base de parámetros como los tipos de interés y las características de riesgo.</w:t>
      </w:r>
      <w:r w:rsidR="00EA6058" w:rsidRPr="00BD0A1D">
        <w:rPr>
          <w:lang w:val="es-ES" w:eastAsia="en-GB"/>
        </w:rPr>
        <w:t xml:space="preserve"> </w:t>
      </w:r>
      <w:r w:rsidR="00ED5948">
        <w:rPr>
          <w:lang w:val="es-ES" w:eastAsia="en-GB"/>
        </w:rPr>
        <w:t xml:space="preserve"> </w:t>
      </w:r>
      <w:r w:rsidRPr="00402D61">
        <w:t>Cuando procede, se destina una asignación para compensar el valor de las cuentas por cobrar correspondientes a las contribuciones.</w:t>
      </w:r>
      <w:r w:rsidR="00EA6058" w:rsidRPr="00BD0A1D">
        <w:rPr>
          <w:lang w:val="es-ES"/>
        </w:rPr>
        <w:t xml:space="preserve"> </w:t>
      </w:r>
      <w:r w:rsidR="00ED5948">
        <w:rPr>
          <w:lang w:val="es-ES"/>
        </w:rPr>
        <w:t xml:space="preserve"> </w:t>
      </w:r>
      <w:r w:rsidRPr="00402D61">
        <w:t xml:space="preserve">Dicha asignación cubre los importes de </w:t>
      </w:r>
      <w:r w:rsidR="004E4C25" w:rsidRPr="00402D61">
        <w:t xml:space="preserve">los </w:t>
      </w:r>
      <w:r w:rsidRPr="00402D61">
        <w:t xml:space="preserve">atrasos </w:t>
      </w:r>
      <w:r w:rsidR="00160026" w:rsidRPr="00402D61">
        <w:t>en las contribuciones que datan de</w:t>
      </w:r>
      <w:r w:rsidRPr="00402D61">
        <w:t xml:space="preserve"> ejercicios anteriores al último bienio.</w:t>
      </w:r>
    </w:p>
    <w:p w:rsidR="004E4C25" w:rsidRPr="00BD0A1D" w:rsidRDefault="004E4C25" w:rsidP="004E4C25">
      <w:pPr>
        <w:autoSpaceDE w:val="0"/>
        <w:autoSpaceDN w:val="0"/>
        <w:adjustRightInd w:val="0"/>
        <w:rPr>
          <w:b/>
          <w:lang w:val="es-ES"/>
        </w:rPr>
      </w:pPr>
    </w:p>
    <w:p w:rsidR="00EA6058" w:rsidRPr="00BD0A1D" w:rsidRDefault="00D6221B" w:rsidP="00EA6058">
      <w:pPr>
        <w:rPr>
          <w:b/>
          <w:lang w:val="es-ES"/>
        </w:rPr>
      </w:pPr>
      <w:r w:rsidRPr="00402D61">
        <w:rPr>
          <w:b/>
        </w:rPr>
        <w:t>Riesgo de crédito</w:t>
      </w:r>
    </w:p>
    <w:p w:rsidR="00EA6058" w:rsidRPr="00BD0A1D" w:rsidRDefault="00EA6058" w:rsidP="00EA6058">
      <w:pPr>
        <w:rPr>
          <w:b/>
          <w:lang w:val="es-ES"/>
        </w:rPr>
      </w:pPr>
    </w:p>
    <w:p w:rsidR="00EA6058" w:rsidRPr="00BD0A1D" w:rsidRDefault="00D6221B" w:rsidP="00EA6058">
      <w:pPr>
        <w:autoSpaceDE w:val="0"/>
        <w:autoSpaceDN w:val="0"/>
        <w:adjustRightInd w:val="0"/>
        <w:rPr>
          <w:lang w:val="es-ES" w:eastAsia="en-GB"/>
        </w:rPr>
      </w:pPr>
      <w:r w:rsidRPr="00402D61">
        <w:rPr>
          <w:lang w:eastAsia="en-GB"/>
        </w:rPr>
        <w:t>El riesgo de crédito es el riesgo de que la</w:t>
      </w:r>
      <w:r w:rsidR="00FE1638">
        <w:rPr>
          <w:lang w:eastAsia="en-GB"/>
        </w:rPr>
        <w:t xml:space="preserve"> </w:t>
      </w:r>
      <w:r w:rsidRPr="00402D61">
        <w:rPr>
          <w:lang w:eastAsia="en-GB"/>
        </w:rPr>
        <w:t>UPOV incurra en pérdidas financieras si las contrapartes de los instrumentos financieros incumplen sus obligaciones contractuales, y se deriva principalmente de las cuentas por cobrar, así como del efectivo y los equivalentes de efectivo.</w:t>
      </w:r>
      <w:r w:rsidR="00EA6058" w:rsidRPr="00BD0A1D">
        <w:rPr>
          <w:lang w:val="es-ES" w:eastAsia="en-GB"/>
        </w:rPr>
        <w:t xml:space="preserve"> </w:t>
      </w:r>
      <w:r w:rsidR="00ED5948">
        <w:rPr>
          <w:lang w:val="es-ES" w:eastAsia="en-GB"/>
        </w:rPr>
        <w:t xml:space="preserve"> </w:t>
      </w:r>
      <w:r w:rsidRPr="00402D61">
        <w:rPr>
          <w:lang w:eastAsia="en-GB"/>
        </w:rPr>
        <w:t>El valor contable de los activos financieros constituye la máxima exposición crediticia.</w:t>
      </w:r>
      <w:r w:rsidR="00EA6058" w:rsidRPr="00BD0A1D">
        <w:rPr>
          <w:lang w:val="es-ES" w:eastAsia="en-GB"/>
        </w:rPr>
        <w:t xml:space="preserve"> </w:t>
      </w:r>
      <w:r w:rsidR="00ED5948">
        <w:rPr>
          <w:lang w:val="es-ES" w:eastAsia="en-GB"/>
        </w:rPr>
        <w:t xml:space="preserve"> </w:t>
      </w:r>
      <w:r w:rsidRPr="00402D61">
        <w:rPr>
          <w:lang w:eastAsia="en-GB"/>
        </w:rPr>
        <w:t>A continuación se indica la exposición máxima al riesgo de crédito al</w:t>
      </w:r>
      <w:r w:rsidR="00FE1638">
        <w:rPr>
          <w:lang w:eastAsia="en-GB"/>
        </w:rPr>
        <w:t xml:space="preserve"> </w:t>
      </w:r>
      <w:r w:rsidRPr="00402D61">
        <w:rPr>
          <w:lang w:eastAsia="en-GB"/>
        </w:rPr>
        <w:t>31 de diciembre de</w:t>
      </w:r>
      <w:r w:rsidR="00FE1638">
        <w:rPr>
          <w:lang w:eastAsia="en-GB"/>
        </w:rPr>
        <w:t xml:space="preserve"> </w:t>
      </w:r>
      <w:r w:rsidRPr="00402D61">
        <w:rPr>
          <w:lang w:eastAsia="en-GB"/>
        </w:rPr>
        <w:t>2018:</w:t>
      </w:r>
    </w:p>
    <w:p w:rsidR="00EA6058" w:rsidRPr="00BD0A1D" w:rsidRDefault="00EA6058" w:rsidP="00EA6058">
      <w:pPr>
        <w:autoSpaceDE w:val="0"/>
        <w:autoSpaceDN w:val="0"/>
        <w:adjustRightInd w:val="0"/>
        <w:rPr>
          <w:lang w:val="es-ES" w:eastAsia="en-GB"/>
        </w:rPr>
      </w:pPr>
    </w:p>
    <w:p w:rsidR="00EA6058" w:rsidRPr="006523F8" w:rsidRDefault="00AF423C" w:rsidP="00EA6058">
      <w:pPr>
        <w:autoSpaceDE w:val="0"/>
        <w:autoSpaceDN w:val="0"/>
        <w:adjustRightInd w:val="0"/>
        <w:jc w:val="center"/>
        <w:rPr>
          <w:lang w:val="en-GB" w:eastAsia="en-GB"/>
        </w:rPr>
      </w:pPr>
      <w:r w:rsidRPr="00AF423C">
        <w:rPr>
          <w:noProof/>
          <w:lang w:val="en-US"/>
        </w:rPr>
        <w:drawing>
          <wp:inline distT="0" distB="0" distL="0" distR="0">
            <wp:extent cx="5585460" cy="131826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0" cstate="print"/>
                    <a:srcRect/>
                    <a:stretch>
                      <a:fillRect/>
                    </a:stretch>
                  </pic:blipFill>
                  <pic:spPr bwMode="auto">
                    <a:xfrm>
                      <a:off x="0" y="0"/>
                      <a:ext cx="5585460" cy="1318260"/>
                    </a:xfrm>
                    <a:prstGeom prst="rect">
                      <a:avLst/>
                    </a:prstGeom>
                    <a:noFill/>
                    <a:ln w="9525">
                      <a:noFill/>
                      <a:miter lim="800000"/>
                      <a:headEnd/>
                      <a:tailEnd/>
                    </a:ln>
                  </pic:spPr>
                </pic:pic>
              </a:graphicData>
            </a:graphic>
          </wp:inline>
        </w:drawing>
      </w:r>
    </w:p>
    <w:p w:rsidR="00EA6058" w:rsidRPr="00A34F3A" w:rsidRDefault="00EA6058" w:rsidP="00EA6058"/>
    <w:p w:rsidR="00EA6058" w:rsidRPr="00B24DA2" w:rsidRDefault="00D6221B" w:rsidP="00EA6058">
      <w:pPr>
        <w:rPr>
          <w:lang w:val="es-ES"/>
        </w:rPr>
      </w:pPr>
      <w:r w:rsidRPr="00402D61">
        <w:lastRenderedPageBreak/>
        <w:t>Las cuentas por cobrar de la</w:t>
      </w:r>
      <w:r w:rsidR="00FE1638">
        <w:t xml:space="preserve"> </w:t>
      </w:r>
      <w:r w:rsidRPr="00402D61">
        <w:t>UPOV corresponden casi exclusivamente a los miembros de la</w:t>
      </w:r>
      <w:r w:rsidR="00FE1638">
        <w:t xml:space="preserve"> </w:t>
      </w:r>
      <w:r w:rsidRPr="00402D61">
        <w:t>Unión, que representan gobiernos soberanos y organizaciones intergubernamentales pertinentes, de modo que el riesgo relativo a los créditos se considera menor.</w:t>
      </w:r>
    </w:p>
    <w:p w:rsidR="00EA6058" w:rsidRPr="00B24DA2" w:rsidRDefault="00EA6058" w:rsidP="00EA6058">
      <w:pPr>
        <w:rPr>
          <w:lang w:val="es-ES"/>
        </w:rPr>
      </w:pPr>
    </w:p>
    <w:p w:rsidR="00EA6058" w:rsidRPr="00BD0A1D" w:rsidRDefault="00D6221B" w:rsidP="00EA6058">
      <w:pPr>
        <w:rPr>
          <w:lang w:val="es-ES"/>
        </w:rPr>
      </w:pPr>
      <w:r w:rsidRPr="00402D61">
        <w:t>El efectivo y los equivalentes de efectivo solo pueden depositarse en instituciones con una calificación crediticia a corto plazo mínima de</w:t>
      </w:r>
      <w:r w:rsidR="00FE1638">
        <w:t xml:space="preserve"> </w:t>
      </w:r>
      <w:r w:rsidRPr="00402D61">
        <w:t>A-2/P-2 o una calificación crediticia a largo plazo mínima de</w:t>
      </w:r>
      <w:r w:rsidR="00FE1638">
        <w:t xml:space="preserve"> </w:t>
      </w:r>
      <w:r w:rsidRPr="00402D61">
        <w:t>A/A2.</w:t>
      </w:r>
      <w:r w:rsidR="00EA6058" w:rsidRPr="00B24DA2">
        <w:rPr>
          <w:lang w:val="es-ES"/>
        </w:rPr>
        <w:t xml:space="preserve"> </w:t>
      </w:r>
      <w:r w:rsidRPr="00402D61">
        <w:t>A</w:t>
      </w:r>
      <w:r w:rsidR="00ED5948">
        <w:t> </w:t>
      </w:r>
      <w:r w:rsidRPr="00402D61">
        <w:t>continuación se indican las calificaciones crediticias correspondientes al efectivo y los equivalentes de efectivo al</w:t>
      </w:r>
      <w:r w:rsidR="00FE1638">
        <w:t xml:space="preserve"> </w:t>
      </w:r>
      <w:r w:rsidRPr="00402D61">
        <w:t>31 de diciembre de</w:t>
      </w:r>
      <w:r w:rsidR="00FE1638">
        <w:t xml:space="preserve"> </w:t>
      </w:r>
      <w:r w:rsidRPr="00402D61">
        <w:t>2018:</w:t>
      </w:r>
    </w:p>
    <w:p w:rsidR="00EA6058" w:rsidRPr="00BD0A1D" w:rsidRDefault="00EA6058" w:rsidP="00EA6058">
      <w:pPr>
        <w:jc w:val="center"/>
        <w:rPr>
          <w:lang w:val="es-ES"/>
        </w:rPr>
      </w:pPr>
    </w:p>
    <w:p w:rsidR="00EA6058" w:rsidRPr="00A34F3A" w:rsidRDefault="00D7712B" w:rsidP="00EA6058">
      <w:pPr>
        <w:jc w:val="center"/>
      </w:pPr>
      <w:r w:rsidRPr="00D7712B">
        <w:rPr>
          <w:noProof/>
          <w:lang w:val="en-US"/>
        </w:rPr>
        <w:drawing>
          <wp:inline distT="0" distB="0" distL="0" distR="0">
            <wp:extent cx="4518660" cy="134112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srcRect/>
                    <a:stretch>
                      <a:fillRect/>
                    </a:stretch>
                  </pic:blipFill>
                  <pic:spPr bwMode="auto">
                    <a:xfrm>
                      <a:off x="0" y="0"/>
                      <a:ext cx="4518660" cy="1341120"/>
                    </a:xfrm>
                    <a:prstGeom prst="rect">
                      <a:avLst/>
                    </a:prstGeom>
                    <a:noFill/>
                    <a:ln w="9525">
                      <a:noFill/>
                      <a:miter lim="800000"/>
                      <a:headEnd/>
                      <a:tailEnd/>
                    </a:ln>
                  </pic:spPr>
                </pic:pic>
              </a:graphicData>
            </a:graphic>
          </wp:inline>
        </w:drawing>
      </w:r>
    </w:p>
    <w:p w:rsidR="00EA6058" w:rsidRDefault="00EA6058" w:rsidP="00EA6058">
      <w:pPr>
        <w:rPr>
          <w:b/>
        </w:rPr>
      </w:pPr>
    </w:p>
    <w:p w:rsidR="00EA6058" w:rsidRPr="00B24DA2" w:rsidRDefault="00103EA1" w:rsidP="00EA6058">
      <w:pPr>
        <w:rPr>
          <w:b/>
          <w:lang w:val="es-ES"/>
        </w:rPr>
      </w:pPr>
      <w:r w:rsidRPr="00402D61">
        <w:rPr>
          <w:b/>
        </w:rPr>
        <w:t>Riesgo de liquidez</w:t>
      </w:r>
    </w:p>
    <w:p w:rsidR="00EA6058" w:rsidRPr="00B24DA2" w:rsidRDefault="00EA6058" w:rsidP="00EA6058">
      <w:pPr>
        <w:rPr>
          <w:b/>
          <w:lang w:val="es-ES"/>
        </w:rPr>
      </w:pPr>
    </w:p>
    <w:p w:rsidR="00EA6058" w:rsidRPr="00BD0A1D" w:rsidRDefault="00801793" w:rsidP="00EA6058">
      <w:pPr>
        <w:autoSpaceDE w:val="0"/>
        <w:autoSpaceDN w:val="0"/>
        <w:adjustRightInd w:val="0"/>
        <w:rPr>
          <w:lang w:val="es-ES"/>
        </w:rPr>
      </w:pPr>
      <w:r w:rsidRPr="00402D61">
        <w:rPr>
          <w:lang w:eastAsia="en-GB"/>
        </w:rPr>
        <w:t>El riesgo de liquidez es el riesgo de que la</w:t>
      </w:r>
      <w:r w:rsidR="00FE1638">
        <w:rPr>
          <w:lang w:eastAsia="en-GB"/>
        </w:rPr>
        <w:t xml:space="preserve"> </w:t>
      </w:r>
      <w:r w:rsidRPr="00402D61">
        <w:rPr>
          <w:lang w:eastAsia="en-GB"/>
        </w:rPr>
        <w:t>UPOV no pueda hacer frente a sus obligaciones financieras a su vencimiento.</w:t>
      </w:r>
      <w:r w:rsidR="00EA6058" w:rsidRPr="00B24DA2">
        <w:rPr>
          <w:lang w:val="es-ES" w:eastAsia="en-GB"/>
        </w:rPr>
        <w:t xml:space="preserve"> </w:t>
      </w:r>
      <w:r w:rsidR="00445B14">
        <w:rPr>
          <w:lang w:val="es-ES" w:eastAsia="en-GB"/>
        </w:rPr>
        <w:t xml:space="preserve"> </w:t>
      </w:r>
      <w:r w:rsidRPr="00402D61">
        <w:t>La</w:t>
      </w:r>
      <w:r w:rsidR="00FE1638">
        <w:t xml:space="preserve"> </w:t>
      </w:r>
      <w:r w:rsidRPr="00402D61">
        <w:t>UPOV no está expuesta a grandes riesgos de liquidez, ya que dispone de importantes recursos en efectivo sin restricciones.</w:t>
      </w:r>
      <w:r w:rsidR="00EA6058" w:rsidRPr="00BD0A1D">
        <w:rPr>
          <w:lang w:val="es-ES"/>
        </w:rPr>
        <w:t xml:space="preserve"> </w:t>
      </w:r>
      <w:r w:rsidR="00445B14">
        <w:rPr>
          <w:lang w:val="es-ES"/>
        </w:rPr>
        <w:t xml:space="preserve"> </w:t>
      </w:r>
      <w:r w:rsidRPr="00402D61">
        <w:t>La política de inversiones exige que el efectivo para gastos de funcionamiento y el efectivo básico se inviertan de modo que se garantice la liquidez necesaria para hacer frente a las exigencias de efectivo de la</w:t>
      </w:r>
      <w:r w:rsidR="00FE1638">
        <w:t xml:space="preserve"> </w:t>
      </w:r>
      <w:r w:rsidRPr="00402D61">
        <w:t>UPOV.</w:t>
      </w:r>
      <w:r w:rsidR="00EA6058" w:rsidRPr="00BD0A1D">
        <w:rPr>
          <w:lang w:val="es-ES"/>
        </w:rPr>
        <w:t xml:space="preserve"> </w:t>
      </w:r>
      <w:r w:rsidR="00445B14">
        <w:rPr>
          <w:lang w:val="es-ES"/>
        </w:rPr>
        <w:t xml:space="preserve"> </w:t>
      </w:r>
      <w:r w:rsidRPr="00402D61">
        <w:t>Los saldos de efectivo para gastos de funcionamiento se invierten a corto plazo (vencimientos que no excedan los</w:t>
      </w:r>
      <w:r w:rsidR="00FE1638">
        <w:t xml:space="preserve"> </w:t>
      </w:r>
      <w:r w:rsidRPr="00402D61">
        <w:t>12 meses) en activos de bajo riesgo que puedan liquidarse fácilmente a bajo costo o sin costo.</w:t>
      </w:r>
      <w:r w:rsidR="00EA6058" w:rsidRPr="00BD0A1D">
        <w:rPr>
          <w:lang w:val="es-ES"/>
        </w:rPr>
        <w:t xml:space="preserve"> </w:t>
      </w:r>
      <w:r w:rsidR="00445B14">
        <w:rPr>
          <w:lang w:val="es-ES"/>
        </w:rPr>
        <w:t xml:space="preserve"> </w:t>
      </w:r>
      <w:r w:rsidRPr="00402D61">
        <w:t>El efectivo básico se invierte a medio plazo (vencimientos superiores a</w:t>
      </w:r>
      <w:r w:rsidR="00FE1638">
        <w:t xml:space="preserve"> </w:t>
      </w:r>
      <w:r w:rsidRPr="00402D61">
        <w:t>12 meses), si es posible de manera que se pueda tener ocasionalmente acceso a una parte de los fondos, lo que facilita la realización de grandes pagos programados.</w:t>
      </w:r>
      <w:r w:rsidR="00EA6058" w:rsidRPr="00BD0A1D">
        <w:rPr>
          <w:lang w:val="es-ES"/>
        </w:rPr>
        <w:t xml:space="preserve"> </w:t>
      </w:r>
      <w:r w:rsidR="00445B14">
        <w:rPr>
          <w:lang w:val="es-ES"/>
        </w:rPr>
        <w:t xml:space="preserve"> </w:t>
      </w:r>
      <w:r w:rsidRPr="00402D61">
        <w:t>El efectivo estratégico se invierte a largo plazo, y en la actualidad no está sujeto a exigencias de liquidez a corto o medio plazo.</w:t>
      </w:r>
    </w:p>
    <w:p w:rsidR="00EA6058" w:rsidRPr="00BD0A1D" w:rsidRDefault="00EA6058" w:rsidP="00EA6058">
      <w:pPr>
        <w:autoSpaceDE w:val="0"/>
        <w:autoSpaceDN w:val="0"/>
        <w:adjustRightInd w:val="0"/>
        <w:rPr>
          <w:lang w:val="es-ES" w:eastAsia="en-GB"/>
        </w:rPr>
      </w:pPr>
    </w:p>
    <w:p w:rsidR="00EA6058" w:rsidRPr="00BD0A1D" w:rsidRDefault="00801793" w:rsidP="00EA6058">
      <w:pPr>
        <w:rPr>
          <w:b/>
          <w:lang w:val="es-ES"/>
        </w:rPr>
      </w:pPr>
      <w:r w:rsidRPr="00402D61">
        <w:rPr>
          <w:b/>
        </w:rPr>
        <w:t>Riesgo cambiario</w:t>
      </w:r>
    </w:p>
    <w:p w:rsidR="00EA6058" w:rsidRPr="00BD0A1D" w:rsidRDefault="00EA6058" w:rsidP="00EA6058">
      <w:pPr>
        <w:autoSpaceDE w:val="0"/>
        <w:autoSpaceDN w:val="0"/>
        <w:adjustRightInd w:val="0"/>
        <w:rPr>
          <w:rFonts w:ascii="EYInterstate-Light" w:hAnsi="EYInterstate-Light" w:cs="EYInterstate-Light"/>
          <w:lang w:val="es-ES" w:eastAsia="en-GB"/>
        </w:rPr>
      </w:pPr>
    </w:p>
    <w:p w:rsidR="00EA6058" w:rsidRPr="00BD0A1D" w:rsidRDefault="00801793" w:rsidP="00EA6058">
      <w:pPr>
        <w:pStyle w:val="Style3"/>
        <w:spacing w:after="0"/>
        <w:rPr>
          <w:rFonts w:cs="Arial"/>
          <w:sz w:val="20"/>
          <w:lang w:val="es-ES"/>
        </w:rPr>
      </w:pPr>
      <w:r w:rsidRPr="00402D61">
        <w:rPr>
          <w:rFonts w:cs="Arial"/>
          <w:sz w:val="20"/>
        </w:rPr>
        <w:t>La</w:t>
      </w:r>
      <w:r w:rsidR="00FE1638">
        <w:rPr>
          <w:rFonts w:cs="Arial"/>
          <w:sz w:val="20"/>
        </w:rPr>
        <w:t xml:space="preserve"> </w:t>
      </w:r>
      <w:r w:rsidRPr="00402D61">
        <w:rPr>
          <w:rFonts w:cs="Arial"/>
          <w:sz w:val="20"/>
        </w:rPr>
        <w:t>UPOV puede recibir ingresos procedentes de fondos extrapresupuestarios (fondos fiduciarios) en divisas e incurre en gastos en divisas distintas de su moneda funcional (el franco suizo), por lo que está expuesta al riesgo cambiario derivado de las fluctuaciones de los tipos de cambio.</w:t>
      </w:r>
      <w:r w:rsidR="00680842" w:rsidRPr="00BD0A1D">
        <w:rPr>
          <w:rFonts w:cs="Arial"/>
          <w:sz w:val="20"/>
          <w:lang w:val="es-ES"/>
        </w:rPr>
        <w:t xml:space="preserve"> </w:t>
      </w:r>
      <w:r w:rsidR="00445B14">
        <w:rPr>
          <w:rFonts w:cs="Arial"/>
          <w:sz w:val="20"/>
          <w:lang w:val="es-ES"/>
        </w:rPr>
        <w:t xml:space="preserve"> </w:t>
      </w:r>
      <w:r w:rsidRPr="00402D61">
        <w:rPr>
          <w:rFonts w:cs="Arial"/>
          <w:sz w:val="20"/>
        </w:rPr>
        <w:t>La</w:t>
      </w:r>
      <w:r w:rsidR="00FE1638">
        <w:rPr>
          <w:rFonts w:cs="Arial"/>
          <w:sz w:val="20"/>
        </w:rPr>
        <w:t xml:space="preserve"> </w:t>
      </w:r>
      <w:r w:rsidRPr="00402D61">
        <w:rPr>
          <w:rFonts w:cs="Arial"/>
          <w:sz w:val="20"/>
        </w:rPr>
        <w:t>Unión no utiliza instrumentos financieros derivados para cubrir el riesgo cambiario.</w:t>
      </w:r>
    </w:p>
    <w:p w:rsidR="00EA6058" w:rsidRPr="00BD0A1D" w:rsidRDefault="00EA6058" w:rsidP="00EA6058">
      <w:pPr>
        <w:rPr>
          <w:b/>
          <w:lang w:val="es-ES"/>
        </w:rPr>
      </w:pPr>
    </w:p>
    <w:p w:rsidR="00EA6058" w:rsidRPr="00BD0A1D" w:rsidRDefault="00801793" w:rsidP="00EA6058">
      <w:pPr>
        <w:rPr>
          <w:b/>
          <w:bCs/>
          <w:lang w:val="es-ES"/>
        </w:rPr>
      </w:pPr>
      <w:r w:rsidRPr="00402D61">
        <w:rPr>
          <w:b/>
        </w:rPr>
        <w:t>Riesgo de mercado</w:t>
      </w:r>
    </w:p>
    <w:p w:rsidR="00EA6058" w:rsidRPr="00BD0A1D" w:rsidRDefault="00EA6058" w:rsidP="00EA6058">
      <w:pPr>
        <w:rPr>
          <w:lang w:val="es-ES"/>
        </w:rPr>
      </w:pPr>
    </w:p>
    <w:p w:rsidR="00EA6058" w:rsidRPr="00BD0A1D" w:rsidRDefault="00801793" w:rsidP="00EA6058">
      <w:pPr>
        <w:rPr>
          <w:lang w:val="es-ES"/>
        </w:rPr>
      </w:pPr>
      <w:r w:rsidRPr="00402D61">
        <w:t xml:space="preserve">El riesgo de mercado es el riesgo de que varíen los precios de mercado (por ejemplo, los tipos de interés) y dicha variación repercuta en los ingresos o en el valor de los instrumentos financieros que </w:t>
      </w:r>
      <w:r w:rsidR="008443BA" w:rsidRPr="00402D61">
        <w:t xml:space="preserve">se </w:t>
      </w:r>
      <w:r w:rsidRPr="00402D61">
        <w:t>posea</w:t>
      </w:r>
      <w:r w:rsidR="008443BA" w:rsidRPr="00402D61">
        <w:t>n</w:t>
      </w:r>
      <w:r w:rsidRPr="00402D61">
        <w:t>.</w:t>
      </w:r>
      <w:r w:rsidR="00EA6058" w:rsidRPr="00BD0A1D">
        <w:rPr>
          <w:lang w:val="es-ES"/>
        </w:rPr>
        <w:t xml:space="preserve"> </w:t>
      </w:r>
      <w:r w:rsidR="008443BA" w:rsidRPr="00402D61">
        <w:t>La</w:t>
      </w:r>
      <w:r w:rsidR="00445B14">
        <w:t> </w:t>
      </w:r>
      <w:r w:rsidR="008443BA" w:rsidRPr="00402D61">
        <w:t>UPOV no está expuesta al riesgo de mercado.</w:t>
      </w:r>
      <w:r w:rsidR="00EA6058" w:rsidRPr="00BD0A1D">
        <w:rPr>
          <w:lang w:val="es-ES"/>
        </w:rPr>
        <w:t xml:space="preserve"> </w:t>
      </w:r>
    </w:p>
    <w:p w:rsidR="00EA6058" w:rsidRPr="00BD0A1D" w:rsidRDefault="00EA6058" w:rsidP="00EA6058">
      <w:pPr>
        <w:rPr>
          <w:lang w:val="es-ES"/>
        </w:rPr>
      </w:pPr>
    </w:p>
    <w:p w:rsidR="00EA6058" w:rsidRPr="00BD0A1D" w:rsidRDefault="008443BA" w:rsidP="00EA6058">
      <w:pPr>
        <w:rPr>
          <w:lang w:val="es-ES"/>
        </w:rPr>
      </w:pPr>
      <w:r w:rsidRPr="00402D61">
        <w:rPr>
          <w:b/>
        </w:rPr>
        <w:t>Análisis de sensibilidad de los tipos de interés</w:t>
      </w:r>
    </w:p>
    <w:p w:rsidR="00EA6058" w:rsidRPr="00BD0A1D" w:rsidRDefault="00EA6058" w:rsidP="00EA6058">
      <w:pPr>
        <w:rPr>
          <w:lang w:val="es-ES"/>
        </w:rPr>
      </w:pPr>
    </w:p>
    <w:p w:rsidR="00EA6058" w:rsidRPr="00BD0A1D" w:rsidRDefault="008443BA" w:rsidP="00EA6058">
      <w:pPr>
        <w:rPr>
          <w:lang w:val="es-ES"/>
        </w:rPr>
      </w:pPr>
      <w:r w:rsidRPr="00402D61">
        <w:t>La</w:t>
      </w:r>
      <w:r w:rsidR="00FE1638">
        <w:t xml:space="preserve"> </w:t>
      </w:r>
      <w:r w:rsidRPr="00402D61">
        <w:t>UPOV no está expuesta al riesgo de tipo de interés.</w:t>
      </w:r>
      <w:r w:rsidR="00EA6058" w:rsidRPr="00BD0A1D">
        <w:rPr>
          <w:lang w:val="es-ES"/>
        </w:rPr>
        <w:t xml:space="preserve"> </w:t>
      </w:r>
    </w:p>
    <w:p w:rsidR="00EA6058" w:rsidRPr="00BD0A1D" w:rsidRDefault="00EA6058" w:rsidP="007F5673">
      <w:pPr>
        <w:rPr>
          <w:lang w:val="es-ES"/>
        </w:rPr>
      </w:pPr>
    </w:p>
    <w:p w:rsidR="00EA6058" w:rsidRPr="00BD0A1D" w:rsidRDefault="00EA6058" w:rsidP="00EA6058">
      <w:pPr>
        <w:rPr>
          <w:bCs/>
          <w:caps/>
          <w:lang w:val="es-ES"/>
        </w:rPr>
      </w:pPr>
    </w:p>
    <w:p w:rsidR="00EA6058" w:rsidRPr="001C0768" w:rsidRDefault="001C0768" w:rsidP="008F7AF6">
      <w:pPr>
        <w:pStyle w:val="Heading2Notes"/>
      </w:pPr>
      <w:bookmarkStart w:id="40" w:name="_Toc15397079"/>
      <w:r w:rsidRPr="001C0768">
        <w:t xml:space="preserve">Nota </w:t>
      </w:r>
      <w:r w:rsidR="008443BA" w:rsidRPr="001C0768">
        <w:t>16:</w:t>
      </w:r>
      <w:r w:rsidR="00EA6058" w:rsidRPr="001C0768">
        <w:tab/>
      </w:r>
      <w:r w:rsidRPr="001C0768">
        <w:t>Hechos posteriores a la fecha de preparación del informe</w:t>
      </w:r>
      <w:bookmarkEnd w:id="40"/>
    </w:p>
    <w:p w:rsidR="00EA6058" w:rsidRPr="00BD0A1D" w:rsidRDefault="00EA6058" w:rsidP="00EA6058">
      <w:pPr>
        <w:rPr>
          <w:lang w:val="es-ES"/>
        </w:rPr>
      </w:pPr>
    </w:p>
    <w:p w:rsidR="00EA6058" w:rsidRPr="00BD0A1D" w:rsidRDefault="008443BA" w:rsidP="00EA6058">
      <w:pPr>
        <w:pStyle w:val="Styletexte"/>
        <w:spacing w:after="0"/>
        <w:rPr>
          <w:rFonts w:cs="Arial"/>
          <w:sz w:val="20"/>
          <w:lang w:val="es-ES"/>
        </w:rPr>
      </w:pPr>
      <w:r w:rsidRPr="00402D61">
        <w:rPr>
          <w:rFonts w:cs="Arial"/>
          <w:sz w:val="20"/>
        </w:rPr>
        <w:t>En la</w:t>
      </w:r>
      <w:r w:rsidR="00FE1638">
        <w:rPr>
          <w:rFonts w:cs="Arial"/>
          <w:sz w:val="20"/>
        </w:rPr>
        <w:t xml:space="preserve"> </w:t>
      </w:r>
      <w:r w:rsidRPr="00402D61">
        <w:rPr>
          <w:rFonts w:cs="Arial"/>
          <w:sz w:val="20"/>
        </w:rPr>
        <w:t>UPOV, la fecha de preparación del informe es el</w:t>
      </w:r>
      <w:r w:rsidR="00FE1638">
        <w:rPr>
          <w:rFonts w:cs="Arial"/>
          <w:sz w:val="20"/>
        </w:rPr>
        <w:t xml:space="preserve"> </w:t>
      </w:r>
      <w:r w:rsidRPr="00402D61">
        <w:rPr>
          <w:rFonts w:cs="Arial"/>
          <w:sz w:val="20"/>
        </w:rPr>
        <w:t>31 de diciembre de</w:t>
      </w:r>
      <w:r w:rsidR="00FE1638">
        <w:rPr>
          <w:rFonts w:cs="Arial"/>
          <w:sz w:val="20"/>
        </w:rPr>
        <w:t xml:space="preserve"> </w:t>
      </w:r>
      <w:r w:rsidRPr="00402D61">
        <w:rPr>
          <w:rFonts w:cs="Arial"/>
          <w:sz w:val="20"/>
        </w:rPr>
        <w:t>2018</w:t>
      </w:r>
      <w:r w:rsidR="00605DE2" w:rsidRPr="00402D61">
        <w:rPr>
          <w:rFonts w:cs="Arial"/>
          <w:sz w:val="20"/>
        </w:rPr>
        <w:t>,</w:t>
      </w:r>
      <w:r w:rsidRPr="00402D61">
        <w:rPr>
          <w:rFonts w:cs="Arial"/>
          <w:sz w:val="20"/>
        </w:rPr>
        <w:t xml:space="preserve"> y </w:t>
      </w:r>
      <w:r w:rsidR="00435C43" w:rsidRPr="00402D61">
        <w:rPr>
          <w:rFonts w:cs="Arial"/>
          <w:sz w:val="20"/>
        </w:rPr>
        <w:t xml:space="preserve">la fecha </w:t>
      </w:r>
      <w:r w:rsidR="00605DE2" w:rsidRPr="00402D61">
        <w:rPr>
          <w:rFonts w:cs="Arial"/>
          <w:sz w:val="20"/>
        </w:rPr>
        <w:t xml:space="preserve">en que se autoriza la publicación </w:t>
      </w:r>
      <w:r w:rsidR="00435C43" w:rsidRPr="00402D61">
        <w:rPr>
          <w:rFonts w:cs="Arial"/>
          <w:sz w:val="20"/>
        </w:rPr>
        <w:t xml:space="preserve">de </w:t>
      </w:r>
      <w:r w:rsidRPr="00402D61">
        <w:rPr>
          <w:rFonts w:cs="Arial"/>
          <w:sz w:val="20"/>
        </w:rPr>
        <w:t xml:space="preserve">sus estados financieros </w:t>
      </w:r>
      <w:r w:rsidR="00435C43" w:rsidRPr="00402D61">
        <w:rPr>
          <w:rFonts w:cs="Arial"/>
          <w:sz w:val="20"/>
        </w:rPr>
        <w:t>coincide con</w:t>
      </w:r>
      <w:r w:rsidRPr="00402D61">
        <w:rPr>
          <w:rFonts w:cs="Arial"/>
          <w:sz w:val="20"/>
        </w:rPr>
        <w:t xml:space="preserve"> la fecha </w:t>
      </w:r>
      <w:r w:rsidR="00435C43" w:rsidRPr="00402D61">
        <w:rPr>
          <w:rFonts w:cs="Arial"/>
          <w:sz w:val="20"/>
        </w:rPr>
        <w:t>de</w:t>
      </w:r>
      <w:r w:rsidRPr="00402D61">
        <w:rPr>
          <w:rFonts w:cs="Arial"/>
          <w:sz w:val="20"/>
        </w:rPr>
        <w:t xml:space="preserve">l dictamen del </w:t>
      </w:r>
      <w:r w:rsidR="00445B14" w:rsidRPr="00402D61">
        <w:rPr>
          <w:rFonts w:cs="Arial"/>
          <w:sz w:val="20"/>
        </w:rPr>
        <w:t>Auditor Externo</w:t>
      </w:r>
      <w:r w:rsidRPr="00402D61">
        <w:rPr>
          <w:rFonts w:cs="Arial"/>
          <w:sz w:val="20"/>
        </w:rPr>
        <w:t>.</w:t>
      </w:r>
      <w:r w:rsidR="00EA6058" w:rsidRPr="00BD0A1D">
        <w:rPr>
          <w:rFonts w:cs="Arial"/>
          <w:sz w:val="20"/>
          <w:lang w:val="es-ES"/>
        </w:rPr>
        <w:t xml:space="preserve"> </w:t>
      </w:r>
      <w:r w:rsidR="00445B14">
        <w:rPr>
          <w:rFonts w:cs="Arial"/>
          <w:sz w:val="20"/>
          <w:lang w:val="es-ES"/>
        </w:rPr>
        <w:t xml:space="preserve"> </w:t>
      </w:r>
      <w:r w:rsidRPr="00402D61">
        <w:rPr>
          <w:rFonts w:cs="Arial"/>
          <w:sz w:val="20"/>
        </w:rPr>
        <w:t>Entre la fecha de preparación del informe y la fecha en que se autoriza la publicación de los estados financieros no se ha producido ningún hecho sustancial, ya sea favorable o desfavorable, que haya podido incidir en ellos.</w:t>
      </w:r>
    </w:p>
    <w:p w:rsidR="00EA6058" w:rsidRPr="00BD0A1D" w:rsidRDefault="00EA6058" w:rsidP="00EA6058">
      <w:pPr>
        <w:rPr>
          <w:lang w:val="es-ES"/>
        </w:rPr>
      </w:pPr>
    </w:p>
    <w:p w:rsidR="00EA6058" w:rsidRPr="00BD0A1D" w:rsidRDefault="00EA6058" w:rsidP="00EA6058">
      <w:pPr>
        <w:rPr>
          <w:lang w:val="es-ES"/>
        </w:rPr>
      </w:pPr>
    </w:p>
    <w:p w:rsidR="00EA6058" w:rsidRPr="001C0768" w:rsidRDefault="001C0768" w:rsidP="008F7AF6">
      <w:pPr>
        <w:pStyle w:val="Heading2Notes"/>
      </w:pPr>
      <w:bookmarkStart w:id="41" w:name="_Toc15397080"/>
      <w:r w:rsidRPr="001C0768">
        <w:lastRenderedPageBreak/>
        <w:t xml:space="preserve">Nota </w:t>
      </w:r>
      <w:r w:rsidR="008443BA" w:rsidRPr="001C0768">
        <w:t>17:</w:t>
      </w:r>
      <w:r w:rsidR="00EA6058" w:rsidRPr="001C0768">
        <w:tab/>
      </w:r>
      <w:r w:rsidRPr="001C0768">
        <w:t>Información financiera por segmentos</w:t>
      </w:r>
      <w:bookmarkEnd w:id="41"/>
    </w:p>
    <w:p w:rsidR="00EA6058" w:rsidRPr="00BD0A1D" w:rsidRDefault="00EA6058" w:rsidP="00B301FB">
      <w:pPr>
        <w:keepNext/>
        <w:rPr>
          <w:lang w:val="es-ES"/>
        </w:rPr>
      </w:pPr>
    </w:p>
    <w:p w:rsidR="00EA6058" w:rsidRPr="00BD0A1D" w:rsidRDefault="008443BA" w:rsidP="00B301FB">
      <w:pPr>
        <w:pStyle w:val="Styletexte"/>
        <w:keepLines/>
        <w:spacing w:after="0"/>
        <w:rPr>
          <w:rFonts w:cs="Arial"/>
          <w:sz w:val="20"/>
          <w:lang w:val="es-ES"/>
        </w:rPr>
      </w:pPr>
      <w:r w:rsidRPr="00402D61">
        <w:rPr>
          <w:rFonts w:cs="Arial"/>
          <w:sz w:val="20"/>
        </w:rPr>
        <w:t>La información financiera por segmentos se basa en las principales actividades y fuentes de financiación de la</w:t>
      </w:r>
      <w:r w:rsidR="00FE1638">
        <w:rPr>
          <w:rFonts w:cs="Arial"/>
          <w:sz w:val="20"/>
        </w:rPr>
        <w:t xml:space="preserve"> </w:t>
      </w:r>
      <w:r w:rsidRPr="00402D61">
        <w:rPr>
          <w:rFonts w:cs="Arial"/>
          <w:sz w:val="20"/>
        </w:rPr>
        <w:t>UPOV,</w:t>
      </w:r>
      <w:r w:rsidR="00EA6058" w:rsidRPr="00BD0A1D">
        <w:rPr>
          <w:rFonts w:cs="Arial"/>
          <w:sz w:val="20"/>
          <w:lang w:val="es-ES"/>
        </w:rPr>
        <w:t xml:space="preserve"> </w:t>
      </w:r>
      <w:r w:rsidR="00402D61" w:rsidRPr="00402D61">
        <w:rPr>
          <w:rFonts w:cs="Arial"/>
          <w:sz w:val="20"/>
        </w:rPr>
        <w:t>por lo que la</w:t>
      </w:r>
      <w:r w:rsidR="00FE1638">
        <w:rPr>
          <w:rFonts w:cs="Arial"/>
          <w:sz w:val="20"/>
        </w:rPr>
        <w:t xml:space="preserve"> </w:t>
      </w:r>
      <w:r w:rsidRPr="00402D61">
        <w:rPr>
          <w:rFonts w:cs="Arial"/>
          <w:sz w:val="20"/>
        </w:rPr>
        <w:t>Unión presenta la información financiera de tres segmentos por separado:</w:t>
      </w:r>
      <w:r w:rsidR="00EA6058" w:rsidRPr="00BD0A1D">
        <w:rPr>
          <w:rFonts w:cs="Arial"/>
          <w:sz w:val="20"/>
          <w:lang w:val="es-ES"/>
        </w:rPr>
        <w:t xml:space="preserve"> </w:t>
      </w:r>
      <w:r w:rsidRPr="00402D61">
        <w:rPr>
          <w:rFonts w:cs="Arial"/>
          <w:sz w:val="20"/>
        </w:rPr>
        <w:t>el programa y presupuesto ordinario, los fondos fiduciarios (fondos extrapresupuestarios) y el fondo para proyectos especiales.</w:t>
      </w:r>
      <w:r w:rsidR="00EA6058" w:rsidRPr="00BD0A1D">
        <w:rPr>
          <w:rFonts w:cs="Arial"/>
          <w:sz w:val="20"/>
          <w:lang w:val="es-ES"/>
        </w:rPr>
        <w:t xml:space="preserve"> </w:t>
      </w:r>
      <w:r w:rsidR="003308B7">
        <w:rPr>
          <w:rFonts w:cs="Arial"/>
          <w:sz w:val="20"/>
          <w:lang w:val="es-ES"/>
        </w:rPr>
        <w:t xml:space="preserve"> </w:t>
      </w:r>
      <w:r w:rsidRPr="00402D61">
        <w:rPr>
          <w:rFonts w:cs="Arial"/>
          <w:sz w:val="20"/>
        </w:rPr>
        <w:t>Los fondos fiduciarios representan los importes administrados por la</w:t>
      </w:r>
      <w:r w:rsidR="00FE1638">
        <w:rPr>
          <w:rFonts w:cs="Arial"/>
          <w:sz w:val="20"/>
        </w:rPr>
        <w:t xml:space="preserve"> </w:t>
      </w:r>
      <w:r w:rsidRPr="00402D61">
        <w:rPr>
          <w:rFonts w:cs="Arial"/>
          <w:sz w:val="20"/>
        </w:rPr>
        <w:t>UPOV en nombre de donantes individuales para llevar a cabo programas que sean compatibles con las normas, los objetivos y las actividades de la</w:t>
      </w:r>
      <w:r w:rsidR="00FE1638">
        <w:rPr>
          <w:rFonts w:cs="Arial"/>
          <w:sz w:val="20"/>
        </w:rPr>
        <w:t xml:space="preserve"> </w:t>
      </w:r>
      <w:r w:rsidRPr="00402D61">
        <w:rPr>
          <w:rFonts w:cs="Arial"/>
          <w:sz w:val="20"/>
        </w:rPr>
        <w:t>Unión.</w:t>
      </w:r>
      <w:r w:rsidR="00EA6058" w:rsidRPr="00BD0A1D">
        <w:rPr>
          <w:rFonts w:cs="Arial"/>
          <w:sz w:val="20"/>
          <w:lang w:val="es-ES"/>
        </w:rPr>
        <w:t xml:space="preserve"> </w:t>
      </w:r>
      <w:r w:rsidR="003308B7">
        <w:rPr>
          <w:rFonts w:cs="Arial"/>
          <w:sz w:val="20"/>
          <w:lang w:val="es-ES"/>
        </w:rPr>
        <w:t xml:space="preserve"> </w:t>
      </w:r>
      <w:r w:rsidRPr="00402D61">
        <w:rPr>
          <w:rFonts w:cs="Arial"/>
          <w:sz w:val="20"/>
        </w:rPr>
        <w:t>El fondo para proyectos especiales representa el importe del fondo de reserva que supera el</w:t>
      </w:r>
      <w:r w:rsidR="00FE1638">
        <w:rPr>
          <w:rFonts w:cs="Arial"/>
          <w:sz w:val="20"/>
        </w:rPr>
        <w:t xml:space="preserve"> </w:t>
      </w:r>
      <w:r w:rsidRPr="00402D61">
        <w:rPr>
          <w:rFonts w:cs="Arial"/>
          <w:sz w:val="20"/>
        </w:rPr>
        <w:t>15% de los ingresos totales del bienio anterior, que se destina a financiar proyectos acordados por el Consejo.</w:t>
      </w:r>
      <w:r w:rsidR="00EA6058" w:rsidRPr="00BD0A1D">
        <w:rPr>
          <w:rFonts w:cs="Arial"/>
          <w:sz w:val="20"/>
          <w:lang w:val="es-ES"/>
        </w:rPr>
        <w:t xml:space="preserve"> </w:t>
      </w:r>
      <w:r w:rsidR="003308B7">
        <w:rPr>
          <w:rFonts w:cs="Arial"/>
          <w:sz w:val="20"/>
          <w:lang w:val="es-ES"/>
        </w:rPr>
        <w:t xml:space="preserve"> </w:t>
      </w:r>
      <w:r w:rsidRPr="00402D61">
        <w:rPr>
          <w:rFonts w:cs="Arial"/>
          <w:sz w:val="20"/>
        </w:rPr>
        <w:t>El programa y presupuesto ordinario, los fondos fiduciarios y el fondo para proyectos especiales se contabilizan por separado dentro del sistema de contabilidad financiera.</w:t>
      </w:r>
    </w:p>
    <w:p w:rsidR="00EA6058" w:rsidRPr="00BD0A1D" w:rsidRDefault="00EA6058" w:rsidP="00EA6058">
      <w:pPr>
        <w:rPr>
          <w:b/>
          <w:lang w:val="es-ES"/>
        </w:rPr>
      </w:pPr>
    </w:p>
    <w:p w:rsidR="00EA6058" w:rsidRPr="00BD0A1D" w:rsidRDefault="008443BA" w:rsidP="00EA6058">
      <w:pPr>
        <w:jc w:val="center"/>
        <w:rPr>
          <w:b/>
          <w:lang w:val="es-ES"/>
        </w:rPr>
      </w:pPr>
      <w:r w:rsidRPr="00402D61">
        <w:rPr>
          <w:b/>
        </w:rPr>
        <w:t>Estado de la situación financiera por segmentos</w:t>
      </w:r>
    </w:p>
    <w:p w:rsidR="00EA6058" w:rsidRPr="00BD0A1D" w:rsidRDefault="008443BA" w:rsidP="00EA6058">
      <w:pPr>
        <w:jc w:val="center"/>
        <w:rPr>
          <w:b/>
          <w:lang w:val="es-ES"/>
        </w:rPr>
      </w:pPr>
      <w:r w:rsidRPr="00402D61">
        <w:rPr>
          <w:b/>
        </w:rPr>
        <w:t>al</w:t>
      </w:r>
      <w:r w:rsidR="00FE1638">
        <w:rPr>
          <w:b/>
        </w:rPr>
        <w:t xml:space="preserve"> </w:t>
      </w:r>
      <w:r w:rsidRPr="00402D61">
        <w:rPr>
          <w:b/>
        </w:rPr>
        <w:t>31 de diciembre de</w:t>
      </w:r>
      <w:r w:rsidR="00FE1638">
        <w:rPr>
          <w:b/>
        </w:rPr>
        <w:t xml:space="preserve"> </w:t>
      </w:r>
      <w:r w:rsidRPr="00402D61">
        <w:rPr>
          <w:b/>
        </w:rPr>
        <w:t>2018</w:t>
      </w:r>
    </w:p>
    <w:p w:rsidR="00EA6058" w:rsidRPr="00BD0A1D" w:rsidRDefault="008443BA" w:rsidP="00EA6058">
      <w:pPr>
        <w:jc w:val="center"/>
        <w:rPr>
          <w:i/>
          <w:lang w:val="es-ES"/>
        </w:rPr>
      </w:pPr>
      <w:r w:rsidRPr="00402D61">
        <w:rPr>
          <w:i/>
        </w:rPr>
        <w:t>(en francos suizos)</w:t>
      </w:r>
    </w:p>
    <w:p w:rsidR="00EA6058" w:rsidRPr="00BD0A1D" w:rsidRDefault="00EA6058" w:rsidP="00EA6058">
      <w:pPr>
        <w:jc w:val="center"/>
        <w:rPr>
          <w:b/>
          <w:lang w:val="es-ES"/>
        </w:rPr>
      </w:pPr>
    </w:p>
    <w:p w:rsidR="00EA6058" w:rsidRPr="00BD0A1D" w:rsidRDefault="00EA6058" w:rsidP="00EA6058">
      <w:pPr>
        <w:jc w:val="center"/>
        <w:rPr>
          <w:b/>
          <w:lang w:val="es-ES"/>
        </w:rPr>
      </w:pPr>
    </w:p>
    <w:p w:rsidR="00EA6058" w:rsidRPr="00577FEE" w:rsidRDefault="003C4587" w:rsidP="00EA6058">
      <w:pPr>
        <w:jc w:val="center"/>
        <w:rPr>
          <w:b/>
        </w:rPr>
      </w:pPr>
      <w:r w:rsidRPr="003C4587">
        <w:rPr>
          <w:noProof/>
          <w:lang w:val="en-US"/>
        </w:rPr>
        <w:drawing>
          <wp:inline distT="0" distB="0" distL="0" distR="0">
            <wp:extent cx="6120765" cy="5310834"/>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srcRect/>
                    <a:stretch>
                      <a:fillRect/>
                    </a:stretch>
                  </pic:blipFill>
                  <pic:spPr bwMode="auto">
                    <a:xfrm>
                      <a:off x="0" y="0"/>
                      <a:ext cx="6120765" cy="5310834"/>
                    </a:xfrm>
                    <a:prstGeom prst="rect">
                      <a:avLst/>
                    </a:prstGeom>
                    <a:noFill/>
                    <a:ln w="9525">
                      <a:noFill/>
                      <a:miter lim="800000"/>
                      <a:headEnd/>
                      <a:tailEnd/>
                    </a:ln>
                  </pic:spPr>
                </pic:pic>
              </a:graphicData>
            </a:graphic>
          </wp:inline>
        </w:drawing>
      </w:r>
    </w:p>
    <w:p w:rsidR="00EA6058" w:rsidRPr="00577FEE" w:rsidRDefault="00EA6058" w:rsidP="00EA6058">
      <w:pPr>
        <w:jc w:val="center"/>
      </w:pPr>
    </w:p>
    <w:p w:rsidR="00EA6058" w:rsidRPr="00577FEE" w:rsidRDefault="00EA6058" w:rsidP="00EA6058">
      <w:pPr>
        <w:jc w:val="center"/>
        <w:rPr>
          <w:b/>
        </w:rPr>
      </w:pPr>
    </w:p>
    <w:p w:rsidR="00EA6058" w:rsidRPr="00B24DA2" w:rsidRDefault="00EA6058" w:rsidP="00EA6058">
      <w:pPr>
        <w:jc w:val="center"/>
        <w:rPr>
          <w:b/>
          <w:lang w:val="es-ES"/>
        </w:rPr>
      </w:pPr>
      <w:r w:rsidRPr="00B24DA2">
        <w:rPr>
          <w:b/>
          <w:lang w:val="es-ES"/>
        </w:rPr>
        <w:br w:type="page"/>
      </w:r>
      <w:r w:rsidR="008443BA" w:rsidRPr="00402D61">
        <w:rPr>
          <w:b/>
        </w:rPr>
        <w:lastRenderedPageBreak/>
        <w:t>Estado de rendimiento financiero por segmentos</w:t>
      </w:r>
    </w:p>
    <w:p w:rsidR="00EA6058" w:rsidRPr="00B24DA2" w:rsidRDefault="008443BA" w:rsidP="00EA6058">
      <w:pPr>
        <w:jc w:val="center"/>
        <w:rPr>
          <w:b/>
          <w:lang w:val="es-ES"/>
        </w:rPr>
      </w:pPr>
      <w:r w:rsidRPr="00402D61">
        <w:rPr>
          <w:b/>
        </w:rPr>
        <w:t>del ejercicio concluido el</w:t>
      </w:r>
      <w:r w:rsidR="00FE1638">
        <w:rPr>
          <w:b/>
        </w:rPr>
        <w:t xml:space="preserve"> </w:t>
      </w:r>
      <w:r w:rsidRPr="00402D61">
        <w:rPr>
          <w:b/>
        </w:rPr>
        <w:t>31 de diciembre de</w:t>
      </w:r>
      <w:r w:rsidR="00FE1638">
        <w:rPr>
          <w:b/>
        </w:rPr>
        <w:t xml:space="preserve"> </w:t>
      </w:r>
      <w:r w:rsidRPr="00402D61">
        <w:rPr>
          <w:b/>
        </w:rPr>
        <w:t>2018</w:t>
      </w:r>
    </w:p>
    <w:p w:rsidR="00EA6058" w:rsidRPr="00A34F3A" w:rsidRDefault="008443BA" w:rsidP="00EA6058">
      <w:pPr>
        <w:jc w:val="center"/>
        <w:rPr>
          <w:i/>
        </w:rPr>
      </w:pPr>
      <w:r w:rsidRPr="003F2A98">
        <w:rPr>
          <w:i/>
        </w:rPr>
        <w:t>(en francos suizos)</w:t>
      </w:r>
    </w:p>
    <w:p w:rsidR="00EA6058" w:rsidRDefault="00EA6058" w:rsidP="00EA6058">
      <w:pPr>
        <w:jc w:val="center"/>
      </w:pPr>
    </w:p>
    <w:p w:rsidR="00D851EC" w:rsidRPr="00577FEE" w:rsidRDefault="00D851EC" w:rsidP="00EA6058">
      <w:pPr>
        <w:jc w:val="center"/>
      </w:pPr>
    </w:p>
    <w:p w:rsidR="00EA6058" w:rsidRDefault="00997AA0" w:rsidP="00EA6058">
      <w:pPr>
        <w:jc w:val="center"/>
      </w:pPr>
      <w:r w:rsidRPr="00997AA0">
        <w:rPr>
          <w:noProof/>
          <w:lang w:val="en-US"/>
        </w:rPr>
        <w:drawing>
          <wp:inline distT="0" distB="0" distL="0" distR="0">
            <wp:extent cx="6120765" cy="39114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3911463"/>
                    </a:xfrm>
                    <a:prstGeom prst="rect">
                      <a:avLst/>
                    </a:prstGeom>
                    <a:noFill/>
                    <a:ln>
                      <a:noFill/>
                    </a:ln>
                  </pic:spPr>
                </pic:pic>
              </a:graphicData>
            </a:graphic>
          </wp:inline>
        </w:drawing>
      </w:r>
    </w:p>
    <w:p w:rsidR="00EA6058" w:rsidRPr="00577FEE" w:rsidRDefault="00EA6058" w:rsidP="00EA6058">
      <w:pPr>
        <w:jc w:val="center"/>
      </w:pPr>
    </w:p>
    <w:p w:rsidR="00EA6058" w:rsidRPr="00577FEE" w:rsidRDefault="00EA6058" w:rsidP="00EA6058">
      <w:pPr>
        <w:jc w:val="center"/>
      </w:pPr>
    </w:p>
    <w:p w:rsidR="00EA6058" w:rsidRDefault="00EA6058" w:rsidP="00EA6058">
      <w:pPr>
        <w:jc w:val="center"/>
      </w:pPr>
    </w:p>
    <w:p w:rsidR="00EA6058" w:rsidRPr="00B24DA2" w:rsidRDefault="008443BA" w:rsidP="00EA6058">
      <w:pPr>
        <w:jc w:val="right"/>
        <w:rPr>
          <w:lang w:val="es-ES"/>
        </w:rPr>
      </w:pPr>
      <w:r w:rsidRPr="003F2A98">
        <w:t>[Fin del Anexo y del documento]</w:t>
      </w:r>
    </w:p>
    <w:p w:rsidR="00050E16" w:rsidRPr="00B24DA2" w:rsidRDefault="00050E16" w:rsidP="009B440E">
      <w:pPr>
        <w:jc w:val="left"/>
        <w:rPr>
          <w:lang w:val="es-ES"/>
        </w:rPr>
      </w:pPr>
    </w:p>
    <w:sectPr w:rsidR="00050E16" w:rsidRPr="00B24DA2" w:rsidSect="00AD4AFB">
      <w:headerReference w:type="default" r:id="rId44"/>
      <w:headerReference w:type="first" r:id="rId45"/>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EBA" w:rsidRDefault="00854EBA" w:rsidP="006655D3">
      <w:r>
        <w:separator/>
      </w:r>
    </w:p>
    <w:p w:rsidR="00854EBA" w:rsidRDefault="00854EBA" w:rsidP="006655D3"/>
    <w:p w:rsidR="00854EBA" w:rsidRDefault="00854EBA" w:rsidP="006655D3"/>
  </w:endnote>
  <w:endnote w:type="continuationSeparator" w:id="0">
    <w:p w:rsidR="00854EBA" w:rsidRDefault="00854EBA" w:rsidP="006655D3">
      <w:r>
        <w:separator/>
      </w:r>
    </w:p>
    <w:p w:rsidR="00854EBA" w:rsidRPr="00294751" w:rsidRDefault="00854EBA">
      <w:pPr>
        <w:pStyle w:val="Footer"/>
        <w:spacing w:after="60"/>
        <w:rPr>
          <w:sz w:val="18"/>
          <w:lang w:val="fr-FR"/>
        </w:rPr>
      </w:pPr>
      <w:r w:rsidRPr="00294751">
        <w:rPr>
          <w:sz w:val="18"/>
          <w:lang w:val="fr-FR"/>
        </w:rPr>
        <w:t>[Suite de la note de la page précédente]</w:t>
      </w:r>
    </w:p>
    <w:p w:rsidR="00854EBA" w:rsidRPr="00294751" w:rsidRDefault="00854EBA" w:rsidP="006655D3">
      <w:pPr>
        <w:rPr>
          <w:lang w:val="fr-FR"/>
        </w:rPr>
      </w:pPr>
    </w:p>
    <w:p w:rsidR="00854EBA" w:rsidRPr="00294751" w:rsidRDefault="00854EBA" w:rsidP="006655D3">
      <w:pPr>
        <w:rPr>
          <w:lang w:val="fr-FR"/>
        </w:rPr>
      </w:pPr>
    </w:p>
  </w:endnote>
  <w:endnote w:type="continuationNotice" w:id="1">
    <w:p w:rsidR="00854EBA" w:rsidRPr="00294751" w:rsidRDefault="00854EBA" w:rsidP="006655D3">
      <w:pPr>
        <w:rPr>
          <w:lang w:val="fr-FR"/>
        </w:rPr>
      </w:pPr>
      <w:r w:rsidRPr="00294751">
        <w:rPr>
          <w:lang w:val="fr-FR"/>
        </w:rPr>
        <w:t>[Suite de la note page suivante]</w:t>
      </w:r>
    </w:p>
    <w:p w:rsidR="00854EBA" w:rsidRPr="00294751" w:rsidRDefault="00854EBA" w:rsidP="006655D3">
      <w:pPr>
        <w:rPr>
          <w:lang w:val="fr-FR"/>
        </w:rPr>
      </w:pPr>
    </w:p>
    <w:p w:rsidR="00854EBA" w:rsidRPr="00294751" w:rsidRDefault="00854E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EBA" w:rsidRDefault="00854EBA" w:rsidP="006655D3">
      <w:r>
        <w:separator/>
      </w:r>
    </w:p>
  </w:footnote>
  <w:footnote w:type="continuationSeparator" w:id="0">
    <w:p w:rsidR="00854EBA" w:rsidRDefault="00854EBA" w:rsidP="006655D3">
      <w:r>
        <w:separator/>
      </w:r>
    </w:p>
  </w:footnote>
  <w:footnote w:type="continuationNotice" w:id="1">
    <w:p w:rsidR="00854EBA" w:rsidRPr="00AB530F" w:rsidRDefault="00854EB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BA" w:rsidRPr="00C5280D" w:rsidRDefault="00854EBA" w:rsidP="00EB048E">
    <w:pPr>
      <w:pStyle w:val="Header"/>
      <w:rPr>
        <w:rStyle w:val="PageNumber"/>
        <w:lang w:val="en-US"/>
      </w:rPr>
    </w:pPr>
    <w:r>
      <w:rPr>
        <w:rStyle w:val="PageNumber"/>
        <w:lang w:val="en-US"/>
      </w:rPr>
      <w:t>C/51/</w:t>
    </w:r>
  </w:p>
  <w:p w:rsidR="00854EBA" w:rsidRPr="00C5280D" w:rsidRDefault="00854EB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854EBA" w:rsidRPr="00C5280D" w:rsidRDefault="00854EB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BA" w:rsidRPr="00C5280D" w:rsidRDefault="00854EBA" w:rsidP="00EB048E">
    <w:pPr>
      <w:pStyle w:val="Header"/>
      <w:rPr>
        <w:rStyle w:val="PageNumber"/>
        <w:lang w:val="en-US"/>
      </w:rPr>
    </w:pPr>
    <w:r>
      <w:rPr>
        <w:rStyle w:val="PageNumber"/>
        <w:lang w:val="en-US"/>
      </w:rPr>
      <w:t>C/53/5</w:t>
    </w:r>
  </w:p>
  <w:p w:rsidR="00854EBA" w:rsidRPr="00BC7A30" w:rsidRDefault="00854EBA" w:rsidP="00EB048E">
    <w:pPr>
      <w:pStyle w:val="Header"/>
      <w:rPr>
        <w:lang w:val="es-ES_tradnl"/>
      </w:rPr>
    </w:pPr>
    <w:r w:rsidRPr="00BC7A30">
      <w:rPr>
        <w:lang w:val="es-ES_tradnl"/>
      </w:rPr>
      <w:t xml:space="preserve">Anexo, </w:t>
    </w:r>
    <w:r>
      <w:rPr>
        <w:lang w:val="es-ES_tradnl"/>
      </w:rPr>
      <w:t xml:space="preserve">página </w:t>
    </w:r>
    <w:r w:rsidRPr="00BC7A30">
      <w:rPr>
        <w:rStyle w:val="PageNumber"/>
        <w:lang w:val="es-ES_tradnl"/>
      </w:rPr>
      <w:fldChar w:fldCharType="begin"/>
    </w:r>
    <w:r w:rsidRPr="00BC7A30">
      <w:rPr>
        <w:rStyle w:val="PageNumber"/>
        <w:lang w:val="es-ES_tradnl"/>
      </w:rPr>
      <w:instrText xml:space="preserve"> PAGE </w:instrText>
    </w:r>
    <w:r w:rsidRPr="00BC7A30">
      <w:rPr>
        <w:rStyle w:val="PageNumber"/>
        <w:lang w:val="es-ES_tradnl"/>
      </w:rPr>
      <w:fldChar w:fldCharType="separate"/>
    </w:r>
    <w:r w:rsidR="005A4517">
      <w:rPr>
        <w:rStyle w:val="PageNumber"/>
        <w:noProof/>
        <w:lang w:val="es-ES_tradnl"/>
      </w:rPr>
      <w:t>20</w:t>
    </w:r>
    <w:r w:rsidRPr="00BC7A30">
      <w:rPr>
        <w:rStyle w:val="PageNumber"/>
        <w:lang w:val="es-ES_tradnl"/>
      </w:rPr>
      <w:fldChar w:fldCharType="end"/>
    </w:r>
  </w:p>
  <w:p w:rsidR="00854EBA" w:rsidRPr="00C5280D" w:rsidRDefault="00854EB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EBA" w:rsidRDefault="00854EBA">
    <w:pPr>
      <w:pStyle w:val="Header"/>
    </w:pPr>
    <w:r>
      <w:t>C/53/5</w:t>
    </w:r>
  </w:p>
  <w:p w:rsidR="00854EBA" w:rsidRDefault="00854EBA">
    <w:pPr>
      <w:pStyle w:val="Header"/>
    </w:pPr>
  </w:p>
  <w:p w:rsidR="00854EBA" w:rsidRPr="00BC7A30" w:rsidRDefault="00854EBA">
    <w:pPr>
      <w:pStyle w:val="Header"/>
      <w:rPr>
        <w:lang w:val="es-ES_tradnl"/>
      </w:rPr>
    </w:pPr>
    <w:r w:rsidRPr="00BC7A30">
      <w:rPr>
        <w:lang w:val="es-ES_tradnl"/>
      </w:rPr>
      <w:t>ANEX</w:t>
    </w:r>
    <w:r>
      <w:rPr>
        <w:lang w:val="es-ES_tradnl"/>
      </w:rPr>
      <w:t>O</w:t>
    </w:r>
  </w:p>
  <w:p w:rsidR="00854EBA" w:rsidRDefault="00854EBA">
    <w:pPr>
      <w:pStyle w:val="Header"/>
    </w:pPr>
  </w:p>
  <w:p w:rsidR="00854EBA" w:rsidRDefault="0085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E004BC"/>
    <w:multiLevelType w:val="hybridMultilevel"/>
    <w:tmpl w:val="7278DC34"/>
    <w:lvl w:ilvl="0" w:tplc="2A5ED4F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A466F"/>
    <w:multiLevelType w:val="hybridMultilevel"/>
    <w:tmpl w:val="042459A6"/>
    <w:lvl w:ilvl="0" w:tplc="FCB8DC18">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9" w15:restartNumberingAfterBreak="0">
    <w:nsid w:val="50B45F12"/>
    <w:multiLevelType w:val="hybridMultilevel"/>
    <w:tmpl w:val="0D945992"/>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3ED3"/>
    <w:multiLevelType w:val="hybridMultilevel"/>
    <w:tmpl w:val="A72CCFB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938645E"/>
    <w:multiLevelType w:val="multilevel"/>
    <w:tmpl w:val="71E60A0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D11C28"/>
    <w:multiLevelType w:val="multilevel"/>
    <w:tmpl w:val="AF14043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7"/>
  </w:num>
  <w:num w:numId="3">
    <w:abstractNumId w:val="14"/>
  </w:num>
  <w:num w:numId="4">
    <w:abstractNumId w:val="27"/>
  </w:num>
  <w:num w:numId="5">
    <w:abstractNumId w:val="25"/>
  </w:num>
  <w:num w:numId="6">
    <w:abstractNumId w:val="0"/>
  </w:num>
  <w:num w:numId="7">
    <w:abstractNumId w:val="23"/>
  </w:num>
  <w:num w:numId="8">
    <w:abstractNumId w:val="17"/>
  </w:num>
  <w:num w:numId="9">
    <w:abstractNumId w:val="10"/>
  </w:num>
  <w:num w:numId="10">
    <w:abstractNumId w:val="28"/>
  </w:num>
  <w:num w:numId="11">
    <w:abstractNumId w:val="15"/>
  </w:num>
  <w:num w:numId="12">
    <w:abstractNumId w:val="5"/>
  </w:num>
  <w:num w:numId="13">
    <w:abstractNumId w:val="2"/>
  </w:num>
  <w:num w:numId="14">
    <w:abstractNumId w:val="4"/>
  </w:num>
  <w:num w:numId="15">
    <w:abstractNumId w:val="6"/>
  </w:num>
  <w:num w:numId="16">
    <w:abstractNumId w:val="26"/>
  </w:num>
  <w:num w:numId="17">
    <w:abstractNumId w:val="1"/>
  </w:num>
  <w:num w:numId="18">
    <w:abstractNumId w:val="21"/>
  </w:num>
  <w:num w:numId="19">
    <w:abstractNumId w:val="22"/>
  </w:num>
  <w:num w:numId="20">
    <w:abstractNumId w:val="9"/>
  </w:num>
  <w:num w:numId="21">
    <w:abstractNumId w:val="18"/>
  </w:num>
  <w:num w:numId="22">
    <w:abstractNumId w:val="11"/>
  </w:num>
  <w:num w:numId="23">
    <w:abstractNumId w:val="8"/>
  </w:num>
  <w:num w:numId="24">
    <w:abstractNumId w:val="12"/>
  </w:num>
  <w:num w:numId="25">
    <w:abstractNumId w:val="16"/>
  </w:num>
  <w:num w:numId="26">
    <w:abstractNumId w:val="3"/>
  </w:num>
  <w:num w:numId="27">
    <w:abstractNumId w:val="24"/>
  </w:num>
  <w:num w:numId="28">
    <w:abstractNumId w:val="13"/>
  </w:num>
  <w:num w:numId="29">
    <w:abstractNumId w:val="20"/>
  </w:num>
  <w:num w:numId="30">
    <w:abstractNumId w:val="23"/>
  </w:num>
  <w:num w:numId="31">
    <w:abstractNumId w:val="27"/>
  </w:num>
  <w:num w:numId="32">
    <w:abstractNumId w:val="2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1B4D3B"/>
    <w:rsid w:val="00010CF3"/>
    <w:rsid w:val="00011E27"/>
    <w:rsid w:val="000148BC"/>
    <w:rsid w:val="00024AB8"/>
    <w:rsid w:val="00030854"/>
    <w:rsid w:val="000317B5"/>
    <w:rsid w:val="00036028"/>
    <w:rsid w:val="00044642"/>
    <w:rsid w:val="000446B9"/>
    <w:rsid w:val="00047E21"/>
    <w:rsid w:val="00050E16"/>
    <w:rsid w:val="000747C0"/>
    <w:rsid w:val="00084FE9"/>
    <w:rsid w:val="00085505"/>
    <w:rsid w:val="000B163D"/>
    <w:rsid w:val="000B62FB"/>
    <w:rsid w:val="000B6E51"/>
    <w:rsid w:val="000C4A02"/>
    <w:rsid w:val="000C4E25"/>
    <w:rsid w:val="000C7021"/>
    <w:rsid w:val="000D270E"/>
    <w:rsid w:val="000D6BBC"/>
    <w:rsid w:val="000D7780"/>
    <w:rsid w:val="000E2D67"/>
    <w:rsid w:val="000E636A"/>
    <w:rsid w:val="000E6536"/>
    <w:rsid w:val="000E6994"/>
    <w:rsid w:val="000F2F11"/>
    <w:rsid w:val="000F7CAA"/>
    <w:rsid w:val="001002C7"/>
    <w:rsid w:val="00102413"/>
    <w:rsid w:val="00103976"/>
    <w:rsid w:val="00103EA1"/>
    <w:rsid w:val="001041ED"/>
    <w:rsid w:val="00105929"/>
    <w:rsid w:val="00110C36"/>
    <w:rsid w:val="001131D5"/>
    <w:rsid w:val="00117506"/>
    <w:rsid w:val="00141DB8"/>
    <w:rsid w:val="00153143"/>
    <w:rsid w:val="00160026"/>
    <w:rsid w:val="00161420"/>
    <w:rsid w:val="0016571B"/>
    <w:rsid w:val="00167D86"/>
    <w:rsid w:val="00171336"/>
    <w:rsid w:val="00172084"/>
    <w:rsid w:val="001721A2"/>
    <w:rsid w:val="0017474A"/>
    <w:rsid w:val="00174909"/>
    <w:rsid w:val="001758C6"/>
    <w:rsid w:val="00176C86"/>
    <w:rsid w:val="00182B99"/>
    <w:rsid w:val="00187187"/>
    <w:rsid w:val="001B3564"/>
    <w:rsid w:val="001B487F"/>
    <w:rsid w:val="001B4D3B"/>
    <w:rsid w:val="001C0768"/>
    <w:rsid w:val="001C1525"/>
    <w:rsid w:val="001D3A9D"/>
    <w:rsid w:val="001D7559"/>
    <w:rsid w:val="001F3C43"/>
    <w:rsid w:val="001F4505"/>
    <w:rsid w:val="001F5B74"/>
    <w:rsid w:val="001F6BFF"/>
    <w:rsid w:val="00210764"/>
    <w:rsid w:val="0021332C"/>
    <w:rsid w:val="00213982"/>
    <w:rsid w:val="00214C72"/>
    <w:rsid w:val="00243635"/>
    <w:rsid w:val="0024416D"/>
    <w:rsid w:val="00244D42"/>
    <w:rsid w:val="0024566C"/>
    <w:rsid w:val="00255DFB"/>
    <w:rsid w:val="00256BFA"/>
    <w:rsid w:val="002576BB"/>
    <w:rsid w:val="002606B3"/>
    <w:rsid w:val="002708C5"/>
    <w:rsid w:val="00271911"/>
    <w:rsid w:val="00274184"/>
    <w:rsid w:val="002800A0"/>
    <w:rsid w:val="002801B3"/>
    <w:rsid w:val="00281060"/>
    <w:rsid w:val="00285084"/>
    <w:rsid w:val="002856F4"/>
    <w:rsid w:val="002927E1"/>
    <w:rsid w:val="002940E8"/>
    <w:rsid w:val="00294260"/>
    <w:rsid w:val="00294751"/>
    <w:rsid w:val="002963E8"/>
    <w:rsid w:val="002A0423"/>
    <w:rsid w:val="002A1275"/>
    <w:rsid w:val="002A1F16"/>
    <w:rsid w:val="002A6E50"/>
    <w:rsid w:val="002B0585"/>
    <w:rsid w:val="002B4298"/>
    <w:rsid w:val="002C256A"/>
    <w:rsid w:val="002E6CDA"/>
    <w:rsid w:val="002F5001"/>
    <w:rsid w:val="00300414"/>
    <w:rsid w:val="0030305D"/>
    <w:rsid w:val="00305A7F"/>
    <w:rsid w:val="003152FE"/>
    <w:rsid w:val="00316897"/>
    <w:rsid w:val="003265CA"/>
    <w:rsid w:val="00327436"/>
    <w:rsid w:val="003308B7"/>
    <w:rsid w:val="00335E99"/>
    <w:rsid w:val="0033665A"/>
    <w:rsid w:val="0034032A"/>
    <w:rsid w:val="00343772"/>
    <w:rsid w:val="00344BD6"/>
    <w:rsid w:val="0035117F"/>
    <w:rsid w:val="003515CD"/>
    <w:rsid w:val="00353DDF"/>
    <w:rsid w:val="0035528D"/>
    <w:rsid w:val="00361821"/>
    <w:rsid w:val="00361E9E"/>
    <w:rsid w:val="00366DE0"/>
    <w:rsid w:val="0037675D"/>
    <w:rsid w:val="00380B47"/>
    <w:rsid w:val="0038799D"/>
    <w:rsid w:val="00393E70"/>
    <w:rsid w:val="00395CC3"/>
    <w:rsid w:val="0039633A"/>
    <w:rsid w:val="003A0834"/>
    <w:rsid w:val="003A143E"/>
    <w:rsid w:val="003A5E54"/>
    <w:rsid w:val="003B65A3"/>
    <w:rsid w:val="003C4587"/>
    <w:rsid w:val="003C7FBE"/>
    <w:rsid w:val="003D227C"/>
    <w:rsid w:val="003D2B4D"/>
    <w:rsid w:val="003D6C5E"/>
    <w:rsid w:val="003E24C3"/>
    <w:rsid w:val="003F2A98"/>
    <w:rsid w:val="003F30EA"/>
    <w:rsid w:val="003F4212"/>
    <w:rsid w:val="003F4B0E"/>
    <w:rsid w:val="003F5F2B"/>
    <w:rsid w:val="004001AA"/>
    <w:rsid w:val="004003C8"/>
    <w:rsid w:val="00402D61"/>
    <w:rsid w:val="004257EE"/>
    <w:rsid w:val="0043029B"/>
    <w:rsid w:val="00435C43"/>
    <w:rsid w:val="004441AF"/>
    <w:rsid w:val="00444A88"/>
    <w:rsid w:val="00445B14"/>
    <w:rsid w:val="00452A17"/>
    <w:rsid w:val="004666F4"/>
    <w:rsid w:val="00473AED"/>
    <w:rsid w:val="00474DA4"/>
    <w:rsid w:val="00476B4D"/>
    <w:rsid w:val="004805FA"/>
    <w:rsid w:val="004935D2"/>
    <w:rsid w:val="00494FAE"/>
    <w:rsid w:val="004B1215"/>
    <w:rsid w:val="004D047D"/>
    <w:rsid w:val="004E01C5"/>
    <w:rsid w:val="004E21DF"/>
    <w:rsid w:val="004E4C25"/>
    <w:rsid w:val="004F1E9E"/>
    <w:rsid w:val="004F305A"/>
    <w:rsid w:val="004F3931"/>
    <w:rsid w:val="00512164"/>
    <w:rsid w:val="00520297"/>
    <w:rsid w:val="00520998"/>
    <w:rsid w:val="00520C6E"/>
    <w:rsid w:val="005216AD"/>
    <w:rsid w:val="00525BD1"/>
    <w:rsid w:val="00527A35"/>
    <w:rsid w:val="005338F9"/>
    <w:rsid w:val="00537032"/>
    <w:rsid w:val="0054281C"/>
    <w:rsid w:val="005433C2"/>
    <w:rsid w:val="00544581"/>
    <w:rsid w:val="0055268D"/>
    <w:rsid w:val="005566F2"/>
    <w:rsid w:val="0055772C"/>
    <w:rsid w:val="00565619"/>
    <w:rsid w:val="00576BE4"/>
    <w:rsid w:val="00582590"/>
    <w:rsid w:val="0058399C"/>
    <w:rsid w:val="0058438C"/>
    <w:rsid w:val="00586716"/>
    <w:rsid w:val="00587F64"/>
    <w:rsid w:val="00595C7E"/>
    <w:rsid w:val="00596E41"/>
    <w:rsid w:val="005A400A"/>
    <w:rsid w:val="005A4517"/>
    <w:rsid w:val="005C1131"/>
    <w:rsid w:val="005C40AA"/>
    <w:rsid w:val="005D0E93"/>
    <w:rsid w:val="005E03D4"/>
    <w:rsid w:val="005E1EE7"/>
    <w:rsid w:val="005E2292"/>
    <w:rsid w:val="005F7B92"/>
    <w:rsid w:val="00605DE2"/>
    <w:rsid w:val="00606651"/>
    <w:rsid w:val="006076C2"/>
    <w:rsid w:val="00612379"/>
    <w:rsid w:val="006153B6"/>
    <w:rsid w:val="0061555F"/>
    <w:rsid w:val="00636CA6"/>
    <w:rsid w:val="00641200"/>
    <w:rsid w:val="00645CA8"/>
    <w:rsid w:val="00647991"/>
    <w:rsid w:val="006655D3"/>
    <w:rsid w:val="006659CE"/>
    <w:rsid w:val="00667404"/>
    <w:rsid w:val="00674211"/>
    <w:rsid w:val="00680842"/>
    <w:rsid w:val="00682ABC"/>
    <w:rsid w:val="00687EB4"/>
    <w:rsid w:val="00690400"/>
    <w:rsid w:val="00691064"/>
    <w:rsid w:val="00693CD0"/>
    <w:rsid w:val="00694A5A"/>
    <w:rsid w:val="00695C56"/>
    <w:rsid w:val="006A33F1"/>
    <w:rsid w:val="006A5CDE"/>
    <w:rsid w:val="006A644A"/>
    <w:rsid w:val="006B17D2"/>
    <w:rsid w:val="006B1AD5"/>
    <w:rsid w:val="006C0151"/>
    <w:rsid w:val="006C224E"/>
    <w:rsid w:val="006C5B20"/>
    <w:rsid w:val="006D1040"/>
    <w:rsid w:val="006D467C"/>
    <w:rsid w:val="006D780A"/>
    <w:rsid w:val="006D7C02"/>
    <w:rsid w:val="006F1644"/>
    <w:rsid w:val="006F7637"/>
    <w:rsid w:val="0070290B"/>
    <w:rsid w:val="0071271E"/>
    <w:rsid w:val="00717065"/>
    <w:rsid w:val="00717A8E"/>
    <w:rsid w:val="007307B2"/>
    <w:rsid w:val="00732DEC"/>
    <w:rsid w:val="00735BD5"/>
    <w:rsid w:val="00735C4C"/>
    <w:rsid w:val="00744743"/>
    <w:rsid w:val="007451EC"/>
    <w:rsid w:val="00751613"/>
    <w:rsid w:val="007556F6"/>
    <w:rsid w:val="00757FD5"/>
    <w:rsid w:val="00760EEF"/>
    <w:rsid w:val="00765A52"/>
    <w:rsid w:val="00777EE5"/>
    <w:rsid w:val="0078153B"/>
    <w:rsid w:val="00782255"/>
    <w:rsid w:val="00784836"/>
    <w:rsid w:val="0079023E"/>
    <w:rsid w:val="00791547"/>
    <w:rsid w:val="007A2854"/>
    <w:rsid w:val="007B44BF"/>
    <w:rsid w:val="007C1D92"/>
    <w:rsid w:val="007C3C19"/>
    <w:rsid w:val="007C4CB9"/>
    <w:rsid w:val="007D0B9D"/>
    <w:rsid w:val="007D19B0"/>
    <w:rsid w:val="007D4635"/>
    <w:rsid w:val="007E0CF0"/>
    <w:rsid w:val="007E6582"/>
    <w:rsid w:val="007E77AB"/>
    <w:rsid w:val="007F24CF"/>
    <w:rsid w:val="007F498F"/>
    <w:rsid w:val="007F5673"/>
    <w:rsid w:val="00801793"/>
    <w:rsid w:val="008057B2"/>
    <w:rsid w:val="0080679D"/>
    <w:rsid w:val="008108B0"/>
    <w:rsid w:val="00811B20"/>
    <w:rsid w:val="00814AC9"/>
    <w:rsid w:val="008169F6"/>
    <w:rsid w:val="008211B5"/>
    <w:rsid w:val="0082296E"/>
    <w:rsid w:val="00824099"/>
    <w:rsid w:val="008304A6"/>
    <w:rsid w:val="0083304E"/>
    <w:rsid w:val="008403C8"/>
    <w:rsid w:val="00843932"/>
    <w:rsid w:val="008443BA"/>
    <w:rsid w:val="008444E4"/>
    <w:rsid w:val="00846D7C"/>
    <w:rsid w:val="008477A1"/>
    <w:rsid w:val="00850FDE"/>
    <w:rsid w:val="00854EBA"/>
    <w:rsid w:val="0086048E"/>
    <w:rsid w:val="00867AC1"/>
    <w:rsid w:val="00870689"/>
    <w:rsid w:val="008740E0"/>
    <w:rsid w:val="00885292"/>
    <w:rsid w:val="00890DF8"/>
    <w:rsid w:val="008A743F"/>
    <w:rsid w:val="008C0970"/>
    <w:rsid w:val="008D0BC5"/>
    <w:rsid w:val="008D2CF7"/>
    <w:rsid w:val="008E2D07"/>
    <w:rsid w:val="008F788D"/>
    <w:rsid w:val="008F7AF6"/>
    <w:rsid w:val="00900C26"/>
    <w:rsid w:val="0090197F"/>
    <w:rsid w:val="00903264"/>
    <w:rsid w:val="00905A34"/>
    <w:rsid w:val="00906262"/>
    <w:rsid w:val="00906DDC"/>
    <w:rsid w:val="00911282"/>
    <w:rsid w:val="009120C8"/>
    <w:rsid w:val="00915C9B"/>
    <w:rsid w:val="0091647E"/>
    <w:rsid w:val="00921C0B"/>
    <w:rsid w:val="00922768"/>
    <w:rsid w:val="00927941"/>
    <w:rsid w:val="00932164"/>
    <w:rsid w:val="00933B37"/>
    <w:rsid w:val="00934E09"/>
    <w:rsid w:val="0093562F"/>
    <w:rsid w:val="00936253"/>
    <w:rsid w:val="00940928"/>
    <w:rsid w:val="00940D46"/>
    <w:rsid w:val="009529E2"/>
    <w:rsid w:val="00952DD4"/>
    <w:rsid w:val="0095327D"/>
    <w:rsid w:val="009546E9"/>
    <w:rsid w:val="00954E7E"/>
    <w:rsid w:val="00965AE7"/>
    <w:rsid w:val="009709FD"/>
    <w:rsid w:val="00970B07"/>
    <w:rsid w:val="00970FED"/>
    <w:rsid w:val="0097748A"/>
    <w:rsid w:val="00991EFC"/>
    <w:rsid w:val="00992D82"/>
    <w:rsid w:val="00997029"/>
    <w:rsid w:val="00997AA0"/>
    <w:rsid w:val="009A0590"/>
    <w:rsid w:val="009A19D9"/>
    <w:rsid w:val="009A7339"/>
    <w:rsid w:val="009B440E"/>
    <w:rsid w:val="009B6EB2"/>
    <w:rsid w:val="009D5469"/>
    <w:rsid w:val="009D690D"/>
    <w:rsid w:val="009E2AC9"/>
    <w:rsid w:val="009E65B6"/>
    <w:rsid w:val="009F77CF"/>
    <w:rsid w:val="00A07032"/>
    <w:rsid w:val="00A14634"/>
    <w:rsid w:val="00A20604"/>
    <w:rsid w:val="00A24C10"/>
    <w:rsid w:val="00A30EB2"/>
    <w:rsid w:val="00A3248B"/>
    <w:rsid w:val="00A33078"/>
    <w:rsid w:val="00A3365A"/>
    <w:rsid w:val="00A42AC3"/>
    <w:rsid w:val="00A430CF"/>
    <w:rsid w:val="00A439CE"/>
    <w:rsid w:val="00A54309"/>
    <w:rsid w:val="00A54822"/>
    <w:rsid w:val="00A55837"/>
    <w:rsid w:val="00A61DE5"/>
    <w:rsid w:val="00A71AA4"/>
    <w:rsid w:val="00A76F64"/>
    <w:rsid w:val="00A80C9E"/>
    <w:rsid w:val="00A878D8"/>
    <w:rsid w:val="00AB11BD"/>
    <w:rsid w:val="00AB1876"/>
    <w:rsid w:val="00AB2B93"/>
    <w:rsid w:val="00AB530F"/>
    <w:rsid w:val="00AB7E5B"/>
    <w:rsid w:val="00AC2883"/>
    <w:rsid w:val="00AD4AFB"/>
    <w:rsid w:val="00AD760A"/>
    <w:rsid w:val="00AE0EF1"/>
    <w:rsid w:val="00AE2937"/>
    <w:rsid w:val="00AF2380"/>
    <w:rsid w:val="00AF28A2"/>
    <w:rsid w:val="00AF2D4F"/>
    <w:rsid w:val="00AF423C"/>
    <w:rsid w:val="00B03C6C"/>
    <w:rsid w:val="00B07301"/>
    <w:rsid w:val="00B11F3E"/>
    <w:rsid w:val="00B17B31"/>
    <w:rsid w:val="00B224DE"/>
    <w:rsid w:val="00B24DA2"/>
    <w:rsid w:val="00B301FB"/>
    <w:rsid w:val="00B324D4"/>
    <w:rsid w:val="00B33D3D"/>
    <w:rsid w:val="00B40CFA"/>
    <w:rsid w:val="00B44303"/>
    <w:rsid w:val="00B46575"/>
    <w:rsid w:val="00B51415"/>
    <w:rsid w:val="00B61777"/>
    <w:rsid w:val="00B65EE3"/>
    <w:rsid w:val="00B73A84"/>
    <w:rsid w:val="00B83422"/>
    <w:rsid w:val="00B84BBD"/>
    <w:rsid w:val="00B87318"/>
    <w:rsid w:val="00B92B8D"/>
    <w:rsid w:val="00B93E0F"/>
    <w:rsid w:val="00B95234"/>
    <w:rsid w:val="00BA2A86"/>
    <w:rsid w:val="00BA2CF8"/>
    <w:rsid w:val="00BA43FB"/>
    <w:rsid w:val="00BC127D"/>
    <w:rsid w:val="00BC176F"/>
    <w:rsid w:val="00BC1FE6"/>
    <w:rsid w:val="00BC3331"/>
    <w:rsid w:val="00BC7A30"/>
    <w:rsid w:val="00BC7ED6"/>
    <w:rsid w:val="00BD0937"/>
    <w:rsid w:val="00BD0A1D"/>
    <w:rsid w:val="00BD23CF"/>
    <w:rsid w:val="00BD37C7"/>
    <w:rsid w:val="00BF418E"/>
    <w:rsid w:val="00BF4ACC"/>
    <w:rsid w:val="00BF7A59"/>
    <w:rsid w:val="00C01CB1"/>
    <w:rsid w:val="00C0502E"/>
    <w:rsid w:val="00C061B6"/>
    <w:rsid w:val="00C0739E"/>
    <w:rsid w:val="00C15A1F"/>
    <w:rsid w:val="00C2446C"/>
    <w:rsid w:val="00C249EA"/>
    <w:rsid w:val="00C30677"/>
    <w:rsid w:val="00C35EC2"/>
    <w:rsid w:val="00C36AE5"/>
    <w:rsid w:val="00C41F17"/>
    <w:rsid w:val="00C527FA"/>
    <w:rsid w:val="00C5280D"/>
    <w:rsid w:val="00C53E33"/>
    <w:rsid w:val="00C53EB3"/>
    <w:rsid w:val="00C54A49"/>
    <w:rsid w:val="00C578B3"/>
    <w:rsid w:val="00C5791C"/>
    <w:rsid w:val="00C628B7"/>
    <w:rsid w:val="00C657BD"/>
    <w:rsid w:val="00C66148"/>
    <w:rsid w:val="00C66290"/>
    <w:rsid w:val="00C72B7A"/>
    <w:rsid w:val="00C77D04"/>
    <w:rsid w:val="00C80744"/>
    <w:rsid w:val="00C80D0C"/>
    <w:rsid w:val="00C8491D"/>
    <w:rsid w:val="00C936C2"/>
    <w:rsid w:val="00C973F2"/>
    <w:rsid w:val="00CA17BC"/>
    <w:rsid w:val="00CA304C"/>
    <w:rsid w:val="00CA774A"/>
    <w:rsid w:val="00CB0E4D"/>
    <w:rsid w:val="00CB2CC7"/>
    <w:rsid w:val="00CC03B8"/>
    <w:rsid w:val="00CC081E"/>
    <w:rsid w:val="00CC11B0"/>
    <w:rsid w:val="00CC2841"/>
    <w:rsid w:val="00CC6CF4"/>
    <w:rsid w:val="00CF1330"/>
    <w:rsid w:val="00CF7E36"/>
    <w:rsid w:val="00D05626"/>
    <w:rsid w:val="00D10AF9"/>
    <w:rsid w:val="00D11374"/>
    <w:rsid w:val="00D2198A"/>
    <w:rsid w:val="00D220B5"/>
    <w:rsid w:val="00D253A7"/>
    <w:rsid w:val="00D27321"/>
    <w:rsid w:val="00D317C9"/>
    <w:rsid w:val="00D321C8"/>
    <w:rsid w:val="00D3708D"/>
    <w:rsid w:val="00D40426"/>
    <w:rsid w:val="00D44D53"/>
    <w:rsid w:val="00D527AA"/>
    <w:rsid w:val="00D57C96"/>
    <w:rsid w:val="00D57D18"/>
    <w:rsid w:val="00D61DE6"/>
    <w:rsid w:val="00D6221B"/>
    <w:rsid w:val="00D65204"/>
    <w:rsid w:val="00D662DA"/>
    <w:rsid w:val="00D7623D"/>
    <w:rsid w:val="00D7712B"/>
    <w:rsid w:val="00D77DA5"/>
    <w:rsid w:val="00D851EC"/>
    <w:rsid w:val="00D91203"/>
    <w:rsid w:val="00D95174"/>
    <w:rsid w:val="00D95910"/>
    <w:rsid w:val="00DA4973"/>
    <w:rsid w:val="00DA6F36"/>
    <w:rsid w:val="00DB2EB5"/>
    <w:rsid w:val="00DB596E"/>
    <w:rsid w:val="00DB69C0"/>
    <w:rsid w:val="00DB7773"/>
    <w:rsid w:val="00DC00EA"/>
    <w:rsid w:val="00DC3802"/>
    <w:rsid w:val="00DE1830"/>
    <w:rsid w:val="00DE502B"/>
    <w:rsid w:val="00DF28C0"/>
    <w:rsid w:val="00DF6131"/>
    <w:rsid w:val="00DF7EFB"/>
    <w:rsid w:val="00E07D87"/>
    <w:rsid w:val="00E32F7E"/>
    <w:rsid w:val="00E5267B"/>
    <w:rsid w:val="00E57FD3"/>
    <w:rsid w:val="00E6161C"/>
    <w:rsid w:val="00E63C0E"/>
    <w:rsid w:val="00E663C0"/>
    <w:rsid w:val="00E6773C"/>
    <w:rsid w:val="00E7222D"/>
    <w:rsid w:val="00E72D49"/>
    <w:rsid w:val="00E75714"/>
    <w:rsid w:val="00E7593C"/>
    <w:rsid w:val="00E7678A"/>
    <w:rsid w:val="00E8206B"/>
    <w:rsid w:val="00E8540A"/>
    <w:rsid w:val="00E935F1"/>
    <w:rsid w:val="00E94A81"/>
    <w:rsid w:val="00EA1FFB"/>
    <w:rsid w:val="00EA6058"/>
    <w:rsid w:val="00EB048E"/>
    <w:rsid w:val="00EB4569"/>
    <w:rsid w:val="00EB4E9C"/>
    <w:rsid w:val="00EC433F"/>
    <w:rsid w:val="00EC6411"/>
    <w:rsid w:val="00ED4FF6"/>
    <w:rsid w:val="00ED5948"/>
    <w:rsid w:val="00EE0800"/>
    <w:rsid w:val="00EE089B"/>
    <w:rsid w:val="00EE34DF"/>
    <w:rsid w:val="00EE6431"/>
    <w:rsid w:val="00EF2D5B"/>
    <w:rsid w:val="00EF2F89"/>
    <w:rsid w:val="00F019C0"/>
    <w:rsid w:val="00F03E98"/>
    <w:rsid w:val="00F109E2"/>
    <w:rsid w:val="00F1237A"/>
    <w:rsid w:val="00F21B13"/>
    <w:rsid w:val="00F22CBD"/>
    <w:rsid w:val="00F272F1"/>
    <w:rsid w:val="00F36A74"/>
    <w:rsid w:val="00F44735"/>
    <w:rsid w:val="00F45372"/>
    <w:rsid w:val="00F536AE"/>
    <w:rsid w:val="00F560F7"/>
    <w:rsid w:val="00F61E1D"/>
    <w:rsid w:val="00F6334D"/>
    <w:rsid w:val="00F63599"/>
    <w:rsid w:val="00F70885"/>
    <w:rsid w:val="00F80DAB"/>
    <w:rsid w:val="00F83840"/>
    <w:rsid w:val="00F86F80"/>
    <w:rsid w:val="00F87983"/>
    <w:rsid w:val="00F910A7"/>
    <w:rsid w:val="00FA34D1"/>
    <w:rsid w:val="00FA49AB"/>
    <w:rsid w:val="00FB06F0"/>
    <w:rsid w:val="00FB1318"/>
    <w:rsid w:val="00FC47DB"/>
    <w:rsid w:val="00FC71E7"/>
    <w:rsid w:val="00FD73A9"/>
    <w:rsid w:val="00FE1638"/>
    <w:rsid w:val="00FE39C7"/>
    <w:rsid w:val="00FF4D07"/>
    <w:rsid w:val="00FF75F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9DBB375"/>
  <w15:docId w15:val="{D2D02EE0-B782-451A-8195-B753E48D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68"/>
    <w:pPr>
      <w:jc w:val="both"/>
    </w:pPr>
    <w:rPr>
      <w:rFonts w:ascii="Arial" w:hAnsi="Arial"/>
      <w:lang w:val="es-ES_tradnl"/>
    </w:rPr>
  </w:style>
  <w:style w:type="paragraph" w:styleId="Heading1">
    <w:name w:val="heading 1"/>
    <w:next w:val="Normal"/>
    <w:link w:val="Heading1Char"/>
    <w:qFormat/>
    <w:rsid w:val="00EA6058"/>
    <w:pPr>
      <w:keepNext/>
      <w:jc w:val="both"/>
      <w:outlineLvl w:val="0"/>
    </w:pPr>
    <w:rPr>
      <w:rFonts w:ascii="Arial" w:hAnsi="Arial"/>
      <w:b/>
      <w:caps/>
    </w:rPr>
  </w:style>
  <w:style w:type="paragraph" w:styleId="Heading2">
    <w:name w:val="heading 2"/>
    <w:next w:val="Normal"/>
    <w:link w:val="Heading2Char"/>
    <w:qFormat/>
    <w:rsid w:val="00EA6058"/>
    <w:pPr>
      <w:keepNext/>
      <w:jc w:val="both"/>
      <w:outlineLvl w:val="1"/>
    </w:pPr>
    <w:rPr>
      <w:rFonts w:ascii="Arial Bold" w:hAnsi="Arial Bold"/>
      <w:b/>
    </w:rPr>
  </w:style>
  <w:style w:type="paragraph" w:styleId="Heading3">
    <w:name w:val="heading 3"/>
    <w:next w:val="Normal"/>
    <w:autoRedefine/>
    <w:qFormat/>
    <w:rsid w:val="00EA6058"/>
    <w:pPr>
      <w:keepNext/>
      <w:jc w:val="both"/>
      <w:outlineLvl w:val="2"/>
    </w:pPr>
    <w:rPr>
      <w:rFonts w:ascii="Arial" w:hAnsi="Arial"/>
      <w:i/>
    </w:rPr>
  </w:style>
  <w:style w:type="paragraph" w:styleId="Heading4">
    <w:name w:val="heading 4"/>
    <w:next w:val="Normal"/>
    <w:autoRedefine/>
    <w:qFormat/>
    <w:rsid w:val="00EA6058"/>
    <w:pPr>
      <w:keepNext/>
      <w:ind w:left="567"/>
      <w:jc w:val="both"/>
      <w:outlineLvl w:val="3"/>
    </w:pPr>
    <w:rPr>
      <w:rFonts w:ascii="Arial" w:hAnsi="Arial"/>
      <w:i/>
      <w:lang w:val="fr-FR"/>
    </w:rPr>
  </w:style>
  <w:style w:type="paragraph" w:styleId="Heading5">
    <w:name w:val="heading 5"/>
    <w:next w:val="Normal"/>
    <w:autoRedefine/>
    <w:qFormat/>
    <w:rsid w:val="00EA6058"/>
    <w:pPr>
      <w:keepNext/>
      <w:ind w:left="1134" w:hanging="567"/>
      <w:jc w:val="both"/>
      <w:outlineLvl w:val="4"/>
    </w:pPr>
    <w:rPr>
      <w:rFonts w:ascii="Arial" w:hAnsi="Arial"/>
      <w:sz w:val="18"/>
      <w:szCs w:val="18"/>
    </w:rPr>
  </w:style>
  <w:style w:type="paragraph" w:styleId="Heading9">
    <w:name w:val="heading 9"/>
    <w:basedOn w:val="Normal"/>
    <w:next w:val="Normal"/>
    <w:qFormat/>
    <w:rsid w:val="00EA60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6058"/>
    <w:pPr>
      <w:jc w:val="center"/>
    </w:pPr>
    <w:rPr>
      <w:rFonts w:ascii="Arial" w:hAnsi="Arial"/>
      <w:lang w:val="fr-FR"/>
    </w:rPr>
  </w:style>
  <w:style w:type="paragraph" w:styleId="Footer">
    <w:name w:val="footer"/>
    <w:aliases w:val="doc_path_name"/>
    <w:link w:val="FooterChar"/>
    <w:autoRedefine/>
    <w:uiPriority w:val="99"/>
    <w:rsid w:val="00EA6058"/>
    <w:pPr>
      <w:jc w:val="both"/>
    </w:pPr>
    <w:rPr>
      <w:rFonts w:ascii="Arial" w:hAnsi="Arial"/>
      <w:sz w:val="14"/>
    </w:rPr>
  </w:style>
  <w:style w:type="character" w:styleId="PageNumber">
    <w:name w:val="page number"/>
    <w:basedOn w:val="DefaultParagraphFont"/>
    <w:rsid w:val="00EA6058"/>
    <w:rPr>
      <w:rFonts w:ascii="Arial" w:hAnsi="Arial"/>
      <w:sz w:val="20"/>
    </w:rPr>
  </w:style>
  <w:style w:type="paragraph" w:styleId="Title">
    <w:name w:val="Title"/>
    <w:basedOn w:val="Normal"/>
    <w:qFormat/>
    <w:rsid w:val="00EA6058"/>
    <w:pPr>
      <w:spacing w:after="300"/>
      <w:jc w:val="center"/>
    </w:pPr>
    <w:rPr>
      <w:b/>
      <w:caps/>
      <w:kern w:val="28"/>
      <w:sz w:val="30"/>
    </w:rPr>
  </w:style>
  <w:style w:type="paragraph" w:customStyle="1" w:styleId="preparedby">
    <w:name w:val="preparedby"/>
    <w:basedOn w:val="Normal"/>
    <w:next w:val="Normal"/>
    <w:semiHidden/>
    <w:rsid w:val="00EA6058"/>
    <w:pPr>
      <w:spacing w:after="600"/>
      <w:jc w:val="center"/>
    </w:pPr>
    <w:rPr>
      <w:i/>
    </w:rPr>
  </w:style>
  <w:style w:type="paragraph" w:customStyle="1" w:styleId="Docoriginal">
    <w:name w:val="Doc_original"/>
    <w:basedOn w:val="Code"/>
    <w:link w:val="DocoriginalChar"/>
    <w:rsid w:val="00EA6058"/>
    <w:pPr>
      <w:spacing w:before="240" w:line="240" w:lineRule="exact"/>
      <w:ind w:left="0"/>
      <w:contextualSpacing/>
      <w:jc w:val="left"/>
    </w:pPr>
    <w:rPr>
      <w:sz w:val="18"/>
    </w:rPr>
  </w:style>
  <w:style w:type="paragraph" w:customStyle="1" w:styleId="DecisionParagraphs">
    <w:name w:val="DecisionParagraphs"/>
    <w:basedOn w:val="Normal"/>
    <w:rsid w:val="00EA6058"/>
    <w:pPr>
      <w:tabs>
        <w:tab w:val="left" w:pos="5387"/>
        <w:tab w:val="left" w:pos="5954"/>
      </w:tabs>
      <w:ind w:left="4820"/>
    </w:pPr>
    <w:rPr>
      <w:i/>
    </w:rPr>
  </w:style>
  <w:style w:type="paragraph" w:styleId="FootnoteText">
    <w:name w:val="footnote text"/>
    <w:autoRedefine/>
    <w:rsid w:val="00EA6058"/>
    <w:pPr>
      <w:spacing w:before="60"/>
      <w:ind w:left="567" w:hanging="567"/>
      <w:jc w:val="both"/>
    </w:pPr>
    <w:rPr>
      <w:rFonts w:ascii="Arial" w:hAnsi="Arial"/>
      <w:sz w:val="16"/>
    </w:rPr>
  </w:style>
  <w:style w:type="character" w:styleId="FootnoteReference">
    <w:name w:val="footnote reference"/>
    <w:basedOn w:val="DefaultParagraphFont"/>
    <w:semiHidden/>
    <w:rsid w:val="00EA6058"/>
    <w:rPr>
      <w:vertAlign w:val="superscript"/>
    </w:rPr>
  </w:style>
  <w:style w:type="paragraph" w:styleId="Closing">
    <w:name w:val="Closing"/>
    <w:basedOn w:val="Normal"/>
    <w:rsid w:val="00EA6058"/>
    <w:pPr>
      <w:ind w:left="4536"/>
      <w:jc w:val="center"/>
    </w:pPr>
  </w:style>
  <w:style w:type="paragraph" w:styleId="Index1">
    <w:name w:val="index 1"/>
    <w:basedOn w:val="Normal"/>
    <w:next w:val="Normal"/>
    <w:semiHidden/>
    <w:rsid w:val="00EA6058"/>
    <w:pPr>
      <w:tabs>
        <w:tab w:val="right" w:leader="dot" w:pos="9071"/>
      </w:tabs>
      <w:ind w:left="284" w:hanging="284"/>
    </w:pPr>
    <w:rPr>
      <w:sz w:val="24"/>
    </w:rPr>
  </w:style>
  <w:style w:type="paragraph" w:styleId="Index2">
    <w:name w:val="index 2"/>
    <w:basedOn w:val="Normal"/>
    <w:next w:val="Normal"/>
    <w:semiHidden/>
    <w:rsid w:val="00EA6058"/>
    <w:pPr>
      <w:tabs>
        <w:tab w:val="right" w:leader="dot" w:pos="9071"/>
      </w:tabs>
      <w:ind w:left="568" w:hanging="284"/>
    </w:pPr>
    <w:rPr>
      <w:sz w:val="24"/>
    </w:rPr>
  </w:style>
  <w:style w:type="paragraph" w:styleId="Index3">
    <w:name w:val="index 3"/>
    <w:basedOn w:val="Normal"/>
    <w:next w:val="Normal"/>
    <w:semiHidden/>
    <w:rsid w:val="00EA6058"/>
    <w:pPr>
      <w:tabs>
        <w:tab w:val="right" w:leader="dot" w:pos="9071"/>
      </w:tabs>
      <w:ind w:left="851" w:hanging="284"/>
    </w:pPr>
    <w:rPr>
      <w:sz w:val="24"/>
    </w:rPr>
  </w:style>
  <w:style w:type="paragraph" w:styleId="MacroText">
    <w:name w:val="macro"/>
    <w:semiHidden/>
    <w:rsid w:val="00EA6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6058"/>
    <w:pPr>
      <w:ind w:left="4536"/>
      <w:jc w:val="center"/>
    </w:pPr>
  </w:style>
  <w:style w:type="character" w:customStyle="1" w:styleId="Doclang">
    <w:name w:val="Doc_lang"/>
    <w:basedOn w:val="DefaultParagraphFont"/>
    <w:rsid w:val="00EA6058"/>
    <w:rPr>
      <w:rFonts w:ascii="Arial" w:hAnsi="Arial"/>
      <w:sz w:val="20"/>
      <w:lang w:val="en-US"/>
    </w:rPr>
  </w:style>
  <w:style w:type="paragraph" w:customStyle="1" w:styleId="Session">
    <w:name w:val="Session"/>
    <w:basedOn w:val="Normal"/>
    <w:semiHidden/>
    <w:rsid w:val="00EA6058"/>
    <w:pPr>
      <w:spacing w:before="60"/>
      <w:jc w:val="center"/>
    </w:pPr>
    <w:rPr>
      <w:b/>
    </w:rPr>
  </w:style>
  <w:style w:type="paragraph" w:customStyle="1" w:styleId="Organizer">
    <w:name w:val="Organizer"/>
    <w:basedOn w:val="Normal"/>
    <w:semiHidden/>
    <w:rsid w:val="00EA6058"/>
    <w:pPr>
      <w:spacing w:after="600"/>
      <w:ind w:left="-993" w:right="-994"/>
      <w:jc w:val="center"/>
    </w:pPr>
    <w:rPr>
      <w:b/>
      <w:caps/>
      <w:kern w:val="26"/>
      <w:sz w:val="26"/>
    </w:rPr>
  </w:style>
  <w:style w:type="paragraph" w:styleId="BodyText">
    <w:name w:val="Body Text"/>
    <w:basedOn w:val="Normal"/>
    <w:rsid w:val="00EA6058"/>
  </w:style>
  <w:style w:type="paragraph" w:customStyle="1" w:styleId="Disclaimer">
    <w:name w:val="Disclaimer"/>
    <w:next w:val="Normal"/>
    <w:qFormat/>
    <w:rsid w:val="00EA6058"/>
    <w:pPr>
      <w:spacing w:after="600"/>
    </w:pPr>
    <w:rPr>
      <w:rFonts w:ascii="Arial" w:hAnsi="Arial"/>
      <w:i/>
      <w:iCs/>
      <w:color w:val="A6A6A6" w:themeColor="background1" w:themeShade="A6"/>
    </w:rPr>
  </w:style>
  <w:style w:type="paragraph" w:customStyle="1" w:styleId="upove">
    <w:name w:val="upov_e"/>
    <w:basedOn w:val="Normal"/>
    <w:rsid w:val="00EA6058"/>
    <w:pPr>
      <w:spacing w:before="120"/>
    </w:pPr>
    <w:rPr>
      <w:sz w:val="16"/>
    </w:rPr>
  </w:style>
  <w:style w:type="paragraph" w:customStyle="1" w:styleId="TitleofDoc">
    <w:name w:val="Title of Doc"/>
    <w:basedOn w:val="Normal"/>
    <w:semiHidden/>
    <w:rsid w:val="00EA6058"/>
    <w:pPr>
      <w:spacing w:before="1200"/>
      <w:jc w:val="center"/>
    </w:pPr>
    <w:rPr>
      <w:caps/>
    </w:rPr>
  </w:style>
  <w:style w:type="paragraph" w:customStyle="1" w:styleId="preparedby0">
    <w:name w:val="prepared by"/>
    <w:basedOn w:val="Normal"/>
    <w:semiHidden/>
    <w:rsid w:val="00EA6058"/>
    <w:pPr>
      <w:spacing w:before="600" w:after="600"/>
      <w:jc w:val="center"/>
    </w:pPr>
    <w:rPr>
      <w:i/>
    </w:rPr>
  </w:style>
  <w:style w:type="paragraph" w:customStyle="1" w:styleId="PlaceAndDate">
    <w:name w:val="PlaceAndDate"/>
    <w:basedOn w:val="Session"/>
    <w:semiHidden/>
    <w:rsid w:val="00EA6058"/>
  </w:style>
  <w:style w:type="paragraph" w:styleId="EndnoteText">
    <w:name w:val="endnote text"/>
    <w:basedOn w:val="Normal"/>
    <w:semiHidden/>
    <w:rsid w:val="00EA6058"/>
  </w:style>
  <w:style w:type="character" w:styleId="EndnoteReference">
    <w:name w:val="endnote reference"/>
    <w:basedOn w:val="DefaultParagraphFont"/>
    <w:semiHidden/>
    <w:rsid w:val="00EA6058"/>
    <w:rPr>
      <w:vertAlign w:val="superscript"/>
    </w:rPr>
  </w:style>
  <w:style w:type="paragraph" w:customStyle="1" w:styleId="SessionMeetingPlace">
    <w:name w:val="Session_MeetingPlace"/>
    <w:basedOn w:val="Normal"/>
    <w:semiHidden/>
    <w:rsid w:val="00EA6058"/>
    <w:pPr>
      <w:spacing w:before="480"/>
      <w:jc w:val="center"/>
    </w:pPr>
    <w:rPr>
      <w:b/>
      <w:bCs/>
      <w:kern w:val="28"/>
      <w:sz w:val="24"/>
    </w:rPr>
  </w:style>
  <w:style w:type="paragraph" w:customStyle="1" w:styleId="Original">
    <w:name w:val="Original"/>
    <w:basedOn w:val="Normal"/>
    <w:semiHidden/>
    <w:rsid w:val="00EA6058"/>
    <w:pPr>
      <w:spacing w:before="60"/>
      <w:ind w:left="1276"/>
    </w:pPr>
    <w:rPr>
      <w:b/>
      <w:sz w:val="22"/>
    </w:rPr>
  </w:style>
  <w:style w:type="paragraph" w:styleId="Date">
    <w:name w:val="Date"/>
    <w:basedOn w:val="Normal"/>
    <w:semiHidden/>
    <w:rsid w:val="00EA6058"/>
    <w:pPr>
      <w:spacing w:line="340" w:lineRule="exact"/>
      <w:ind w:left="1276"/>
    </w:pPr>
    <w:rPr>
      <w:b/>
      <w:sz w:val="22"/>
    </w:rPr>
  </w:style>
  <w:style w:type="paragraph" w:customStyle="1" w:styleId="Code">
    <w:name w:val="Code"/>
    <w:basedOn w:val="Normal"/>
    <w:link w:val="CodeChar"/>
    <w:semiHidden/>
    <w:rsid w:val="00EA6058"/>
    <w:pPr>
      <w:spacing w:line="340" w:lineRule="atLeast"/>
      <w:ind w:left="1276"/>
    </w:pPr>
    <w:rPr>
      <w:b/>
      <w:bCs/>
      <w:spacing w:val="10"/>
    </w:rPr>
  </w:style>
  <w:style w:type="paragraph" w:customStyle="1" w:styleId="Country">
    <w:name w:val="Country"/>
    <w:basedOn w:val="Normal"/>
    <w:semiHidden/>
    <w:rsid w:val="00EA6058"/>
    <w:pPr>
      <w:spacing w:before="60" w:after="480"/>
      <w:jc w:val="center"/>
    </w:pPr>
  </w:style>
  <w:style w:type="paragraph" w:customStyle="1" w:styleId="Lettrine">
    <w:name w:val="Lettrine"/>
    <w:basedOn w:val="Normal"/>
    <w:rsid w:val="00EA6058"/>
    <w:pPr>
      <w:spacing w:line="340" w:lineRule="atLeast"/>
      <w:jc w:val="right"/>
    </w:pPr>
    <w:rPr>
      <w:b/>
      <w:bCs/>
      <w:sz w:val="36"/>
    </w:rPr>
  </w:style>
  <w:style w:type="paragraph" w:customStyle="1" w:styleId="LogoUPOV">
    <w:name w:val="LogoUPOV"/>
    <w:basedOn w:val="Normal"/>
    <w:rsid w:val="00EA6058"/>
    <w:pPr>
      <w:spacing w:before="600" w:after="80"/>
      <w:jc w:val="center"/>
    </w:pPr>
    <w:rPr>
      <w:snapToGrid w:val="0"/>
    </w:rPr>
  </w:style>
  <w:style w:type="paragraph" w:customStyle="1" w:styleId="Sessiontc">
    <w:name w:val="Session_tc"/>
    <w:basedOn w:val="StyleSessionAllcaps"/>
    <w:rsid w:val="00EA6058"/>
    <w:pPr>
      <w:spacing w:before="0" w:line="280" w:lineRule="exact"/>
      <w:jc w:val="left"/>
    </w:pPr>
    <w:rPr>
      <w:caps w:val="0"/>
      <w:sz w:val="20"/>
    </w:rPr>
  </w:style>
  <w:style w:type="paragraph" w:customStyle="1" w:styleId="TitreUpov">
    <w:name w:val="TitreUpov"/>
    <w:basedOn w:val="Normal"/>
    <w:semiHidden/>
    <w:rsid w:val="00EA6058"/>
    <w:pPr>
      <w:spacing w:before="60"/>
      <w:jc w:val="center"/>
    </w:pPr>
    <w:rPr>
      <w:b/>
      <w:sz w:val="24"/>
    </w:rPr>
  </w:style>
  <w:style w:type="paragraph" w:customStyle="1" w:styleId="StyleSessionAllcaps">
    <w:name w:val="Style Session + All caps"/>
    <w:basedOn w:val="Session"/>
    <w:semiHidden/>
    <w:rsid w:val="00EA6058"/>
    <w:pPr>
      <w:spacing w:before="480"/>
    </w:pPr>
    <w:rPr>
      <w:bCs/>
      <w:caps/>
      <w:kern w:val="28"/>
      <w:sz w:val="24"/>
    </w:rPr>
  </w:style>
  <w:style w:type="paragraph" w:customStyle="1" w:styleId="plcountry">
    <w:name w:val="plcountry"/>
    <w:basedOn w:val="Normal"/>
    <w:rsid w:val="00EA6058"/>
    <w:pPr>
      <w:keepNext/>
      <w:keepLines/>
      <w:spacing w:before="180" w:after="120"/>
      <w:jc w:val="left"/>
    </w:pPr>
    <w:rPr>
      <w:caps/>
      <w:noProof/>
      <w:snapToGrid w:val="0"/>
      <w:u w:val="single"/>
    </w:rPr>
  </w:style>
  <w:style w:type="paragraph" w:customStyle="1" w:styleId="pldetails">
    <w:name w:val="pldetails"/>
    <w:basedOn w:val="Normal"/>
    <w:rsid w:val="00EA6058"/>
    <w:pPr>
      <w:keepLines/>
      <w:spacing w:before="60" w:after="60"/>
      <w:jc w:val="left"/>
    </w:pPr>
    <w:rPr>
      <w:noProof/>
      <w:snapToGrid w:val="0"/>
    </w:rPr>
  </w:style>
  <w:style w:type="paragraph" w:customStyle="1" w:styleId="plheading">
    <w:name w:val="plheading"/>
    <w:basedOn w:val="Normal"/>
    <w:rsid w:val="00EA6058"/>
    <w:pPr>
      <w:keepNext/>
      <w:spacing w:before="480" w:after="120"/>
      <w:jc w:val="center"/>
    </w:pPr>
    <w:rPr>
      <w:caps/>
      <w:snapToGrid w:val="0"/>
      <w:u w:val="single"/>
    </w:rPr>
  </w:style>
  <w:style w:type="paragraph" w:customStyle="1" w:styleId="Sessiontcplacedate">
    <w:name w:val="Session_tc_place_date"/>
    <w:basedOn w:val="SessionMeetingPlace"/>
    <w:rsid w:val="00EA6058"/>
    <w:pPr>
      <w:spacing w:before="240"/>
      <w:contextualSpacing/>
      <w:jc w:val="left"/>
    </w:pPr>
    <w:rPr>
      <w:sz w:val="20"/>
    </w:rPr>
  </w:style>
  <w:style w:type="paragraph" w:customStyle="1" w:styleId="Titleofdoc0">
    <w:name w:val="Title_of_doc"/>
    <w:basedOn w:val="TitleofDoc"/>
    <w:rsid w:val="00EA6058"/>
    <w:pPr>
      <w:spacing w:before="600" w:after="240"/>
      <w:jc w:val="left"/>
    </w:pPr>
    <w:rPr>
      <w:b/>
    </w:rPr>
  </w:style>
  <w:style w:type="paragraph" w:customStyle="1" w:styleId="preparedby1">
    <w:name w:val="prepared_by"/>
    <w:basedOn w:val="preparedby0"/>
    <w:rsid w:val="00EA6058"/>
    <w:pPr>
      <w:spacing w:before="0" w:after="240"/>
    </w:pPr>
    <w:rPr>
      <w:iCs/>
    </w:rPr>
  </w:style>
  <w:style w:type="character" w:customStyle="1" w:styleId="CodeChar">
    <w:name w:val="Code Char"/>
    <w:basedOn w:val="DefaultParagraphFont"/>
    <w:link w:val="Code"/>
    <w:semiHidden/>
    <w:rsid w:val="00EA6058"/>
    <w:rPr>
      <w:rFonts w:ascii="Arial" w:hAnsi="Arial"/>
      <w:b/>
      <w:bCs/>
      <w:spacing w:val="10"/>
    </w:rPr>
  </w:style>
  <w:style w:type="paragraph" w:customStyle="1" w:styleId="endofdoc">
    <w:name w:val="end_of_doc"/>
    <w:next w:val="Header"/>
    <w:autoRedefine/>
    <w:rsid w:val="00EA6058"/>
    <w:pPr>
      <w:spacing w:before="480"/>
      <w:ind w:left="567" w:hanging="567"/>
      <w:jc w:val="right"/>
    </w:pPr>
    <w:rPr>
      <w:rFonts w:ascii="Arial" w:hAnsi="Arial"/>
    </w:rPr>
  </w:style>
  <w:style w:type="character" w:customStyle="1" w:styleId="DocoriginalChar">
    <w:name w:val="Doc_original Char"/>
    <w:basedOn w:val="CodeChar"/>
    <w:link w:val="Docoriginal"/>
    <w:rsid w:val="00EA6058"/>
    <w:rPr>
      <w:rFonts w:ascii="Arial" w:hAnsi="Arial"/>
      <w:b/>
      <w:bCs/>
      <w:spacing w:val="10"/>
      <w:sz w:val="18"/>
    </w:rPr>
  </w:style>
  <w:style w:type="paragraph" w:styleId="TOC2">
    <w:name w:val="toc 2"/>
    <w:next w:val="Normal"/>
    <w:autoRedefine/>
    <w:uiPriority w:val="39"/>
    <w:rsid w:val="00EA6058"/>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EA6058"/>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EA6058"/>
    <w:rPr>
      <w:rFonts w:ascii="Arial" w:hAnsi="Arial"/>
      <w:color w:val="0000FF"/>
      <w:u w:val="single"/>
    </w:rPr>
  </w:style>
  <w:style w:type="paragraph" w:styleId="TOC4">
    <w:name w:val="toc 4"/>
    <w:next w:val="Normal"/>
    <w:autoRedefine/>
    <w:rsid w:val="00EA6058"/>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EA6058"/>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EA6058"/>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EA6058"/>
    <w:rPr>
      <w:rFonts w:ascii="Tahoma" w:hAnsi="Tahoma" w:cs="Tahoma"/>
      <w:sz w:val="16"/>
      <w:szCs w:val="16"/>
    </w:rPr>
  </w:style>
  <w:style w:type="character" w:customStyle="1" w:styleId="BalloonTextChar">
    <w:name w:val="Balloon Text Char"/>
    <w:basedOn w:val="DefaultParagraphFont"/>
    <w:link w:val="BalloonText"/>
    <w:rsid w:val="00EA6058"/>
    <w:rPr>
      <w:rFonts w:ascii="Tahoma" w:hAnsi="Tahoma" w:cs="Tahoma"/>
      <w:sz w:val="16"/>
      <w:szCs w:val="16"/>
    </w:rPr>
  </w:style>
  <w:style w:type="paragraph" w:customStyle="1" w:styleId="Doccode">
    <w:name w:val="Doc_code"/>
    <w:qFormat/>
    <w:rsid w:val="00EA6058"/>
    <w:rPr>
      <w:rFonts w:ascii="Arial" w:hAnsi="Arial"/>
      <w:b/>
      <w:bCs/>
      <w:spacing w:val="10"/>
      <w:sz w:val="18"/>
    </w:rPr>
  </w:style>
  <w:style w:type="paragraph" w:styleId="ListParagraph">
    <w:name w:val="List Paragraph"/>
    <w:basedOn w:val="Normal"/>
    <w:uiPriority w:val="34"/>
    <w:qFormat/>
    <w:rsid w:val="00EA6058"/>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EA6058"/>
    <w:pPr>
      <w:numPr>
        <w:numId w:val="33"/>
      </w:numPr>
      <w:tabs>
        <w:tab w:val="left" w:pos="851"/>
      </w:tabs>
      <w:contextualSpacing/>
    </w:pPr>
    <w:rPr>
      <w:snapToGrid w:val="0"/>
    </w:rPr>
  </w:style>
  <w:style w:type="paragraph" w:styleId="Salutation">
    <w:name w:val="Salutation"/>
    <w:basedOn w:val="Normal"/>
    <w:next w:val="Normal"/>
    <w:link w:val="SalutationChar"/>
    <w:rsid w:val="00EA6058"/>
    <w:pPr>
      <w:jc w:val="left"/>
    </w:pPr>
    <w:rPr>
      <w:rFonts w:cs="Arial"/>
      <w:sz w:val="22"/>
    </w:rPr>
  </w:style>
  <w:style w:type="character" w:customStyle="1" w:styleId="SalutationChar">
    <w:name w:val="Salutation Char"/>
    <w:basedOn w:val="DefaultParagraphFont"/>
    <w:link w:val="Salutation"/>
    <w:rsid w:val="00EA6058"/>
    <w:rPr>
      <w:rFonts w:ascii="Arial" w:hAnsi="Arial" w:cs="Arial"/>
      <w:sz w:val="22"/>
    </w:rPr>
  </w:style>
  <w:style w:type="paragraph" w:styleId="Caption">
    <w:name w:val="caption"/>
    <w:basedOn w:val="Normal"/>
    <w:next w:val="Normal"/>
    <w:qFormat/>
    <w:rsid w:val="00EA6058"/>
    <w:pPr>
      <w:jc w:val="left"/>
    </w:pPr>
    <w:rPr>
      <w:rFonts w:cs="Arial"/>
      <w:b/>
      <w:bCs/>
      <w:sz w:val="18"/>
    </w:rPr>
  </w:style>
  <w:style w:type="paragraph" w:styleId="CommentText">
    <w:name w:val="annotation text"/>
    <w:basedOn w:val="Normal"/>
    <w:link w:val="CommentTextChar"/>
    <w:rsid w:val="00EA6058"/>
    <w:pPr>
      <w:jc w:val="left"/>
    </w:pPr>
    <w:rPr>
      <w:rFonts w:cs="Arial"/>
      <w:sz w:val="18"/>
    </w:rPr>
  </w:style>
  <w:style w:type="character" w:customStyle="1" w:styleId="CommentTextChar">
    <w:name w:val="Comment Text Char"/>
    <w:basedOn w:val="DefaultParagraphFont"/>
    <w:link w:val="CommentText"/>
    <w:rsid w:val="00EA6058"/>
    <w:rPr>
      <w:rFonts w:ascii="Arial" w:hAnsi="Arial" w:cs="Arial"/>
      <w:sz w:val="18"/>
    </w:rPr>
  </w:style>
  <w:style w:type="paragraph" w:customStyle="1" w:styleId="ONUMFS">
    <w:name w:val="ONUM FS"/>
    <w:basedOn w:val="BodyText"/>
    <w:rsid w:val="00EA6058"/>
    <w:pPr>
      <w:numPr>
        <w:numId w:val="32"/>
      </w:numPr>
      <w:spacing w:after="220"/>
      <w:jc w:val="left"/>
    </w:pPr>
    <w:rPr>
      <w:rFonts w:cs="Arial"/>
      <w:sz w:val="22"/>
    </w:rPr>
  </w:style>
  <w:style w:type="paragraph" w:customStyle="1" w:styleId="ONUME">
    <w:name w:val="ONUM E"/>
    <w:basedOn w:val="BodyText"/>
    <w:rsid w:val="00EA6058"/>
    <w:pPr>
      <w:numPr>
        <w:numId w:val="31"/>
      </w:numPr>
      <w:spacing w:after="220"/>
      <w:jc w:val="left"/>
    </w:pPr>
    <w:rPr>
      <w:rFonts w:cs="Arial"/>
      <w:sz w:val="22"/>
    </w:rPr>
  </w:style>
  <w:style w:type="paragraph" w:styleId="ListNumber">
    <w:name w:val="List Number"/>
    <w:basedOn w:val="Normal"/>
    <w:rsid w:val="00EA6058"/>
    <w:pPr>
      <w:numPr>
        <w:numId w:val="30"/>
      </w:numPr>
      <w:jc w:val="left"/>
    </w:pPr>
    <w:rPr>
      <w:rFonts w:cs="Arial"/>
      <w:sz w:val="22"/>
    </w:rPr>
  </w:style>
  <w:style w:type="paragraph" w:customStyle="1" w:styleId="Style3">
    <w:name w:val="Style3"/>
    <w:basedOn w:val="Normal"/>
    <w:link w:val="Style3Char"/>
    <w:rsid w:val="00EA6058"/>
    <w:pPr>
      <w:spacing w:after="120"/>
    </w:pPr>
    <w:rPr>
      <w:sz w:val="22"/>
    </w:rPr>
  </w:style>
  <w:style w:type="character" w:customStyle="1" w:styleId="Style3Char">
    <w:name w:val="Style3 Char"/>
    <w:link w:val="Style3"/>
    <w:rsid w:val="00EA6058"/>
    <w:rPr>
      <w:rFonts w:ascii="Arial" w:hAnsi="Arial"/>
      <w:sz w:val="22"/>
    </w:rPr>
  </w:style>
  <w:style w:type="paragraph" w:customStyle="1" w:styleId="Style3Bold">
    <w:name w:val="Style3 + Bold"/>
    <w:basedOn w:val="Style3"/>
    <w:rsid w:val="00EA6058"/>
    <w:rPr>
      <w:b/>
      <w:bCs/>
    </w:rPr>
  </w:style>
  <w:style w:type="character" w:styleId="SubtleEmphasis">
    <w:name w:val="Subtle Emphasis"/>
    <w:qFormat/>
    <w:rsid w:val="00EA6058"/>
    <w:rPr>
      <w:i/>
    </w:rPr>
  </w:style>
  <w:style w:type="paragraph" w:customStyle="1" w:styleId="Marge">
    <w:name w:val="Marge"/>
    <w:basedOn w:val="Normal"/>
    <w:rsid w:val="00EA605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A6058"/>
    <w:pPr>
      <w:spacing w:after="120"/>
    </w:pPr>
    <w:rPr>
      <w:sz w:val="22"/>
    </w:rPr>
  </w:style>
  <w:style w:type="character" w:customStyle="1" w:styleId="StyletexteChar">
    <w:name w:val="Style texte Char"/>
    <w:link w:val="Styletexte"/>
    <w:rsid w:val="00EA6058"/>
    <w:rPr>
      <w:rFonts w:ascii="Arial" w:hAnsi="Arial"/>
      <w:sz w:val="22"/>
    </w:rPr>
  </w:style>
  <w:style w:type="paragraph" w:customStyle="1" w:styleId="STYLEDUTEXTE">
    <w:name w:val="STYLE DU TEXTE"/>
    <w:basedOn w:val="Styletexte"/>
    <w:link w:val="STYLEDUTEXTEChar"/>
    <w:rsid w:val="00EA6058"/>
    <w:pPr>
      <w:spacing w:after="0"/>
    </w:pPr>
  </w:style>
  <w:style w:type="character" w:customStyle="1" w:styleId="STYLEDUTEXTEChar">
    <w:name w:val="STYLE DU TEXTE Char"/>
    <w:basedOn w:val="StyletexteChar"/>
    <w:link w:val="STYLEDUTEXTE"/>
    <w:rsid w:val="00EA6058"/>
    <w:rPr>
      <w:rFonts w:ascii="Arial" w:hAnsi="Arial"/>
      <w:sz w:val="22"/>
    </w:rPr>
  </w:style>
  <w:style w:type="paragraph" w:customStyle="1" w:styleId="Style1">
    <w:name w:val="Style1"/>
    <w:basedOn w:val="Normal"/>
    <w:link w:val="Style1Char"/>
    <w:rsid w:val="00EA6058"/>
    <w:pPr>
      <w:tabs>
        <w:tab w:val="left" w:pos="8640"/>
      </w:tabs>
      <w:jc w:val="left"/>
    </w:pPr>
    <w:rPr>
      <w:rFonts w:cs="Arial"/>
      <w:b/>
      <w:color w:val="333399"/>
      <w:sz w:val="52"/>
      <w:szCs w:val="52"/>
    </w:rPr>
  </w:style>
  <w:style w:type="character" w:customStyle="1" w:styleId="Style1Char">
    <w:name w:val="Style1 Char"/>
    <w:link w:val="Style1"/>
    <w:rsid w:val="00EA6058"/>
    <w:rPr>
      <w:rFonts w:ascii="Arial" w:hAnsi="Arial" w:cs="Arial"/>
      <w:b/>
      <w:color w:val="333399"/>
      <w:sz w:val="52"/>
      <w:szCs w:val="52"/>
    </w:rPr>
  </w:style>
  <w:style w:type="paragraph" w:customStyle="1" w:styleId="numerotationpagedegarde">
    <w:name w:val="numerotation page de garde"/>
    <w:basedOn w:val="ListParagraph"/>
    <w:qFormat/>
    <w:rsid w:val="00EA6058"/>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EA6058"/>
    <w:rPr>
      <w:rFonts w:ascii="Arial" w:hAnsi="Arial"/>
      <w:lang w:val="fr-FR"/>
    </w:rPr>
  </w:style>
  <w:style w:type="character" w:styleId="BookTitle">
    <w:name w:val="Book Title"/>
    <w:basedOn w:val="DefaultParagraphFont"/>
    <w:uiPriority w:val="33"/>
    <w:qFormat/>
    <w:rsid w:val="00EA6058"/>
    <w:rPr>
      <w:b/>
      <w:bCs/>
      <w:smallCaps/>
      <w:spacing w:val="5"/>
    </w:rPr>
  </w:style>
  <w:style w:type="character" w:customStyle="1" w:styleId="FooterChar">
    <w:name w:val="Footer Char"/>
    <w:aliases w:val="doc_path_name Char"/>
    <w:basedOn w:val="DefaultParagraphFont"/>
    <w:link w:val="Footer"/>
    <w:uiPriority w:val="99"/>
    <w:rsid w:val="00EA6058"/>
    <w:rPr>
      <w:rFonts w:ascii="Arial" w:hAnsi="Arial"/>
      <w:sz w:val="14"/>
    </w:rPr>
  </w:style>
  <w:style w:type="paragraph" w:customStyle="1" w:styleId="Default">
    <w:name w:val="Default"/>
    <w:rsid w:val="00EA6058"/>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EA6058"/>
    <w:rPr>
      <w:rFonts w:ascii="Arial" w:hAnsi="Arial"/>
      <w:b/>
      <w:caps/>
    </w:rPr>
  </w:style>
  <w:style w:type="character" w:customStyle="1" w:styleId="Heading2Char">
    <w:name w:val="Heading 2 Char"/>
    <w:basedOn w:val="DefaultParagraphFont"/>
    <w:link w:val="Heading2"/>
    <w:rsid w:val="00EA6058"/>
    <w:rPr>
      <w:rFonts w:ascii="Arial Bold" w:hAnsi="Arial Bold"/>
      <w:b/>
    </w:rPr>
  </w:style>
  <w:style w:type="paragraph" w:customStyle="1" w:styleId="Heading2Notes">
    <w:name w:val="Heading 2_Notes"/>
    <w:basedOn w:val="Heading2"/>
    <w:qFormat/>
    <w:rsid w:val="00EA6058"/>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unjsp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e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56EDB-C7B3-44E1-8BB3-41CB6773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31</Pages>
  <Words>10988</Words>
  <Characters>62636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C/53/5</vt:lpstr>
    </vt:vector>
  </TitlesOfParts>
  <Company>UPOV</Company>
  <LinksUpToDate>false</LinksUpToDate>
  <CharactersWithSpaces>73478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C/53/5</dc:title>
  <dc:creator>SANCHEZ VIZCAINO GOMEZ Rosa Maria</dc:creator>
  <cp:lastModifiedBy>SANCHEZ VIZCAINO GOMEZ Rosa Maria</cp:lastModifiedBy>
  <cp:revision>26</cp:revision>
  <cp:lastPrinted>2016-11-22T15:41:00Z</cp:lastPrinted>
  <dcterms:created xsi:type="dcterms:W3CDTF">2019-06-27T15:02:00Z</dcterms:created>
  <dcterms:modified xsi:type="dcterms:W3CDTF">2019-08-06T06:59:00Z</dcterms:modified>
</cp:coreProperties>
</file>