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B41060" w:rsidTr="00EB4E9C">
        <w:tc>
          <w:tcPr>
            <w:tcW w:w="6522" w:type="dxa"/>
          </w:tcPr>
          <w:p w:rsidR="00DC3802" w:rsidRPr="00B41060" w:rsidRDefault="00DC3802" w:rsidP="00AC2883">
            <w:pPr>
              <w:rPr>
                <w:lang w:val="es-419"/>
              </w:rPr>
            </w:pPr>
            <w:r w:rsidRPr="00B41060">
              <w:rPr>
                <w:noProof/>
                <w:lang w:val="en-US" w:eastAsia="en-US" w:bidi="ar-SA"/>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B41060" w:rsidRDefault="002E5944" w:rsidP="00AC2883">
            <w:pPr>
              <w:pStyle w:val="Lettrine"/>
              <w:rPr>
                <w:lang w:val="es-419"/>
              </w:rPr>
            </w:pPr>
            <w:r w:rsidRPr="00B41060">
              <w:rPr>
                <w:lang w:val="es-419"/>
              </w:rPr>
              <w:t>S</w:t>
            </w:r>
          </w:p>
        </w:tc>
      </w:tr>
      <w:tr w:rsidR="00DC3802" w:rsidRPr="00B41060" w:rsidTr="00645CA8">
        <w:trPr>
          <w:trHeight w:val="219"/>
        </w:trPr>
        <w:tc>
          <w:tcPr>
            <w:tcW w:w="6522" w:type="dxa"/>
          </w:tcPr>
          <w:p w:rsidR="00DC3802" w:rsidRPr="00B41060" w:rsidRDefault="002E5944" w:rsidP="00BC0BD4">
            <w:pPr>
              <w:pStyle w:val="upove"/>
              <w:rPr>
                <w:lang w:val="es-419"/>
              </w:rPr>
            </w:pPr>
            <w:r w:rsidRPr="00B41060">
              <w:rPr>
                <w:lang w:val="es-419"/>
              </w:rPr>
              <w:t>Unión Internacional para la Protección de las Obtenciones Vegetales</w:t>
            </w:r>
          </w:p>
        </w:tc>
        <w:tc>
          <w:tcPr>
            <w:tcW w:w="3117" w:type="dxa"/>
          </w:tcPr>
          <w:p w:rsidR="00DC3802" w:rsidRPr="00B41060" w:rsidRDefault="00DC3802" w:rsidP="00DA4973">
            <w:pPr>
              <w:rPr>
                <w:lang w:val="es-419"/>
              </w:rPr>
            </w:pPr>
          </w:p>
        </w:tc>
      </w:tr>
    </w:tbl>
    <w:p w:rsidR="00DC3802" w:rsidRPr="00B41060" w:rsidRDefault="00DC3802" w:rsidP="00DC3802">
      <w:pPr>
        <w:rPr>
          <w:lang w:val="es-419"/>
        </w:rPr>
      </w:pPr>
    </w:p>
    <w:p w:rsidR="00DA4973" w:rsidRPr="00B41060" w:rsidRDefault="00DA4973" w:rsidP="00DC3802">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B41060" w:rsidTr="00EB4E9C">
        <w:tc>
          <w:tcPr>
            <w:tcW w:w="6512" w:type="dxa"/>
          </w:tcPr>
          <w:p w:rsidR="00EB4E9C" w:rsidRPr="005F7B0C" w:rsidRDefault="00EA65D2" w:rsidP="00AC2883">
            <w:pPr>
              <w:pStyle w:val="Sessiontc"/>
              <w:spacing w:line="240" w:lineRule="auto"/>
              <w:rPr>
                <w:lang w:val="es-419"/>
              </w:rPr>
            </w:pPr>
            <w:r w:rsidRPr="005F7B0C">
              <w:rPr>
                <w:lang w:val="es-419"/>
              </w:rPr>
              <w:t>Consejo</w:t>
            </w:r>
          </w:p>
          <w:p w:rsidR="00EB4E9C" w:rsidRPr="005F7B0C" w:rsidRDefault="00EA65D2" w:rsidP="001677A8">
            <w:pPr>
              <w:pStyle w:val="Sessiontcplacedate"/>
              <w:rPr>
                <w:sz w:val="22"/>
                <w:lang w:val="es-419"/>
              </w:rPr>
            </w:pPr>
            <w:r w:rsidRPr="005F7B0C">
              <w:rPr>
                <w:lang w:val="es-419"/>
              </w:rPr>
              <w:t>Quincuagésima tercera sesión ordinaria</w:t>
            </w:r>
            <w:r w:rsidRPr="005F7B0C">
              <w:rPr>
                <w:lang w:val="es-419"/>
              </w:rPr>
              <w:br/>
              <w:t>Ginebra, 1 de noviembre de 2019</w:t>
            </w:r>
          </w:p>
        </w:tc>
        <w:tc>
          <w:tcPr>
            <w:tcW w:w="3127" w:type="dxa"/>
          </w:tcPr>
          <w:p w:rsidR="00EB4E9C" w:rsidRPr="005F7B0C" w:rsidRDefault="001677A8" w:rsidP="003C7FBE">
            <w:pPr>
              <w:pStyle w:val="Doccode"/>
              <w:rPr>
                <w:lang w:val="es-419"/>
              </w:rPr>
            </w:pPr>
            <w:r w:rsidRPr="005F7B0C">
              <w:rPr>
                <w:lang w:val="es-419"/>
              </w:rPr>
              <w:t>C/53/3</w:t>
            </w:r>
          </w:p>
          <w:p w:rsidR="00EB4E9C" w:rsidRPr="005F7B0C" w:rsidRDefault="00EB4E9C" w:rsidP="003C7FBE">
            <w:pPr>
              <w:pStyle w:val="Docoriginal"/>
              <w:rPr>
                <w:lang w:val="es-419"/>
              </w:rPr>
            </w:pPr>
            <w:r w:rsidRPr="005F7B0C">
              <w:rPr>
                <w:lang w:val="es-419"/>
              </w:rPr>
              <w:t>Original:</w:t>
            </w:r>
            <w:r w:rsidRPr="005F7B0C">
              <w:rPr>
                <w:b w:val="0"/>
                <w:spacing w:val="0"/>
                <w:lang w:val="es-419"/>
              </w:rPr>
              <w:t xml:space="preserve">  Inglés</w:t>
            </w:r>
          </w:p>
          <w:p w:rsidR="00EB4E9C" w:rsidRPr="00B41060" w:rsidRDefault="002E5944" w:rsidP="005F7B0C">
            <w:pPr>
              <w:pStyle w:val="Docoriginal"/>
              <w:rPr>
                <w:lang w:val="es-419"/>
              </w:rPr>
            </w:pPr>
            <w:r w:rsidRPr="005F7B0C">
              <w:rPr>
                <w:lang w:val="es-419"/>
              </w:rPr>
              <w:t>Fecha:</w:t>
            </w:r>
            <w:r w:rsidRPr="005F7B0C">
              <w:rPr>
                <w:b w:val="0"/>
                <w:spacing w:val="0"/>
                <w:lang w:val="es-419"/>
              </w:rPr>
              <w:t xml:space="preserve">  </w:t>
            </w:r>
            <w:r w:rsidR="00A61043" w:rsidRPr="005F7B0C">
              <w:rPr>
                <w:b w:val="0"/>
                <w:spacing w:val="0"/>
                <w:lang w:val="es-419"/>
              </w:rPr>
              <w:t xml:space="preserve">1 de </w:t>
            </w:r>
            <w:r w:rsidR="005F7B0C" w:rsidRPr="005F7B0C">
              <w:rPr>
                <w:b w:val="0"/>
                <w:spacing w:val="0"/>
                <w:lang w:val="es-419"/>
              </w:rPr>
              <w:t xml:space="preserve">agosto </w:t>
            </w:r>
            <w:r w:rsidRPr="005F7B0C">
              <w:rPr>
                <w:b w:val="0"/>
                <w:spacing w:val="0"/>
                <w:lang w:val="es-419"/>
              </w:rPr>
              <w:t>de 2019</w:t>
            </w:r>
          </w:p>
        </w:tc>
      </w:tr>
    </w:tbl>
    <w:p w:rsidR="000D7780" w:rsidRPr="00B41060" w:rsidRDefault="002B4C23" w:rsidP="006A644A">
      <w:pPr>
        <w:pStyle w:val="Titleofdoc0"/>
        <w:rPr>
          <w:lang w:val="es-419"/>
        </w:rPr>
      </w:pPr>
      <w:bookmarkStart w:id="0" w:name="TitleOfDoc"/>
      <w:bookmarkEnd w:id="0"/>
      <w:r w:rsidRPr="00B41060">
        <w:rPr>
          <w:lang w:val="es-419"/>
        </w:rPr>
        <w:t>APROBACIÓN DE DOCUMENTOS</w:t>
      </w:r>
    </w:p>
    <w:p w:rsidR="006A644A" w:rsidRPr="00B41060" w:rsidRDefault="000638A9" w:rsidP="006A644A">
      <w:pPr>
        <w:pStyle w:val="preparedby1"/>
        <w:jc w:val="left"/>
        <w:rPr>
          <w:lang w:val="es-419"/>
        </w:rPr>
      </w:pPr>
      <w:bookmarkStart w:id="1" w:name="Prepared"/>
      <w:bookmarkEnd w:id="1"/>
      <w:r w:rsidRPr="00B41060">
        <w:rPr>
          <w:lang w:val="es-419"/>
        </w:rPr>
        <w:t>Documento preparado por la Oficina de la Unión</w:t>
      </w:r>
    </w:p>
    <w:p w:rsidR="00050E16" w:rsidRPr="00B41060" w:rsidRDefault="000638A9" w:rsidP="006A644A">
      <w:pPr>
        <w:pStyle w:val="Disclaimer"/>
        <w:rPr>
          <w:lang w:val="es-419"/>
        </w:rPr>
      </w:pPr>
      <w:r w:rsidRPr="00B41060">
        <w:rPr>
          <w:lang w:val="es-419"/>
        </w:rPr>
        <w:t>Descargo de responsabilidad: el presente documento no constituye un documento de política u orientación de la UPOV</w:t>
      </w:r>
    </w:p>
    <w:p w:rsidR="00B43ACC" w:rsidRPr="00B41060" w:rsidRDefault="00B43ACC" w:rsidP="00B43ACC">
      <w:pPr>
        <w:rPr>
          <w:spacing w:val="-2"/>
          <w:lang w:val="es-419"/>
        </w:rPr>
      </w:pPr>
      <w:r w:rsidRPr="00B41060">
        <w:rPr>
          <w:lang w:val="es-419"/>
        </w:rPr>
        <w:fldChar w:fldCharType="begin"/>
      </w:r>
      <w:r w:rsidRPr="00B41060">
        <w:rPr>
          <w:lang w:val="es-419"/>
        </w:rPr>
        <w:instrText xml:space="preserve"> AUTONUM  </w:instrText>
      </w:r>
      <w:r w:rsidRPr="00B41060">
        <w:rPr>
          <w:lang w:val="es-419"/>
        </w:rPr>
        <w:fldChar w:fldCharType="end"/>
      </w:r>
      <w:r w:rsidRPr="00B41060">
        <w:rPr>
          <w:lang w:val="es-419"/>
        </w:rPr>
        <w:tab/>
        <w:t>En el presente documento se ofrece información sobre los siguientes documentos, que se someterán a la aprobación del Consejo en su quincuagésima tercera sesión ordinaria:</w:t>
      </w:r>
    </w:p>
    <w:p w:rsidR="00B43ACC" w:rsidRPr="00B41060" w:rsidRDefault="00B43ACC" w:rsidP="00B43ACC">
      <w:pPr>
        <w:keepNext/>
        <w:ind w:left="2268" w:hanging="1701"/>
        <w:rPr>
          <w:bCs/>
          <w:snapToGrid w:val="0"/>
          <w:szCs w:val="24"/>
          <w:lang w:val="es-419"/>
        </w:rPr>
      </w:pPr>
    </w:p>
    <w:p w:rsidR="00B43ACC" w:rsidRPr="00B41060" w:rsidRDefault="007B08FF" w:rsidP="00B43ACC">
      <w:pPr>
        <w:ind w:left="567"/>
        <w:rPr>
          <w:bCs/>
          <w:snapToGrid w:val="0"/>
          <w:szCs w:val="24"/>
          <w:lang w:val="es-419"/>
        </w:rPr>
      </w:pPr>
      <w:r w:rsidRPr="00B41060">
        <w:rPr>
          <w:snapToGrid w:val="0"/>
          <w:u w:val="single"/>
          <w:lang w:val="es-419"/>
        </w:rPr>
        <w:t>D</w:t>
      </w:r>
      <w:r w:rsidR="00B43ACC" w:rsidRPr="00B41060">
        <w:rPr>
          <w:snapToGrid w:val="0"/>
          <w:u w:val="single"/>
          <w:lang w:val="es-419"/>
        </w:rPr>
        <w:t>ocumentos</w:t>
      </w:r>
      <w:r w:rsidR="00ED5EE9">
        <w:rPr>
          <w:snapToGrid w:val="0"/>
          <w:u w:val="single"/>
          <w:lang w:val="es-419"/>
        </w:rPr>
        <w:t xml:space="preserve"> </w:t>
      </w:r>
      <w:r w:rsidR="00B43ACC" w:rsidRPr="00B41060">
        <w:rPr>
          <w:snapToGrid w:val="0"/>
          <w:u w:val="single"/>
          <w:lang w:val="es-419"/>
        </w:rPr>
        <w:t>TGP</w:t>
      </w:r>
      <w:r w:rsidR="00B43ACC" w:rsidRPr="00B41060">
        <w:rPr>
          <w:lang w:val="es-419"/>
        </w:rPr>
        <w:t>:</w:t>
      </w:r>
    </w:p>
    <w:p w:rsidR="00B43ACC" w:rsidRPr="00B41060" w:rsidRDefault="00B43ACC" w:rsidP="00B43ACC">
      <w:pPr>
        <w:ind w:left="2268" w:hanging="1701"/>
        <w:rPr>
          <w:bCs/>
          <w:snapToGrid w:val="0"/>
          <w:szCs w:val="24"/>
          <w:lang w:val="es-419"/>
        </w:rPr>
      </w:pPr>
    </w:p>
    <w:p w:rsidR="00B43ACC" w:rsidRPr="00B41060" w:rsidRDefault="00B43ACC" w:rsidP="00B43ACC">
      <w:pPr>
        <w:ind w:left="1985" w:hanging="851"/>
        <w:rPr>
          <w:bCs/>
          <w:snapToGrid w:val="0"/>
          <w:szCs w:val="24"/>
          <w:lang w:val="es-419"/>
        </w:rPr>
      </w:pPr>
      <w:r w:rsidRPr="00B41060">
        <w:rPr>
          <w:lang w:val="es-419"/>
        </w:rPr>
        <w:t>TGP/7</w:t>
      </w:r>
      <w:r w:rsidRPr="00B41060">
        <w:rPr>
          <w:lang w:val="es-419"/>
        </w:rPr>
        <w:tab/>
        <w:t>Elaboración de las directrices de examen (revisión) (documento</w:t>
      </w:r>
      <w:r w:rsidR="00ED5EE9">
        <w:rPr>
          <w:lang w:val="es-419"/>
        </w:rPr>
        <w:t xml:space="preserve"> </w:t>
      </w:r>
      <w:r w:rsidRPr="00B41060">
        <w:rPr>
          <w:lang w:val="es-419"/>
        </w:rPr>
        <w:t>TGP/7/7</w:t>
      </w:r>
      <w:r w:rsidR="00ED5EE9">
        <w:rPr>
          <w:lang w:val="es-419"/>
        </w:rPr>
        <w:t> </w:t>
      </w:r>
      <w:proofErr w:type="spellStart"/>
      <w:r w:rsidR="00ED5EE9">
        <w:rPr>
          <w:lang w:val="es-419"/>
        </w:rPr>
        <w:t>Draft</w:t>
      </w:r>
      <w:proofErr w:type="spellEnd"/>
      <w:r w:rsidR="00ED5EE9">
        <w:rPr>
          <w:lang w:val="es-419"/>
        </w:rPr>
        <w:t> 1</w:t>
      </w:r>
      <w:r w:rsidRPr="00B41060">
        <w:rPr>
          <w:lang w:val="es-419"/>
        </w:rPr>
        <w:t>)</w:t>
      </w:r>
    </w:p>
    <w:p w:rsidR="00B43ACC" w:rsidRPr="00B41060" w:rsidRDefault="00B43ACC" w:rsidP="00B43ACC">
      <w:pPr>
        <w:ind w:left="1985" w:hanging="851"/>
        <w:rPr>
          <w:bCs/>
          <w:snapToGrid w:val="0"/>
          <w:szCs w:val="24"/>
          <w:lang w:val="es-419"/>
        </w:rPr>
      </w:pPr>
    </w:p>
    <w:p w:rsidR="00B43ACC" w:rsidRPr="00B41060" w:rsidRDefault="00B43ACC" w:rsidP="00B43ACC">
      <w:pPr>
        <w:ind w:left="1985" w:hanging="851"/>
        <w:jc w:val="left"/>
        <w:rPr>
          <w:lang w:val="es-419"/>
        </w:rPr>
      </w:pPr>
      <w:r w:rsidRPr="00B41060">
        <w:rPr>
          <w:lang w:val="es-419"/>
        </w:rPr>
        <w:t>TGP/8</w:t>
      </w:r>
      <w:r w:rsidRPr="00B41060">
        <w:rPr>
          <w:lang w:val="es-419"/>
        </w:rPr>
        <w:tab/>
        <w:t>Diseño de ensayos y técnicas utilizados en el examen de la distinción, la homogeneidad y la estabilidad (revisión) (documento</w:t>
      </w:r>
      <w:r w:rsidR="00ED5EE9">
        <w:rPr>
          <w:lang w:val="es-419"/>
        </w:rPr>
        <w:t xml:space="preserve"> </w:t>
      </w:r>
      <w:r w:rsidRPr="00B41060">
        <w:rPr>
          <w:lang w:val="es-419"/>
        </w:rPr>
        <w:t>TGP/8/4</w:t>
      </w:r>
      <w:r w:rsidR="00ED5EE9">
        <w:rPr>
          <w:lang w:val="es-419"/>
        </w:rPr>
        <w:t> </w:t>
      </w:r>
      <w:proofErr w:type="spellStart"/>
      <w:r w:rsidR="00ED5EE9">
        <w:rPr>
          <w:lang w:val="es-419"/>
        </w:rPr>
        <w:t>Draft</w:t>
      </w:r>
      <w:proofErr w:type="spellEnd"/>
      <w:r w:rsidR="00ED5EE9">
        <w:rPr>
          <w:lang w:val="es-419"/>
        </w:rPr>
        <w:t> 1</w:t>
      </w:r>
      <w:r w:rsidRPr="00B41060">
        <w:rPr>
          <w:lang w:val="es-419"/>
        </w:rPr>
        <w:t>)</w:t>
      </w:r>
    </w:p>
    <w:p w:rsidR="00B43ACC" w:rsidRPr="00B41060" w:rsidRDefault="00B43ACC" w:rsidP="00B43ACC">
      <w:pPr>
        <w:ind w:left="1985" w:hanging="851"/>
        <w:jc w:val="left"/>
        <w:rPr>
          <w:lang w:val="es-419"/>
        </w:rPr>
      </w:pPr>
    </w:p>
    <w:p w:rsidR="00B43ACC" w:rsidRPr="00B41060" w:rsidRDefault="00B43ACC" w:rsidP="00B43ACC">
      <w:pPr>
        <w:ind w:left="1985" w:hanging="851"/>
        <w:jc w:val="left"/>
        <w:rPr>
          <w:lang w:val="es-419"/>
        </w:rPr>
      </w:pPr>
      <w:r w:rsidRPr="00B41060">
        <w:rPr>
          <w:lang w:val="es-419"/>
        </w:rPr>
        <w:t>TGP/10</w:t>
      </w:r>
      <w:r w:rsidRPr="00B41060">
        <w:rPr>
          <w:lang w:val="es-419"/>
        </w:rPr>
        <w:tab/>
        <w:t>Examen de la homogeneidad (revisión) (documento</w:t>
      </w:r>
      <w:r w:rsidR="00ED5EE9">
        <w:rPr>
          <w:lang w:val="es-419"/>
        </w:rPr>
        <w:t xml:space="preserve"> </w:t>
      </w:r>
      <w:r w:rsidRPr="00B41060">
        <w:rPr>
          <w:lang w:val="es-419"/>
        </w:rPr>
        <w:t>TGP/10/2</w:t>
      </w:r>
      <w:r w:rsidR="00ED5EE9">
        <w:rPr>
          <w:lang w:val="es-419"/>
        </w:rPr>
        <w:t> </w:t>
      </w:r>
      <w:proofErr w:type="spellStart"/>
      <w:r w:rsidR="00ED5EE9">
        <w:rPr>
          <w:lang w:val="es-419"/>
        </w:rPr>
        <w:t>Draft</w:t>
      </w:r>
      <w:proofErr w:type="spellEnd"/>
      <w:r w:rsidR="00ED5EE9">
        <w:rPr>
          <w:lang w:val="es-419"/>
        </w:rPr>
        <w:t> 1</w:t>
      </w:r>
      <w:r w:rsidRPr="00B41060">
        <w:rPr>
          <w:lang w:val="es-419"/>
        </w:rPr>
        <w:t>)</w:t>
      </w:r>
    </w:p>
    <w:p w:rsidR="00B43ACC" w:rsidRPr="00B41060" w:rsidRDefault="00B43ACC" w:rsidP="00B43ACC">
      <w:pPr>
        <w:ind w:left="1985" w:hanging="851"/>
        <w:jc w:val="left"/>
        <w:rPr>
          <w:lang w:val="es-419"/>
        </w:rPr>
      </w:pPr>
    </w:p>
    <w:p w:rsidR="00B43ACC" w:rsidRPr="00B41060" w:rsidRDefault="00B43ACC" w:rsidP="00B43ACC">
      <w:pPr>
        <w:ind w:left="1985" w:hanging="851"/>
        <w:jc w:val="left"/>
        <w:rPr>
          <w:lang w:val="es-419"/>
        </w:rPr>
      </w:pPr>
      <w:r w:rsidRPr="00B41060">
        <w:rPr>
          <w:lang w:val="es-419"/>
        </w:rPr>
        <w:t>TGP/14</w:t>
      </w:r>
      <w:r w:rsidRPr="00B41060">
        <w:rPr>
          <w:lang w:val="es-419"/>
        </w:rPr>
        <w:tab/>
        <w:t>Glosario de términos utilizados en los documentos de la UPOV (revisión) (documento</w:t>
      </w:r>
      <w:r w:rsidR="00767E0A">
        <w:rPr>
          <w:lang w:val="es-419"/>
        </w:rPr>
        <w:t> </w:t>
      </w:r>
      <w:r w:rsidRPr="00B41060">
        <w:rPr>
          <w:lang w:val="es-419"/>
        </w:rPr>
        <w:t>TGP/14/4</w:t>
      </w:r>
      <w:r w:rsidR="00ED5EE9">
        <w:rPr>
          <w:lang w:val="es-419"/>
        </w:rPr>
        <w:t> </w:t>
      </w:r>
      <w:proofErr w:type="spellStart"/>
      <w:r w:rsidR="00ED5EE9">
        <w:rPr>
          <w:lang w:val="es-419"/>
        </w:rPr>
        <w:t>Draft</w:t>
      </w:r>
      <w:proofErr w:type="spellEnd"/>
      <w:r w:rsidR="00ED5EE9">
        <w:rPr>
          <w:lang w:val="es-419"/>
        </w:rPr>
        <w:t> 1</w:t>
      </w:r>
      <w:r w:rsidRPr="00B41060">
        <w:rPr>
          <w:lang w:val="es-419"/>
        </w:rPr>
        <w:t>)</w:t>
      </w:r>
    </w:p>
    <w:p w:rsidR="00B43ACC" w:rsidRPr="00B41060" w:rsidRDefault="00B43ACC" w:rsidP="00B43ACC">
      <w:pPr>
        <w:ind w:left="1985" w:hanging="851"/>
        <w:jc w:val="left"/>
        <w:rPr>
          <w:lang w:val="es-419"/>
        </w:rPr>
      </w:pPr>
    </w:p>
    <w:p w:rsidR="00B43ACC" w:rsidRPr="00B41060" w:rsidRDefault="00B43ACC" w:rsidP="00B43ACC">
      <w:pPr>
        <w:ind w:left="1985" w:hanging="851"/>
        <w:jc w:val="left"/>
        <w:rPr>
          <w:lang w:val="es-419"/>
        </w:rPr>
      </w:pPr>
      <w:r w:rsidRPr="00B41060">
        <w:rPr>
          <w:lang w:val="es-419"/>
        </w:rPr>
        <w:t>TGP/15</w:t>
      </w:r>
      <w:r w:rsidRPr="00B41060">
        <w:rPr>
          <w:lang w:val="es-419"/>
        </w:rPr>
        <w:tab/>
        <w:t>Orientación sobre el uso de marcadores bioquímicos y moleculares en el examen de la distinción, la homogeneidad y la estabilidad (DHE) (revisión) (documento</w:t>
      </w:r>
      <w:r w:rsidR="00767E0A">
        <w:rPr>
          <w:lang w:val="es-419"/>
        </w:rPr>
        <w:t> </w:t>
      </w:r>
      <w:r w:rsidRPr="00B41060">
        <w:rPr>
          <w:lang w:val="es-419"/>
        </w:rPr>
        <w:t>TGP/15/2</w:t>
      </w:r>
      <w:r w:rsidR="00ED5EE9">
        <w:rPr>
          <w:lang w:val="es-419"/>
        </w:rPr>
        <w:t> </w:t>
      </w:r>
      <w:proofErr w:type="spellStart"/>
      <w:r w:rsidR="00ED5EE9">
        <w:rPr>
          <w:lang w:val="es-419"/>
        </w:rPr>
        <w:t>Draft</w:t>
      </w:r>
      <w:proofErr w:type="spellEnd"/>
      <w:r w:rsidR="00ED5EE9">
        <w:rPr>
          <w:lang w:val="es-419"/>
        </w:rPr>
        <w:t> 2</w:t>
      </w:r>
      <w:r w:rsidRPr="00B41060">
        <w:rPr>
          <w:lang w:val="es-419"/>
        </w:rPr>
        <w:t>)</w:t>
      </w:r>
    </w:p>
    <w:p w:rsidR="00B43ACC" w:rsidRPr="00B41060" w:rsidRDefault="00B43ACC" w:rsidP="00B43ACC">
      <w:pPr>
        <w:ind w:left="1985" w:hanging="851"/>
        <w:jc w:val="left"/>
        <w:rPr>
          <w:bCs/>
          <w:snapToGrid w:val="0"/>
          <w:szCs w:val="24"/>
          <w:lang w:val="es-419"/>
        </w:rPr>
      </w:pPr>
    </w:p>
    <w:p w:rsidR="00B43ACC" w:rsidRPr="00B41060" w:rsidRDefault="00B43ACC" w:rsidP="00B43ACC">
      <w:pPr>
        <w:ind w:left="1985" w:hanging="851"/>
        <w:jc w:val="left"/>
        <w:rPr>
          <w:bCs/>
          <w:snapToGrid w:val="0"/>
          <w:szCs w:val="24"/>
          <w:lang w:val="es-419"/>
        </w:rPr>
      </w:pPr>
      <w:r w:rsidRPr="00B41060">
        <w:rPr>
          <w:lang w:val="es-419"/>
        </w:rPr>
        <w:t>TGP/0</w:t>
      </w:r>
      <w:r w:rsidRPr="00B41060">
        <w:rPr>
          <w:lang w:val="es-419"/>
        </w:rPr>
        <w:tab/>
        <w:t>Lista de documentos TGP y fechas de última publicación (revisión) (documento</w:t>
      </w:r>
      <w:r w:rsidR="00767E0A">
        <w:rPr>
          <w:lang w:val="es-419"/>
        </w:rPr>
        <w:t> </w:t>
      </w:r>
      <w:bookmarkStart w:id="2" w:name="_GoBack"/>
      <w:bookmarkEnd w:id="2"/>
      <w:r w:rsidRPr="00B41060">
        <w:rPr>
          <w:lang w:val="es-419"/>
        </w:rPr>
        <w:t>TGP/0/11</w:t>
      </w:r>
      <w:r w:rsidR="00ED5EE9">
        <w:rPr>
          <w:lang w:val="es-419"/>
        </w:rPr>
        <w:t> </w:t>
      </w:r>
      <w:proofErr w:type="spellStart"/>
      <w:r w:rsidR="00ED5EE9">
        <w:rPr>
          <w:lang w:val="es-419"/>
        </w:rPr>
        <w:t>Draft</w:t>
      </w:r>
      <w:proofErr w:type="spellEnd"/>
      <w:r w:rsidR="00ED5EE9">
        <w:rPr>
          <w:lang w:val="es-419"/>
        </w:rPr>
        <w:t> 1</w:t>
      </w:r>
      <w:r w:rsidRPr="00B41060">
        <w:rPr>
          <w:lang w:val="es-419"/>
        </w:rPr>
        <w:t xml:space="preserve">) </w:t>
      </w:r>
    </w:p>
    <w:p w:rsidR="00B43ACC" w:rsidRPr="00B41060" w:rsidRDefault="00B43ACC" w:rsidP="00B43ACC">
      <w:pPr>
        <w:ind w:left="2268" w:hanging="1701"/>
        <w:rPr>
          <w:bCs/>
          <w:snapToGrid w:val="0"/>
          <w:szCs w:val="24"/>
          <w:lang w:val="es-419"/>
        </w:rPr>
      </w:pPr>
    </w:p>
    <w:p w:rsidR="00B43ACC" w:rsidRPr="00B41060" w:rsidRDefault="00B43ACC" w:rsidP="00B43ACC">
      <w:pPr>
        <w:keepNext/>
        <w:ind w:left="567"/>
        <w:rPr>
          <w:bCs/>
          <w:snapToGrid w:val="0"/>
          <w:szCs w:val="24"/>
          <w:lang w:val="es-419"/>
        </w:rPr>
      </w:pPr>
      <w:r w:rsidRPr="00B41060">
        <w:rPr>
          <w:snapToGrid w:val="0"/>
          <w:u w:val="single"/>
          <w:lang w:val="es-419"/>
        </w:rPr>
        <w:t>Documentos de información</w:t>
      </w:r>
      <w:r w:rsidRPr="00B41060">
        <w:rPr>
          <w:lang w:val="es-419"/>
        </w:rPr>
        <w:t>:</w:t>
      </w:r>
    </w:p>
    <w:p w:rsidR="00B43ACC" w:rsidRPr="00B41060" w:rsidRDefault="00B43ACC" w:rsidP="00B43ACC">
      <w:pPr>
        <w:keepNext/>
        <w:ind w:left="567"/>
        <w:rPr>
          <w:bCs/>
          <w:snapToGrid w:val="0"/>
          <w:szCs w:val="24"/>
          <w:lang w:val="es-419"/>
        </w:rPr>
      </w:pPr>
    </w:p>
    <w:p w:rsidR="00B43ACC" w:rsidRPr="00B41060" w:rsidRDefault="00B43ACC" w:rsidP="00B43ACC">
      <w:pPr>
        <w:ind w:left="2835" w:hanging="1701"/>
        <w:jc w:val="left"/>
        <w:rPr>
          <w:bCs/>
          <w:snapToGrid w:val="0"/>
          <w:szCs w:val="24"/>
          <w:lang w:val="es-419"/>
        </w:rPr>
      </w:pPr>
      <w:r w:rsidRPr="00B41060">
        <w:rPr>
          <w:lang w:val="es-419"/>
        </w:rPr>
        <w:t>UPOV/INF/5</w:t>
      </w:r>
      <w:r w:rsidRPr="00B41060">
        <w:rPr>
          <w:lang w:val="es-419"/>
        </w:rPr>
        <w:tab/>
      </w:r>
      <w:r w:rsidRPr="00B41060">
        <w:rPr>
          <w:lang w:val="es-419"/>
        </w:rPr>
        <w:tab/>
        <w:t xml:space="preserve">Publicación tipo de la UPOV sobre los derechos de obtentor (revisión) </w:t>
      </w:r>
      <w:r w:rsidRPr="00B41060">
        <w:rPr>
          <w:lang w:val="es-419"/>
        </w:rPr>
        <w:br/>
        <w:t>(documento UPOV/INF/5/2</w:t>
      </w:r>
      <w:r w:rsidR="00ED5EE9">
        <w:rPr>
          <w:lang w:val="es-419"/>
        </w:rPr>
        <w:t> </w:t>
      </w:r>
      <w:proofErr w:type="spellStart"/>
      <w:r w:rsidR="00ED5EE9">
        <w:rPr>
          <w:lang w:val="es-419"/>
        </w:rPr>
        <w:t>Draft</w:t>
      </w:r>
      <w:proofErr w:type="spellEnd"/>
      <w:r w:rsidR="00ED5EE9">
        <w:rPr>
          <w:lang w:val="es-419"/>
        </w:rPr>
        <w:t> 2</w:t>
      </w:r>
      <w:r w:rsidRPr="00B41060">
        <w:rPr>
          <w:lang w:val="es-419"/>
        </w:rPr>
        <w:t>)</w:t>
      </w:r>
    </w:p>
    <w:p w:rsidR="00B43ACC" w:rsidRPr="00B41060" w:rsidRDefault="00B43ACC" w:rsidP="00B43ACC">
      <w:pPr>
        <w:ind w:left="3402" w:hanging="1701"/>
        <w:jc w:val="left"/>
        <w:rPr>
          <w:bCs/>
          <w:snapToGrid w:val="0"/>
          <w:szCs w:val="24"/>
          <w:lang w:val="es-419"/>
        </w:rPr>
      </w:pPr>
    </w:p>
    <w:p w:rsidR="00B43ACC" w:rsidRPr="00B41060" w:rsidRDefault="00B43ACC" w:rsidP="00B43ACC">
      <w:pPr>
        <w:ind w:left="2835" w:hanging="1701"/>
        <w:jc w:val="left"/>
        <w:rPr>
          <w:bCs/>
          <w:snapToGrid w:val="0"/>
          <w:spacing w:val="-4"/>
          <w:szCs w:val="24"/>
          <w:lang w:val="es-419"/>
        </w:rPr>
      </w:pPr>
      <w:r w:rsidRPr="00B41060">
        <w:rPr>
          <w:lang w:val="es-419"/>
        </w:rPr>
        <w:t>UPOV/INF/22</w:t>
      </w:r>
      <w:r w:rsidRPr="00B41060">
        <w:rPr>
          <w:lang w:val="es-419"/>
        </w:rPr>
        <w:tab/>
        <w:t>Programas informáticos y equipos utilizados por los miembros de la Unión (revisión) (documento</w:t>
      </w:r>
      <w:r w:rsidR="00ED5EE9">
        <w:rPr>
          <w:lang w:val="es-419"/>
        </w:rPr>
        <w:t xml:space="preserve"> </w:t>
      </w:r>
      <w:r w:rsidRPr="00B41060">
        <w:rPr>
          <w:lang w:val="es-419"/>
        </w:rPr>
        <w:t>UPOV/INF/22/6</w:t>
      </w:r>
      <w:r w:rsidR="00ED5EE9">
        <w:rPr>
          <w:lang w:val="es-419"/>
        </w:rPr>
        <w:t> </w:t>
      </w:r>
      <w:proofErr w:type="spellStart"/>
      <w:r w:rsidR="00ED5EE9">
        <w:rPr>
          <w:lang w:val="es-419"/>
        </w:rPr>
        <w:t>Draft</w:t>
      </w:r>
      <w:proofErr w:type="spellEnd"/>
      <w:r w:rsidR="00ED5EE9">
        <w:rPr>
          <w:lang w:val="es-419"/>
        </w:rPr>
        <w:t> 1</w:t>
      </w:r>
      <w:r w:rsidRPr="00B41060">
        <w:rPr>
          <w:lang w:val="es-419"/>
        </w:rPr>
        <w:t>)</w:t>
      </w:r>
    </w:p>
    <w:p w:rsidR="00B43ACC" w:rsidRPr="00B41060" w:rsidRDefault="00B43ACC" w:rsidP="00B43ACC">
      <w:pPr>
        <w:ind w:left="3402" w:hanging="1701"/>
        <w:jc w:val="left"/>
        <w:rPr>
          <w:bCs/>
          <w:snapToGrid w:val="0"/>
          <w:spacing w:val="-4"/>
          <w:szCs w:val="24"/>
          <w:lang w:val="es-419"/>
        </w:rPr>
      </w:pPr>
    </w:p>
    <w:p w:rsidR="00B43ACC" w:rsidRPr="00B41060" w:rsidRDefault="00B43ACC" w:rsidP="00B43ACC">
      <w:pPr>
        <w:ind w:left="2835" w:hanging="1701"/>
        <w:jc w:val="left"/>
        <w:rPr>
          <w:lang w:val="es-419"/>
        </w:rPr>
      </w:pPr>
      <w:r w:rsidRPr="00B41060">
        <w:rPr>
          <w:lang w:val="es-419"/>
        </w:rPr>
        <w:t>UPOV/INF-EXN</w:t>
      </w:r>
      <w:r w:rsidRPr="00B41060">
        <w:rPr>
          <w:lang w:val="es-419"/>
        </w:rPr>
        <w:tab/>
        <w:t>Lista de documentos UPOV/INF-EXN y fechas de última publicación (revisión) (documento</w:t>
      </w:r>
      <w:r w:rsidR="00ED5EE9">
        <w:rPr>
          <w:lang w:val="es-419"/>
        </w:rPr>
        <w:t xml:space="preserve"> </w:t>
      </w:r>
      <w:r w:rsidRPr="00B41060">
        <w:rPr>
          <w:lang w:val="es-419"/>
        </w:rPr>
        <w:t>UPOV/INF-EXN/13</w:t>
      </w:r>
      <w:r w:rsidR="00ED5EE9">
        <w:rPr>
          <w:lang w:val="es-419"/>
        </w:rPr>
        <w:t> </w:t>
      </w:r>
      <w:proofErr w:type="spellStart"/>
      <w:r w:rsidR="00ED5EE9">
        <w:rPr>
          <w:lang w:val="es-419"/>
        </w:rPr>
        <w:t>Draft</w:t>
      </w:r>
      <w:proofErr w:type="spellEnd"/>
      <w:r w:rsidR="00ED5EE9">
        <w:rPr>
          <w:lang w:val="es-419"/>
        </w:rPr>
        <w:t> 1</w:t>
      </w:r>
      <w:r w:rsidRPr="00B41060">
        <w:rPr>
          <w:lang w:val="es-419"/>
        </w:rPr>
        <w:t>)</w:t>
      </w:r>
    </w:p>
    <w:p w:rsidR="00B43ACC" w:rsidRPr="00B41060" w:rsidRDefault="00B43ACC" w:rsidP="00B43ACC">
      <w:pPr>
        <w:rPr>
          <w:lang w:val="es-419"/>
        </w:rPr>
      </w:pPr>
    </w:p>
    <w:p w:rsidR="00B43ACC" w:rsidRPr="00B41060" w:rsidRDefault="00B43ACC" w:rsidP="00B43ACC">
      <w:pPr>
        <w:rPr>
          <w:color w:val="000000"/>
          <w:lang w:val="es-419"/>
        </w:rPr>
      </w:pPr>
      <w:r w:rsidRPr="00B41060">
        <w:rPr>
          <w:lang w:val="es-419"/>
        </w:rPr>
        <w:fldChar w:fldCharType="begin"/>
      </w:r>
      <w:r w:rsidRPr="00B41060">
        <w:rPr>
          <w:lang w:val="es-419"/>
        </w:rPr>
        <w:instrText xml:space="preserve"> AUTONUM  </w:instrText>
      </w:r>
      <w:r w:rsidRPr="00B41060">
        <w:rPr>
          <w:lang w:val="es-419"/>
        </w:rPr>
        <w:fldChar w:fldCharType="end"/>
      </w:r>
      <w:r w:rsidRPr="00B41060">
        <w:rPr>
          <w:lang w:val="es-419"/>
        </w:rPr>
        <w:tab/>
        <w:t>En el presente documento se utilizan las abreviaturas siguientes:</w:t>
      </w:r>
    </w:p>
    <w:p w:rsidR="00B43ACC" w:rsidRPr="00B41060" w:rsidRDefault="00B43ACC" w:rsidP="00B43ACC">
      <w:pPr>
        <w:ind w:left="1692" w:hanging="1125"/>
        <w:jc w:val="left"/>
        <w:rPr>
          <w:color w:val="000000"/>
          <w:lang w:val="es-419"/>
        </w:rPr>
      </w:pPr>
    </w:p>
    <w:p w:rsidR="00B43ACC" w:rsidRPr="00B41060" w:rsidRDefault="00B43ACC" w:rsidP="00B43ACC">
      <w:pPr>
        <w:tabs>
          <w:tab w:val="left" w:pos="567"/>
          <w:tab w:val="left" w:pos="1701"/>
        </w:tabs>
        <w:rPr>
          <w:lang w:val="es-419"/>
        </w:rPr>
      </w:pPr>
      <w:r w:rsidRPr="00B41060">
        <w:rPr>
          <w:lang w:val="es-419"/>
        </w:rPr>
        <w:tab/>
        <w:t>CAJ:</w:t>
      </w:r>
      <w:r w:rsidRPr="00B41060">
        <w:rPr>
          <w:lang w:val="es-419"/>
        </w:rPr>
        <w:tab/>
        <w:t>Comité Administrativo y Jurídico</w:t>
      </w:r>
    </w:p>
    <w:p w:rsidR="00B43ACC" w:rsidRPr="00B41060" w:rsidRDefault="00B43ACC" w:rsidP="00B43ACC">
      <w:pPr>
        <w:tabs>
          <w:tab w:val="left" w:pos="567"/>
          <w:tab w:val="left" w:pos="1701"/>
        </w:tabs>
        <w:rPr>
          <w:lang w:val="es-419"/>
        </w:rPr>
      </w:pPr>
      <w:r w:rsidRPr="00B41060">
        <w:rPr>
          <w:lang w:val="es-419"/>
        </w:rPr>
        <w:tab/>
        <w:t>TC:</w:t>
      </w:r>
      <w:r w:rsidRPr="00B41060">
        <w:rPr>
          <w:lang w:val="es-419"/>
        </w:rPr>
        <w:tab/>
        <w:t>Comité Técnico</w:t>
      </w:r>
    </w:p>
    <w:p w:rsidR="00B43ACC" w:rsidRPr="00B41060" w:rsidRDefault="00B43ACC" w:rsidP="00B43ACC">
      <w:pPr>
        <w:tabs>
          <w:tab w:val="left" w:pos="567"/>
          <w:tab w:val="left" w:pos="1701"/>
        </w:tabs>
        <w:rPr>
          <w:lang w:val="es-419"/>
        </w:rPr>
      </w:pPr>
    </w:p>
    <w:p w:rsidR="00B43ACC" w:rsidRPr="00B41060" w:rsidRDefault="00B43ACC" w:rsidP="00B43ACC">
      <w:pPr>
        <w:tabs>
          <w:tab w:val="left" w:pos="567"/>
          <w:tab w:val="left" w:pos="1701"/>
        </w:tabs>
        <w:rPr>
          <w:lang w:val="es-419"/>
        </w:rPr>
      </w:pPr>
    </w:p>
    <w:p w:rsidR="00B43ACC" w:rsidRPr="00B41060" w:rsidRDefault="00B43ACC" w:rsidP="00B43ACC">
      <w:pPr>
        <w:jc w:val="left"/>
        <w:rPr>
          <w:lang w:val="es-419"/>
        </w:rPr>
      </w:pPr>
      <w:r w:rsidRPr="00B41060">
        <w:rPr>
          <w:lang w:val="es-419"/>
        </w:rPr>
        <w:br w:type="page"/>
      </w:r>
    </w:p>
    <w:p w:rsidR="00B43ACC" w:rsidRPr="00B41060" w:rsidRDefault="00B43ACC" w:rsidP="00B43ACC">
      <w:pPr>
        <w:pStyle w:val="Heading1"/>
        <w:rPr>
          <w:snapToGrid w:val="0"/>
          <w:lang w:val="es-419"/>
        </w:rPr>
      </w:pPr>
      <w:r w:rsidRPr="00B41060">
        <w:rPr>
          <w:lang w:val="es-419"/>
        </w:rPr>
        <w:lastRenderedPageBreak/>
        <w:t>Documentos TGP</w:t>
      </w:r>
    </w:p>
    <w:p w:rsidR="00B43ACC" w:rsidRPr="00B41060" w:rsidRDefault="00B43ACC" w:rsidP="00B43ACC">
      <w:pPr>
        <w:keepNext/>
        <w:rPr>
          <w:lang w:val="es-419"/>
        </w:rPr>
      </w:pPr>
    </w:p>
    <w:p w:rsidR="00B43ACC" w:rsidRPr="00B41060" w:rsidRDefault="00B43ACC" w:rsidP="00B43ACC">
      <w:pPr>
        <w:keepNext/>
        <w:rPr>
          <w:bCs/>
          <w:snapToGrid w:val="0"/>
          <w:szCs w:val="24"/>
          <w:u w:val="single"/>
          <w:lang w:val="es-419"/>
        </w:rPr>
      </w:pPr>
      <w:r w:rsidRPr="00B41060">
        <w:rPr>
          <w:snapToGrid w:val="0"/>
          <w:u w:val="single"/>
          <w:lang w:val="es-419"/>
        </w:rPr>
        <w:t>TGP/7:</w:t>
      </w:r>
      <w:r w:rsidR="007B08FF" w:rsidRPr="00B41060">
        <w:rPr>
          <w:snapToGrid w:val="0"/>
          <w:u w:val="single"/>
          <w:lang w:val="es-419"/>
        </w:rPr>
        <w:t xml:space="preserve"> </w:t>
      </w:r>
      <w:r w:rsidRPr="00B41060">
        <w:rPr>
          <w:snapToGrid w:val="0"/>
          <w:u w:val="single"/>
          <w:lang w:val="es-419"/>
        </w:rPr>
        <w:t>Elaboración de las directrices de examen (revisión) (documento</w:t>
      </w:r>
      <w:r w:rsidR="00ED5EE9">
        <w:rPr>
          <w:snapToGrid w:val="0"/>
          <w:u w:val="single"/>
          <w:lang w:val="es-419"/>
        </w:rPr>
        <w:t xml:space="preserve"> </w:t>
      </w:r>
      <w:r w:rsidRPr="00B41060">
        <w:rPr>
          <w:snapToGrid w:val="0"/>
          <w:u w:val="single"/>
          <w:lang w:val="es-419"/>
        </w:rPr>
        <w:t>TGP/7/7</w:t>
      </w:r>
      <w:r w:rsidR="00ED5EE9">
        <w:rPr>
          <w:snapToGrid w:val="0"/>
          <w:u w:val="single"/>
          <w:lang w:val="es-419"/>
        </w:rPr>
        <w:t> </w:t>
      </w:r>
      <w:proofErr w:type="spellStart"/>
      <w:r w:rsidR="00ED5EE9">
        <w:rPr>
          <w:snapToGrid w:val="0"/>
          <w:u w:val="single"/>
          <w:lang w:val="es-419"/>
        </w:rPr>
        <w:t>Draft</w:t>
      </w:r>
      <w:proofErr w:type="spellEnd"/>
      <w:r w:rsidR="00ED5EE9">
        <w:rPr>
          <w:snapToGrid w:val="0"/>
          <w:u w:val="single"/>
          <w:lang w:val="es-419"/>
        </w:rPr>
        <w:t> 1</w:t>
      </w:r>
      <w:r w:rsidRPr="00B41060">
        <w:rPr>
          <w:snapToGrid w:val="0"/>
          <w:u w:val="single"/>
          <w:lang w:val="es-419"/>
        </w:rPr>
        <w:t>)</w:t>
      </w:r>
    </w:p>
    <w:p w:rsidR="00B43ACC" w:rsidRPr="00B41060" w:rsidRDefault="00B43ACC" w:rsidP="00B43ACC">
      <w:pPr>
        <w:keepNext/>
        <w:rPr>
          <w:bCs/>
          <w:snapToGrid w:val="0"/>
          <w:szCs w:val="24"/>
          <w:lang w:val="es-419"/>
        </w:rPr>
      </w:pPr>
    </w:p>
    <w:bookmarkStart w:id="3" w:name="BAck_Annex_1"/>
    <w:bookmarkEnd w:id="3"/>
    <w:p w:rsidR="00B43ACC" w:rsidRPr="00B41060" w:rsidRDefault="00B43ACC" w:rsidP="00B43ACC">
      <w:pPr>
        <w:keepNext/>
        <w:rPr>
          <w:lang w:val="es-419"/>
        </w:rPr>
      </w:pPr>
      <w:r w:rsidRPr="00B41060">
        <w:rPr>
          <w:lang w:val="es-419"/>
        </w:rPr>
        <w:fldChar w:fldCharType="begin"/>
      </w:r>
      <w:r w:rsidRPr="00B41060">
        <w:rPr>
          <w:lang w:val="es-419"/>
        </w:rPr>
        <w:instrText xml:space="preserve"> AUTONUM  </w:instrText>
      </w:r>
      <w:r w:rsidRPr="00B41060">
        <w:rPr>
          <w:lang w:val="es-419"/>
        </w:rPr>
        <w:fldChar w:fldCharType="end"/>
      </w:r>
      <w:r w:rsidRPr="00B41060">
        <w:rPr>
          <w:lang w:val="es-419"/>
        </w:rPr>
        <w:tab/>
        <w:t>En su quincuagésima cuarta sesión,</w:t>
      </w:r>
      <w:bookmarkStart w:id="4" w:name="_Ref13507369"/>
      <w:r w:rsidRPr="00B41060">
        <w:rPr>
          <w:rStyle w:val="FootnoteReference"/>
          <w:lang w:val="es-419"/>
        </w:rPr>
        <w:footnoteReference w:id="2"/>
      </w:r>
      <w:bookmarkEnd w:id="4"/>
      <w:r w:rsidRPr="00B41060">
        <w:rPr>
          <w:lang w:val="es-419"/>
        </w:rPr>
        <w:t xml:space="preserve"> el TC acordó las propuestas de orientación sobre la “Duración de los exámenes DHE” y el “Procedimiento para introducir directrices de examen” que se han de incluir en la revisión del documento TGP/7 “Elaboración de las directrices de examen”</w:t>
      </w:r>
      <w:r w:rsidR="0085065C" w:rsidRPr="00B41060">
        <w:rPr>
          <w:lang w:val="es-419"/>
        </w:rPr>
        <w:t xml:space="preserve"> (</w:t>
      </w:r>
      <w:r w:rsidRPr="00B41060">
        <w:rPr>
          <w:lang w:val="es-419"/>
        </w:rPr>
        <w:t>véanse los párrafos</w:t>
      </w:r>
      <w:r w:rsidR="00ED5EE9">
        <w:rPr>
          <w:lang w:val="es-419"/>
        </w:rPr>
        <w:t xml:space="preserve"> </w:t>
      </w:r>
      <w:r w:rsidRPr="00B41060">
        <w:rPr>
          <w:lang w:val="es-419"/>
        </w:rPr>
        <w:t>210</w:t>
      </w:r>
      <w:r w:rsidR="00ED5EE9">
        <w:rPr>
          <w:lang w:val="es-419"/>
        </w:rPr>
        <w:t xml:space="preserve"> </w:t>
      </w:r>
      <w:r w:rsidRPr="00B41060">
        <w:rPr>
          <w:lang w:val="es-419"/>
        </w:rPr>
        <w:t>a</w:t>
      </w:r>
      <w:r w:rsidR="00ED5EE9">
        <w:rPr>
          <w:lang w:val="es-419"/>
        </w:rPr>
        <w:t xml:space="preserve"> </w:t>
      </w:r>
      <w:r w:rsidRPr="00B41060">
        <w:rPr>
          <w:lang w:val="es-419"/>
        </w:rPr>
        <w:t>212 y</w:t>
      </w:r>
      <w:r w:rsidR="00ED5EE9">
        <w:rPr>
          <w:lang w:val="es-419"/>
        </w:rPr>
        <w:t xml:space="preserve"> </w:t>
      </w:r>
      <w:r w:rsidRPr="00B41060">
        <w:rPr>
          <w:lang w:val="es-419"/>
        </w:rPr>
        <w:t>217</w:t>
      </w:r>
      <w:r w:rsidR="00ED5EE9">
        <w:rPr>
          <w:lang w:val="es-419"/>
        </w:rPr>
        <w:t xml:space="preserve"> </w:t>
      </w:r>
      <w:r w:rsidRPr="00B41060">
        <w:rPr>
          <w:lang w:val="es-419"/>
        </w:rPr>
        <w:t>a</w:t>
      </w:r>
      <w:r w:rsidR="00ED5EE9">
        <w:rPr>
          <w:lang w:val="es-419"/>
        </w:rPr>
        <w:t xml:space="preserve"> </w:t>
      </w:r>
      <w:r w:rsidRPr="00B41060">
        <w:rPr>
          <w:lang w:val="es-419"/>
        </w:rPr>
        <w:t>220 del documento</w:t>
      </w:r>
      <w:r w:rsidR="00ED5EE9">
        <w:rPr>
          <w:lang w:val="es-419"/>
        </w:rPr>
        <w:t xml:space="preserve"> </w:t>
      </w:r>
      <w:hyperlink r:id="rId8" w:history="1">
        <w:r w:rsidR="005F7B0C">
          <w:rPr>
            <w:rStyle w:val="Hyperlink"/>
            <w:lang w:val="fr-FR"/>
          </w:rPr>
          <w:t>TC/54/31</w:t>
        </w:r>
      </w:hyperlink>
      <w:r w:rsidRPr="00B41060">
        <w:rPr>
          <w:lang w:val="es-419"/>
        </w:rPr>
        <w:t xml:space="preserve"> “Informe”).</w:t>
      </w:r>
    </w:p>
    <w:p w:rsidR="00B43ACC" w:rsidRPr="00B41060" w:rsidRDefault="00B43ACC" w:rsidP="00B43ACC">
      <w:pPr>
        <w:rPr>
          <w:bCs/>
          <w:snapToGrid w:val="0"/>
          <w:szCs w:val="24"/>
          <w:lang w:val="es-419"/>
        </w:rPr>
      </w:pPr>
    </w:p>
    <w:p w:rsidR="00B43ACC" w:rsidRPr="00B41060" w:rsidRDefault="00B43ACC" w:rsidP="00B43ACC">
      <w:pPr>
        <w:rPr>
          <w:spacing w:val="-2"/>
          <w:lang w:val="es-419"/>
        </w:rPr>
      </w:pPr>
      <w:r w:rsidRPr="00B41060">
        <w:rPr>
          <w:spacing w:val="-2"/>
          <w:lang w:val="es-419"/>
        </w:rPr>
        <w:fldChar w:fldCharType="begin"/>
      </w:r>
      <w:r w:rsidRPr="00B41060">
        <w:rPr>
          <w:spacing w:val="-2"/>
          <w:lang w:val="es-419"/>
        </w:rPr>
        <w:instrText xml:space="preserve"> AUTONUM  </w:instrText>
      </w:r>
      <w:r w:rsidRPr="00B41060">
        <w:rPr>
          <w:spacing w:val="-2"/>
          <w:lang w:val="es-419"/>
        </w:rPr>
        <w:fldChar w:fldCharType="end"/>
      </w:r>
      <w:r w:rsidRPr="00B41060">
        <w:rPr>
          <w:lang w:val="es-419"/>
        </w:rPr>
        <w:tab/>
        <w:t>Con arreglo a lo anterior, el TC convino en que la</w:t>
      </w:r>
      <w:r w:rsidR="00ED5EE9">
        <w:rPr>
          <w:lang w:val="es-419"/>
        </w:rPr>
        <w:t xml:space="preserve"> revisión del documento </w:t>
      </w:r>
      <w:r w:rsidRPr="00B41060">
        <w:rPr>
          <w:lang w:val="es-419"/>
        </w:rPr>
        <w:t>TGP/7/6 (documento</w:t>
      </w:r>
      <w:r w:rsidR="00ED5EE9">
        <w:rPr>
          <w:lang w:val="es-419"/>
        </w:rPr>
        <w:t xml:space="preserve"> </w:t>
      </w:r>
      <w:r w:rsidRPr="00B41060">
        <w:rPr>
          <w:lang w:val="es-419"/>
        </w:rPr>
        <w:t>TGP/7/7</w:t>
      </w:r>
      <w:r w:rsidR="00ED5EE9">
        <w:rPr>
          <w:lang w:val="es-419"/>
        </w:rPr>
        <w:t> </w:t>
      </w:r>
      <w:proofErr w:type="spellStart"/>
      <w:r w:rsidR="00ED5EE9">
        <w:rPr>
          <w:lang w:val="es-419"/>
        </w:rPr>
        <w:t>Draft</w:t>
      </w:r>
      <w:proofErr w:type="spellEnd"/>
      <w:r w:rsidR="00ED5EE9">
        <w:rPr>
          <w:lang w:val="es-419"/>
        </w:rPr>
        <w:t> 1</w:t>
      </w:r>
      <w:r w:rsidRPr="00B41060">
        <w:rPr>
          <w:lang w:val="es-419"/>
        </w:rPr>
        <w:t>) se someta a la aprobación del Consejo, en su quincuagésima tercera sesión ordinaria, a reserva de la aprobación del</w:t>
      </w:r>
      <w:r w:rsidR="00ED5EE9">
        <w:rPr>
          <w:lang w:val="es-419"/>
        </w:rPr>
        <w:t xml:space="preserve"> </w:t>
      </w:r>
      <w:r w:rsidRPr="00B41060">
        <w:rPr>
          <w:lang w:val="es-419"/>
        </w:rPr>
        <w:t>CAJ en su septuagésima</w:t>
      </w:r>
      <w:r w:rsidR="00ED5EE9">
        <w:rPr>
          <w:lang w:val="es-419"/>
        </w:rPr>
        <w:t xml:space="preserve"> </w:t>
      </w:r>
      <w:r w:rsidRPr="00B41060">
        <w:rPr>
          <w:lang w:val="es-419"/>
        </w:rPr>
        <w:t>sexta sesión.</w:t>
      </w:r>
      <w:bookmarkStart w:id="5" w:name="_Ref13509809"/>
      <w:r w:rsidRPr="00B41060">
        <w:rPr>
          <w:rStyle w:val="FootnoteReference"/>
          <w:spacing w:val="-2"/>
          <w:lang w:val="es-419"/>
        </w:rPr>
        <w:footnoteReference w:id="3"/>
      </w:r>
      <w:bookmarkEnd w:id="5"/>
    </w:p>
    <w:p w:rsidR="00B43ACC" w:rsidRPr="00B41060" w:rsidRDefault="00B43ACC" w:rsidP="00B43ACC">
      <w:pPr>
        <w:rPr>
          <w:spacing w:val="-2"/>
          <w:lang w:val="es-419"/>
        </w:rPr>
      </w:pPr>
    </w:p>
    <w:p w:rsidR="00B43ACC" w:rsidRPr="00B41060" w:rsidRDefault="00B43ACC" w:rsidP="00B43ACC">
      <w:pPr>
        <w:rPr>
          <w:bCs/>
          <w:snapToGrid w:val="0"/>
          <w:szCs w:val="24"/>
          <w:lang w:val="es-419"/>
        </w:rPr>
      </w:pPr>
      <w:r w:rsidRPr="00B41060">
        <w:rPr>
          <w:spacing w:val="-2"/>
          <w:lang w:val="es-419"/>
        </w:rPr>
        <w:fldChar w:fldCharType="begin"/>
      </w:r>
      <w:r w:rsidRPr="00B41060">
        <w:rPr>
          <w:spacing w:val="-2"/>
          <w:lang w:val="es-419"/>
        </w:rPr>
        <w:instrText xml:space="preserve"> AUTONUM  </w:instrText>
      </w:r>
      <w:r w:rsidRPr="00B41060">
        <w:rPr>
          <w:spacing w:val="-2"/>
          <w:lang w:val="es-419"/>
        </w:rPr>
        <w:fldChar w:fldCharType="end"/>
      </w:r>
      <w:r w:rsidRPr="00B41060">
        <w:rPr>
          <w:lang w:val="es-419"/>
        </w:rPr>
        <w:tab/>
        <w:t>Los respectivos miembros del Comité de Redacción han revisado las traducciones al alemán, español y francés del texto original en inglés antes de que se presente al Consejo el proyecto de documento</w:t>
      </w:r>
      <w:r w:rsidR="00ED5EE9">
        <w:rPr>
          <w:lang w:val="es-419"/>
        </w:rPr>
        <w:t xml:space="preserve"> </w:t>
      </w:r>
      <w:r w:rsidRPr="00B41060">
        <w:rPr>
          <w:lang w:val="es-419"/>
        </w:rPr>
        <w:t>TGP/7/7.</w:t>
      </w:r>
      <w:r w:rsidR="007B08FF" w:rsidRPr="00B41060">
        <w:rPr>
          <w:lang w:val="es-419"/>
        </w:rPr>
        <w:t xml:space="preserve"> </w:t>
      </w:r>
      <w:r w:rsidRPr="00B41060">
        <w:rPr>
          <w:lang w:val="es-419"/>
        </w:rPr>
        <w:t>El documento TGP/7/7</w:t>
      </w:r>
      <w:r w:rsidR="00ED5EE9">
        <w:rPr>
          <w:lang w:val="es-419"/>
        </w:rPr>
        <w:t> </w:t>
      </w:r>
      <w:proofErr w:type="spellStart"/>
      <w:r w:rsidR="00ED5EE9">
        <w:rPr>
          <w:lang w:val="es-419"/>
        </w:rPr>
        <w:t>Draft</w:t>
      </w:r>
      <w:proofErr w:type="spellEnd"/>
      <w:r w:rsidR="00ED5EE9">
        <w:rPr>
          <w:lang w:val="es-419"/>
        </w:rPr>
        <w:t> 1</w:t>
      </w:r>
      <w:r w:rsidRPr="00B41060">
        <w:rPr>
          <w:lang w:val="es-419"/>
        </w:rPr>
        <w:t xml:space="preserve"> incorpora las enmiendas acordadas por el TC, expuestas en el Anexo</w:t>
      </w:r>
      <w:r w:rsidR="00ED5EE9">
        <w:rPr>
          <w:lang w:val="es-419"/>
        </w:rPr>
        <w:t xml:space="preserve"> </w:t>
      </w:r>
      <w:r w:rsidRPr="00B41060">
        <w:rPr>
          <w:lang w:val="es-419"/>
        </w:rPr>
        <w:t>I del presente documento (con marcas de revisión), y los cambios lingüísticos efectuados por los respectivos miembros del Comité de Redacción.</w:t>
      </w:r>
    </w:p>
    <w:p w:rsidR="00B43ACC" w:rsidRPr="00B41060" w:rsidRDefault="00B43ACC" w:rsidP="00B43ACC">
      <w:pPr>
        <w:rPr>
          <w:bCs/>
          <w:snapToGrid w:val="0"/>
          <w:szCs w:val="24"/>
          <w:lang w:val="es-419"/>
        </w:rPr>
      </w:pPr>
    </w:p>
    <w:p w:rsidR="00B43ACC" w:rsidRPr="00B41060" w:rsidRDefault="00B43ACC" w:rsidP="00B43ACC">
      <w:pPr>
        <w:rPr>
          <w:lang w:val="es-419"/>
        </w:rPr>
      </w:pPr>
      <w:r w:rsidRPr="00B41060">
        <w:rPr>
          <w:spacing w:val="-2"/>
          <w:lang w:val="es-419"/>
        </w:rPr>
        <w:fldChar w:fldCharType="begin"/>
      </w:r>
      <w:r w:rsidRPr="00B41060">
        <w:rPr>
          <w:spacing w:val="-2"/>
          <w:lang w:val="es-419"/>
        </w:rPr>
        <w:instrText xml:space="preserve"> AUTONUM  </w:instrText>
      </w:r>
      <w:r w:rsidRPr="00B41060">
        <w:rPr>
          <w:spacing w:val="-2"/>
          <w:lang w:val="es-419"/>
        </w:rPr>
        <w:fldChar w:fldCharType="end"/>
      </w:r>
      <w:r w:rsidRPr="00B41060">
        <w:rPr>
          <w:lang w:val="es-419"/>
        </w:rPr>
        <w:tab/>
        <w:t>Se ha previsto presentar al Consejo, en su quincuagésima tercera sesión ordinaria, un informe sobre las conclusiones del TC, en su quincuagésima quinta sesión,</w:t>
      </w:r>
      <w:bookmarkStart w:id="6" w:name="_Ref13509977"/>
      <w:r w:rsidRPr="00B41060">
        <w:rPr>
          <w:rStyle w:val="FootnoteReference"/>
          <w:spacing w:val="-2"/>
          <w:lang w:val="es-419"/>
        </w:rPr>
        <w:footnoteReference w:id="4"/>
      </w:r>
      <w:bookmarkEnd w:id="6"/>
      <w:r w:rsidRPr="00B41060">
        <w:rPr>
          <w:lang w:val="es-419"/>
        </w:rPr>
        <w:t xml:space="preserve"> y sobre las conclusiones del</w:t>
      </w:r>
      <w:r w:rsidR="00ED5EE9">
        <w:rPr>
          <w:lang w:val="es-419"/>
        </w:rPr>
        <w:t xml:space="preserve"> </w:t>
      </w:r>
      <w:r w:rsidRPr="00B41060">
        <w:rPr>
          <w:lang w:val="es-419"/>
        </w:rPr>
        <w:t>CAJ en septuagésima</w:t>
      </w:r>
      <w:r w:rsidR="00ED5EE9">
        <w:rPr>
          <w:lang w:val="es-419"/>
        </w:rPr>
        <w:t xml:space="preserve"> </w:t>
      </w:r>
      <w:r w:rsidRPr="00B41060">
        <w:rPr>
          <w:lang w:val="es-419"/>
        </w:rPr>
        <w:t>sexta sesión,</w:t>
      </w:r>
      <w:r w:rsidRPr="00B41060">
        <w:rPr>
          <w:vertAlign w:val="superscript"/>
          <w:lang w:val="es-419"/>
        </w:rPr>
        <w:fldChar w:fldCharType="begin"/>
      </w:r>
      <w:r w:rsidRPr="00B41060">
        <w:rPr>
          <w:vertAlign w:val="superscript"/>
          <w:lang w:val="es-419"/>
        </w:rPr>
        <w:instrText xml:space="preserve"> NOTEREF _Ref13509809 \h  \* MERGEFORMAT </w:instrText>
      </w:r>
      <w:r w:rsidRPr="00B41060">
        <w:rPr>
          <w:vertAlign w:val="superscript"/>
          <w:lang w:val="es-419"/>
        </w:rPr>
      </w:r>
      <w:r w:rsidRPr="00B41060">
        <w:rPr>
          <w:vertAlign w:val="superscript"/>
          <w:lang w:val="es-419"/>
        </w:rPr>
        <w:fldChar w:fldCharType="separate"/>
      </w:r>
      <w:r w:rsidRPr="00B41060">
        <w:rPr>
          <w:vertAlign w:val="superscript"/>
          <w:lang w:val="es-419"/>
        </w:rPr>
        <w:t>2</w:t>
      </w:r>
      <w:r w:rsidRPr="00B41060">
        <w:rPr>
          <w:vertAlign w:val="superscript"/>
          <w:lang w:val="es-419"/>
        </w:rPr>
        <w:fldChar w:fldCharType="end"/>
      </w:r>
      <w:r w:rsidRPr="00B41060">
        <w:rPr>
          <w:lang w:val="es-419"/>
        </w:rPr>
        <w:t xml:space="preserve"> relativas a las propuestas de revisión del documento</w:t>
      </w:r>
      <w:r w:rsidR="00ED5EE9">
        <w:rPr>
          <w:lang w:val="es-419"/>
        </w:rPr>
        <w:t xml:space="preserve"> </w:t>
      </w:r>
      <w:r w:rsidRPr="00B41060">
        <w:rPr>
          <w:lang w:val="es-419"/>
        </w:rPr>
        <w:t>TGP/7/6 (véanse los documentos</w:t>
      </w:r>
      <w:r w:rsidR="00ED5EE9">
        <w:rPr>
          <w:lang w:val="es-419"/>
        </w:rPr>
        <w:t xml:space="preserve"> </w:t>
      </w:r>
      <w:r w:rsidRPr="00B41060">
        <w:rPr>
          <w:lang w:val="es-419"/>
        </w:rPr>
        <w:t>TC/55/[xx] “Informe” y CAJ/76/[xx]</w:t>
      </w:r>
      <w:r w:rsidR="00ED5EE9">
        <w:rPr>
          <w:lang w:val="es-419"/>
        </w:rPr>
        <w:t xml:space="preserve"> </w:t>
      </w:r>
      <w:r w:rsidRPr="00B41060">
        <w:rPr>
          <w:lang w:val="es-419"/>
        </w:rPr>
        <w:t xml:space="preserve">“Informe”). </w:t>
      </w:r>
    </w:p>
    <w:p w:rsidR="00B43ACC" w:rsidRPr="00B41060" w:rsidRDefault="00B43ACC" w:rsidP="00B43ACC">
      <w:pPr>
        <w:rPr>
          <w:lang w:val="es-419"/>
        </w:rPr>
      </w:pPr>
    </w:p>
    <w:p w:rsidR="00B43ACC" w:rsidRPr="00B41060" w:rsidRDefault="00B43ACC" w:rsidP="00B43ACC">
      <w:pPr>
        <w:pStyle w:val="DecisionParagraphs"/>
        <w:rPr>
          <w:lang w:val="es-419"/>
        </w:rPr>
      </w:pPr>
      <w:r w:rsidRPr="00B41060">
        <w:rPr>
          <w:lang w:val="es-419"/>
        </w:rPr>
        <w:fldChar w:fldCharType="begin"/>
      </w:r>
      <w:r w:rsidRPr="00B41060">
        <w:rPr>
          <w:lang w:val="es-419"/>
        </w:rPr>
        <w:instrText xml:space="preserve"> AUTONUM  </w:instrText>
      </w:r>
      <w:r w:rsidRPr="00B41060">
        <w:rPr>
          <w:lang w:val="es-419"/>
        </w:rPr>
        <w:fldChar w:fldCharType="end"/>
      </w:r>
      <w:r w:rsidRPr="00B41060">
        <w:rPr>
          <w:lang w:val="es-419"/>
        </w:rPr>
        <w:tab/>
        <w:t>Se invita al Consejo a aprobar la revisión del documento TGP/7 “Elaboración de las directrices de examen” (documento</w:t>
      </w:r>
      <w:r w:rsidR="00ED5EE9">
        <w:rPr>
          <w:lang w:val="es-419"/>
        </w:rPr>
        <w:t xml:space="preserve"> </w:t>
      </w:r>
      <w:r w:rsidRPr="00B41060">
        <w:rPr>
          <w:lang w:val="es-419"/>
        </w:rPr>
        <w:t>TGP/7/</w:t>
      </w:r>
      <w:r w:rsidR="00ED5EE9">
        <w:rPr>
          <w:lang w:val="es-419"/>
        </w:rPr>
        <w:t xml:space="preserve">7), sobre la base del documento </w:t>
      </w:r>
      <w:r w:rsidRPr="00B41060">
        <w:rPr>
          <w:lang w:val="es-419"/>
        </w:rPr>
        <w:t>TGP/7/7</w:t>
      </w:r>
      <w:r w:rsidR="00ED5EE9">
        <w:rPr>
          <w:lang w:val="es-419"/>
        </w:rPr>
        <w:t> </w:t>
      </w:r>
      <w:proofErr w:type="spellStart"/>
      <w:r w:rsidR="00ED5EE9">
        <w:rPr>
          <w:lang w:val="es-419"/>
        </w:rPr>
        <w:t>Draft</w:t>
      </w:r>
      <w:proofErr w:type="spellEnd"/>
      <w:r w:rsidR="00ED5EE9">
        <w:rPr>
          <w:lang w:val="es-419"/>
        </w:rPr>
        <w:t> 1</w:t>
      </w:r>
      <w:r w:rsidRPr="00B41060">
        <w:rPr>
          <w:lang w:val="es-419"/>
        </w:rPr>
        <w:t>, teniendo en cuenta las conclusi</w:t>
      </w:r>
      <w:r w:rsidR="00ED5EE9">
        <w:rPr>
          <w:lang w:val="es-419"/>
        </w:rPr>
        <w:t xml:space="preserve">ones del TC en su quincuagésima </w:t>
      </w:r>
      <w:r w:rsidRPr="00B41060">
        <w:rPr>
          <w:lang w:val="es-419"/>
        </w:rPr>
        <w:t>quinta sesión y del CAJ en su septuagésima</w:t>
      </w:r>
      <w:r w:rsidR="00ED5EE9">
        <w:rPr>
          <w:lang w:val="es-419"/>
        </w:rPr>
        <w:t xml:space="preserve"> </w:t>
      </w:r>
      <w:r w:rsidRPr="00B41060">
        <w:rPr>
          <w:lang w:val="es-419"/>
        </w:rPr>
        <w:t>sexta sesión.</w:t>
      </w:r>
    </w:p>
    <w:p w:rsidR="00B43ACC" w:rsidRPr="00B41060" w:rsidRDefault="00B43ACC" w:rsidP="00B43ACC">
      <w:pPr>
        <w:jc w:val="left"/>
        <w:rPr>
          <w:bCs/>
          <w:snapToGrid w:val="0"/>
          <w:szCs w:val="24"/>
          <w:lang w:val="es-419"/>
        </w:rPr>
      </w:pPr>
    </w:p>
    <w:p w:rsidR="00B43ACC" w:rsidRPr="00B41060" w:rsidRDefault="00B43ACC" w:rsidP="00B43ACC">
      <w:pPr>
        <w:jc w:val="left"/>
        <w:rPr>
          <w:bCs/>
          <w:snapToGrid w:val="0"/>
          <w:szCs w:val="24"/>
          <w:lang w:val="es-419"/>
        </w:rPr>
      </w:pPr>
    </w:p>
    <w:p w:rsidR="00B43ACC" w:rsidRPr="00B41060" w:rsidRDefault="00B43ACC" w:rsidP="00B43ACC">
      <w:pPr>
        <w:keepNext/>
        <w:rPr>
          <w:bCs/>
          <w:snapToGrid w:val="0"/>
          <w:szCs w:val="24"/>
          <w:u w:val="single"/>
          <w:lang w:val="es-419"/>
        </w:rPr>
      </w:pPr>
      <w:r w:rsidRPr="00B41060">
        <w:rPr>
          <w:snapToGrid w:val="0"/>
          <w:u w:val="single"/>
          <w:lang w:val="es-419"/>
        </w:rPr>
        <w:t>TGP/8:</w:t>
      </w:r>
      <w:r w:rsidR="007B08FF" w:rsidRPr="00B41060">
        <w:rPr>
          <w:snapToGrid w:val="0"/>
          <w:u w:val="single"/>
          <w:lang w:val="es-419"/>
        </w:rPr>
        <w:t xml:space="preserve"> </w:t>
      </w:r>
      <w:r w:rsidRPr="00B41060">
        <w:rPr>
          <w:snapToGrid w:val="0"/>
          <w:u w:val="single"/>
          <w:lang w:val="es-419"/>
        </w:rPr>
        <w:t>Diseño de ensayos y técnicas utilizados en el examen de la distinción, la homogeneidad y la estabilidad (revisión)</w:t>
      </w:r>
      <w:r w:rsidRPr="00B41060">
        <w:rPr>
          <w:lang w:val="es-419"/>
        </w:rPr>
        <w:t xml:space="preserve"> (documento</w:t>
      </w:r>
      <w:r w:rsidR="00ED5EE9">
        <w:rPr>
          <w:lang w:val="es-419"/>
        </w:rPr>
        <w:t xml:space="preserve"> </w:t>
      </w:r>
      <w:r w:rsidRPr="00B41060">
        <w:rPr>
          <w:lang w:val="es-419"/>
        </w:rPr>
        <w:t>TGP/8/4</w:t>
      </w:r>
      <w:r w:rsidR="00ED5EE9">
        <w:rPr>
          <w:lang w:val="es-419"/>
        </w:rPr>
        <w:t> </w:t>
      </w:r>
      <w:proofErr w:type="spellStart"/>
      <w:r w:rsidR="00ED5EE9">
        <w:rPr>
          <w:lang w:val="es-419"/>
        </w:rPr>
        <w:t>Draft</w:t>
      </w:r>
      <w:proofErr w:type="spellEnd"/>
      <w:r w:rsidR="00ED5EE9">
        <w:rPr>
          <w:lang w:val="es-419"/>
        </w:rPr>
        <w:t> 1</w:t>
      </w:r>
      <w:r w:rsidRPr="00B41060">
        <w:rPr>
          <w:lang w:val="es-419"/>
        </w:rPr>
        <w:t>)</w:t>
      </w:r>
    </w:p>
    <w:p w:rsidR="00B43ACC" w:rsidRPr="00B41060" w:rsidRDefault="00B43ACC" w:rsidP="00B43ACC">
      <w:pPr>
        <w:keepNext/>
        <w:jc w:val="left"/>
        <w:rPr>
          <w:u w:val="single"/>
          <w:lang w:val="es-419"/>
        </w:rPr>
      </w:pPr>
    </w:p>
    <w:p w:rsidR="00B43ACC" w:rsidRPr="00B41060" w:rsidRDefault="00B43ACC" w:rsidP="00B43ACC">
      <w:pPr>
        <w:rPr>
          <w:lang w:val="es-419"/>
        </w:rPr>
      </w:pPr>
      <w:r w:rsidRPr="00B41060">
        <w:rPr>
          <w:lang w:val="es-419"/>
        </w:rPr>
        <w:fldChar w:fldCharType="begin"/>
      </w:r>
      <w:r w:rsidRPr="00B41060">
        <w:rPr>
          <w:lang w:val="es-419"/>
        </w:rPr>
        <w:instrText xml:space="preserve"> AUTONUM  </w:instrText>
      </w:r>
      <w:r w:rsidRPr="00B41060">
        <w:rPr>
          <w:lang w:val="es-419"/>
        </w:rPr>
        <w:fldChar w:fldCharType="end"/>
      </w:r>
      <w:r w:rsidRPr="00B41060">
        <w:rPr>
          <w:lang w:val="es-419"/>
        </w:rPr>
        <w:tab/>
        <w:t>En su quincuagésima tercera sesión,</w:t>
      </w:r>
      <w:bookmarkStart w:id="7" w:name="_Ref13511775"/>
      <w:r w:rsidRPr="00B41060">
        <w:rPr>
          <w:rStyle w:val="FootnoteReference"/>
          <w:lang w:val="es-419"/>
        </w:rPr>
        <w:footnoteReference w:id="5"/>
      </w:r>
      <w:bookmarkEnd w:id="7"/>
      <w:r w:rsidRPr="00B41060">
        <w:rPr>
          <w:lang w:val="es-419"/>
        </w:rPr>
        <w:t xml:space="preserve"> el TC acordó la propuesta de orientación relativa al “Examen de caracteres mediante la observación de muestras en bloque” que se ha de incluir en la revisión del documento</w:t>
      </w:r>
      <w:r w:rsidR="00ED5EE9">
        <w:rPr>
          <w:lang w:val="es-419"/>
        </w:rPr>
        <w:t xml:space="preserve"> </w:t>
      </w:r>
      <w:r w:rsidRPr="00B41060">
        <w:rPr>
          <w:lang w:val="es-419"/>
        </w:rPr>
        <w:t>TGP/8 “Diseño de ensayos y técnicas utilizadas en el examen de la distinción, la homogeneidad y la estabilidad”</w:t>
      </w:r>
      <w:r w:rsidR="0085065C" w:rsidRPr="00B41060">
        <w:rPr>
          <w:lang w:val="es-419"/>
        </w:rPr>
        <w:t xml:space="preserve"> (</w:t>
      </w:r>
      <w:r w:rsidRPr="00B41060">
        <w:rPr>
          <w:lang w:val="es-419"/>
        </w:rPr>
        <w:t>véanse los párrafos</w:t>
      </w:r>
      <w:r w:rsidR="00ED5EE9">
        <w:rPr>
          <w:lang w:val="es-419"/>
        </w:rPr>
        <w:t xml:space="preserve"> </w:t>
      </w:r>
      <w:r w:rsidRPr="00B41060">
        <w:rPr>
          <w:lang w:val="es-419"/>
        </w:rPr>
        <w:t>113 a</w:t>
      </w:r>
      <w:r w:rsidR="00ED5EE9">
        <w:rPr>
          <w:lang w:val="es-419"/>
        </w:rPr>
        <w:t xml:space="preserve"> </w:t>
      </w:r>
      <w:r w:rsidRPr="00B41060">
        <w:rPr>
          <w:lang w:val="es-419"/>
        </w:rPr>
        <w:t xml:space="preserve">116 del documento </w:t>
      </w:r>
      <w:hyperlink r:id="rId9" w:history="1">
        <w:r w:rsidR="005F7B0C" w:rsidRPr="000A0EE8">
          <w:rPr>
            <w:rStyle w:val="Hyperlink"/>
          </w:rPr>
          <w:t>TC/53/31</w:t>
        </w:r>
      </w:hyperlink>
      <w:r w:rsidRPr="00B41060">
        <w:rPr>
          <w:lang w:val="es-419"/>
        </w:rPr>
        <w:t xml:space="preserve"> “Informe”).</w:t>
      </w:r>
    </w:p>
    <w:p w:rsidR="00B43ACC" w:rsidRPr="00B41060" w:rsidRDefault="00B43ACC" w:rsidP="00B43ACC">
      <w:pPr>
        <w:keepNext/>
        <w:jc w:val="left"/>
        <w:rPr>
          <w:u w:val="single"/>
          <w:lang w:val="es-419"/>
        </w:rPr>
      </w:pPr>
    </w:p>
    <w:p w:rsidR="00B43ACC" w:rsidRPr="00B41060" w:rsidRDefault="00B43ACC" w:rsidP="00B43ACC">
      <w:pPr>
        <w:rPr>
          <w:lang w:val="es-419"/>
        </w:rPr>
      </w:pPr>
      <w:r w:rsidRPr="00B41060">
        <w:rPr>
          <w:lang w:val="es-419"/>
        </w:rPr>
        <w:fldChar w:fldCharType="begin"/>
      </w:r>
      <w:r w:rsidRPr="00B41060">
        <w:rPr>
          <w:lang w:val="es-419"/>
        </w:rPr>
        <w:instrText xml:space="preserve"> AUTONUM  </w:instrText>
      </w:r>
      <w:r w:rsidRPr="00B41060">
        <w:rPr>
          <w:lang w:val="es-419"/>
        </w:rPr>
        <w:fldChar w:fldCharType="end"/>
      </w:r>
      <w:r w:rsidRPr="00B41060">
        <w:rPr>
          <w:lang w:val="es-419"/>
        </w:rPr>
        <w:tab/>
        <w:t>En su quincuagésima cuarta sesión,</w:t>
      </w:r>
      <w:r w:rsidRPr="00B41060">
        <w:rPr>
          <w:vertAlign w:val="superscript"/>
          <w:lang w:val="es-419"/>
        </w:rPr>
        <w:fldChar w:fldCharType="begin"/>
      </w:r>
      <w:r w:rsidRPr="00B41060">
        <w:rPr>
          <w:vertAlign w:val="superscript"/>
          <w:lang w:val="es-419"/>
        </w:rPr>
        <w:instrText xml:space="preserve"> NOTEREF _Ref13507369 \h  \* MERGEFORMAT </w:instrText>
      </w:r>
      <w:r w:rsidRPr="00B41060">
        <w:rPr>
          <w:vertAlign w:val="superscript"/>
          <w:lang w:val="es-419"/>
        </w:rPr>
      </w:r>
      <w:r w:rsidRPr="00B41060">
        <w:rPr>
          <w:vertAlign w:val="superscript"/>
          <w:lang w:val="es-419"/>
        </w:rPr>
        <w:fldChar w:fldCharType="separate"/>
      </w:r>
      <w:r w:rsidRPr="00B41060">
        <w:rPr>
          <w:vertAlign w:val="superscript"/>
          <w:lang w:val="es-419"/>
        </w:rPr>
        <w:t>1</w:t>
      </w:r>
      <w:r w:rsidRPr="00B41060">
        <w:rPr>
          <w:vertAlign w:val="superscript"/>
          <w:lang w:val="es-419"/>
        </w:rPr>
        <w:fldChar w:fldCharType="end"/>
      </w:r>
      <w:r w:rsidRPr="00B41060">
        <w:rPr>
          <w:lang w:val="es-419"/>
        </w:rPr>
        <w:t xml:space="preserve"> el TC tomó nota de que se había elaborado una orientación sobre la misma cuestión para el documento TGP/10 y convino en que la orientación que figura actualmente en el documento TGP/8/2: parte</w:t>
      </w:r>
      <w:r w:rsidR="00ED5EE9">
        <w:rPr>
          <w:lang w:val="es-419"/>
        </w:rPr>
        <w:t xml:space="preserve"> </w:t>
      </w:r>
      <w:r w:rsidRPr="00B41060">
        <w:rPr>
          <w:lang w:val="es-419"/>
        </w:rPr>
        <w:t>II: sección</w:t>
      </w:r>
      <w:r w:rsidR="00ED5EE9">
        <w:rPr>
          <w:lang w:val="es-419"/>
        </w:rPr>
        <w:t xml:space="preserve"> </w:t>
      </w:r>
      <w:r w:rsidRPr="00B41060">
        <w:rPr>
          <w:lang w:val="es-419"/>
        </w:rPr>
        <w:t xml:space="preserve">8: subsección 8.1.7 se sustituya por una referencia a la nueva orientación relativa a la “Evaluación de la homogeneidad sobre la base de las plantas fuera de tipo mediante la observación de más de un ciclo de cultivo o mediante la observación de </w:t>
      </w:r>
      <w:proofErr w:type="spellStart"/>
      <w:r w:rsidRPr="00B41060">
        <w:rPr>
          <w:lang w:val="es-419"/>
        </w:rPr>
        <w:t>submuestras</w:t>
      </w:r>
      <w:proofErr w:type="spellEnd"/>
      <w:r w:rsidRPr="00B41060">
        <w:rPr>
          <w:lang w:val="es-419"/>
        </w:rPr>
        <w:t>” que se ha de incluir en el documento</w:t>
      </w:r>
      <w:r w:rsidR="00ED5EE9">
        <w:rPr>
          <w:lang w:val="es-419"/>
        </w:rPr>
        <w:t xml:space="preserve"> </w:t>
      </w:r>
      <w:r w:rsidRPr="00B41060">
        <w:rPr>
          <w:lang w:val="es-419"/>
        </w:rPr>
        <w:t>TGP/10 “Examen de la homogeneidad”</w:t>
      </w:r>
      <w:r w:rsidR="0085065C" w:rsidRPr="00B41060">
        <w:rPr>
          <w:lang w:val="es-419"/>
        </w:rPr>
        <w:t xml:space="preserve"> (</w:t>
      </w:r>
      <w:r w:rsidRPr="00B41060">
        <w:rPr>
          <w:lang w:val="es-419"/>
        </w:rPr>
        <w:t>véanse los párrafos 231 y 232 del documento</w:t>
      </w:r>
      <w:r w:rsidR="00ED5EE9">
        <w:rPr>
          <w:lang w:val="es-419"/>
        </w:rPr>
        <w:t xml:space="preserve"> </w:t>
      </w:r>
      <w:hyperlink r:id="rId10" w:history="1">
        <w:r w:rsidR="005F7B0C">
          <w:rPr>
            <w:rStyle w:val="Hyperlink"/>
            <w:lang w:val="fr-FR"/>
          </w:rPr>
          <w:t>TC/54/31</w:t>
        </w:r>
      </w:hyperlink>
      <w:r w:rsidRPr="00B41060">
        <w:rPr>
          <w:lang w:val="es-419"/>
        </w:rPr>
        <w:t xml:space="preserve"> “Informe”).</w:t>
      </w:r>
    </w:p>
    <w:p w:rsidR="00B43ACC" w:rsidRPr="00B41060" w:rsidRDefault="00B43ACC" w:rsidP="00B43ACC">
      <w:pPr>
        <w:rPr>
          <w:lang w:val="es-419"/>
        </w:rPr>
      </w:pPr>
    </w:p>
    <w:p w:rsidR="00B43ACC" w:rsidRPr="00B41060" w:rsidRDefault="00B43ACC" w:rsidP="00B43ACC">
      <w:pPr>
        <w:rPr>
          <w:spacing w:val="-2"/>
          <w:lang w:val="es-419"/>
        </w:rPr>
      </w:pPr>
      <w:r w:rsidRPr="00B41060">
        <w:rPr>
          <w:spacing w:val="-2"/>
          <w:lang w:val="es-419"/>
        </w:rPr>
        <w:fldChar w:fldCharType="begin"/>
      </w:r>
      <w:r w:rsidRPr="00B41060">
        <w:rPr>
          <w:spacing w:val="-2"/>
          <w:lang w:val="es-419"/>
        </w:rPr>
        <w:instrText xml:space="preserve"> AUTONUM  </w:instrText>
      </w:r>
      <w:r w:rsidRPr="00B41060">
        <w:rPr>
          <w:spacing w:val="-2"/>
          <w:lang w:val="es-419"/>
        </w:rPr>
        <w:fldChar w:fldCharType="end"/>
      </w:r>
      <w:r w:rsidRPr="00B41060">
        <w:rPr>
          <w:lang w:val="es-419"/>
        </w:rPr>
        <w:tab/>
        <w:t>Con arreglo a lo anterior, el TC convino en que la revisión del documento</w:t>
      </w:r>
      <w:r w:rsidR="00ED5EE9">
        <w:rPr>
          <w:lang w:val="es-419"/>
        </w:rPr>
        <w:t xml:space="preserve"> </w:t>
      </w:r>
      <w:r w:rsidRPr="00B41060">
        <w:rPr>
          <w:lang w:val="es-419"/>
        </w:rPr>
        <w:t>TGP/8/3 (documento</w:t>
      </w:r>
      <w:r w:rsidR="00ED5EE9">
        <w:rPr>
          <w:lang w:val="es-419"/>
        </w:rPr>
        <w:t> </w:t>
      </w:r>
      <w:r w:rsidRPr="00B41060">
        <w:rPr>
          <w:lang w:val="es-419"/>
        </w:rPr>
        <w:t>TGP/8/4</w:t>
      </w:r>
      <w:r w:rsidR="00ED5EE9">
        <w:rPr>
          <w:lang w:val="es-419"/>
        </w:rPr>
        <w:t> </w:t>
      </w:r>
      <w:proofErr w:type="spellStart"/>
      <w:r w:rsidR="00ED5EE9">
        <w:rPr>
          <w:lang w:val="es-419"/>
        </w:rPr>
        <w:t>Draft</w:t>
      </w:r>
      <w:proofErr w:type="spellEnd"/>
      <w:r w:rsidR="00ED5EE9">
        <w:rPr>
          <w:lang w:val="es-419"/>
        </w:rPr>
        <w:t> 1</w:t>
      </w:r>
      <w:r w:rsidRPr="00B41060">
        <w:rPr>
          <w:lang w:val="es-419"/>
        </w:rPr>
        <w:t>) se someta a la aprobación del Consejo en su quincuagésima tercera sesión ordinaria, a reserva de la aprobación del</w:t>
      </w:r>
      <w:r w:rsidR="00ED5EE9">
        <w:rPr>
          <w:lang w:val="es-419"/>
        </w:rPr>
        <w:t xml:space="preserve"> </w:t>
      </w:r>
      <w:r w:rsidRPr="00B41060">
        <w:rPr>
          <w:lang w:val="es-419"/>
        </w:rPr>
        <w:t>CAJ en su septuagésima</w:t>
      </w:r>
      <w:r w:rsidR="00ED5EE9">
        <w:rPr>
          <w:lang w:val="es-419"/>
        </w:rPr>
        <w:t xml:space="preserve"> </w:t>
      </w:r>
      <w:r w:rsidRPr="00B41060">
        <w:rPr>
          <w:lang w:val="es-419"/>
        </w:rPr>
        <w:t>sexta sesión.</w:t>
      </w:r>
      <w:r w:rsidRPr="00B41060">
        <w:rPr>
          <w:spacing w:val="-2"/>
          <w:vertAlign w:val="superscript"/>
          <w:lang w:val="es-419"/>
        </w:rPr>
        <w:fldChar w:fldCharType="begin"/>
      </w:r>
      <w:r w:rsidRPr="00B41060">
        <w:rPr>
          <w:spacing w:val="-2"/>
          <w:vertAlign w:val="superscript"/>
          <w:lang w:val="es-419"/>
        </w:rPr>
        <w:instrText xml:space="preserve"> NOTEREF _Ref13509809 \h  \* MERGEFORMAT </w:instrText>
      </w:r>
      <w:r w:rsidRPr="00B41060">
        <w:rPr>
          <w:spacing w:val="-2"/>
          <w:vertAlign w:val="superscript"/>
          <w:lang w:val="es-419"/>
        </w:rPr>
      </w:r>
      <w:r w:rsidRPr="00B41060">
        <w:rPr>
          <w:spacing w:val="-2"/>
          <w:vertAlign w:val="superscript"/>
          <w:lang w:val="es-419"/>
        </w:rPr>
        <w:fldChar w:fldCharType="separate"/>
      </w:r>
      <w:r w:rsidRPr="00B41060">
        <w:rPr>
          <w:spacing w:val="-2"/>
          <w:vertAlign w:val="superscript"/>
          <w:lang w:val="es-419"/>
        </w:rPr>
        <w:t>2</w:t>
      </w:r>
      <w:r w:rsidRPr="00B41060">
        <w:rPr>
          <w:spacing w:val="-2"/>
          <w:vertAlign w:val="superscript"/>
          <w:lang w:val="es-419"/>
        </w:rPr>
        <w:fldChar w:fldCharType="end"/>
      </w:r>
      <w:r w:rsidR="007B08FF" w:rsidRPr="00B41060">
        <w:rPr>
          <w:lang w:val="es-419"/>
        </w:rPr>
        <w:t xml:space="preserve"> </w:t>
      </w:r>
    </w:p>
    <w:p w:rsidR="00B43ACC" w:rsidRPr="00B41060" w:rsidRDefault="00B43ACC" w:rsidP="00B43ACC">
      <w:pPr>
        <w:rPr>
          <w:spacing w:val="-2"/>
          <w:lang w:val="es-419"/>
        </w:rPr>
      </w:pPr>
    </w:p>
    <w:p w:rsidR="00B43ACC" w:rsidRPr="00B41060" w:rsidRDefault="00B43ACC" w:rsidP="00B43ACC">
      <w:pPr>
        <w:rPr>
          <w:bCs/>
          <w:snapToGrid w:val="0"/>
          <w:szCs w:val="24"/>
          <w:lang w:val="es-419"/>
        </w:rPr>
      </w:pPr>
      <w:r w:rsidRPr="00B41060">
        <w:rPr>
          <w:spacing w:val="-2"/>
          <w:lang w:val="es-419"/>
        </w:rPr>
        <w:fldChar w:fldCharType="begin"/>
      </w:r>
      <w:r w:rsidRPr="00B41060">
        <w:rPr>
          <w:spacing w:val="-2"/>
          <w:lang w:val="es-419"/>
        </w:rPr>
        <w:instrText xml:space="preserve"> AUTONUM  </w:instrText>
      </w:r>
      <w:r w:rsidRPr="00B41060">
        <w:rPr>
          <w:spacing w:val="-2"/>
          <w:lang w:val="es-419"/>
        </w:rPr>
        <w:fldChar w:fldCharType="end"/>
      </w:r>
      <w:r w:rsidRPr="00B41060">
        <w:rPr>
          <w:lang w:val="es-419"/>
        </w:rPr>
        <w:tab/>
        <w:t>Los respectivos miembros del Comité de Redacción han revisado las traducciones al alemán, español y francés del texto original en inglés antes de que se presente al Consejo el proyecto de documento</w:t>
      </w:r>
      <w:r w:rsidR="00ED5EE9">
        <w:rPr>
          <w:lang w:val="es-419"/>
        </w:rPr>
        <w:t xml:space="preserve"> </w:t>
      </w:r>
      <w:r w:rsidRPr="00B41060">
        <w:rPr>
          <w:lang w:val="es-419"/>
        </w:rPr>
        <w:t>TGP/8/4.</w:t>
      </w:r>
      <w:r w:rsidR="007B08FF" w:rsidRPr="00B41060">
        <w:rPr>
          <w:lang w:val="es-419"/>
        </w:rPr>
        <w:t xml:space="preserve"> </w:t>
      </w:r>
      <w:r w:rsidRPr="00B41060">
        <w:rPr>
          <w:lang w:val="es-419"/>
        </w:rPr>
        <w:t>El documento TGP/8/4</w:t>
      </w:r>
      <w:r w:rsidR="00ED5EE9">
        <w:rPr>
          <w:lang w:val="es-419"/>
        </w:rPr>
        <w:t> </w:t>
      </w:r>
      <w:proofErr w:type="spellStart"/>
      <w:r w:rsidR="00ED5EE9">
        <w:rPr>
          <w:lang w:val="es-419"/>
        </w:rPr>
        <w:t>Draft</w:t>
      </w:r>
      <w:proofErr w:type="spellEnd"/>
      <w:r w:rsidR="00ED5EE9">
        <w:rPr>
          <w:lang w:val="es-419"/>
        </w:rPr>
        <w:t> 1</w:t>
      </w:r>
      <w:r w:rsidRPr="00B41060">
        <w:rPr>
          <w:lang w:val="es-419"/>
        </w:rPr>
        <w:t xml:space="preserve"> incorpora las enmiendas acordadas por el TC, expuestas en el Anexo</w:t>
      </w:r>
      <w:r w:rsidR="00ED5EE9">
        <w:rPr>
          <w:lang w:val="es-419"/>
        </w:rPr>
        <w:t xml:space="preserve"> </w:t>
      </w:r>
      <w:r w:rsidRPr="00B41060">
        <w:rPr>
          <w:lang w:val="es-419"/>
        </w:rPr>
        <w:t>II del presente documento (con marcas de revisión), y los cambios lingüísticos efectuados por los respectivos miembros del Comité de Redacción.</w:t>
      </w:r>
    </w:p>
    <w:p w:rsidR="00B43ACC" w:rsidRPr="00B41060" w:rsidRDefault="00B43ACC" w:rsidP="00B43ACC">
      <w:pPr>
        <w:rPr>
          <w:bCs/>
          <w:snapToGrid w:val="0"/>
          <w:szCs w:val="24"/>
          <w:lang w:val="es-419"/>
        </w:rPr>
      </w:pPr>
    </w:p>
    <w:p w:rsidR="00B43ACC" w:rsidRPr="00B41060" w:rsidRDefault="00B43ACC" w:rsidP="00B43ACC">
      <w:pPr>
        <w:keepLines/>
        <w:rPr>
          <w:lang w:val="es-419"/>
        </w:rPr>
      </w:pPr>
      <w:r w:rsidRPr="00B41060">
        <w:rPr>
          <w:spacing w:val="-2"/>
          <w:lang w:val="es-419"/>
        </w:rPr>
        <w:lastRenderedPageBreak/>
        <w:fldChar w:fldCharType="begin"/>
      </w:r>
      <w:r w:rsidRPr="00B41060">
        <w:rPr>
          <w:spacing w:val="-2"/>
          <w:lang w:val="es-419"/>
        </w:rPr>
        <w:instrText xml:space="preserve"> AUTONUM  </w:instrText>
      </w:r>
      <w:r w:rsidRPr="00B41060">
        <w:rPr>
          <w:spacing w:val="-2"/>
          <w:lang w:val="es-419"/>
        </w:rPr>
        <w:fldChar w:fldCharType="end"/>
      </w:r>
      <w:r w:rsidRPr="00B41060">
        <w:rPr>
          <w:lang w:val="es-419"/>
        </w:rPr>
        <w:tab/>
        <w:t>Se ha previsto presentar al Consejo, en su quincuagésima tercera sesión ordinaria, un informe sobre las conclusiones del TC, en su quincuagésima quinta sesión,</w:t>
      </w:r>
      <w:r w:rsidRPr="00B41060">
        <w:rPr>
          <w:spacing w:val="-2"/>
          <w:vertAlign w:val="superscript"/>
          <w:lang w:val="es-419"/>
        </w:rPr>
        <w:fldChar w:fldCharType="begin"/>
      </w:r>
      <w:r w:rsidRPr="00B41060">
        <w:rPr>
          <w:spacing w:val="-2"/>
          <w:vertAlign w:val="superscript"/>
          <w:lang w:val="es-419"/>
        </w:rPr>
        <w:instrText xml:space="preserve"> NOTEREF _Ref13509977 \h  \* MERGEFORMAT </w:instrText>
      </w:r>
      <w:r w:rsidRPr="00B41060">
        <w:rPr>
          <w:spacing w:val="-2"/>
          <w:vertAlign w:val="superscript"/>
          <w:lang w:val="es-419"/>
        </w:rPr>
      </w:r>
      <w:r w:rsidRPr="00B41060">
        <w:rPr>
          <w:spacing w:val="-2"/>
          <w:vertAlign w:val="superscript"/>
          <w:lang w:val="es-419"/>
        </w:rPr>
        <w:fldChar w:fldCharType="separate"/>
      </w:r>
      <w:r w:rsidRPr="00B41060">
        <w:rPr>
          <w:spacing w:val="-2"/>
          <w:vertAlign w:val="superscript"/>
          <w:lang w:val="es-419"/>
        </w:rPr>
        <w:t>3</w:t>
      </w:r>
      <w:r w:rsidRPr="00B41060">
        <w:rPr>
          <w:spacing w:val="-2"/>
          <w:vertAlign w:val="superscript"/>
          <w:lang w:val="es-419"/>
        </w:rPr>
        <w:fldChar w:fldCharType="end"/>
      </w:r>
      <w:r w:rsidRPr="00B41060">
        <w:rPr>
          <w:lang w:val="es-419"/>
        </w:rPr>
        <w:t xml:space="preserve"> y sobre las conclusiones del</w:t>
      </w:r>
      <w:r w:rsidR="00ED5EE9">
        <w:rPr>
          <w:lang w:val="es-419"/>
        </w:rPr>
        <w:t xml:space="preserve"> </w:t>
      </w:r>
      <w:r w:rsidRPr="00B41060">
        <w:rPr>
          <w:lang w:val="es-419"/>
        </w:rPr>
        <w:t>CAJ en septuagésima</w:t>
      </w:r>
      <w:r w:rsidR="00ED5EE9">
        <w:rPr>
          <w:lang w:val="es-419"/>
        </w:rPr>
        <w:t xml:space="preserve"> </w:t>
      </w:r>
      <w:r w:rsidRPr="00B41060">
        <w:rPr>
          <w:lang w:val="es-419"/>
        </w:rPr>
        <w:t>sexta sesión,</w:t>
      </w:r>
      <w:r w:rsidRPr="00B41060">
        <w:rPr>
          <w:vertAlign w:val="superscript"/>
          <w:lang w:val="es-419"/>
        </w:rPr>
        <w:fldChar w:fldCharType="begin"/>
      </w:r>
      <w:r w:rsidRPr="00B41060">
        <w:rPr>
          <w:vertAlign w:val="superscript"/>
          <w:lang w:val="es-419"/>
        </w:rPr>
        <w:instrText xml:space="preserve"> NOTEREF _Ref13509809 \h  \* MERGEFORMAT </w:instrText>
      </w:r>
      <w:r w:rsidRPr="00B41060">
        <w:rPr>
          <w:vertAlign w:val="superscript"/>
          <w:lang w:val="es-419"/>
        </w:rPr>
      </w:r>
      <w:r w:rsidRPr="00B41060">
        <w:rPr>
          <w:vertAlign w:val="superscript"/>
          <w:lang w:val="es-419"/>
        </w:rPr>
        <w:fldChar w:fldCharType="separate"/>
      </w:r>
      <w:r w:rsidRPr="00B41060">
        <w:rPr>
          <w:vertAlign w:val="superscript"/>
          <w:lang w:val="es-419"/>
        </w:rPr>
        <w:t>2</w:t>
      </w:r>
      <w:r w:rsidRPr="00B41060">
        <w:rPr>
          <w:vertAlign w:val="superscript"/>
          <w:lang w:val="es-419"/>
        </w:rPr>
        <w:fldChar w:fldCharType="end"/>
      </w:r>
      <w:r w:rsidRPr="00B41060">
        <w:rPr>
          <w:lang w:val="es-419"/>
        </w:rPr>
        <w:t xml:space="preserve"> relativas a las propuestas de revisión del documento</w:t>
      </w:r>
      <w:r w:rsidR="00ED5EE9">
        <w:rPr>
          <w:lang w:val="es-419"/>
        </w:rPr>
        <w:t xml:space="preserve"> </w:t>
      </w:r>
      <w:r w:rsidRPr="00B41060">
        <w:rPr>
          <w:lang w:val="es-419"/>
        </w:rPr>
        <w:t>TGP/8/3 (véanse los documentos</w:t>
      </w:r>
      <w:r w:rsidR="00ED5EE9">
        <w:rPr>
          <w:lang w:val="es-419"/>
        </w:rPr>
        <w:t xml:space="preserve"> </w:t>
      </w:r>
      <w:r w:rsidRPr="00B41060">
        <w:rPr>
          <w:lang w:val="es-419"/>
        </w:rPr>
        <w:t>TC/55/[xx] “Informe” y CAJ/76/[xx]</w:t>
      </w:r>
      <w:r w:rsidR="00ED5EE9">
        <w:rPr>
          <w:lang w:val="es-419"/>
        </w:rPr>
        <w:t xml:space="preserve"> </w:t>
      </w:r>
      <w:r w:rsidRPr="00B41060">
        <w:rPr>
          <w:lang w:val="es-419"/>
        </w:rPr>
        <w:t xml:space="preserve">“Informe”). </w:t>
      </w:r>
    </w:p>
    <w:p w:rsidR="00B43ACC" w:rsidRPr="00B41060" w:rsidRDefault="00B43ACC" w:rsidP="00B43ACC">
      <w:pPr>
        <w:rPr>
          <w:lang w:val="es-419"/>
        </w:rPr>
      </w:pPr>
    </w:p>
    <w:p w:rsidR="00B43ACC" w:rsidRPr="00B41060" w:rsidRDefault="00B43ACC" w:rsidP="00B43ACC">
      <w:pPr>
        <w:pStyle w:val="DecisionParagraphs"/>
        <w:rPr>
          <w:lang w:val="es-419"/>
        </w:rPr>
      </w:pPr>
      <w:r w:rsidRPr="00B41060">
        <w:rPr>
          <w:lang w:val="es-419"/>
        </w:rPr>
        <w:fldChar w:fldCharType="begin"/>
      </w:r>
      <w:r w:rsidRPr="00B41060">
        <w:rPr>
          <w:lang w:val="es-419"/>
        </w:rPr>
        <w:instrText xml:space="preserve"> AUTONUM  </w:instrText>
      </w:r>
      <w:r w:rsidRPr="00B41060">
        <w:rPr>
          <w:lang w:val="es-419"/>
        </w:rPr>
        <w:fldChar w:fldCharType="end"/>
      </w:r>
      <w:r w:rsidRPr="00B41060">
        <w:rPr>
          <w:lang w:val="es-419"/>
        </w:rPr>
        <w:tab/>
        <w:t>Se invita al Consejo a aprobar la revisión del documento</w:t>
      </w:r>
      <w:r w:rsidR="00ED5EE9">
        <w:rPr>
          <w:lang w:val="es-419"/>
        </w:rPr>
        <w:t xml:space="preserve"> </w:t>
      </w:r>
      <w:r w:rsidRPr="00B41060">
        <w:rPr>
          <w:lang w:val="es-419"/>
        </w:rPr>
        <w:t>TGP/8 “Diseño de ensayos y técnicas utilizados en el examen de la distinción, la homogeneidad y la estabilidad”, sobre la base del documento</w:t>
      </w:r>
      <w:r w:rsidR="00ED5EE9">
        <w:rPr>
          <w:lang w:val="es-419"/>
        </w:rPr>
        <w:t xml:space="preserve"> </w:t>
      </w:r>
      <w:r w:rsidRPr="00B41060">
        <w:rPr>
          <w:lang w:val="es-419"/>
        </w:rPr>
        <w:t>TGP/8/4</w:t>
      </w:r>
      <w:r w:rsidR="00ED5EE9">
        <w:rPr>
          <w:lang w:val="es-419"/>
        </w:rPr>
        <w:t> </w:t>
      </w:r>
      <w:proofErr w:type="spellStart"/>
      <w:r w:rsidR="00ED5EE9">
        <w:rPr>
          <w:lang w:val="es-419"/>
        </w:rPr>
        <w:t>Draft</w:t>
      </w:r>
      <w:proofErr w:type="spellEnd"/>
      <w:r w:rsidR="00ED5EE9">
        <w:rPr>
          <w:lang w:val="es-419"/>
        </w:rPr>
        <w:t> 1</w:t>
      </w:r>
      <w:r w:rsidRPr="00B41060">
        <w:rPr>
          <w:lang w:val="es-419"/>
        </w:rPr>
        <w:t>, teniendo en cuenta las conclusiones del</w:t>
      </w:r>
      <w:r w:rsidR="00ED5EE9">
        <w:rPr>
          <w:lang w:val="es-419"/>
        </w:rPr>
        <w:t xml:space="preserve"> </w:t>
      </w:r>
      <w:r w:rsidRPr="00B41060">
        <w:rPr>
          <w:lang w:val="es-419"/>
        </w:rPr>
        <w:t>TC en su quincuagésima</w:t>
      </w:r>
      <w:r w:rsidR="00ED5EE9">
        <w:rPr>
          <w:lang w:val="es-419"/>
        </w:rPr>
        <w:t xml:space="preserve"> </w:t>
      </w:r>
      <w:r w:rsidRPr="00B41060">
        <w:rPr>
          <w:lang w:val="es-419"/>
        </w:rPr>
        <w:t>quinta sesión</w:t>
      </w:r>
      <w:r w:rsidR="0007321B" w:rsidRPr="00B41060">
        <w:rPr>
          <w:lang w:val="es-419"/>
        </w:rPr>
        <w:t xml:space="preserve"> </w:t>
      </w:r>
      <w:r w:rsidR="008B6290" w:rsidRPr="00B41060">
        <w:rPr>
          <w:lang w:val="es-419"/>
        </w:rPr>
        <w:t>y del CAJ</w:t>
      </w:r>
      <w:r w:rsidR="0007321B" w:rsidRPr="00B41060">
        <w:rPr>
          <w:lang w:val="es-419"/>
        </w:rPr>
        <w:t xml:space="preserve"> </w:t>
      </w:r>
      <w:r w:rsidRPr="00B41060">
        <w:rPr>
          <w:lang w:val="es-419"/>
        </w:rPr>
        <w:t>en su septuagésima</w:t>
      </w:r>
      <w:r w:rsidR="00ED5EE9">
        <w:rPr>
          <w:lang w:val="es-419"/>
        </w:rPr>
        <w:t xml:space="preserve"> </w:t>
      </w:r>
      <w:r w:rsidRPr="00B41060">
        <w:rPr>
          <w:lang w:val="es-419"/>
        </w:rPr>
        <w:t xml:space="preserve">sexta sesión. </w:t>
      </w:r>
    </w:p>
    <w:p w:rsidR="00B43ACC" w:rsidRPr="00B41060" w:rsidRDefault="00B43ACC" w:rsidP="00B43ACC">
      <w:pPr>
        <w:jc w:val="left"/>
        <w:rPr>
          <w:lang w:val="es-419"/>
        </w:rPr>
      </w:pPr>
    </w:p>
    <w:p w:rsidR="00B43ACC" w:rsidRPr="00B41060" w:rsidRDefault="00B43ACC" w:rsidP="00B43ACC">
      <w:pPr>
        <w:jc w:val="left"/>
        <w:rPr>
          <w:lang w:val="es-419"/>
        </w:rPr>
      </w:pPr>
    </w:p>
    <w:p w:rsidR="00B43ACC" w:rsidRPr="00B41060" w:rsidRDefault="00B43ACC" w:rsidP="00B43ACC">
      <w:pPr>
        <w:keepNext/>
        <w:jc w:val="left"/>
        <w:rPr>
          <w:bCs/>
          <w:snapToGrid w:val="0"/>
          <w:szCs w:val="24"/>
          <w:u w:val="single"/>
          <w:lang w:val="es-419"/>
        </w:rPr>
      </w:pPr>
      <w:r w:rsidRPr="00B41060">
        <w:rPr>
          <w:snapToGrid w:val="0"/>
          <w:u w:val="single"/>
          <w:lang w:val="es-419"/>
        </w:rPr>
        <w:t>TGP/10:</w:t>
      </w:r>
      <w:r w:rsidR="007B08FF" w:rsidRPr="00B41060">
        <w:rPr>
          <w:snapToGrid w:val="0"/>
          <w:u w:val="single"/>
          <w:lang w:val="es-419"/>
        </w:rPr>
        <w:t xml:space="preserve"> </w:t>
      </w:r>
      <w:r w:rsidRPr="00B41060">
        <w:rPr>
          <w:snapToGrid w:val="0"/>
          <w:u w:val="single"/>
          <w:lang w:val="es-419"/>
        </w:rPr>
        <w:t>Examen de la homogeneidad (revisión) (documento TGP/10/2</w:t>
      </w:r>
      <w:r w:rsidR="00ED5EE9">
        <w:rPr>
          <w:snapToGrid w:val="0"/>
          <w:u w:val="single"/>
          <w:lang w:val="es-419"/>
        </w:rPr>
        <w:t> </w:t>
      </w:r>
      <w:proofErr w:type="spellStart"/>
      <w:r w:rsidR="00ED5EE9">
        <w:rPr>
          <w:snapToGrid w:val="0"/>
          <w:u w:val="single"/>
          <w:lang w:val="es-419"/>
        </w:rPr>
        <w:t>Draft</w:t>
      </w:r>
      <w:proofErr w:type="spellEnd"/>
      <w:r w:rsidR="00ED5EE9">
        <w:rPr>
          <w:snapToGrid w:val="0"/>
          <w:u w:val="single"/>
          <w:lang w:val="es-419"/>
        </w:rPr>
        <w:t> 1</w:t>
      </w:r>
      <w:r w:rsidRPr="00B41060">
        <w:rPr>
          <w:snapToGrid w:val="0"/>
          <w:u w:val="single"/>
          <w:lang w:val="es-419"/>
        </w:rPr>
        <w:t>)</w:t>
      </w:r>
    </w:p>
    <w:p w:rsidR="00B43ACC" w:rsidRPr="00B41060" w:rsidRDefault="00B43ACC" w:rsidP="00B43ACC">
      <w:pPr>
        <w:keepNext/>
        <w:rPr>
          <w:lang w:val="es-419"/>
        </w:rPr>
      </w:pPr>
    </w:p>
    <w:p w:rsidR="00B43ACC" w:rsidRPr="00B41060" w:rsidRDefault="00B43ACC" w:rsidP="00B43ACC">
      <w:pPr>
        <w:keepNext/>
        <w:keepLines/>
        <w:rPr>
          <w:lang w:val="es-419"/>
        </w:rPr>
      </w:pPr>
      <w:r w:rsidRPr="00B41060">
        <w:rPr>
          <w:lang w:val="es-419"/>
        </w:rPr>
        <w:fldChar w:fldCharType="begin"/>
      </w:r>
      <w:r w:rsidRPr="00B41060">
        <w:rPr>
          <w:lang w:val="es-419"/>
        </w:rPr>
        <w:instrText xml:space="preserve"> AUTONUM  </w:instrText>
      </w:r>
      <w:r w:rsidRPr="00B41060">
        <w:rPr>
          <w:lang w:val="es-419"/>
        </w:rPr>
        <w:fldChar w:fldCharType="end"/>
      </w:r>
      <w:r w:rsidRPr="00B41060">
        <w:rPr>
          <w:lang w:val="es-419"/>
        </w:rPr>
        <w:tab/>
        <w:t>En su quincuagésima cuarta sesión,</w:t>
      </w:r>
      <w:r w:rsidRPr="00B41060">
        <w:rPr>
          <w:vertAlign w:val="superscript"/>
          <w:lang w:val="es-419"/>
        </w:rPr>
        <w:fldChar w:fldCharType="begin"/>
      </w:r>
      <w:r w:rsidRPr="00B41060">
        <w:rPr>
          <w:vertAlign w:val="superscript"/>
          <w:lang w:val="es-419"/>
        </w:rPr>
        <w:instrText xml:space="preserve"> NOTEREF _Ref13507369 \h  \* MERGEFORMAT </w:instrText>
      </w:r>
      <w:r w:rsidRPr="00B41060">
        <w:rPr>
          <w:vertAlign w:val="superscript"/>
          <w:lang w:val="es-419"/>
        </w:rPr>
      </w:r>
      <w:r w:rsidRPr="00B41060">
        <w:rPr>
          <w:vertAlign w:val="superscript"/>
          <w:lang w:val="es-419"/>
        </w:rPr>
        <w:fldChar w:fldCharType="separate"/>
      </w:r>
      <w:r w:rsidRPr="00B41060">
        <w:rPr>
          <w:vertAlign w:val="superscript"/>
          <w:lang w:val="es-419"/>
        </w:rPr>
        <w:t>1</w:t>
      </w:r>
      <w:r w:rsidRPr="00B41060">
        <w:rPr>
          <w:vertAlign w:val="superscript"/>
          <w:lang w:val="es-419"/>
        </w:rPr>
        <w:fldChar w:fldCharType="end"/>
      </w:r>
      <w:r w:rsidRPr="00B41060">
        <w:rPr>
          <w:lang w:val="es-419"/>
        </w:rPr>
        <w:t xml:space="preserve"> el TC convino en que el proyecto de orientación acerca de la </w:t>
      </w:r>
      <w:r w:rsidRPr="00B41060">
        <w:rPr>
          <w:color w:val="000000"/>
          <w:lang w:val="es-419"/>
        </w:rPr>
        <w:t xml:space="preserve">“Evaluación de la homogeneidad sobre la base de las plantas fuera de tipo mediante la observación de más de un ciclo de cultivo o mediante la observación de </w:t>
      </w:r>
      <w:proofErr w:type="spellStart"/>
      <w:r w:rsidRPr="00B41060">
        <w:rPr>
          <w:color w:val="000000"/>
          <w:lang w:val="es-419"/>
        </w:rPr>
        <w:t>submuestras</w:t>
      </w:r>
      <w:proofErr w:type="spellEnd"/>
      <w:r w:rsidRPr="00B41060">
        <w:rPr>
          <w:color w:val="000000"/>
          <w:lang w:val="es-419"/>
        </w:rPr>
        <w:t>”</w:t>
      </w:r>
      <w:r w:rsidRPr="00B41060">
        <w:rPr>
          <w:lang w:val="es-419"/>
        </w:rPr>
        <w:t xml:space="preserve"> se someta a la aprobación del Consejo con el objeto de incluirlo en una futura revisión del documento</w:t>
      </w:r>
      <w:r w:rsidR="00ED5EE9">
        <w:rPr>
          <w:lang w:val="es-419"/>
        </w:rPr>
        <w:t xml:space="preserve"> </w:t>
      </w:r>
      <w:r w:rsidRPr="00B41060">
        <w:rPr>
          <w:lang w:val="es-419"/>
        </w:rPr>
        <w:t>TGP/10 “Examen de la homogeneidad”</w:t>
      </w:r>
      <w:r w:rsidR="0085065C" w:rsidRPr="00B41060">
        <w:rPr>
          <w:lang w:val="es-419"/>
        </w:rPr>
        <w:t xml:space="preserve"> (</w:t>
      </w:r>
      <w:r w:rsidRPr="00B41060">
        <w:rPr>
          <w:lang w:val="es-419"/>
        </w:rPr>
        <w:t>véanse los párrafos 233 y 234 del documento</w:t>
      </w:r>
      <w:r w:rsidR="00ED5EE9">
        <w:rPr>
          <w:lang w:val="es-419"/>
        </w:rPr>
        <w:t xml:space="preserve"> </w:t>
      </w:r>
      <w:hyperlink r:id="rId11" w:history="1">
        <w:r w:rsidR="005F7B0C">
          <w:rPr>
            <w:rStyle w:val="Hyperlink"/>
            <w:lang w:val="fr-FR"/>
          </w:rPr>
          <w:t>TC/54/31</w:t>
        </w:r>
      </w:hyperlink>
      <w:r w:rsidRPr="00B41060">
        <w:rPr>
          <w:lang w:val="es-419"/>
        </w:rPr>
        <w:t xml:space="preserve"> “Informe”).</w:t>
      </w:r>
      <w:r w:rsidR="007B08FF" w:rsidRPr="00B41060">
        <w:rPr>
          <w:color w:val="000000"/>
          <w:lang w:val="es-419"/>
        </w:rPr>
        <w:t xml:space="preserve"> </w:t>
      </w:r>
    </w:p>
    <w:p w:rsidR="00B43ACC" w:rsidRPr="00B41060" w:rsidRDefault="00B43ACC" w:rsidP="00B43ACC">
      <w:pPr>
        <w:rPr>
          <w:lang w:val="es-419"/>
        </w:rPr>
      </w:pPr>
    </w:p>
    <w:p w:rsidR="00B43ACC" w:rsidRPr="00B41060" w:rsidRDefault="00B43ACC" w:rsidP="00B43ACC">
      <w:pPr>
        <w:rPr>
          <w:bCs/>
          <w:snapToGrid w:val="0"/>
          <w:szCs w:val="24"/>
          <w:lang w:val="es-419"/>
        </w:rPr>
      </w:pPr>
      <w:r w:rsidRPr="00B41060">
        <w:rPr>
          <w:spacing w:val="-2"/>
          <w:lang w:val="es-419"/>
        </w:rPr>
        <w:fldChar w:fldCharType="begin"/>
      </w:r>
      <w:r w:rsidRPr="00B41060">
        <w:rPr>
          <w:spacing w:val="-2"/>
          <w:lang w:val="es-419"/>
        </w:rPr>
        <w:instrText xml:space="preserve"> AUTONUM  </w:instrText>
      </w:r>
      <w:r w:rsidRPr="00B41060">
        <w:rPr>
          <w:spacing w:val="-2"/>
          <w:lang w:val="es-419"/>
        </w:rPr>
        <w:fldChar w:fldCharType="end"/>
      </w:r>
      <w:r w:rsidRPr="00B41060">
        <w:rPr>
          <w:lang w:val="es-419"/>
        </w:rPr>
        <w:tab/>
        <w:t>Los respectivos miembros del Comité de Redacción han revisado las traducciones al alemán, español y francés del texto original en inglés antes de que se presente al Consejo el proyecto de documento</w:t>
      </w:r>
      <w:r w:rsidR="00ED5EE9">
        <w:rPr>
          <w:lang w:val="es-419"/>
        </w:rPr>
        <w:t xml:space="preserve"> </w:t>
      </w:r>
      <w:r w:rsidRPr="00B41060">
        <w:rPr>
          <w:lang w:val="es-419"/>
        </w:rPr>
        <w:t>TGP/10/2.</w:t>
      </w:r>
      <w:r w:rsidR="007B08FF" w:rsidRPr="00B41060">
        <w:rPr>
          <w:lang w:val="es-419"/>
        </w:rPr>
        <w:t xml:space="preserve"> </w:t>
      </w:r>
      <w:r w:rsidRPr="00B41060">
        <w:rPr>
          <w:lang w:val="es-419"/>
        </w:rPr>
        <w:t>El documento</w:t>
      </w:r>
      <w:r w:rsidR="00ED5EE9">
        <w:rPr>
          <w:lang w:val="es-419"/>
        </w:rPr>
        <w:t xml:space="preserve"> </w:t>
      </w:r>
      <w:r w:rsidRPr="00B41060">
        <w:rPr>
          <w:lang w:val="es-419"/>
        </w:rPr>
        <w:t>TGP/10/2</w:t>
      </w:r>
      <w:r w:rsidR="00ED5EE9">
        <w:rPr>
          <w:lang w:val="es-419"/>
        </w:rPr>
        <w:t> </w:t>
      </w:r>
      <w:proofErr w:type="spellStart"/>
      <w:r w:rsidR="00ED5EE9">
        <w:rPr>
          <w:lang w:val="es-419"/>
        </w:rPr>
        <w:t>Draft</w:t>
      </w:r>
      <w:proofErr w:type="spellEnd"/>
      <w:r w:rsidR="00ED5EE9">
        <w:rPr>
          <w:lang w:val="es-419"/>
        </w:rPr>
        <w:t> 1</w:t>
      </w:r>
      <w:r w:rsidRPr="00B41060">
        <w:rPr>
          <w:lang w:val="es-419"/>
        </w:rPr>
        <w:t xml:space="preserve"> incorpora las enmiendas acordadas por el TC, expuestas en el Anexo</w:t>
      </w:r>
      <w:r w:rsidR="00ED5EE9">
        <w:rPr>
          <w:lang w:val="es-419"/>
        </w:rPr>
        <w:t xml:space="preserve"> </w:t>
      </w:r>
      <w:r w:rsidRPr="00B41060">
        <w:rPr>
          <w:lang w:val="es-419"/>
        </w:rPr>
        <w:t>III del presente documento, y los cambios lingüísticos efectuados por los respectivos miembros del</w:t>
      </w:r>
      <w:r w:rsidR="00ED5EE9">
        <w:rPr>
          <w:lang w:val="es-419"/>
        </w:rPr>
        <w:t xml:space="preserve"> </w:t>
      </w:r>
      <w:r w:rsidRPr="00B41060">
        <w:rPr>
          <w:lang w:val="es-419"/>
        </w:rPr>
        <w:t>Comité</w:t>
      </w:r>
      <w:r w:rsidR="00ED5EE9">
        <w:rPr>
          <w:lang w:val="es-419"/>
        </w:rPr>
        <w:t xml:space="preserve"> </w:t>
      </w:r>
      <w:r w:rsidRPr="00B41060">
        <w:rPr>
          <w:lang w:val="es-419"/>
        </w:rPr>
        <w:t>de</w:t>
      </w:r>
      <w:r w:rsidR="00ED5EE9">
        <w:rPr>
          <w:lang w:val="es-419"/>
        </w:rPr>
        <w:t xml:space="preserve"> </w:t>
      </w:r>
      <w:r w:rsidRPr="00B41060">
        <w:rPr>
          <w:lang w:val="es-419"/>
        </w:rPr>
        <w:t>Redacción.</w:t>
      </w:r>
    </w:p>
    <w:p w:rsidR="00B43ACC" w:rsidRPr="00B41060" w:rsidRDefault="00B43ACC" w:rsidP="00B43ACC">
      <w:pPr>
        <w:rPr>
          <w:bCs/>
          <w:snapToGrid w:val="0"/>
          <w:szCs w:val="24"/>
          <w:lang w:val="es-419"/>
        </w:rPr>
      </w:pPr>
    </w:p>
    <w:p w:rsidR="00B43ACC" w:rsidRPr="00B41060" w:rsidRDefault="00B43ACC" w:rsidP="00B43ACC">
      <w:pPr>
        <w:rPr>
          <w:lang w:val="es-419"/>
        </w:rPr>
      </w:pPr>
      <w:r w:rsidRPr="00B41060">
        <w:rPr>
          <w:spacing w:val="-2"/>
          <w:lang w:val="es-419"/>
        </w:rPr>
        <w:fldChar w:fldCharType="begin"/>
      </w:r>
      <w:r w:rsidRPr="00B41060">
        <w:rPr>
          <w:spacing w:val="-2"/>
          <w:lang w:val="es-419"/>
        </w:rPr>
        <w:instrText xml:space="preserve"> AUTONUM  </w:instrText>
      </w:r>
      <w:r w:rsidRPr="00B41060">
        <w:rPr>
          <w:spacing w:val="-2"/>
          <w:lang w:val="es-419"/>
        </w:rPr>
        <w:fldChar w:fldCharType="end"/>
      </w:r>
      <w:r w:rsidRPr="00B41060">
        <w:rPr>
          <w:lang w:val="es-419"/>
        </w:rPr>
        <w:tab/>
        <w:t>Se ha previsto presentar al Consejo, en su quincuagésima tercera sesión ordinaria, un informe sobre las conclusiones del TC, en su quincuagésima quinta sesión,</w:t>
      </w:r>
      <w:r w:rsidRPr="00B41060">
        <w:rPr>
          <w:spacing w:val="-2"/>
          <w:vertAlign w:val="superscript"/>
          <w:lang w:val="es-419"/>
        </w:rPr>
        <w:fldChar w:fldCharType="begin"/>
      </w:r>
      <w:r w:rsidRPr="00B41060">
        <w:rPr>
          <w:spacing w:val="-2"/>
          <w:vertAlign w:val="superscript"/>
          <w:lang w:val="es-419"/>
        </w:rPr>
        <w:instrText xml:space="preserve"> NOTEREF _Ref13509977 \h  \* MERGEFORMAT </w:instrText>
      </w:r>
      <w:r w:rsidRPr="00B41060">
        <w:rPr>
          <w:spacing w:val="-2"/>
          <w:vertAlign w:val="superscript"/>
          <w:lang w:val="es-419"/>
        </w:rPr>
      </w:r>
      <w:r w:rsidRPr="00B41060">
        <w:rPr>
          <w:spacing w:val="-2"/>
          <w:vertAlign w:val="superscript"/>
          <w:lang w:val="es-419"/>
        </w:rPr>
        <w:fldChar w:fldCharType="separate"/>
      </w:r>
      <w:r w:rsidRPr="00B41060">
        <w:rPr>
          <w:spacing w:val="-2"/>
          <w:vertAlign w:val="superscript"/>
          <w:lang w:val="es-419"/>
        </w:rPr>
        <w:t>3</w:t>
      </w:r>
      <w:r w:rsidRPr="00B41060">
        <w:rPr>
          <w:spacing w:val="-2"/>
          <w:vertAlign w:val="superscript"/>
          <w:lang w:val="es-419"/>
        </w:rPr>
        <w:fldChar w:fldCharType="end"/>
      </w:r>
      <w:r w:rsidRPr="00B41060">
        <w:rPr>
          <w:lang w:val="es-419"/>
        </w:rPr>
        <w:t xml:space="preserve"> y sobre las conclusiones del</w:t>
      </w:r>
      <w:r w:rsidR="00ED5EE9">
        <w:rPr>
          <w:lang w:val="es-419"/>
        </w:rPr>
        <w:t xml:space="preserve"> </w:t>
      </w:r>
      <w:r w:rsidRPr="00B41060">
        <w:rPr>
          <w:lang w:val="es-419"/>
        </w:rPr>
        <w:t>CAJ en septuagésima</w:t>
      </w:r>
      <w:r w:rsidR="00ED5EE9">
        <w:rPr>
          <w:lang w:val="es-419"/>
        </w:rPr>
        <w:t xml:space="preserve"> </w:t>
      </w:r>
      <w:r w:rsidRPr="00B41060">
        <w:rPr>
          <w:lang w:val="es-419"/>
        </w:rPr>
        <w:t>sexta sesión,</w:t>
      </w:r>
      <w:r w:rsidRPr="00B41060">
        <w:rPr>
          <w:vertAlign w:val="superscript"/>
          <w:lang w:val="es-419"/>
        </w:rPr>
        <w:fldChar w:fldCharType="begin"/>
      </w:r>
      <w:r w:rsidRPr="00B41060">
        <w:rPr>
          <w:vertAlign w:val="superscript"/>
          <w:lang w:val="es-419"/>
        </w:rPr>
        <w:instrText xml:space="preserve"> NOTEREF _Ref13509809 \h  \* MERGEFORMAT </w:instrText>
      </w:r>
      <w:r w:rsidRPr="00B41060">
        <w:rPr>
          <w:vertAlign w:val="superscript"/>
          <w:lang w:val="es-419"/>
        </w:rPr>
      </w:r>
      <w:r w:rsidRPr="00B41060">
        <w:rPr>
          <w:vertAlign w:val="superscript"/>
          <w:lang w:val="es-419"/>
        </w:rPr>
        <w:fldChar w:fldCharType="separate"/>
      </w:r>
      <w:r w:rsidRPr="00B41060">
        <w:rPr>
          <w:vertAlign w:val="superscript"/>
          <w:lang w:val="es-419"/>
        </w:rPr>
        <w:t>2</w:t>
      </w:r>
      <w:r w:rsidRPr="00B41060">
        <w:rPr>
          <w:vertAlign w:val="superscript"/>
          <w:lang w:val="es-419"/>
        </w:rPr>
        <w:fldChar w:fldCharType="end"/>
      </w:r>
      <w:r w:rsidRPr="00B41060">
        <w:rPr>
          <w:lang w:val="es-419"/>
        </w:rPr>
        <w:t xml:space="preserve"> relativas a las propuestas de revisión del documento</w:t>
      </w:r>
      <w:r w:rsidR="00ED5EE9">
        <w:rPr>
          <w:lang w:val="es-419"/>
        </w:rPr>
        <w:t xml:space="preserve"> </w:t>
      </w:r>
      <w:r w:rsidRPr="00B41060">
        <w:rPr>
          <w:lang w:val="es-419"/>
        </w:rPr>
        <w:t>TGP/10/1 (véanse los documentos</w:t>
      </w:r>
      <w:r w:rsidR="00ED5EE9">
        <w:rPr>
          <w:lang w:val="es-419"/>
        </w:rPr>
        <w:t xml:space="preserve"> </w:t>
      </w:r>
      <w:r w:rsidRPr="00B41060">
        <w:rPr>
          <w:lang w:val="es-419"/>
        </w:rPr>
        <w:t>TC/55/[xx] “Informe” y CAJ/76/[xx]</w:t>
      </w:r>
      <w:r w:rsidR="00ED5EE9">
        <w:rPr>
          <w:lang w:val="es-419"/>
        </w:rPr>
        <w:t xml:space="preserve"> </w:t>
      </w:r>
      <w:r w:rsidRPr="00B41060">
        <w:rPr>
          <w:lang w:val="es-419"/>
        </w:rPr>
        <w:t xml:space="preserve">“Informe”). </w:t>
      </w:r>
    </w:p>
    <w:p w:rsidR="00B43ACC" w:rsidRPr="00B41060" w:rsidRDefault="00B43ACC" w:rsidP="00B43ACC">
      <w:pPr>
        <w:rPr>
          <w:lang w:val="es-419"/>
        </w:rPr>
      </w:pPr>
    </w:p>
    <w:p w:rsidR="00B43ACC" w:rsidRPr="00B41060" w:rsidRDefault="00B43ACC" w:rsidP="00B43ACC">
      <w:pPr>
        <w:pStyle w:val="DecisionParagraphs"/>
        <w:rPr>
          <w:lang w:val="es-419"/>
        </w:rPr>
      </w:pPr>
      <w:r w:rsidRPr="00B41060">
        <w:rPr>
          <w:lang w:val="es-419"/>
        </w:rPr>
        <w:fldChar w:fldCharType="begin"/>
      </w:r>
      <w:r w:rsidRPr="00B41060">
        <w:rPr>
          <w:lang w:val="es-419"/>
        </w:rPr>
        <w:instrText xml:space="preserve"> AUTONUM  </w:instrText>
      </w:r>
      <w:r w:rsidRPr="00B41060">
        <w:rPr>
          <w:lang w:val="es-419"/>
        </w:rPr>
        <w:fldChar w:fldCharType="end"/>
      </w:r>
      <w:r w:rsidRPr="00B41060">
        <w:rPr>
          <w:lang w:val="es-419"/>
        </w:rPr>
        <w:tab/>
        <w:t>Se invita al Consejo a aprobar la revisión del documento</w:t>
      </w:r>
      <w:r w:rsidR="00ED5EE9">
        <w:rPr>
          <w:lang w:val="es-419"/>
        </w:rPr>
        <w:t xml:space="preserve"> </w:t>
      </w:r>
      <w:r w:rsidRPr="00B41060">
        <w:rPr>
          <w:lang w:val="es-419"/>
        </w:rPr>
        <w:t>TGP/10 “Examen de la homogeneidad” (documento</w:t>
      </w:r>
      <w:r w:rsidR="00ED5EE9">
        <w:rPr>
          <w:lang w:val="es-419"/>
        </w:rPr>
        <w:t xml:space="preserve"> </w:t>
      </w:r>
      <w:r w:rsidRPr="00B41060">
        <w:rPr>
          <w:lang w:val="es-419"/>
        </w:rPr>
        <w:t>TGP/10/1), sobre la base del documento</w:t>
      </w:r>
      <w:r w:rsidR="00ED5EE9">
        <w:rPr>
          <w:lang w:val="es-419"/>
        </w:rPr>
        <w:t xml:space="preserve"> </w:t>
      </w:r>
      <w:r w:rsidRPr="00B41060">
        <w:rPr>
          <w:lang w:val="es-419"/>
        </w:rPr>
        <w:t>TGP/10/2</w:t>
      </w:r>
      <w:r w:rsidR="00ED5EE9">
        <w:rPr>
          <w:lang w:val="es-419"/>
        </w:rPr>
        <w:t> </w:t>
      </w:r>
      <w:proofErr w:type="spellStart"/>
      <w:r w:rsidR="00ED5EE9">
        <w:rPr>
          <w:lang w:val="es-419"/>
        </w:rPr>
        <w:t>Draft</w:t>
      </w:r>
      <w:proofErr w:type="spellEnd"/>
      <w:r w:rsidR="00ED5EE9">
        <w:rPr>
          <w:lang w:val="es-419"/>
        </w:rPr>
        <w:t> 1</w:t>
      </w:r>
      <w:r w:rsidRPr="00B41060">
        <w:rPr>
          <w:lang w:val="es-419"/>
        </w:rPr>
        <w:t>, teniendo en cuenta las conclusiones del</w:t>
      </w:r>
      <w:r w:rsidR="00ED5EE9">
        <w:rPr>
          <w:lang w:val="es-419"/>
        </w:rPr>
        <w:t xml:space="preserve"> </w:t>
      </w:r>
      <w:r w:rsidRPr="00B41060">
        <w:rPr>
          <w:lang w:val="es-419"/>
        </w:rPr>
        <w:t>TC en su quincuagésima</w:t>
      </w:r>
      <w:r w:rsidR="00ED5EE9">
        <w:rPr>
          <w:lang w:val="es-419"/>
        </w:rPr>
        <w:t xml:space="preserve"> </w:t>
      </w:r>
      <w:r w:rsidRPr="00B41060">
        <w:rPr>
          <w:lang w:val="es-419"/>
        </w:rPr>
        <w:t>quinta sesión y del CAJ en su septuagésima</w:t>
      </w:r>
      <w:r w:rsidR="00ED5EE9">
        <w:rPr>
          <w:lang w:val="es-419"/>
        </w:rPr>
        <w:t xml:space="preserve"> </w:t>
      </w:r>
      <w:r w:rsidRPr="00B41060">
        <w:rPr>
          <w:lang w:val="es-419"/>
        </w:rPr>
        <w:t xml:space="preserve">sexta sesión. </w:t>
      </w:r>
    </w:p>
    <w:p w:rsidR="00B43ACC" w:rsidRPr="00B41060" w:rsidRDefault="00B43ACC" w:rsidP="00B43ACC">
      <w:pPr>
        <w:jc w:val="left"/>
        <w:rPr>
          <w:lang w:val="es-419"/>
        </w:rPr>
      </w:pPr>
    </w:p>
    <w:p w:rsidR="00B43ACC" w:rsidRPr="00B41060" w:rsidRDefault="00B43ACC" w:rsidP="00B43ACC">
      <w:pPr>
        <w:jc w:val="left"/>
        <w:rPr>
          <w:lang w:val="es-419"/>
        </w:rPr>
      </w:pPr>
    </w:p>
    <w:p w:rsidR="00B43ACC" w:rsidRPr="00B41060" w:rsidRDefault="00B43ACC" w:rsidP="00B43ACC">
      <w:pPr>
        <w:jc w:val="left"/>
        <w:rPr>
          <w:bCs/>
          <w:snapToGrid w:val="0"/>
          <w:szCs w:val="24"/>
          <w:u w:val="single"/>
          <w:lang w:val="es-419"/>
        </w:rPr>
      </w:pPr>
      <w:r w:rsidRPr="00B41060">
        <w:rPr>
          <w:snapToGrid w:val="0"/>
          <w:u w:val="single"/>
          <w:lang w:val="es-419"/>
        </w:rPr>
        <w:t>TGP/14:</w:t>
      </w:r>
      <w:r w:rsidR="007B08FF" w:rsidRPr="00B41060">
        <w:rPr>
          <w:snapToGrid w:val="0"/>
          <w:u w:val="single"/>
          <w:lang w:val="es-419"/>
        </w:rPr>
        <w:t xml:space="preserve"> </w:t>
      </w:r>
      <w:r w:rsidRPr="00B41060">
        <w:rPr>
          <w:snapToGrid w:val="0"/>
          <w:u w:val="single"/>
          <w:lang w:val="es-419"/>
        </w:rPr>
        <w:t>Glosario de términos utilizados en los documentos de la UPOV (revisión) (documento</w:t>
      </w:r>
      <w:r w:rsidR="00ED5EE9">
        <w:rPr>
          <w:snapToGrid w:val="0"/>
          <w:u w:val="single"/>
          <w:lang w:val="es-419"/>
        </w:rPr>
        <w:t xml:space="preserve"> </w:t>
      </w:r>
      <w:r w:rsidRPr="00B41060">
        <w:rPr>
          <w:snapToGrid w:val="0"/>
          <w:u w:val="single"/>
          <w:lang w:val="es-419"/>
        </w:rPr>
        <w:t>TGP/14/4</w:t>
      </w:r>
      <w:r w:rsidR="00ED5EE9">
        <w:rPr>
          <w:snapToGrid w:val="0"/>
          <w:u w:val="single"/>
          <w:lang w:val="es-419"/>
        </w:rPr>
        <w:t> </w:t>
      </w:r>
      <w:proofErr w:type="spellStart"/>
      <w:r w:rsidR="00ED5EE9">
        <w:rPr>
          <w:snapToGrid w:val="0"/>
          <w:u w:val="single"/>
          <w:lang w:val="es-419"/>
        </w:rPr>
        <w:t>Draft</w:t>
      </w:r>
      <w:proofErr w:type="spellEnd"/>
      <w:r w:rsidR="00ED5EE9">
        <w:rPr>
          <w:snapToGrid w:val="0"/>
          <w:u w:val="single"/>
          <w:lang w:val="es-419"/>
        </w:rPr>
        <w:t> 1</w:t>
      </w:r>
      <w:r w:rsidRPr="00B41060">
        <w:rPr>
          <w:snapToGrid w:val="0"/>
          <w:u w:val="single"/>
          <w:lang w:val="es-419"/>
        </w:rPr>
        <w:t>)</w:t>
      </w:r>
    </w:p>
    <w:p w:rsidR="00B43ACC" w:rsidRPr="00B41060" w:rsidRDefault="00B43ACC" w:rsidP="00B43ACC">
      <w:pPr>
        <w:jc w:val="left"/>
        <w:rPr>
          <w:lang w:val="es-419"/>
        </w:rPr>
      </w:pPr>
    </w:p>
    <w:p w:rsidR="00B43ACC" w:rsidRPr="00B41060" w:rsidRDefault="00B43ACC" w:rsidP="00B43ACC">
      <w:pPr>
        <w:rPr>
          <w:lang w:val="es-419"/>
        </w:rPr>
      </w:pPr>
      <w:r w:rsidRPr="00B41060">
        <w:rPr>
          <w:lang w:val="es-419"/>
        </w:rPr>
        <w:fldChar w:fldCharType="begin"/>
      </w:r>
      <w:r w:rsidRPr="00B41060">
        <w:rPr>
          <w:lang w:val="es-419"/>
        </w:rPr>
        <w:instrText xml:space="preserve"> AUTONUM  </w:instrText>
      </w:r>
      <w:r w:rsidRPr="00B41060">
        <w:rPr>
          <w:lang w:val="es-419"/>
        </w:rPr>
        <w:fldChar w:fldCharType="end"/>
      </w:r>
      <w:r w:rsidRPr="00B41060">
        <w:rPr>
          <w:lang w:val="es-419"/>
        </w:rPr>
        <w:tab/>
        <w:t>En su quincuagésima tercera sesión,</w:t>
      </w:r>
      <w:r w:rsidRPr="00B41060">
        <w:rPr>
          <w:vertAlign w:val="superscript"/>
          <w:lang w:val="es-419"/>
        </w:rPr>
        <w:fldChar w:fldCharType="begin"/>
      </w:r>
      <w:r w:rsidRPr="00B41060">
        <w:rPr>
          <w:vertAlign w:val="superscript"/>
          <w:lang w:val="es-419"/>
        </w:rPr>
        <w:instrText xml:space="preserve"> NOTEREF _Ref13511775 \h  \* MERGEFORMAT </w:instrText>
      </w:r>
      <w:r w:rsidRPr="00B41060">
        <w:rPr>
          <w:vertAlign w:val="superscript"/>
          <w:lang w:val="es-419"/>
        </w:rPr>
      </w:r>
      <w:r w:rsidRPr="00B41060">
        <w:rPr>
          <w:vertAlign w:val="superscript"/>
          <w:lang w:val="es-419"/>
        </w:rPr>
        <w:fldChar w:fldCharType="separate"/>
      </w:r>
      <w:r w:rsidRPr="00B41060">
        <w:rPr>
          <w:vertAlign w:val="superscript"/>
          <w:lang w:val="es-419"/>
        </w:rPr>
        <w:t>4</w:t>
      </w:r>
      <w:r w:rsidRPr="00B41060">
        <w:rPr>
          <w:vertAlign w:val="superscript"/>
          <w:lang w:val="es-419"/>
        </w:rPr>
        <w:fldChar w:fldCharType="end"/>
      </w:r>
      <w:r w:rsidRPr="00B41060">
        <w:rPr>
          <w:lang w:val="es-419"/>
        </w:rPr>
        <w:t xml:space="preserve"> el TC convino en revisar el documento</w:t>
      </w:r>
      <w:r w:rsidR="00ED5EE9">
        <w:rPr>
          <w:lang w:val="es-419"/>
        </w:rPr>
        <w:t xml:space="preserve"> </w:t>
      </w:r>
      <w:r w:rsidRPr="00B41060">
        <w:rPr>
          <w:lang w:val="es-419"/>
        </w:rPr>
        <w:t>TGP/14: sección</w:t>
      </w:r>
      <w:r w:rsidR="00ED5EE9">
        <w:rPr>
          <w:lang w:val="es-419"/>
        </w:rPr>
        <w:t xml:space="preserve"> </w:t>
      </w:r>
      <w:r w:rsidRPr="00B41060">
        <w:rPr>
          <w:lang w:val="es-419"/>
        </w:rPr>
        <w:t>2: subsección 2: “Formas y estructuras”, para modificar el cuadro de la variante 2 del ejemplo</w:t>
      </w:r>
      <w:r w:rsidR="00ED5EE9">
        <w:rPr>
          <w:lang w:val="es-419"/>
        </w:rPr>
        <w:t xml:space="preserve"> </w:t>
      </w:r>
      <w:r w:rsidRPr="00B41060">
        <w:rPr>
          <w:lang w:val="es-419"/>
        </w:rPr>
        <w:t>5, según se expone en el Anexo</w:t>
      </w:r>
      <w:r w:rsidR="00ED5EE9">
        <w:rPr>
          <w:lang w:val="es-419"/>
        </w:rPr>
        <w:t xml:space="preserve"> </w:t>
      </w:r>
      <w:r w:rsidRPr="00B41060">
        <w:rPr>
          <w:lang w:val="es-419"/>
        </w:rPr>
        <w:t>IV del presente documento</w:t>
      </w:r>
      <w:r w:rsidR="00532E5E" w:rsidRPr="00B41060">
        <w:rPr>
          <w:lang w:val="es-419"/>
        </w:rPr>
        <w:t xml:space="preserve"> (</w:t>
      </w:r>
      <w:r w:rsidRPr="00B41060">
        <w:rPr>
          <w:lang w:val="es-419"/>
        </w:rPr>
        <w:t xml:space="preserve">véase el párrafo 141 del documento </w:t>
      </w:r>
      <w:hyperlink r:id="rId12" w:history="1">
        <w:r w:rsidR="005F7B0C" w:rsidRPr="000A0EE8">
          <w:rPr>
            <w:rStyle w:val="Hyperlink"/>
          </w:rPr>
          <w:t>TC/53/31</w:t>
        </w:r>
      </w:hyperlink>
      <w:r w:rsidRPr="00B41060">
        <w:rPr>
          <w:lang w:val="es-419"/>
        </w:rPr>
        <w:t xml:space="preserve"> “Informe”).</w:t>
      </w:r>
    </w:p>
    <w:p w:rsidR="00B43ACC" w:rsidRPr="00B41060" w:rsidRDefault="00B43ACC" w:rsidP="00B43ACC">
      <w:pPr>
        <w:rPr>
          <w:lang w:val="es-419"/>
        </w:rPr>
      </w:pPr>
    </w:p>
    <w:p w:rsidR="00B43ACC" w:rsidRPr="00B41060" w:rsidRDefault="00B43ACC" w:rsidP="00B43ACC">
      <w:pPr>
        <w:rPr>
          <w:lang w:val="es-419"/>
        </w:rPr>
      </w:pPr>
      <w:r w:rsidRPr="00B41060">
        <w:rPr>
          <w:lang w:val="es-419"/>
        </w:rPr>
        <w:fldChar w:fldCharType="begin"/>
      </w:r>
      <w:r w:rsidRPr="00B41060">
        <w:rPr>
          <w:lang w:val="es-419"/>
        </w:rPr>
        <w:instrText xml:space="preserve"> AUTONUM  </w:instrText>
      </w:r>
      <w:r w:rsidRPr="00B41060">
        <w:rPr>
          <w:lang w:val="es-419"/>
        </w:rPr>
        <w:fldChar w:fldCharType="end"/>
      </w:r>
      <w:r w:rsidRPr="00B41060">
        <w:rPr>
          <w:lang w:val="es-419"/>
        </w:rPr>
        <w:tab/>
        <w:t>En su quincuagésima cuarta sesión,</w:t>
      </w:r>
      <w:r w:rsidRPr="00B41060">
        <w:rPr>
          <w:vertAlign w:val="superscript"/>
          <w:lang w:val="es-419"/>
        </w:rPr>
        <w:fldChar w:fldCharType="begin"/>
      </w:r>
      <w:r w:rsidRPr="00B41060">
        <w:rPr>
          <w:vertAlign w:val="superscript"/>
          <w:lang w:val="es-419"/>
        </w:rPr>
        <w:instrText xml:space="preserve"> NOTEREF _Ref13507369 \h  \* MERGEFORMAT </w:instrText>
      </w:r>
      <w:r w:rsidRPr="00B41060">
        <w:rPr>
          <w:vertAlign w:val="superscript"/>
          <w:lang w:val="es-419"/>
        </w:rPr>
      </w:r>
      <w:r w:rsidRPr="00B41060">
        <w:rPr>
          <w:vertAlign w:val="superscript"/>
          <w:lang w:val="es-419"/>
        </w:rPr>
        <w:fldChar w:fldCharType="separate"/>
      </w:r>
      <w:r w:rsidRPr="00B41060">
        <w:rPr>
          <w:vertAlign w:val="superscript"/>
          <w:lang w:val="es-419"/>
        </w:rPr>
        <w:t>1</w:t>
      </w:r>
      <w:r w:rsidRPr="00B41060">
        <w:rPr>
          <w:vertAlign w:val="superscript"/>
          <w:lang w:val="es-419"/>
        </w:rPr>
        <w:fldChar w:fldCharType="end"/>
      </w:r>
      <w:r w:rsidRPr="00B41060">
        <w:rPr>
          <w:lang w:val="es-419"/>
        </w:rPr>
        <w:t xml:space="preserve"> el TC acordó que las propuestas de revisión del documento</w:t>
      </w:r>
      <w:r w:rsidR="00ED5EE9">
        <w:rPr>
          <w:lang w:val="es-419"/>
        </w:rPr>
        <w:t xml:space="preserve"> </w:t>
      </w:r>
      <w:r w:rsidRPr="00B41060">
        <w:rPr>
          <w:lang w:val="es-419"/>
        </w:rPr>
        <w:t xml:space="preserve">TGP/14 “Glosario de términos utilizados en los documentos de la UPOV” incluyan orientación sobre los factores que se han de tener en cuenta al crear grupos de color a efectos de agrupar variedades y organizar el ensayo de cultivo (véase el párrafo 244 del documento </w:t>
      </w:r>
      <w:hyperlink r:id="rId13" w:history="1">
        <w:r w:rsidR="005F7B0C">
          <w:rPr>
            <w:rStyle w:val="Hyperlink"/>
            <w:lang w:val="fr-FR"/>
          </w:rPr>
          <w:t>TC/54/31</w:t>
        </w:r>
      </w:hyperlink>
      <w:r w:rsidRPr="00B41060">
        <w:rPr>
          <w:lang w:val="es-419"/>
        </w:rPr>
        <w:t xml:space="preserve"> “Informe”).</w:t>
      </w:r>
    </w:p>
    <w:p w:rsidR="00B43ACC" w:rsidRPr="00B41060" w:rsidRDefault="00B43ACC" w:rsidP="00B43ACC">
      <w:pPr>
        <w:rPr>
          <w:lang w:val="es-419"/>
        </w:rPr>
      </w:pPr>
    </w:p>
    <w:p w:rsidR="00B43ACC" w:rsidRPr="00B41060" w:rsidRDefault="00B43ACC" w:rsidP="00B43ACC">
      <w:pPr>
        <w:rPr>
          <w:spacing w:val="-2"/>
          <w:lang w:val="es-419"/>
        </w:rPr>
      </w:pPr>
      <w:r w:rsidRPr="00B41060">
        <w:rPr>
          <w:spacing w:val="-2"/>
          <w:lang w:val="es-419"/>
        </w:rPr>
        <w:fldChar w:fldCharType="begin"/>
      </w:r>
      <w:r w:rsidRPr="00B41060">
        <w:rPr>
          <w:spacing w:val="-2"/>
          <w:lang w:val="es-419"/>
        </w:rPr>
        <w:instrText xml:space="preserve"> AUTONUM  </w:instrText>
      </w:r>
      <w:r w:rsidRPr="00B41060">
        <w:rPr>
          <w:spacing w:val="-2"/>
          <w:lang w:val="es-419"/>
        </w:rPr>
        <w:fldChar w:fldCharType="end"/>
      </w:r>
      <w:r w:rsidRPr="00B41060">
        <w:rPr>
          <w:lang w:val="es-419"/>
        </w:rPr>
        <w:tab/>
        <w:t>Con arreglo a lo anterior, el TC convino en que la revisión del documento</w:t>
      </w:r>
      <w:r w:rsidR="00ED5EE9">
        <w:rPr>
          <w:lang w:val="es-419"/>
        </w:rPr>
        <w:t xml:space="preserve"> </w:t>
      </w:r>
      <w:r w:rsidRPr="00B41060">
        <w:rPr>
          <w:lang w:val="es-419"/>
        </w:rPr>
        <w:t>TGP/14/3 (documento</w:t>
      </w:r>
      <w:r w:rsidR="00ED5EE9">
        <w:rPr>
          <w:lang w:val="es-419"/>
        </w:rPr>
        <w:t xml:space="preserve"> </w:t>
      </w:r>
      <w:r w:rsidRPr="00B41060">
        <w:rPr>
          <w:lang w:val="es-419"/>
        </w:rPr>
        <w:t>TGP/14/4</w:t>
      </w:r>
      <w:r w:rsidR="00ED5EE9">
        <w:rPr>
          <w:lang w:val="es-419"/>
        </w:rPr>
        <w:t> </w:t>
      </w:r>
      <w:proofErr w:type="spellStart"/>
      <w:r w:rsidR="00ED5EE9">
        <w:rPr>
          <w:lang w:val="es-419"/>
        </w:rPr>
        <w:t>Draft</w:t>
      </w:r>
      <w:proofErr w:type="spellEnd"/>
      <w:r w:rsidR="00ED5EE9">
        <w:rPr>
          <w:lang w:val="es-419"/>
        </w:rPr>
        <w:t> 1</w:t>
      </w:r>
      <w:r w:rsidRPr="00B41060">
        <w:rPr>
          <w:lang w:val="es-419"/>
        </w:rPr>
        <w:t>) se someta a la aprobación del Consejo en su quincuagésima tercera sesión ordinaria, a reserva de la aprobación del</w:t>
      </w:r>
      <w:r w:rsidR="00ED5EE9">
        <w:rPr>
          <w:lang w:val="es-419"/>
        </w:rPr>
        <w:t xml:space="preserve"> </w:t>
      </w:r>
      <w:r w:rsidRPr="00B41060">
        <w:rPr>
          <w:lang w:val="es-419"/>
        </w:rPr>
        <w:t>CAJ en su septuagésima</w:t>
      </w:r>
      <w:r w:rsidR="00ED5EE9">
        <w:rPr>
          <w:lang w:val="es-419"/>
        </w:rPr>
        <w:t xml:space="preserve"> </w:t>
      </w:r>
      <w:r w:rsidRPr="00B41060">
        <w:rPr>
          <w:lang w:val="es-419"/>
        </w:rPr>
        <w:t>sexta sesión.</w:t>
      </w:r>
      <w:r w:rsidRPr="00B41060">
        <w:rPr>
          <w:spacing w:val="-2"/>
          <w:vertAlign w:val="superscript"/>
          <w:lang w:val="es-419"/>
        </w:rPr>
        <w:fldChar w:fldCharType="begin"/>
      </w:r>
      <w:r w:rsidRPr="00B41060">
        <w:rPr>
          <w:spacing w:val="-2"/>
          <w:vertAlign w:val="superscript"/>
          <w:lang w:val="es-419"/>
        </w:rPr>
        <w:instrText xml:space="preserve"> NOTEREF _Ref13509809 \h  \* MERGEFORMAT </w:instrText>
      </w:r>
      <w:r w:rsidRPr="00B41060">
        <w:rPr>
          <w:spacing w:val="-2"/>
          <w:vertAlign w:val="superscript"/>
          <w:lang w:val="es-419"/>
        </w:rPr>
      </w:r>
      <w:r w:rsidRPr="00B41060">
        <w:rPr>
          <w:spacing w:val="-2"/>
          <w:vertAlign w:val="superscript"/>
          <w:lang w:val="es-419"/>
        </w:rPr>
        <w:fldChar w:fldCharType="separate"/>
      </w:r>
      <w:r w:rsidRPr="00B41060">
        <w:rPr>
          <w:spacing w:val="-2"/>
          <w:vertAlign w:val="superscript"/>
          <w:lang w:val="es-419"/>
        </w:rPr>
        <w:t>2</w:t>
      </w:r>
      <w:r w:rsidRPr="00B41060">
        <w:rPr>
          <w:spacing w:val="-2"/>
          <w:vertAlign w:val="superscript"/>
          <w:lang w:val="es-419"/>
        </w:rPr>
        <w:fldChar w:fldCharType="end"/>
      </w:r>
      <w:r w:rsidR="007B08FF" w:rsidRPr="00B41060">
        <w:rPr>
          <w:lang w:val="es-419"/>
        </w:rPr>
        <w:t xml:space="preserve"> </w:t>
      </w:r>
    </w:p>
    <w:p w:rsidR="00B43ACC" w:rsidRPr="00B41060" w:rsidRDefault="00B43ACC" w:rsidP="00B43ACC">
      <w:pPr>
        <w:rPr>
          <w:spacing w:val="-2"/>
          <w:lang w:val="es-419"/>
        </w:rPr>
      </w:pPr>
    </w:p>
    <w:p w:rsidR="00B43ACC" w:rsidRPr="00B41060" w:rsidRDefault="00B43ACC" w:rsidP="00B43ACC">
      <w:pPr>
        <w:rPr>
          <w:bCs/>
          <w:snapToGrid w:val="0"/>
          <w:szCs w:val="24"/>
          <w:lang w:val="es-419"/>
        </w:rPr>
      </w:pPr>
      <w:r w:rsidRPr="00B41060">
        <w:rPr>
          <w:spacing w:val="-2"/>
          <w:lang w:val="es-419"/>
        </w:rPr>
        <w:fldChar w:fldCharType="begin"/>
      </w:r>
      <w:r w:rsidRPr="00B41060">
        <w:rPr>
          <w:spacing w:val="-2"/>
          <w:lang w:val="es-419"/>
        </w:rPr>
        <w:instrText xml:space="preserve"> AUTONUM  </w:instrText>
      </w:r>
      <w:r w:rsidRPr="00B41060">
        <w:rPr>
          <w:spacing w:val="-2"/>
          <w:lang w:val="es-419"/>
        </w:rPr>
        <w:fldChar w:fldCharType="end"/>
      </w:r>
      <w:r w:rsidRPr="00B41060">
        <w:rPr>
          <w:lang w:val="es-419"/>
        </w:rPr>
        <w:tab/>
        <w:t>Los respectivos miembros del Comité de Redacción han revisado las traducciones al alemán, español y francés del texto original en inglés antes de que se presente al Consejo el proyecto de documento</w:t>
      </w:r>
      <w:r w:rsidR="00ED5EE9">
        <w:rPr>
          <w:lang w:val="es-419"/>
        </w:rPr>
        <w:t xml:space="preserve"> </w:t>
      </w:r>
      <w:r w:rsidRPr="00B41060">
        <w:rPr>
          <w:lang w:val="es-419"/>
        </w:rPr>
        <w:t>TGP/14/4.</w:t>
      </w:r>
      <w:r w:rsidR="007B08FF" w:rsidRPr="00B41060">
        <w:rPr>
          <w:lang w:val="es-419"/>
        </w:rPr>
        <w:t xml:space="preserve"> </w:t>
      </w:r>
      <w:r w:rsidRPr="00B41060">
        <w:rPr>
          <w:lang w:val="es-419"/>
        </w:rPr>
        <w:t>El documento</w:t>
      </w:r>
      <w:r w:rsidR="00ED5EE9">
        <w:rPr>
          <w:lang w:val="es-419"/>
        </w:rPr>
        <w:t xml:space="preserve"> </w:t>
      </w:r>
      <w:r w:rsidRPr="00B41060">
        <w:rPr>
          <w:lang w:val="es-419"/>
        </w:rPr>
        <w:t>TGP/14/4</w:t>
      </w:r>
      <w:r w:rsidR="00ED5EE9">
        <w:rPr>
          <w:lang w:val="es-419"/>
        </w:rPr>
        <w:t> </w:t>
      </w:r>
      <w:proofErr w:type="spellStart"/>
      <w:r w:rsidR="00ED5EE9">
        <w:rPr>
          <w:lang w:val="es-419"/>
        </w:rPr>
        <w:t>Draft</w:t>
      </w:r>
      <w:proofErr w:type="spellEnd"/>
      <w:r w:rsidR="00ED5EE9">
        <w:rPr>
          <w:lang w:val="es-419"/>
        </w:rPr>
        <w:t> 1</w:t>
      </w:r>
      <w:r w:rsidRPr="00B41060">
        <w:rPr>
          <w:lang w:val="es-419"/>
        </w:rPr>
        <w:t xml:space="preserve"> incorpora las enmiendas acordadas por el TC, expuestas en el Anexo</w:t>
      </w:r>
      <w:r w:rsidR="00ED5EE9">
        <w:rPr>
          <w:lang w:val="es-419"/>
        </w:rPr>
        <w:t xml:space="preserve"> </w:t>
      </w:r>
      <w:r w:rsidRPr="00B41060">
        <w:rPr>
          <w:lang w:val="es-419"/>
        </w:rPr>
        <w:t>IV del presente documento, y los cambios lingüísticos efectuados por los res</w:t>
      </w:r>
      <w:r w:rsidR="00052642">
        <w:rPr>
          <w:lang w:val="es-419"/>
        </w:rPr>
        <w:t>pectivos miembros del Comité</w:t>
      </w:r>
      <w:r w:rsidR="00ED5EE9">
        <w:rPr>
          <w:lang w:val="es-419"/>
        </w:rPr>
        <w:t xml:space="preserve"> </w:t>
      </w:r>
      <w:r w:rsidR="00052642">
        <w:rPr>
          <w:lang w:val="es-419"/>
        </w:rPr>
        <w:t>de</w:t>
      </w:r>
      <w:r w:rsidR="00ED5EE9">
        <w:rPr>
          <w:lang w:val="es-419"/>
        </w:rPr>
        <w:t xml:space="preserve"> </w:t>
      </w:r>
      <w:r w:rsidRPr="00B41060">
        <w:rPr>
          <w:lang w:val="es-419"/>
        </w:rPr>
        <w:t>Redacción.</w:t>
      </w:r>
    </w:p>
    <w:p w:rsidR="00B43ACC" w:rsidRPr="00B41060" w:rsidRDefault="00B43ACC" w:rsidP="00B43ACC">
      <w:pPr>
        <w:rPr>
          <w:bCs/>
          <w:snapToGrid w:val="0"/>
          <w:szCs w:val="24"/>
          <w:lang w:val="es-419"/>
        </w:rPr>
      </w:pPr>
    </w:p>
    <w:p w:rsidR="00B43ACC" w:rsidRPr="00B41060" w:rsidRDefault="00B43ACC" w:rsidP="00B43ACC">
      <w:pPr>
        <w:rPr>
          <w:lang w:val="es-419"/>
        </w:rPr>
      </w:pPr>
      <w:r w:rsidRPr="00B41060">
        <w:rPr>
          <w:spacing w:val="-2"/>
          <w:lang w:val="es-419"/>
        </w:rPr>
        <w:lastRenderedPageBreak/>
        <w:fldChar w:fldCharType="begin"/>
      </w:r>
      <w:r w:rsidRPr="00B41060">
        <w:rPr>
          <w:spacing w:val="-2"/>
          <w:lang w:val="es-419"/>
        </w:rPr>
        <w:instrText xml:space="preserve"> AUTONUM  </w:instrText>
      </w:r>
      <w:r w:rsidRPr="00B41060">
        <w:rPr>
          <w:spacing w:val="-2"/>
          <w:lang w:val="es-419"/>
        </w:rPr>
        <w:fldChar w:fldCharType="end"/>
      </w:r>
      <w:r w:rsidRPr="00B41060">
        <w:rPr>
          <w:lang w:val="es-419"/>
        </w:rPr>
        <w:tab/>
        <w:t>Se ha previsto presentar al Consejo, en su quincuagésima tercera sesión ordinaria, un informe sobre las conclusiones del TC, en su quincuagésima quinta sesión,</w:t>
      </w:r>
      <w:r w:rsidRPr="00B41060">
        <w:rPr>
          <w:spacing w:val="-2"/>
          <w:vertAlign w:val="superscript"/>
          <w:lang w:val="es-419"/>
        </w:rPr>
        <w:fldChar w:fldCharType="begin"/>
      </w:r>
      <w:r w:rsidRPr="00B41060">
        <w:rPr>
          <w:spacing w:val="-2"/>
          <w:vertAlign w:val="superscript"/>
          <w:lang w:val="es-419"/>
        </w:rPr>
        <w:instrText xml:space="preserve"> NOTEREF _Ref13509977 \h  \* MERGEFORMAT </w:instrText>
      </w:r>
      <w:r w:rsidRPr="00B41060">
        <w:rPr>
          <w:spacing w:val="-2"/>
          <w:vertAlign w:val="superscript"/>
          <w:lang w:val="es-419"/>
        </w:rPr>
      </w:r>
      <w:r w:rsidRPr="00B41060">
        <w:rPr>
          <w:spacing w:val="-2"/>
          <w:vertAlign w:val="superscript"/>
          <w:lang w:val="es-419"/>
        </w:rPr>
        <w:fldChar w:fldCharType="separate"/>
      </w:r>
      <w:r w:rsidRPr="00B41060">
        <w:rPr>
          <w:spacing w:val="-2"/>
          <w:vertAlign w:val="superscript"/>
          <w:lang w:val="es-419"/>
        </w:rPr>
        <w:t>3</w:t>
      </w:r>
      <w:r w:rsidRPr="00B41060">
        <w:rPr>
          <w:spacing w:val="-2"/>
          <w:vertAlign w:val="superscript"/>
          <w:lang w:val="es-419"/>
        </w:rPr>
        <w:fldChar w:fldCharType="end"/>
      </w:r>
      <w:r w:rsidRPr="00B41060">
        <w:rPr>
          <w:lang w:val="es-419"/>
        </w:rPr>
        <w:t xml:space="preserve"> y sobre las conclusiones del</w:t>
      </w:r>
      <w:r w:rsidR="00ED5EE9">
        <w:rPr>
          <w:lang w:val="es-419"/>
        </w:rPr>
        <w:t xml:space="preserve"> </w:t>
      </w:r>
      <w:r w:rsidRPr="00B41060">
        <w:rPr>
          <w:lang w:val="es-419"/>
        </w:rPr>
        <w:t>CAJ en septuagésima</w:t>
      </w:r>
      <w:r w:rsidR="00ED5EE9">
        <w:rPr>
          <w:lang w:val="es-419"/>
        </w:rPr>
        <w:t xml:space="preserve"> </w:t>
      </w:r>
      <w:r w:rsidRPr="00B41060">
        <w:rPr>
          <w:lang w:val="es-419"/>
        </w:rPr>
        <w:t>sexta sesión,</w:t>
      </w:r>
      <w:r w:rsidRPr="00B41060">
        <w:rPr>
          <w:vertAlign w:val="superscript"/>
          <w:lang w:val="es-419"/>
        </w:rPr>
        <w:fldChar w:fldCharType="begin"/>
      </w:r>
      <w:r w:rsidRPr="00B41060">
        <w:rPr>
          <w:vertAlign w:val="superscript"/>
          <w:lang w:val="es-419"/>
        </w:rPr>
        <w:instrText xml:space="preserve"> NOTEREF _Ref13509809 \h  \* MERGEFORMAT </w:instrText>
      </w:r>
      <w:r w:rsidRPr="00B41060">
        <w:rPr>
          <w:vertAlign w:val="superscript"/>
          <w:lang w:val="es-419"/>
        </w:rPr>
      </w:r>
      <w:r w:rsidRPr="00B41060">
        <w:rPr>
          <w:vertAlign w:val="superscript"/>
          <w:lang w:val="es-419"/>
        </w:rPr>
        <w:fldChar w:fldCharType="separate"/>
      </w:r>
      <w:r w:rsidRPr="00B41060">
        <w:rPr>
          <w:vertAlign w:val="superscript"/>
          <w:lang w:val="es-419"/>
        </w:rPr>
        <w:t>2</w:t>
      </w:r>
      <w:r w:rsidRPr="00B41060">
        <w:rPr>
          <w:vertAlign w:val="superscript"/>
          <w:lang w:val="es-419"/>
        </w:rPr>
        <w:fldChar w:fldCharType="end"/>
      </w:r>
      <w:r w:rsidRPr="00B41060">
        <w:rPr>
          <w:lang w:val="es-419"/>
        </w:rPr>
        <w:t xml:space="preserve"> relativas a las propuestas de revisión del documento</w:t>
      </w:r>
      <w:r w:rsidR="00ED5EE9">
        <w:rPr>
          <w:lang w:val="es-419"/>
        </w:rPr>
        <w:t xml:space="preserve"> </w:t>
      </w:r>
      <w:r w:rsidRPr="00B41060">
        <w:rPr>
          <w:lang w:val="es-419"/>
        </w:rPr>
        <w:t>TGP/14/3 (véanse los documentos</w:t>
      </w:r>
      <w:r w:rsidR="00ED5EE9">
        <w:rPr>
          <w:lang w:val="es-419"/>
        </w:rPr>
        <w:t xml:space="preserve"> </w:t>
      </w:r>
      <w:r w:rsidRPr="00B41060">
        <w:rPr>
          <w:lang w:val="es-419"/>
        </w:rPr>
        <w:t>TC/55/[xx] “Informe” y CAJ/76/[xx]</w:t>
      </w:r>
      <w:r w:rsidR="00ED5EE9">
        <w:rPr>
          <w:lang w:val="es-419"/>
        </w:rPr>
        <w:t xml:space="preserve"> </w:t>
      </w:r>
      <w:r w:rsidRPr="00B41060">
        <w:rPr>
          <w:lang w:val="es-419"/>
        </w:rPr>
        <w:t xml:space="preserve">“Informe”). </w:t>
      </w:r>
    </w:p>
    <w:p w:rsidR="00B43ACC" w:rsidRPr="00B41060" w:rsidRDefault="00B43ACC" w:rsidP="00B43ACC">
      <w:pPr>
        <w:rPr>
          <w:lang w:val="es-419"/>
        </w:rPr>
      </w:pPr>
    </w:p>
    <w:p w:rsidR="00B43ACC" w:rsidRPr="00B41060" w:rsidRDefault="00B43ACC" w:rsidP="00B43ACC">
      <w:pPr>
        <w:pStyle w:val="DecisionParagraphs"/>
        <w:rPr>
          <w:lang w:val="es-419"/>
        </w:rPr>
      </w:pPr>
      <w:r w:rsidRPr="00B41060">
        <w:rPr>
          <w:lang w:val="es-419"/>
        </w:rPr>
        <w:fldChar w:fldCharType="begin"/>
      </w:r>
      <w:r w:rsidRPr="00B41060">
        <w:rPr>
          <w:lang w:val="es-419"/>
        </w:rPr>
        <w:instrText xml:space="preserve"> AUTONUM  </w:instrText>
      </w:r>
      <w:r w:rsidRPr="00B41060">
        <w:rPr>
          <w:lang w:val="es-419"/>
        </w:rPr>
        <w:fldChar w:fldCharType="end"/>
      </w:r>
      <w:r w:rsidRPr="00B41060">
        <w:rPr>
          <w:lang w:val="es-419"/>
        </w:rPr>
        <w:tab/>
        <w:t>Se invita al Consejo a aprobar la revisión del documento</w:t>
      </w:r>
      <w:r w:rsidR="007B08FF" w:rsidRPr="00B41060">
        <w:rPr>
          <w:lang w:val="es-419"/>
        </w:rPr>
        <w:t xml:space="preserve"> </w:t>
      </w:r>
      <w:r w:rsidRPr="00B41060">
        <w:rPr>
          <w:lang w:val="es-419"/>
        </w:rPr>
        <w:t>TGP/14 “Glosario de términos utilizados en los documentos de la UPOV” (documento</w:t>
      </w:r>
      <w:r w:rsidR="00ED5EE9">
        <w:rPr>
          <w:lang w:val="es-419"/>
        </w:rPr>
        <w:t xml:space="preserve"> </w:t>
      </w:r>
      <w:r w:rsidRPr="00B41060">
        <w:rPr>
          <w:lang w:val="es-419"/>
        </w:rPr>
        <w:t>TGP/14/3), sobre la base del documento</w:t>
      </w:r>
      <w:r w:rsidR="00ED5EE9">
        <w:rPr>
          <w:lang w:val="es-419"/>
        </w:rPr>
        <w:t xml:space="preserve"> </w:t>
      </w:r>
      <w:r w:rsidRPr="00B41060">
        <w:rPr>
          <w:lang w:val="es-419"/>
        </w:rPr>
        <w:t>TGP/14/4</w:t>
      </w:r>
      <w:r w:rsidR="00ED5EE9">
        <w:rPr>
          <w:lang w:val="es-419"/>
        </w:rPr>
        <w:t> </w:t>
      </w:r>
      <w:proofErr w:type="spellStart"/>
      <w:r w:rsidR="00ED5EE9">
        <w:rPr>
          <w:lang w:val="es-419"/>
        </w:rPr>
        <w:t>Draft</w:t>
      </w:r>
      <w:proofErr w:type="spellEnd"/>
      <w:r w:rsidR="00ED5EE9">
        <w:rPr>
          <w:lang w:val="es-419"/>
        </w:rPr>
        <w:t> 1</w:t>
      </w:r>
      <w:r w:rsidRPr="00B41060">
        <w:rPr>
          <w:lang w:val="es-419"/>
        </w:rPr>
        <w:t>, teniendo en cuenta las conclusiones del</w:t>
      </w:r>
      <w:r w:rsidR="00ED5EE9">
        <w:rPr>
          <w:lang w:val="es-419"/>
        </w:rPr>
        <w:t xml:space="preserve"> </w:t>
      </w:r>
      <w:r w:rsidRPr="00B41060">
        <w:rPr>
          <w:lang w:val="es-419"/>
        </w:rPr>
        <w:t>TC en su quincuagésima</w:t>
      </w:r>
      <w:r w:rsidR="00ED5EE9">
        <w:rPr>
          <w:lang w:val="es-419"/>
        </w:rPr>
        <w:t xml:space="preserve"> </w:t>
      </w:r>
      <w:r w:rsidRPr="00B41060">
        <w:rPr>
          <w:lang w:val="es-419"/>
        </w:rPr>
        <w:t>quinta sesión y del CAJ en su septuagésima</w:t>
      </w:r>
      <w:r w:rsidR="00ED5EE9">
        <w:rPr>
          <w:lang w:val="es-419"/>
        </w:rPr>
        <w:t xml:space="preserve"> </w:t>
      </w:r>
      <w:r w:rsidRPr="00B41060">
        <w:rPr>
          <w:lang w:val="es-419"/>
        </w:rPr>
        <w:t xml:space="preserve">sexta sesión. </w:t>
      </w:r>
    </w:p>
    <w:p w:rsidR="00B43ACC" w:rsidRPr="00B41060" w:rsidRDefault="00B43ACC" w:rsidP="00B43ACC">
      <w:pPr>
        <w:jc w:val="left"/>
        <w:rPr>
          <w:lang w:val="es-419"/>
        </w:rPr>
      </w:pPr>
    </w:p>
    <w:p w:rsidR="00B43ACC" w:rsidRPr="00B41060" w:rsidRDefault="00B43ACC" w:rsidP="00B43ACC">
      <w:pPr>
        <w:jc w:val="left"/>
        <w:rPr>
          <w:lang w:val="es-419"/>
        </w:rPr>
      </w:pPr>
    </w:p>
    <w:p w:rsidR="00B43ACC" w:rsidRPr="00B41060" w:rsidRDefault="00B43ACC" w:rsidP="00B43ACC">
      <w:pPr>
        <w:keepNext/>
        <w:rPr>
          <w:bCs/>
          <w:snapToGrid w:val="0"/>
          <w:szCs w:val="24"/>
          <w:u w:val="single"/>
          <w:lang w:val="es-419"/>
        </w:rPr>
      </w:pPr>
      <w:r w:rsidRPr="00B41060">
        <w:rPr>
          <w:snapToGrid w:val="0"/>
          <w:u w:val="single"/>
          <w:lang w:val="es-419"/>
        </w:rPr>
        <w:t>TGP/15:</w:t>
      </w:r>
      <w:r w:rsidR="007B08FF" w:rsidRPr="00B41060">
        <w:rPr>
          <w:snapToGrid w:val="0"/>
          <w:u w:val="single"/>
          <w:lang w:val="es-419"/>
        </w:rPr>
        <w:t xml:space="preserve"> </w:t>
      </w:r>
      <w:r w:rsidRPr="00B41060">
        <w:rPr>
          <w:snapToGrid w:val="0"/>
          <w:u w:val="single"/>
          <w:lang w:val="es-419"/>
        </w:rPr>
        <w:t>Orientación sobre el uso de marcadores bioquímicos y moleculares en el examen de la distinción, la homogeneidad y la estabilidad (DHE) (revisión) (documento</w:t>
      </w:r>
      <w:r w:rsidR="00ED5EE9">
        <w:rPr>
          <w:snapToGrid w:val="0"/>
          <w:u w:val="single"/>
          <w:lang w:val="es-419"/>
        </w:rPr>
        <w:t xml:space="preserve"> </w:t>
      </w:r>
      <w:r w:rsidRPr="00B41060">
        <w:rPr>
          <w:snapToGrid w:val="0"/>
          <w:u w:val="single"/>
          <w:lang w:val="es-419"/>
        </w:rPr>
        <w:t>TGP/15/2</w:t>
      </w:r>
      <w:r w:rsidR="00ED5EE9">
        <w:rPr>
          <w:snapToGrid w:val="0"/>
          <w:u w:val="single"/>
          <w:lang w:val="es-419"/>
        </w:rPr>
        <w:t> </w:t>
      </w:r>
      <w:proofErr w:type="spellStart"/>
      <w:r w:rsidR="00ED5EE9">
        <w:rPr>
          <w:snapToGrid w:val="0"/>
          <w:u w:val="single"/>
          <w:lang w:val="es-419"/>
        </w:rPr>
        <w:t>Draft</w:t>
      </w:r>
      <w:proofErr w:type="spellEnd"/>
      <w:r w:rsidR="00ED5EE9">
        <w:rPr>
          <w:snapToGrid w:val="0"/>
          <w:u w:val="single"/>
          <w:lang w:val="es-419"/>
        </w:rPr>
        <w:t> 2</w:t>
      </w:r>
      <w:r w:rsidRPr="00B41060">
        <w:rPr>
          <w:snapToGrid w:val="0"/>
          <w:u w:val="single"/>
          <w:lang w:val="es-419"/>
        </w:rPr>
        <w:t>)</w:t>
      </w:r>
    </w:p>
    <w:p w:rsidR="00B43ACC" w:rsidRPr="00B41060" w:rsidRDefault="00B43ACC" w:rsidP="00B43ACC">
      <w:pPr>
        <w:keepNext/>
        <w:jc w:val="left"/>
        <w:rPr>
          <w:lang w:val="es-419"/>
        </w:rPr>
      </w:pPr>
    </w:p>
    <w:p w:rsidR="00B43ACC" w:rsidRPr="00B41060" w:rsidRDefault="00B43ACC" w:rsidP="00B43ACC">
      <w:pPr>
        <w:rPr>
          <w:lang w:val="es-419"/>
        </w:rPr>
      </w:pPr>
      <w:r w:rsidRPr="00B41060">
        <w:rPr>
          <w:rFonts w:cs="Arial"/>
          <w:lang w:val="es-419"/>
        </w:rPr>
        <w:fldChar w:fldCharType="begin"/>
      </w:r>
      <w:r w:rsidRPr="00B41060">
        <w:rPr>
          <w:rFonts w:cs="Arial"/>
          <w:lang w:val="es-419"/>
        </w:rPr>
        <w:instrText xml:space="preserve"> AUTONUM  </w:instrText>
      </w:r>
      <w:r w:rsidRPr="00B41060">
        <w:rPr>
          <w:rFonts w:cs="Arial"/>
          <w:lang w:val="es-419"/>
        </w:rPr>
        <w:fldChar w:fldCharType="end"/>
      </w:r>
      <w:r w:rsidRPr="00B41060">
        <w:rPr>
          <w:lang w:val="es-419"/>
        </w:rPr>
        <w:tab/>
        <w:t>En su quincuagésima cuarta sesión,</w:t>
      </w:r>
      <w:r w:rsidRPr="00B41060">
        <w:rPr>
          <w:vertAlign w:val="superscript"/>
          <w:lang w:val="es-419"/>
        </w:rPr>
        <w:fldChar w:fldCharType="begin"/>
      </w:r>
      <w:r w:rsidRPr="00B41060">
        <w:rPr>
          <w:vertAlign w:val="superscript"/>
          <w:lang w:val="es-419"/>
        </w:rPr>
        <w:instrText xml:space="preserve"> NOTEREF _Ref13507369 \h  \* MERGEFORMAT </w:instrText>
      </w:r>
      <w:r w:rsidRPr="00B41060">
        <w:rPr>
          <w:vertAlign w:val="superscript"/>
          <w:lang w:val="es-419"/>
        </w:rPr>
      </w:r>
      <w:r w:rsidRPr="00B41060">
        <w:rPr>
          <w:vertAlign w:val="superscript"/>
          <w:lang w:val="es-419"/>
        </w:rPr>
        <w:fldChar w:fldCharType="separate"/>
      </w:r>
      <w:r w:rsidRPr="00B41060">
        <w:rPr>
          <w:vertAlign w:val="superscript"/>
          <w:lang w:val="es-419"/>
        </w:rPr>
        <w:t>1</w:t>
      </w:r>
      <w:r w:rsidRPr="00B41060">
        <w:rPr>
          <w:vertAlign w:val="superscript"/>
          <w:lang w:val="es-419"/>
        </w:rPr>
        <w:fldChar w:fldCharType="end"/>
      </w:r>
      <w:r w:rsidRPr="00B41060">
        <w:rPr>
          <w:lang w:val="es-419"/>
        </w:rPr>
        <w:t xml:space="preserve"> el TC convino en revisar el documento</w:t>
      </w:r>
      <w:r w:rsidR="00ED5EE9">
        <w:rPr>
          <w:lang w:val="es-419"/>
        </w:rPr>
        <w:t xml:space="preserve"> </w:t>
      </w:r>
      <w:r w:rsidRPr="00B41060">
        <w:rPr>
          <w:lang w:val="es-419"/>
        </w:rPr>
        <w:t>TGP/15 para aclarar que es responsabilidad de la autoridad determinar la fiabilidad del vínculo entre el gen y la expresión del carácter (véanse los párrafos 272 y 273 del documento</w:t>
      </w:r>
      <w:r w:rsidR="00ED5EE9">
        <w:rPr>
          <w:lang w:val="es-419"/>
        </w:rPr>
        <w:t xml:space="preserve"> </w:t>
      </w:r>
      <w:hyperlink r:id="rId14" w:history="1">
        <w:r w:rsidR="005F7B0C">
          <w:rPr>
            <w:rStyle w:val="Hyperlink"/>
            <w:lang w:val="fr-FR"/>
          </w:rPr>
          <w:t>TC/54/31</w:t>
        </w:r>
      </w:hyperlink>
      <w:r w:rsidRPr="00B41060">
        <w:rPr>
          <w:lang w:val="es-419"/>
        </w:rPr>
        <w:t xml:space="preserve"> “Informe”).</w:t>
      </w:r>
    </w:p>
    <w:p w:rsidR="00B43ACC" w:rsidRPr="00B41060" w:rsidRDefault="00B43ACC" w:rsidP="00B43ACC">
      <w:pPr>
        <w:rPr>
          <w:rFonts w:cs="Arial"/>
          <w:highlight w:val="yellow"/>
          <w:lang w:val="es-419"/>
        </w:rPr>
      </w:pPr>
    </w:p>
    <w:p w:rsidR="00B43ACC" w:rsidRPr="00B41060" w:rsidRDefault="00B43ACC" w:rsidP="00B43ACC">
      <w:pPr>
        <w:rPr>
          <w:lang w:val="es-419"/>
        </w:rPr>
      </w:pPr>
      <w:r w:rsidRPr="00B41060">
        <w:rPr>
          <w:rFonts w:cs="Arial"/>
          <w:lang w:val="es-419"/>
        </w:rPr>
        <w:fldChar w:fldCharType="begin"/>
      </w:r>
      <w:r w:rsidRPr="00B41060">
        <w:rPr>
          <w:rFonts w:cs="Arial"/>
          <w:lang w:val="es-419"/>
        </w:rPr>
        <w:instrText xml:space="preserve"> AUTONUM  </w:instrText>
      </w:r>
      <w:r w:rsidRPr="00B41060">
        <w:rPr>
          <w:rFonts w:cs="Arial"/>
          <w:lang w:val="es-419"/>
        </w:rPr>
        <w:fldChar w:fldCharType="end"/>
      </w:r>
      <w:r w:rsidRPr="00B41060">
        <w:rPr>
          <w:lang w:val="es-419"/>
        </w:rPr>
        <w:tab/>
        <w:t>En su quincuagésima cuarta sesión, el TC convino también en incluir un nuevo modelo denominado “Selección genética de variedades similares para el primer ciclo de cultivo. Ejemplo: la judía común” en el documento TGP/15 para el uso de marcadores bioquímicos y moleculares en el examen de la distinción, la homogeneidad y la estabilidad (DHE), sobre la base del documento TGP/15/2</w:t>
      </w:r>
      <w:r w:rsidR="00ED5EE9">
        <w:rPr>
          <w:lang w:val="es-419"/>
        </w:rPr>
        <w:t> </w:t>
      </w:r>
      <w:proofErr w:type="spellStart"/>
      <w:r w:rsidR="00ED5EE9">
        <w:rPr>
          <w:lang w:val="es-419"/>
        </w:rPr>
        <w:t>Draft</w:t>
      </w:r>
      <w:proofErr w:type="spellEnd"/>
      <w:r w:rsidR="00ED5EE9">
        <w:rPr>
          <w:lang w:val="es-419"/>
        </w:rPr>
        <w:t> 1</w:t>
      </w:r>
      <w:r w:rsidRPr="00B41060">
        <w:rPr>
          <w:lang w:val="es-419"/>
        </w:rPr>
        <w:t>, revisado por el</w:t>
      </w:r>
      <w:r w:rsidR="00ED5EE9">
        <w:rPr>
          <w:lang w:val="es-419"/>
        </w:rPr>
        <w:t xml:space="preserve"> </w:t>
      </w:r>
      <w:r w:rsidRPr="00B41060">
        <w:rPr>
          <w:lang w:val="es-419"/>
        </w:rPr>
        <w:t>TC</w:t>
      </w:r>
      <w:r w:rsidRPr="00B41060">
        <w:rPr>
          <w:lang w:val="es-419"/>
        </w:rPr>
        <w:noBreakHyphen/>
        <w:t>EDC, que figura en el Anexo</w:t>
      </w:r>
      <w:r w:rsidR="00ED5EE9">
        <w:rPr>
          <w:lang w:val="es-419"/>
        </w:rPr>
        <w:t xml:space="preserve"> </w:t>
      </w:r>
      <w:r w:rsidRPr="00B41060">
        <w:rPr>
          <w:lang w:val="es-419"/>
        </w:rPr>
        <w:t>III del documento</w:t>
      </w:r>
      <w:r w:rsidR="00ED5EE9">
        <w:rPr>
          <w:lang w:val="es-419"/>
        </w:rPr>
        <w:t xml:space="preserve"> </w:t>
      </w:r>
      <w:hyperlink r:id="rId15" w:history="1">
        <w:r w:rsidR="005F7B0C">
          <w:rPr>
            <w:rStyle w:val="Hyperlink"/>
            <w:lang w:val="fr-FR"/>
          </w:rPr>
          <w:t>TC/54/31</w:t>
        </w:r>
      </w:hyperlink>
      <w:r w:rsidRPr="00B41060">
        <w:rPr>
          <w:lang w:val="es-419"/>
        </w:rPr>
        <w:t xml:space="preserve"> “Informe” (véanse los párrafos 290 y 291 del documento</w:t>
      </w:r>
      <w:r w:rsidR="00ED5EE9">
        <w:rPr>
          <w:lang w:val="es-419"/>
        </w:rPr>
        <w:t xml:space="preserve"> </w:t>
      </w:r>
      <w:hyperlink r:id="rId16" w:history="1">
        <w:r w:rsidR="005F7B0C">
          <w:rPr>
            <w:rStyle w:val="Hyperlink"/>
            <w:lang w:val="fr-FR"/>
          </w:rPr>
          <w:t>TC/54/31</w:t>
        </w:r>
      </w:hyperlink>
      <w:r w:rsidRPr="00B41060">
        <w:rPr>
          <w:lang w:val="es-419"/>
        </w:rPr>
        <w:t xml:space="preserve"> “Informe”).</w:t>
      </w:r>
    </w:p>
    <w:p w:rsidR="00B43ACC" w:rsidRPr="00B41060" w:rsidRDefault="00B43ACC" w:rsidP="00B43ACC">
      <w:pPr>
        <w:rPr>
          <w:lang w:val="es-419"/>
        </w:rPr>
      </w:pPr>
    </w:p>
    <w:p w:rsidR="00B43ACC" w:rsidRPr="00B41060" w:rsidRDefault="00B43ACC" w:rsidP="00B43ACC">
      <w:pPr>
        <w:rPr>
          <w:spacing w:val="-2"/>
          <w:lang w:val="es-419"/>
        </w:rPr>
      </w:pPr>
      <w:r w:rsidRPr="00B41060">
        <w:rPr>
          <w:spacing w:val="-2"/>
          <w:lang w:val="es-419"/>
        </w:rPr>
        <w:fldChar w:fldCharType="begin"/>
      </w:r>
      <w:r w:rsidRPr="00B41060">
        <w:rPr>
          <w:spacing w:val="-2"/>
          <w:lang w:val="es-419"/>
        </w:rPr>
        <w:instrText xml:space="preserve"> AUTONUM  </w:instrText>
      </w:r>
      <w:r w:rsidRPr="00B41060">
        <w:rPr>
          <w:spacing w:val="-2"/>
          <w:lang w:val="es-419"/>
        </w:rPr>
        <w:fldChar w:fldCharType="end"/>
      </w:r>
      <w:r w:rsidRPr="00B41060">
        <w:rPr>
          <w:lang w:val="es-419"/>
        </w:rPr>
        <w:tab/>
        <w:t>Con arreglo a lo anterior, el TC convino en que la revisión del documento</w:t>
      </w:r>
      <w:r w:rsidR="00ED5EE9">
        <w:rPr>
          <w:lang w:val="es-419"/>
        </w:rPr>
        <w:t xml:space="preserve"> </w:t>
      </w:r>
      <w:r w:rsidRPr="00B41060">
        <w:rPr>
          <w:lang w:val="es-419"/>
        </w:rPr>
        <w:t>TGP/15/1 (documento</w:t>
      </w:r>
      <w:r w:rsidR="00ED5EE9">
        <w:rPr>
          <w:lang w:val="es-419"/>
        </w:rPr>
        <w:t xml:space="preserve"> </w:t>
      </w:r>
      <w:r w:rsidRPr="00B41060">
        <w:rPr>
          <w:lang w:val="es-419"/>
        </w:rPr>
        <w:t>TGP/15/2</w:t>
      </w:r>
      <w:r w:rsidR="00ED5EE9">
        <w:rPr>
          <w:lang w:val="es-419"/>
        </w:rPr>
        <w:t> </w:t>
      </w:r>
      <w:proofErr w:type="spellStart"/>
      <w:r w:rsidR="00ED5EE9">
        <w:rPr>
          <w:lang w:val="es-419"/>
        </w:rPr>
        <w:t>Draft</w:t>
      </w:r>
      <w:proofErr w:type="spellEnd"/>
      <w:r w:rsidR="00ED5EE9">
        <w:rPr>
          <w:lang w:val="es-419"/>
        </w:rPr>
        <w:t> 2</w:t>
      </w:r>
      <w:r w:rsidRPr="00B41060">
        <w:rPr>
          <w:lang w:val="es-419"/>
        </w:rPr>
        <w:t>) se someta a la aprobación del Consejo en su quincuagésima tercera sesión ordinaria, a reserva de la aprobación del</w:t>
      </w:r>
      <w:r w:rsidR="00ED5EE9">
        <w:rPr>
          <w:lang w:val="es-419"/>
        </w:rPr>
        <w:t xml:space="preserve"> </w:t>
      </w:r>
      <w:r w:rsidRPr="00B41060">
        <w:rPr>
          <w:lang w:val="es-419"/>
        </w:rPr>
        <w:t>CAJ en su septuagésima</w:t>
      </w:r>
      <w:r w:rsidR="00ED5EE9">
        <w:rPr>
          <w:lang w:val="es-419"/>
        </w:rPr>
        <w:t xml:space="preserve"> </w:t>
      </w:r>
      <w:r w:rsidRPr="00B41060">
        <w:rPr>
          <w:lang w:val="es-419"/>
        </w:rPr>
        <w:t>sexta sesión.</w:t>
      </w:r>
      <w:r w:rsidRPr="00B41060">
        <w:rPr>
          <w:spacing w:val="-2"/>
          <w:vertAlign w:val="superscript"/>
          <w:lang w:val="es-419"/>
        </w:rPr>
        <w:fldChar w:fldCharType="begin"/>
      </w:r>
      <w:r w:rsidRPr="00B41060">
        <w:rPr>
          <w:spacing w:val="-2"/>
          <w:vertAlign w:val="superscript"/>
          <w:lang w:val="es-419"/>
        </w:rPr>
        <w:instrText xml:space="preserve"> NOTEREF _Ref13509809 \h  \* MERGEFORMAT </w:instrText>
      </w:r>
      <w:r w:rsidRPr="00B41060">
        <w:rPr>
          <w:spacing w:val="-2"/>
          <w:vertAlign w:val="superscript"/>
          <w:lang w:val="es-419"/>
        </w:rPr>
      </w:r>
      <w:r w:rsidRPr="00B41060">
        <w:rPr>
          <w:spacing w:val="-2"/>
          <w:vertAlign w:val="superscript"/>
          <w:lang w:val="es-419"/>
        </w:rPr>
        <w:fldChar w:fldCharType="separate"/>
      </w:r>
      <w:r w:rsidRPr="00B41060">
        <w:rPr>
          <w:spacing w:val="-2"/>
          <w:vertAlign w:val="superscript"/>
          <w:lang w:val="es-419"/>
        </w:rPr>
        <w:t>2</w:t>
      </w:r>
      <w:r w:rsidRPr="00B41060">
        <w:rPr>
          <w:spacing w:val="-2"/>
          <w:vertAlign w:val="superscript"/>
          <w:lang w:val="es-419"/>
        </w:rPr>
        <w:fldChar w:fldCharType="end"/>
      </w:r>
    </w:p>
    <w:p w:rsidR="00B43ACC" w:rsidRPr="00B41060" w:rsidRDefault="00B43ACC" w:rsidP="00B43ACC">
      <w:pPr>
        <w:rPr>
          <w:spacing w:val="-2"/>
          <w:lang w:val="es-419"/>
        </w:rPr>
      </w:pPr>
    </w:p>
    <w:p w:rsidR="00B43ACC" w:rsidRPr="00B41060" w:rsidRDefault="00B43ACC" w:rsidP="00B43ACC">
      <w:pPr>
        <w:rPr>
          <w:bCs/>
          <w:snapToGrid w:val="0"/>
          <w:szCs w:val="24"/>
          <w:lang w:val="es-419"/>
        </w:rPr>
      </w:pPr>
      <w:r w:rsidRPr="00B41060">
        <w:rPr>
          <w:spacing w:val="-2"/>
          <w:lang w:val="es-419"/>
        </w:rPr>
        <w:fldChar w:fldCharType="begin"/>
      </w:r>
      <w:r w:rsidRPr="00B41060">
        <w:rPr>
          <w:spacing w:val="-2"/>
          <w:lang w:val="es-419"/>
        </w:rPr>
        <w:instrText xml:space="preserve"> AUTONUM  </w:instrText>
      </w:r>
      <w:r w:rsidRPr="00B41060">
        <w:rPr>
          <w:spacing w:val="-2"/>
          <w:lang w:val="es-419"/>
        </w:rPr>
        <w:fldChar w:fldCharType="end"/>
      </w:r>
      <w:r w:rsidRPr="00B41060">
        <w:rPr>
          <w:lang w:val="es-419"/>
        </w:rPr>
        <w:tab/>
        <w:t>Los respectivos miembros del Comité de Redacción han revisado las traducciones al alemán, español y francés del texto original en inglés antes de que se presente al Consejo el proyecto de documento</w:t>
      </w:r>
      <w:r w:rsidR="00ED5EE9">
        <w:rPr>
          <w:lang w:val="es-419"/>
        </w:rPr>
        <w:t xml:space="preserve"> </w:t>
      </w:r>
      <w:r w:rsidRPr="00B41060">
        <w:rPr>
          <w:lang w:val="es-419"/>
        </w:rPr>
        <w:t>TGP/15/2.</w:t>
      </w:r>
      <w:r w:rsidR="007B08FF" w:rsidRPr="00B41060">
        <w:rPr>
          <w:lang w:val="es-419"/>
        </w:rPr>
        <w:t xml:space="preserve"> </w:t>
      </w:r>
      <w:r w:rsidRPr="00B41060">
        <w:rPr>
          <w:lang w:val="es-419"/>
        </w:rPr>
        <w:t>El documento TGP/15/2</w:t>
      </w:r>
      <w:r w:rsidR="00ED5EE9">
        <w:rPr>
          <w:lang w:val="es-419"/>
        </w:rPr>
        <w:t> </w:t>
      </w:r>
      <w:proofErr w:type="spellStart"/>
      <w:r w:rsidR="00ED5EE9">
        <w:rPr>
          <w:lang w:val="es-419"/>
        </w:rPr>
        <w:t>Draft</w:t>
      </w:r>
      <w:proofErr w:type="spellEnd"/>
      <w:r w:rsidR="00ED5EE9">
        <w:rPr>
          <w:lang w:val="es-419"/>
        </w:rPr>
        <w:t> 2</w:t>
      </w:r>
      <w:r w:rsidRPr="00B41060">
        <w:rPr>
          <w:lang w:val="es-419"/>
        </w:rPr>
        <w:t xml:space="preserve"> incorpora las enmiendas acordadas por el TC, expuestas en el Anexo</w:t>
      </w:r>
      <w:r w:rsidR="00ED5EE9">
        <w:rPr>
          <w:lang w:val="es-419"/>
        </w:rPr>
        <w:t xml:space="preserve"> </w:t>
      </w:r>
      <w:r w:rsidRPr="00B41060">
        <w:rPr>
          <w:lang w:val="es-419"/>
        </w:rPr>
        <w:t>V del presente documento, y los cambios lingüísticos efectuados por los respectivos miembros del</w:t>
      </w:r>
      <w:r w:rsidR="00ED5EE9">
        <w:rPr>
          <w:lang w:val="es-419"/>
        </w:rPr>
        <w:t xml:space="preserve"> </w:t>
      </w:r>
      <w:r w:rsidRPr="00B41060">
        <w:rPr>
          <w:lang w:val="es-419"/>
        </w:rPr>
        <w:t>Comité</w:t>
      </w:r>
      <w:r w:rsidR="00ED5EE9">
        <w:rPr>
          <w:lang w:val="es-419"/>
        </w:rPr>
        <w:t xml:space="preserve"> </w:t>
      </w:r>
      <w:r w:rsidRPr="00B41060">
        <w:rPr>
          <w:lang w:val="es-419"/>
        </w:rPr>
        <w:t>de</w:t>
      </w:r>
      <w:r w:rsidR="00ED5EE9">
        <w:rPr>
          <w:lang w:val="es-419"/>
        </w:rPr>
        <w:t xml:space="preserve"> </w:t>
      </w:r>
      <w:r w:rsidRPr="00B41060">
        <w:rPr>
          <w:lang w:val="es-419"/>
        </w:rPr>
        <w:t>Redacción.</w:t>
      </w:r>
    </w:p>
    <w:p w:rsidR="00B43ACC" w:rsidRPr="00B41060" w:rsidRDefault="00B43ACC" w:rsidP="00B43ACC">
      <w:pPr>
        <w:rPr>
          <w:bCs/>
          <w:snapToGrid w:val="0"/>
          <w:szCs w:val="24"/>
          <w:lang w:val="es-419"/>
        </w:rPr>
      </w:pPr>
    </w:p>
    <w:p w:rsidR="00B43ACC" w:rsidRPr="00B41060" w:rsidRDefault="00B43ACC" w:rsidP="00B43ACC">
      <w:pPr>
        <w:rPr>
          <w:lang w:val="es-419"/>
        </w:rPr>
      </w:pPr>
      <w:r w:rsidRPr="00B41060">
        <w:rPr>
          <w:spacing w:val="-2"/>
          <w:lang w:val="es-419"/>
        </w:rPr>
        <w:fldChar w:fldCharType="begin"/>
      </w:r>
      <w:r w:rsidRPr="00B41060">
        <w:rPr>
          <w:spacing w:val="-2"/>
          <w:lang w:val="es-419"/>
        </w:rPr>
        <w:instrText xml:space="preserve"> AUTONUM  </w:instrText>
      </w:r>
      <w:r w:rsidRPr="00B41060">
        <w:rPr>
          <w:spacing w:val="-2"/>
          <w:lang w:val="es-419"/>
        </w:rPr>
        <w:fldChar w:fldCharType="end"/>
      </w:r>
      <w:r w:rsidRPr="00B41060">
        <w:rPr>
          <w:lang w:val="es-419"/>
        </w:rPr>
        <w:tab/>
        <w:t>Se ha previsto presentar al Consejo, en su quincuagésima tercera sesión ordinaria, un informe sobre las conclusiones del TC, en su quincuagésima quinta sesión,</w:t>
      </w:r>
      <w:r w:rsidRPr="00B41060">
        <w:rPr>
          <w:spacing w:val="-2"/>
          <w:vertAlign w:val="superscript"/>
          <w:lang w:val="es-419"/>
        </w:rPr>
        <w:fldChar w:fldCharType="begin"/>
      </w:r>
      <w:r w:rsidRPr="00B41060">
        <w:rPr>
          <w:spacing w:val="-2"/>
          <w:vertAlign w:val="superscript"/>
          <w:lang w:val="es-419"/>
        </w:rPr>
        <w:instrText xml:space="preserve"> NOTEREF _Ref13509977 \h  \* MERGEFORMAT </w:instrText>
      </w:r>
      <w:r w:rsidRPr="00B41060">
        <w:rPr>
          <w:spacing w:val="-2"/>
          <w:vertAlign w:val="superscript"/>
          <w:lang w:val="es-419"/>
        </w:rPr>
      </w:r>
      <w:r w:rsidRPr="00B41060">
        <w:rPr>
          <w:spacing w:val="-2"/>
          <w:vertAlign w:val="superscript"/>
          <w:lang w:val="es-419"/>
        </w:rPr>
        <w:fldChar w:fldCharType="separate"/>
      </w:r>
      <w:r w:rsidRPr="00B41060">
        <w:rPr>
          <w:spacing w:val="-2"/>
          <w:vertAlign w:val="superscript"/>
          <w:lang w:val="es-419"/>
        </w:rPr>
        <w:t>3</w:t>
      </w:r>
      <w:r w:rsidRPr="00B41060">
        <w:rPr>
          <w:spacing w:val="-2"/>
          <w:vertAlign w:val="superscript"/>
          <w:lang w:val="es-419"/>
        </w:rPr>
        <w:fldChar w:fldCharType="end"/>
      </w:r>
      <w:r w:rsidRPr="00B41060">
        <w:rPr>
          <w:lang w:val="es-419"/>
        </w:rPr>
        <w:t xml:space="preserve"> y sobre las conclusiones del</w:t>
      </w:r>
      <w:r w:rsidR="00ED5EE9">
        <w:rPr>
          <w:lang w:val="es-419"/>
        </w:rPr>
        <w:t xml:space="preserve"> </w:t>
      </w:r>
      <w:r w:rsidRPr="00B41060">
        <w:rPr>
          <w:lang w:val="es-419"/>
        </w:rPr>
        <w:t>CAJ en septuagésima</w:t>
      </w:r>
      <w:r w:rsidR="00ED5EE9">
        <w:rPr>
          <w:lang w:val="es-419"/>
        </w:rPr>
        <w:t xml:space="preserve"> </w:t>
      </w:r>
      <w:r w:rsidRPr="00B41060">
        <w:rPr>
          <w:lang w:val="es-419"/>
        </w:rPr>
        <w:t>sexta sesión,</w:t>
      </w:r>
      <w:r w:rsidRPr="00B41060">
        <w:rPr>
          <w:vertAlign w:val="superscript"/>
          <w:lang w:val="es-419"/>
        </w:rPr>
        <w:fldChar w:fldCharType="begin"/>
      </w:r>
      <w:r w:rsidRPr="00B41060">
        <w:rPr>
          <w:vertAlign w:val="superscript"/>
          <w:lang w:val="es-419"/>
        </w:rPr>
        <w:instrText xml:space="preserve"> NOTEREF _Ref13509809 \h  \* MERGEFORMAT </w:instrText>
      </w:r>
      <w:r w:rsidRPr="00B41060">
        <w:rPr>
          <w:vertAlign w:val="superscript"/>
          <w:lang w:val="es-419"/>
        </w:rPr>
      </w:r>
      <w:r w:rsidRPr="00B41060">
        <w:rPr>
          <w:vertAlign w:val="superscript"/>
          <w:lang w:val="es-419"/>
        </w:rPr>
        <w:fldChar w:fldCharType="separate"/>
      </w:r>
      <w:r w:rsidRPr="00B41060">
        <w:rPr>
          <w:vertAlign w:val="superscript"/>
          <w:lang w:val="es-419"/>
        </w:rPr>
        <w:t>2</w:t>
      </w:r>
      <w:r w:rsidRPr="00B41060">
        <w:rPr>
          <w:vertAlign w:val="superscript"/>
          <w:lang w:val="es-419"/>
        </w:rPr>
        <w:fldChar w:fldCharType="end"/>
      </w:r>
      <w:r w:rsidRPr="00B41060">
        <w:rPr>
          <w:lang w:val="es-419"/>
        </w:rPr>
        <w:t xml:space="preserve"> relativas a las propuestas de revisión del documento</w:t>
      </w:r>
      <w:r w:rsidR="00ED5EE9">
        <w:rPr>
          <w:lang w:val="es-419"/>
        </w:rPr>
        <w:t xml:space="preserve"> </w:t>
      </w:r>
      <w:r w:rsidRPr="00B41060">
        <w:rPr>
          <w:lang w:val="es-419"/>
        </w:rPr>
        <w:t>TGP/15/1 (véanse los documentos</w:t>
      </w:r>
      <w:r w:rsidR="00ED5EE9">
        <w:rPr>
          <w:lang w:val="es-419"/>
        </w:rPr>
        <w:t xml:space="preserve"> </w:t>
      </w:r>
      <w:r w:rsidRPr="00B41060">
        <w:rPr>
          <w:lang w:val="es-419"/>
        </w:rPr>
        <w:t>TC/55/[xx] “Informe” y CAJ/76/[xx]</w:t>
      </w:r>
      <w:r w:rsidR="00ED5EE9">
        <w:rPr>
          <w:lang w:val="es-419"/>
        </w:rPr>
        <w:t xml:space="preserve"> </w:t>
      </w:r>
      <w:r w:rsidRPr="00B41060">
        <w:rPr>
          <w:lang w:val="es-419"/>
        </w:rPr>
        <w:t>“Informe”).</w:t>
      </w:r>
    </w:p>
    <w:p w:rsidR="00B43ACC" w:rsidRPr="00B41060" w:rsidRDefault="00B43ACC" w:rsidP="00B43ACC">
      <w:pPr>
        <w:rPr>
          <w:lang w:val="es-419"/>
        </w:rPr>
      </w:pPr>
    </w:p>
    <w:p w:rsidR="00B43ACC" w:rsidRPr="00B41060" w:rsidRDefault="00B43ACC" w:rsidP="00B43ACC">
      <w:pPr>
        <w:pStyle w:val="DecisionParagraphs"/>
        <w:rPr>
          <w:lang w:val="es-419"/>
        </w:rPr>
      </w:pPr>
      <w:r w:rsidRPr="00B41060">
        <w:rPr>
          <w:lang w:val="es-419"/>
        </w:rPr>
        <w:fldChar w:fldCharType="begin"/>
      </w:r>
      <w:r w:rsidRPr="00B41060">
        <w:rPr>
          <w:lang w:val="es-419"/>
        </w:rPr>
        <w:instrText xml:space="preserve"> AUTONUM  </w:instrText>
      </w:r>
      <w:r w:rsidRPr="00B41060">
        <w:rPr>
          <w:lang w:val="es-419"/>
        </w:rPr>
        <w:fldChar w:fldCharType="end"/>
      </w:r>
      <w:r w:rsidRPr="00B41060">
        <w:rPr>
          <w:lang w:val="es-419"/>
        </w:rPr>
        <w:tab/>
        <w:t>Se invita al Consejo a aprobar la revisión del documento TGP/15 “Orientación sobre el uso de marcadores bioquímicos y moleculares en el examen de la distinción, la homogeneidad y la estabilidad (DHE)” (documento</w:t>
      </w:r>
      <w:r w:rsidR="00ED5EE9">
        <w:rPr>
          <w:lang w:val="es-419"/>
        </w:rPr>
        <w:t xml:space="preserve"> </w:t>
      </w:r>
      <w:r w:rsidRPr="00B41060">
        <w:rPr>
          <w:lang w:val="es-419"/>
        </w:rPr>
        <w:t>TGP/15/1), sobre la base del documento</w:t>
      </w:r>
      <w:r w:rsidR="00ED5EE9">
        <w:rPr>
          <w:lang w:val="es-419"/>
        </w:rPr>
        <w:t xml:space="preserve"> </w:t>
      </w:r>
      <w:r w:rsidRPr="00B41060">
        <w:rPr>
          <w:lang w:val="es-419"/>
        </w:rPr>
        <w:t>TGP/15/2</w:t>
      </w:r>
      <w:r w:rsidR="00ED5EE9">
        <w:rPr>
          <w:lang w:val="es-419"/>
        </w:rPr>
        <w:t> </w:t>
      </w:r>
      <w:proofErr w:type="spellStart"/>
      <w:r w:rsidR="00ED5EE9">
        <w:rPr>
          <w:lang w:val="es-419"/>
        </w:rPr>
        <w:t>Draft</w:t>
      </w:r>
      <w:proofErr w:type="spellEnd"/>
      <w:r w:rsidR="00ED5EE9">
        <w:rPr>
          <w:lang w:val="es-419"/>
        </w:rPr>
        <w:t> 2</w:t>
      </w:r>
      <w:r w:rsidRPr="00B41060">
        <w:rPr>
          <w:lang w:val="es-419"/>
        </w:rPr>
        <w:t>, teniendo en cuenta las conclusiones del</w:t>
      </w:r>
      <w:r w:rsidR="00ED5EE9">
        <w:rPr>
          <w:lang w:val="es-419"/>
        </w:rPr>
        <w:t xml:space="preserve"> </w:t>
      </w:r>
      <w:r w:rsidRPr="00B41060">
        <w:rPr>
          <w:lang w:val="es-419"/>
        </w:rPr>
        <w:t>TC en su quincuagésima</w:t>
      </w:r>
      <w:r w:rsidR="00ED5EE9">
        <w:rPr>
          <w:lang w:val="es-419"/>
        </w:rPr>
        <w:t xml:space="preserve"> </w:t>
      </w:r>
      <w:r w:rsidRPr="00B41060">
        <w:rPr>
          <w:lang w:val="es-419"/>
        </w:rPr>
        <w:t>quinta sesión y del CAJ en su septuagésima</w:t>
      </w:r>
      <w:r w:rsidR="00ED5EE9">
        <w:rPr>
          <w:lang w:val="es-419"/>
        </w:rPr>
        <w:t xml:space="preserve"> </w:t>
      </w:r>
      <w:r w:rsidRPr="00B41060">
        <w:rPr>
          <w:lang w:val="es-419"/>
        </w:rPr>
        <w:t xml:space="preserve">sexta sesión. </w:t>
      </w:r>
    </w:p>
    <w:p w:rsidR="00B43ACC" w:rsidRPr="00B41060" w:rsidRDefault="00B43ACC" w:rsidP="00B43ACC">
      <w:pPr>
        <w:jc w:val="left"/>
        <w:rPr>
          <w:lang w:val="es-419"/>
        </w:rPr>
      </w:pPr>
    </w:p>
    <w:p w:rsidR="00B43ACC" w:rsidRPr="00B41060" w:rsidRDefault="00B43ACC" w:rsidP="00B43ACC">
      <w:pPr>
        <w:jc w:val="left"/>
        <w:rPr>
          <w:lang w:val="es-419"/>
        </w:rPr>
      </w:pPr>
    </w:p>
    <w:p w:rsidR="00B43ACC" w:rsidRPr="00B41060" w:rsidRDefault="00B43ACC" w:rsidP="00B43ACC">
      <w:pPr>
        <w:jc w:val="left"/>
        <w:rPr>
          <w:bCs/>
          <w:snapToGrid w:val="0"/>
          <w:szCs w:val="24"/>
          <w:u w:val="single"/>
          <w:lang w:val="es-419"/>
        </w:rPr>
      </w:pPr>
      <w:r w:rsidRPr="00B41060">
        <w:rPr>
          <w:snapToGrid w:val="0"/>
          <w:u w:val="single"/>
          <w:lang w:val="es-419"/>
        </w:rPr>
        <w:t>TGP/0:</w:t>
      </w:r>
      <w:r w:rsidR="007B08FF" w:rsidRPr="00B41060">
        <w:rPr>
          <w:snapToGrid w:val="0"/>
          <w:u w:val="single"/>
          <w:lang w:val="es-419"/>
        </w:rPr>
        <w:t xml:space="preserve"> </w:t>
      </w:r>
      <w:r w:rsidRPr="00B41060">
        <w:rPr>
          <w:snapToGrid w:val="0"/>
          <w:u w:val="single"/>
          <w:lang w:val="es-419"/>
        </w:rPr>
        <w:t>Lista de documentos TGP y fechas de última publicación (revisión) (documento</w:t>
      </w:r>
      <w:r w:rsidR="00ED5EE9">
        <w:rPr>
          <w:snapToGrid w:val="0"/>
          <w:u w:val="single"/>
          <w:lang w:val="es-419"/>
        </w:rPr>
        <w:t xml:space="preserve"> </w:t>
      </w:r>
      <w:r w:rsidRPr="00B41060">
        <w:rPr>
          <w:snapToGrid w:val="0"/>
          <w:u w:val="single"/>
          <w:lang w:val="es-419"/>
        </w:rPr>
        <w:t>TGP/0/11</w:t>
      </w:r>
      <w:r w:rsidR="00ED5EE9">
        <w:rPr>
          <w:snapToGrid w:val="0"/>
          <w:u w:val="single"/>
          <w:lang w:val="es-419"/>
        </w:rPr>
        <w:t> </w:t>
      </w:r>
      <w:proofErr w:type="spellStart"/>
      <w:r w:rsidR="00ED5EE9">
        <w:rPr>
          <w:snapToGrid w:val="0"/>
          <w:u w:val="single"/>
          <w:lang w:val="es-419"/>
        </w:rPr>
        <w:t>Draft</w:t>
      </w:r>
      <w:proofErr w:type="spellEnd"/>
      <w:r w:rsidR="00ED5EE9">
        <w:rPr>
          <w:snapToGrid w:val="0"/>
          <w:u w:val="single"/>
          <w:lang w:val="es-419"/>
        </w:rPr>
        <w:t> 1</w:t>
      </w:r>
      <w:r w:rsidRPr="00B41060">
        <w:rPr>
          <w:snapToGrid w:val="0"/>
          <w:u w:val="single"/>
          <w:lang w:val="es-419"/>
        </w:rPr>
        <w:t xml:space="preserve">) </w:t>
      </w:r>
    </w:p>
    <w:p w:rsidR="00B43ACC" w:rsidRPr="00B41060" w:rsidRDefault="00B43ACC" w:rsidP="00B43ACC">
      <w:pPr>
        <w:keepNext/>
        <w:rPr>
          <w:lang w:val="es-419"/>
        </w:rPr>
      </w:pPr>
    </w:p>
    <w:p w:rsidR="00B43ACC" w:rsidRPr="00B41060" w:rsidRDefault="00B43ACC" w:rsidP="00B43ACC">
      <w:pPr>
        <w:keepNext/>
        <w:rPr>
          <w:rFonts w:cs="Arial"/>
          <w:lang w:val="es-419"/>
        </w:rPr>
      </w:pPr>
      <w:r w:rsidRPr="00B41060">
        <w:rPr>
          <w:lang w:val="es-419"/>
        </w:rPr>
        <w:fldChar w:fldCharType="begin"/>
      </w:r>
      <w:r w:rsidRPr="00B41060">
        <w:rPr>
          <w:lang w:val="es-419"/>
        </w:rPr>
        <w:instrText xml:space="preserve"> AUTONUM  </w:instrText>
      </w:r>
      <w:r w:rsidRPr="00B41060">
        <w:rPr>
          <w:lang w:val="es-419"/>
        </w:rPr>
        <w:fldChar w:fldCharType="end"/>
      </w:r>
      <w:r w:rsidRPr="00B41060">
        <w:rPr>
          <w:lang w:val="es-419"/>
        </w:rPr>
        <w:tab/>
        <w:t>Junto con la aprobación de los documentos TGP revisados en la quincuagésima tercera sesión ordinaria del Consejo, se propone aprobar la revisión del documento TGP/0/10 “Lista de documentos TGP y fechas de última publicación” (documento TGP/0/11) sobre la base del documento TGP/0/11</w:t>
      </w:r>
      <w:r w:rsidR="00ED5EE9">
        <w:rPr>
          <w:lang w:val="es-419"/>
        </w:rPr>
        <w:t> </w:t>
      </w:r>
      <w:proofErr w:type="spellStart"/>
      <w:r w:rsidR="00ED5EE9">
        <w:rPr>
          <w:lang w:val="es-419"/>
        </w:rPr>
        <w:t>Draft</w:t>
      </w:r>
      <w:proofErr w:type="spellEnd"/>
      <w:r w:rsidR="00ED5EE9">
        <w:rPr>
          <w:lang w:val="es-419"/>
        </w:rPr>
        <w:t> 1</w:t>
      </w:r>
      <w:r w:rsidRPr="00B41060">
        <w:rPr>
          <w:lang w:val="es-419"/>
        </w:rPr>
        <w:t>.</w:t>
      </w:r>
    </w:p>
    <w:p w:rsidR="00B43ACC" w:rsidRPr="00B41060" w:rsidRDefault="00B43ACC" w:rsidP="00B43ACC">
      <w:pPr>
        <w:rPr>
          <w:lang w:val="es-419"/>
        </w:rPr>
      </w:pPr>
    </w:p>
    <w:p w:rsidR="00B43ACC" w:rsidRPr="00B41060" w:rsidRDefault="00B43ACC" w:rsidP="00B43ACC">
      <w:pPr>
        <w:tabs>
          <w:tab w:val="left" w:pos="5387"/>
          <w:tab w:val="left" w:pos="5954"/>
        </w:tabs>
        <w:ind w:left="4820"/>
        <w:rPr>
          <w:lang w:val="es-419"/>
        </w:rPr>
      </w:pPr>
      <w:r w:rsidRPr="00B41060">
        <w:rPr>
          <w:i/>
          <w:lang w:val="es-419"/>
        </w:rPr>
        <w:fldChar w:fldCharType="begin"/>
      </w:r>
      <w:r w:rsidRPr="00B41060">
        <w:rPr>
          <w:i/>
          <w:lang w:val="es-419"/>
        </w:rPr>
        <w:instrText xml:space="preserve"> AUTONUM  </w:instrText>
      </w:r>
      <w:r w:rsidRPr="00B41060">
        <w:rPr>
          <w:i/>
          <w:lang w:val="es-419"/>
        </w:rPr>
        <w:fldChar w:fldCharType="end"/>
      </w:r>
      <w:r w:rsidRPr="00B41060">
        <w:rPr>
          <w:lang w:val="es-419"/>
        </w:rPr>
        <w:tab/>
      </w:r>
      <w:r w:rsidRPr="00B41060">
        <w:rPr>
          <w:i/>
          <w:lang w:val="es-419"/>
        </w:rPr>
        <w:t>Se invita al Consejo a aprobar la revisión del documento TGP/0 “Lista de documentos TGP y fechas de última publicación” (documento TGP/0/10) sobre la base del documento TGP/0/11</w:t>
      </w:r>
      <w:r w:rsidR="00ED5EE9">
        <w:rPr>
          <w:i/>
          <w:lang w:val="es-419"/>
        </w:rPr>
        <w:t> </w:t>
      </w:r>
      <w:proofErr w:type="spellStart"/>
      <w:r w:rsidR="00ED5EE9">
        <w:rPr>
          <w:i/>
          <w:lang w:val="es-419"/>
        </w:rPr>
        <w:t>Draft</w:t>
      </w:r>
      <w:proofErr w:type="spellEnd"/>
      <w:r w:rsidR="00ED5EE9">
        <w:rPr>
          <w:i/>
          <w:lang w:val="es-419"/>
        </w:rPr>
        <w:t> 1</w:t>
      </w:r>
      <w:r w:rsidRPr="00B41060">
        <w:rPr>
          <w:i/>
          <w:lang w:val="es-419"/>
        </w:rPr>
        <w:t>.</w:t>
      </w:r>
      <w:r w:rsidRPr="00B41060">
        <w:rPr>
          <w:lang w:val="es-419"/>
        </w:rPr>
        <w:t xml:space="preserve"> </w:t>
      </w:r>
    </w:p>
    <w:p w:rsidR="00B43ACC" w:rsidRPr="00B41060" w:rsidRDefault="00B43ACC" w:rsidP="00B43ACC">
      <w:pPr>
        <w:pStyle w:val="Heading1"/>
        <w:rPr>
          <w:snapToGrid w:val="0"/>
          <w:lang w:val="es-419"/>
        </w:rPr>
      </w:pPr>
      <w:r w:rsidRPr="00B41060">
        <w:rPr>
          <w:lang w:val="es-419"/>
        </w:rPr>
        <w:lastRenderedPageBreak/>
        <w:t>Documentos de información</w:t>
      </w:r>
    </w:p>
    <w:p w:rsidR="00B43ACC" w:rsidRPr="00B41060" w:rsidRDefault="00B43ACC" w:rsidP="00B43ACC">
      <w:pPr>
        <w:keepNext/>
        <w:rPr>
          <w:snapToGrid w:val="0"/>
          <w:sz w:val="16"/>
          <w:szCs w:val="16"/>
          <w:lang w:val="es-419"/>
        </w:rPr>
      </w:pPr>
    </w:p>
    <w:p w:rsidR="00B43ACC" w:rsidRPr="00B41060" w:rsidRDefault="00B43ACC" w:rsidP="00ED5EE9">
      <w:pPr>
        <w:rPr>
          <w:bCs/>
          <w:snapToGrid w:val="0"/>
          <w:szCs w:val="24"/>
          <w:u w:val="single"/>
          <w:lang w:val="es-419"/>
        </w:rPr>
      </w:pPr>
      <w:r w:rsidRPr="00B41060">
        <w:rPr>
          <w:snapToGrid w:val="0"/>
          <w:u w:val="single"/>
          <w:lang w:val="es-419"/>
        </w:rPr>
        <w:t>UPOV/INF/5:</w:t>
      </w:r>
      <w:r w:rsidR="007B08FF" w:rsidRPr="00B41060">
        <w:rPr>
          <w:snapToGrid w:val="0"/>
          <w:u w:val="single"/>
          <w:lang w:val="es-419"/>
        </w:rPr>
        <w:t xml:space="preserve"> </w:t>
      </w:r>
      <w:r w:rsidRPr="00B41060">
        <w:rPr>
          <w:snapToGrid w:val="0"/>
          <w:u w:val="single"/>
          <w:lang w:val="es-419"/>
        </w:rPr>
        <w:t>Publicación tipo de la UPOV sobre los derechos de obtentor (revisión) (documento</w:t>
      </w:r>
      <w:r w:rsidR="00ED5EE9">
        <w:rPr>
          <w:snapToGrid w:val="0"/>
          <w:u w:val="single"/>
          <w:lang w:val="es-419"/>
        </w:rPr>
        <w:t> </w:t>
      </w:r>
      <w:r w:rsidRPr="00B41060">
        <w:rPr>
          <w:snapToGrid w:val="0"/>
          <w:u w:val="single"/>
          <w:lang w:val="es-419"/>
        </w:rPr>
        <w:t>UPOV/INF/5/2</w:t>
      </w:r>
      <w:r w:rsidR="00ED5EE9">
        <w:rPr>
          <w:snapToGrid w:val="0"/>
          <w:u w:val="single"/>
          <w:lang w:val="es-419"/>
        </w:rPr>
        <w:t> </w:t>
      </w:r>
      <w:proofErr w:type="spellStart"/>
      <w:r w:rsidR="00ED5EE9">
        <w:rPr>
          <w:snapToGrid w:val="0"/>
          <w:u w:val="single"/>
          <w:lang w:val="es-419"/>
        </w:rPr>
        <w:t>Draft</w:t>
      </w:r>
      <w:proofErr w:type="spellEnd"/>
      <w:r w:rsidR="00ED5EE9">
        <w:rPr>
          <w:snapToGrid w:val="0"/>
          <w:u w:val="single"/>
          <w:lang w:val="es-419"/>
        </w:rPr>
        <w:t> 2</w:t>
      </w:r>
      <w:r w:rsidRPr="00B41060">
        <w:rPr>
          <w:snapToGrid w:val="0"/>
          <w:u w:val="single"/>
          <w:lang w:val="es-419"/>
        </w:rPr>
        <w:t>)</w:t>
      </w:r>
      <w:r w:rsidR="007B08FF" w:rsidRPr="00B41060">
        <w:rPr>
          <w:snapToGrid w:val="0"/>
          <w:u w:val="single"/>
          <w:lang w:val="es-419"/>
        </w:rPr>
        <w:t xml:space="preserve"> </w:t>
      </w:r>
    </w:p>
    <w:p w:rsidR="00B43ACC" w:rsidRPr="00B41060" w:rsidRDefault="00B43ACC" w:rsidP="00B43ACC">
      <w:pPr>
        <w:rPr>
          <w:snapToGrid w:val="0"/>
          <w:sz w:val="16"/>
          <w:szCs w:val="16"/>
          <w:lang w:val="es-419"/>
        </w:rPr>
      </w:pPr>
    </w:p>
    <w:p w:rsidR="00B43ACC" w:rsidRPr="00B41060" w:rsidRDefault="00B43ACC" w:rsidP="00B43ACC">
      <w:pPr>
        <w:rPr>
          <w:rFonts w:eastAsia="SimSun"/>
          <w:snapToGrid w:val="0"/>
          <w:lang w:val="es-419"/>
        </w:rPr>
      </w:pPr>
      <w:r w:rsidRPr="00B41060">
        <w:rPr>
          <w:i/>
          <w:spacing w:val="-2"/>
          <w:lang w:val="es-419"/>
        </w:rPr>
        <w:fldChar w:fldCharType="begin"/>
      </w:r>
      <w:r w:rsidRPr="00B41060">
        <w:rPr>
          <w:spacing w:val="-2"/>
          <w:lang w:val="es-419"/>
        </w:rPr>
        <w:instrText xml:space="preserve"> AUTONUM  </w:instrText>
      </w:r>
      <w:r w:rsidRPr="00B41060">
        <w:rPr>
          <w:i/>
          <w:spacing w:val="-2"/>
          <w:lang w:val="es-419"/>
        </w:rPr>
        <w:fldChar w:fldCharType="end"/>
      </w:r>
      <w:r w:rsidRPr="00B41060">
        <w:rPr>
          <w:lang w:val="es-419"/>
        </w:rPr>
        <w:tab/>
        <w:t>En su septuagésima quinta sesión,</w:t>
      </w:r>
      <w:r w:rsidRPr="00B41060">
        <w:rPr>
          <w:rStyle w:val="FootnoteReference"/>
          <w:lang w:val="es-419"/>
        </w:rPr>
        <w:footnoteReference w:id="6"/>
      </w:r>
      <w:r w:rsidRPr="00B41060">
        <w:rPr>
          <w:lang w:val="es-419"/>
        </w:rPr>
        <w:t xml:space="preserve"> el CAJ aprobó la revisión del documento UPOV/INF/5 “Boletín</w:t>
      </w:r>
      <w:r w:rsidR="00ED5EE9">
        <w:rPr>
          <w:lang w:val="es-419"/>
        </w:rPr>
        <w:t xml:space="preserve"> </w:t>
      </w:r>
      <w:r w:rsidRPr="00B41060">
        <w:rPr>
          <w:lang w:val="es-419"/>
        </w:rPr>
        <w:t>tipo</w:t>
      </w:r>
      <w:r w:rsidR="00ED5EE9">
        <w:rPr>
          <w:lang w:val="es-419"/>
        </w:rPr>
        <w:t xml:space="preserve"> </w:t>
      </w:r>
      <w:r w:rsidRPr="00B41060">
        <w:rPr>
          <w:lang w:val="es-419"/>
        </w:rPr>
        <w:t>de la UPOV sobre la protección de las obtenciones vegetales”, que se expone en el documento</w:t>
      </w:r>
      <w:r w:rsidR="00ED5EE9">
        <w:rPr>
          <w:lang w:val="es-419"/>
        </w:rPr>
        <w:t xml:space="preserve"> </w:t>
      </w:r>
      <w:r w:rsidRPr="00B41060">
        <w:rPr>
          <w:lang w:val="es-419"/>
        </w:rPr>
        <w:t>UPOV/INF/5/2</w:t>
      </w:r>
      <w:r w:rsidR="00ED5EE9">
        <w:rPr>
          <w:lang w:val="es-419"/>
        </w:rPr>
        <w:t> </w:t>
      </w:r>
      <w:proofErr w:type="spellStart"/>
      <w:r w:rsidR="00ED5EE9">
        <w:rPr>
          <w:lang w:val="es-419"/>
        </w:rPr>
        <w:t>Draft</w:t>
      </w:r>
      <w:proofErr w:type="spellEnd"/>
      <w:r w:rsidR="00ED5EE9">
        <w:rPr>
          <w:lang w:val="es-419"/>
        </w:rPr>
        <w:t> 1</w:t>
      </w:r>
      <w:r w:rsidRPr="00B41060">
        <w:rPr>
          <w:lang w:val="es-419"/>
        </w:rPr>
        <w:t xml:space="preserve"> “Publicación tipo de la UPOV sobre los derechos de obtentor (revisión)”.</w:t>
      </w:r>
      <w:r w:rsidR="007B08FF" w:rsidRPr="00B41060">
        <w:rPr>
          <w:lang w:val="es-419"/>
        </w:rPr>
        <w:t xml:space="preserve"> </w:t>
      </w:r>
      <w:r w:rsidRPr="00B41060">
        <w:rPr>
          <w:lang w:val="es-419"/>
        </w:rPr>
        <w:t>El</w:t>
      </w:r>
      <w:r w:rsidR="00ED5EE9">
        <w:rPr>
          <w:lang w:val="es-419"/>
        </w:rPr>
        <w:t xml:space="preserve"> </w:t>
      </w:r>
      <w:r w:rsidRPr="00B41060">
        <w:rPr>
          <w:lang w:val="es-419"/>
        </w:rPr>
        <w:t>CAJ convino en que la revisión del documento UPOV/INF/5, sobre la base del documento</w:t>
      </w:r>
      <w:r w:rsidR="00ED5EE9">
        <w:rPr>
          <w:lang w:val="es-419"/>
        </w:rPr>
        <w:t xml:space="preserve"> </w:t>
      </w:r>
      <w:r w:rsidRPr="00B41060">
        <w:rPr>
          <w:lang w:val="es-419"/>
        </w:rPr>
        <w:t>UPOV/INF/5/2</w:t>
      </w:r>
      <w:r w:rsidR="00ED5EE9">
        <w:rPr>
          <w:lang w:val="es-419"/>
        </w:rPr>
        <w:t> </w:t>
      </w:r>
      <w:proofErr w:type="spellStart"/>
      <w:r w:rsidR="00ED5EE9">
        <w:rPr>
          <w:lang w:val="es-419"/>
        </w:rPr>
        <w:t>Draft</w:t>
      </w:r>
      <w:proofErr w:type="spellEnd"/>
      <w:r w:rsidR="00ED5EE9">
        <w:rPr>
          <w:lang w:val="es-419"/>
        </w:rPr>
        <w:t> 2</w:t>
      </w:r>
      <w:r w:rsidRPr="00B41060">
        <w:rPr>
          <w:lang w:val="es-419"/>
        </w:rPr>
        <w:t>“ Publicación tipo de la UPOV sobre los derechos de obtentor”, se someta a la aprobación del Consejo en 2019 (véase el párrafo</w:t>
      </w:r>
      <w:r w:rsidR="00ED5EE9">
        <w:rPr>
          <w:lang w:val="es-419"/>
        </w:rPr>
        <w:t xml:space="preserve"> </w:t>
      </w:r>
      <w:r w:rsidRPr="00B41060">
        <w:rPr>
          <w:lang w:val="es-419"/>
        </w:rPr>
        <w:t>27 del documento</w:t>
      </w:r>
      <w:r w:rsidR="00ED5EE9">
        <w:rPr>
          <w:lang w:val="es-419"/>
        </w:rPr>
        <w:t xml:space="preserve"> </w:t>
      </w:r>
      <w:hyperlink r:id="rId17" w:history="1">
        <w:r w:rsidR="00ED5EE9" w:rsidRPr="00E42843">
          <w:rPr>
            <w:rStyle w:val="Hyperlink"/>
          </w:rPr>
          <w:t>CAJ/75/14</w:t>
        </w:r>
      </w:hyperlink>
      <w:r w:rsidR="00ED5EE9" w:rsidRPr="00B41060">
        <w:rPr>
          <w:lang w:val="es-419"/>
        </w:rPr>
        <w:t xml:space="preserve"> </w:t>
      </w:r>
      <w:r w:rsidRPr="00B41060">
        <w:rPr>
          <w:lang w:val="es-419"/>
        </w:rPr>
        <w:t>“Informe”).</w:t>
      </w:r>
    </w:p>
    <w:p w:rsidR="00B43ACC" w:rsidRPr="00B41060" w:rsidRDefault="00B43ACC" w:rsidP="00B43ACC">
      <w:pPr>
        <w:rPr>
          <w:rFonts w:eastAsia="SimSun"/>
          <w:snapToGrid w:val="0"/>
          <w:sz w:val="18"/>
          <w:szCs w:val="18"/>
          <w:lang w:val="es-419"/>
        </w:rPr>
      </w:pPr>
    </w:p>
    <w:p w:rsidR="00B43ACC" w:rsidRPr="00B41060" w:rsidRDefault="00B43ACC" w:rsidP="00B43ACC">
      <w:pPr>
        <w:keepLines/>
        <w:rPr>
          <w:i/>
          <w:spacing w:val="-2"/>
          <w:lang w:val="es-419"/>
        </w:rPr>
      </w:pPr>
      <w:r w:rsidRPr="00B41060">
        <w:rPr>
          <w:i/>
          <w:spacing w:val="-2"/>
          <w:lang w:val="es-419"/>
        </w:rPr>
        <w:fldChar w:fldCharType="begin"/>
      </w:r>
      <w:r w:rsidRPr="00B41060">
        <w:rPr>
          <w:spacing w:val="-2"/>
          <w:lang w:val="es-419"/>
        </w:rPr>
        <w:instrText xml:space="preserve"> AUTONUM  </w:instrText>
      </w:r>
      <w:r w:rsidRPr="00B41060">
        <w:rPr>
          <w:i/>
          <w:spacing w:val="-2"/>
          <w:lang w:val="es-419"/>
        </w:rPr>
        <w:fldChar w:fldCharType="end"/>
      </w:r>
      <w:r w:rsidRPr="00B41060">
        <w:rPr>
          <w:lang w:val="es-419"/>
        </w:rPr>
        <w:tab/>
        <w:t>En la elaboración del documento</w:t>
      </w:r>
      <w:r w:rsidR="00ED5EE9">
        <w:rPr>
          <w:lang w:val="es-419"/>
        </w:rPr>
        <w:t xml:space="preserve"> </w:t>
      </w:r>
      <w:r w:rsidRPr="00B41060">
        <w:rPr>
          <w:lang w:val="es-419"/>
        </w:rPr>
        <w:t>UPOV/INF/5/2</w:t>
      </w:r>
      <w:r w:rsidR="00ED5EE9">
        <w:rPr>
          <w:lang w:val="es-419"/>
        </w:rPr>
        <w:t> </w:t>
      </w:r>
      <w:proofErr w:type="spellStart"/>
      <w:r w:rsidR="00ED5EE9">
        <w:rPr>
          <w:lang w:val="es-419"/>
        </w:rPr>
        <w:t>Draft</w:t>
      </w:r>
      <w:proofErr w:type="spellEnd"/>
      <w:r w:rsidR="00ED5EE9">
        <w:rPr>
          <w:lang w:val="es-419"/>
        </w:rPr>
        <w:t> 2</w:t>
      </w:r>
      <w:r w:rsidRPr="00B41060">
        <w:rPr>
          <w:lang w:val="es-419"/>
        </w:rPr>
        <w:t>, la Oficina de la Unión tomó nota de que, en la sección “Cambios en las denominaciones de variedades”, subsección “Propuestas de cambio de las denominaciones de variedades”, el título de la columna “Denominación de la variedad” debe ser “</w:t>
      </w:r>
      <w:r w:rsidR="006A1916" w:rsidRPr="006A1916">
        <w:rPr>
          <w:lang w:val="es-419"/>
        </w:rPr>
        <w:t>Propuesta anterior de denominación de la variedad</w:t>
      </w:r>
      <w:r w:rsidRPr="00B41060">
        <w:rPr>
          <w:lang w:val="es-419"/>
        </w:rPr>
        <w:t>”, en concordancia con la columna “Denominación anterior de la variedad” de la subsección “Aprobación de nuevas denominaciones de variedades protegidas”.</w:t>
      </w:r>
      <w:r w:rsidR="007B08FF" w:rsidRPr="00B41060">
        <w:rPr>
          <w:lang w:val="es-419"/>
        </w:rPr>
        <w:t xml:space="preserve"> </w:t>
      </w:r>
      <w:r w:rsidRPr="00B41060">
        <w:rPr>
          <w:lang w:val="es-419"/>
        </w:rPr>
        <w:t>Esta corrección ha quedado reflejada en el documento</w:t>
      </w:r>
      <w:r w:rsidR="00ED5EE9">
        <w:rPr>
          <w:lang w:val="es-419"/>
        </w:rPr>
        <w:t xml:space="preserve"> </w:t>
      </w:r>
      <w:r w:rsidRPr="00B41060">
        <w:rPr>
          <w:lang w:val="es-419"/>
        </w:rPr>
        <w:t>UPOV/INF/5/2</w:t>
      </w:r>
      <w:r w:rsidR="00ED5EE9">
        <w:rPr>
          <w:lang w:val="es-419"/>
        </w:rPr>
        <w:t> </w:t>
      </w:r>
      <w:proofErr w:type="spellStart"/>
      <w:r w:rsidR="00ED5EE9">
        <w:rPr>
          <w:lang w:val="es-419"/>
        </w:rPr>
        <w:t>Draft</w:t>
      </w:r>
      <w:proofErr w:type="spellEnd"/>
      <w:r w:rsidR="00ED5EE9">
        <w:rPr>
          <w:lang w:val="es-419"/>
        </w:rPr>
        <w:t> 2</w:t>
      </w:r>
      <w:r w:rsidRPr="00B41060">
        <w:rPr>
          <w:lang w:val="es-419"/>
        </w:rPr>
        <w:t xml:space="preserve"> (véase la nota final i). </w:t>
      </w:r>
    </w:p>
    <w:p w:rsidR="00B43ACC" w:rsidRPr="00B41060" w:rsidRDefault="00B43ACC" w:rsidP="00B43ACC">
      <w:pPr>
        <w:rPr>
          <w:rFonts w:eastAsia="SimSun"/>
          <w:snapToGrid w:val="0"/>
          <w:sz w:val="18"/>
          <w:szCs w:val="18"/>
          <w:lang w:val="es-419"/>
        </w:rPr>
      </w:pPr>
    </w:p>
    <w:p w:rsidR="00B43ACC" w:rsidRPr="00B41060" w:rsidRDefault="00B43ACC" w:rsidP="00B43ACC">
      <w:pPr>
        <w:pStyle w:val="DecisionParagraphs"/>
        <w:rPr>
          <w:lang w:val="es-419"/>
        </w:rPr>
      </w:pPr>
      <w:r w:rsidRPr="00B41060">
        <w:rPr>
          <w:lang w:val="es-419"/>
        </w:rPr>
        <w:fldChar w:fldCharType="begin"/>
      </w:r>
      <w:r w:rsidRPr="00B41060">
        <w:rPr>
          <w:lang w:val="es-419"/>
        </w:rPr>
        <w:instrText xml:space="preserve"> AUTONUM  </w:instrText>
      </w:r>
      <w:r w:rsidRPr="00B41060">
        <w:rPr>
          <w:lang w:val="es-419"/>
        </w:rPr>
        <w:fldChar w:fldCharType="end"/>
      </w:r>
      <w:r w:rsidRPr="00B41060">
        <w:rPr>
          <w:lang w:val="es-419"/>
        </w:rPr>
        <w:tab/>
        <w:t>Se invita al Consejo a aprobar la revisión del documento</w:t>
      </w:r>
      <w:r w:rsidR="00ED5EE9">
        <w:rPr>
          <w:lang w:val="es-419"/>
        </w:rPr>
        <w:t xml:space="preserve"> </w:t>
      </w:r>
      <w:r w:rsidRPr="00B41060">
        <w:rPr>
          <w:lang w:val="es-419"/>
        </w:rPr>
        <w:t>UPOV/INF/5 “Boletín tipo de la UPOV sobre la protección de las obtenciones vegetales” (documento</w:t>
      </w:r>
      <w:r w:rsidR="00ED5EE9">
        <w:rPr>
          <w:lang w:val="es-419"/>
        </w:rPr>
        <w:t xml:space="preserve"> </w:t>
      </w:r>
      <w:r w:rsidRPr="00B41060">
        <w:rPr>
          <w:lang w:val="es-419"/>
        </w:rPr>
        <w:t>UPOV/INF/5), que se expone en el documento UPOV/INF/5/2</w:t>
      </w:r>
      <w:r w:rsidR="00ED5EE9">
        <w:rPr>
          <w:lang w:val="es-419"/>
        </w:rPr>
        <w:t> </w:t>
      </w:r>
      <w:proofErr w:type="spellStart"/>
      <w:r w:rsidR="00ED5EE9">
        <w:rPr>
          <w:lang w:val="es-419"/>
        </w:rPr>
        <w:t>Draft</w:t>
      </w:r>
      <w:proofErr w:type="spellEnd"/>
      <w:r w:rsidR="00ED5EE9">
        <w:rPr>
          <w:lang w:val="es-419"/>
        </w:rPr>
        <w:t> 2</w:t>
      </w:r>
      <w:r w:rsidRPr="00B41060">
        <w:rPr>
          <w:lang w:val="es-419"/>
        </w:rPr>
        <w:t xml:space="preserve"> “Publicación tipo de la UPOV sobre los derechos de obtentor”.</w:t>
      </w:r>
      <w:r w:rsidR="007B08FF" w:rsidRPr="00B41060">
        <w:rPr>
          <w:lang w:val="es-419"/>
        </w:rPr>
        <w:t xml:space="preserve"> </w:t>
      </w:r>
      <w:r w:rsidR="00F758FF">
        <w:rPr>
          <w:lang w:val="es-419"/>
        </w:rPr>
        <w:t xml:space="preserve"> </w:t>
      </w:r>
    </w:p>
    <w:p w:rsidR="00B43ACC" w:rsidRPr="00B41060" w:rsidRDefault="00B43ACC" w:rsidP="00B43ACC">
      <w:pPr>
        <w:pStyle w:val="DecisionParagraphs"/>
        <w:ind w:left="0"/>
        <w:rPr>
          <w:sz w:val="16"/>
          <w:szCs w:val="16"/>
          <w:lang w:val="es-419"/>
        </w:rPr>
      </w:pPr>
    </w:p>
    <w:p w:rsidR="00B43ACC" w:rsidRPr="00B41060" w:rsidRDefault="00B43ACC" w:rsidP="00B43ACC">
      <w:pPr>
        <w:jc w:val="left"/>
        <w:rPr>
          <w:bCs/>
          <w:snapToGrid w:val="0"/>
          <w:sz w:val="16"/>
          <w:szCs w:val="16"/>
          <w:lang w:val="es-419"/>
        </w:rPr>
      </w:pPr>
    </w:p>
    <w:p w:rsidR="00B43ACC" w:rsidRPr="00B41060" w:rsidRDefault="00B43ACC" w:rsidP="00B43ACC">
      <w:pPr>
        <w:keepNext/>
        <w:ind w:left="1418" w:hanging="1418"/>
        <w:jc w:val="left"/>
        <w:rPr>
          <w:bCs/>
          <w:snapToGrid w:val="0"/>
          <w:spacing w:val="-4"/>
          <w:u w:val="single"/>
          <w:lang w:val="es-419"/>
        </w:rPr>
      </w:pPr>
      <w:r w:rsidRPr="00B41060">
        <w:rPr>
          <w:snapToGrid w:val="0"/>
          <w:u w:val="single"/>
          <w:lang w:val="es-419"/>
        </w:rPr>
        <w:t>UPOV/INF/22:</w:t>
      </w:r>
      <w:r w:rsidR="007B08FF" w:rsidRPr="00B41060">
        <w:rPr>
          <w:snapToGrid w:val="0"/>
          <w:u w:val="single"/>
          <w:lang w:val="es-419"/>
        </w:rPr>
        <w:t xml:space="preserve"> </w:t>
      </w:r>
      <w:r w:rsidRPr="00B41060">
        <w:rPr>
          <w:snapToGrid w:val="0"/>
          <w:u w:val="single"/>
          <w:lang w:val="es-419"/>
        </w:rPr>
        <w:t xml:space="preserve">Programas informáticos y equipos utilizados por los miembros de la Unión (revisión) </w:t>
      </w:r>
    </w:p>
    <w:p w:rsidR="00B43ACC" w:rsidRPr="00B41060" w:rsidRDefault="00B43ACC" w:rsidP="00B43ACC">
      <w:pPr>
        <w:keepNext/>
        <w:ind w:left="1418" w:hanging="1418"/>
        <w:jc w:val="left"/>
        <w:rPr>
          <w:bCs/>
          <w:snapToGrid w:val="0"/>
          <w:spacing w:val="-4"/>
          <w:u w:val="single"/>
          <w:lang w:val="es-419"/>
        </w:rPr>
      </w:pPr>
      <w:r w:rsidRPr="00B41060">
        <w:rPr>
          <w:snapToGrid w:val="0"/>
          <w:spacing w:val="-4"/>
          <w:u w:val="single"/>
          <w:lang w:val="es-419"/>
        </w:rPr>
        <w:t>(documento</w:t>
      </w:r>
      <w:r w:rsidR="00ED5EE9">
        <w:rPr>
          <w:snapToGrid w:val="0"/>
          <w:spacing w:val="-4"/>
          <w:u w:val="single"/>
          <w:lang w:val="es-419"/>
        </w:rPr>
        <w:t xml:space="preserve"> </w:t>
      </w:r>
      <w:r w:rsidRPr="00B41060">
        <w:rPr>
          <w:snapToGrid w:val="0"/>
          <w:spacing w:val="-4"/>
          <w:u w:val="single"/>
          <w:lang w:val="es-419"/>
        </w:rPr>
        <w:t>UPOV/INF/22/6</w:t>
      </w:r>
      <w:r w:rsidR="00ED5EE9">
        <w:rPr>
          <w:snapToGrid w:val="0"/>
          <w:spacing w:val="-4"/>
          <w:u w:val="single"/>
          <w:lang w:val="es-419"/>
        </w:rPr>
        <w:t> </w:t>
      </w:r>
      <w:proofErr w:type="spellStart"/>
      <w:r w:rsidR="00ED5EE9">
        <w:rPr>
          <w:snapToGrid w:val="0"/>
          <w:spacing w:val="-4"/>
          <w:u w:val="single"/>
          <w:lang w:val="es-419"/>
        </w:rPr>
        <w:t>Draft</w:t>
      </w:r>
      <w:proofErr w:type="spellEnd"/>
      <w:r w:rsidR="00ED5EE9">
        <w:rPr>
          <w:snapToGrid w:val="0"/>
          <w:spacing w:val="-4"/>
          <w:u w:val="single"/>
          <w:lang w:val="es-419"/>
        </w:rPr>
        <w:t> 1</w:t>
      </w:r>
      <w:r w:rsidRPr="00B41060">
        <w:rPr>
          <w:snapToGrid w:val="0"/>
          <w:spacing w:val="-4"/>
          <w:u w:val="single"/>
          <w:lang w:val="es-419"/>
        </w:rPr>
        <w:t>)</w:t>
      </w:r>
    </w:p>
    <w:p w:rsidR="00B43ACC" w:rsidRPr="00B41060" w:rsidRDefault="00B43ACC" w:rsidP="00B43ACC">
      <w:pPr>
        <w:keepNext/>
        <w:jc w:val="left"/>
        <w:rPr>
          <w:bCs/>
          <w:snapToGrid w:val="0"/>
          <w:spacing w:val="-4"/>
          <w:sz w:val="18"/>
          <w:szCs w:val="18"/>
          <w:u w:val="single"/>
          <w:lang w:val="es-419"/>
        </w:rPr>
      </w:pPr>
    </w:p>
    <w:p w:rsidR="00B43ACC" w:rsidRPr="00B41060" w:rsidRDefault="00B43ACC" w:rsidP="00B43ACC">
      <w:pPr>
        <w:keepNext/>
        <w:rPr>
          <w:lang w:val="es-419"/>
        </w:rPr>
      </w:pPr>
      <w:r w:rsidRPr="00B41060">
        <w:rPr>
          <w:lang w:val="es-419"/>
        </w:rPr>
        <w:fldChar w:fldCharType="begin"/>
      </w:r>
      <w:r w:rsidRPr="00B41060">
        <w:rPr>
          <w:lang w:val="es-419"/>
        </w:rPr>
        <w:instrText xml:space="preserve"> AUTONUM  </w:instrText>
      </w:r>
      <w:r w:rsidRPr="00B41060">
        <w:rPr>
          <w:lang w:val="es-419"/>
        </w:rPr>
        <w:fldChar w:fldCharType="end"/>
      </w:r>
      <w:r w:rsidRPr="00B41060">
        <w:rPr>
          <w:lang w:val="es-419"/>
        </w:rPr>
        <w:tab/>
        <w:t>Se invitará al TC, en su quincuagésima quinta sesión,</w:t>
      </w:r>
      <w:r w:rsidRPr="00B41060">
        <w:rPr>
          <w:spacing w:val="-2"/>
          <w:vertAlign w:val="superscript"/>
          <w:lang w:val="es-419"/>
        </w:rPr>
        <w:fldChar w:fldCharType="begin"/>
      </w:r>
      <w:r w:rsidRPr="00B41060">
        <w:rPr>
          <w:spacing w:val="-2"/>
          <w:vertAlign w:val="superscript"/>
          <w:lang w:val="es-419"/>
        </w:rPr>
        <w:instrText xml:space="preserve"> NOTEREF _Ref13509977 \h  \* MERGEFORMAT </w:instrText>
      </w:r>
      <w:r w:rsidRPr="00B41060">
        <w:rPr>
          <w:spacing w:val="-2"/>
          <w:vertAlign w:val="superscript"/>
          <w:lang w:val="es-419"/>
        </w:rPr>
      </w:r>
      <w:r w:rsidRPr="00B41060">
        <w:rPr>
          <w:spacing w:val="-2"/>
          <w:vertAlign w:val="superscript"/>
          <w:lang w:val="es-419"/>
        </w:rPr>
        <w:fldChar w:fldCharType="separate"/>
      </w:r>
      <w:r w:rsidRPr="00B41060">
        <w:rPr>
          <w:spacing w:val="-2"/>
          <w:vertAlign w:val="superscript"/>
          <w:lang w:val="es-419"/>
        </w:rPr>
        <w:t>3</w:t>
      </w:r>
      <w:r w:rsidRPr="00B41060">
        <w:rPr>
          <w:spacing w:val="-2"/>
          <w:vertAlign w:val="superscript"/>
          <w:lang w:val="es-419"/>
        </w:rPr>
        <w:fldChar w:fldCharType="end"/>
      </w:r>
      <w:r w:rsidRPr="00B41060">
        <w:rPr>
          <w:lang w:val="es-419"/>
        </w:rPr>
        <w:t xml:space="preserve"> y al CAJ, en su septuagésima sexta sesión,</w:t>
      </w:r>
      <w:r w:rsidRPr="00B41060">
        <w:rPr>
          <w:vertAlign w:val="superscript"/>
          <w:lang w:val="es-419"/>
        </w:rPr>
        <w:fldChar w:fldCharType="begin"/>
      </w:r>
      <w:r w:rsidRPr="00B41060">
        <w:rPr>
          <w:vertAlign w:val="superscript"/>
          <w:lang w:val="es-419"/>
        </w:rPr>
        <w:instrText xml:space="preserve"> NOTEREF _Ref13509809 \h  \* MERGEFORMAT </w:instrText>
      </w:r>
      <w:r w:rsidRPr="00B41060">
        <w:rPr>
          <w:vertAlign w:val="superscript"/>
          <w:lang w:val="es-419"/>
        </w:rPr>
      </w:r>
      <w:r w:rsidRPr="00B41060">
        <w:rPr>
          <w:vertAlign w:val="superscript"/>
          <w:lang w:val="es-419"/>
        </w:rPr>
        <w:fldChar w:fldCharType="separate"/>
      </w:r>
      <w:r w:rsidRPr="00B41060">
        <w:rPr>
          <w:vertAlign w:val="superscript"/>
          <w:lang w:val="es-419"/>
        </w:rPr>
        <w:t>2</w:t>
      </w:r>
      <w:r w:rsidRPr="00B41060">
        <w:rPr>
          <w:vertAlign w:val="superscript"/>
          <w:lang w:val="es-419"/>
        </w:rPr>
        <w:fldChar w:fldCharType="end"/>
      </w:r>
      <w:r w:rsidRPr="00B41060">
        <w:rPr>
          <w:lang w:val="es-419"/>
        </w:rPr>
        <w:t xml:space="preserve"> a aprobar las propuestas de revisión del documento UPOV/INF/22/5 “Programas informáticos y equipos utilizados por los miembros de la Unión”, que se exponen en el documento UPOV/INF/22/6</w:t>
      </w:r>
      <w:r w:rsidR="00ED5EE9">
        <w:rPr>
          <w:lang w:val="es-419"/>
        </w:rPr>
        <w:t> </w:t>
      </w:r>
      <w:proofErr w:type="spellStart"/>
      <w:r w:rsidR="00ED5EE9">
        <w:rPr>
          <w:lang w:val="es-419"/>
        </w:rPr>
        <w:t>Draft</w:t>
      </w:r>
      <w:proofErr w:type="spellEnd"/>
      <w:r w:rsidR="00ED5EE9">
        <w:rPr>
          <w:lang w:val="es-419"/>
        </w:rPr>
        <w:t> 1</w:t>
      </w:r>
      <w:r w:rsidRPr="00B41060">
        <w:rPr>
          <w:lang w:val="es-419"/>
        </w:rPr>
        <w:t>.</w:t>
      </w:r>
    </w:p>
    <w:p w:rsidR="00B43ACC" w:rsidRPr="00B41060" w:rsidRDefault="00B43ACC" w:rsidP="00B43ACC">
      <w:pPr>
        <w:rPr>
          <w:sz w:val="18"/>
          <w:szCs w:val="18"/>
          <w:lang w:val="es-419"/>
        </w:rPr>
      </w:pPr>
    </w:p>
    <w:p w:rsidR="00B43ACC" w:rsidRPr="00B41060" w:rsidRDefault="00B43ACC" w:rsidP="00B43ACC">
      <w:pPr>
        <w:rPr>
          <w:lang w:val="es-419"/>
        </w:rPr>
      </w:pPr>
      <w:r w:rsidRPr="00B41060">
        <w:rPr>
          <w:lang w:val="es-419"/>
        </w:rPr>
        <w:fldChar w:fldCharType="begin"/>
      </w:r>
      <w:r w:rsidRPr="00B41060">
        <w:rPr>
          <w:lang w:val="es-419"/>
        </w:rPr>
        <w:instrText xml:space="preserve"> AUTONUM  </w:instrText>
      </w:r>
      <w:r w:rsidRPr="00B41060">
        <w:rPr>
          <w:lang w:val="es-419"/>
        </w:rPr>
        <w:fldChar w:fldCharType="end"/>
      </w:r>
      <w:r w:rsidRPr="00B41060">
        <w:rPr>
          <w:lang w:val="es-419"/>
        </w:rPr>
        <w:tab/>
        <w:t>Se ha previsto presentar al Consejo, en su quincuagésima tercera sesión ordinaria, un informe sobre las conclusiones del TC, en su quincuagésima quinta sesión, y sobre las conclusiones del CAJ en septuagésima sexta sesión, relativas a las propuestas de revisión del documento UPOV/INF/22/5 (véanse los documentos TC/55/[xx] “Informe” y CAJ/76/xx “Informe”).</w:t>
      </w:r>
    </w:p>
    <w:p w:rsidR="00B43ACC" w:rsidRPr="00B41060" w:rsidRDefault="00B43ACC" w:rsidP="00B43ACC">
      <w:pPr>
        <w:rPr>
          <w:sz w:val="18"/>
          <w:szCs w:val="18"/>
          <w:lang w:val="es-419"/>
        </w:rPr>
      </w:pPr>
    </w:p>
    <w:p w:rsidR="00B43ACC" w:rsidRPr="00B41060" w:rsidRDefault="00B43ACC" w:rsidP="00B43ACC">
      <w:pPr>
        <w:pStyle w:val="DecisionParagraphs"/>
        <w:keepLines/>
        <w:rPr>
          <w:spacing w:val="-2"/>
          <w:lang w:val="es-419"/>
        </w:rPr>
      </w:pPr>
      <w:r w:rsidRPr="00B41060">
        <w:rPr>
          <w:lang w:val="es-419"/>
        </w:rPr>
        <w:fldChar w:fldCharType="begin"/>
      </w:r>
      <w:r w:rsidRPr="00B41060">
        <w:rPr>
          <w:lang w:val="es-419"/>
        </w:rPr>
        <w:instrText xml:space="preserve"> AUTONUM  </w:instrText>
      </w:r>
      <w:r w:rsidRPr="00B41060">
        <w:rPr>
          <w:lang w:val="es-419"/>
        </w:rPr>
        <w:fldChar w:fldCharType="end"/>
      </w:r>
      <w:r w:rsidRPr="00B41060">
        <w:rPr>
          <w:lang w:val="es-419"/>
        </w:rPr>
        <w:tab/>
        <w:t>Se invita al Consejo a aprobar la revisión del documento UPOV/INF/22/5 “Programas informáticos y equipos utilizados por los miembros de la Unión” (documento UPOV/INF/22/5/1), sobre la base del documento UPOV/INF/22/6</w:t>
      </w:r>
      <w:r w:rsidR="00ED5EE9">
        <w:rPr>
          <w:lang w:val="es-419"/>
        </w:rPr>
        <w:t> </w:t>
      </w:r>
      <w:proofErr w:type="spellStart"/>
      <w:r w:rsidR="00ED5EE9">
        <w:rPr>
          <w:lang w:val="es-419"/>
        </w:rPr>
        <w:t>Draft</w:t>
      </w:r>
      <w:proofErr w:type="spellEnd"/>
      <w:r w:rsidR="00ED5EE9">
        <w:rPr>
          <w:lang w:val="es-419"/>
        </w:rPr>
        <w:t> 1</w:t>
      </w:r>
      <w:r w:rsidRPr="00B41060">
        <w:rPr>
          <w:lang w:val="es-419"/>
        </w:rPr>
        <w:t>, teniendo en cuenta las conclusiones del TC en su quincuagésima</w:t>
      </w:r>
      <w:r w:rsidR="00ED5EE9">
        <w:rPr>
          <w:lang w:val="es-419"/>
        </w:rPr>
        <w:t xml:space="preserve"> </w:t>
      </w:r>
      <w:r w:rsidRPr="00B41060">
        <w:rPr>
          <w:lang w:val="es-419"/>
        </w:rPr>
        <w:t>quinta sesión y del CAJ en su septuagésima sexta sesión.</w:t>
      </w:r>
    </w:p>
    <w:p w:rsidR="00B43ACC" w:rsidRPr="00B41060" w:rsidRDefault="00B43ACC" w:rsidP="00B43ACC">
      <w:pPr>
        <w:pStyle w:val="DecisionParagraphs"/>
        <w:ind w:left="0"/>
        <w:jc w:val="left"/>
        <w:rPr>
          <w:spacing w:val="-2"/>
          <w:sz w:val="16"/>
          <w:szCs w:val="16"/>
          <w:lang w:val="es-419"/>
        </w:rPr>
      </w:pPr>
    </w:p>
    <w:p w:rsidR="00B43ACC" w:rsidRPr="00B41060" w:rsidRDefault="00B43ACC" w:rsidP="00B43ACC">
      <w:pPr>
        <w:pStyle w:val="DecisionParagraphs"/>
        <w:ind w:left="0"/>
        <w:jc w:val="left"/>
        <w:rPr>
          <w:spacing w:val="-2"/>
          <w:sz w:val="16"/>
          <w:szCs w:val="16"/>
          <w:lang w:val="es-419"/>
        </w:rPr>
      </w:pPr>
    </w:p>
    <w:p w:rsidR="00B43ACC" w:rsidRPr="00B41060" w:rsidRDefault="00B43ACC" w:rsidP="00B43ACC">
      <w:pPr>
        <w:keepNext/>
        <w:ind w:left="1560" w:hanging="1560"/>
        <w:jc w:val="left"/>
        <w:rPr>
          <w:u w:val="single"/>
          <w:lang w:val="es-419"/>
        </w:rPr>
      </w:pPr>
      <w:r w:rsidRPr="00B41060">
        <w:rPr>
          <w:u w:val="single"/>
          <w:lang w:val="es-419"/>
        </w:rPr>
        <w:t>UPOV/INF-EXN:</w:t>
      </w:r>
      <w:r w:rsidR="007B08FF" w:rsidRPr="00B41060">
        <w:rPr>
          <w:u w:val="single"/>
          <w:lang w:val="es-419"/>
        </w:rPr>
        <w:t xml:space="preserve"> </w:t>
      </w:r>
      <w:r w:rsidRPr="00B41060">
        <w:rPr>
          <w:u w:val="single"/>
          <w:lang w:val="es-419"/>
        </w:rPr>
        <w:t>Lista de documentos UPOV/INF EXN y fechas de última publicación (revisión)</w:t>
      </w:r>
      <w:r w:rsidR="007B08FF" w:rsidRPr="00B41060">
        <w:rPr>
          <w:u w:val="single"/>
          <w:lang w:val="es-419"/>
        </w:rPr>
        <w:t xml:space="preserve"> </w:t>
      </w:r>
    </w:p>
    <w:p w:rsidR="00B43ACC" w:rsidRPr="00B41060" w:rsidRDefault="00B43ACC" w:rsidP="00B43ACC">
      <w:pPr>
        <w:keepNext/>
        <w:ind w:left="1560" w:hanging="1560"/>
        <w:jc w:val="left"/>
        <w:rPr>
          <w:u w:val="single"/>
          <w:lang w:val="es-419"/>
        </w:rPr>
      </w:pPr>
      <w:r w:rsidRPr="00B41060">
        <w:rPr>
          <w:u w:val="single"/>
          <w:lang w:val="es-419"/>
        </w:rPr>
        <w:t>(</w:t>
      </w:r>
      <w:r w:rsidR="005E031A" w:rsidRPr="00B41060">
        <w:rPr>
          <w:u w:val="single"/>
          <w:lang w:val="es-419"/>
        </w:rPr>
        <w:t>documento</w:t>
      </w:r>
      <w:r w:rsidR="00ED5EE9">
        <w:rPr>
          <w:u w:val="single"/>
          <w:lang w:val="es-419"/>
        </w:rPr>
        <w:t xml:space="preserve"> </w:t>
      </w:r>
      <w:r w:rsidR="00760DF9">
        <w:rPr>
          <w:u w:val="single"/>
          <w:lang w:val="es-419"/>
        </w:rPr>
        <w:t>UPOV/INF-EXN/13</w:t>
      </w:r>
      <w:r w:rsidR="00ED5EE9">
        <w:rPr>
          <w:u w:val="single"/>
          <w:lang w:val="es-419"/>
        </w:rPr>
        <w:t> </w:t>
      </w:r>
      <w:proofErr w:type="spellStart"/>
      <w:r w:rsidR="00ED5EE9">
        <w:rPr>
          <w:u w:val="single"/>
          <w:lang w:val="es-419"/>
        </w:rPr>
        <w:t>Draft</w:t>
      </w:r>
      <w:proofErr w:type="spellEnd"/>
      <w:r w:rsidR="00ED5EE9">
        <w:rPr>
          <w:u w:val="single"/>
          <w:lang w:val="es-419"/>
        </w:rPr>
        <w:t> 1</w:t>
      </w:r>
      <w:r w:rsidRPr="00B41060">
        <w:rPr>
          <w:u w:val="single"/>
          <w:lang w:val="es-419"/>
        </w:rPr>
        <w:t>)</w:t>
      </w:r>
    </w:p>
    <w:p w:rsidR="00B43ACC" w:rsidRPr="00B41060" w:rsidRDefault="00B43ACC" w:rsidP="00B43ACC">
      <w:pPr>
        <w:keepNext/>
        <w:rPr>
          <w:sz w:val="18"/>
          <w:szCs w:val="18"/>
          <w:lang w:val="es-419"/>
        </w:rPr>
      </w:pPr>
    </w:p>
    <w:p w:rsidR="00B43ACC" w:rsidRPr="00B41060" w:rsidRDefault="00B43ACC" w:rsidP="00B43ACC">
      <w:pPr>
        <w:keepNext/>
        <w:rPr>
          <w:lang w:val="es-419"/>
        </w:rPr>
      </w:pPr>
      <w:r w:rsidRPr="00B41060">
        <w:rPr>
          <w:lang w:val="es-419"/>
        </w:rPr>
        <w:fldChar w:fldCharType="begin"/>
      </w:r>
      <w:r w:rsidRPr="00B41060">
        <w:rPr>
          <w:lang w:val="es-419"/>
        </w:rPr>
        <w:instrText xml:space="preserve"> AUTONUM  </w:instrText>
      </w:r>
      <w:r w:rsidRPr="00B41060">
        <w:rPr>
          <w:lang w:val="es-419"/>
        </w:rPr>
        <w:fldChar w:fldCharType="end"/>
      </w:r>
      <w:r w:rsidRPr="00B41060">
        <w:rPr>
          <w:lang w:val="es-419"/>
        </w:rPr>
        <w:tab/>
        <w:t>Junto con los documentos de información que se someterán a la aprobación del Consejo en su quincuagésima tercera sesión ordinaria, se propone aprobar la revisi</w:t>
      </w:r>
      <w:r w:rsidR="00BB2803">
        <w:rPr>
          <w:lang w:val="es-419"/>
        </w:rPr>
        <w:t>ón del documento UPOV/INF-EXN/12</w:t>
      </w:r>
      <w:r w:rsidRPr="00B41060">
        <w:rPr>
          <w:lang w:val="es-419"/>
        </w:rPr>
        <w:t xml:space="preserve"> “Lista de documentos UPOV/INF-EXN y fechas de última publicación” sobre la base del documento</w:t>
      </w:r>
      <w:r w:rsidR="00ED5EE9">
        <w:rPr>
          <w:lang w:val="es-419"/>
        </w:rPr>
        <w:t xml:space="preserve"> </w:t>
      </w:r>
      <w:r w:rsidR="00BB2803">
        <w:rPr>
          <w:lang w:val="es-419"/>
        </w:rPr>
        <w:t>UPOV/INF-EXN/13</w:t>
      </w:r>
      <w:r w:rsidR="00ED5EE9">
        <w:rPr>
          <w:lang w:val="es-419"/>
        </w:rPr>
        <w:t> </w:t>
      </w:r>
      <w:proofErr w:type="spellStart"/>
      <w:r w:rsidR="00ED5EE9">
        <w:rPr>
          <w:lang w:val="es-419"/>
        </w:rPr>
        <w:t>Draft</w:t>
      </w:r>
      <w:proofErr w:type="spellEnd"/>
      <w:r w:rsidR="00ED5EE9">
        <w:rPr>
          <w:lang w:val="es-419"/>
        </w:rPr>
        <w:t> 1</w:t>
      </w:r>
      <w:r w:rsidRPr="00B41060">
        <w:rPr>
          <w:lang w:val="es-419"/>
        </w:rPr>
        <w:t>.</w:t>
      </w:r>
    </w:p>
    <w:p w:rsidR="00B43ACC" w:rsidRPr="00B41060" w:rsidRDefault="00B43ACC" w:rsidP="00B43ACC">
      <w:pPr>
        <w:rPr>
          <w:sz w:val="18"/>
          <w:szCs w:val="18"/>
          <w:lang w:val="es-419"/>
        </w:rPr>
      </w:pPr>
    </w:p>
    <w:p w:rsidR="00B43ACC" w:rsidRPr="00B41060" w:rsidRDefault="00B43ACC" w:rsidP="00B43ACC">
      <w:pPr>
        <w:pStyle w:val="DecisionParagraphs"/>
        <w:rPr>
          <w:lang w:val="es-419"/>
        </w:rPr>
      </w:pPr>
      <w:r w:rsidRPr="00B41060">
        <w:rPr>
          <w:lang w:val="es-419"/>
        </w:rPr>
        <w:fldChar w:fldCharType="begin"/>
      </w:r>
      <w:r w:rsidRPr="00B41060">
        <w:rPr>
          <w:lang w:val="es-419"/>
        </w:rPr>
        <w:instrText xml:space="preserve"> AUTONUM  </w:instrText>
      </w:r>
      <w:r w:rsidRPr="00B41060">
        <w:rPr>
          <w:lang w:val="es-419"/>
        </w:rPr>
        <w:fldChar w:fldCharType="end"/>
      </w:r>
      <w:r w:rsidRPr="00B41060">
        <w:rPr>
          <w:lang w:val="es-419"/>
        </w:rPr>
        <w:tab/>
        <w:t>Se invita al Consejo a aprobar la revisi</w:t>
      </w:r>
      <w:r w:rsidR="00BB2803">
        <w:rPr>
          <w:lang w:val="es-419"/>
        </w:rPr>
        <w:t>ón del documento UPOV/INF-EXN/12</w:t>
      </w:r>
      <w:r w:rsidRPr="00B41060">
        <w:rPr>
          <w:lang w:val="es-419"/>
        </w:rPr>
        <w:t xml:space="preserve"> “Lista de documentos</w:t>
      </w:r>
      <w:r w:rsidR="00ED5EE9">
        <w:rPr>
          <w:lang w:val="es-419"/>
        </w:rPr>
        <w:t xml:space="preserve"> </w:t>
      </w:r>
      <w:r w:rsidRPr="00B41060">
        <w:rPr>
          <w:lang w:val="es-419"/>
        </w:rPr>
        <w:t>UPOV/INF EXN y fechas de última publicación”</w:t>
      </w:r>
      <w:r w:rsidR="00BB2803">
        <w:rPr>
          <w:lang w:val="es-419"/>
        </w:rPr>
        <w:t xml:space="preserve"> (documento UPOV/INF-EXN/13</w:t>
      </w:r>
      <w:r w:rsidRPr="00B41060">
        <w:rPr>
          <w:lang w:val="es-419"/>
        </w:rPr>
        <w:t>) sobre la base del documento UPOV/INF-EXN/1</w:t>
      </w:r>
      <w:r w:rsidR="00BB2803">
        <w:rPr>
          <w:lang w:val="es-419"/>
        </w:rPr>
        <w:t>3</w:t>
      </w:r>
      <w:r w:rsidR="00ED5EE9">
        <w:rPr>
          <w:lang w:val="es-419"/>
        </w:rPr>
        <w:t> </w:t>
      </w:r>
      <w:proofErr w:type="spellStart"/>
      <w:r w:rsidR="00ED5EE9">
        <w:rPr>
          <w:lang w:val="es-419"/>
        </w:rPr>
        <w:t>Draft</w:t>
      </w:r>
      <w:proofErr w:type="spellEnd"/>
      <w:r w:rsidR="00ED5EE9">
        <w:rPr>
          <w:lang w:val="es-419"/>
        </w:rPr>
        <w:t> 1</w:t>
      </w:r>
      <w:r w:rsidRPr="00B41060">
        <w:rPr>
          <w:lang w:val="es-419"/>
        </w:rPr>
        <w:t>.</w:t>
      </w:r>
    </w:p>
    <w:p w:rsidR="00B43ACC" w:rsidRPr="00B41060" w:rsidRDefault="00B43ACC" w:rsidP="00B43ACC">
      <w:pPr>
        <w:rPr>
          <w:lang w:val="es-419"/>
        </w:rPr>
      </w:pPr>
    </w:p>
    <w:p w:rsidR="00B43ACC" w:rsidRPr="00B41060" w:rsidRDefault="00B43ACC" w:rsidP="00AC5E35">
      <w:pPr>
        <w:jc w:val="right"/>
        <w:rPr>
          <w:lang w:val="es-419"/>
        </w:rPr>
      </w:pPr>
      <w:r w:rsidRPr="00B41060">
        <w:rPr>
          <w:lang w:val="es-419"/>
        </w:rPr>
        <w:t>[Siguen los anexos]</w:t>
      </w:r>
    </w:p>
    <w:p w:rsidR="00B43ACC" w:rsidRPr="00B41060" w:rsidRDefault="00B43ACC" w:rsidP="00B43ACC">
      <w:pPr>
        <w:jc w:val="right"/>
        <w:rPr>
          <w:lang w:val="es-419"/>
        </w:rPr>
        <w:sectPr w:rsidR="00B43ACC" w:rsidRPr="00B41060" w:rsidSect="000230A9">
          <w:headerReference w:type="default" r:id="rId18"/>
          <w:footnotePr>
            <w:numRestart w:val="eachSect"/>
          </w:footnotePr>
          <w:pgSz w:w="11907" w:h="16840" w:code="9"/>
          <w:pgMar w:top="510" w:right="1134" w:bottom="851" w:left="1134" w:header="510" w:footer="680" w:gutter="0"/>
          <w:cols w:space="720"/>
          <w:titlePg/>
        </w:sectPr>
      </w:pPr>
    </w:p>
    <w:p w:rsidR="00CA3F50" w:rsidRPr="00B41060" w:rsidRDefault="00CA3F50" w:rsidP="00CA3F50">
      <w:pPr>
        <w:jc w:val="center"/>
        <w:rPr>
          <w:caps/>
          <w:lang w:val="es-419"/>
        </w:rPr>
      </w:pPr>
      <w:r w:rsidRPr="00B41060">
        <w:rPr>
          <w:caps/>
          <w:lang w:val="es-419"/>
        </w:rPr>
        <w:lastRenderedPageBreak/>
        <w:t xml:space="preserve">Revisiones del documento TGP/7 “Elaboración de las directrices de examen” </w:t>
      </w:r>
    </w:p>
    <w:p w:rsidR="00CA3F50" w:rsidRPr="00B41060" w:rsidRDefault="00CA3F50" w:rsidP="00CA3F50">
      <w:pPr>
        <w:jc w:val="center"/>
        <w:rPr>
          <w:lang w:val="es-419"/>
        </w:rPr>
      </w:pPr>
      <w:r w:rsidRPr="00B41060">
        <w:rPr>
          <w:lang w:val="es-419"/>
        </w:rPr>
        <w:t>CONVENIDAS POR EL COMITÉ TÉCNICO EN SU QUINCUAGÉSIMA</w:t>
      </w:r>
      <w:r w:rsidR="00ED5EE9">
        <w:rPr>
          <w:lang w:val="es-419"/>
        </w:rPr>
        <w:t xml:space="preserve"> </w:t>
      </w:r>
      <w:r w:rsidRPr="00B41060">
        <w:rPr>
          <w:lang w:val="es-419"/>
        </w:rPr>
        <w:t>CUARTA SESIÓN</w:t>
      </w:r>
      <w:r w:rsidRPr="00B41060">
        <w:rPr>
          <w:rStyle w:val="FootnoteReference"/>
          <w:lang w:val="es-419"/>
        </w:rPr>
        <w:footnoteReference w:id="7"/>
      </w:r>
    </w:p>
    <w:p w:rsidR="00CA3F50" w:rsidRPr="00B41060" w:rsidRDefault="00CA3F50" w:rsidP="00CA3F50">
      <w:pPr>
        <w:jc w:val="center"/>
        <w:rPr>
          <w:lang w:val="es-419"/>
        </w:rPr>
      </w:pPr>
    </w:p>
    <w:p w:rsidR="00CA3F50" w:rsidRPr="00B41060" w:rsidRDefault="00CA3F50" w:rsidP="00CA3F50">
      <w:pPr>
        <w:jc w:val="center"/>
        <w:rPr>
          <w:lang w:val="es-419"/>
        </w:rPr>
      </w:pPr>
    </w:p>
    <w:p w:rsidR="00CA3F50" w:rsidRPr="00B41060" w:rsidRDefault="00CA3F50" w:rsidP="00CA3F50">
      <w:pPr>
        <w:rPr>
          <w:lang w:val="es-419"/>
        </w:rPr>
      </w:pPr>
      <w:r w:rsidRPr="00B41060">
        <w:rPr>
          <w:noProof/>
          <w:lang w:val="en-US" w:eastAsia="en-US" w:bidi="ar-SA"/>
        </w:rPr>
        <mc:AlternateContent>
          <mc:Choice Requires="wps">
            <w:drawing>
              <wp:anchor distT="0" distB="0" distL="114300" distR="114300" simplePos="0" relativeHeight="251663360" behindDoc="0" locked="0" layoutInCell="1" allowOverlap="1" wp14:anchorId="59D786D4" wp14:editId="3C5C4F54">
                <wp:simplePos x="0" y="0"/>
                <wp:positionH relativeFrom="column">
                  <wp:align>center</wp:align>
                </wp:positionH>
                <wp:positionV relativeFrom="paragraph">
                  <wp:posOffset>0</wp:posOffset>
                </wp:positionV>
                <wp:extent cx="4119842" cy="402609"/>
                <wp:effectExtent l="0" t="0" r="14605" b="165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9842" cy="402609"/>
                        </a:xfrm>
                        <a:prstGeom prst="rect">
                          <a:avLst/>
                        </a:prstGeom>
                        <a:solidFill>
                          <a:srgbClr val="FFFFFF"/>
                        </a:solidFill>
                        <a:ln w="9525">
                          <a:solidFill>
                            <a:srgbClr val="000000"/>
                          </a:solidFill>
                          <a:miter lim="800000"/>
                          <a:headEnd/>
                          <a:tailEnd/>
                        </a:ln>
                      </wps:spPr>
                      <wps:txbx>
                        <w:txbxContent>
                          <w:p w:rsidR="00F758FF" w:rsidRPr="00914865" w:rsidRDefault="00F758FF" w:rsidP="00CA3F50">
                            <w:pPr>
                              <w:jc w:val="center"/>
                            </w:pPr>
                            <w:r>
                              <w:t xml:space="preserve">Se indica </w:t>
                            </w:r>
                            <w:r>
                              <w:rPr>
                                <w:strike/>
                                <w:highlight w:val="lightGray"/>
                              </w:rPr>
                              <w:t>tachado</w:t>
                            </w:r>
                            <w:r>
                              <w:rPr>
                                <w:highlight w:val="lightGray"/>
                              </w:rPr>
                              <w:t xml:space="preserve"> y sombreado</w:t>
                            </w:r>
                            <w:r>
                              <w:t xml:space="preserve"> el texto que se propone suprimir y </w:t>
                            </w:r>
                            <w:r>
                              <w:rPr>
                                <w:highlight w:val="lightGray"/>
                                <w:u w:val="single"/>
                              </w:rPr>
                              <w:t>subrayado</w:t>
                            </w:r>
                            <w:r>
                              <w:rPr>
                                <w:highlight w:val="lightGray"/>
                              </w:rPr>
                              <w:t xml:space="preserve"> y sombreado</w:t>
                            </w:r>
                            <w:r>
                              <w:t xml:space="preserve"> el texto que se propone añadir.</w:t>
                            </w:r>
                          </w:p>
                          <w:p w:rsidR="00F758FF" w:rsidRPr="00914865" w:rsidRDefault="00F758FF" w:rsidP="00CA3F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D786D4" id="_x0000_t202" coordsize="21600,21600" o:spt="202" path="m,l,21600r21600,l21600,xe">
                <v:stroke joinstyle="miter"/>
                <v:path gradientshapeok="t" o:connecttype="rect"/>
              </v:shapetype>
              <v:shape id="Text Box 2" o:spid="_x0000_s1026" type="#_x0000_t202" style="position:absolute;left:0;text-align:left;margin-left:0;margin-top:0;width:324.4pt;height:31.7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">
                <v:textbox>
                  <w:txbxContent>
                    <w:p w:rsidR="00F758FF" w:rsidRPr="00914865" w:rsidRDefault="00F758FF" w:rsidP="00CA3F50">
                      <w:pPr>
                        <w:jc w:val="center"/>
                      </w:pPr>
                      <w:r>
                        <w:t xml:space="preserve">Se indica </w:t>
                      </w:r>
                      <w:r>
                        <w:rPr>
                          <w:strike/>
                          <w:highlight w:val="lightGray"/>
                        </w:rPr>
                        <w:t>tachado</w:t>
                      </w:r>
                      <w:r>
                        <w:rPr>
                          <w:highlight w:val="lightGray"/>
                        </w:rPr>
                        <w:t xml:space="preserve"> y sombreado</w:t>
                      </w:r>
                      <w:r>
                        <w:t xml:space="preserve"> el texto que se propone suprimir y </w:t>
                      </w:r>
                      <w:r>
                        <w:rPr>
                          <w:highlight w:val="lightGray"/>
                          <w:u w:val="single"/>
                        </w:rPr>
                        <w:t>subrayado</w:t>
                      </w:r>
                      <w:r>
                        <w:rPr>
                          <w:highlight w:val="lightGray"/>
                        </w:rPr>
                        <w:t xml:space="preserve"> y sombreado</w:t>
                      </w:r>
                      <w:r>
                        <w:t xml:space="preserve"> el texto que se propone añadir.</w:t>
                      </w:r>
                    </w:p>
                    <w:p w:rsidR="00F758FF" w:rsidRPr="00914865" w:rsidRDefault="00F758FF" w:rsidP="00CA3F50"/>
                  </w:txbxContent>
                </v:textbox>
              </v:shape>
            </w:pict>
          </mc:Fallback>
        </mc:AlternateContent>
      </w:r>
    </w:p>
    <w:p w:rsidR="00CA3F50" w:rsidRPr="00B41060" w:rsidRDefault="00CA3F50" w:rsidP="00CA3F50">
      <w:pPr>
        <w:rPr>
          <w:lang w:val="es-419"/>
        </w:rPr>
      </w:pPr>
    </w:p>
    <w:p w:rsidR="00CA3F50" w:rsidRPr="00B41060" w:rsidRDefault="00CA3F50" w:rsidP="00CA3F50">
      <w:pPr>
        <w:rPr>
          <w:lang w:val="es-419"/>
        </w:rPr>
      </w:pPr>
    </w:p>
    <w:p w:rsidR="00CA3F50" w:rsidRPr="00B41060" w:rsidRDefault="00CA3F50" w:rsidP="00CA3F50">
      <w:pPr>
        <w:rPr>
          <w:lang w:val="es-419"/>
        </w:rPr>
      </w:pPr>
    </w:p>
    <w:p w:rsidR="00CA3F50" w:rsidRPr="00B41060" w:rsidRDefault="00CA3F50" w:rsidP="00CA3F50">
      <w:pPr>
        <w:rPr>
          <w:lang w:val="es-419"/>
        </w:rPr>
      </w:pPr>
    </w:p>
    <w:p w:rsidR="00CA3F50" w:rsidRPr="00B41060" w:rsidRDefault="00CA3F50" w:rsidP="00CA3F50">
      <w:pPr>
        <w:rPr>
          <w:u w:val="single"/>
          <w:lang w:val="es-419"/>
        </w:rPr>
      </w:pPr>
      <w:r w:rsidRPr="00B41060">
        <w:rPr>
          <w:u w:val="single"/>
          <w:lang w:val="es-419"/>
        </w:rPr>
        <w:t xml:space="preserve">Duración de los exámenes DHE: </w:t>
      </w:r>
    </w:p>
    <w:p w:rsidR="00CA3F50" w:rsidRPr="00B41060" w:rsidRDefault="00CA3F50" w:rsidP="00CA3F50">
      <w:pPr>
        <w:rPr>
          <w:u w:val="single"/>
          <w:lang w:val="es-419"/>
        </w:rPr>
      </w:pPr>
    </w:p>
    <w:p w:rsidR="00CA3F50" w:rsidRPr="00B41060" w:rsidRDefault="00CA3F50" w:rsidP="00CA3F50">
      <w:pPr>
        <w:rPr>
          <w:i/>
          <w:lang w:val="es-419"/>
        </w:rPr>
      </w:pPr>
      <w:r w:rsidRPr="00B41060">
        <w:rPr>
          <w:i/>
          <w:lang w:val="es-419"/>
        </w:rPr>
        <w:t>Texto estándar universal: sección</w:t>
      </w:r>
      <w:r w:rsidR="00ED5EE9">
        <w:rPr>
          <w:i/>
          <w:lang w:val="es-419"/>
        </w:rPr>
        <w:t xml:space="preserve"> </w:t>
      </w:r>
      <w:r w:rsidRPr="00B41060">
        <w:rPr>
          <w:i/>
          <w:lang w:val="es-419"/>
        </w:rPr>
        <w:t>3.1: Número de ciclos de cultivo</w:t>
      </w:r>
    </w:p>
    <w:p w:rsidR="00CA3F50" w:rsidRPr="00B41060" w:rsidRDefault="00CA3F50" w:rsidP="00CA3F50">
      <w:pPr>
        <w:rPr>
          <w:lang w:val="es-419"/>
        </w:rPr>
      </w:pPr>
    </w:p>
    <w:p w:rsidR="00CA3F50" w:rsidRPr="00B41060" w:rsidRDefault="00CA3F50" w:rsidP="00CA3F50">
      <w:pPr>
        <w:rPr>
          <w:lang w:val="es-419"/>
        </w:rPr>
      </w:pPr>
      <w:r w:rsidRPr="00B41060">
        <w:rPr>
          <w:lang w:val="es-419"/>
        </w:rPr>
        <w:t>El TC convino en que se incluya la frase siguiente en las directrices de examen como texto estándar (véanse los párrafos</w:t>
      </w:r>
      <w:r w:rsidR="00ED5EE9">
        <w:rPr>
          <w:lang w:val="es-419"/>
        </w:rPr>
        <w:t xml:space="preserve"> </w:t>
      </w:r>
      <w:r w:rsidRPr="00B41060">
        <w:rPr>
          <w:lang w:val="es-419"/>
        </w:rPr>
        <w:t>210 a</w:t>
      </w:r>
      <w:r w:rsidR="00ED5EE9">
        <w:rPr>
          <w:lang w:val="es-419"/>
        </w:rPr>
        <w:t xml:space="preserve"> </w:t>
      </w:r>
      <w:r w:rsidRPr="00B41060">
        <w:rPr>
          <w:lang w:val="es-419"/>
        </w:rPr>
        <w:t>212 del documento TC/54/31 “Informe”):</w:t>
      </w:r>
    </w:p>
    <w:p w:rsidR="00CA3F50" w:rsidRPr="00B41060" w:rsidRDefault="00CA3F50" w:rsidP="00CA3F50">
      <w:pPr>
        <w:rPr>
          <w:sz w:val="18"/>
          <w:highlight w:val="yellow"/>
          <w:lang w:val="es-419"/>
        </w:rPr>
      </w:pPr>
    </w:p>
    <w:p w:rsidR="00CA3F50" w:rsidRPr="00B41060" w:rsidRDefault="00CA3F50" w:rsidP="00CA3F50">
      <w:pPr>
        <w:ind w:left="567" w:right="567"/>
        <w:rPr>
          <w:sz w:val="18"/>
          <w:u w:val="single"/>
          <w:lang w:val="es-419"/>
        </w:rPr>
      </w:pPr>
      <w:r w:rsidRPr="00B41060">
        <w:rPr>
          <w:sz w:val="18"/>
          <w:highlight w:val="lightGray"/>
          <w:u w:val="single"/>
          <w:lang w:val="es-419"/>
        </w:rPr>
        <w:t>“Se podrá concluir el examen de una variedad cuando la autoridad competente pueda determinar con certeza su resultado.”</w:t>
      </w:r>
    </w:p>
    <w:p w:rsidR="00CA3F50" w:rsidRPr="00B41060" w:rsidRDefault="00CA3F50" w:rsidP="00CA3F50">
      <w:pPr>
        <w:rPr>
          <w:lang w:val="es-419"/>
        </w:rPr>
      </w:pPr>
    </w:p>
    <w:p w:rsidR="00CA3F50" w:rsidRPr="00B41060" w:rsidRDefault="00CA3F50" w:rsidP="00CA3F50">
      <w:pPr>
        <w:rPr>
          <w:rFonts w:eastAsia="MS Mincho"/>
          <w:u w:val="single"/>
          <w:lang w:val="es-419"/>
        </w:rPr>
      </w:pPr>
    </w:p>
    <w:p w:rsidR="00CA3F50" w:rsidRPr="00B41060" w:rsidRDefault="00CA3F50" w:rsidP="00CA3F50">
      <w:pPr>
        <w:rPr>
          <w:rFonts w:eastAsia="MS Mincho"/>
          <w:u w:val="single"/>
          <w:lang w:val="es-419"/>
        </w:rPr>
      </w:pPr>
      <w:r w:rsidRPr="00B41060">
        <w:rPr>
          <w:u w:val="single"/>
          <w:lang w:val="es-419"/>
        </w:rPr>
        <w:t xml:space="preserve">Procedimiento para aprobar directrices de examen por correspondencia </w:t>
      </w:r>
    </w:p>
    <w:p w:rsidR="00CA3F50" w:rsidRPr="00B41060" w:rsidRDefault="00CA3F50" w:rsidP="00CA3F50">
      <w:pPr>
        <w:rPr>
          <w:i/>
          <w:lang w:val="es-419"/>
        </w:rPr>
      </w:pPr>
    </w:p>
    <w:p w:rsidR="00CA3F50" w:rsidRPr="00B41060" w:rsidRDefault="00CA3F50" w:rsidP="00CA3F50">
      <w:pPr>
        <w:rPr>
          <w:i/>
          <w:lang w:val="es-419"/>
        </w:rPr>
      </w:pPr>
      <w:r w:rsidRPr="00B41060">
        <w:rPr>
          <w:i/>
          <w:lang w:val="es-419"/>
        </w:rPr>
        <w:t>Sección 2.2 “Procedimiento para introducir directrices de examen”</w:t>
      </w:r>
    </w:p>
    <w:p w:rsidR="00CA3F50" w:rsidRPr="00B41060" w:rsidRDefault="00CA3F50" w:rsidP="00CA3F50">
      <w:pPr>
        <w:rPr>
          <w:i/>
          <w:lang w:val="es-419"/>
        </w:rPr>
      </w:pPr>
    </w:p>
    <w:p w:rsidR="00CA3F50" w:rsidRPr="00B41060" w:rsidRDefault="00CA3F50" w:rsidP="00CA3F50">
      <w:pPr>
        <w:rPr>
          <w:lang w:val="es-419"/>
        </w:rPr>
      </w:pPr>
      <w:r w:rsidRPr="00B41060">
        <w:rPr>
          <w:lang w:val="es-419"/>
        </w:rPr>
        <w:t>El TC convino en que la orientación que se ofrece en el documento TGP/7 se modifique como se indica a continuación (véanse los párrafos</w:t>
      </w:r>
      <w:r w:rsidR="00ED5EE9">
        <w:rPr>
          <w:lang w:val="es-419"/>
        </w:rPr>
        <w:t xml:space="preserve"> </w:t>
      </w:r>
      <w:r w:rsidRPr="00B41060">
        <w:rPr>
          <w:lang w:val="es-419"/>
        </w:rPr>
        <w:t>217 a</w:t>
      </w:r>
      <w:r w:rsidR="00ED5EE9">
        <w:rPr>
          <w:lang w:val="es-419"/>
        </w:rPr>
        <w:t xml:space="preserve"> </w:t>
      </w:r>
      <w:r w:rsidRPr="00B41060">
        <w:rPr>
          <w:lang w:val="es-419"/>
        </w:rPr>
        <w:t xml:space="preserve">220 del documento TC/54/31 “Informe”): </w:t>
      </w:r>
    </w:p>
    <w:p w:rsidR="00CA3F50" w:rsidRPr="00B41060" w:rsidRDefault="00CA3F50" w:rsidP="00CA3F50">
      <w:pPr>
        <w:rPr>
          <w:lang w:val="es-419"/>
        </w:rPr>
      </w:pPr>
    </w:p>
    <w:p w:rsidR="00CA3F50" w:rsidRPr="00B41060" w:rsidRDefault="00CA3F50" w:rsidP="00CA3F50">
      <w:pPr>
        <w:ind w:left="567" w:right="567"/>
        <w:rPr>
          <w:sz w:val="18"/>
          <w:szCs w:val="18"/>
          <w:u w:val="single"/>
          <w:lang w:val="es-419"/>
        </w:rPr>
      </w:pPr>
      <w:r w:rsidRPr="00B41060">
        <w:rPr>
          <w:sz w:val="18"/>
          <w:u w:val="single"/>
          <w:lang w:val="es-419"/>
        </w:rPr>
        <w:t>“2.2.7</w:t>
      </w:r>
      <w:r w:rsidRPr="00B41060">
        <w:rPr>
          <w:lang w:val="es-419"/>
        </w:rPr>
        <w:tab/>
      </w:r>
      <w:r w:rsidRPr="00B41060">
        <w:rPr>
          <w:sz w:val="18"/>
          <w:u w:val="single"/>
          <w:bdr w:val="single" w:sz="4" w:space="0" w:color="auto"/>
          <w:lang w:val="es-419"/>
        </w:rPr>
        <w:t>ETAPA 7</w:t>
      </w:r>
      <w:r w:rsidRPr="00B41060">
        <w:rPr>
          <w:lang w:val="es-419"/>
        </w:rPr>
        <w:tab/>
      </w:r>
      <w:r w:rsidRPr="00B41060">
        <w:rPr>
          <w:sz w:val="18"/>
          <w:u w:val="single"/>
          <w:lang w:val="es-419"/>
        </w:rPr>
        <w:t>Examen del proyecto de directrices de examen por parte del Comité de Redacción</w:t>
      </w:r>
      <w:r w:rsidR="0007321B" w:rsidRPr="00B41060">
        <w:rPr>
          <w:sz w:val="18"/>
          <w:u w:val="single"/>
          <w:lang w:val="es-419"/>
        </w:rPr>
        <w:t xml:space="preserve"> </w:t>
      </w:r>
    </w:p>
    <w:p w:rsidR="00CA3F50" w:rsidRPr="00B41060" w:rsidRDefault="00CA3F50" w:rsidP="00CA3F50">
      <w:pPr>
        <w:ind w:left="567" w:right="567"/>
        <w:rPr>
          <w:sz w:val="18"/>
          <w:szCs w:val="18"/>
          <w:lang w:val="es-419"/>
        </w:rPr>
      </w:pPr>
    </w:p>
    <w:p w:rsidR="00CA3F50" w:rsidRPr="00B41060" w:rsidRDefault="00CA3F50" w:rsidP="00CA3F50">
      <w:pPr>
        <w:ind w:left="567" w:right="567"/>
        <w:rPr>
          <w:sz w:val="18"/>
          <w:szCs w:val="18"/>
          <w:lang w:val="es-419"/>
        </w:rPr>
      </w:pPr>
      <w:r w:rsidRPr="00B41060">
        <w:rPr>
          <w:lang w:val="es-419"/>
        </w:rPr>
        <w:t>2.2.7.1</w:t>
      </w:r>
      <w:r w:rsidRPr="00B41060">
        <w:rPr>
          <w:lang w:val="es-419"/>
        </w:rPr>
        <w:tab/>
        <w:t>El TC-EDC fue creado por el Comité Técnico con el propósito de examinar los proyectos de todas las directrices de examen elaborados por los TWP antes de someterlos a la aprobación del Comité Técnico.</w:t>
      </w:r>
      <w:r w:rsidR="0007321B" w:rsidRPr="00B41060">
        <w:rPr>
          <w:sz w:val="18"/>
          <w:lang w:val="es-419"/>
        </w:rPr>
        <w:t xml:space="preserve"> </w:t>
      </w:r>
      <w:r w:rsidRPr="00B41060">
        <w:rPr>
          <w:sz w:val="18"/>
          <w:lang w:val="es-419"/>
        </w:rPr>
        <w:t>La función del TC-EDC es garantizar que las directrices de examen sean coherentes con los requisitos del documento TGP/7 y comprobar la sintonía de los textos en todos los idiomas oficiales de la UPOV.</w:t>
      </w:r>
      <w:r w:rsidR="0007321B" w:rsidRPr="00B41060">
        <w:rPr>
          <w:sz w:val="18"/>
          <w:lang w:val="es-419"/>
        </w:rPr>
        <w:t xml:space="preserve"> </w:t>
      </w:r>
      <w:r w:rsidRPr="00B41060">
        <w:rPr>
          <w:sz w:val="18"/>
          <w:lang w:val="es-419"/>
        </w:rPr>
        <w:t>El TC-EDC no lleva a cabo un examen profundo de las cuestiones técnicas de las directrices de examen.</w:t>
      </w:r>
      <w:r w:rsidR="0007321B" w:rsidRPr="00B41060">
        <w:rPr>
          <w:sz w:val="18"/>
          <w:lang w:val="es-419"/>
        </w:rPr>
        <w:t xml:space="preserve"> </w:t>
      </w:r>
      <w:r w:rsidRPr="00B41060">
        <w:rPr>
          <w:sz w:val="18"/>
          <w:lang w:val="es-419"/>
        </w:rPr>
        <w:t>Los miembros del TC-EDC son seleccionados por el TC, tanto para ofrecer una vasta experiencia del sistema de la UPOV como para representar los idiomas de la UPOV, es decir, español, alemán, francés e inglés.</w:t>
      </w:r>
      <w:r w:rsidR="0007321B" w:rsidRPr="00B41060">
        <w:rPr>
          <w:sz w:val="18"/>
          <w:lang w:val="es-419"/>
        </w:rPr>
        <w:t xml:space="preserve"> </w:t>
      </w:r>
      <w:r w:rsidRPr="00B41060">
        <w:rPr>
          <w:sz w:val="18"/>
          <w:lang w:val="es-419"/>
        </w:rPr>
        <w:t>La presidencia del TC-EDC es ejercida por la Secretaría de la UPOV.</w:t>
      </w:r>
    </w:p>
    <w:p w:rsidR="00CA3F50" w:rsidRPr="00B41060" w:rsidRDefault="00CA3F50" w:rsidP="00CA3F50">
      <w:pPr>
        <w:ind w:left="567" w:right="567"/>
        <w:rPr>
          <w:sz w:val="18"/>
          <w:szCs w:val="18"/>
          <w:lang w:val="es-419"/>
        </w:rPr>
      </w:pPr>
    </w:p>
    <w:p w:rsidR="00CA3F50" w:rsidRPr="00B41060" w:rsidRDefault="00CA3F50" w:rsidP="00CA3F50">
      <w:pPr>
        <w:ind w:left="567" w:right="567"/>
        <w:rPr>
          <w:sz w:val="18"/>
          <w:szCs w:val="18"/>
          <w:lang w:val="es-419"/>
        </w:rPr>
      </w:pPr>
      <w:r w:rsidRPr="00B41060">
        <w:rPr>
          <w:lang w:val="es-419"/>
        </w:rPr>
        <w:t>2.2.7.2</w:t>
      </w:r>
      <w:r w:rsidRPr="00B41060">
        <w:rPr>
          <w:lang w:val="es-419"/>
        </w:rPr>
        <w:tab/>
        <w:t>El Comité de Redacción revisa el proyecto de directrices de examen tomando en consideración las instrucciones específicas que recibe del Comité Técnico y formula asimismo recomendaciones sobre la conveniencia de aprobarlas (Etapa 8).</w:t>
      </w:r>
      <w:r w:rsidRPr="00B41060">
        <w:rPr>
          <w:sz w:val="18"/>
          <w:lang w:val="es-419"/>
        </w:rPr>
        <w:t xml:space="preserve"> Asimismo, puede proponer al Comité Técnico que apruebe las directrices de examen tras realizar las enmiendas de redacción que considere necesarias. </w:t>
      </w:r>
    </w:p>
    <w:p w:rsidR="00CA3F50" w:rsidRPr="00B41060" w:rsidRDefault="00CA3F50" w:rsidP="00CA3F50">
      <w:pPr>
        <w:ind w:left="567" w:right="567"/>
        <w:rPr>
          <w:sz w:val="18"/>
          <w:szCs w:val="18"/>
          <w:lang w:val="es-419"/>
        </w:rPr>
      </w:pPr>
    </w:p>
    <w:p w:rsidR="00CA3F50" w:rsidRPr="00B41060" w:rsidRDefault="00CA3F50" w:rsidP="00CA3F50">
      <w:pPr>
        <w:ind w:left="567" w:right="567"/>
        <w:rPr>
          <w:strike/>
          <w:sz w:val="18"/>
          <w:szCs w:val="18"/>
          <w:highlight w:val="lightGray"/>
          <w:lang w:val="es-419"/>
        </w:rPr>
      </w:pPr>
      <w:r w:rsidRPr="00B41060">
        <w:rPr>
          <w:strike/>
          <w:sz w:val="18"/>
          <w:highlight w:val="lightGray"/>
          <w:lang w:val="es-419"/>
        </w:rPr>
        <w:t>2.2.7.3</w:t>
      </w:r>
      <w:r w:rsidRPr="00B41060">
        <w:rPr>
          <w:strike/>
          <w:sz w:val="18"/>
          <w:highlight w:val="lightGray"/>
          <w:lang w:val="es-419"/>
        </w:rPr>
        <w:tab/>
      </w:r>
      <w:r w:rsidRPr="00B41060">
        <w:rPr>
          <w:strike/>
          <w:sz w:val="18"/>
          <w:highlight w:val="lightGray"/>
          <w:lang w:val="es-419"/>
        </w:rPr>
        <w:tab/>
        <w:t>Si el Comité de Redacción considera que deben resolverse cuestiones técnicas, podrá buscar resolver esas cuestiones con el experto principal antes del examen de las directrices de examen por parte del Comité Técnico.</w:t>
      </w:r>
      <w:r w:rsidR="0007321B" w:rsidRPr="00B41060">
        <w:rPr>
          <w:strike/>
          <w:sz w:val="18"/>
          <w:highlight w:val="lightGray"/>
          <w:lang w:val="es-419"/>
        </w:rPr>
        <w:t xml:space="preserve"> </w:t>
      </w:r>
      <w:r w:rsidRPr="00B41060">
        <w:rPr>
          <w:strike/>
          <w:sz w:val="18"/>
          <w:highlight w:val="lightGray"/>
          <w:lang w:val="es-419"/>
        </w:rPr>
        <w:t>En los casos en que esto no sea posible, el Comité de Redacción podrá recomendar que el Comité Técnico:</w:t>
      </w:r>
    </w:p>
    <w:p w:rsidR="00CA3F50" w:rsidRPr="00B41060" w:rsidRDefault="00CA3F50" w:rsidP="00CA3F50">
      <w:pPr>
        <w:ind w:left="567" w:right="567"/>
        <w:rPr>
          <w:strike/>
          <w:sz w:val="18"/>
          <w:szCs w:val="18"/>
          <w:highlight w:val="lightGray"/>
          <w:lang w:val="es-419"/>
        </w:rPr>
      </w:pPr>
    </w:p>
    <w:p w:rsidR="00CA3F50" w:rsidRPr="00B41060" w:rsidRDefault="00CA3F50" w:rsidP="00CA3F50">
      <w:pPr>
        <w:ind w:left="567" w:right="567"/>
        <w:rPr>
          <w:strike/>
          <w:sz w:val="18"/>
          <w:highlight w:val="lightGray"/>
          <w:lang w:val="es-419"/>
        </w:rPr>
      </w:pPr>
      <w:r w:rsidRPr="00B41060">
        <w:rPr>
          <w:strike/>
          <w:sz w:val="18"/>
          <w:highlight w:val="lightGray"/>
          <w:lang w:val="es-419"/>
        </w:rPr>
        <w:tab/>
        <w:t>a)</w:t>
      </w:r>
      <w:r w:rsidRPr="00B41060">
        <w:rPr>
          <w:strike/>
          <w:sz w:val="18"/>
          <w:highlight w:val="lightGray"/>
          <w:lang w:val="es-419"/>
        </w:rPr>
        <w:tab/>
        <w:t>remita las directrices de examen al TWP (etapa</w:t>
      </w:r>
      <w:r w:rsidR="00ED5EE9">
        <w:rPr>
          <w:strike/>
          <w:sz w:val="18"/>
          <w:highlight w:val="lightGray"/>
          <w:lang w:val="es-419"/>
        </w:rPr>
        <w:t xml:space="preserve"> </w:t>
      </w:r>
      <w:r w:rsidRPr="00B41060">
        <w:rPr>
          <w:strike/>
          <w:sz w:val="18"/>
          <w:highlight w:val="lightGray"/>
          <w:lang w:val="es-419"/>
        </w:rPr>
        <w:t xml:space="preserve">4) o </w:t>
      </w:r>
    </w:p>
    <w:p w:rsidR="00CA3F50" w:rsidRPr="00B41060" w:rsidRDefault="00CA3F50" w:rsidP="00CA3F50">
      <w:pPr>
        <w:ind w:left="567" w:right="567"/>
        <w:rPr>
          <w:strike/>
          <w:sz w:val="18"/>
          <w:szCs w:val="18"/>
          <w:lang w:val="es-419"/>
        </w:rPr>
      </w:pPr>
      <w:r w:rsidRPr="00B41060">
        <w:rPr>
          <w:strike/>
          <w:sz w:val="18"/>
          <w:highlight w:val="lightGray"/>
          <w:lang w:val="es-419"/>
        </w:rPr>
        <w:tab/>
        <w:t>b)</w:t>
      </w:r>
      <w:r w:rsidRPr="00B41060">
        <w:rPr>
          <w:strike/>
          <w:sz w:val="18"/>
          <w:highlight w:val="lightGray"/>
          <w:lang w:val="es-419"/>
        </w:rPr>
        <w:tab/>
        <w:t>apruebe las directrices de examen a condición de que el experto principal presente información adicional aprobada por todos los expertos interesados y el Presidente del TWP pertinente</w:t>
      </w:r>
      <w:r w:rsidRPr="00B41060">
        <w:rPr>
          <w:lang w:val="es-419"/>
        </w:rPr>
        <w:t>.</w:t>
      </w:r>
    </w:p>
    <w:p w:rsidR="00CA3F50" w:rsidRPr="00B41060" w:rsidRDefault="00CA3F50" w:rsidP="00CA3F50">
      <w:pPr>
        <w:ind w:left="567" w:right="567"/>
        <w:rPr>
          <w:sz w:val="18"/>
          <w:szCs w:val="18"/>
          <w:lang w:val="es-419"/>
        </w:rPr>
      </w:pPr>
    </w:p>
    <w:p w:rsidR="00CA3F50" w:rsidRPr="00B41060" w:rsidRDefault="00CA3F50" w:rsidP="00CA3F50">
      <w:pPr>
        <w:ind w:left="567" w:right="567"/>
        <w:rPr>
          <w:sz w:val="18"/>
          <w:szCs w:val="18"/>
          <w:highlight w:val="lightGray"/>
          <w:u w:val="single"/>
          <w:lang w:val="es-419"/>
        </w:rPr>
      </w:pPr>
      <w:r w:rsidRPr="00B41060">
        <w:rPr>
          <w:sz w:val="18"/>
          <w:highlight w:val="lightGray"/>
          <w:u w:val="single"/>
          <w:lang w:val="es-419"/>
        </w:rPr>
        <w:t>NUEVO</w:t>
      </w:r>
      <w:r w:rsidRPr="00B41060">
        <w:rPr>
          <w:sz w:val="18"/>
          <w:highlight w:val="lightGray"/>
          <w:u w:val="single"/>
          <w:lang w:val="es-419"/>
        </w:rPr>
        <w:tab/>
        <w:t>A no ser que el TC convenga lo contrario, el TC-EDC se reunirá dos veces al año, una vez entre marzo y abril y otra en paralelo a la sesión del TC (entre octubre y noviembre).</w:t>
      </w:r>
      <w:r w:rsidR="00BF7D28" w:rsidRPr="00B41060">
        <w:rPr>
          <w:sz w:val="18"/>
          <w:highlight w:val="lightGray"/>
          <w:u w:val="single"/>
          <w:lang w:val="es-419"/>
        </w:rPr>
        <w:t xml:space="preserve"> </w:t>
      </w:r>
      <w:r w:rsidRPr="00B41060">
        <w:rPr>
          <w:sz w:val="18"/>
          <w:highlight w:val="lightGray"/>
          <w:u w:val="single"/>
          <w:lang w:val="es-419"/>
        </w:rPr>
        <w:t>El TC-EDC examinará las directrices de examen que los Grupos de Trabajo Técnico remitan como mínimo 14 semanas antes de la reunión del TC-EDC.</w:t>
      </w:r>
      <w:r w:rsidR="0007321B" w:rsidRPr="00B41060">
        <w:rPr>
          <w:sz w:val="18"/>
          <w:highlight w:val="lightGray"/>
          <w:u w:val="single"/>
          <w:lang w:val="es-419"/>
        </w:rPr>
        <w:t xml:space="preserve"> </w:t>
      </w:r>
      <w:r w:rsidRPr="00B41060">
        <w:rPr>
          <w:sz w:val="18"/>
          <w:highlight w:val="lightGray"/>
          <w:u w:val="single"/>
          <w:lang w:val="es-419"/>
        </w:rPr>
        <w:t>Las directrices de examen remitidas menos de 14 semanas antes de la reunión del</w:t>
      </w:r>
      <w:r w:rsidR="00ED5EE9">
        <w:rPr>
          <w:sz w:val="18"/>
          <w:highlight w:val="lightGray"/>
          <w:u w:val="single"/>
          <w:lang w:val="es-419"/>
        </w:rPr>
        <w:t xml:space="preserve"> </w:t>
      </w:r>
      <w:r w:rsidRPr="00B41060">
        <w:rPr>
          <w:sz w:val="18"/>
          <w:highlight w:val="lightGray"/>
          <w:u w:val="single"/>
          <w:lang w:val="es-419"/>
        </w:rPr>
        <w:t>TC-EDC se examinarán en la siguiente reunión.</w:t>
      </w:r>
    </w:p>
    <w:p w:rsidR="00CA3F50" w:rsidRPr="00B41060" w:rsidRDefault="00CA3F50" w:rsidP="00CA3F50">
      <w:pPr>
        <w:tabs>
          <w:tab w:val="left" w:pos="567"/>
          <w:tab w:val="left" w:pos="1134"/>
          <w:tab w:val="left" w:pos="5387"/>
        </w:tabs>
        <w:ind w:left="567" w:right="567"/>
        <w:rPr>
          <w:sz w:val="18"/>
          <w:szCs w:val="18"/>
          <w:highlight w:val="lightGray"/>
          <w:u w:val="single"/>
          <w:lang w:val="es-419"/>
        </w:rPr>
      </w:pPr>
    </w:p>
    <w:p w:rsidR="00CA3F50" w:rsidRPr="00B41060" w:rsidRDefault="00CA3F50" w:rsidP="00CA3F50">
      <w:pPr>
        <w:ind w:left="567" w:right="567"/>
        <w:rPr>
          <w:sz w:val="18"/>
          <w:szCs w:val="18"/>
          <w:highlight w:val="lightGray"/>
          <w:u w:val="single"/>
          <w:lang w:val="es-419"/>
        </w:rPr>
      </w:pPr>
      <w:r w:rsidRPr="00B41060">
        <w:rPr>
          <w:sz w:val="18"/>
          <w:highlight w:val="lightGray"/>
          <w:u w:val="single"/>
          <w:lang w:val="es-419"/>
        </w:rPr>
        <w:t>NUEVO</w:t>
      </w:r>
      <w:r w:rsidRPr="00B41060">
        <w:rPr>
          <w:sz w:val="18"/>
          <w:highlight w:val="lightGray"/>
          <w:u w:val="single"/>
          <w:lang w:val="es-419"/>
        </w:rPr>
        <w:tab/>
        <w:t>El examen que el TC-EDC realice de las directrices de examen puede tener los siguientes resultados</w:t>
      </w:r>
    </w:p>
    <w:p w:rsidR="00CA3F50" w:rsidRPr="00B41060" w:rsidRDefault="00CA3F50" w:rsidP="00CA3F50">
      <w:pPr>
        <w:ind w:left="567" w:right="567"/>
        <w:rPr>
          <w:sz w:val="18"/>
          <w:szCs w:val="18"/>
          <w:highlight w:val="lightGray"/>
          <w:u w:val="single"/>
          <w:lang w:val="es-419"/>
        </w:rPr>
      </w:pPr>
    </w:p>
    <w:p w:rsidR="00CA3F50" w:rsidRPr="00B41060" w:rsidRDefault="00E23487" w:rsidP="00E23487">
      <w:pPr>
        <w:ind w:left="567" w:right="567" w:firstLine="567"/>
        <w:rPr>
          <w:rFonts w:cs="Arial"/>
          <w:sz w:val="18"/>
          <w:szCs w:val="18"/>
          <w:highlight w:val="lightGray"/>
          <w:u w:val="single"/>
          <w:lang w:val="es-419"/>
        </w:rPr>
      </w:pPr>
      <w:r w:rsidRPr="00B41060">
        <w:rPr>
          <w:sz w:val="18"/>
          <w:highlight w:val="lightGray"/>
          <w:u w:val="single"/>
          <w:lang w:val="es-419"/>
        </w:rPr>
        <w:lastRenderedPageBreak/>
        <w:t>a)</w:t>
      </w:r>
      <w:r w:rsidRPr="00B41060">
        <w:rPr>
          <w:sz w:val="18"/>
          <w:highlight w:val="lightGray"/>
          <w:u w:val="single"/>
          <w:lang w:val="es-419"/>
        </w:rPr>
        <w:tab/>
      </w:r>
      <w:r w:rsidR="00CA3F50" w:rsidRPr="00B41060">
        <w:rPr>
          <w:sz w:val="18"/>
          <w:highlight w:val="lightGray"/>
          <w:u w:val="single"/>
          <w:lang w:val="es-419"/>
        </w:rPr>
        <w:t>que no sea necesario modificar las directrices de examen o que las modificaciones necesarias sean estrictamente de redacción y que el TC-EDC acuerde recomendaciones al respecto; o</w:t>
      </w:r>
    </w:p>
    <w:p w:rsidR="00CA3F50" w:rsidRPr="00B41060" w:rsidRDefault="00CA3F50" w:rsidP="00E23487">
      <w:pPr>
        <w:pStyle w:val="ListParagraph"/>
        <w:numPr>
          <w:ilvl w:val="0"/>
          <w:numId w:val="11"/>
        </w:numPr>
        <w:ind w:right="567"/>
        <w:rPr>
          <w:rFonts w:cs="Arial"/>
          <w:sz w:val="18"/>
          <w:szCs w:val="18"/>
          <w:highlight w:val="lightGray"/>
          <w:u w:val="single"/>
          <w:lang w:val="es-419"/>
        </w:rPr>
      </w:pPr>
      <w:r w:rsidRPr="00B41060">
        <w:rPr>
          <w:sz w:val="18"/>
          <w:highlight w:val="lightGray"/>
          <w:u w:val="single"/>
          <w:lang w:val="es-419"/>
        </w:rPr>
        <w:t>que sea preciso aclarar la redacción; o</w:t>
      </w:r>
    </w:p>
    <w:p w:rsidR="00CA3F50" w:rsidRPr="00B41060" w:rsidRDefault="00CA3F50" w:rsidP="00E23487">
      <w:pPr>
        <w:pStyle w:val="ListParagraph"/>
        <w:numPr>
          <w:ilvl w:val="0"/>
          <w:numId w:val="11"/>
        </w:numPr>
        <w:ind w:right="567"/>
        <w:rPr>
          <w:rFonts w:cs="Arial"/>
          <w:sz w:val="18"/>
          <w:szCs w:val="18"/>
          <w:highlight w:val="lightGray"/>
          <w:u w:val="single"/>
          <w:lang w:val="es-419"/>
        </w:rPr>
      </w:pPr>
      <w:r w:rsidRPr="00B41060">
        <w:rPr>
          <w:sz w:val="18"/>
          <w:highlight w:val="lightGray"/>
          <w:u w:val="single"/>
          <w:lang w:val="es-419"/>
        </w:rPr>
        <w:t>que deban resolverse cuestiones técnicas.</w:t>
      </w:r>
    </w:p>
    <w:p w:rsidR="00CA3F50" w:rsidRPr="00B41060" w:rsidRDefault="00CA3F50" w:rsidP="00CA3F50">
      <w:pPr>
        <w:ind w:left="567" w:right="567"/>
        <w:rPr>
          <w:sz w:val="18"/>
          <w:szCs w:val="18"/>
          <w:highlight w:val="lightGray"/>
          <w:u w:val="single"/>
          <w:lang w:val="es-419"/>
        </w:rPr>
      </w:pPr>
    </w:p>
    <w:p w:rsidR="00CA3F50" w:rsidRPr="00B41060" w:rsidRDefault="00CA3F50" w:rsidP="00CA3F50">
      <w:pPr>
        <w:ind w:left="567" w:right="567"/>
        <w:rPr>
          <w:sz w:val="18"/>
          <w:szCs w:val="18"/>
          <w:highlight w:val="lightGray"/>
          <w:u w:val="single"/>
          <w:lang w:val="es-419"/>
        </w:rPr>
      </w:pPr>
      <w:r w:rsidRPr="00B41060">
        <w:rPr>
          <w:sz w:val="18"/>
          <w:highlight w:val="lightGray"/>
          <w:u w:val="single"/>
          <w:lang w:val="es-419"/>
        </w:rPr>
        <w:t>NUEVO</w:t>
      </w:r>
      <w:r w:rsidRPr="00B41060">
        <w:rPr>
          <w:sz w:val="18"/>
          <w:highlight w:val="lightGray"/>
          <w:u w:val="single"/>
          <w:lang w:val="es-419"/>
        </w:rPr>
        <w:tab/>
        <w:t xml:space="preserve">En los casos en que no sea necesario modificar las directrices de examen o que las modificaciones necesarias sean estrictamente de redacción y que el TC-EDC acuerde recomendaciones al respecto, las directrices de examen se someterán a la aprobación del Comité Técnico. </w:t>
      </w:r>
    </w:p>
    <w:p w:rsidR="00CA3F50" w:rsidRPr="00B41060" w:rsidRDefault="00CA3F50" w:rsidP="00CA3F50">
      <w:pPr>
        <w:ind w:left="567" w:right="567"/>
        <w:rPr>
          <w:sz w:val="18"/>
          <w:szCs w:val="18"/>
          <w:highlight w:val="lightGray"/>
          <w:u w:val="single"/>
          <w:lang w:val="es-419"/>
        </w:rPr>
      </w:pPr>
    </w:p>
    <w:p w:rsidR="00CA3F50" w:rsidRPr="00B41060" w:rsidRDefault="00CA3F50" w:rsidP="00CA3F50">
      <w:pPr>
        <w:ind w:left="567" w:right="567"/>
        <w:rPr>
          <w:sz w:val="18"/>
          <w:szCs w:val="18"/>
          <w:highlight w:val="lightGray"/>
          <w:u w:val="single"/>
          <w:lang w:val="es-419"/>
        </w:rPr>
      </w:pPr>
      <w:r w:rsidRPr="00B41060">
        <w:rPr>
          <w:sz w:val="18"/>
          <w:highlight w:val="lightGray"/>
          <w:u w:val="single"/>
          <w:lang w:val="es-419"/>
        </w:rPr>
        <w:t>NUEVO</w:t>
      </w:r>
      <w:r w:rsidRPr="00B41060">
        <w:rPr>
          <w:sz w:val="18"/>
          <w:highlight w:val="lightGray"/>
          <w:u w:val="single"/>
          <w:lang w:val="es-419"/>
        </w:rPr>
        <w:tab/>
        <w:t xml:space="preserve">Cuando en las directrices de examen sea preciso aclarar la redacción, se aplicará el siguiente procedimiento: </w:t>
      </w:r>
    </w:p>
    <w:p w:rsidR="00CA3F50" w:rsidRPr="00B41060" w:rsidRDefault="00CA3F50" w:rsidP="00CA3F50">
      <w:pPr>
        <w:ind w:left="567" w:right="567"/>
        <w:rPr>
          <w:rFonts w:cs="Arial"/>
          <w:sz w:val="18"/>
          <w:szCs w:val="18"/>
          <w:highlight w:val="lightGray"/>
          <w:u w:val="single"/>
          <w:lang w:val="es-419"/>
        </w:rPr>
      </w:pPr>
    </w:p>
    <w:p w:rsidR="00CA3F50" w:rsidRPr="00B41060" w:rsidRDefault="00CA3F50" w:rsidP="00CA3F50">
      <w:pPr>
        <w:numPr>
          <w:ilvl w:val="0"/>
          <w:numId w:val="5"/>
        </w:numPr>
        <w:ind w:left="1134" w:right="567" w:hanging="567"/>
        <w:contextualSpacing/>
        <w:rPr>
          <w:rFonts w:cs="Arial"/>
          <w:sz w:val="18"/>
          <w:szCs w:val="18"/>
          <w:highlight w:val="lightGray"/>
          <w:u w:val="single"/>
          <w:lang w:val="es-419"/>
        </w:rPr>
      </w:pPr>
      <w:r w:rsidRPr="00B41060">
        <w:rPr>
          <w:sz w:val="18"/>
          <w:highlight w:val="lightGray"/>
          <w:u w:val="single"/>
          <w:lang w:val="es-419"/>
        </w:rPr>
        <w:t>se transmite una solicitud de aclaraciones al experto principal;</w:t>
      </w:r>
    </w:p>
    <w:p w:rsidR="00CA3F50" w:rsidRPr="00B41060" w:rsidRDefault="00CA3F50" w:rsidP="00CA3F50">
      <w:pPr>
        <w:numPr>
          <w:ilvl w:val="0"/>
          <w:numId w:val="5"/>
        </w:numPr>
        <w:ind w:left="1134" w:right="567" w:hanging="567"/>
        <w:contextualSpacing/>
        <w:rPr>
          <w:rFonts w:cs="Arial"/>
          <w:sz w:val="18"/>
          <w:szCs w:val="18"/>
          <w:highlight w:val="lightGray"/>
          <w:u w:val="single"/>
          <w:lang w:val="es-419"/>
        </w:rPr>
      </w:pPr>
      <w:r w:rsidRPr="00B41060">
        <w:rPr>
          <w:sz w:val="18"/>
          <w:highlight w:val="lightGray"/>
          <w:u w:val="single"/>
          <w:lang w:val="es-419"/>
        </w:rPr>
        <w:t>las aclaraciones han de facilitarse en menos de cuatro semanas;</w:t>
      </w:r>
    </w:p>
    <w:p w:rsidR="00CA3F50" w:rsidRPr="00B41060" w:rsidRDefault="00CA3F50" w:rsidP="00CA3F50">
      <w:pPr>
        <w:numPr>
          <w:ilvl w:val="0"/>
          <w:numId w:val="5"/>
        </w:numPr>
        <w:ind w:left="1134" w:right="567" w:hanging="567"/>
        <w:contextualSpacing/>
        <w:rPr>
          <w:rFonts w:cs="Arial"/>
          <w:sz w:val="18"/>
          <w:szCs w:val="18"/>
          <w:highlight w:val="lightGray"/>
          <w:u w:val="single"/>
          <w:lang w:val="es-419"/>
        </w:rPr>
      </w:pPr>
      <w:r w:rsidRPr="00B41060">
        <w:rPr>
          <w:sz w:val="18"/>
          <w:highlight w:val="lightGray"/>
          <w:u w:val="single"/>
          <w:lang w:val="es-419"/>
        </w:rPr>
        <w:t>si el TC-EDC suscribe las aclaraciones, se recomienda la aprobación de las directrices de examen en su reunión;</w:t>
      </w:r>
    </w:p>
    <w:p w:rsidR="00CA3F50" w:rsidRPr="00B41060" w:rsidRDefault="00CA3F50" w:rsidP="00CA3F50">
      <w:pPr>
        <w:numPr>
          <w:ilvl w:val="0"/>
          <w:numId w:val="5"/>
        </w:numPr>
        <w:ind w:left="1134" w:right="567" w:hanging="567"/>
        <w:contextualSpacing/>
        <w:rPr>
          <w:rFonts w:cs="Arial"/>
          <w:sz w:val="18"/>
          <w:szCs w:val="18"/>
          <w:highlight w:val="lightGray"/>
          <w:u w:val="single"/>
          <w:lang w:val="es-419"/>
        </w:rPr>
      </w:pPr>
      <w:r w:rsidRPr="00B41060">
        <w:rPr>
          <w:sz w:val="18"/>
          <w:highlight w:val="lightGray"/>
          <w:u w:val="single"/>
          <w:lang w:val="es-419"/>
        </w:rPr>
        <w:t>las directrices de examen se someten al examen del TC con miras a su aprobación.</w:t>
      </w:r>
    </w:p>
    <w:p w:rsidR="00CA3F50" w:rsidRPr="00B41060" w:rsidRDefault="00CA3F50" w:rsidP="00CA3F50">
      <w:pPr>
        <w:ind w:left="993" w:right="567" w:hanging="426"/>
        <w:rPr>
          <w:sz w:val="18"/>
          <w:highlight w:val="lightGray"/>
          <w:u w:val="single"/>
          <w:lang w:val="es-419"/>
        </w:rPr>
      </w:pPr>
    </w:p>
    <w:p w:rsidR="00CA3F50" w:rsidRPr="00B41060" w:rsidRDefault="00CA3F50" w:rsidP="002362CD">
      <w:pPr>
        <w:ind w:left="567" w:right="567"/>
        <w:rPr>
          <w:sz w:val="18"/>
          <w:szCs w:val="18"/>
          <w:highlight w:val="lightGray"/>
          <w:u w:val="single"/>
          <w:lang w:val="es-419"/>
        </w:rPr>
      </w:pPr>
      <w:r w:rsidRPr="00B41060">
        <w:rPr>
          <w:sz w:val="18"/>
          <w:highlight w:val="lightGray"/>
          <w:u w:val="single"/>
          <w:lang w:val="es-419"/>
        </w:rPr>
        <w:t>NUEVO</w:t>
      </w:r>
      <w:r w:rsidRPr="00B41060">
        <w:rPr>
          <w:sz w:val="18"/>
          <w:highlight w:val="lightGray"/>
          <w:u w:val="single"/>
          <w:lang w:val="es-419"/>
        </w:rPr>
        <w:tab/>
        <w:t>Para las directrices de examen en las que deban resolverse cuestiones técnicas, se aplicará el siguiente procedimiento:</w:t>
      </w:r>
    </w:p>
    <w:p w:rsidR="00CA3F50" w:rsidRPr="00B41060" w:rsidRDefault="00CA3F50" w:rsidP="00CA3F50">
      <w:pPr>
        <w:ind w:left="993" w:right="567" w:hanging="426"/>
        <w:rPr>
          <w:rFonts w:cs="Arial"/>
          <w:sz w:val="18"/>
          <w:szCs w:val="18"/>
          <w:highlight w:val="lightGray"/>
          <w:u w:val="single"/>
          <w:lang w:val="es-419"/>
        </w:rPr>
      </w:pPr>
    </w:p>
    <w:p w:rsidR="00CA3F50" w:rsidRPr="00B41060" w:rsidRDefault="00CA3F50" w:rsidP="00CA3F50">
      <w:pPr>
        <w:numPr>
          <w:ilvl w:val="0"/>
          <w:numId w:val="6"/>
        </w:numPr>
        <w:ind w:left="993" w:right="567" w:hanging="426"/>
        <w:contextualSpacing/>
        <w:rPr>
          <w:rFonts w:cs="Arial"/>
          <w:sz w:val="18"/>
          <w:szCs w:val="18"/>
          <w:highlight w:val="lightGray"/>
          <w:u w:val="single"/>
          <w:lang w:val="es-419"/>
        </w:rPr>
      </w:pPr>
      <w:r w:rsidRPr="00B41060">
        <w:rPr>
          <w:sz w:val="18"/>
          <w:highlight w:val="lightGray"/>
          <w:u w:val="single"/>
          <w:lang w:val="es-419"/>
        </w:rPr>
        <w:t xml:space="preserve">deben transmitirse las cuestiones técnicas al experto principal; </w:t>
      </w:r>
    </w:p>
    <w:p w:rsidR="00CA3F50" w:rsidRPr="00B41060" w:rsidRDefault="00CA3F50" w:rsidP="00CA3F50">
      <w:pPr>
        <w:numPr>
          <w:ilvl w:val="0"/>
          <w:numId w:val="6"/>
        </w:numPr>
        <w:ind w:left="993" w:right="567" w:hanging="426"/>
        <w:contextualSpacing/>
        <w:rPr>
          <w:rFonts w:cs="Arial"/>
          <w:sz w:val="18"/>
          <w:szCs w:val="18"/>
          <w:highlight w:val="lightGray"/>
          <w:u w:val="single"/>
          <w:lang w:val="es-419"/>
        </w:rPr>
      </w:pPr>
      <w:r w:rsidRPr="00B41060">
        <w:rPr>
          <w:sz w:val="18"/>
          <w:highlight w:val="lightGray"/>
          <w:u w:val="single"/>
          <w:lang w:val="es-419"/>
        </w:rPr>
        <w:t>las cuestiones técnicas han de tratarse en los respectivos Grupos de Trabajo Técnico por medio de un documento TWP elaborado por el experto principal al menos cuatro semanas antes de la reunión del TWP (no se elaborará un nuevo proyecto de directrices de examen);</w:t>
      </w:r>
      <w:r w:rsidR="0007321B" w:rsidRPr="00B41060">
        <w:rPr>
          <w:sz w:val="18"/>
          <w:highlight w:val="lightGray"/>
          <w:u w:val="single"/>
          <w:lang w:val="es-419"/>
        </w:rPr>
        <w:t xml:space="preserve"> </w:t>
      </w:r>
    </w:p>
    <w:p w:rsidR="00CA3F50" w:rsidRPr="00B41060" w:rsidRDefault="00F976F7" w:rsidP="00CA3F50">
      <w:pPr>
        <w:numPr>
          <w:ilvl w:val="0"/>
          <w:numId w:val="6"/>
        </w:numPr>
        <w:ind w:left="993" w:right="567" w:hanging="426"/>
        <w:contextualSpacing/>
        <w:rPr>
          <w:rFonts w:cs="Arial"/>
          <w:sz w:val="18"/>
          <w:szCs w:val="18"/>
          <w:highlight w:val="lightGray"/>
          <w:u w:val="single"/>
          <w:lang w:val="es-419"/>
        </w:rPr>
      </w:pPr>
      <w:r>
        <w:rPr>
          <w:sz w:val="18"/>
          <w:highlight w:val="lightGray"/>
          <w:u w:val="single"/>
          <w:lang w:val="es-419"/>
        </w:rPr>
        <w:t xml:space="preserve">se </w:t>
      </w:r>
      <w:r w:rsidR="00CA3F50" w:rsidRPr="00B41060">
        <w:rPr>
          <w:sz w:val="18"/>
          <w:highlight w:val="lightGray"/>
          <w:u w:val="single"/>
          <w:lang w:val="es-419"/>
        </w:rPr>
        <w:t xml:space="preserve">debe </w:t>
      </w:r>
      <w:r>
        <w:rPr>
          <w:sz w:val="18"/>
          <w:highlight w:val="lightGray"/>
          <w:u w:val="single"/>
          <w:lang w:val="es-419"/>
        </w:rPr>
        <w:t xml:space="preserve">transmitir al TC-EDC la resolución </w:t>
      </w:r>
      <w:r w:rsidR="00CA3F50" w:rsidRPr="00B41060">
        <w:rPr>
          <w:sz w:val="18"/>
          <w:highlight w:val="lightGray"/>
          <w:u w:val="single"/>
          <w:lang w:val="es-419"/>
        </w:rPr>
        <w:t xml:space="preserve">de las cuestiones técnicas </w:t>
      </w:r>
      <w:r>
        <w:rPr>
          <w:sz w:val="18"/>
          <w:highlight w:val="lightGray"/>
          <w:u w:val="single"/>
          <w:lang w:val="es-419"/>
        </w:rPr>
        <w:t xml:space="preserve">planteadas </w:t>
      </w:r>
      <w:r w:rsidR="00CA3F50" w:rsidRPr="00B41060">
        <w:rPr>
          <w:sz w:val="18"/>
          <w:highlight w:val="lightGray"/>
          <w:u w:val="single"/>
          <w:lang w:val="es-419"/>
        </w:rPr>
        <w:t>como mínimo siete semanas antes de la reunión del TC-EDC;</w:t>
      </w:r>
    </w:p>
    <w:p w:rsidR="00CA3F50" w:rsidRPr="00B41060" w:rsidRDefault="00CA3F50" w:rsidP="00CA3F50">
      <w:pPr>
        <w:numPr>
          <w:ilvl w:val="0"/>
          <w:numId w:val="5"/>
        </w:numPr>
        <w:ind w:left="993" w:right="567" w:hanging="426"/>
        <w:contextualSpacing/>
        <w:rPr>
          <w:rFonts w:cs="Arial"/>
          <w:sz w:val="18"/>
          <w:szCs w:val="18"/>
          <w:highlight w:val="lightGray"/>
          <w:u w:val="single"/>
          <w:lang w:val="es-419"/>
        </w:rPr>
      </w:pPr>
      <w:r w:rsidRPr="00B41060">
        <w:rPr>
          <w:sz w:val="18"/>
          <w:highlight w:val="lightGray"/>
          <w:u w:val="single"/>
          <w:lang w:val="es-419"/>
        </w:rPr>
        <w:t>si el TC-EDC llega a un acuerdo, se recomienda la aprobación de las directrices de examen en su reunión;</w:t>
      </w:r>
    </w:p>
    <w:p w:rsidR="00CA3F50" w:rsidRPr="00B41060" w:rsidRDefault="00CA3F50" w:rsidP="00CA3F50">
      <w:pPr>
        <w:numPr>
          <w:ilvl w:val="0"/>
          <w:numId w:val="5"/>
        </w:numPr>
        <w:ind w:left="993" w:right="567" w:hanging="426"/>
        <w:contextualSpacing/>
        <w:rPr>
          <w:rFonts w:cs="Arial"/>
          <w:sz w:val="18"/>
          <w:szCs w:val="18"/>
          <w:highlight w:val="lightGray"/>
          <w:u w:val="single"/>
          <w:lang w:val="es-419"/>
        </w:rPr>
      </w:pPr>
      <w:r w:rsidRPr="00B41060">
        <w:rPr>
          <w:sz w:val="18"/>
          <w:highlight w:val="lightGray"/>
          <w:u w:val="single"/>
          <w:lang w:val="es-419"/>
        </w:rPr>
        <w:t>las directrices de examen se someten al examen del TC con miras a su aprobación.</w:t>
      </w:r>
    </w:p>
    <w:p w:rsidR="00CA3F50" w:rsidRPr="00B41060" w:rsidRDefault="00CA3F50" w:rsidP="00CA3F50">
      <w:pPr>
        <w:ind w:left="567" w:right="567"/>
        <w:rPr>
          <w:sz w:val="18"/>
          <w:szCs w:val="18"/>
          <w:lang w:val="es-419"/>
        </w:rPr>
      </w:pPr>
    </w:p>
    <w:p w:rsidR="00CA3F50" w:rsidRPr="00B41060" w:rsidRDefault="00CA3F50" w:rsidP="00CA3F50">
      <w:pPr>
        <w:ind w:left="567" w:right="567"/>
        <w:rPr>
          <w:sz w:val="18"/>
          <w:szCs w:val="18"/>
          <w:u w:val="single"/>
          <w:lang w:val="es-419"/>
        </w:rPr>
      </w:pPr>
      <w:r w:rsidRPr="00B41060">
        <w:rPr>
          <w:sz w:val="18"/>
          <w:u w:val="single"/>
          <w:lang w:val="es-419"/>
        </w:rPr>
        <w:t>2.2.8</w:t>
      </w:r>
      <w:r w:rsidRPr="00B41060">
        <w:rPr>
          <w:lang w:val="es-419"/>
        </w:rPr>
        <w:tab/>
      </w:r>
      <w:r w:rsidRPr="00B41060">
        <w:rPr>
          <w:sz w:val="18"/>
          <w:u w:val="single"/>
          <w:bdr w:val="single" w:sz="4" w:space="0" w:color="auto"/>
          <w:lang w:val="es-419"/>
        </w:rPr>
        <w:t>ETAPA 8</w:t>
      </w:r>
      <w:r w:rsidRPr="00B41060">
        <w:rPr>
          <w:lang w:val="es-419"/>
        </w:rPr>
        <w:tab/>
      </w:r>
      <w:r w:rsidRPr="00B41060">
        <w:rPr>
          <w:sz w:val="18"/>
          <w:u w:val="single"/>
          <w:lang w:val="es-419"/>
        </w:rPr>
        <w:t>Aprobación del proyecto de directrices de examen por parte del Comité Técnico</w:t>
      </w:r>
      <w:r w:rsidRPr="00B41060">
        <w:rPr>
          <w:lang w:val="es-419"/>
        </w:rPr>
        <w:t xml:space="preserve"> </w:t>
      </w:r>
      <w:r w:rsidRPr="00B41060">
        <w:rPr>
          <w:lang w:val="es-419"/>
        </w:rPr>
        <w:br/>
      </w:r>
      <w:r w:rsidR="0007321B" w:rsidRPr="00B41060">
        <w:rPr>
          <w:sz w:val="18"/>
          <w:u w:val="single"/>
          <w:lang w:val="es-419"/>
        </w:rPr>
        <w:t xml:space="preserve"> </w:t>
      </w:r>
    </w:p>
    <w:p w:rsidR="00CA3F50" w:rsidRPr="00B41060" w:rsidRDefault="00CA3F50" w:rsidP="00CA3F50">
      <w:pPr>
        <w:ind w:left="567" w:right="567"/>
        <w:rPr>
          <w:sz w:val="18"/>
          <w:szCs w:val="18"/>
          <w:lang w:val="es-419"/>
        </w:rPr>
      </w:pPr>
    </w:p>
    <w:p w:rsidR="00CA3F50" w:rsidRPr="00B41060" w:rsidRDefault="00CA3F50" w:rsidP="00CA3F50">
      <w:pPr>
        <w:ind w:left="567" w:right="567"/>
        <w:rPr>
          <w:sz w:val="18"/>
          <w:szCs w:val="18"/>
          <w:lang w:val="es-419"/>
        </w:rPr>
      </w:pPr>
      <w:r w:rsidRPr="00B41060">
        <w:rPr>
          <w:lang w:val="es-419"/>
        </w:rPr>
        <w:t>2.2.8.1</w:t>
      </w:r>
      <w:r w:rsidRPr="00B41060">
        <w:rPr>
          <w:lang w:val="es-419"/>
        </w:rPr>
        <w:tab/>
        <w:t>Basándose en las recomendaciones del Comité de Redacción, el Comité Técnico decidirá si aprueba las directrices de examen o las remite de vuelta al TWP que corresponda.</w:t>
      </w:r>
    </w:p>
    <w:p w:rsidR="00CA3F50" w:rsidRPr="00B41060" w:rsidRDefault="00CA3F50" w:rsidP="00CA3F50">
      <w:pPr>
        <w:ind w:left="567" w:right="567"/>
        <w:rPr>
          <w:sz w:val="18"/>
          <w:szCs w:val="18"/>
          <w:lang w:val="es-419"/>
        </w:rPr>
      </w:pPr>
    </w:p>
    <w:p w:rsidR="00CA3F50" w:rsidRPr="00B41060" w:rsidRDefault="00CA3F50" w:rsidP="00CA3F50">
      <w:pPr>
        <w:ind w:left="567" w:right="567"/>
        <w:rPr>
          <w:sz w:val="18"/>
          <w:szCs w:val="18"/>
          <w:highlight w:val="lightGray"/>
          <w:u w:val="single"/>
          <w:lang w:val="es-419"/>
        </w:rPr>
      </w:pPr>
      <w:r w:rsidRPr="00B41060">
        <w:rPr>
          <w:sz w:val="18"/>
          <w:highlight w:val="lightGray"/>
          <w:u w:val="single"/>
          <w:lang w:val="es-419"/>
        </w:rPr>
        <w:t>NUEVO</w:t>
      </w:r>
      <w:r w:rsidRPr="00B41060">
        <w:rPr>
          <w:sz w:val="18"/>
          <w:highlight w:val="lightGray"/>
          <w:u w:val="single"/>
          <w:lang w:val="es-419"/>
        </w:rPr>
        <w:tab/>
        <w:t>El Comité Técnico podrá aprobar las directrices de examen en su sesión o por correspondencia.</w:t>
      </w:r>
      <w:r w:rsidR="0007321B" w:rsidRPr="00B41060">
        <w:rPr>
          <w:lang w:val="es-419"/>
        </w:rPr>
        <w:t xml:space="preserve"> </w:t>
      </w:r>
      <w:r w:rsidRPr="00B41060">
        <w:rPr>
          <w:sz w:val="18"/>
          <w:highlight w:val="lightGray"/>
          <w:u w:val="single"/>
          <w:lang w:val="es-419"/>
        </w:rPr>
        <w:t>Las directrices de examen podrán aprobarse por correspondencia conforme al siguiente procedimiento:</w:t>
      </w:r>
    </w:p>
    <w:p w:rsidR="00CA3F50" w:rsidRPr="00B41060" w:rsidRDefault="00CA3F50" w:rsidP="00CA3F50">
      <w:pPr>
        <w:ind w:left="567" w:right="567"/>
        <w:rPr>
          <w:sz w:val="18"/>
          <w:szCs w:val="18"/>
          <w:highlight w:val="lightGray"/>
          <w:u w:val="single"/>
          <w:lang w:val="es-419"/>
        </w:rPr>
      </w:pPr>
    </w:p>
    <w:p w:rsidR="00CA3F50" w:rsidRPr="00B41060" w:rsidRDefault="00CA3F50" w:rsidP="00CA3F50">
      <w:pPr>
        <w:numPr>
          <w:ilvl w:val="0"/>
          <w:numId w:val="4"/>
        </w:numPr>
        <w:tabs>
          <w:tab w:val="left" w:pos="1134"/>
          <w:tab w:val="left" w:pos="5387"/>
        </w:tabs>
        <w:ind w:left="1134" w:right="567" w:hanging="567"/>
        <w:contextualSpacing/>
        <w:rPr>
          <w:rFonts w:cs="Arial"/>
          <w:sz w:val="18"/>
          <w:szCs w:val="18"/>
          <w:highlight w:val="lightGray"/>
          <w:u w:val="single"/>
          <w:lang w:val="es-419"/>
        </w:rPr>
      </w:pPr>
      <w:r w:rsidRPr="00B41060">
        <w:rPr>
          <w:sz w:val="18"/>
          <w:highlight w:val="lightGray"/>
          <w:u w:val="single"/>
          <w:lang w:val="es-419"/>
        </w:rPr>
        <w:t>el proyecto de directrices de examen se distribuye a los miembros del TC para que lo aprueben por correspondencia, junto con las recomendaciones del TC-EDC;</w:t>
      </w:r>
    </w:p>
    <w:p w:rsidR="00CA3F50" w:rsidRPr="00B41060" w:rsidRDefault="00CA3F50" w:rsidP="00CA3F50">
      <w:pPr>
        <w:numPr>
          <w:ilvl w:val="0"/>
          <w:numId w:val="4"/>
        </w:numPr>
        <w:tabs>
          <w:tab w:val="left" w:pos="1134"/>
          <w:tab w:val="left" w:pos="5387"/>
        </w:tabs>
        <w:ind w:left="1134" w:right="567" w:hanging="567"/>
        <w:contextualSpacing/>
        <w:rPr>
          <w:rFonts w:cs="Arial"/>
          <w:sz w:val="18"/>
          <w:szCs w:val="18"/>
          <w:highlight w:val="lightGray"/>
          <w:u w:val="single"/>
          <w:lang w:val="es-419"/>
        </w:rPr>
      </w:pPr>
      <w:r w:rsidRPr="00B41060">
        <w:rPr>
          <w:sz w:val="18"/>
          <w:highlight w:val="lightGray"/>
          <w:u w:val="single"/>
          <w:lang w:val="es-419"/>
        </w:rPr>
        <w:t>si en un plazo de seis semanas no se han recibido observaciones, el proyecto de directrices de examen se considerará aprobado;</w:t>
      </w:r>
    </w:p>
    <w:p w:rsidR="00CA3F50" w:rsidRPr="00B41060" w:rsidRDefault="00CA3F50" w:rsidP="00CA3F50">
      <w:pPr>
        <w:numPr>
          <w:ilvl w:val="0"/>
          <w:numId w:val="4"/>
        </w:numPr>
        <w:tabs>
          <w:tab w:val="left" w:pos="1134"/>
          <w:tab w:val="left" w:pos="5387"/>
        </w:tabs>
        <w:ind w:left="1134" w:right="567" w:hanging="567"/>
        <w:contextualSpacing/>
        <w:rPr>
          <w:rFonts w:cs="Arial"/>
          <w:sz w:val="18"/>
          <w:szCs w:val="18"/>
          <w:highlight w:val="lightGray"/>
          <w:u w:val="single"/>
          <w:lang w:val="es-419"/>
        </w:rPr>
      </w:pPr>
      <w:r w:rsidRPr="00B41060">
        <w:rPr>
          <w:sz w:val="18"/>
          <w:highlight w:val="lightGray"/>
          <w:u w:val="single"/>
          <w:lang w:val="es-419"/>
        </w:rPr>
        <w:t>en caso de recibirse observaciones, el proyecto de directrices de examen se remite a los TWP pertinentes a fin de que analicen dichas observaciones.</w:t>
      </w:r>
    </w:p>
    <w:p w:rsidR="00CA3F50" w:rsidRPr="00B41060" w:rsidRDefault="00CA3F50" w:rsidP="00CA3F50">
      <w:pPr>
        <w:ind w:left="567" w:right="567"/>
        <w:rPr>
          <w:sz w:val="18"/>
          <w:szCs w:val="18"/>
          <w:lang w:val="es-419"/>
        </w:rPr>
      </w:pPr>
    </w:p>
    <w:p w:rsidR="00CA3F50" w:rsidRPr="00B41060" w:rsidRDefault="00CA3F50" w:rsidP="00CA3F50">
      <w:pPr>
        <w:ind w:left="567" w:right="567"/>
        <w:rPr>
          <w:sz w:val="18"/>
          <w:szCs w:val="18"/>
          <w:lang w:val="es-419"/>
        </w:rPr>
      </w:pPr>
      <w:r w:rsidRPr="00B41060">
        <w:rPr>
          <w:lang w:val="es-419"/>
        </w:rPr>
        <w:t>2.2.8.2</w:t>
      </w:r>
      <w:r w:rsidRPr="00B41060">
        <w:rPr>
          <w:lang w:val="es-419"/>
        </w:rPr>
        <w:tab/>
        <w:t>Si el Comité Técnico aprueba las directrices de examen, la Oficina hará todas las enmiendas acordadas por el Comité Técnico, que se registrarán en un informe de la sesión del Comité Técnico pertinente.</w:t>
      </w:r>
      <w:r w:rsidR="0007321B" w:rsidRPr="00B41060">
        <w:rPr>
          <w:sz w:val="18"/>
          <w:lang w:val="es-419"/>
        </w:rPr>
        <w:t xml:space="preserve"> </w:t>
      </w:r>
      <w:r w:rsidRPr="00B41060">
        <w:rPr>
          <w:sz w:val="18"/>
          <w:lang w:val="es-419"/>
        </w:rPr>
        <w:t xml:space="preserve">A continuación, la Oficina </w:t>
      </w:r>
      <w:r w:rsidRPr="00B41060">
        <w:rPr>
          <w:sz w:val="16"/>
          <w:szCs w:val="18"/>
          <w:lang w:val="es-419"/>
        </w:rPr>
        <w:t>publicará</w:t>
      </w:r>
      <w:r w:rsidRPr="00B41060">
        <w:rPr>
          <w:sz w:val="18"/>
          <w:lang w:val="es-419"/>
        </w:rPr>
        <w:t xml:space="preserve"> las directrices de examen aprobadas.”</w:t>
      </w:r>
    </w:p>
    <w:p w:rsidR="00CA3F50" w:rsidRPr="00B41060" w:rsidRDefault="00CA3F50" w:rsidP="00CA3F50">
      <w:pPr>
        <w:ind w:left="567" w:right="567"/>
        <w:rPr>
          <w:strike/>
          <w:sz w:val="18"/>
          <w:szCs w:val="18"/>
          <w:lang w:val="es-419"/>
        </w:rPr>
      </w:pPr>
    </w:p>
    <w:p w:rsidR="00CA3F50" w:rsidRPr="00B41060" w:rsidRDefault="00CA3F50" w:rsidP="00CA3F50">
      <w:pPr>
        <w:ind w:left="567" w:right="567"/>
        <w:rPr>
          <w:strike/>
          <w:sz w:val="18"/>
          <w:szCs w:val="18"/>
          <w:lang w:val="es-419"/>
        </w:rPr>
      </w:pPr>
      <w:r w:rsidRPr="00B41060">
        <w:rPr>
          <w:strike/>
          <w:sz w:val="18"/>
          <w:highlight w:val="lightGray"/>
          <w:lang w:val="es-419"/>
        </w:rPr>
        <w:t>2.2.8.3</w:t>
      </w:r>
      <w:r w:rsidRPr="00B41060">
        <w:rPr>
          <w:strike/>
          <w:sz w:val="18"/>
          <w:highlight w:val="lightGray"/>
          <w:lang w:val="es-419"/>
        </w:rPr>
        <w:tab/>
      </w:r>
      <w:r w:rsidRPr="00B41060">
        <w:rPr>
          <w:strike/>
          <w:sz w:val="18"/>
          <w:highlight w:val="lightGray"/>
          <w:lang w:val="es-419"/>
        </w:rPr>
        <w:tab/>
        <w:t>Si el Comité Técnico aprueba las directrices de examen a condición de que el experto principal presente información adicional aprobada por todos los expertos interesados y el presidente del TWP pertinente (véase la sección 2.2.7.3.b)), la Oficina deberá recibir la información necesaria, aprobada por todos los expertos interesados en un plazo de tres meses a partir de la sesión del Comité Técnico o antes de la reunión siguiente del TWP pertinente, la que antes se celebre.</w:t>
      </w:r>
      <w:r w:rsidR="0007321B" w:rsidRPr="00B41060">
        <w:rPr>
          <w:strike/>
          <w:sz w:val="18"/>
          <w:highlight w:val="lightGray"/>
          <w:lang w:val="es-419"/>
        </w:rPr>
        <w:t xml:space="preserve"> </w:t>
      </w:r>
      <w:r w:rsidRPr="00B41060">
        <w:rPr>
          <w:strike/>
          <w:sz w:val="18"/>
          <w:highlight w:val="lightGray"/>
          <w:lang w:val="es-419"/>
        </w:rPr>
        <w:t>En los casos en que la información necesaria no se presente en dicho plazo, las directrices de examen correspondientes no serán aprobadas y volverán a presentarse al TWP pertinente (Etapa 4).”</w:t>
      </w:r>
    </w:p>
    <w:p w:rsidR="00B43ACC" w:rsidRPr="00B41060" w:rsidRDefault="00B43ACC" w:rsidP="00B43ACC">
      <w:pPr>
        <w:ind w:left="567" w:right="567"/>
        <w:rPr>
          <w:strike/>
          <w:sz w:val="18"/>
          <w:szCs w:val="18"/>
          <w:lang w:val="es-419"/>
        </w:rPr>
      </w:pPr>
    </w:p>
    <w:p w:rsidR="00B43ACC" w:rsidRPr="00B41060" w:rsidRDefault="00B43ACC" w:rsidP="00B43ACC">
      <w:pPr>
        <w:rPr>
          <w:lang w:val="es-419"/>
        </w:rPr>
      </w:pPr>
    </w:p>
    <w:p w:rsidR="00B43ACC" w:rsidRPr="00B41060" w:rsidRDefault="00B43ACC" w:rsidP="00B43ACC">
      <w:pPr>
        <w:rPr>
          <w:lang w:val="es-419"/>
        </w:rPr>
      </w:pPr>
    </w:p>
    <w:p w:rsidR="00B43ACC" w:rsidRPr="00B41060" w:rsidRDefault="00B43ACC" w:rsidP="00B43ACC">
      <w:pPr>
        <w:rPr>
          <w:lang w:val="es-419"/>
        </w:rPr>
      </w:pPr>
    </w:p>
    <w:p w:rsidR="00B43ACC" w:rsidRPr="00B41060" w:rsidRDefault="00B43ACC" w:rsidP="00B43ACC">
      <w:pPr>
        <w:jc w:val="right"/>
        <w:rPr>
          <w:lang w:val="es-419"/>
        </w:rPr>
      </w:pPr>
      <w:r w:rsidRPr="00B41060">
        <w:rPr>
          <w:lang w:val="es-419"/>
        </w:rPr>
        <w:t>[</w:t>
      </w:r>
      <w:r w:rsidR="00CA3F50" w:rsidRPr="00B41060">
        <w:rPr>
          <w:lang w:val="es-419"/>
        </w:rPr>
        <w:t>Sigue el Anexo</w:t>
      </w:r>
      <w:r w:rsidR="00ED5EE9">
        <w:rPr>
          <w:lang w:val="es-419"/>
        </w:rPr>
        <w:t xml:space="preserve"> </w:t>
      </w:r>
      <w:r w:rsidR="00CA3F50" w:rsidRPr="00B41060">
        <w:rPr>
          <w:lang w:val="es-419"/>
        </w:rPr>
        <w:t>II</w:t>
      </w:r>
      <w:r w:rsidRPr="00B41060">
        <w:rPr>
          <w:lang w:val="es-419"/>
        </w:rPr>
        <w:t>]</w:t>
      </w:r>
    </w:p>
    <w:p w:rsidR="00B43ACC" w:rsidRPr="00B41060" w:rsidRDefault="00B43ACC" w:rsidP="00B43ACC">
      <w:pPr>
        <w:rPr>
          <w:lang w:val="es-419"/>
        </w:rPr>
      </w:pPr>
    </w:p>
    <w:p w:rsidR="00B43ACC" w:rsidRPr="00B41060" w:rsidRDefault="00B43ACC" w:rsidP="00B43ACC">
      <w:pPr>
        <w:rPr>
          <w:lang w:val="es-419"/>
        </w:rPr>
        <w:sectPr w:rsidR="00B43ACC" w:rsidRPr="00B41060" w:rsidSect="000230A9">
          <w:headerReference w:type="default" r:id="rId19"/>
          <w:headerReference w:type="first" r:id="rId20"/>
          <w:footnotePr>
            <w:numRestart w:val="eachSect"/>
          </w:footnotePr>
          <w:pgSz w:w="11907" w:h="16840" w:code="9"/>
          <w:pgMar w:top="510" w:right="1134" w:bottom="1134" w:left="1134" w:header="510" w:footer="680" w:gutter="0"/>
          <w:pgNumType w:start="1"/>
          <w:cols w:space="720"/>
          <w:titlePg/>
        </w:sectPr>
      </w:pPr>
    </w:p>
    <w:p w:rsidR="00CA3F50" w:rsidRPr="00B41060" w:rsidRDefault="00CA3F50" w:rsidP="00CA3F50">
      <w:pPr>
        <w:jc w:val="center"/>
        <w:rPr>
          <w:caps/>
          <w:lang w:val="es-419"/>
        </w:rPr>
      </w:pPr>
      <w:r w:rsidRPr="00B41060">
        <w:rPr>
          <w:caps/>
          <w:lang w:val="es-419"/>
        </w:rPr>
        <w:lastRenderedPageBreak/>
        <w:t xml:space="preserve">REVISIONES DEL DOCUMENTO TGP/8 “Diseño de ensayos y técnicas utilizadas en el examen de la distinción, la homogeneidad y la estabilidad” </w:t>
      </w:r>
    </w:p>
    <w:p w:rsidR="00CA3F50" w:rsidRPr="00B41060" w:rsidRDefault="00CA3F50" w:rsidP="00CA3F50">
      <w:pPr>
        <w:jc w:val="center"/>
        <w:rPr>
          <w:lang w:val="es-419"/>
        </w:rPr>
      </w:pPr>
      <w:r w:rsidRPr="00B41060">
        <w:rPr>
          <w:lang w:val="es-419"/>
        </w:rPr>
        <w:t>CONVENIDO POR EL COMITÉ TÉCNICO EN SUS SESIONES QUINCUAGÉSIMA TERCERA</w:t>
      </w:r>
      <w:bookmarkStart w:id="8" w:name="_Ref13509596"/>
      <w:r w:rsidRPr="00B41060">
        <w:rPr>
          <w:rStyle w:val="FootnoteReference"/>
          <w:lang w:val="es-419"/>
        </w:rPr>
        <w:footnoteReference w:id="8"/>
      </w:r>
      <w:bookmarkEnd w:id="8"/>
      <w:r w:rsidRPr="00B41060">
        <w:rPr>
          <w:lang w:val="es-419"/>
        </w:rPr>
        <w:t xml:space="preserve"> Y QUINCUAGÉSIMA CUARTA</w:t>
      </w:r>
      <w:bookmarkStart w:id="9" w:name="_Ref13509615"/>
      <w:r w:rsidRPr="00B41060">
        <w:rPr>
          <w:rStyle w:val="FootnoteReference"/>
          <w:lang w:val="es-419"/>
        </w:rPr>
        <w:footnoteReference w:id="9"/>
      </w:r>
      <w:bookmarkEnd w:id="9"/>
    </w:p>
    <w:p w:rsidR="00CA3F50" w:rsidRPr="00B41060" w:rsidRDefault="00CA3F50" w:rsidP="00CA3F50">
      <w:pPr>
        <w:jc w:val="center"/>
        <w:rPr>
          <w:caps/>
          <w:lang w:val="es-419"/>
        </w:rPr>
      </w:pPr>
    </w:p>
    <w:p w:rsidR="00CA3F50" w:rsidRPr="00B41060" w:rsidRDefault="00CA3F50" w:rsidP="00CA3F50">
      <w:pPr>
        <w:jc w:val="center"/>
        <w:rPr>
          <w:lang w:val="es-419"/>
        </w:rPr>
      </w:pPr>
    </w:p>
    <w:p w:rsidR="00CA3F50" w:rsidRPr="00B41060" w:rsidRDefault="00CA3F50" w:rsidP="00CA3F50">
      <w:pPr>
        <w:rPr>
          <w:lang w:val="es-419"/>
        </w:rPr>
      </w:pPr>
      <w:r w:rsidRPr="00B41060">
        <w:rPr>
          <w:noProof/>
          <w:lang w:val="en-US" w:eastAsia="en-US" w:bidi="ar-SA"/>
        </w:rPr>
        <mc:AlternateContent>
          <mc:Choice Requires="wps">
            <w:drawing>
              <wp:anchor distT="0" distB="0" distL="114300" distR="114300" simplePos="0" relativeHeight="251665408" behindDoc="0" locked="0" layoutInCell="1" allowOverlap="1" wp14:anchorId="73FBD765" wp14:editId="1F833FFE">
                <wp:simplePos x="0" y="0"/>
                <wp:positionH relativeFrom="column">
                  <wp:align>center</wp:align>
                </wp:positionH>
                <wp:positionV relativeFrom="paragraph">
                  <wp:posOffset>0</wp:posOffset>
                </wp:positionV>
                <wp:extent cx="4119842" cy="402609"/>
                <wp:effectExtent l="0" t="0" r="14605" b="165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9842" cy="402609"/>
                        </a:xfrm>
                        <a:prstGeom prst="rect">
                          <a:avLst/>
                        </a:prstGeom>
                        <a:solidFill>
                          <a:srgbClr val="FFFFFF"/>
                        </a:solidFill>
                        <a:ln w="9525">
                          <a:solidFill>
                            <a:srgbClr val="000000"/>
                          </a:solidFill>
                          <a:miter lim="800000"/>
                          <a:headEnd/>
                          <a:tailEnd/>
                        </a:ln>
                      </wps:spPr>
                      <wps:txbx>
                        <w:txbxContent>
                          <w:p w:rsidR="00F758FF" w:rsidRPr="00914865" w:rsidRDefault="00F758FF" w:rsidP="00CA3F50">
                            <w:pPr>
                              <w:jc w:val="center"/>
                            </w:pPr>
                            <w:r>
                              <w:t xml:space="preserve">Se indica </w:t>
                            </w:r>
                            <w:r>
                              <w:rPr>
                                <w:strike/>
                                <w:highlight w:val="lightGray"/>
                              </w:rPr>
                              <w:t>tachado</w:t>
                            </w:r>
                            <w:r>
                              <w:rPr>
                                <w:highlight w:val="lightGray"/>
                              </w:rPr>
                              <w:t xml:space="preserve"> y sombreado</w:t>
                            </w:r>
                            <w:r>
                              <w:t xml:space="preserve"> el texto que se propone suprimir y </w:t>
                            </w:r>
                            <w:r>
                              <w:rPr>
                                <w:highlight w:val="lightGray"/>
                                <w:u w:val="single"/>
                              </w:rPr>
                              <w:t>subrayado</w:t>
                            </w:r>
                            <w:r>
                              <w:rPr>
                                <w:highlight w:val="lightGray"/>
                              </w:rPr>
                              <w:t xml:space="preserve"> y sombreado</w:t>
                            </w:r>
                            <w:r>
                              <w:t xml:space="preserve"> el texto que se propone añadir.</w:t>
                            </w:r>
                          </w:p>
                          <w:p w:rsidR="00F758FF" w:rsidRPr="00914865" w:rsidRDefault="00F758FF" w:rsidP="00CA3F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BD765" id="_x0000_s1027" type="#_x0000_t202" style="position:absolute;left:0;text-align:left;margin-left:0;margin-top:0;width:324.4pt;height:31.7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">
                <v:textbox>
                  <w:txbxContent>
                    <w:p w:rsidR="00F758FF" w:rsidRPr="00914865" w:rsidRDefault="00F758FF" w:rsidP="00CA3F50">
                      <w:pPr>
                        <w:jc w:val="center"/>
                      </w:pPr>
                      <w:r>
                        <w:t xml:space="preserve">Se indica </w:t>
                      </w:r>
                      <w:r>
                        <w:rPr>
                          <w:strike/>
                          <w:highlight w:val="lightGray"/>
                        </w:rPr>
                        <w:t>tachado</w:t>
                      </w:r>
                      <w:r>
                        <w:rPr>
                          <w:highlight w:val="lightGray"/>
                        </w:rPr>
                        <w:t xml:space="preserve"> y sombreado</w:t>
                      </w:r>
                      <w:r>
                        <w:t xml:space="preserve"> el texto que se propone suprimir y </w:t>
                      </w:r>
                      <w:r>
                        <w:rPr>
                          <w:highlight w:val="lightGray"/>
                          <w:u w:val="single"/>
                        </w:rPr>
                        <w:t>subrayado</w:t>
                      </w:r>
                      <w:r>
                        <w:rPr>
                          <w:highlight w:val="lightGray"/>
                        </w:rPr>
                        <w:t xml:space="preserve"> y sombreado</w:t>
                      </w:r>
                      <w:r>
                        <w:t xml:space="preserve"> el texto que se propone añadir.</w:t>
                      </w:r>
                    </w:p>
                    <w:p w:rsidR="00F758FF" w:rsidRPr="00914865" w:rsidRDefault="00F758FF" w:rsidP="00CA3F50"/>
                  </w:txbxContent>
                </v:textbox>
              </v:shape>
            </w:pict>
          </mc:Fallback>
        </mc:AlternateContent>
      </w:r>
    </w:p>
    <w:p w:rsidR="00CA3F50" w:rsidRPr="00B41060" w:rsidRDefault="00CA3F50" w:rsidP="00CA3F50">
      <w:pPr>
        <w:rPr>
          <w:lang w:val="es-419"/>
        </w:rPr>
      </w:pPr>
    </w:p>
    <w:p w:rsidR="00CA3F50" w:rsidRPr="00B41060" w:rsidRDefault="00CA3F50" w:rsidP="00CA3F50">
      <w:pPr>
        <w:rPr>
          <w:lang w:val="es-419"/>
        </w:rPr>
      </w:pPr>
    </w:p>
    <w:p w:rsidR="00CA3F50" w:rsidRPr="00B41060" w:rsidRDefault="00CA3F50" w:rsidP="00CA3F50">
      <w:pPr>
        <w:rPr>
          <w:lang w:val="es-419"/>
        </w:rPr>
      </w:pPr>
    </w:p>
    <w:p w:rsidR="00CA3F50" w:rsidRPr="00B41060" w:rsidRDefault="00CA3F50" w:rsidP="00CA3F50">
      <w:pPr>
        <w:rPr>
          <w:lang w:val="es-419"/>
        </w:rPr>
      </w:pPr>
    </w:p>
    <w:p w:rsidR="00CA3F50" w:rsidRPr="00B41060" w:rsidRDefault="00CA3F50" w:rsidP="00CA3F50">
      <w:pPr>
        <w:keepNext/>
        <w:rPr>
          <w:u w:val="single"/>
          <w:lang w:val="es-419"/>
        </w:rPr>
      </w:pPr>
      <w:r w:rsidRPr="00B41060">
        <w:rPr>
          <w:u w:val="single"/>
          <w:lang w:val="es-419"/>
        </w:rPr>
        <w:t>Examen DHE de muestras en bloque</w:t>
      </w:r>
    </w:p>
    <w:p w:rsidR="00CA3F50" w:rsidRPr="00B41060" w:rsidRDefault="00CA3F50" w:rsidP="00CA3F50">
      <w:pPr>
        <w:keepNext/>
        <w:rPr>
          <w:lang w:val="es-419"/>
        </w:rPr>
      </w:pPr>
    </w:p>
    <w:p w:rsidR="00CA3F50" w:rsidRPr="00B41060" w:rsidRDefault="00CA3F50" w:rsidP="00CA3F50">
      <w:pPr>
        <w:keepNext/>
        <w:rPr>
          <w:i/>
          <w:lang w:val="es-419"/>
        </w:rPr>
      </w:pPr>
      <w:r w:rsidRPr="00B41060">
        <w:rPr>
          <w:i/>
          <w:lang w:val="es-419"/>
        </w:rPr>
        <w:t>Nueva sección</w:t>
      </w:r>
      <w:r w:rsidR="00ED5EE9">
        <w:rPr>
          <w:i/>
          <w:lang w:val="es-419"/>
        </w:rPr>
        <w:t xml:space="preserve"> </w:t>
      </w:r>
      <w:r w:rsidRPr="00B41060">
        <w:rPr>
          <w:i/>
          <w:lang w:val="es-419"/>
        </w:rPr>
        <w:t>12: Examen de caracteres mediante la observación de muestras en bloque</w:t>
      </w:r>
      <w:r w:rsidR="00F976F7">
        <w:rPr>
          <w:i/>
          <w:lang w:val="es-419"/>
        </w:rPr>
        <w:t xml:space="preserve"> o a granel</w:t>
      </w:r>
    </w:p>
    <w:p w:rsidR="00CA3F50" w:rsidRPr="00B41060" w:rsidRDefault="00CA3F50" w:rsidP="00CA3F50">
      <w:pPr>
        <w:keepNext/>
        <w:rPr>
          <w:lang w:val="es-419"/>
        </w:rPr>
      </w:pPr>
    </w:p>
    <w:p w:rsidR="00CA3F50" w:rsidRPr="00B41060" w:rsidRDefault="00CA3F50" w:rsidP="00CA3F50">
      <w:pPr>
        <w:keepNext/>
        <w:rPr>
          <w:lang w:val="es-419"/>
        </w:rPr>
      </w:pPr>
      <w:r w:rsidRPr="00B41060">
        <w:rPr>
          <w:lang w:val="es-419"/>
        </w:rPr>
        <w:t>En su quincuagésima tercera sesión,</w:t>
      </w:r>
      <w:r w:rsidRPr="00B41060">
        <w:rPr>
          <w:vertAlign w:val="superscript"/>
          <w:lang w:val="es-419"/>
        </w:rPr>
        <w:fldChar w:fldCharType="begin"/>
      </w:r>
      <w:r w:rsidRPr="00B41060">
        <w:rPr>
          <w:vertAlign w:val="superscript"/>
          <w:lang w:val="es-419"/>
        </w:rPr>
        <w:instrText xml:space="preserve"> NOTEREF _Ref13509596 \h  \* MERGEFORMAT </w:instrText>
      </w:r>
      <w:r w:rsidRPr="00B41060">
        <w:rPr>
          <w:vertAlign w:val="superscript"/>
          <w:lang w:val="es-419"/>
        </w:rPr>
      </w:r>
      <w:r w:rsidRPr="00B41060">
        <w:rPr>
          <w:vertAlign w:val="superscript"/>
          <w:lang w:val="es-419"/>
        </w:rPr>
        <w:fldChar w:fldCharType="separate"/>
      </w:r>
      <w:r w:rsidRPr="00B41060">
        <w:rPr>
          <w:vertAlign w:val="superscript"/>
          <w:lang w:val="es-419"/>
        </w:rPr>
        <w:t>1</w:t>
      </w:r>
      <w:r w:rsidRPr="00B41060">
        <w:rPr>
          <w:vertAlign w:val="superscript"/>
          <w:lang w:val="es-419"/>
        </w:rPr>
        <w:fldChar w:fldCharType="end"/>
      </w:r>
      <w:r w:rsidRPr="00B41060">
        <w:rPr>
          <w:lang w:val="es-419"/>
        </w:rPr>
        <w:t xml:space="preserve"> el TC acordó los siguientes criterios como punto de partida para elaborar orientaciones, con el objeto de incluirlos en una futura revisión del documento TGP/8 (véanse los párrafos</w:t>
      </w:r>
      <w:r w:rsidR="00ED5EE9">
        <w:rPr>
          <w:lang w:val="es-419"/>
        </w:rPr>
        <w:t xml:space="preserve"> </w:t>
      </w:r>
      <w:r w:rsidRPr="00B41060">
        <w:rPr>
          <w:lang w:val="es-419"/>
        </w:rPr>
        <w:t>113 a</w:t>
      </w:r>
      <w:r w:rsidR="00ED5EE9">
        <w:rPr>
          <w:lang w:val="es-419"/>
        </w:rPr>
        <w:t xml:space="preserve"> </w:t>
      </w:r>
      <w:r w:rsidRPr="00B41060">
        <w:rPr>
          <w:lang w:val="es-419"/>
        </w:rPr>
        <w:t>116 del documento TC/53/31 “Informe”):</w:t>
      </w:r>
    </w:p>
    <w:p w:rsidR="00CA3F50" w:rsidRPr="00B41060" w:rsidRDefault="00CA3F50" w:rsidP="00CA3F50">
      <w:pPr>
        <w:keepNext/>
        <w:rPr>
          <w:lang w:val="es-419"/>
        </w:rPr>
      </w:pPr>
    </w:p>
    <w:p w:rsidR="00CA3F50" w:rsidRPr="00B41060" w:rsidRDefault="00CA3F50" w:rsidP="00F976F7">
      <w:pPr>
        <w:keepNext/>
        <w:ind w:left="1134" w:right="567" w:hanging="567"/>
        <w:rPr>
          <w:b/>
          <w:sz w:val="18"/>
          <w:highlight w:val="lightGray"/>
          <w:u w:val="single"/>
          <w:lang w:val="es-419"/>
        </w:rPr>
      </w:pPr>
      <w:r w:rsidRPr="00B41060">
        <w:rPr>
          <w:b/>
          <w:sz w:val="18"/>
          <w:highlight w:val="lightGray"/>
          <w:u w:val="single"/>
          <w:lang w:val="es-419"/>
        </w:rPr>
        <w:t>12.</w:t>
      </w:r>
      <w:r w:rsidRPr="00B41060">
        <w:rPr>
          <w:lang w:val="es-419"/>
        </w:rPr>
        <w:tab/>
      </w:r>
      <w:r w:rsidRPr="00B41060">
        <w:rPr>
          <w:b/>
          <w:sz w:val="18"/>
          <w:highlight w:val="lightGray"/>
          <w:u w:val="single"/>
          <w:lang w:val="es-419"/>
        </w:rPr>
        <w:t>EXAMEN DE CARACTERES MEDIANTE LA OBSERVACIÓN DE MUESTRAS EN BLOQUE</w:t>
      </w:r>
      <w:r w:rsidR="00F976F7">
        <w:rPr>
          <w:b/>
          <w:sz w:val="18"/>
          <w:highlight w:val="lightGray"/>
          <w:u w:val="single"/>
          <w:lang w:val="es-419"/>
        </w:rPr>
        <w:t xml:space="preserve"> O A GRANEL</w:t>
      </w:r>
    </w:p>
    <w:p w:rsidR="00CA3F50" w:rsidRPr="00B41060" w:rsidRDefault="00CA3F50" w:rsidP="00CA3F50">
      <w:pPr>
        <w:keepNext/>
        <w:ind w:left="567" w:right="567"/>
        <w:rPr>
          <w:sz w:val="18"/>
          <w:highlight w:val="lightGray"/>
          <w:u w:val="single"/>
          <w:lang w:val="es-419"/>
        </w:rPr>
      </w:pPr>
    </w:p>
    <w:p w:rsidR="00CA3F50" w:rsidRPr="00B41060" w:rsidRDefault="00F976F7" w:rsidP="00CA3F50">
      <w:pPr>
        <w:keepNext/>
        <w:ind w:left="567" w:right="567"/>
        <w:rPr>
          <w:sz w:val="18"/>
          <w:u w:val="single"/>
          <w:lang w:val="es-419"/>
        </w:rPr>
      </w:pPr>
      <w:r w:rsidRPr="00F976F7">
        <w:rPr>
          <w:sz w:val="18"/>
          <w:highlight w:val="lightGray"/>
          <w:u w:val="single"/>
          <w:lang w:val="es-419"/>
        </w:rPr>
        <w:t>Se deben respetar los siguientes criterios en el momento de examinar características utilizando muestras en bloque o a granel</w:t>
      </w:r>
      <w:r w:rsidR="00CA3F50" w:rsidRPr="00F976F7">
        <w:rPr>
          <w:sz w:val="18"/>
          <w:highlight w:val="lightGray"/>
          <w:u w:val="single"/>
          <w:lang w:val="es-419"/>
        </w:rPr>
        <w:t>:</w:t>
      </w:r>
    </w:p>
    <w:p w:rsidR="00CA3F50" w:rsidRPr="00B41060" w:rsidRDefault="00CA3F50" w:rsidP="00CA3F50">
      <w:pPr>
        <w:keepNext/>
        <w:ind w:left="567" w:right="567"/>
        <w:rPr>
          <w:sz w:val="18"/>
          <w:lang w:val="es-419"/>
        </w:rPr>
      </w:pPr>
    </w:p>
    <w:p w:rsidR="00CA3F50" w:rsidRPr="00B41060" w:rsidRDefault="00CA3F50" w:rsidP="00CA3F50">
      <w:pPr>
        <w:ind w:left="1701" w:right="567" w:hanging="567"/>
        <w:rPr>
          <w:sz w:val="18"/>
          <w:highlight w:val="lightGray"/>
          <w:u w:val="single"/>
          <w:lang w:val="es-419"/>
        </w:rPr>
      </w:pPr>
      <w:r w:rsidRPr="00B41060">
        <w:rPr>
          <w:sz w:val="18"/>
          <w:highlight w:val="lightGray"/>
          <w:u w:val="single"/>
          <w:lang w:val="es-419"/>
        </w:rPr>
        <w:t>“a)</w:t>
      </w:r>
      <w:r w:rsidRPr="00B41060">
        <w:rPr>
          <w:lang w:val="es-419"/>
        </w:rPr>
        <w:tab/>
      </w:r>
      <w:r w:rsidRPr="00B41060">
        <w:rPr>
          <w:sz w:val="18"/>
          <w:highlight w:val="lightGray"/>
          <w:u w:val="single"/>
          <w:lang w:val="es-419"/>
        </w:rPr>
        <w:t>el carácter debe satisfacer los requisitos expuestos en la ̔Introducción general al examen de la distinción, la homogeneidad y la estabilidad y a la elaboración de descripciones armonizadas de las obtenciones vegetales̕ (véase el documento TG/1/3, sección 4.2.1);</w:t>
      </w:r>
    </w:p>
    <w:p w:rsidR="00CA3F50" w:rsidRPr="00B41060" w:rsidRDefault="00CA3F50" w:rsidP="00CA3F50">
      <w:pPr>
        <w:ind w:left="1701" w:right="567" w:hanging="567"/>
        <w:rPr>
          <w:sz w:val="18"/>
          <w:highlight w:val="lightGray"/>
          <w:u w:val="single"/>
          <w:lang w:val="es-419"/>
        </w:rPr>
      </w:pPr>
    </w:p>
    <w:p w:rsidR="00CA3F50" w:rsidRPr="00B41060" w:rsidRDefault="00CA3F50" w:rsidP="00CA3F50">
      <w:pPr>
        <w:ind w:left="1701" w:right="567" w:hanging="567"/>
        <w:rPr>
          <w:sz w:val="18"/>
          <w:highlight w:val="lightGray"/>
          <w:u w:val="single"/>
          <w:lang w:val="es-419"/>
        </w:rPr>
      </w:pPr>
      <w:r w:rsidRPr="00B41060">
        <w:rPr>
          <w:sz w:val="18"/>
          <w:highlight w:val="lightGray"/>
          <w:u w:val="single"/>
          <w:lang w:val="es-419"/>
        </w:rPr>
        <w:t>b)</w:t>
      </w:r>
      <w:r w:rsidRPr="00B41060">
        <w:rPr>
          <w:lang w:val="es-419"/>
        </w:rPr>
        <w:tab/>
      </w:r>
      <w:r w:rsidRPr="00B41060">
        <w:rPr>
          <w:sz w:val="18"/>
          <w:highlight w:val="lightGray"/>
          <w:u w:val="single"/>
          <w:lang w:val="es-419"/>
        </w:rPr>
        <w:t>debe conocerse el control genético del carácter;</w:t>
      </w:r>
    </w:p>
    <w:p w:rsidR="00CA3F50" w:rsidRPr="00B41060" w:rsidRDefault="00CA3F50" w:rsidP="00CA3F50">
      <w:pPr>
        <w:ind w:left="1701" w:right="567" w:hanging="567"/>
        <w:rPr>
          <w:iCs/>
          <w:sz w:val="18"/>
          <w:highlight w:val="lightGray"/>
          <w:u w:val="single"/>
          <w:lang w:val="es-419"/>
        </w:rPr>
      </w:pPr>
    </w:p>
    <w:p w:rsidR="00CA3F50" w:rsidRPr="00B41060" w:rsidRDefault="00CA3F50" w:rsidP="00CA3F50">
      <w:pPr>
        <w:ind w:left="1701" w:right="567" w:hanging="567"/>
        <w:rPr>
          <w:iCs/>
          <w:sz w:val="18"/>
          <w:highlight w:val="lightGray"/>
          <w:u w:val="single"/>
          <w:lang w:val="es-419"/>
        </w:rPr>
      </w:pPr>
      <w:r w:rsidRPr="00B41060">
        <w:rPr>
          <w:sz w:val="18"/>
          <w:highlight w:val="lightGray"/>
          <w:u w:val="single"/>
          <w:lang w:val="es-419"/>
        </w:rPr>
        <w:t>c)</w:t>
      </w:r>
      <w:r w:rsidRPr="00B41060">
        <w:rPr>
          <w:lang w:val="es-419"/>
        </w:rPr>
        <w:tab/>
      </w:r>
      <w:r w:rsidRPr="00B41060">
        <w:rPr>
          <w:sz w:val="18"/>
          <w:highlight w:val="lightGray"/>
          <w:u w:val="single"/>
          <w:lang w:val="es-419"/>
        </w:rPr>
        <w:t>debe validarse la idoneidad del carácter mediante una evaluación inicial de la homogeneidad en plantas individuales;</w:t>
      </w:r>
      <w:r w:rsidR="0007321B" w:rsidRPr="00B41060">
        <w:rPr>
          <w:sz w:val="18"/>
          <w:highlight w:val="lightGray"/>
          <w:u w:val="single"/>
          <w:lang w:val="es-419"/>
        </w:rPr>
        <w:t xml:space="preserve"> </w:t>
      </w:r>
    </w:p>
    <w:p w:rsidR="00CA3F50" w:rsidRPr="00B41060" w:rsidRDefault="00CA3F50" w:rsidP="00CA3F50">
      <w:pPr>
        <w:ind w:left="1701" w:right="567" w:hanging="567"/>
        <w:rPr>
          <w:iCs/>
          <w:sz w:val="18"/>
          <w:highlight w:val="lightGray"/>
          <w:u w:val="single"/>
          <w:lang w:val="es-419"/>
        </w:rPr>
      </w:pPr>
    </w:p>
    <w:p w:rsidR="00CA3F50" w:rsidRPr="00B41060" w:rsidRDefault="00CA3F50" w:rsidP="00CA3F50">
      <w:pPr>
        <w:ind w:left="1701" w:right="567" w:hanging="567"/>
        <w:rPr>
          <w:iCs/>
          <w:sz w:val="18"/>
          <w:highlight w:val="lightGray"/>
          <w:u w:val="single"/>
          <w:lang w:val="es-419"/>
        </w:rPr>
      </w:pPr>
      <w:r w:rsidRPr="00B41060">
        <w:rPr>
          <w:sz w:val="18"/>
          <w:highlight w:val="lightGray"/>
          <w:u w:val="single"/>
          <w:lang w:val="es-419"/>
        </w:rPr>
        <w:t>d)</w:t>
      </w:r>
      <w:r w:rsidRPr="00B41060">
        <w:rPr>
          <w:lang w:val="es-419"/>
        </w:rPr>
        <w:tab/>
      </w:r>
      <w:r w:rsidRPr="00B41060">
        <w:rPr>
          <w:sz w:val="18"/>
          <w:highlight w:val="lightGray"/>
          <w:u w:val="single"/>
          <w:lang w:val="es-419"/>
        </w:rPr>
        <w:t>debe proporcionarse información sobre la variación entre plantas y las diferencias entre ciclos de cultivo (datos obtenidos de la medición sistemática del carácter en años diferentes);</w:t>
      </w:r>
    </w:p>
    <w:p w:rsidR="00CA3F50" w:rsidRPr="00B41060" w:rsidRDefault="00CA3F50" w:rsidP="00CA3F50">
      <w:pPr>
        <w:ind w:left="1701" w:right="567" w:hanging="567"/>
        <w:rPr>
          <w:iCs/>
          <w:sz w:val="18"/>
          <w:highlight w:val="lightGray"/>
          <w:u w:val="single"/>
          <w:lang w:val="es-419"/>
        </w:rPr>
      </w:pPr>
    </w:p>
    <w:p w:rsidR="00CA3F50" w:rsidRPr="00B41060" w:rsidRDefault="00CA3F50" w:rsidP="00CA3F50">
      <w:pPr>
        <w:ind w:left="1701" w:right="567" w:hanging="567"/>
        <w:rPr>
          <w:sz w:val="18"/>
          <w:highlight w:val="lightGray"/>
          <w:u w:val="single"/>
          <w:lang w:val="es-419"/>
        </w:rPr>
      </w:pPr>
      <w:r w:rsidRPr="00B41060">
        <w:rPr>
          <w:sz w:val="18"/>
          <w:highlight w:val="lightGray"/>
          <w:u w:val="single"/>
          <w:lang w:val="es-419"/>
        </w:rPr>
        <w:t>e)</w:t>
      </w:r>
      <w:r w:rsidRPr="00B41060">
        <w:rPr>
          <w:lang w:val="es-419"/>
        </w:rPr>
        <w:tab/>
      </w:r>
      <w:r w:rsidRPr="00B41060">
        <w:rPr>
          <w:sz w:val="18"/>
          <w:highlight w:val="lightGray"/>
          <w:u w:val="single"/>
          <w:lang w:val="es-419"/>
        </w:rPr>
        <w:t>debe proporcionarse una descripción completa del método de evaluación;</w:t>
      </w:r>
    </w:p>
    <w:p w:rsidR="00CA3F50" w:rsidRPr="00B41060" w:rsidRDefault="00CA3F50" w:rsidP="00CA3F50">
      <w:pPr>
        <w:ind w:left="1701" w:right="567" w:hanging="567"/>
        <w:rPr>
          <w:sz w:val="18"/>
          <w:highlight w:val="lightGray"/>
          <w:u w:val="single"/>
          <w:lang w:val="es-419"/>
        </w:rPr>
      </w:pPr>
    </w:p>
    <w:p w:rsidR="00CA3F50" w:rsidRPr="00B41060" w:rsidRDefault="00CA3F50" w:rsidP="00CA3F50">
      <w:pPr>
        <w:ind w:left="1701" w:right="567" w:hanging="567"/>
        <w:rPr>
          <w:sz w:val="18"/>
          <w:highlight w:val="lightGray"/>
          <w:u w:val="single"/>
          <w:lang w:val="es-419"/>
        </w:rPr>
      </w:pPr>
      <w:r w:rsidRPr="00B41060">
        <w:rPr>
          <w:sz w:val="18"/>
          <w:highlight w:val="lightGray"/>
          <w:u w:val="single"/>
          <w:lang w:val="es-419"/>
        </w:rPr>
        <w:t>f)</w:t>
      </w:r>
      <w:r w:rsidRPr="00B41060">
        <w:rPr>
          <w:lang w:val="es-419"/>
        </w:rPr>
        <w:tab/>
      </w:r>
      <w:r w:rsidRPr="00B41060">
        <w:rPr>
          <w:sz w:val="18"/>
          <w:highlight w:val="lightGray"/>
          <w:u w:val="single"/>
          <w:lang w:val="es-419"/>
        </w:rPr>
        <w:t>los niveles de expresión deben basarse en la variación existente entre variedades teniendo en cuenta la influencia del medio ambiente."</w:t>
      </w:r>
    </w:p>
    <w:p w:rsidR="00CA3F50" w:rsidRPr="00B41060" w:rsidRDefault="00CA3F50" w:rsidP="00CA3F50">
      <w:pPr>
        <w:rPr>
          <w:u w:val="single"/>
          <w:lang w:val="es-419"/>
        </w:rPr>
      </w:pPr>
    </w:p>
    <w:p w:rsidR="00CA3F50" w:rsidRPr="00B41060" w:rsidRDefault="00CA3F50" w:rsidP="00CA3F50">
      <w:pPr>
        <w:rPr>
          <w:u w:val="single"/>
          <w:lang w:val="es-419"/>
        </w:rPr>
      </w:pPr>
    </w:p>
    <w:p w:rsidR="00CA3F50" w:rsidRPr="00B41060" w:rsidRDefault="00CA3F50" w:rsidP="00CA3F50">
      <w:pPr>
        <w:keepNext/>
        <w:rPr>
          <w:i/>
          <w:lang w:val="es-419"/>
        </w:rPr>
      </w:pPr>
      <w:r w:rsidRPr="00B41060">
        <w:rPr>
          <w:i/>
          <w:lang w:val="es-419"/>
        </w:rPr>
        <w:t>Método aplicado a más de un examen único (anual)</w:t>
      </w:r>
    </w:p>
    <w:p w:rsidR="00CA3F50" w:rsidRPr="00B41060" w:rsidRDefault="00CA3F50" w:rsidP="00CA3F50">
      <w:pPr>
        <w:keepNext/>
        <w:rPr>
          <w:lang w:val="es-419"/>
        </w:rPr>
      </w:pPr>
    </w:p>
    <w:p w:rsidR="00CA3F50" w:rsidRPr="00B41060" w:rsidRDefault="00CA3F50" w:rsidP="00CA3F50">
      <w:pPr>
        <w:keepNext/>
        <w:rPr>
          <w:lang w:val="es-419"/>
        </w:rPr>
      </w:pPr>
      <w:r w:rsidRPr="00B41060">
        <w:rPr>
          <w:lang w:val="es-419"/>
        </w:rPr>
        <w:t>En su quincuagésima cuarta sesión,</w:t>
      </w:r>
      <w:r w:rsidRPr="00B41060">
        <w:rPr>
          <w:vertAlign w:val="superscript"/>
          <w:lang w:val="es-419"/>
        </w:rPr>
        <w:fldChar w:fldCharType="begin"/>
      </w:r>
      <w:r w:rsidRPr="00B41060">
        <w:rPr>
          <w:vertAlign w:val="superscript"/>
          <w:lang w:val="es-419"/>
        </w:rPr>
        <w:instrText xml:space="preserve"> NOTEREF _Ref13509615 \h  \* MERGEFORMAT </w:instrText>
      </w:r>
      <w:r w:rsidRPr="00B41060">
        <w:rPr>
          <w:vertAlign w:val="superscript"/>
          <w:lang w:val="es-419"/>
        </w:rPr>
      </w:r>
      <w:r w:rsidRPr="00B41060">
        <w:rPr>
          <w:vertAlign w:val="superscript"/>
          <w:lang w:val="es-419"/>
        </w:rPr>
        <w:fldChar w:fldCharType="separate"/>
      </w:r>
      <w:r w:rsidRPr="00B41060">
        <w:rPr>
          <w:vertAlign w:val="superscript"/>
          <w:lang w:val="es-419"/>
        </w:rPr>
        <w:t>2</w:t>
      </w:r>
      <w:r w:rsidRPr="00B41060">
        <w:rPr>
          <w:vertAlign w:val="superscript"/>
          <w:lang w:val="es-419"/>
        </w:rPr>
        <w:fldChar w:fldCharType="end"/>
      </w:r>
      <w:r w:rsidRPr="00B41060">
        <w:rPr>
          <w:lang w:val="es-419"/>
        </w:rPr>
        <w:t xml:space="preserve"> el TC tomó nota de que se había elaborado una orientación sobre el “Examen de caracteres mediante la observación de muestras en bloque” para el documento TGP/10 y convino en que la orientación que figura actualmente en el documento TGP/8/2: parte II: sección 8: subsección 8.1.7 se sustituya por una referencia a la nueva orientación relativa a la “Evaluación de la homogeneidad sobre la base de las plantas fuera de tipo mediante la observación de más de un ciclo de cultivo o mediante la observación de </w:t>
      </w:r>
      <w:proofErr w:type="spellStart"/>
      <w:r w:rsidRPr="00B41060">
        <w:rPr>
          <w:lang w:val="es-419"/>
        </w:rPr>
        <w:t>submuestras</w:t>
      </w:r>
      <w:proofErr w:type="spellEnd"/>
      <w:r w:rsidRPr="00B41060">
        <w:rPr>
          <w:lang w:val="es-419"/>
        </w:rPr>
        <w:t>” que se ha de incluir en el documento TGP/10 “Examen de la homogeneidad”:</w:t>
      </w:r>
    </w:p>
    <w:p w:rsidR="00CA3F50" w:rsidRPr="00B41060" w:rsidRDefault="00CA3F50" w:rsidP="00CA3F50">
      <w:pPr>
        <w:keepNext/>
        <w:rPr>
          <w:lang w:val="es-419"/>
        </w:rPr>
      </w:pPr>
    </w:p>
    <w:p w:rsidR="00CA3F50" w:rsidRPr="00B41060" w:rsidRDefault="00CA3F50" w:rsidP="00CA3F50">
      <w:pPr>
        <w:keepNext/>
        <w:tabs>
          <w:tab w:val="left" w:pos="1276"/>
        </w:tabs>
        <w:ind w:left="567" w:right="567"/>
        <w:rPr>
          <w:sz w:val="18"/>
          <w:lang w:val="es-419"/>
        </w:rPr>
      </w:pPr>
      <w:r w:rsidRPr="00B41060">
        <w:rPr>
          <w:sz w:val="18"/>
          <w:lang w:val="es-419"/>
        </w:rPr>
        <w:t>8.1.7</w:t>
      </w:r>
      <w:r w:rsidRPr="00B41060">
        <w:rPr>
          <w:lang w:val="es-419"/>
        </w:rPr>
        <w:tab/>
        <w:t>Método aplicado a más de un examen único (anual)</w:t>
      </w:r>
    </w:p>
    <w:p w:rsidR="00CA3F50" w:rsidRPr="00B41060" w:rsidRDefault="00CA3F50" w:rsidP="00CA3F50">
      <w:pPr>
        <w:keepNext/>
        <w:tabs>
          <w:tab w:val="left" w:pos="1276"/>
        </w:tabs>
        <w:ind w:left="567" w:right="567"/>
        <w:rPr>
          <w:sz w:val="18"/>
          <w:lang w:val="es-419"/>
        </w:rPr>
      </w:pPr>
    </w:p>
    <w:p w:rsidR="00CA3F50" w:rsidRPr="00B41060" w:rsidRDefault="00CA3F50" w:rsidP="00CA3F50">
      <w:pPr>
        <w:keepNext/>
        <w:tabs>
          <w:tab w:val="left" w:pos="1276"/>
        </w:tabs>
        <w:ind w:left="567" w:right="567"/>
        <w:rPr>
          <w:sz w:val="18"/>
          <w:u w:val="single"/>
          <w:lang w:val="es-419"/>
        </w:rPr>
      </w:pPr>
      <w:r w:rsidRPr="00F976F7">
        <w:rPr>
          <w:sz w:val="18"/>
          <w:highlight w:val="lightGray"/>
          <w:u w:val="single"/>
          <w:lang w:val="es-419"/>
        </w:rPr>
        <w:t>8.1.7.1</w:t>
      </w:r>
      <w:r w:rsidRPr="00F976F7">
        <w:rPr>
          <w:highlight w:val="lightGray"/>
          <w:lang w:val="es-419"/>
        </w:rPr>
        <w:tab/>
      </w:r>
      <w:r w:rsidR="00F976F7" w:rsidRPr="00F976F7">
        <w:rPr>
          <w:sz w:val="18"/>
          <w:highlight w:val="lightGray"/>
          <w:u w:val="single"/>
          <w:lang w:val="es-419"/>
        </w:rPr>
        <w:t>El documento TGP/10 “Examen de la homogeneidad” proporciona directrices sobre como examinar la homogeneidad sobre la base de plantas fuera de tipo, mediante la observación de más de un ciclo de cultivo y sobre sub-muestras en el marco de un único examen o ensayo.</w:t>
      </w:r>
    </w:p>
    <w:p w:rsidR="00CA3F50" w:rsidRPr="00B41060" w:rsidRDefault="00CA3F50" w:rsidP="00CA3F50">
      <w:pPr>
        <w:rPr>
          <w:lang w:val="es-419"/>
        </w:rPr>
      </w:pPr>
    </w:p>
    <w:p w:rsidR="00CA3F50" w:rsidRPr="00B41060" w:rsidRDefault="00CA3F50" w:rsidP="00CA3F50">
      <w:pPr>
        <w:rPr>
          <w:lang w:val="es-419"/>
        </w:rPr>
      </w:pPr>
    </w:p>
    <w:p w:rsidR="00B43ACC" w:rsidRPr="00B41060" w:rsidRDefault="00CA3F50" w:rsidP="00CA3F50">
      <w:pPr>
        <w:jc w:val="right"/>
        <w:rPr>
          <w:lang w:val="es-419"/>
        </w:rPr>
        <w:sectPr w:rsidR="00B43ACC" w:rsidRPr="00B41060" w:rsidSect="000230A9">
          <w:headerReference w:type="first" r:id="rId21"/>
          <w:footnotePr>
            <w:numRestart w:val="eachSect"/>
          </w:footnotePr>
          <w:pgSz w:w="11907" w:h="16840" w:code="9"/>
          <w:pgMar w:top="510" w:right="1134" w:bottom="1134" w:left="1134" w:header="510" w:footer="680" w:gutter="0"/>
          <w:pgNumType w:start="1"/>
          <w:cols w:space="720"/>
          <w:titlePg/>
        </w:sectPr>
      </w:pPr>
      <w:r w:rsidRPr="00B41060">
        <w:rPr>
          <w:lang w:val="es-419"/>
        </w:rPr>
        <w:t>[Sigue el Anexo III]</w:t>
      </w:r>
    </w:p>
    <w:p w:rsidR="00D57A26" w:rsidRPr="00B41060" w:rsidRDefault="00D57A26" w:rsidP="00D57A26">
      <w:pPr>
        <w:jc w:val="center"/>
        <w:rPr>
          <w:caps/>
          <w:lang w:val="es-419"/>
        </w:rPr>
      </w:pPr>
      <w:r w:rsidRPr="00B41060">
        <w:rPr>
          <w:caps/>
          <w:lang w:val="es-419"/>
        </w:rPr>
        <w:lastRenderedPageBreak/>
        <w:t xml:space="preserve">REVISIONES DEL DOCUMENTO TGP/10 “EXAMEN DE LA HOMOGENEIDAD” </w:t>
      </w:r>
    </w:p>
    <w:p w:rsidR="00D57A26" w:rsidRPr="00B41060" w:rsidRDefault="00D57A26" w:rsidP="00D57A26">
      <w:pPr>
        <w:jc w:val="center"/>
        <w:rPr>
          <w:lang w:val="es-419"/>
        </w:rPr>
      </w:pPr>
      <w:r w:rsidRPr="00B41060">
        <w:rPr>
          <w:lang w:val="es-419"/>
        </w:rPr>
        <w:t>CONVENIDAS POR EL COMITÉ TÉCNICO EN SU QUINCUAGÉSIMA</w:t>
      </w:r>
      <w:r w:rsidR="00ED5EE9">
        <w:rPr>
          <w:lang w:val="es-419"/>
        </w:rPr>
        <w:t xml:space="preserve"> </w:t>
      </w:r>
      <w:r w:rsidRPr="00B41060">
        <w:rPr>
          <w:lang w:val="es-419"/>
        </w:rPr>
        <w:t>CUARTA SESIÓN</w:t>
      </w:r>
      <w:r w:rsidRPr="00B41060">
        <w:rPr>
          <w:rStyle w:val="FootnoteReference"/>
          <w:lang w:val="es-419"/>
        </w:rPr>
        <w:footnoteReference w:id="10"/>
      </w:r>
    </w:p>
    <w:p w:rsidR="00D57A26" w:rsidRPr="00B41060" w:rsidRDefault="00D57A26" w:rsidP="00D57A26">
      <w:pPr>
        <w:rPr>
          <w:sz w:val="18"/>
          <w:lang w:val="es-419"/>
        </w:rPr>
      </w:pPr>
    </w:p>
    <w:p w:rsidR="00D57A26" w:rsidRPr="00B41060" w:rsidRDefault="00D57A26" w:rsidP="00D57A26">
      <w:pPr>
        <w:rPr>
          <w:sz w:val="18"/>
          <w:lang w:val="es-419"/>
        </w:rPr>
      </w:pPr>
    </w:p>
    <w:p w:rsidR="00D57A26" w:rsidRPr="00B41060" w:rsidRDefault="00D57A26" w:rsidP="00D57A26">
      <w:pPr>
        <w:rPr>
          <w:u w:val="single"/>
          <w:lang w:val="es-419"/>
        </w:rPr>
      </w:pPr>
      <w:r w:rsidRPr="00B41060">
        <w:rPr>
          <w:u w:val="single"/>
          <w:lang w:val="es-419"/>
        </w:rPr>
        <w:t>Nueva sección</w:t>
      </w:r>
      <w:r w:rsidR="00ED5EE9">
        <w:rPr>
          <w:u w:val="single"/>
          <w:lang w:val="es-419"/>
        </w:rPr>
        <w:t xml:space="preserve"> </w:t>
      </w:r>
      <w:r w:rsidRPr="00B41060">
        <w:rPr>
          <w:u w:val="single"/>
          <w:lang w:val="es-419"/>
        </w:rPr>
        <w:t>4.7: Evaluación de la homogeneidad de las plantas fuera de tipo mediante la observación de más de un ciclo de cultivo</w:t>
      </w:r>
    </w:p>
    <w:p w:rsidR="00D57A26" w:rsidRPr="00B41060" w:rsidRDefault="00D57A26" w:rsidP="00D57A26">
      <w:pPr>
        <w:rPr>
          <w:lang w:val="es-419"/>
        </w:rPr>
      </w:pPr>
    </w:p>
    <w:p w:rsidR="00D57A26" w:rsidRPr="00B41060" w:rsidRDefault="00D57A26" w:rsidP="00D57A26">
      <w:pPr>
        <w:rPr>
          <w:szCs w:val="24"/>
          <w:lang w:val="es-419"/>
        </w:rPr>
      </w:pPr>
      <w:r w:rsidRPr="00B41060">
        <w:rPr>
          <w:lang w:val="es-419"/>
        </w:rPr>
        <w:t>Podrían realizarse dos ciclos de cultivo independientes en un único lugar en diferentes años o en diferentes lugares en el mismo año, según se indica en las secciones 1.2 y 1.3 de la Parte</w:t>
      </w:r>
      <w:r w:rsidR="00ED5EE9">
        <w:rPr>
          <w:lang w:val="es-419"/>
        </w:rPr>
        <w:t xml:space="preserve"> </w:t>
      </w:r>
      <w:r w:rsidRPr="00B41060">
        <w:rPr>
          <w:lang w:val="es-419"/>
        </w:rPr>
        <w:t>I del documento</w:t>
      </w:r>
      <w:r w:rsidR="00ED5EE9">
        <w:rPr>
          <w:lang w:val="es-419"/>
        </w:rPr>
        <w:t xml:space="preserve"> </w:t>
      </w:r>
      <w:r w:rsidRPr="00B41060">
        <w:rPr>
          <w:lang w:val="es-419"/>
        </w:rPr>
        <w:t>TGP/8.</w:t>
      </w:r>
    </w:p>
    <w:p w:rsidR="00D57A26" w:rsidRPr="00B41060" w:rsidRDefault="00D57A26" w:rsidP="00D57A26">
      <w:pPr>
        <w:rPr>
          <w:szCs w:val="24"/>
          <w:lang w:val="es-419"/>
        </w:rPr>
      </w:pPr>
    </w:p>
    <w:p w:rsidR="00D57A26" w:rsidRPr="00B41060" w:rsidRDefault="00D57A26" w:rsidP="00D57A26">
      <w:pPr>
        <w:rPr>
          <w:szCs w:val="24"/>
          <w:lang w:val="es-419"/>
        </w:rPr>
      </w:pPr>
      <w:r w:rsidRPr="00B41060">
        <w:rPr>
          <w:lang w:val="es-419"/>
        </w:rPr>
        <w:t>El uso previsto de la siguiente orientación no es la evaluación de la homogeneidad de las plantas fuera de tipo en las mismas plantas en dos ciclos de cultivo.</w:t>
      </w:r>
      <w:r w:rsidR="0007321B" w:rsidRPr="00B41060">
        <w:rPr>
          <w:lang w:val="es-419"/>
        </w:rPr>
        <w:t xml:space="preserve"> </w:t>
      </w:r>
      <w:r w:rsidRPr="00B41060">
        <w:rPr>
          <w:lang w:val="es-419"/>
        </w:rPr>
        <w:t>No se deben combinar los resultados de ciclos de cultivo en los que se utilicen diferentes lotes de material vegetal.</w:t>
      </w:r>
    </w:p>
    <w:p w:rsidR="00D57A26" w:rsidRPr="00B41060" w:rsidRDefault="00D57A26" w:rsidP="00D57A26">
      <w:pPr>
        <w:rPr>
          <w:sz w:val="22"/>
          <w:szCs w:val="24"/>
          <w:lang w:val="es-419"/>
        </w:rPr>
      </w:pPr>
    </w:p>
    <w:p w:rsidR="00D57A26" w:rsidRPr="00B41060" w:rsidRDefault="00D57A26" w:rsidP="00D57A26">
      <w:pPr>
        <w:ind w:firstLine="567"/>
        <w:rPr>
          <w:i/>
          <w:szCs w:val="24"/>
          <w:lang w:val="es-419"/>
        </w:rPr>
      </w:pPr>
      <w:r w:rsidRPr="00B41060">
        <w:rPr>
          <w:i/>
          <w:lang w:val="es-419"/>
        </w:rPr>
        <w:t>Método</w:t>
      </w:r>
      <w:r w:rsidR="00ED5EE9">
        <w:rPr>
          <w:i/>
          <w:lang w:val="es-419"/>
        </w:rPr>
        <w:t xml:space="preserve"> </w:t>
      </w:r>
      <w:r w:rsidRPr="00B41060">
        <w:rPr>
          <w:i/>
          <w:lang w:val="es-419"/>
        </w:rPr>
        <w:t>1:</w:t>
      </w:r>
      <w:r w:rsidR="0007321B" w:rsidRPr="00B41060">
        <w:rPr>
          <w:i/>
          <w:lang w:val="es-419"/>
        </w:rPr>
        <w:t xml:space="preserve"> </w:t>
      </w:r>
      <w:r w:rsidRPr="00B41060">
        <w:rPr>
          <w:i/>
          <w:lang w:val="es-419"/>
        </w:rPr>
        <w:t xml:space="preserve">Tercer ciclo de cultivo en el caso de resultados contradictorios </w:t>
      </w:r>
    </w:p>
    <w:p w:rsidR="00D57A26" w:rsidRPr="00B41060" w:rsidRDefault="00D57A26" w:rsidP="00D57A26">
      <w:pPr>
        <w:jc w:val="center"/>
        <w:rPr>
          <w:b/>
          <w:szCs w:val="24"/>
          <w:lang w:val="es-419"/>
        </w:rPr>
      </w:pPr>
    </w:p>
    <w:p w:rsidR="00D57A26" w:rsidRPr="00B41060" w:rsidRDefault="00D57A26" w:rsidP="00D57A26">
      <w:pPr>
        <w:rPr>
          <w:rFonts w:eastAsia="SimSun"/>
          <w:szCs w:val="24"/>
          <w:lang w:val="es-419"/>
        </w:rPr>
      </w:pPr>
      <w:r w:rsidRPr="00B41060">
        <w:rPr>
          <w:lang w:val="es-419"/>
        </w:rPr>
        <w:t>Se considera que una variedad es homogénea si cumple el estándar de homogeneidad en ambos ciclos de cultivo.</w:t>
      </w:r>
    </w:p>
    <w:p w:rsidR="00D57A26" w:rsidRPr="00B41060" w:rsidRDefault="00D57A26" w:rsidP="00D57A26">
      <w:pPr>
        <w:rPr>
          <w:rFonts w:eastAsia="SimSun"/>
          <w:szCs w:val="24"/>
          <w:lang w:val="es-419"/>
        </w:rPr>
      </w:pPr>
    </w:p>
    <w:p w:rsidR="00D57A26" w:rsidRPr="00B41060" w:rsidRDefault="00D57A26" w:rsidP="00D57A26">
      <w:pPr>
        <w:rPr>
          <w:rFonts w:eastAsia="SimSun"/>
          <w:szCs w:val="24"/>
          <w:lang w:val="es-419"/>
        </w:rPr>
      </w:pPr>
      <w:r w:rsidRPr="00B41060">
        <w:rPr>
          <w:lang w:val="es-419"/>
        </w:rPr>
        <w:t>Se considera que una variedad no es homogénea si no cumple el estándar de homogeneidad en ambos ciclos de cultivo.</w:t>
      </w:r>
    </w:p>
    <w:p w:rsidR="00D57A26" w:rsidRPr="00B41060" w:rsidRDefault="00D57A26" w:rsidP="00D57A26">
      <w:pPr>
        <w:rPr>
          <w:rFonts w:eastAsia="SimSun"/>
          <w:szCs w:val="24"/>
          <w:lang w:val="es-419"/>
        </w:rPr>
      </w:pPr>
    </w:p>
    <w:p w:rsidR="00D57A26" w:rsidRPr="00B41060" w:rsidRDefault="00D57A26" w:rsidP="00D57A26">
      <w:pPr>
        <w:rPr>
          <w:rFonts w:eastAsia="SimSun"/>
          <w:lang w:val="es-419"/>
        </w:rPr>
      </w:pPr>
      <w:r w:rsidRPr="00B41060">
        <w:rPr>
          <w:lang w:val="es-419"/>
        </w:rPr>
        <w:t>Si al término de los dos ciclos de cultivo la variedad cumple el estándar de homogeneidad en un ciclo de cultivo pero no lo cumple en el otro ciclo de cultivo, se evalúa la homogeneidad en un tercer ciclo de cultivo.</w:t>
      </w:r>
      <w:r w:rsidR="00BF7D28" w:rsidRPr="00B41060">
        <w:rPr>
          <w:lang w:val="es-419"/>
        </w:rPr>
        <w:t xml:space="preserve"> </w:t>
      </w:r>
      <w:r w:rsidRPr="00B41060">
        <w:rPr>
          <w:lang w:val="es-419"/>
        </w:rPr>
        <w:t>Si en el tercer ciclo de cultivo la variedad cumple el estándar de homogeneidad, la variedad se considerará homogénea.</w:t>
      </w:r>
      <w:r w:rsidR="0007321B" w:rsidRPr="00B41060">
        <w:rPr>
          <w:lang w:val="es-419"/>
        </w:rPr>
        <w:t xml:space="preserve"> </w:t>
      </w:r>
      <w:r w:rsidRPr="00B41060">
        <w:rPr>
          <w:lang w:val="es-419"/>
        </w:rPr>
        <w:t>Si al término del tercer ciclo de cultivo la variedad no cumple el estándar de homogeneidad, la variedad se considerará no homogénea.</w:t>
      </w:r>
    </w:p>
    <w:p w:rsidR="00D57A26" w:rsidRPr="00B41060" w:rsidRDefault="00D57A26" w:rsidP="00D57A26">
      <w:pPr>
        <w:rPr>
          <w:color w:val="000000"/>
          <w:lang w:val="es-419"/>
        </w:rPr>
      </w:pPr>
    </w:p>
    <w:p w:rsidR="00D57A26" w:rsidRPr="00B41060" w:rsidRDefault="00D57A26" w:rsidP="00D57A26">
      <w:pPr>
        <w:rPr>
          <w:lang w:val="es-419"/>
        </w:rPr>
      </w:pPr>
      <w:r w:rsidRPr="00B41060">
        <w:rPr>
          <w:color w:val="000000"/>
          <w:lang w:val="es-419"/>
        </w:rPr>
        <w:t>Es preciso poner cuidado al examinar resultados que sean muy diferentes en cada uno de los ciclos de cultivo, por ejemplo cuando se observe una gran abundancia de plantas fuera de tipo en un ciclo de cultivo y su ausencia en otro ciclo.</w:t>
      </w:r>
      <w:r w:rsidR="0007321B" w:rsidRPr="00B41060">
        <w:rPr>
          <w:color w:val="000000"/>
          <w:lang w:val="es-419"/>
        </w:rPr>
        <w:t xml:space="preserve"> </w:t>
      </w:r>
      <w:r w:rsidRPr="00B41060">
        <w:rPr>
          <w:lang w:val="es-419"/>
        </w:rPr>
        <w:t>Es importante determinar si las diferencias entre ciclos en cuanto al número de plantas fuera de tipo se deben a motivos medioambientales o a las variaciones en la toma de muestras.</w:t>
      </w:r>
      <w:r w:rsidR="0007321B" w:rsidRPr="00B41060">
        <w:rPr>
          <w:lang w:val="es-419"/>
        </w:rPr>
        <w:t xml:space="preserve"> </w:t>
      </w:r>
    </w:p>
    <w:p w:rsidR="00D57A26" w:rsidRPr="00B41060" w:rsidRDefault="00D57A26" w:rsidP="00D57A26">
      <w:pPr>
        <w:rPr>
          <w:lang w:val="es-419"/>
        </w:rPr>
      </w:pPr>
    </w:p>
    <w:p w:rsidR="00D57A26" w:rsidRPr="00B41060" w:rsidRDefault="00D57A26" w:rsidP="00D57A26">
      <w:pPr>
        <w:rPr>
          <w:rFonts w:eastAsia="SimSun"/>
          <w:lang w:val="es-419"/>
        </w:rPr>
      </w:pPr>
      <w:r w:rsidRPr="00B41060">
        <w:rPr>
          <w:lang w:val="es-419"/>
        </w:rPr>
        <w:t xml:space="preserve">Además, si una variedad supera en el primer ciclo de cultivo el límite superior predefinido del número de plantas fuera de tipo, podrá rechazarse la variedad tras un único ciclo de cultivo. </w:t>
      </w:r>
    </w:p>
    <w:p w:rsidR="00D57A26" w:rsidRPr="00B41060" w:rsidRDefault="00D57A26" w:rsidP="00D57A26">
      <w:pPr>
        <w:keepNext/>
        <w:keepLines/>
        <w:rPr>
          <w:rFonts w:eastAsia="SimSun"/>
          <w:szCs w:val="24"/>
          <w:lang w:val="es-419"/>
        </w:rPr>
      </w:pPr>
    </w:p>
    <w:p w:rsidR="00D57A26" w:rsidRPr="00B41060" w:rsidRDefault="00D57A26" w:rsidP="00D57A26">
      <w:pPr>
        <w:ind w:firstLine="567"/>
        <w:rPr>
          <w:i/>
          <w:szCs w:val="24"/>
          <w:lang w:val="es-419"/>
        </w:rPr>
      </w:pPr>
      <w:r w:rsidRPr="00B41060">
        <w:rPr>
          <w:i/>
          <w:lang w:val="es-419"/>
        </w:rPr>
        <w:t>Método</w:t>
      </w:r>
      <w:r w:rsidR="00ED5EE9">
        <w:rPr>
          <w:i/>
          <w:lang w:val="es-419"/>
        </w:rPr>
        <w:t xml:space="preserve"> </w:t>
      </w:r>
      <w:r w:rsidRPr="00B41060">
        <w:rPr>
          <w:i/>
          <w:lang w:val="es-419"/>
        </w:rPr>
        <w:t>2:</w:t>
      </w:r>
      <w:r w:rsidR="0007321B" w:rsidRPr="00B41060">
        <w:rPr>
          <w:i/>
          <w:lang w:val="es-419"/>
        </w:rPr>
        <w:t xml:space="preserve"> </w:t>
      </w:r>
      <w:r w:rsidRPr="00B41060">
        <w:rPr>
          <w:i/>
          <w:lang w:val="es-419"/>
        </w:rPr>
        <w:t>Combinar los resultados de dos ciclos de cultivo en el caso de resultados contradictorios</w:t>
      </w:r>
    </w:p>
    <w:p w:rsidR="00D57A26" w:rsidRPr="00B41060" w:rsidRDefault="00D57A26" w:rsidP="00D57A26">
      <w:pPr>
        <w:keepNext/>
        <w:keepLines/>
        <w:rPr>
          <w:rFonts w:eastAsia="MS Mincho"/>
          <w:color w:val="000000"/>
          <w:lang w:val="es-419"/>
        </w:rPr>
      </w:pPr>
    </w:p>
    <w:p w:rsidR="00D57A26" w:rsidRPr="00B41060" w:rsidRDefault="00D57A26" w:rsidP="00D57A26">
      <w:pPr>
        <w:rPr>
          <w:rFonts w:eastAsia="SimSun"/>
          <w:lang w:val="es-419"/>
        </w:rPr>
      </w:pPr>
      <w:r w:rsidRPr="00B41060">
        <w:rPr>
          <w:lang w:val="es-419"/>
        </w:rPr>
        <w:t>Se considera que una variedad es homogénea si cumple el estándar de homogeneidad en ambos ciclos de cultivo.</w:t>
      </w:r>
    </w:p>
    <w:p w:rsidR="00D57A26" w:rsidRPr="00B41060" w:rsidRDefault="00D57A26" w:rsidP="00D57A26">
      <w:pPr>
        <w:rPr>
          <w:rFonts w:eastAsia="SimSun"/>
          <w:lang w:val="es-419"/>
        </w:rPr>
      </w:pPr>
    </w:p>
    <w:p w:rsidR="00D57A26" w:rsidRPr="00B41060" w:rsidRDefault="00D57A26" w:rsidP="00D57A26">
      <w:pPr>
        <w:rPr>
          <w:rFonts w:eastAsia="SimSun"/>
          <w:lang w:val="es-419"/>
        </w:rPr>
      </w:pPr>
      <w:r w:rsidRPr="00B41060">
        <w:rPr>
          <w:lang w:val="es-419"/>
        </w:rPr>
        <w:t>Se considera que una variedad no es homogénea si no cumple el estándar de homogeneidad en ambos ciclos de cultivo.</w:t>
      </w:r>
    </w:p>
    <w:p w:rsidR="00D57A26" w:rsidRPr="00B41060" w:rsidRDefault="00D57A26" w:rsidP="00D57A26">
      <w:pPr>
        <w:rPr>
          <w:rFonts w:eastAsia="SimSun"/>
          <w:lang w:val="es-419"/>
        </w:rPr>
      </w:pPr>
    </w:p>
    <w:p w:rsidR="00D57A26" w:rsidRPr="00B41060" w:rsidRDefault="00D57A26" w:rsidP="00D57A26">
      <w:pPr>
        <w:rPr>
          <w:rFonts w:eastAsia="SimSun"/>
          <w:lang w:val="es-419"/>
        </w:rPr>
      </w:pPr>
      <w:r w:rsidRPr="00B41060">
        <w:rPr>
          <w:lang w:val="es-419"/>
        </w:rPr>
        <w:t>Si al término de los dos ciclos de cultivo la variedad cumple el estándar de homogeneidad en un ciclo de cultivo pero no cumple el estándar de homogeneidad en el otro ciclo de cultivo, se considera que la variedad es homogénea si el número total de plantas fuera de tipo al término de los dos ciclos de cultivo no supera el número permitido de plantas fuera de tipo en el tamaño de muestra de los ciclos de cultivo</w:t>
      </w:r>
      <w:r w:rsidR="00ED5EE9">
        <w:rPr>
          <w:lang w:val="es-419"/>
        </w:rPr>
        <w:t xml:space="preserve"> </w:t>
      </w:r>
      <w:r w:rsidRPr="00B41060">
        <w:rPr>
          <w:lang w:val="es-419"/>
        </w:rPr>
        <w:t>1 y</w:t>
      </w:r>
      <w:r w:rsidR="00ED5EE9">
        <w:rPr>
          <w:lang w:val="es-419"/>
        </w:rPr>
        <w:t xml:space="preserve"> </w:t>
      </w:r>
      <w:r w:rsidRPr="00B41060">
        <w:rPr>
          <w:lang w:val="es-419"/>
        </w:rPr>
        <w:t>2 combinados.</w:t>
      </w:r>
    </w:p>
    <w:p w:rsidR="00D57A26" w:rsidRPr="00B41060" w:rsidRDefault="00D57A26" w:rsidP="00D57A26">
      <w:pPr>
        <w:rPr>
          <w:rFonts w:eastAsia="SimSun"/>
          <w:lang w:val="es-419"/>
        </w:rPr>
      </w:pPr>
    </w:p>
    <w:p w:rsidR="00D57A26" w:rsidRPr="00B41060" w:rsidRDefault="00D57A26" w:rsidP="00D57A26">
      <w:pPr>
        <w:rPr>
          <w:rFonts w:eastAsia="SimSun"/>
          <w:szCs w:val="24"/>
          <w:lang w:val="es-419"/>
        </w:rPr>
      </w:pPr>
      <w:r w:rsidRPr="00B41060">
        <w:rPr>
          <w:lang w:val="es-419"/>
        </w:rPr>
        <w:t>Es preciso poner cuidado al examinar resultados que sean muy diferentes en cada uno de los ciclos de cultivo, por ejemplo cuando se observe una gran abundancia de plantas fuera de tipo en un ciclo de cultivo y su ausencia en otro ciclo.</w:t>
      </w:r>
      <w:r w:rsidR="0007321B" w:rsidRPr="00B41060">
        <w:rPr>
          <w:lang w:val="es-419"/>
        </w:rPr>
        <w:t xml:space="preserve"> </w:t>
      </w:r>
      <w:r w:rsidRPr="00B41060">
        <w:rPr>
          <w:lang w:val="es-419"/>
        </w:rPr>
        <w:t>Cuando corresponda se debe llevar a cabo una prueba estadística para verificar la coherencia.</w:t>
      </w:r>
      <w:r w:rsidR="0007321B" w:rsidRPr="00B41060">
        <w:rPr>
          <w:lang w:val="es-419"/>
        </w:rPr>
        <w:t xml:space="preserve"> </w:t>
      </w:r>
      <w:r w:rsidRPr="00B41060">
        <w:rPr>
          <w:lang w:val="es-419"/>
        </w:rPr>
        <w:t>Es importante determinar si las diferencias entre ciclos en cuanto al número de plantas fuera de tipo se deben a motivos medioambientales o a las variaciones en la toma de muestras.</w:t>
      </w:r>
      <w:r w:rsidR="0007321B" w:rsidRPr="00B41060">
        <w:rPr>
          <w:lang w:val="es-419"/>
        </w:rPr>
        <w:t xml:space="preserve"> </w:t>
      </w:r>
    </w:p>
    <w:p w:rsidR="00D57A26" w:rsidRPr="00B41060" w:rsidRDefault="00D57A26" w:rsidP="00D57A26">
      <w:pPr>
        <w:rPr>
          <w:lang w:val="es-419"/>
        </w:rPr>
      </w:pPr>
    </w:p>
    <w:p w:rsidR="00D57A26" w:rsidRPr="00B41060" w:rsidRDefault="00D57A26" w:rsidP="00D57A26">
      <w:pPr>
        <w:rPr>
          <w:rFonts w:eastAsia="SimSun"/>
          <w:szCs w:val="24"/>
          <w:u w:val="single"/>
          <w:lang w:val="es-419"/>
        </w:rPr>
      </w:pPr>
      <w:r w:rsidRPr="00B41060">
        <w:rPr>
          <w:lang w:val="es-419"/>
        </w:rPr>
        <w:t>Además, si una variedad supera en el primer ciclo de cultivo el límite superior predefinido del número de plantas fuera de tipo, podrá rechazarse la variedad tras un único ciclo de cultivo.</w:t>
      </w:r>
    </w:p>
    <w:p w:rsidR="00D57A26" w:rsidRPr="00B41060" w:rsidRDefault="00D57A26" w:rsidP="00D57A26">
      <w:pPr>
        <w:rPr>
          <w:rFonts w:eastAsia="SimSun"/>
          <w:szCs w:val="24"/>
          <w:lang w:val="es-419"/>
        </w:rPr>
      </w:pPr>
    </w:p>
    <w:p w:rsidR="00D57A26" w:rsidRPr="00B41060" w:rsidRDefault="00D57A26" w:rsidP="00D57A26">
      <w:pPr>
        <w:keepNext/>
        <w:ind w:firstLine="567"/>
        <w:rPr>
          <w:bCs/>
          <w:i/>
          <w:lang w:val="es-419"/>
        </w:rPr>
      </w:pPr>
      <w:r w:rsidRPr="00B41060">
        <w:rPr>
          <w:i/>
          <w:lang w:val="es-419"/>
        </w:rPr>
        <w:lastRenderedPageBreak/>
        <w:t>Método</w:t>
      </w:r>
      <w:r w:rsidR="00ED5EE9">
        <w:rPr>
          <w:i/>
          <w:lang w:val="es-419"/>
        </w:rPr>
        <w:t xml:space="preserve"> </w:t>
      </w:r>
      <w:r w:rsidRPr="00B41060">
        <w:rPr>
          <w:i/>
          <w:lang w:val="es-419"/>
        </w:rPr>
        <w:t>3:</w:t>
      </w:r>
      <w:r w:rsidR="0007321B" w:rsidRPr="00B41060">
        <w:rPr>
          <w:i/>
          <w:lang w:val="es-419"/>
        </w:rPr>
        <w:t xml:space="preserve"> </w:t>
      </w:r>
      <w:r w:rsidRPr="00B41060">
        <w:rPr>
          <w:i/>
          <w:lang w:val="es-419"/>
        </w:rPr>
        <w:t>Combinar los resultados de dos ciclos de cultivo</w:t>
      </w:r>
    </w:p>
    <w:p w:rsidR="00D57A26" w:rsidRPr="00B41060" w:rsidRDefault="00D57A26" w:rsidP="00D57A26">
      <w:pPr>
        <w:keepNext/>
        <w:rPr>
          <w:lang w:val="es-419"/>
        </w:rPr>
      </w:pPr>
    </w:p>
    <w:p w:rsidR="00D57A26" w:rsidRPr="00B41060" w:rsidRDefault="00D57A26" w:rsidP="00D57A26">
      <w:pPr>
        <w:rPr>
          <w:lang w:val="es-419"/>
        </w:rPr>
      </w:pPr>
      <w:r w:rsidRPr="00B41060">
        <w:rPr>
          <w:lang w:val="es-419"/>
        </w:rPr>
        <w:t>Se considera que una variedad es homogénea si el número total de plantas fuera de tipo al término de los dos ciclos de cultivo no supera el número permitido de plantas fuera de tipo en una muestra combinada.</w:t>
      </w:r>
    </w:p>
    <w:p w:rsidR="00D57A26" w:rsidRPr="00B41060" w:rsidRDefault="00D57A26" w:rsidP="00D57A26">
      <w:pPr>
        <w:rPr>
          <w:lang w:val="es-419"/>
        </w:rPr>
      </w:pPr>
    </w:p>
    <w:p w:rsidR="00D57A26" w:rsidRPr="00B41060" w:rsidRDefault="00D57A26" w:rsidP="00D57A26">
      <w:pPr>
        <w:rPr>
          <w:lang w:val="es-419"/>
        </w:rPr>
      </w:pPr>
      <w:r w:rsidRPr="00B41060">
        <w:rPr>
          <w:lang w:val="es-419"/>
        </w:rPr>
        <w:t>Se considera que una variedad no es homogénea si el número total de plantas fuera de tipo al término de los dos ciclos de cultivo supera el número permitido de plantas fuera de tipo en una muestra combinada.</w:t>
      </w:r>
    </w:p>
    <w:p w:rsidR="00D57A26" w:rsidRPr="00B41060" w:rsidRDefault="00D57A26" w:rsidP="00D57A26">
      <w:pPr>
        <w:rPr>
          <w:lang w:val="es-419"/>
        </w:rPr>
      </w:pPr>
    </w:p>
    <w:p w:rsidR="00D57A26" w:rsidRPr="00B41060" w:rsidRDefault="00D57A26" w:rsidP="00D57A26">
      <w:pPr>
        <w:rPr>
          <w:lang w:val="es-419"/>
        </w:rPr>
      </w:pPr>
      <w:r w:rsidRPr="00B41060">
        <w:rPr>
          <w:lang w:val="es-419"/>
        </w:rPr>
        <w:t>Podrá rechazarse una variedad tras un único ciclo de cultivo, si el número de plantas fuera de tipo supera el número permitido de plantas fuera de tipo en una muestra combinada (en dos ciclos de cultivo).</w:t>
      </w:r>
    </w:p>
    <w:p w:rsidR="00D57A26" w:rsidRPr="00B41060" w:rsidRDefault="00D57A26" w:rsidP="00D57A26">
      <w:pPr>
        <w:rPr>
          <w:lang w:val="es-419"/>
        </w:rPr>
      </w:pPr>
    </w:p>
    <w:p w:rsidR="00D57A26" w:rsidRPr="00B41060" w:rsidRDefault="00D57A26" w:rsidP="00D57A26">
      <w:pPr>
        <w:keepNext/>
        <w:keepLines/>
        <w:rPr>
          <w:rFonts w:eastAsia="SimSun"/>
          <w:szCs w:val="24"/>
          <w:lang w:val="es-419"/>
        </w:rPr>
      </w:pPr>
      <w:r w:rsidRPr="00B41060">
        <w:rPr>
          <w:lang w:val="es-419"/>
        </w:rPr>
        <w:t>Es preciso poner cuidado al examinar resultados que son muy diferentes en cada uno de los ciclos de cultivo, por ejemplo cuando se observa una gran abundancia de plantas fuera de tipo en un ciclo de cultivo y su ausencia en otro ciclo. Cuando corresponda se debe llevar a cabo una prueba estadística para verificar la coherencia.</w:t>
      </w:r>
      <w:r w:rsidR="0007321B" w:rsidRPr="00B41060">
        <w:rPr>
          <w:lang w:val="es-419"/>
        </w:rPr>
        <w:t xml:space="preserve"> </w:t>
      </w:r>
      <w:r w:rsidRPr="00B41060">
        <w:rPr>
          <w:lang w:val="es-419"/>
        </w:rPr>
        <w:t>Es importante determinar si las diferencias entre ciclos en cuanto al número de plantas fuera de tipo se deben a motivos medioambientales o a las variaciones en la toma de muestras.</w:t>
      </w:r>
      <w:r w:rsidRPr="00B41060">
        <w:rPr>
          <w:highlight w:val="lightGray"/>
          <w:u w:val="single"/>
          <w:lang w:val="es-419"/>
        </w:rPr>
        <w:t xml:space="preserve"> </w:t>
      </w:r>
    </w:p>
    <w:p w:rsidR="00D57A26" w:rsidRPr="00B41060" w:rsidRDefault="00D57A26" w:rsidP="00D57A26">
      <w:pPr>
        <w:keepNext/>
        <w:keepLines/>
        <w:jc w:val="left"/>
        <w:rPr>
          <w:sz w:val="22"/>
          <w:szCs w:val="24"/>
          <w:lang w:val="es-419"/>
        </w:rPr>
      </w:pPr>
    </w:p>
    <w:p w:rsidR="00D57A26" w:rsidRPr="00B41060" w:rsidRDefault="00D57A26" w:rsidP="00D57A26">
      <w:pPr>
        <w:keepNext/>
        <w:keepLines/>
        <w:ind w:firstLine="567"/>
        <w:jc w:val="left"/>
        <w:rPr>
          <w:i/>
          <w:szCs w:val="24"/>
          <w:lang w:val="es-419"/>
        </w:rPr>
      </w:pPr>
      <w:r w:rsidRPr="00B41060">
        <w:rPr>
          <w:i/>
          <w:lang w:val="es-419"/>
        </w:rPr>
        <w:t>Ejemplo:</w:t>
      </w:r>
    </w:p>
    <w:p w:rsidR="00D57A26" w:rsidRPr="00B41060" w:rsidRDefault="00D57A26" w:rsidP="00D57A26">
      <w:pPr>
        <w:keepNext/>
        <w:keepLines/>
        <w:jc w:val="left"/>
        <w:rPr>
          <w:sz w:val="22"/>
          <w:szCs w:val="24"/>
          <w:lang w:val="es-419"/>
        </w:rPr>
      </w:pPr>
    </w:p>
    <w:tbl>
      <w:tblPr>
        <w:tblW w:w="8889" w:type="dxa"/>
        <w:tblInd w:w="709" w:type="dxa"/>
        <w:tblLayout w:type="fixed"/>
        <w:tblLook w:val="04A0" w:firstRow="1" w:lastRow="0" w:firstColumn="1" w:lastColumn="0" w:noHBand="0" w:noVBand="1"/>
      </w:tblPr>
      <w:tblGrid>
        <w:gridCol w:w="623"/>
        <w:gridCol w:w="259"/>
        <w:gridCol w:w="835"/>
        <w:gridCol w:w="1097"/>
        <w:gridCol w:w="1116"/>
        <w:gridCol w:w="1160"/>
        <w:gridCol w:w="2059"/>
        <w:gridCol w:w="1740"/>
      </w:tblGrid>
      <w:tr w:rsidR="00D57A26" w:rsidRPr="00B41060" w:rsidTr="009B17F7">
        <w:trPr>
          <w:gridAfter w:val="1"/>
          <w:wAfter w:w="1740" w:type="dxa"/>
          <w:trHeight w:val="262"/>
        </w:trPr>
        <w:tc>
          <w:tcPr>
            <w:tcW w:w="623" w:type="dxa"/>
            <w:tcBorders>
              <w:top w:val="nil"/>
              <w:left w:val="nil"/>
              <w:bottom w:val="nil"/>
            </w:tcBorders>
            <w:shd w:val="clear" w:color="auto" w:fill="auto"/>
            <w:noWrap/>
            <w:vAlign w:val="bottom"/>
          </w:tcPr>
          <w:p w:rsidR="00D57A26" w:rsidRPr="00B41060" w:rsidRDefault="00D57A26" w:rsidP="000230A9">
            <w:pPr>
              <w:jc w:val="left"/>
              <w:rPr>
                <w:rFonts w:cs="Arial"/>
                <w:color w:val="000000"/>
                <w:szCs w:val="18"/>
                <w:lang w:val="es-419"/>
              </w:rPr>
            </w:pPr>
          </w:p>
        </w:tc>
        <w:tc>
          <w:tcPr>
            <w:tcW w:w="6526" w:type="dxa"/>
            <w:gridSpan w:val="6"/>
            <w:tcBorders>
              <w:top w:val="nil"/>
            </w:tcBorders>
            <w:shd w:val="clear" w:color="auto" w:fill="auto"/>
            <w:vAlign w:val="bottom"/>
          </w:tcPr>
          <w:p w:rsidR="00D57A26" w:rsidRPr="00B41060" w:rsidRDefault="00D57A26" w:rsidP="000230A9">
            <w:pPr>
              <w:jc w:val="left"/>
              <w:rPr>
                <w:rFonts w:cs="Arial"/>
                <w:color w:val="000000"/>
                <w:szCs w:val="18"/>
                <w:lang w:val="es-419"/>
              </w:rPr>
            </w:pPr>
            <w:r w:rsidRPr="00B41060">
              <w:rPr>
                <w:color w:val="000000"/>
                <w:lang w:val="es-419"/>
              </w:rPr>
              <w:t>Población estándar = 1%</w:t>
            </w:r>
            <w:r w:rsidR="0007321B" w:rsidRPr="00B41060">
              <w:rPr>
                <w:color w:val="000000"/>
                <w:lang w:val="es-419"/>
              </w:rPr>
              <w:t xml:space="preserve"> </w:t>
            </w:r>
          </w:p>
        </w:tc>
      </w:tr>
      <w:tr w:rsidR="00D57A26" w:rsidRPr="00B41060" w:rsidTr="009B17F7">
        <w:trPr>
          <w:gridAfter w:val="1"/>
          <w:wAfter w:w="1740" w:type="dxa"/>
          <w:trHeight w:val="278"/>
        </w:trPr>
        <w:tc>
          <w:tcPr>
            <w:tcW w:w="623" w:type="dxa"/>
            <w:tcBorders>
              <w:top w:val="nil"/>
              <w:left w:val="nil"/>
              <w:bottom w:val="nil"/>
            </w:tcBorders>
            <w:shd w:val="clear" w:color="auto" w:fill="auto"/>
            <w:noWrap/>
            <w:vAlign w:val="bottom"/>
            <w:hideMark/>
          </w:tcPr>
          <w:p w:rsidR="00D57A26" w:rsidRPr="00B41060" w:rsidRDefault="00D57A26" w:rsidP="000230A9">
            <w:pPr>
              <w:jc w:val="left"/>
              <w:rPr>
                <w:rFonts w:cs="Arial"/>
                <w:color w:val="000000"/>
                <w:szCs w:val="18"/>
                <w:lang w:val="es-419"/>
              </w:rPr>
            </w:pPr>
          </w:p>
        </w:tc>
        <w:tc>
          <w:tcPr>
            <w:tcW w:w="6526" w:type="dxa"/>
            <w:gridSpan w:val="6"/>
            <w:tcBorders>
              <w:top w:val="nil"/>
              <w:bottom w:val="single" w:sz="4" w:space="0" w:color="auto"/>
            </w:tcBorders>
            <w:shd w:val="clear" w:color="auto" w:fill="auto"/>
            <w:vAlign w:val="bottom"/>
          </w:tcPr>
          <w:p w:rsidR="00D57A26" w:rsidRPr="00B41060" w:rsidRDefault="00D57A26" w:rsidP="000230A9">
            <w:pPr>
              <w:jc w:val="left"/>
              <w:rPr>
                <w:rFonts w:cs="Arial"/>
                <w:color w:val="000000"/>
                <w:szCs w:val="18"/>
                <w:lang w:val="es-419"/>
              </w:rPr>
            </w:pPr>
            <w:r w:rsidRPr="00B41060">
              <w:rPr>
                <w:color w:val="000000"/>
                <w:lang w:val="es-419"/>
              </w:rPr>
              <w:t>Probabilidad de aceptación ≥ 95%</w:t>
            </w:r>
          </w:p>
        </w:tc>
      </w:tr>
      <w:tr w:rsidR="00D57A26" w:rsidRPr="00B41060" w:rsidTr="009B17F7">
        <w:trPr>
          <w:gridBefore w:val="1"/>
          <w:gridAfter w:val="1"/>
          <w:wBefore w:w="623" w:type="dxa"/>
          <w:wAfter w:w="1740" w:type="dxa"/>
          <w:trHeight w:val="262"/>
        </w:trPr>
        <w:tc>
          <w:tcPr>
            <w:tcW w:w="6526" w:type="dxa"/>
            <w:gridSpan w:val="6"/>
            <w:tcBorders>
              <w:top w:val="single" w:sz="4" w:space="0" w:color="auto"/>
              <w:left w:val="single" w:sz="4" w:space="0" w:color="auto"/>
              <w:bottom w:val="single" w:sz="6" w:space="0" w:color="auto"/>
              <w:right w:val="single" w:sz="4" w:space="0" w:color="auto"/>
            </w:tcBorders>
            <w:shd w:val="clear" w:color="auto" w:fill="auto"/>
            <w:vAlign w:val="bottom"/>
          </w:tcPr>
          <w:p w:rsidR="00D57A26" w:rsidRPr="00B41060" w:rsidRDefault="00D57A26" w:rsidP="000230A9">
            <w:pPr>
              <w:jc w:val="left"/>
              <w:rPr>
                <w:rFonts w:cs="Arial"/>
                <w:color w:val="000000"/>
                <w:szCs w:val="18"/>
                <w:lang w:val="es-419"/>
              </w:rPr>
            </w:pPr>
            <w:r w:rsidRPr="00B41060">
              <w:rPr>
                <w:color w:val="000000"/>
                <w:lang w:val="es-419"/>
              </w:rPr>
              <w:t>Tamaño de la muestra en cada uno de los ciclos de cultivo</w:t>
            </w:r>
            <w:r w:rsidR="00ED5EE9">
              <w:rPr>
                <w:color w:val="000000"/>
                <w:lang w:val="es-419"/>
              </w:rPr>
              <w:t xml:space="preserve"> </w:t>
            </w:r>
            <w:r w:rsidRPr="00B41060">
              <w:rPr>
                <w:color w:val="000000"/>
                <w:lang w:val="es-419"/>
              </w:rPr>
              <w:t>1</w:t>
            </w:r>
            <w:r w:rsidR="00ED5EE9">
              <w:rPr>
                <w:color w:val="000000"/>
                <w:lang w:val="es-419"/>
              </w:rPr>
              <w:t xml:space="preserve"> </w:t>
            </w:r>
            <w:r w:rsidRPr="00B41060">
              <w:rPr>
                <w:color w:val="000000"/>
                <w:lang w:val="es-419"/>
              </w:rPr>
              <w:t>y</w:t>
            </w:r>
            <w:r w:rsidR="00ED5EE9">
              <w:rPr>
                <w:color w:val="000000"/>
                <w:lang w:val="es-419"/>
              </w:rPr>
              <w:t xml:space="preserve"> </w:t>
            </w:r>
            <w:r w:rsidRPr="00B41060">
              <w:rPr>
                <w:color w:val="000000"/>
                <w:lang w:val="es-419"/>
              </w:rPr>
              <w:t>2</w:t>
            </w:r>
            <w:r w:rsidR="00ED5EE9">
              <w:rPr>
                <w:color w:val="000000"/>
                <w:lang w:val="es-419"/>
              </w:rPr>
              <w:t xml:space="preserve"> </w:t>
            </w:r>
            <w:r w:rsidRPr="00B41060">
              <w:rPr>
                <w:color w:val="000000"/>
                <w:lang w:val="es-419"/>
              </w:rPr>
              <w:t>= 50</w:t>
            </w:r>
          </w:p>
        </w:tc>
      </w:tr>
      <w:tr w:rsidR="00D57A26" w:rsidRPr="00B41060" w:rsidTr="009B17F7">
        <w:trPr>
          <w:gridBefore w:val="1"/>
          <w:gridAfter w:val="1"/>
          <w:wBefore w:w="623" w:type="dxa"/>
          <w:wAfter w:w="1740" w:type="dxa"/>
          <w:trHeight w:val="278"/>
        </w:trPr>
        <w:tc>
          <w:tcPr>
            <w:tcW w:w="6526" w:type="dxa"/>
            <w:gridSpan w:val="6"/>
            <w:tcBorders>
              <w:top w:val="single" w:sz="6" w:space="0" w:color="auto"/>
              <w:left w:val="single" w:sz="4" w:space="0" w:color="auto"/>
              <w:bottom w:val="single" w:sz="4" w:space="0" w:color="auto"/>
              <w:right w:val="single" w:sz="4" w:space="0" w:color="auto"/>
            </w:tcBorders>
            <w:shd w:val="clear" w:color="auto" w:fill="auto"/>
            <w:vAlign w:val="bottom"/>
          </w:tcPr>
          <w:p w:rsidR="00D57A26" w:rsidRPr="00B41060" w:rsidRDefault="00D57A26" w:rsidP="000230A9">
            <w:pPr>
              <w:jc w:val="left"/>
              <w:rPr>
                <w:rFonts w:cs="Arial"/>
                <w:color w:val="000000"/>
                <w:szCs w:val="18"/>
                <w:lang w:val="es-419"/>
              </w:rPr>
            </w:pPr>
            <w:r w:rsidRPr="00B41060">
              <w:rPr>
                <w:color w:val="000000"/>
                <w:lang w:val="es-419"/>
              </w:rPr>
              <w:t>Número máximo de plantas fuera de tipo</w:t>
            </w:r>
            <w:r w:rsidR="00ED5EE9">
              <w:rPr>
                <w:color w:val="000000"/>
                <w:lang w:val="es-419"/>
              </w:rPr>
              <w:t xml:space="preserve"> </w:t>
            </w:r>
            <w:r w:rsidRPr="00B41060">
              <w:rPr>
                <w:color w:val="000000"/>
                <w:lang w:val="es-419"/>
              </w:rPr>
              <w:t>= 2</w:t>
            </w:r>
          </w:p>
        </w:tc>
      </w:tr>
      <w:tr w:rsidR="00D57A26" w:rsidRPr="00B41060" w:rsidTr="009B17F7">
        <w:trPr>
          <w:gridBefore w:val="1"/>
          <w:gridAfter w:val="1"/>
          <w:wBefore w:w="623" w:type="dxa"/>
          <w:wAfter w:w="1740" w:type="dxa"/>
          <w:trHeight w:val="278"/>
        </w:trPr>
        <w:tc>
          <w:tcPr>
            <w:tcW w:w="6526" w:type="dxa"/>
            <w:gridSpan w:val="6"/>
            <w:tcBorders>
              <w:top w:val="single" w:sz="4" w:space="0" w:color="auto"/>
              <w:left w:val="single" w:sz="4" w:space="0" w:color="auto"/>
              <w:bottom w:val="nil"/>
              <w:right w:val="single" w:sz="4" w:space="0" w:color="auto"/>
            </w:tcBorders>
            <w:shd w:val="clear" w:color="auto" w:fill="auto"/>
            <w:vAlign w:val="bottom"/>
          </w:tcPr>
          <w:p w:rsidR="00D57A26" w:rsidRPr="00B41060" w:rsidRDefault="00D57A26" w:rsidP="000230A9">
            <w:pPr>
              <w:jc w:val="left"/>
              <w:rPr>
                <w:rFonts w:cs="Arial"/>
                <w:color w:val="000000"/>
                <w:szCs w:val="18"/>
                <w:lang w:val="es-419"/>
              </w:rPr>
            </w:pPr>
            <w:r w:rsidRPr="00B41060">
              <w:rPr>
                <w:color w:val="000000"/>
                <w:lang w:val="es-419"/>
              </w:rPr>
              <w:t>Tamaño de la muestra en los ciclos de cultivo</w:t>
            </w:r>
            <w:r w:rsidR="00ED5EE9">
              <w:rPr>
                <w:color w:val="000000"/>
                <w:lang w:val="es-419"/>
              </w:rPr>
              <w:t xml:space="preserve"> </w:t>
            </w:r>
            <w:r w:rsidRPr="00B41060">
              <w:rPr>
                <w:color w:val="000000"/>
                <w:lang w:val="es-419"/>
              </w:rPr>
              <w:t>1 y</w:t>
            </w:r>
            <w:r w:rsidR="00ED5EE9">
              <w:rPr>
                <w:color w:val="000000"/>
                <w:lang w:val="es-419"/>
              </w:rPr>
              <w:t xml:space="preserve"> </w:t>
            </w:r>
            <w:r w:rsidRPr="00B41060">
              <w:rPr>
                <w:color w:val="000000"/>
                <w:lang w:val="es-419"/>
              </w:rPr>
              <w:t>2 combinados</w:t>
            </w:r>
            <w:r w:rsidR="00ED5EE9">
              <w:rPr>
                <w:color w:val="000000"/>
                <w:lang w:val="es-419"/>
              </w:rPr>
              <w:t xml:space="preserve"> </w:t>
            </w:r>
            <w:r w:rsidRPr="00B41060">
              <w:rPr>
                <w:color w:val="000000"/>
                <w:lang w:val="es-419"/>
              </w:rPr>
              <w:t>= 100</w:t>
            </w:r>
          </w:p>
        </w:tc>
      </w:tr>
      <w:tr w:rsidR="00D57A26" w:rsidRPr="00B41060" w:rsidTr="009B17F7">
        <w:trPr>
          <w:gridBefore w:val="1"/>
          <w:gridAfter w:val="1"/>
          <w:wBefore w:w="623" w:type="dxa"/>
          <w:wAfter w:w="1740" w:type="dxa"/>
          <w:trHeight w:val="278"/>
        </w:trPr>
        <w:tc>
          <w:tcPr>
            <w:tcW w:w="6526" w:type="dxa"/>
            <w:gridSpan w:val="6"/>
            <w:tcBorders>
              <w:top w:val="nil"/>
              <w:left w:val="single" w:sz="4" w:space="0" w:color="auto"/>
              <w:bottom w:val="single" w:sz="4" w:space="0" w:color="auto"/>
              <w:right w:val="single" w:sz="4" w:space="0" w:color="auto"/>
            </w:tcBorders>
            <w:shd w:val="clear" w:color="auto" w:fill="auto"/>
            <w:vAlign w:val="bottom"/>
          </w:tcPr>
          <w:p w:rsidR="00D57A26" w:rsidRPr="00B41060" w:rsidRDefault="00D57A26" w:rsidP="000230A9">
            <w:pPr>
              <w:jc w:val="left"/>
              <w:rPr>
                <w:rFonts w:cs="Arial"/>
                <w:color w:val="000000"/>
                <w:szCs w:val="18"/>
                <w:lang w:val="es-419"/>
              </w:rPr>
            </w:pPr>
            <w:r w:rsidRPr="00B41060">
              <w:rPr>
                <w:color w:val="000000"/>
                <w:lang w:val="es-419"/>
              </w:rPr>
              <w:t>Número máximo de plantas fuera de tipo</w:t>
            </w:r>
            <w:r w:rsidR="00ED5EE9">
              <w:rPr>
                <w:color w:val="000000"/>
                <w:lang w:val="es-419"/>
              </w:rPr>
              <w:t xml:space="preserve"> </w:t>
            </w:r>
            <w:r w:rsidRPr="00B41060">
              <w:rPr>
                <w:color w:val="000000"/>
                <w:lang w:val="es-419"/>
              </w:rPr>
              <w:t>= 3</w:t>
            </w:r>
          </w:p>
        </w:tc>
      </w:tr>
      <w:tr w:rsidR="00D57A26" w:rsidRPr="00B41060" w:rsidTr="009B17F7">
        <w:trPr>
          <w:gridBefore w:val="1"/>
          <w:gridAfter w:val="1"/>
          <w:wBefore w:w="623" w:type="dxa"/>
          <w:wAfter w:w="1740" w:type="dxa"/>
          <w:trHeight w:val="246"/>
        </w:trPr>
        <w:tc>
          <w:tcPr>
            <w:tcW w:w="259" w:type="dxa"/>
            <w:tcBorders>
              <w:top w:val="nil"/>
              <w:left w:val="nil"/>
              <w:bottom w:val="single" w:sz="4" w:space="0" w:color="auto"/>
              <w:right w:val="nil"/>
            </w:tcBorders>
            <w:shd w:val="clear" w:color="auto" w:fill="auto"/>
            <w:noWrap/>
            <w:vAlign w:val="bottom"/>
            <w:hideMark/>
          </w:tcPr>
          <w:p w:rsidR="00D57A26" w:rsidRPr="00B41060" w:rsidRDefault="00ED5EE9" w:rsidP="000230A9">
            <w:pPr>
              <w:jc w:val="left"/>
              <w:rPr>
                <w:rFonts w:cs="Arial"/>
                <w:color w:val="000000"/>
                <w:szCs w:val="18"/>
                <w:lang w:val="es-419"/>
              </w:rPr>
            </w:pPr>
            <w:r>
              <w:rPr>
                <w:color w:val="000000"/>
                <w:lang w:val="es-419"/>
              </w:rPr>
              <w:t xml:space="preserve"> </w:t>
            </w:r>
          </w:p>
        </w:tc>
        <w:tc>
          <w:tcPr>
            <w:tcW w:w="1932" w:type="dxa"/>
            <w:gridSpan w:val="2"/>
            <w:tcBorders>
              <w:top w:val="nil"/>
              <w:left w:val="nil"/>
              <w:bottom w:val="single" w:sz="4" w:space="0" w:color="auto"/>
              <w:right w:val="nil"/>
            </w:tcBorders>
            <w:shd w:val="clear" w:color="auto" w:fill="auto"/>
            <w:noWrap/>
            <w:vAlign w:val="bottom"/>
            <w:hideMark/>
          </w:tcPr>
          <w:p w:rsidR="00D57A26" w:rsidRPr="00B41060" w:rsidRDefault="00ED5EE9" w:rsidP="000230A9">
            <w:pPr>
              <w:jc w:val="left"/>
              <w:rPr>
                <w:rFonts w:cs="Arial"/>
                <w:color w:val="000000"/>
                <w:szCs w:val="18"/>
                <w:lang w:val="es-419"/>
              </w:rPr>
            </w:pPr>
            <w:r>
              <w:rPr>
                <w:color w:val="000000"/>
                <w:lang w:val="es-419"/>
              </w:rPr>
              <w:t xml:space="preserve"> </w:t>
            </w:r>
          </w:p>
        </w:tc>
        <w:tc>
          <w:tcPr>
            <w:tcW w:w="1116" w:type="dxa"/>
            <w:tcBorders>
              <w:top w:val="nil"/>
              <w:left w:val="nil"/>
              <w:bottom w:val="single" w:sz="4" w:space="0" w:color="auto"/>
              <w:right w:val="nil"/>
            </w:tcBorders>
            <w:shd w:val="clear" w:color="auto" w:fill="auto"/>
            <w:noWrap/>
            <w:vAlign w:val="bottom"/>
            <w:hideMark/>
          </w:tcPr>
          <w:p w:rsidR="00D57A26" w:rsidRPr="00B41060" w:rsidRDefault="00ED5EE9" w:rsidP="000230A9">
            <w:pPr>
              <w:jc w:val="left"/>
              <w:rPr>
                <w:rFonts w:cs="Arial"/>
                <w:color w:val="000000"/>
                <w:szCs w:val="18"/>
                <w:lang w:val="es-419"/>
              </w:rPr>
            </w:pPr>
            <w:r>
              <w:rPr>
                <w:color w:val="000000"/>
                <w:lang w:val="es-419"/>
              </w:rPr>
              <w:t xml:space="preserve"> </w:t>
            </w:r>
          </w:p>
        </w:tc>
        <w:tc>
          <w:tcPr>
            <w:tcW w:w="3219" w:type="dxa"/>
            <w:gridSpan w:val="2"/>
            <w:tcBorders>
              <w:top w:val="nil"/>
              <w:left w:val="nil"/>
              <w:bottom w:val="single" w:sz="4" w:space="0" w:color="auto"/>
            </w:tcBorders>
            <w:shd w:val="clear" w:color="auto" w:fill="auto"/>
            <w:noWrap/>
            <w:vAlign w:val="bottom"/>
            <w:hideMark/>
          </w:tcPr>
          <w:p w:rsidR="00D57A26" w:rsidRPr="00B41060" w:rsidRDefault="00ED5EE9" w:rsidP="000230A9">
            <w:pPr>
              <w:jc w:val="left"/>
              <w:rPr>
                <w:rFonts w:cs="Arial"/>
                <w:color w:val="000000"/>
                <w:szCs w:val="18"/>
                <w:lang w:val="es-419"/>
              </w:rPr>
            </w:pPr>
            <w:r>
              <w:rPr>
                <w:color w:val="000000"/>
                <w:lang w:val="es-419"/>
              </w:rPr>
              <w:t xml:space="preserve"> </w:t>
            </w:r>
          </w:p>
        </w:tc>
      </w:tr>
      <w:tr w:rsidR="00D57A26" w:rsidRPr="00B41060" w:rsidTr="009B17F7">
        <w:trPr>
          <w:trHeight w:val="391"/>
        </w:trPr>
        <w:tc>
          <w:tcPr>
            <w:tcW w:w="623" w:type="dxa"/>
            <w:tcBorders>
              <w:top w:val="nil"/>
              <w:left w:val="nil"/>
              <w:bottom w:val="nil"/>
              <w:right w:val="single" w:sz="4" w:space="0" w:color="auto"/>
            </w:tcBorders>
            <w:shd w:val="clear" w:color="auto" w:fill="auto"/>
            <w:noWrap/>
            <w:vAlign w:val="bottom"/>
            <w:hideMark/>
          </w:tcPr>
          <w:p w:rsidR="00D57A26" w:rsidRPr="00B41060" w:rsidRDefault="00ED5EE9" w:rsidP="000230A9">
            <w:pPr>
              <w:jc w:val="left"/>
              <w:rPr>
                <w:rFonts w:cs="Arial"/>
                <w:color w:val="000000"/>
                <w:szCs w:val="18"/>
                <w:lang w:val="es-419"/>
              </w:rPr>
            </w:pPr>
            <w:r>
              <w:rPr>
                <w:color w:val="000000"/>
                <w:lang w:val="es-419"/>
              </w:rPr>
              <w:t xml:space="preserve"> </w:t>
            </w:r>
          </w:p>
        </w:tc>
        <w:tc>
          <w:tcPr>
            <w:tcW w:w="2191" w:type="dxa"/>
            <w:gridSpan w:val="3"/>
            <w:tcBorders>
              <w:top w:val="nil"/>
              <w:left w:val="nil"/>
              <w:bottom w:val="single" w:sz="4" w:space="0" w:color="auto"/>
              <w:right w:val="single" w:sz="4" w:space="0" w:color="000000"/>
            </w:tcBorders>
            <w:shd w:val="clear" w:color="auto" w:fill="auto"/>
            <w:noWrap/>
            <w:vAlign w:val="center"/>
            <w:hideMark/>
          </w:tcPr>
          <w:p w:rsidR="00D57A26" w:rsidRPr="00B41060" w:rsidRDefault="00D57A26" w:rsidP="000230A9">
            <w:pPr>
              <w:jc w:val="center"/>
              <w:rPr>
                <w:rFonts w:cs="Arial"/>
                <w:color w:val="000000"/>
                <w:szCs w:val="18"/>
                <w:lang w:val="es-419"/>
              </w:rPr>
            </w:pPr>
            <w:r w:rsidRPr="00B41060">
              <w:rPr>
                <w:color w:val="000000"/>
                <w:lang w:val="es-419"/>
              </w:rPr>
              <w:t>Ciclo de cultivo</w:t>
            </w:r>
          </w:p>
        </w:tc>
        <w:tc>
          <w:tcPr>
            <w:tcW w:w="6075" w:type="dxa"/>
            <w:gridSpan w:val="4"/>
            <w:tcBorders>
              <w:top w:val="single" w:sz="4" w:space="0" w:color="auto"/>
              <w:left w:val="nil"/>
              <w:bottom w:val="single" w:sz="4" w:space="0" w:color="auto"/>
              <w:right w:val="single" w:sz="4" w:space="0" w:color="auto"/>
            </w:tcBorders>
            <w:shd w:val="clear" w:color="auto" w:fill="auto"/>
            <w:noWrap/>
            <w:vAlign w:val="center"/>
            <w:hideMark/>
          </w:tcPr>
          <w:p w:rsidR="00D57A26" w:rsidRPr="00B41060" w:rsidRDefault="00D57A26" w:rsidP="000230A9">
            <w:pPr>
              <w:jc w:val="center"/>
              <w:rPr>
                <w:szCs w:val="18"/>
                <w:lang w:val="es-419"/>
              </w:rPr>
            </w:pPr>
            <w:r w:rsidRPr="00B41060">
              <w:rPr>
                <w:color w:val="000000"/>
                <w:lang w:val="es-419"/>
              </w:rPr>
              <w:t>Decisión</w:t>
            </w:r>
          </w:p>
        </w:tc>
      </w:tr>
      <w:tr w:rsidR="00D57A26" w:rsidRPr="00B41060" w:rsidTr="009B17F7">
        <w:trPr>
          <w:trHeight w:val="243"/>
        </w:trPr>
        <w:tc>
          <w:tcPr>
            <w:tcW w:w="623" w:type="dxa"/>
            <w:tcBorders>
              <w:top w:val="nil"/>
              <w:left w:val="nil"/>
              <w:bottom w:val="single" w:sz="4" w:space="0" w:color="auto"/>
              <w:right w:val="single" w:sz="4" w:space="0" w:color="auto"/>
            </w:tcBorders>
            <w:shd w:val="clear" w:color="auto" w:fill="auto"/>
            <w:noWrap/>
            <w:vAlign w:val="bottom"/>
            <w:hideMark/>
          </w:tcPr>
          <w:p w:rsidR="00D57A26" w:rsidRPr="00B41060" w:rsidRDefault="00ED5EE9" w:rsidP="000230A9">
            <w:pPr>
              <w:jc w:val="left"/>
              <w:rPr>
                <w:rFonts w:cs="Arial"/>
                <w:color w:val="000000"/>
                <w:szCs w:val="18"/>
                <w:lang w:val="es-419"/>
              </w:rPr>
            </w:pPr>
            <w:r>
              <w:rPr>
                <w:color w:val="000000"/>
                <w:lang w:val="es-419"/>
              </w:rPr>
              <w:t xml:space="preserve"> </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D57A26" w:rsidRPr="00B41060" w:rsidRDefault="00D57A26" w:rsidP="000230A9">
            <w:pPr>
              <w:spacing w:after="100" w:afterAutospacing="1"/>
              <w:jc w:val="center"/>
              <w:rPr>
                <w:rFonts w:cs="Arial"/>
                <w:color w:val="000000"/>
                <w:szCs w:val="18"/>
                <w:lang w:val="es-419"/>
              </w:rPr>
            </w:pPr>
            <w:r w:rsidRPr="00B41060">
              <w:rPr>
                <w:color w:val="000000"/>
                <w:lang w:val="es-419"/>
              </w:rPr>
              <w:t>Primero</w:t>
            </w:r>
          </w:p>
        </w:tc>
        <w:tc>
          <w:tcPr>
            <w:tcW w:w="1097" w:type="dxa"/>
            <w:tcBorders>
              <w:top w:val="nil"/>
              <w:left w:val="nil"/>
              <w:bottom w:val="single" w:sz="4" w:space="0" w:color="auto"/>
              <w:right w:val="single" w:sz="4" w:space="0" w:color="auto"/>
            </w:tcBorders>
            <w:shd w:val="clear" w:color="auto" w:fill="auto"/>
            <w:noWrap/>
            <w:vAlign w:val="center"/>
            <w:hideMark/>
          </w:tcPr>
          <w:p w:rsidR="00D57A26" w:rsidRPr="00B41060" w:rsidRDefault="00D57A26" w:rsidP="000230A9">
            <w:pPr>
              <w:jc w:val="center"/>
              <w:rPr>
                <w:rFonts w:cs="Arial"/>
                <w:color w:val="000000"/>
                <w:szCs w:val="18"/>
                <w:lang w:val="es-419"/>
              </w:rPr>
            </w:pPr>
            <w:r w:rsidRPr="00B41060">
              <w:rPr>
                <w:color w:val="000000"/>
                <w:lang w:val="es-419"/>
              </w:rPr>
              <w:t>Segundo</w:t>
            </w:r>
          </w:p>
        </w:tc>
        <w:tc>
          <w:tcPr>
            <w:tcW w:w="2276" w:type="dxa"/>
            <w:gridSpan w:val="2"/>
            <w:tcBorders>
              <w:top w:val="nil"/>
              <w:left w:val="nil"/>
              <w:bottom w:val="single" w:sz="4" w:space="0" w:color="auto"/>
              <w:right w:val="single" w:sz="4" w:space="0" w:color="auto"/>
            </w:tcBorders>
            <w:shd w:val="clear" w:color="auto" w:fill="auto"/>
            <w:noWrap/>
            <w:vAlign w:val="center"/>
            <w:hideMark/>
          </w:tcPr>
          <w:p w:rsidR="00D57A26" w:rsidRPr="00B41060" w:rsidRDefault="00D57A26" w:rsidP="000230A9">
            <w:pPr>
              <w:jc w:val="center"/>
              <w:rPr>
                <w:rFonts w:cs="Arial"/>
                <w:color w:val="000000"/>
                <w:szCs w:val="18"/>
                <w:lang w:val="es-419"/>
              </w:rPr>
            </w:pPr>
            <w:r w:rsidRPr="00B41060">
              <w:rPr>
                <w:color w:val="000000"/>
                <w:lang w:val="es-419"/>
              </w:rPr>
              <w:t>Método</w:t>
            </w:r>
            <w:r w:rsidR="00ED5EE9">
              <w:rPr>
                <w:color w:val="000000"/>
                <w:lang w:val="es-419"/>
              </w:rPr>
              <w:t xml:space="preserve"> </w:t>
            </w:r>
            <w:r w:rsidRPr="00B41060">
              <w:rPr>
                <w:color w:val="000000"/>
                <w:lang w:val="es-419"/>
              </w:rPr>
              <w:t>1</w:t>
            </w:r>
          </w:p>
        </w:tc>
        <w:tc>
          <w:tcPr>
            <w:tcW w:w="2059" w:type="dxa"/>
            <w:tcBorders>
              <w:top w:val="nil"/>
              <w:left w:val="nil"/>
              <w:bottom w:val="single" w:sz="4" w:space="0" w:color="auto"/>
              <w:right w:val="single" w:sz="4" w:space="0" w:color="auto"/>
            </w:tcBorders>
            <w:shd w:val="clear" w:color="auto" w:fill="auto"/>
            <w:noWrap/>
            <w:vAlign w:val="center"/>
            <w:hideMark/>
          </w:tcPr>
          <w:p w:rsidR="00D57A26" w:rsidRPr="00B41060" w:rsidRDefault="00D57A26" w:rsidP="000230A9">
            <w:pPr>
              <w:jc w:val="center"/>
              <w:rPr>
                <w:rFonts w:cs="Arial"/>
                <w:color w:val="000000"/>
                <w:szCs w:val="18"/>
                <w:lang w:val="es-419"/>
              </w:rPr>
            </w:pPr>
            <w:r w:rsidRPr="00B41060">
              <w:rPr>
                <w:color w:val="000000"/>
                <w:lang w:val="es-419"/>
              </w:rPr>
              <w:t>Método</w:t>
            </w:r>
            <w:r w:rsidR="00ED5EE9">
              <w:rPr>
                <w:color w:val="000000"/>
                <w:lang w:val="es-419"/>
              </w:rPr>
              <w:t xml:space="preserve"> </w:t>
            </w:r>
            <w:r w:rsidRPr="00B41060">
              <w:rPr>
                <w:color w:val="000000"/>
                <w:lang w:val="es-419"/>
              </w:rPr>
              <w:t>2</w:t>
            </w:r>
          </w:p>
        </w:tc>
        <w:tc>
          <w:tcPr>
            <w:tcW w:w="1740" w:type="dxa"/>
            <w:tcBorders>
              <w:top w:val="single" w:sz="4" w:space="0" w:color="auto"/>
              <w:bottom w:val="single" w:sz="4" w:space="0" w:color="auto"/>
              <w:right w:val="single" w:sz="4" w:space="0" w:color="auto"/>
            </w:tcBorders>
            <w:shd w:val="clear" w:color="auto" w:fill="auto"/>
          </w:tcPr>
          <w:p w:rsidR="00D57A26" w:rsidRPr="00B41060" w:rsidRDefault="00D57A26" w:rsidP="000230A9">
            <w:pPr>
              <w:jc w:val="center"/>
              <w:rPr>
                <w:szCs w:val="18"/>
                <w:lang w:val="es-419"/>
              </w:rPr>
            </w:pPr>
            <w:r w:rsidRPr="00B41060">
              <w:rPr>
                <w:lang w:val="es-419"/>
              </w:rPr>
              <w:t>Método</w:t>
            </w:r>
            <w:r w:rsidR="00ED5EE9">
              <w:rPr>
                <w:lang w:val="es-419"/>
              </w:rPr>
              <w:t xml:space="preserve"> </w:t>
            </w:r>
            <w:r w:rsidRPr="00B41060">
              <w:rPr>
                <w:lang w:val="es-419"/>
              </w:rPr>
              <w:t>3</w:t>
            </w:r>
          </w:p>
        </w:tc>
      </w:tr>
      <w:tr w:rsidR="00D57A26" w:rsidRPr="00B41060" w:rsidTr="009B17F7">
        <w:trPr>
          <w:trHeight w:val="247"/>
        </w:trPr>
        <w:tc>
          <w:tcPr>
            <w:tcW w:w="623" w:type="dxa"/>
            <w:vMerge w:val="restart"/>
            <w:tcBorders>
              <w:top w:val="nil"/>
              <w:left w:val="single" w:sz="4" w:space="0" w:color="auto"/>
              <w:right w:val="single" w:sz="4" w:space="0" w:color="auto"/>
            </w:tcBorders>
            <w:shd w:val="clear" w:color="auto" w:fill="auto"/>
            <w:textDirection w:val="btLr"/>
            <w:vAlign w:val="center"/>
          </w:tcPr>
          <w:p w:rsidR="00D57A26" w:rsidRPr="00B41060" w:rsidRDefault="00D57A26" w:rsidP="000230A9">
            <w:pPr>
              <w:jc w:val="center"/>
              <w:rPr>
                <w:rFonts w:cs="Arial"/>
                <w:color w:val="000000"/>
                <w:szCs w:val="18"/>
                <w:lang w:val="es-419"/>
              </w:rPr>
            </w:pPr>
            <w:r w:rsidRPr="00B41060">
              <w:rPr>
                <w:color w:val="000000"/>
                <w:lang w:val="es-419"/>
              </w:rPr>
              <w:t>Número de plantas fuera</w:t>
            </w:r>
            <w:r w:rsidR="00ED5EE9">
              <w:rPr>
                <w:color w:val="000000"/>
                <w:lang w:val="es-419"/>
              </w:rPr>
              <w:t xml:space="preserve"> </w:t>
            </w:r>
            <w:r w:rsidRPr="00B41060">
              <w:rPr>
                <w:color w:val="000000"/>
                <w:lang w:val="es-419"/>
              </w:rPr>
              <w:t>de tipo</w:t>
            </w:r>
          </w:p>
        </w:tc>
        <w:tc>
          <w:tcPr>
            <w:tcW w:w="1094" w:type="dxa"/>
            <w:gridSpan w:val="2"/>
            <w:tcBorders>
              <w:top w:val="single" w:sz="4" w:space="0" w:color="auto"/>
              <w:left w:val="single" w:sz="4" w:space="0" w:color="auto"/>
              <w:bottom w:val="single" w:sz="6" w:space="0" w:color="auto"/>
              <w:right w:val="single" w:sz="6" w:space="0" w:color="auto"/>
            </w:tcBorders>
            <w:shd w:val="clear" w:color="auto" w:fill="auto"/>
            <w:noWrap/>
            <w:vAlign w:val="center"/>
          </w:tcPr>
          <w:p w:rsidR="00D57A26" w:rsidRPr="00B41060" w:rsidRDefault="00D57A26" w:rsidP="000230A9">
            <w:pPr>
              <w:jc w:val="center"/>
              <w:rPr>
                <w:rFonts w:cs="Arial"/>
                <w:color w:val="000000"/>
                <w:szCs w:val="18"/>
                <w:lang w:val="es-419"/>
              </w:rPr>
            </w:pPr>
            <w:r w:rsidRPr="00B41060">
              <w:rPr>
                <w:color w:val="000000"/>
                <w:lang w:val="es-419"/>
              </w:rPr>
              <w:t>1</w:t>
            </w:r>
          </w:p>
        </w:tc>
        <w:tc>
          <w:tcPr>
            <w:tcW w:w="1097" w:type="dxa"/>
            <w:tcBorders>
              <w:top w:val="single" w:sz="4" w:space="0" w:color="auto"/>
              <w:left w:val="single" w:sz="6" w:space="0" w:color="auto"/>
              <w:bottom w:val="single" w:sz="6" w:space="0" w:color="auto"/>
              <w:right w:val="single" w:sz="6" w:space="0" w:color="auto"/>
            </w:tcBorders>
            <w:shd w:val="clear" w:color="auto" w:fill="auto"/>
            <w:noWrap/>
            <w:vAlign w:val="center"/>
          </w:tcPr>
          <w:p w:rsidR="00D57A26" w:rsidRPr="00B41060" w:rsidRDefault="00D57A26" w:rsidP="000230A9">
            <w:pPr>
              <w:jc w:val="center"/>
              <w:rPr>
                <w:rFonts w:cs="Arial"/>
                <w:color w:val="000000"/>
                <w:szCs w:val="18"/>
                <w:lang w:val="es-419"/>
              </w:rPr>
            </w:pPr>
            <w:r w:rsidRPr="00B41060">
              <w:rPr>
                <w:color w:val="000000"/>
                <w:lang w:val="es-419"/>
              </w:rPr>
              <w:t>1</w:t>
            </w:r>
          </w:p>
        </w:tc>
        <w:tc>
          <w:tcPr>
            <w:tcW w:w="2276" w:type="dxa"/>
            <w:gridSpan w:val="2"/>
            <w:tcBorders>
              <w:top w:val="single" w:sz="4" w:space="0" w:color="auto"/>
              <w:left w:val="single" w:sz="6" w:space="0" w:color="auto"/>
              <w:bottom w:val="single" w:sz="6" w:space="0" w:color="auto"/>
              <w:right w:val="single" w:sz="6" w:space="0" w:color="auto"/>
            </w:tcBorders>
            <w:shd w:val="clear" w:color="auto" w:fill="auto"/>
            <w:noWrap/>
            <w:vAlign w:val="center"/>
          </w:tcPr>
          <w:p w:rsidR="00D57A26" w:rsidRPr="00B41060" w:rsidRDefault="00D57A26" w:rsidP="000230A9">
            <w:pPr>
              <w:jc w:val="center"/>
              <w:rPr>
                <w:rFonts w:cs="Arial"/>
                <w:color w:val="000000"/>
                <w:szCs w:val="18"/>
                <w:lang w:val="es-419"/>
              </w:rPr>
            </w:pPr>
            <w:r w:rsidRPr="00B41060">
              <w:rPr>
                <w:color w:val="000000"/>
                <w:lang w:val="es-419"/>
              </w:rPr>
              <w:t>homogénea</w:t>
            </w:r>
          </w:p>
        </w:tc>
        <w:tc>
          <w:tcPr>
            <w:tcW w:w="2059" w:type="dxa"/>
            <w:tcBorders>
              <w:top w:val="single" w:sz="4" w:space="0" w:color="auto"/>
              <w:left w:val="single" w:sz="6" w:space="0" w:color="auto"/>
              <w:bottom w:val="single" w:sz="6" w:space="0" w:color="auto"/>
              <w:right w:val="single" w:sz="4" w:space="0" w:color="auto"/>
            </w:tcBorders>
            <w:shd w:val="clear" w:color="auto" w:fill="auto"/>
            <w:vAlign w:val="center"/>
          </w:tcPr>
          <w:p w:rsidR="00D57A26" w:rsidRPr="00B41060" w:rsidRDefault="00D57A26" w:rsidP="000230A9">
            <w:pPr>
              <w:jc w:val="center"/>
              <w:rPr>
                <w:rFonts w:cs="Arial"/>
                <w:color w:val="000000"/>
                <w:szCs w:val="18"/>
                <w:lang w:val="es-419"/>
              </w:rPr>
            </w:pPr>
            <w:r w:rsidRPr="00B41060">
              <w:rPr>
                <w:color w:val="000000"/>
                <w:lang w:val="es-419"/>
              </w:rPr>
              <w:t>homogénea</w:t>
            </w:r>
          </w:p>
        </w:tc>
        <w:tc>
          <w:tcPr>
            <w:tcW w:w="1740" w:type="dxa"/>
            <w:tcBorders>
              <w:top w:val="single" w:sz="4" w:space="0" w:color="auto"/>
              <w:left w:val="single" w:sz="4" w:space="0" w:color="auto"/>
              <w:bottom w:val="single" w:sz="4" w:space="0" w:color="auto"/>
              <w:right w:val="single" w:sz="4" w:space="0" w:color="auto"/>
            </w:tcBorders>
            <w:shd w:val="clear" w:color="auto" w:fill="auto"/>
          </w:tcPr>
          <w:p w:rsidR="00D57A26" w:rsidRPr="00B41060" w:rsidRDefault="00D57A26" w:rsidP="000230A9">
            <w:pPr>
              <w:jc w:val="center"/>
              <w:rPr>
                <w:szCs w:val="18"/>
                <w:lang w:val="es-419"/>
              </w:rPr>
            </w:pPr>
            <w:r w:rsidRPr="00B41060">
              <w:rPr>
                <w:color w:val="000000"/>
                <w:lang w:val="es-419"/>
              </w:rPr>
              <w:t>homogénea</w:t>
            </w:r>
          </w:p>
        </w:tc>
      </w:tr>
      <w:tr w:rsidR="00D57A26" w:rsidRPr="00B41060" w:rsidTr="009B17F7">
        <w:trPr>
          <w:trHeight w:val="247"/>
        </w:trPr>
        <w:tc>
          <w:tcPr>
            <w:tcW w:w="623" w:type="dxa"/>
            <w:vMerge/>
            <w:tcBorders>
              <w:left w:val="single" w:sz="4" w:space="0" w:color="auto"/>
              <w:right w:val="single" w:sz="4" w:space="0" w:color="auto"/>
            </w:tcBorders>
            <w:shd w:val="clear" w:color="auto" w:fill="auto"/>
            <w:textDirection w:val="btLr"/>
            <w:vAlign w:val="center"/>
            <w:hideMark/>
          </w:tcPr>
          <w:p w:rsidR="00D57A26" w:rsidRPr="00B41060" w:rsidRDefault="00D57A26" w:rsidP="000230A9">
            <w:pPr>
              <w:jc w:val="center"/>
              <w:rPr>
                <w:rFonts w:cs="Arial"/>
                <w:color w:val="000000"/>
                <w:szCs w:val="18"/>
                <w:lang w:val="es-419"/>
              </w:rPr>
            </w:pPr>
          </w:p>
        </w:tc>
        <w:tc>
          <w:tcPr>
            <w:tcW w:w="1094" w:type="dxa"/>
            <w:gridSpan w:val="2"/>
            <w:tcBorders>
              <w:top w:val="single" w:sz="6" w:space="0" w:color="auto"/>
              <w:left w:val="single" w:sz="4" w:space="0" w:color="auto"/>
              <w:bottom w:val="single" w:sz="4" w:space="0" w:color="auto"/>
              <w:right w:val="single" w:sz="6" w:space="0" w:color="auto"/>
            </w:tcBorders>
            <w:shd w:val="clear" w:color="auto" w:fill="auto"/>
            <w:noWrap/>
            <w:vAlign w:val="center"/>
            <w:hideMark/>
          </w:tcPr>
          <w:p w:rsidR="00D57A26" w:rsidRPr="00B41060" w:rsidRDefault="00D57A26" w:rsidP="000230A9">
            <w:pPr>
              <w:jc w:val="center"/>
              <w:rPr>
                <w:rFonts w:cs="Arial"/>
                <w:color w:val="000000"/>
                <w:szCs w:val="18"/>
                <w:lang w:val="es-419"/>
              </w:rPr>
            </w:pPr>
            <w:r w:rsidRPr="00B41060">
              <w:rPr>
                <w:color w:val="000000"/>
                <w:lang w:val="es-419"/>
              </w:rPr>
              <w:t>2</w:t>
            </w:r>
          </w:p>
        </w:tc>
        <w:tc>
          <w:tcPr>
            <w:tcW w:w="1097"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D57A26" w:rsidRPr="00B41060" w:rsidRDefault="00D57A26" w:rsidP="000230A9">
            <w:pPr>
              <w:jc w:val="center"/>
              <w:rPr>
                <w:rFonts w:cs="Arial"/>
                <w:color w:val="000000"/>
                <w:szCs w:val="18"/>
                <w:lang w:val="es-419"/>
              </w:rPr>
            </w:pPr>
            <w:r w:rsidRPr="00B41060">
              <w:rPr>
                <w:color w:val="000000"/>
                <w:lang w:val="es-419"/>
              </w:rPr>
              <w:t>2</w:t>
            </w:r>
          </w:p>
        </w:tc>
        <w:tc>
          <w:tcPr>
            <w:tcW w:w="2276" w:type="dxa"/>
            <w:gridSpan w:val="2"/>
            <w:tcBorders>
              <w:top w:val="single" w:sz="6" w:space="0" w:color="auto"/>
              <w:left w:val="single" w:sz="6" w:space="0" w:color="auto"/>
              <w:bottom w:val="single" w:sz="4" w:space="0" w:color="auto"/>
              <w:right w:val="single" w:sz="6" w:space="0" w:color="auto"/>
            </w:tcBorders>
            <w:shd w:val="clear" w:color="auto" w:fill="auto"/>
            <w:noWrap/>
            <w:vAlign w:val="center"/>
            <w:hideMark/>
          </w:tcPr>
          <w:p w:rsidR="00D57A26" w:rsidRPr="00B41060" w:rsidRDefault="00D57A26" w:rsidP="000230A9">
            <w:pPr>
              <w:jc w:val="center"/>
              <w:rPr>
                <w:rFonts w:cs="Arial"/>
                <w:color w:val="000000"/>
                <w:szCs w:val="18"/>
                <w:lang w:val="es-419"/>
              </w:rPr>
            </w:pPr>
            <w:r w:rsidRPr="00B41060">
              <w:rPr>
                <w:color w:val="000000"/>
                <w:lang w:val="es-419"/>
              </w:rPr>
              <w:t>homogénea</w:t>
            </w:r>
          </w:p>
        </w:tc>
        <w:tc>
          <w:tcPr>
            <w:tcW w:w="2059" w:type="dxa"/>
            <w:tcBorders>
              <w:top w:val="single" w:sz="6" w:space="0" w:color="auto"/>
              <w:left w:val="single" w:sz="6" w:space="0" w:color="auto"/>
              <w:bottom w:val="single" w:sz="4" w:space="0" w:color="auto"/>
              <w:right w:val="single" w:sz="4" w:space="0" w:color="auto"/>
            </w:tcBorders>
            <w:shd w:val="clear" w:color="auto" w:fill="auto"/>
            <w:vAlign w:val="center"/>
            <w:hideMark/>
          </w:tcPr>
          <w:p w:rsidR="00D57A26" w:rsidRPr="00B41060" w:rsidRDefault="00D57A26" w:rsidP="000230A9">
            <w:pPr>
              <w:jc w:val="center"/>
              <w:rPr>
                <w:rFonts w:cs="Arial"/>
                <w:color w:val="000000"/>
                <w:szCs w:val="18"/>
                <w:lang w:val="es-419"/>
              </w:rPr>
            </w:pPr>
            <w:r w:rsidRPr="00B41060">
              <w:rPr>
                <w:color w:val="000000"/>
                <w:lang w:val="es-419"/>
              </w:rPr>
              <w:t>homogénea</w:t>
            </w:r>
          </w:p>
        </w:tc>
        <w:tc>
          <w:tcPr>
            <w:tcW w:w="1740" w:type="dxa"/>
            <w:tcBorders>
              <w:top w:val="single" w:sz="4" w:space="0" w:color="auto"/>
              <w:left w:val="single" w:sz="4" w:space="0" w:color="auto"/>
              <w:bottom w:val="single" w:sz="4" w:space="0" w:color="auto"/>
              <w:right w:val="single" w:sz="4" w:space="0" w:color="auto"/>
            </w:tcBorders>
            <w:shd w:val="clear" w:color="auto" w:fill="auto"/>
          </w:tcPr>
          <w:p w:rsidR="00D57A26" w:rsidRPr="00B41060" w:rsidRDefault="00D57A26" w:rsidP="000230A9">
            <w:pPr>
              <w:jc w:val="center"/>
              <w:rPr>
                <w:szCs w:val="18"/>
                <w:lang w:val="es-419"/>
              </w:rPr>
            </w:pPr>
            <w:r w:rsidRPr="00B41060">
              <w:rPr>
                <w:lang w:val="es-419"/>
              </w:rPr>
              <w:t>no homogénea</w:t>
            </w:r>
          </w:p>
        </w:tc>
      </w:tr>
      <w:tr w:rsidR="00D57A26" w:rsidRPr="00B41060" w:rsidTr="009B17F7">
        <w:trPr>
          <w:trHeight w:val="281"/>
        </w:trPr>
        <w:tc>
          <w:tcPr>
            <w:tcW w:w="623" w:type="dxa"/>
            <w:vMerge/>
            <w:tcBorders>
              <w:left w:val="single" w:sz="4" w:space="0" w:color="auto"/>
              <w:right w:val="single" w:sz="4" w:space="0" w:color="000000"/>
            </w:tcBorders>
            <w:vAlign w:val="center"/>
            <w:hideMark/>
          </w:tcPr>
          <w:p w:rsidR="00D57A26" w:rsidRPr="00B41060" w:rsidRDefault="00D57A26" w:rsidP="000230A9">
            <w:pPr>
              <w:jc w:val="left"/>
              <w:rPr>
                <w:rFonts w:cs="Arial"/>
                <w:color w:val="000000"/>
                <w:szCs w:val="18"/>
                <w:lang w:val="es-419"/>
              </w:rPr>
            </w:pPr>
          </w:p>
        </w:tc>
        <w:tc>
          <w:tcPr>
            <w:tcW w:w="1094" w:type="dxa"/>
            <w:gridSpan w:val="2"/>
            <w:tcBorders>
              <w:top w:val="single" w:sz="4" w:space="0" w:color="auto"/>
              <w:left w:val="nil"/>
              <w:bottom w:val="single" w:sz="4" w:space="0" w:color="auto"/>
              <w:right w:val="single" w:sz="4" w:space="0" w:color="auto"/>
            </w:tcBorders>
            <w:shd w:val="clear" w:color="auto" w:fill="auto"/>
            <w:vAlign w:val="center"/>
            <w:hideMark/>
          </w:tcPr>
          <w:p w:rsidR="00D57A26" w:rsidRPr="00B41060" w:rsidRDefault="00D57A26" w:rsidP="000230A9">
            <w:pPr>
              <w:jc w:val="center"/>
              <w:rPr>
                <w:rFonts w:cs="Arial"/>
                <w:color w:val="000000"/>
                <w:szCs w:val="18"/>
                <w:lang w:val="es-419"/>
              </w:rPr>
            </w:pPr>
            <w:r w:rsidRPr="00B41060">
              <w:rPr>
                <w:color w:val="000000"/>
                <w:lang w:val="es-419"/>
              </w:rPr>
              <w:t>0</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rsidR="00D57A26" w:rsidRPr="00B41060" w:rsidRDefault="00D57A26" w:rsidP="000230A9">
            <w:pPr>
              <w:jc w:val="center"/>
              <w:rPr>
                <w:rFonts w:cs="Arial"/>
                <w:color w:val="000000"/>
                <w:szCs w:val="18"/>
                <w:lang w:val="es-419"/>
              </w:rPr>
            </w:pPr>
            <w:r w:rsidRPr="00B41060">
              <w:rPr>
                <w:color w:val="000000"/>
                <w:lang w:val="es-419"/>
              </w:rPr>
              <w:t>3*</w:t>
            </w:r>
          </w:p>
        </w:tc>
        <w:tc>
          <w:tcPr>
            <w:tcW w:w="2276" w:type="dxa"/>
            <w:gridSpan w:val="2"/>
            <w:tcBorders>
              <w:top w:val="single" w:sz="4" w:space="0" w:color="auto"/>
              <w:left w:val="nil"/>
              <w:bottom w:val="single" w:sz="4" w:space="0" w:color="auto"/>
              <w:right w:val="single" w:sz="4" w:space="0" w:color="auto"/>
            </w:tcBorders>
            <w:shd w:val="clear" w:color="auto" w:fill="auto"/>
            <w:vAlign w:val="center"/>
            <w:hideMark/>
          </w:tcPr>
          <w:p w:rsidR="00D57A26" w:rsidRPr="00B41060" w:rsidRDefault="00D57A26" w:rsidP="000230A9">
            <w:pPr>
              <w:rPr>
                <w:rFonts w:cs="Arial"/>
                <w:color w:val="000000"/>
                <w:szCs w:val="18"/>
                <w:lang w:val="es-419"/>
              </w:rPr>
            </w:pPr>
            <w:r w:rsidRPr="00B41060">
              <w:rPr>
                <w:color w:val="000000"/>
                <w:lang w:val="es-419"/>
              </w:rPr>
              <w:t>tercer ciclo de cultivo*</w:t>
            </w:r>
          </w:p>
        </w:tc>
        <w:tc>
          <w:tcPr>
            <w:tcW w:w="2059" w:type="dxa"/>
            <w:tcBorders>
              <w:top w:val="single" w:sz="4" w:space="0" w:color="auto"/>
              <w:left w:val="nil"/>
              <w:bottom w:val="single" w:sz="4" w:space="0" w:color="auto"/>
              <w:right w:val="single" w:sz="4" w:space="0" w:color="auto"/>
            </w:tcBorders>
            <w:shd w:val="clear" w:color="auto" w:fill="auto"/>
            <w:vAlign w:val="center"/>
            <w:hideMark/>
          </w:tcPr>
          <w:p w:rsidR="00D57A26" w:rsidRPr="00B41060" w:rsidRDefault="00D57A26" w:rsidP="000230A9">
            <w:pPr>
              <w:jc w:val="center"/>
              <w:rPr>
                <w:rFonts w:cs="Arial"/>
                <w:color w:val="000000"/>
                <w:szCs w:val="18"/>
                <w:lang w:val="es-419"/>
              </w:rPr>
            </w:pPr>
            <w:r w:rsidRPr="00B41060">
              <w:rPr>
                <w:color w:val="000000"/>
                <w:lang w:val="es-419"/>
              </w:rPr>
              <w:t>homogénea*</w:t>
            </w:r>
          </w:p>
        </w:tc>
        <w:tc>
          <w:tcPr>
            <w:tcW w:w="1740" w:type="dxa"/>
            <w:tcBorders>
              <w:top w:val="single" w:sz="4" w:space="0" w:color="auto"/>
              <w:bottom w:val="single" w:sz="4" w:space="0" w:color="auto"/>
              <w:right w:val="single" w:sz="4" w:space="0" w:color="auto"/>
            </w:tcBorders>
            <w:shd w:val="clear" w:color="auto" w:fill="auto"/>
          </w:tcPr>
          <w:p w:rsidR="00D57A26" w:rsidRPr="00B41060" w:rsidRDefault="00D57A26" w:rsidP="000230A9">
            <w:pPr>
              <w:jc w:val="center"/>
              <w:rPr>
                <w:szCs w:val="18"/>
                <w:lang w:val="es-419"/>
              </w:rPr>
            </w:pPr>
            <w:r w:rsidRPr="00B41060">
              <w:rPr>
                <w:lang w:val="es-419"/>
              </w:rPr>
              <w:t>homogénea*</w:t>
            </w:r>
          </w:p>
        </w:tc>
      </w:tr>
      <w:tr w:rsidR="00D57A26" w:rsidRPr="00B41060" w:rsidTr="009B17F7">
        <w:trPr>
          <w:trHeight w:val="255"/>
        </w:trPr>
        <w:tc>
          <w:tcPr>
            <w:tcW w:w="623" w:type="dxa"/>
            <w:vMerge/>
            <w:tcBorders>
              <w:left w:val="single" w:sz="4" w:space="0" w:color="auto"/>
              <w:right w:val="single" w:sz="4" w:space="0" w:color="auto"/>
            </w:tcBorders>
            <w:vAlign w:val="center"/>
            <w:hideMark/>
          </w:tcPr>
          <w:p w:rsidR="00D57A26" w:rsidRPr="00B41060" w:rsidRDefault="00D57A26" w:rsidP="000230A9">
            <w:pPr>
              <w:jc w:val="left"/>
              <w:rPr>
                <w:rFonts w:cs="Arial"/>
                <w:color w:val="000000"/>
                <w:szCs w:val="18"/>
                <w:lang w:val="es-419"/>
              </w:rPr>
            </w:pPr>
          </w:p>
        </w:tc>
        <w:tc>
          <w:tcPr>
            <w:tcW w:w="1094"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rsidR="00D57A26" w:rsidRPr="00B41060" w:rsidRDefault="00D57A26" w:rsidP="000230A9">
            <w:pPr>
              <w:jc w:val="center"/>
              <w:rPr>
                <w:rFonts w:cs="Arial"/>
                <w:color w:val="000000"/>
                <w:szCs w:val="18"/>
                <w:lang w:val="es-419"/>
              </w:rPr>
            </w:pPr>
            <w:r w:rsidRPr="00B41060">
              <w:rPr>
                <w:color w:val="000000"/>
                <w:lang w:val="es-419"/>
              </w:rPr>
              <w:t>1</w:t>
            </w:r>
          </w:p>
        </w:tc>
        <w:tc>
          <w:tcPr>
            <w:tcW w:w="1097"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D57A26" w:rsidRPr="00B41060" w:rsidRDefault="00D57A26" w:rsidP="000230A9">
            <w:pPr>
              <w:jc w:val="center"/>
              <w:rPr>
                <w:rFonts w:cs="Arial"/>
                <w:color w:val="000000"/>
                <w:szCs w:val="18"/>
                <w:lang w:val="es-419"/>
              </w:rPr>
            </w:pPr>
            <w:r w:rsidRPr="00B41060">
              <w:rPr>
                <w:color w:val="000000"/>
                <w:lang w:val="es-419"/>
              </w:rPr>
              <w:t>3*</w:t>
            </w:r>
          </w:p>
        </w:tc>
        <w:tc>
          <w:tcPr>
            <w:tcW w:w="2276" w:type="dxa"/>
            <w:gridSpan w:val="2"/>
            <w:tcBorders>
              <w:top w:val="single" w:sz="4" w:space="0" w:color="auto"/>
              <w:left w:val="single" w:sz="6" w:space="0" w:color="auto"/>
              <w:bottom w:val="single" w:sz="4" w:space="0" w:color="auto"/>
              <w:right w:val="single" w:sz="6" w:space="0" w:color="auto"/>
            </w:tcBorders>
            <w:shd w:val="clear" w:color="auto" w:fill="auto"/>
            <w:vAlign w:val="center"/>
            <w:hideMark/>
          </w:tcPr>
          <w:p w:rsidR="00D57A26" w:rsidRPr="00B41060" w:rsidRDefault="00D57A26" w:rsidP="000230A9">
            <w:pPr>
              <w:rPr>
                <w:rFonts w:cs="Arial"/>
                <w:color w:val="000000"/>
                <w:szCs w:val="18"/>
                <w:lang w:val="es-419"/>
              </w:rPr>
            </w:pPr>
            <w:r w:rsidRPr="00B41060">
              <w:rPr>
                <w:color w:val="000000"/>
                <w:lang w:val="es-419"/>
              </w:rPr>
              <w:t>tercer ciclo de cultivo*</w:t>
            </w:r>
          </w:p>
        </w:tc>
        <w:tc>
          <w:tcPr>
            <w:tcW w:w="2059" w:type="dxa"/>
            <w:tcBorders>
              <w:top w:val="single" w:sz="4" w:space="0" w:color="auto"/>
              <w:left w:val="single" w:sz="6" w:space="0" w:color="auto"/>
              <w:bottom w:val="single" w:sz="4" w:space="0" w:color="auto"/>
              <w:right w:val="single" w:sz="4" w:space="0" w:color="auto"/>
            </w:tcBorders>
            <w:shd w:val="clear" w:color="auto" w:fill="auto"/>
            <w:vAlign w:val="center"/>
            <w:hideMark/>
          </w:tcPr>
          <w:p w:rsidR="00D57A26" w:rsidRPr="00B41060" w:rsidRDefault="00D57A26" w:rsidP="000230A9">
            <w:pPr>
              <w:jc w:val="center"/>
              <w:rPr>
                <w:rFonts w:cs="Arial"/>
                <w:color w:val="000000"/>
                <w:szCs w:val="18"/>
                <w:lang w:val="es-419"/>
              </w:rPr>
            </w:pPr>
            <w:r w:rsidRPr="00B41060">
              <w:rPr>
                <w:color w:val="000000"/>
                <w:lang w:val="es-419"/>
              </w:rPr>
              <w:t>no homogénea*</w:t>
            </w:r>
          </w:p>
        </w:tc>
        <w:tc>
          <w:tcPr>
            <w:tcW w:w="1740" w:type="dxa"/>
            <w:tcBorders>
              <w:top w:val="single" w:sz="4" w:space="0" w:color="auto"/>
              <w:left w:val="single" w:sz="4" w:space="0" w:color="auto"/>
              <w:bottom w:val="single" w:sz="4" w:space="0" w:color="auto"/>
              <w:right w:val="single" w:sz="4" w:space="0" w:color="auto"/>
            </w:tcBorders>
            <w:shd w:val="clear" w:color="auto" w:fill="auto"/>
          </w:tcPr>
          <w:p w:rsidR="00D57A26" w:rsidRPr="00B41060" w:rsidRDefault="00D57A26" w:rsidP="000230A9">
            <w:pPr>
              <w:jc w:val="center"/>
              <w:rPr>
                <w:szCs w:val="18"/>
                <w:lang w:val="es-419"/>
              </w:rPr>
            </w:pPr>
            <w:r w:rsidRPr="00B41060">
              <w:rPr>
                <w:lang w:val="es-419"/>
              </w:rPr>
              <w:t>no homogénea*</w:t>
            </w:r>
          </w:p>
        </w:tc>
      </w:tr>
      <w:tr w:rsidR="00D57A26" w:rsidRPr="00B41060" w:rsidTr="009B17F7">
        <w:trPr>
          <w:trHeight w:val="275"/>
        </w:trPr>
        <w:tc>
          <w:tcPr>
            <w:tcW w:w="623" w:type="dxa"/>
            <w:vMerge/>
            <w:tcBorders>
              <w:left w:val="single" w:sz="4" w:space="0" w:color="auto"/>
              <w:right w:val="single" w:sz="4" w:space="0" w:color="000000"/>
            </w:tcBorders>
            <w:vAlign w:val="center"/>
            <w:hideMark/>
          </w:tcPr>
          <w:p w:rsidR="00D57A26" w:rsidRPr="00B41060" w:rsidRDefault="00D57A26" w:rsidP="000230A9">
            <w:pPr>
              <w:jc w:val="left"/>
              <w:rPr>
                <w:rFonts w:cs="Arial"/>
                <w:color w:val="000000"/>
                <w:szCs w:val="18"/>
                <w:lang w:val="es-419"/>
              </w:rPr>
            </w:pPr>
          </w:p>
        </w:tc>
        <w:tc>
          <w:tcPr>
            <w:tcW w:w="1094" w:type="dxa"/>
            <w:gridSpan w:val="2"/>
            <w:tcBorders>
              <w:top w:val="single" w:sz="4" w:space="0" w:color="auto"/>
              <w:left w:val="nil"/>
              <w:bottom w:val="single" w:sz="4" w:space="0" w:color="auto"/>
              <w:right w:val="single" w:sz="4" w:space="0" w:color="auto"/>
            </w:tcBorders>
            <w:shd w:val="clear" w:color="auto" w:fill="auto"/>
            <w:noWrap/>
            <w:vAlign w:val="center"/>
            <w:hideMark/>
          </w:tcPr>
          <w:p w:rsidR="00D57A26" w:rsidRPr="00B41060" w:rsidRDefault="00D57A26" w:rsidP="000230A9">
            <w:pPr>
              <w:jc w:val="center"/>
              <w:rPr>
                <w:rFonts w:cs="Arial"/>
                <w:color w:val="000000"/>
                <w:szCs w:val="18"/>
                <w:lang w:val="es-419"/>
              </w:rPr>
            </w:pPr>
            <w:r w:rsidRPr="00B41060">
              <w:rPr>
                <w:color w:val="000000"/>
                <w:lang w:val="es-419"/>
              </w:rPr>
              <w:t>1</w:t>
            </w:r>
          </w:p>
        </w:tc>
        <w:tc>
          <w:tcPr>
            <w:tcW w:w="1097" w:type="dxa"/>
            <w:tcBorders>
              <w:top w:val="single" w:sz="4" w:space="0" w:color="auto"/>
              <w:left w:val="nil"/>
              <w:bottom w:val="single" w:sz="4" w:space="0" w:color="auto"/>
              <w:right w:val="single" w:sz="4" w:space="0" w:color="auto"/>
            </w:tcBorders>
            <w:shd w:val="clear" w:color="auto" w:fill="auto"/>
            <w:noWrap/>
            <w:vAlign w:val="center"/>
            <w:hideMark/>
          </w:tcPr>
          <w:p w:rsidR="00D57A26" w:rsidRPr="00B41060" w:rsidRDefault="00D57A26" w:rsidP="000230A9">
            <w:pPr>
              <w:ind w:left="49"/>
              <w:jc w:val="center"/>
              <w:rPr>
                <w:rFonts w:cs="Arial"/>
                <w:color w:val="000000"/>
                <w:szCs w:val="18"/>
                <w:lang w:val="es-419"/>
              </w:rPr>
            </w:pPr>
            <w:r w:rsidRPr="00B41060">
              <w:rPr>
                <w:color w:val="000000"/>
                <w:lang w:val="es-419"/>
              </w:rPr>
              <w:t>4*</w:t>
            </w:r>
          </w:p>
        </w:tc>
        <w:tc>
          <w:tcPr>
            <w:tcW w:w="2276" w:type="dxa"/>
            <w:gridSpan w:val="2"/>
            <w:tcBorders>
              <w:top w:val="single" w:sz="4" w:space="0" w:color="auto"/>
              <w:left w:val="nil"/>
              <w:bottom w:val="single" w:sz="4" w:space="0" w:color="auto"/>
              <w:right w:val="single" w:sz="4" w:space="0" w:color="auto"/>
            </w:tcBorders>
            <w:shd w:val="clear" w:color="auto" w:fill="auto"/>
            <w:vAlign w:val="center"/>
            <w:hideMark/>
          </w:tcPr>
          <w:p w:rsidR="00D57A26" w:rsidRPr="00B41060" w:rsidRDefault="00D57A26" w:rsidP="000230A9">
            <w:pPr>
              <w:rPr>
                <w:rFonts w:cs="Arial"/>
                <w:color w:val="000000"/>
                <w:szCs w:val="18"/>
                <w:lang w:val="es-419"/>
              </w:rPr>
            </w:pPr>
            <w:r w:rsidRPr="00B41060">
              <w:rPr>
                <w:color w:val="000000"/>
                <w:lang w:val="es-419"/>
              </w:rPr>
              <w:t>tercer ciclo de cultivo*</w:t>
            </w:r>
          </w:p>
        </w:tc>
        <w:tc>
          <w:tcPr>
            <w:tcW w:w="2059" w:type="dxa"/>
            <w:tcBorders>
              <w:top w:val="single" w:sz="4" w:space="0" w:color="auto"/>
              <w:left w:val="nil"/>
              <w:bottom w:val="single" w:sz="4" w:space="0" w:color="auto"/>
              <w:right w:val="single" w:sz="4" w:space="0" w:color="auto"/>
            </w:tcBorders>
            <w:shd w:val="clear" w:color="auto" w:fill="auto"/>
            <w:vAlign w:val="center"/>
            <w:hideMark/>
          </w:tcPr>
          <w:p w:rsidR="00D57A26" w:rsidRPr="00B41060" w:rsidRDefault="00D57A26" w:rsidP="000230A9">
            <w:pPr>
              <w:jc w:val="center"/>
              <w:rPr>
                <w:rFonts w:cs="Arial"/>
                <w:color w:val="000000"/>
                <w:szCs w:val="18"/>
                <w:lang w:val="es-419"/>
              </w:rPr>
            </w:pPr>
            <w:r w:rsidRPr="00B41060">
              <w:rPr>
                <w:color w:val="000000"/>
                <w:lang w:val="es-419"/>
              </w:rPr>
              <w:t>no homogénea*</w:t>
            </w:r>
          </w:p>
        </w:tc>
        <w:tc>
          <w:tcPr>
            <w:tcW w:w="1740" w:type="dxa"/>
            <w:tcBorders>
              <w:top w:val="single" w:sz="4" w:space="0" w:color="auto"/>
              <w:bottom w:val="single" w:sz="4" w:space="0" w:color="auto"/>
              <w:right w:val="single" w:sz="4" w:space="0" w:color="auto"/>
            </w:tcBorders>
            <w:shd w:val="clear" w:color="auto" w:fill="auto"/>
          </w:tcPr>
          <w:p w:rsidR="00D57A26" w:rsidRPr="00B41060" w:rsidRDefault="00D57A26" w:rsidP="000230A9">
            <w:pPr>
              <w:jc w:val="center"/>
              <w:rPr>
                <w:szCs w:val="18"/>
                <w:lang w:val="es-419"/>
              </w:rPr>
            </w:pPr>
            <w:r w:rsidRPr="00B41060">
              <w:rPr>
                <w:lang w:val="es-419"/>
              </w:rPr>
              <w:t>no homogénea*</w:t>
            </w:r>
          </w:p>
        </w:tc>
      </w:tr>
      <w:tr w:rsidR="00D57A26" w:rsidRPr="00B41060" w:rsidTr="009B17F7">
        <w:trPr>
          <w:trHeight w:val="274"/>
        </w:trPr>
        <w:tc>
          <w:tcPr>
            <w:tcW w:w="623" w:type="dxa"/>
            <w:vMerge/>
            <w:tcBorders>
              <w:left w:val="single" w:sz="4" w:space="0" w:color="auto"/>
              <w:bottom w:val="single" w:sz="4" w:space="0" w:color="auto"/>
              <w:right w:val="single" w:sz="4" w:space="0" w:color="000000"/>
            </w:tcBorders>
            <w:shd w:val="clear" w:color="auto" w:fill="auto"/>
            <w:noWrap/>
            <w:vAlign w:val="bottom"/>
            <w:hideMark/>
          </w:tcPr>
          <w:p w:rsidR="00D57A26" w:rsidRPr="00B41060" w:rsidRDefault="00D57A26" w:rsidP="000230A9">
            <w:pPr>
              <w:jc w:val="left"/>
              <w:rPr>
                <w:rFonts w:cs="Arial"/>
                <w:color w:val="000000"/>
                <w:szCs w:val="18"/>
                <w:lang w:val="es-419"/>
              </w:rPr>
            </w:pPr>
          </w:p>
        </w:tc>
        <w:tc>
          <w:tcPr>
            <w:tcW w:w="1094" w:type="dxa"/>
            <w:gridSpan w:val="2"/>
            <w:tcBorders>
              <w:top w:val="nil"/>
              <w:left w:val="single" w:sz="4" w:space="0" w:color="000000"/>
              <w:bottom w:val="single" w:sz="4" w:space="0" w:color="auto"/>
              <w:right w:val="single" w:sz="4" w:space="0" w:color="auto"/>
            </w:tcBorders>
            <w:shd w:val="clear" w:color="auto" w:fill="auto"/>
            <w:noWrap/>
            <w:vAlign w:val="center"/>
            <w:hideMark/>
          </w:tcPr>
          <w:p w:rsidR="00D57A26" w:rsidRPr="00B41060" w:rsidRDefault="00D57A26" w:rsidP="000230A9">
            <w:pPr>
              <w:ind w:left="49"/>
              <w:jc w:val="center"/>
              <w:rPr>
                <w:rFonts w:cs="Arial"/>
                <w:color w:val="000000"/>
                <w:szCs w:val="18"/>
                <w:lang w:val="es-419"/>
              </w:rPr>
            </w:pPr>
            <w:r w:rsidRPr="00B41060">
              <w:rPr>
                <w:color w:val="000000"/>
                <w:lang w:val="es-419"/>
              </w:rPr>
              <w:t>4**</w:t>
            </w:r>
          </w:p>
        </w:tc>
        <w:tc>
          <w:tcPr>
            <w:tcW w:w="1097" w:type="dxa"/>
            <w:tcBorders>
              <w:top w:val="nil"/>
              <w:left w:val="single" w:sz="4" w:space="0" w:color="auto"/>
              <w:bottom w:val="single" w:sz="4" w:space="0" w:color="auto"/>
              <w:right w:val="single" w:sz="4" w:space="0" w:color="auto"/>
            </w:tcBorders>
            <w:shd w:val="clear" w:color="auto" w:fill="auto"/>
            <w:noWrap/>
            <w:vAlign w:val="center"/>
            <w:hideMark/>
          </w:tcPr>
          <w:p w:rsidR="00D57A26" w:rsidRPr="00B41060" w:rsidRDefault="00D57A26" w:rsidP="000230A9">
            <w:pPr>
              <w:jc w:val="center"/>
              <w:rPr>
                <w:rFonts w:cs="Arial"/>
                <w:color w:val="000000"/>
                <w:szCs w:val="18"/>
                <w:lang w:val="es-419"/>
              </w:rPr>
            </w:pPr>
            <w:r w:rsidRPr="00B41060">
              <w:rPr>
                <w:color w:val="000000"/>
                <w:lang w:val="es-419"/>
              </w:rPr>
              <w:t>1*</w:t>
            </w:r>
          </w:p>
        </w:tc>
        <w:tc>
          <w:tcPr>
            <w:tcW w:w="2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D57A26" w:rsidRPr="00B41060" w:rsidRDefault="00D57A26" w:rsidP="000230A9">
            <w:pPr>
              <w:rPr>
                <w:rFonts w:cs="Arial"/>
                <w:color w:val="000000"/>
                <w:szCs w:val="18"/>
                <w:lang w:val="es-419"/>
              </w:rPr>
            </w:pPr>
            <w:r w:rsidRPr="00B41060">
              <w:rPr>
                <w:color w:val="000000"/>
                <w:lang w:val="es-419"/>
              </w:rPr>
              <w:t>tercer ciclo de cultivo*</w:t>
            </w:r>
          </w:p>
        </w:tc>
        <w:tc>
          <w:tcPr>
            <w:tcW w:w="2059" w:type="dxa"/>
            <w:tcBorders>
              <w:top w:val="nil"/>
              <w:left w:val="single" w:sz="4" w:space="0" w:color="auto"/>
              <w:bottom w:val="single" w:sz="4" w:space="0" w:color="auto"/>
              <w:right w:val="single" w:sz="4" w:space="0" w:color="auto"/>
            </w:tcBorders>
            <w:shd w:val="clear" w:color="auto" w:fill="auto"/>
            <w:noWrap/>
            <w:vAlign w:val="center"/>
            <w:hideMark/>
          </w:tcPr>
          <w:p w:rsidR="00D57A26" w:rsidRPr="00B41060" w:rsidRDefault="00D57A26" w:rsidP="000230A9">
            <w:pPr>
              <w:jc w:val="center"/>
              <w:rPr>
                <w:rFonts w:cs="Arial"/>
                <w:color w:val="000000"/>
                <w:szCs w:val="18"/>
                <w:lang w:val="es-419"/>
              </w:rPr>
            </w:pPr>
            <w:r w:rsidRPr="00B41060">
              <w:rPr>
                <w:color w:val="000000"/>
                <w:lang w:val="es-419"/>
              </w:rPr>
              <w:t>no homogénea*</w:t>
            </w:r>
          </w:p>
        </w:tc>
        <w:tc>
          <w:tcPr>
            <w:tcW w:w="1740" w:type="dxa"/>
            <w:tcBorders>
              <w:top w:val="single" w:sz="4" w:space="0" w:color="auto"/>
              <w:bottom w:val="single" w:sz="4" w:space="0" w:color="auto"/>
              <w:right w:val="single" w:sz="4" w:space="0" w:color="auto"/>
            </w:tcBorders>
            <w:shd w:val="clear" w:color="auto" w:fill="auto"/>
          </w:tcPr>
          <w:p w:rsidR="00D57A26" w:rsidRPr="00B41060" w:rsidRDefault="00D57A26" w:rsidP="000230A9">
            <w:pPr>
              <w:jc w:val="center"/>
              <w:rPr>
                <w:szCs w:val="18"/>
                <w:lang w:val="es-419"/>
              </w:rPr>
            </w:pPr>
            <w:r w:rsidRPr="00B41060">
              <w:rPr>
                <w:lang w:val="es-419"/>
              </w:rPr>
              <w:t>no homogénea*</w:t>
            </w:r>
          </w:p>
        </w:tc>
      </w:tr>
    </w:tbl>
    <w:p w:rsidR="00D57A26" w:rsidRPr="00B41060" w:rsidRDefault="00D57A26" w:rsidP="00D57A26">
      <w:pPr>
        <w:spacing w:after="240"/>
        <w:rPr>
          <w:b/>
          <w:caps/>
          <w:sz w:val="14"/>
          <w:szCs w:val="24"/>
          <w:lang w:val="es-419"/>
        </w:rPr>
      </w:pPr>
    </w:p>
    <w:p w:rsidR="00D57A26" w:rsidRPr="00B41060" w:rsidRDefault="00D57A26" w:rsidP="0092457A">
      <w:pPr>
        <w:keepNext/>
        <w:keepLines/>
        <w:ind w:left="567"/>
        <w:rPr>
          <w:sz w:val="16"/>
          <w:u w:val="single"/>
          <w:lang w:val="es-419"/>
        </w:rPr>
      </w:pPr>
      <w:r w:rsidRPr="00B41060">
        <w:rPr>
          <w:sz w:val="18"/>
          <w:lang w:val="es-419"/>
        </w:rPr>
        <w:t>* Es preciso poner cuidado al examinar resultados que sean muy diferentes en cada uno de los ciclos de cultivo, por ejemplo cuando se observe una gran abundancia de plantas fuera de tipo en un ciclo de cultivo y su ausencia en otro ciclo.</w:t>
      </w:r>
      <w:r w:rsidR="0007321B" w:rsidRPr="00B41060">
        <w:rPr>
          <w:sz w:val="18"/>
          <w:lang w:val="es-419"/>
        </w:rPr>
        <w:t xml:space="preserve"> </w:t>
      </w:r>
      <w:r w:rsidRPr="00B41060">
        <w:rPr>
          <w:sz w:val="18"/>
          <w:lang w:val="es-419"/>
        </w:rPr>
        <w:t>Cuando corresponda se debe llevar a cabo una prueba estadística para verificar la coherencia.</w:t>
      </w:r>
      <w:r w:rsidR="0007321B" w:rsidRPr="00B41060">
        <w:rPr>
          <w:sz w:val="18"/>
          <w:lang w:val="es-419"/>
        </w:rPr>
        <w:t xml:space="preserve"> </w:t>
      </w:r>
      <w:r w:rsidRPr="00B41060">
        <w:rPr>
          <w:sz w:val="18"/>
          <w:lang w:val="es-419"/>
        </w:rPr>
        <w:t>Es importante determinar si las diferencias entre ciclos en cuanto al número de plantas fuera de tipo se deben a motivos medioambientales o a las variaciones en la toma de muestras.</w:t>
      </w:r>
    </w:p>
    <w:p w:rsidR="00D57A26" w:rsidRPr="00B41060" w:rsidRDefault="00D57A26" w:rsidP="0092457A">
      <w:pPr>
        <w:keepNext/>
        <w:keepLines/>
        <w:ind w:left="567"/>
        <w:rPr>
          <w:sz w:val="18"/>
          <w:lang w:val="es-419"/>
        </w:rPr>
      </w:pPr>
    </w:p>
    <w:p w:rsidR="00D57A26" w:rsidRPr="00B41060" w:rsidRDefault="00D57A26" w:rsidP="0092457A">
      <w:pPr>
        <w:ind w:left="567"/>
        <w:jc w:val="left"/>
        <w:rPr>
          <w:lang w:val="es-419"/>
        </w:rPr>
      </w:pPr>
      <w:r w:rsidRPr="00B41060">
        <w:rPr>
          <w:sz w:val="18"/>
          <w:lang w:val="es-419"/>
        </w:rPr>
        <w:t>** Si una variedad supera en el primer ciclo de cultivo el límite superior predefinido del número de plantas fuera de tipo, podrá rechazarse</w:t>
      </w:r>
      <w:r w:rsidR="0007321B" w:rsidRPr="00B41060">
        <w:rPr>
          <w:sz w:val="18"/>
          <w:lang w:val="es-419"/>
        </w:rPr>
        <w:t xml:space="preserve"> </w:t>
      </w:r>
      <w:r w:rsidRPr="00B41060">
        <w:rPr>
          <w:sz w:val="18"/>
          <w:lang w:val="es-419"/>
        </w:rPr>
        <w:t>tras un único ciclo de cultivo.”</w:t>
      </w:r>
    </w:p>
    <w:p w:rsidR="00D57A26" w:rsidRPr="00B41060" w:rsidRDefault="00D57A26" w:rsidP="00D57A26">
      <w:pPr>
        <w:rPr>
          <w:lang w:val="es-419"/>
        </w:rPr>
      </w:pPr>
    </w:p>
    <w:p w:rsidR="00D57A26" w:rsidRPr="00B41060" w:rsidRDefault="00D57A26" w:rsidP="00D57A26">
      <w:pPr>
        <w:rPr>
          <w:lang w:val="es-419"/>
        </w:rPr>
      </w:pPr>
    </w:p>
    <w:p w:rsidR="00D57A26" w:rsidRPr="00B41060" w:rsidRDefault="00D57A26" w:rsidP="00D57A26">
      <w:pPr>
        <w:rPr>
          <w:u w:val="single"/>
          <w:lang w:val="es-419"/>
        </w:rPr>
      </w:pPr>
      <w:r w:rsidRPr="00B41060">
        <w:rPr>
          <w:u w:val="single"/>
          <w:lang w:val="es-419"/>
        </w:rPr>
        <w:t>Nueva sección</w:t>
      </w:r>
      <w:r w:rsidR="00ED5EE9">
        <w:rPr>
          <w:u w:val="single"/>
          <w:lang w:val="es-419"/>
        </w:rPr>
        <w:t xml:space="preserve"> </w:t>
      </w:r>
      <w:r w:rsidRPr="00B41060">
        <w:rPr>
          <w:u w:val="single"/>
          <w:lang w:val="es-419"/>
        </w:rPr>
        <w:t xml:space="preserve">4.8: Evaluación de la homogeneidad sobre la base de las plantas fuera de tipo mediante la observación de </w:t>
      </w:r>
      <w:proofErr w:type="spellStart"/>
      <w:r w:rsidRPr="00B41060">
        <w:rPr>
          <w:u w:val="single"/>
          <w:lang w:val="es-419"/>
        </w:rPr>
        <w:t>submuestras</w:t>
      </w:r>
      <w:proofErr w:type="spellEnd"/>
      <w:r w:rsidRPr="00B41060">
        <w:rPr>
          <w:u w:val="single"/>
          <w:lang w:val="es-419"/>
        </w:rPr>
        <w:t xml:space="preserve"> en un único examen o ensayo </w:t>
      </w:r>
    </w:p>
    <w:p w:rsidR="00D57A26" w:rsidRPr="00B41060" w:rsidRDefault="00D57A26" w:rsidP="00D57A26">
      <w:pPr>
        <w:rPr>
          <w:lang w:val="es-419"/>
        </w:rPr>
      </w:pPr>
    </w:p>
    <w:p w:rsidR="00D57A26" w:rsidRPr="00B41060" w:rsidRDefault="00D57A26" w:rsidP="00D57A26">
      <w:pPr>
        <w:ind w:firstLine="567"/>
        <w:rPr>
          <w:i/>
          <w:lang w:val="es-419"/>
        </w:rPr>
      </w:pPr>
      <w:r w:rsidRPr="00B41060">
        <w:rPr>
          <w:i/>
          <w:lang w:val="es-419"/>
        </w:rPr>
        <w:t>Método:</w:t>
      </w:r>
      <w:r w:rsidR="0007321B" w:rsidRPr="00B41060">
        <w:rPr>
          <w:i/>
          <w:lang w:val="es-419"/>
        </w:rPr>
        <w:t xml:space="preserve"> </w:t>
      </w:r>
      <w:r w:rsidRPr="00B41060">
        <w:rPr>
          <w:i/>
          <w:lang w:val="es-419"/>
        </w:rPr>
        <w:t xml:space="preserve">Utilización de una </w:t>
      </w:r>
      <w:proofErr w:type="spellStart"/>
      <w:r w:rsidRPr="00B41060">
        <w:rPr>
          <w:i/>
          <w:lang w:val="es-419"/>
        </w:rPr>
        <w:t>submuestra</w:t>
      </w:r>
      <w:proofErr w:type="spellEnd"/>
      <w:r w:rsidRPr="00B41060">
        <w:rPr>
          <w:i/>
          <w:lang w:val="es-419"/>
        </w:rPr>
        <w:t xml:space="preserve"> como primera etapa de la evaluación</w:t>
      </w:r>
    </w:p>
    <w:p w:rsidR="00D57A26" w:rsidRPr="00B41060" w:rsidRDefault="00D57A26" w:rsidP="00D57A26">
      <w:pPr>
        <w:rPr>
          <w:b/>
          <w:lang w:val="es-419"/>
        </w:rPr>
      </w:pPr>
    </w:p>
    <w:p w:rsidR="00D57A26" w:rsidRPr="00B41060" w:rsidRDefault="00D57A26" w:rsidP="00D57A26">
      <w:pPr>
        <w:rPr>
          <w:lang w:val="es-419"/>
        </w:rPr>
      </w:pPr>
      <w:r w:rsidRPr="00B41060">
        <w:rPr>
          <w:lang w:val="es-419"/>
        </w:rPr>
        <w:t xml:space="preserve">Una variedad se considera homogénea si el número de plantas fuera de tipo en la </w:t>
      </w:r>
      <w:proofErr w:type="spellStart"/>
      <w:r w:rsidRPr="00B41060">
        <w:rPr>
          <w:lang w:val="es-419"/>
        </w:rPr>
        <w:t>submuestra</w:t>
      </w:r>
      <w:proofErr w:type="spellEnd"/>
      <w:r w:rsidRPr="00B41060">
        <w:rPr>
          <w:lang w:val="es-419"/>
        </w:rPr>
        <w:t xml:space="preserve"> no supera un límite inferior predefinido.</w:t>
      </w:r>
    </w:p>
    <w:p w:rsidR="00D57A26" w:rsidRPr="00B41060" w:rsidRDefault="00D57A26" w:rsidP="00D57A26">
      <w:pPr>
        <w:rPr>
          <w:lang w:val="es-419"/>
        </w:rPr>
      </w:pPr>
    </w:p>
    <w:p w:rsidR="00D57A26" w:rsidRPr="00B41060" w:rsidRDefault="00D57A26" w:rsidP="00D57A26">
      <w:pPr>
        <w:rPr>
          <w:lang w:val="es-419"/>
        </w:rPr>
      </w:pPr>
      <w:r w:rsidRPr="00B41060">
        <w:rPr>
          <w:lang w:val="es-419"/>
        </w:rPr>
        <w:t xml:space="preserve">Una variedad se considera no homogénea si el número de plantas fuera de tipo en la </w:t>
      </w:r>
      <w:proofErr w:type="spellStart"/>
      <w:r w:rsidRPr="00B41060">
        <w:rPr>
          <w:lang w:val="es-419"/>
        </w:rPr>
        <w:t>submuestra</w:t>
      </w:r>
      <w:proofErr w:type="spellEnd"/>
      <w:r w:rsidRPr="00B41060">
        <w:rPr>
          <w:lang w:val="es-419"/>
        </w:rPr>
        <w:t xml:space="preserve"> supera un límite superior predefinido.</w:t>
      </w:r>
    </w:p>
    <w:p w:rsidR="00D57A26" w:rsidRPr="00B41060" w:rsidRDefault="00D57A26" w:rsidP="00D57A26">
      <w:pPr>
        <w:rPr>
          <w:lang w:val="es-419"/>
        </w:rPr>
      </w:pPr>
    </w:p>
    <w:p w:rsidR="00D57A26" w:rsidRPr="00B41060" w:rsidRDefault="00D57A26" w:rsidP="00D57A26">
      <w:pPr>
        <w:rPr>
          <w:lang w:val="es-419"/>
        </w:rPr>
      </w:pPr>
      <w:r w:rsidRPr="00B41060">
        <w:rPr>
          <w:lang w:val="es-419"/>
        </w:rPr>
        <w:t>Si el número de plantas fuera de tipo está entre el límite inferior y el límite superior predefinidos, se evalúa toda la muestra. Los límites inferior y superior deben fijarse teniendo en cuenta errores de tipo</w:t>
      </w:r>
      <w:r w:rsidR="00ED5EE9">
        <w:rPr>
          <w:lang w:val="es-419"/>
        </w:rPr>
        <w:t xml:space="preserve"> </w:t>
      </w:r>
      <w:r w:rsidRPr="00B41060">
        <w:rPr>
          <w:lang w:val="es-419"/>
        </w:rPr>
        <w:t>I y de tipo</w:t>
      </w:r>
      <w:r w:rsidR="00ED5EE9">
        <w:rPr>
          <w:lang w:val="es-419"/>
        </w:rPr>
        <w:t xml:space="preserve"> </w:t>
      </w:r>
      <w:r w:rsidRPr="00B41060">
        <w:rPr>
          <w:lang w:val="es-419"/>
        </w:rPr>
        <w:t xml:space="preserve">II similares en la </w:t>
      </w:r>
      <w:proofErr w:type="spellStart"/>
      <w:r w:rsidRPr="00B41060">
        <w:rPr>
          <w:lang w:val="es-419"/>
        </w:rPr>
        <w:t>submuestra</w:t>
      </w:r>
      <w:proofErr w:type="spellEnd"/>
      <w:r w:rsidRPr="00B41060">
        <w:rPr>
          <w:lang w:val="es-419"/>
        </w:rPr>
        <w:t xml:space="preserve"> y en toda la muestra.</w:t>
      </w:r>
    </w:p>
    <w:p w:rsidR="00D57A26" w:rsidRPr="00B41060" w:rsidRDefault="00D57A26" w:rsidP="00D57A26">
      <w:pPr>
        <w:rPr>
          <w:lang w:val="es-419"/>
        </w:rPr>
      </w:pPr>
    </w:p>
    <w:p w:rsidR="00D57A26" w:rsidRPr="00B41060" w:rsidRDefault="00D57A26" w:rsidP="00D57A26">
      <w:pPr>
        <w:ind w:firstLine="567"/>
        <w:rPr>
          <w:i/>
          <w:szCs w:val="24"/>
          <w:lang w:val="es-419"/>
        </w:rPr>
      </w:pPr>
      <w:r w:rsidRPr="00B41060">
        <w:rPr>
          <w:i/>
          <w:lang w:val="es-419"/>
        </w:rPr>
        <w:t>Ejemplo:</w:t>
      </w:r>
    </w:p>
    <w:p w:rsidR="00D57A26" w:rsidRPr="00B41060" w:rsidRDefault="00D57A26" w:rsidP="00D57A26">
      <w:pPr>
        <w:rPr>
          <w:szCs w:val="24"/>
          <w:lang w:val="es-419"/>
        </w:rPr>
      </w:pPr>
    </w:p>
    <w:p w:rsidR="00D57A26" w:rsidRPr="00B41060" w:rsidRDefault="00D57A26" w:rsidP="00D57A26">
      <w:pPr>
        <w:autoSpaceDE w:val="0"/>
        <w:autoSpaceDN w:val="0"/>
        <w:adjustRightInd w:val="0"/>
        <w:rPr>
          <w:color w:val="000000"/>
          <w:szCs w:val="24"/>
          <w:lang w:val="es-419"/>
        </w:rPr>
      </w:pPr>
      <w:r w:rsidRPr="00B41060">
        <w:rPr>
          <w:color w:val="000000"/>
          <w:lang w:val="es-419"/>
        </w:rPr>
        <w:t>En el caso de una muestra de</w:t>
      </w:r>
      <w:r w:rsidR="00ED5EE9">
        <w:rPr>
          <w:color w:val="000000"/>
          <w:lang w:val="es-419"/>
        </w:rPr>
        <w:t xml:space="preserve"> </w:t>
      </w:r>
      <w:r w:rsidRPr="00B41060">
        <w:rPr>
          <w:color w:val="000000"/>
          <w:lang w:val="es-419"/>
        </w:rPr>
        <w:t>100 plantas, el número aceptable de plantas fuera de tipo es</w:t>
      </w:r>
      <w:r w:rsidR="00ED5EE9">
        <w:rPr>
          <w:color w:val="000000"/>
          <w:lang w:val="es-419"/>
        </w:rPr>
        <w:t xml:space="preserve"> </w:t>
      </w:r>
      <w:r w:rsidRPr="00B41060">
        <w:rPr>
          <w:color w:val="000000"/>
          <w:lang w:val="es-419"/>
        </w:rPr>
        <w:t>3 (aplicando una población estándar del</w:t>
      </w:r>
      <w:r w:rsidR="00ED5EE9">
        <w:rPr>
          <w:color w:val="000000"/>
          <w:lang w:val="es-419"/>
        </w:rPr>
        <w:t xml:space="preserve"> </w:t>
      </w:r>
      <w:r w:rsidRPr="00B41060">
        <w:rPr>
          <w:color w:val="000000"/>
          <w:lang w:val="es-419"/>
        </w:rPr>
        <w:t>1% y una probabilidad de aceptación del</w:t>
      </w:r>
      <w:r w:rsidR="00ED5EE9">
        <w:rPr>
          <w:color w:val="000000"/>
          <w:lang w:val="es-419"/>
        </w:rPr>
        <w:t xml:space="preserve"> </w:t>
      </w:r>
      <w:r w:rsidRPr="00B41060">
        <w:rPr>
          <w:color w:val="000000"/>
          <w:lang w:val="es-419"/>
        </w:rPr>
        <w:t>95% como mínimo).</w:t>
      </w:r>
    </w:p>
    <w:p w:rsidR="00D57A26" w:rsidRPr="00B41060" w:rsidRDefault="00D57A26" w:rsidP="00D57A26">
      <w:pPr>
        <w:autoSpaceDE w:val="0"/>
        <w:autoSpaceDN w:val="0"/>
        <w:adjustRightInd w:val="0"/>
        <w:rPr>
          <w:color w:val="000000"/>
          <w:szCs w:val="24"/>
          <w:lang w:val="es-419"/>
        </w:rPr>
      </w:pPr>
    </w:p>
    <w:p w:rsidR="00D57A26" w:rsidRPr="00B41060" w:rsidRDefault="00D57A26" w:rsidP="00D57A26">
      <w:pPr>
        <w:autoSpaceDE w:val="0"/>
        <w:autoSpaceDN w:val="0"/>
        <w:adjustRightInd w:val="0"/>
        <w:rPr>
          <w:color w:val="000000"/>
          <w:szCs w:val="24"/>
          <w:lang w:val="es-419"/>
        </w:rPr>
      </w:pPr>
      <w:r w:rsidRPr="00B41060">
        <w:rPr>
          <w:color w:val="000000"/>
          <w:lang w:val="es-419"/>
        </w:rPr>
        <w:t xml:space="preserve">En una </w:t>
      </w:r>
      <w:proofErr w:type="spellStart"/>
      <w:r w:rsidRPr="00B41060">
        <w:rPr>
          <w:color w:val="000000"/>
          <w:lang w:val="es-419"/>
        </w:rPr>
        <w:t>submuestra</w:t>
      </w:r>
      <w:proofErr w:type="spellEnd"/>
      <w:r w:rsidRPr="00B41060">
        <w:rPr>
          <w:color w:val="000000"/>
          <w:lang w:val="es-419"/>
        </w:rPr>
        <w:t xml:space="preserve"> de</w:t>
      </w:r>
      <w:r w:rsidR="00ED5EE9">
        <w:rPr>
          <w:color w:val="000000"/>
          <w:lang w:val="es-419"/>
        </w:rPr>
        <w:t xml:space="preserve"> </w:t>
      </w:r>
      <w:r w:rsidRPr="00B41060">
        <w:rPr>
          <w:color w:val="000000"/>
          <w:lang w:val="es-419"/>
        </w:rPr>
        <w:t>20 plantas utilizada en el contexto de la antedicha muestra de</w:t>
      </w:r>
      <w:r w:rsidR="00ED5EE9">
        <w:rPr>
          <w:color w:val="000000"/>
          <w:lang w:val="es-419"/>
        </w:rPr>
        <w:t xml:space="preserve"> </w:t>
      </w:r>
      <w:r w:rsidRPr="00B41060">
        <w:rPr>
          <w:color w:val="000000"/>
          <w:lang w:val="es-419"/>
        </w:rPr>
        <w:t>100 plantas:</w:t>
      </w:r>
    </w:p>
    <w:p w:rsidR="00D57A26" w:rsidRPr="00B41060" w:rsidRDefault="00D57A26" w:rsidP="00D57A26">
      <w:pPr>
        <w:autoSpaceDE w:val="0"/>
        <w:autoSpaceDN w:val="0"/>
        <w:adjustRightInd w:val="0"/>
        <w:rPr>
          <w:color w:val="000000"/>
          <w:szCs w:val="24"/>
          <w:lang w:val="es-419"/>
        </w:rPr>
      </w:pPr>
    </w:p>
    <w:p w:rsidR="00D57A26" w:rsidRPr="00B41060" w:rsidRDefault="00D57A26" w:rsidP="00D57A26">
      <w:pPr>
        <w:rPr>
          <w:lang w:val="es-419"/>
        </w:rPr>
      </w:pPr>
      <w:r w:rsidRPr="00B41060">
        <w:rPr>
          <w:lang w:val="es-419"/>
        </w:rPr>
        <w:t xml:space="preserve">Se considera que una variedad es homogénea si no se observan plantas fuera de tipo en la </w:t>
      </w:r>
      <w:proofErr w:type="spellStart"/>
      <w:r w:rsidRPr="00B41060">
        <w:rPr>
          <w:lang w:val="es-419"/>
        </w:rPr>
        <w:t>submuestra</w:t>
      </w:r>
      <w:proofErr w:type="spellEnd"/>
      <w:r w:rsidRPr="00B41060">
        <w:rPr>
          <w:lang w:val="es-419"/>
        </w:rPr>
        <w:t>.</w:t>
      </w:r>
    </w:p>
    <w:p w:rsidR="00D57A26" w:rsidRPr="00B41060" w:rsidRDefault="00D57A26" w:rsidP="00D57A26">
      <w:pPr>
        <w:rPr>
          <w:lang w:val="es-419"/>
        </w:rPr>
      </w:pPr>
    </w:p>
    <w:p w:rsidR="00D57A26" w:rsidRPr="00B41060" w:rsidRDefault="00D57A26" w:rsidP="00D57A26">
      <w:pPr>
        <w:rPr>
          <w:lang w:val="es-419"/>
        </w:rPr>
      </w:pPr>
      <w:r w:rsidRPr="00B41060">
        <w:rPr>
          <w:lang w:val="es-419"/>
        </w:rPr>
        <w:t xml:space="preserve">Se considera que una variedad no es homogénea si el número de plantas fuera de tipo en la </w:t>
      </w:r>
      <w:proofErr w:type="spellStart"/>
      <w:r w:rsidRPr="00B41060">
        <w:rPr>
          <w:lang w:val="es-419"/>
        </w:rPr>
        <w:t>submuestra</w:t>
      </w:r>
      <w:proofErr w:type="spellEnd"/>
      <w:r w:rsidRPr="00B41060">
        <w:rPr>
          <w:lang w:val="es-419"/>
        </w:rPr>
        <w:t xml:space="preserve"> es mayor de</w:t>
      </w:r>
      <w:r w:rsidR="00ED5EE9">
        <w:rPr>
          <w:lang w:val="es-419"/>
        </w:rPr>
        <w:t xml:space="preserve"> </w:t>
      </w:r>
      <w:r w:rsidRPr="00B41060">
        <w:rPr>
          <w:lang w:val="es-419"/>
        </w:rPr>
        <w:t>3.</w:t>
      </w:r>
    </w:p>
    <w:p w:rsidR="00D57A26" w:rsidRPr="00B41060" w:rsidRDefault="00D57A26" w:rsidP="00D57A26">
      <w:pPr>
        <w:rPr>
          <w:lang w:val="es-419"/>
        </w:rPr>
      </w:pPr>
    </w:p>
    <w:p w:rsidR="00D57A26" w:rsidRPr="00B41060" w:rsidRDefault="00D57A26" w:rsidP="00D57A26">
      <w:pPr>
        <w:rPr>
          <w:lang w:val="es-419"/>
        </w:rPr>
      </w:pPr>
      <w:r w:rsidRPr="00B41060">
        <w:rPr>
          <w:lang w:val="es-419"/>
        </w:rPr>
        <w:t>Si el número de plantas fuera de tipo está entre</w:t>
      </w:r>
      <w:r w:rsidR="00ED5EE9">
        <w:rPr>
          <w:lang w:val="es-419"/>
        </w:rPr>
        <w:t xml:space="preserve"> </w:t>
      </w:r>
      <w:r w:rsidRPr="00B41060">
        <w:rPr>
          <w:lang w:val="es-419"/>
        </w:rPr>
        <w:t>1 y</w:t>
      </w:r>
      <w:r w:rsidR="00ED5EE9">
        <w:rPr>
          <w:lang w:val="es-419"/>
        </w:rPr>
        <w:t xml:space="preserve"> </w:t>
      </w:r>
      <w:r w:rsidRPr="00B41060">
        <w:rPr>
          <w:lang w:val="es-419"/>
        </w:rPr>
        <w:t>3, se evalúa toda la muestra de</w:t>
      </w:r>
      <w:r w:rsidR="00ED5EE9">
        <w:rPr>
          <w:lang w:val="es-419"/>
        </w:rPr>
        <w:t xml:space="preserve"> </w:t>
      </w:r>
      <w:r w:rsidRPr="00B41060">
        <w:rPr>
          <w:lang w:val="es-419"/>
        </w:rPr>
        <w:t>100 plantas.</w:t>
      </w:r>
    </w:p>
    <w:p w:rsidR="00D57A26" w:rsidRPr="00B41060" w:rsidRDefault="00D57A26" w:rsidP="00D57A26">
      <w:pPr>
        <w:rPr>
          <w:lang w:val="es-419"/>
        </w:rPr>
      </w:pPr>
    </w:p>
    <w:p w:rsidR="00D57A26" w:rsidRPr="00B41060" w:rsidRDefault="00D57A26" w:rsidP="00D57A26">
      <w:pPr>
        <w:rPr>
          <w:lang w:val="es-419"/>
        </w:rPr>
      </w:pPr>
      <w:r w:rsidRPr="00B41060">
        <w:rPr>
          <w:lang w:val="es-419"/>
        </w:rPr>
        <w:t>Si el número de plantas fuera de tipo de la muestra de 100</w:t>
      </w:r>
      <w:r w:rsidR="00ED5EE9">
        <w:rPr>
          <w:lang w:val="es-419"/>
        </w:rPr>
        <w:t xml:space="preserve"> </w:t>
      </w:r>
      <w:r w:rsidRPr="00B41060">
        <w:rPr>
          <w:lang w:val="es-419"/>
        </w:rPr>
        <w:t>plantas es mayor que 3, se considera que la variedad no es homogénea.</w:t>
      </w:r>
    </w:p>
    <w:p w:rsidR="00D57A26" w:rsidRPr="00B41060" w:rsidRDefault="00D57A26" w:rsidP="00D57A26">
      <w:pPr>
        <w:rPr>
          <w:lang w:val="es-419"/>
        </w:rPr>
      </w:pPr>
    </w:p>
    <w:p w:rsidR="00D57A26" w:rsidRPr="00B41060" w:rsidRDefault="00D57A26" w:rsidP="00D57A26">
      <w:pPr>
        <w:rPr>
          <w:lang w:val="es-419"/>
        </w:rPr>
      </w:pPr>
    </w:p>
    <w:p w:rsidR="00D57A26" w:rsidRPr="00B41060" w:rsidRDefault="00D57A26" w:rsidP="00D57A26">
      <w:pPr>
        <w:rPr>
          <w:lang w:val="es-419"/>
        </w:rPr>
      </w:pPr>
    </w:p>
    <w:p w:rsidR="00D57A26" w:rsidRPr="00B41060" w:rsidRDefault="00D57A26" w:rsidP="00D57A26">
      <w:pPr>
        <w:jc w:val="right"/>
        <w:rPr>
          <w:lang w:val="es-419"/>
        </w:rPr>
      </w:pPr>
      <w:r w:rsidRPr="00B41060">
        <w:rPr>
          <w:lang w:val="es-419"/>
        </w:rPr>
        <w:t>[Sigue el Anexo</w:t>
      </w:r>
      <w:r w:rsidR="00ED5EE9">
        <w:rPr>
          <w:lang w:val="es-419"/>
        </w:rPr>
        <w:t xml:space="preserve"> </w:t>
      </w:r>
      <w:r w:rsidRPr="00B41060">
        <w:rPr>
          <w:lang w:val="es-419"/>
        </w:rPr>
        <w:t>IV]</w:t>
      </w:r>
    </w:p>
    <w:p w:rsidR="00B43ACC" w:rsidRPr="00B41060" w:rsidRDefault="00B43ACC" w:rsidP="00B43ACC">
      <w:pPr>
        <w:jc w:val="right"/>
        <w:rPr>
          <w:rFonts w:cs="Arial"/>
          <w:lang w:val="es-419"/>
        </w:rPr>
        <w:sectPr w:rsidR="00B43ACC" w:rsidRPr="00B41060" w:rsidSect="000230A9">
          <w:headerReference w:type="default" r:id="rId22"/>
          <w:headerReference w:type="first" r:id="rId23"/>
          <w:footnotePr>
            <w:numRestart w:val="eachSect"/>
          </w:footnotePr>
          <w:pgSz w:w="11907" w:h="16840" w:code="9"/>
          <w:pgMar w:top="510" w:right="1134" w:bottom="1134" w:left="1134" w:header="510" w:footer="680" w:gutter="0"/>
          <w:pgNumType w:start="1"/>
          <w:cols w:space="720"/>
          <w:titlePg/>
        </w:sectPr>
      </w:pPr>
    </w:p>
    <w:p w:rsidR="00D57A26" w:rsidRPr="00B41060" w:rsidRDefault="00D57A26" w:rsidP="00D57A26">
      <w:pPr>
        <w:jc w:val="center"/>
        <w:rPr>
          <w:lang w:val="es-419"/>
        </w:rPr>
      </w:pPr>
      <w:r w:rsidRPr="00B41060">
        <w:rPr>
          <w:caps/>
          <w:lang w:val="es-419"/>
        </w:rPr>
        <w:lastRenderedPageBreak/>
        <w:t>REVISIONES DEL documento</w:t>
      </w:r>
      <w:r w:rsidR="00ED5EE9">
        <w:rPr>
          <w:caps/>
          <w:lang w:val="es-419"/>
        </w:rPr>
        <w:t xml:space="preserve"> </w:t>
      </w:r>
      <w:r w:rsidRPr="00B41060">
        <w:rPr>
          <w:caps/>
          <w:lang w:val="es-419"/>
        </w:rPr>
        <w:t xml:space="preserve">TGP/14 “Glosario de términos utilizados en los documentos de la UPOV” </w:t>
      </w:r>
      <w:r w:rsidRPr="00B41060">
        <w:rPr>
          <w:lang w:val="es-419"/>
        </w:rPr>
        <w:t>CONVENIDO POR EL COMITÉ TÉCNICO EN SUS SESIONES QUINCUAGÉSIMA TERCERA</w:t>
      </w:r>
      <w:r w:rsidRPr="00B41060">
        <w:rPr>
          <w:rStyle w:val="FootnoteReference"/>
          <w:lang w:val="es-419"/>
        </w:rPr>
        <w:footnoteReference w:id="11"/>
      </w:r>
      <w:r w:rsidRPr="00B41060">
        <w:rPr>
          <w:lang w:val="es-419"/>
        </w:rPr>
        <w:t xml:space="preserve"> Y QUINCUAGÉSIMA CUARTA</w:t>
      </w:r>
      <w:r w:rsidRPr="00B41060">
        <w:rPr>
          <w:rStyle w:val="FootnoteReference"/>
          <w:lang w:val="es-419"/>
        </w:rPr>
        <w:footnoteReference w:id="12"/>
      </w:r>
    </w:p>
    <w:p w:rsidR="00D57A26" w:rsidRPr="00B41060" w:rsidRDefault="00D57A26" w:rsidP="00D57A26">
      <w:pPr>
        <w:rPr>
          <w:lang w:val="es-419"/>
        </w:rPr>
      </w:pPr>
    </w:p>
    <w:p w:rsidR="00D57A26" w:rsidRPr="00B41060" w:rsidRDefault="00D57A26" w:rsidP="00D57A26">
      <w:pPr>
        <w:rPr>
          <w:lang w:val="es-419"/>
        </w:rPr>
      </w:pPr>
    </w:p>
    <w:p w:rsidR="00D57A26" w:rsidRPr="00B41060" w:rsidRDefault="00D57A26" w:rsidP="00D57A26">
      <w:pPr>
        <w:rPr>
          <w:u w:val="single"/>
          <w:lang w:val="es-419"/>
        </w:rPr>
      </w:pPr>
      <w:r w:rsidRPr="00B41060">
        <w:rPr>
          <w:u w:val="single"/>
          <w:lang w:val="es-419"/>
        </w:rPr>
        <w:t>i)</w:t>
      </w:r>
      <w:r w:rsidRPr="00B41060">
        <w:rPr>
          <w:u w:val="single"/>
          <w:lang w:val="es-419"/>
        </w:rPr>
        <w:tab/>
        <w:t>Ilustraciones para los caracteres relacionados con la forma y con una relación</w:t>
      </w:r>
    </w:p>
    <w:p w:rsidR="00D57A26" w:rsidRPr="00B41060" w:rsidRDefault="00D57A26" w:rsidP="00D57A26">
      <w:pPr>
        <w:rPr>
          <w:snapToGrid w:val="0"/>
          <w:lang w:val="es-419"/>
        </w:rPr>
      </w:pPr>
    </w:p>
    <w:p w:rsidR="00D57A26" w:rsidRPr="00B41060" w:rsidRDefault="00D57A26" w:rsidP="00D57A26">
      <w:pPr>
        <w:rPr>
          <w:lang w:val="es-419"/>
        </w:rPr>
      </w:pPr>
      <w:r w:rsidRPr="00B41060">
        <w:rPr>
          <w:lang w:val="es-419"/>
        </w:rPr>
        <w:fldChar w:fldCharType="begin"/>
      </w:r>
      <w:r w:rsidRPr="00B41060">
        <w:rPr>
          <w:lang w:val="es-419"/>
        </w:rPr>
        <w:instrText xml:space="preserve"> AUTONUM  </w:instrText>
      </w:r>
      <w:r w:rsidRPr="00B41060">
        <w:rPr>
          <w:lang w:val="es-419"/>
        </w:rPr>
        <w:fldChar w:fldCharType="end"/>
      </w:r>
      <w:r w:rsidRPr="00B41060">
        <w:rPr>
          <w:lang w:val="es-419"/>
        </w:rPr>
        <w:tab/>
        <w:t>En su quincuagésima tercera sesión, el TC convino en revisar el documento</w:t>
      </w:r>
      <w:r w:rsidR="00ED5EE9">
        <w:rPr>
          <w:lang w:val="es-419"/>
        </w:rPr>
        <w:t xml:space="preserve"> </w:t>
      </w:r>
      <w:r w:rsidRPr="00B41060">
        <w:rPr>
          <w:lang w:val="es-419"/>
        </w:rPr>
        <w:t>TGP/14: sección</w:t>
      </w:r>
      <w:r w:rsidR="00ED5EE9">
        <w:rPr>
          <w:lang w:val="es-419"/>
        </w:rPr>
        <w:t xml:space="preserve"> </w:t>
      </w:r>
      <w:r w:rsidRPr="00B41060">
        <w:rPr>
          <w:lang w:val="es-419"/>
        </w:rPr>
        <w:t xml:space="preserve">2: subsección 2: “Formas y estructuras”, para modificar el cuadro de la posición de la parte más ancha y la relación longitud/anchura, presentado en la variante 2 del ejemplo 5, y eliminar el texto “relación” e indicar “anchura relativa” en una columna diferente de la escala de “ancha a estrecha” para que el texto sea el siguiente (véase el párrafo 141 del documento TC/53/31 “Informe”) (se indican las eliminaciones mediante </w:t>
      </w:r>
      <w:r w:rsidRPr="00B41060">
        <w:rPr>
          <w:strike/>
          <w:highlight w:val="lightGray"/>
          <w:lang w:val="es-419"/>
        </w:rPr>
        <w:t>sombreado y tachado</w:t>
      </w:r>
      <w:r w:rsidRPr="00B41060">
        <w:rPr>
          <w:lang w:val="es-419"/>
        </w:rPr>
        <w:t xml:space="preserve"> y los añadidos mediante </w:t>
      </w:r>
      <w:r w:rsidRPr="00B41060">
        <w:rPr>
          <w:highlight w:val="lightGray"/>
          <w:u w:val="single"/>
          <w:lang w:val="es-419"/>
        </w:rPr>
        <w:t>sombreado y subrayado</w:t>
      </w:r>
      <w:r w:rsidRPr="00B41060">
        <w:rPr>
          <w:lang w:val="es-419"/>
        </w:rPr>
        <w:t>):</w:t>
      </w:r>
    </w:p>
    <w:p w:rsidR="00D57A26" w:rsidRPr="00B41060" w:rsidRDefault="00D57A26" w:rsidP="00D57A26">
      <w:pPr>
        <w:keepNext/>
        <w:keepLines/>
        <w:rPr>
          <w:lang w:val="es-4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
        <w:gridCol w:w="422"/>
        <w:gridCol w:w="7"/>
        <w:gridCol w:w="276"/>
        <w:gridCol w:w="7"/>
        <w:gridCol w:w="1420"/>
        <w:gridCol w:w="1389"/>
        <w:gridCol w:w="19"/>
        <w:gridCol w:w="1370"/>
        <w:gridCol w:w="48"/>
        <w:gridCol w:w="1340"/>
        <w:gridCol w:w="1389"/>
        <w:gridCol w:w="1375"/>
        <w:gridCol w:w="14"/>
      </w:tblGrid>
      <w:tr w:rsidR="00D57A26" w:rsidRPr="00B41060" w:rsidTr="000230A9">
        <w:trPr>
          <w:gridBefore w:val="1"/>
          <w:gridAfter w:val="1"/>
          <w:wBefore w:w="379" w:type="dxa"/>
          <w:wAfter w:w="14" w:type="dxa"/>
          <w:cantSplit/>
          <w:jc w:val="center"/>
        </w:trPr>
        <w:tc>
          <w:tcPr>
            <w:tcW w:w="422" w:type="dxa"/>
            <w:tcBorders>
              <w:top w:val="nil"/>
              <w:left w:val="nil"/>
              <w:bottom w:val="nil"/>
              <w:right w:val="nil"/>
            </w:tcBorders>
          </w:tcPr>
          <w:p w:rsidR="00D57A26" w:rsidRPr="00B41060" w:rsidRDefault="00D57A26" w:rsidP="000230A9">
            <w:pPr>
              <w:keepNext/>
              <w:keepLines/>
              <w:jc w:val="center"/>
              <w:rPr>
                <w:sz w:val="18"/>
                <w:lang w:val="es-419"/>
              </w:rPr>
            </w:pPr>
          </w:p>
        </w:tc>
        <w:tc>
          <w:tcPr>
            <w:tcW w:w="283" w:type="dxa"/>
            <w:gridSpan w:val="2"/>
            <w:tcBorders>
              <w:top w:val="nil"/>
              <w:left w:val="nil"/>
              <w:bottom w:val="nil"/>
              <w:right w:val="nil"/>
            </w:tcBorders>
          </w:tcPr>
          <w:p w:rsidR="00D57A26" w:rsidRPr="00B41060" w:rsidRDefault="00D57A26" w:rsidP="000230A9">
            <w:pPr>
              <w:keepNext/>
              <w:keepLines/>
              <w:jc w:val="center"/>
              <w:rPr>
                <w:sz w:val="18"/>
                <w:lang w:val="es-419"/>
              </w:rPr>
            </w:pPr>
          </w:p>
        </w:tc>
        <w:tc>
          <w:tcPr>
            <w:tcW w:w="8357" w:type="dxa"/>
            <w:gridSpan w:val="9"/>
            <w:tcBorders>
              <w:left w:val="single" w:sz="4" w:space="0" w:color="auto"/>
              <w:bottom w:val="nil"/>
            </w:tcBorders>
          </w:tcPr>
          <w:p w:rsidR="00D57A26" w:rsidRPr="00B41060" w:rsidRDefault="00D57A26" w:rsidP="000230A9">
            <w:pPr>
              <w:keepNext/>
              <w:keepLines/>
              <w:jc w:val="center"/>
              <w:rPr>
                <w:sz w:val="18"/>
                <w:lang w:val="es-419"/>
              </w:rPr>
            </w:pPr>
            <w:r w:rsidRPr="00B41060">
              <w:rPr>
                <w:lang w:val="es-419"/>
              </w:rPr>
              <w:tab/>
            </w:r>
            <w:r w:rsidRPr="00B41060">
              <w:rPr>
                <w:noProof/>
                <w:sz w:val="18"/>
                <w:lang w:val="es-419"/>
              </w:rPr>
              <w:sym w:font="Wingdings" w:char="F0DF"/>
            </w:r>
            <w:r w:rsidRPr="00B41060">
              <w:rPr>
                <w:lang w:val="es-419"/>
              </w:rPr>
              <w:tab/>
            </w:r>
            <w:r w:rsidRPr="00B41060">
              <w:rPr>
                <w:lang w:val="es-419"/>
              </w:rPr>
              <w:tab/>
              <w:t>parte más ancha</w:t>
            </w:r>
            <w:r w:rsidRPr="00B41060">
              <w:rPr>
                <w:lang w:val="es-419"/>
              </w:rPr>
              <w:tab/>
            </w:r>
            <w:r w:rsidRPr="00B41060">
              <w:rPr>
                <w:lang w:val="es-419"/>
              </w:rPr>
              <w:tab/>
            </w:r>
            <w:r w:rsidRPr="00B41060">
              <w:rPr>
                <w:noProof/>
                <w:sz w:val="18"/>
                <w:lang w:val="es-419"/>
              </w:rPr>
              <w:sym w:font="Wingdings" w:char="F0E0"/>
            </w:r>
            <w:r w:rsidRPr="00B41060">
              <w:rPr>
                <w:noProof/>
                <w:sz w:val="18"/>
                <w:lang w:val="es-419"/>
              </w:rPr>
              <w:t xml:space="preserve"> </w:t>
            </w:r>
            <w:r w:rsidRPr="00B41060">
              <w:rPr>
                <w:lang w:val="es-419"/>
              </w:rPr>
              <w:tab/>
            </w:r>
          </w:p>
        </w:tc>
      </w:tr>
      <w:tr w:rsidR="00D57A26" w:rsidRPr="00B41060" w:rsidTr="000230A9">
        <w:trPr>
          <w:gridBefore w:val="1"/>
          <w:gridAfter w:val="1"/>
          <w:wBefore w:w="379" w:type="dxa"/>
          <w:wAfter w:w="14" w:type="dxa"/>
          <w:cantSplit/>
          <w:jc w:val="center"/>
        </w:trPr>
        <w:tc>
          <w:tcPr>
            <w:tcW w:w="422" w:type="dxa"/>
            <w:tcBorders>
              <w:top w:val="nil"/>
              <w:left w:val="nil"/>
              <w:bottom w:val="nil"/>
              <w:right w:val="nil"/>
            </w:tcBorders>
          </w:tcPr>
          <w:p w:rsidR="00D57A26" w:rsidRPr="00B41060" w:rsidRDefault="00D57A26" w:rsidP="000230A9">
            <w:pPr>
              <w:jc w:val="center"/>
              <w:rPr>
                <w:sz w:val="18"/>
                <w:lang w:val="es-419"/>
              </w:rPr>
            </w:pPr>
          </w:p>
        </w:tc>
        <w:tc>
          <w:tcPr>
            <w:tcW w:w="283" w:type="dxa"/>
            <w:gridSpan w:val="2"/>
            <w:tcBorders>
              <w:top w:val="nil"/>
              <w:left w:val="nil"/>
              <w:bottom w:val="nil"/>
              <w:right w:val="nil"/>
            </w:tcBorders>
          </w:tcPr>
          <w:p w:rsidR="00D57A26" w:rsidRPr="00B41060" w:rsidRDefault="00D57A26" w:rsidP="000230A9">
            <w:pPr>
              <w:jc w:val="center"/>
              <w:rPr>
                <w:sz w:val="18"/>
                <w:lang w:val="es-419"/>
              </w:rPr>
            </w:pPr>
          </w:p>
        </w:tc>
        <w:tc>
          <w:tcPr>
            <w:tcW w:w="2835" w:type="dxa"/>
            <w:gridSpan w:val="4"/>
            <w:tcBorders>
              <w:top w:val="single" w:sz="4" w:space="0" w:color="auto"/>
              <w:left w:val="single" w:sz="4" w:space="0" w:color="auto"/>
              <w:bottom w:val="single" w:sz="4" w:space="0" w:color="auto"/>
              <w:right w:val="single" w:sz="4" w:space="0" w:color="auto"/>
            </w:tcBorders>
          </w:tcPr>
          <w:p w:rsidR="00D57A26" w:rsidRPr="00B41060" w:rsidRDefault="00D57A26" w:rsidP="000230A9">
            <w:pPr>
              <w:jc w:val="center"/>
              <w:rPr>
                <w:sz w:val="18"/>
                <w:lang w:val="es-419"/>
              </w:rPr>
            </w:pPr>
            <w:r w:rsidRPr="00B41060">
              <w:rPr>
                <w:noProof/>
                <w:sz w:val="18"/>
                <w:lang w:val="es-419"/>
              </w:rPr>
              <w:t xml:space="preserve">por </w:t>
            </w:r>
            <w:r w:rsidR="0092457A">
              <w:rPr>
                <w:noProof/>
                <w:sz w:val="18"/>
                <w:lang w:val="es-419"/>
              </w:rPr>
              <w:t>debajo de la mitad</w:t>
            </w:r>
          </w:p>
        </w:tc>
        <w:tc>
          <w:tcPr>
            <w:tcW w:w="1418" w:type="dxa"/>
            <w:gridSpan w:val="2"/>
            <w:tcBorders>
              <w:top w:val="single" w:sz="4" w:space="0" w:color="auto"/>
              <w:left w:val="single" w:sz="4" w:space="0" w:color="auto"/>
              <w:bottom w:val="single" w:sz="4" w:space="0" w:color="auto"/>
              <w:right w:val="single" w:sz="4" w:space="0" w:color="auto"/>
            </w:tcBorders>
          </w:tcPr>
          <w:p w:rsidR="00D57A26" w:rsidRPr="00B41060" w:rsidRDefault="00D57A26" w:rsidP="000230A9">
            <w:pPr>
              <w:jc w:val="center"/>
              <w:rPr>
                <w:sz w:val="18"/>
                <w:lang w:val="es-419"/>
              </w:rPr>
            </w:pPr>
            <w:r w:rsidRPr="00B41060">
              <w:rPr>
                <w:sz w:val="18"/>
                <w:lang w:val="es-419"/>
              </w:rPr>
              <w:t>en la mitad</w:t>
            </w:r>
          </w:p>
        </w:tc>
        <w:tc>
          <w:tcPr>
            <w:tcW w:w="4104" w:type="dxa"/>
            <w:gridSpan w:val="3"/>
            <w:tcBorders>
              <w:top w:val="single" w:sz="4" w:space="0" w:color="auto"/>
              <w:left w:val="single" w:sz="4" w:space="0" w:color="auto"/>
              <w:bottom w:val="single" w:sz="4" w:space="0" w:color="auto"/>
              <w:right w:val="single" w:sz="4" w:space="0" w:color="auto"/>
            </w:tcBorders>
          </w:tcPr>
          <w:p w:rsidR="00D57A26" w:rsidRPr="00B41060" w:rsidRDefault="0092457A" w:rsidP="000230A9">
            <w:pPr>
              <w:jc w:val="center"/>
              <w:rPr>
                <w:sz w:val="18"/>
                <w:lang w:val="es-419"/>
              </w:rPr>
            </w:pPr>
            <w:r>
              <w:rPr>
                <w:noProof/>
                <w:sz w:val="18"/>
                <w:lang w:val="es-419"/>
              </w:rPr>
              <w:t>por encima de la mitad</w:t>
            </w:r>
          </w:p>
        </w:tc>
      </w:tr>
      <w:tr w:rsidR="00D57A26" w:rsidRPr="00B41060" w:rsidTr="000230A9">
        <w:trPr>
          <w:gridBefore w:val="1"/>
          <w:wBefore w:w="379" w:type="dxa"/>
          <w:trHeight w:val="163"/>
          <w:jc w:val="center"/>
        </w:trPr>
        <w:tc>
          <w:tcPr>
            <w:tcW w:w="429" w:type="dxa"/>
            <w:gridSpan w:val="2"/>
            <w:tcBorders>
              <w:top w:val="nil"/>
              <w:left w:val="nil"/>
              <w:bottom w:val="nil"/>
              <w:right w:val="nil"/>
            </w:tcBorders>
          </w:tcPr>
          <w:p w:rsidR="00D57A26" w:rsidRPr="00B41060" w:rsidRDefault="00D57A26" w:rsidP="000230A9">
            <w:pPr>
              <w:jc w:val="center"/>
              <w:rPr>
                <w:sz w:val="18"/>
                <w:lang w:val="es-419"/>
              </w:rPr>
            </w:pPr>
          </w:p>
        </w:tc>
        <w:tc>
          <w:tcPr>
            <w:tcW w:w="283" w:type="dxa"/>
            <w:gridSpan w:val="2"/>
            <w:tcBorders>
              <w:top w:val="nil"/>
              <w:left w:val="nil"/>
              <w:bottom w:val="nil"/>
              <w:right w:val="nil"/>
            </w:tcBorders>
          </w:tcPr>
          <w:p w:rsidR="00D57A26" w:rsidRPr="00B41060" w:rsidRDefault="00D57A26" w:rsidP="000230A9">
            <w:pPr>
              <w:jc w:val="center"/>
              <w:rPr>
                <w:sz w:val="18"/>
                <w:lang w:val="es-419"/>
              </w:rPr>
            </w:pPr>
          </w:p>
        </w:tc>
        <w:tc>
          <w:tcPr>
            <w:tcW w:w="1420" w:type="dxa"/>
            <w:tcBorders>
              <w:top w:val="nil"/>
              <w:left w:val="nil"/>
              <w:bottom w:val="nil"/>
              <w:right w:val="nil"/>
            </w:tcBorders>
          </w:tcPr>
          <w:p w:rsidR="00D57A26" w:rsidRPr="00B41060" w:rsidRDefault="00D57A26" w:rsidP="000230A9">
            <w:pPr>
              <w:jc w:val="center"/>
              <w:rPr>
                <w:sz w:val="18"/>
                <w:lang w:val="es-419"/>
              </w:rPr>
            </w:pPr>
          </w:p>
        </w:tc>
        <w:tc>
          <w:tcPr>
            <w:tcW w:w="1389" w:type="dxa"/>
            <w:tcBorders>
              <w:top w:val="nil"/>
              <w:left w:val="nil"/>
              <w:bottom w:val="nil"/>
              <w:right w:val="nil"/>
            </w:tcBorders>
          </w:tcPr>
          <w:p w:rsidR="00D57A26" w:rsidRPr="00B41060" w:rsidRDefault="00D57A26" w:rsidP="000230A9">
            <w:pPr>
              <w:jc w:val="center"/>
              <w:rPr>
                <w:sz w:val="18"/>
                <w:lang w:val="es-419"/>
              </w:rPr>
            </w:pPr>
          </w:p>
        </w:tc>
        <w:tc>
          <w:tcPr>
            <w:tcW w:w="1389" w:type="dxa"/>
            <w:gridSpan w:val="2"/>
            <w:tcBorders>
              <w:top w:val="nil"/>
              <w:left w:val="nil"/>
              <w:bottom w:val="nil"/>
              <w:right w:val="nil"/>
            </w:tcBorders>
          </w:tcPr>
          <w:p w:rsidR="00D57A26" w:rsidRPr="00B41060" w:rsidRDefault="00D57A26" w:rsidP="000230A9">
            <w:pPr>
              <w:jc w:val="center"/>
              <w:rPr>
                <w:sz w:val="18"/>
                <w:lang w:val="es-419"/>
              </w:rPr>
            </w:pPr>
          </w:p>
        </w:tc>
        <w:tc>
          <w:tcPr>
            <w:tcW w:w="1388" w:type="dxa"/>
            <w:gridSpan w:val="2"/>
            <w:tcBorders>
              <w:top w:val="nil"/>
              <w:left w:val="nil"/>
              <w:bottom w:val="nil"/>
              <w:right w:val="nil"/>
            </w:tcBorders>
          </w:tcPr>
          <w:p w:rsidR="00D57A26" w:rsidRPr="00B41060" w:rsidRDefault="00D57A26" w:rsidP="000230A9">
            <w:pPr>
              <w:jc w:val="center"/>
              <w:rPr>
                <w:sz w:val="18"/>
                <w:lang w:val="es-419"/>
              </w:rPr>
            </w:pPr>
          </w:p>
        </w:tc>
        <w:tc>
          <w:tcPr>
            <w:tcW w:w="1389" w:type="dxa"/>
            <w:tcBorders>
              <w:top w:val="nil"/>
              <w:left w:val="nil"/>
              <w:bottom w:val="nil"/>
              <w:right w:val="nil"/>
            </w:tcBorders>
          </w:tcPr>
          <w:p w:rsidR="00D57A26" w:rsidRPr="00B41060" w:rsidRDefault="00D57A26" w:rsidP="000230A9">
            <w:pPr>
              <w:jc w:val="center"/>
              <w:rPr>
                <w:sz w:val="18"/>
                <w:lang w:val="es-419"/>
              </w:rPr>
            </w:pPr>
          </w:p>
        </w:tc>
        <w:tc>
          <w:tcPr>
            <w:tcW w:w="1389" w:type="dxa"/>
            <w:gridSpan w:val="2"/>
            <w:tcBorders>
              <w:top w:val="nil"/>
              <w:left w:val="nil"/>
              <w:bottom w:val="nil"/>
              <w:right w:val="nil"/>
            </w:tcBorders>
          </w:tcPr>
          <w:p w:rsidR="00D57A26" w:rsidRPr="00B41060" w:rsidRDefault="00D57A26" w:rsidP="000230A9">
            <w:pPr>
              <w:jc w:val="center"/>
              <w:rPr>
                <w:sz w:val="18"/>
                <w:lang w:val="es-419"/>
              </w:rPr>
            </w:pPr>
          </w:p>
        </w:tc>
      </w:tr>
      <w:tr w:rsidR="00D57A26" w:rsidRPr="00B41060" w:rsidTr="000230A9">
        <w:trPr>
          <w:cantSplit/>
          <w:jc w:val="center"/>
        </w:trPr>
        <w:tc>
          <w:tcPr>
            <w:tcW w:w="379" w:type="dxa"/>
            <w:vMerge w:val="restart"/>
            <w:shd w:val="clear" w:color="auto" w:fill="auto"/>
            <w:textDirection w:val="btLr"/>
          </w:tcPr>
          <w:p w:rsidR="00D57A26" w:rsidRPr="00B41060" w:rsidRDefault="00D57A26" w:rsidP="000230A9">
            <w:pPr>
              <w:ind w:left="113" w:right="113"/>
              <w:jc w:val="center"/>
              <w:rPr>
                <w:noProof/>
                <w:sz w:val="18"/>
                <w:highlight w:val="lightGray"/>
                <w:u w:val="single"/>
                <w:lang w:val="es-419"/>
              </w:rPr>
            </w:pPr>
            <w:r w:rsidRPr="00B41060">
              <w:rPr>
                <w:noProof/>
                <w:sz w:val="18"/>
                <w:highlight w:val="lightGray"/>
                <w:u w:val="single"/>
                <w:lang w:val="es-419"/>
              </w:rPr>
              <w:sym w:font="Wingdings" w:char="F0DF"/>
            </w:r>
            <w:r w:rsidR="0007321B" w:rsidRPr="00B41060">
              <w:rPr>
                <w:noProof/>
                <w:sz w:val="18"/>
                <w:highlight w:val="lightGray"/>
                <w:u w:val="single"/>
                <w:lang w:val="es-419"/>
              </w:rPr>
              <w:tab/>
            </w:r>
            <w:r w:rsidR="0007321B" w:rsidRPr="00B41060">
              <w:rPr>
                <w:noProof/>
                <w:sz w:val="18"/>
                <w:highlight w:val="lightGray"/>
                <w:u w:val="single"/>
                <w:lang w:val="es-419"/>
              </w:rPr>
              <w:tab/>
            </w:r>
            <w:r w:rsidRPr="00B41060">
              <w:rPr>
                <w:noProof/>
                <w:sz w:val="18"/>
                <w:highlight w:val="lightGray"/>
                <w:u w:val="single"/>
                <w:lang w:val="es-419"/>
              </w:rPr>
              <w:t>anchura relativa</w:t>
            </w:r>
            <w:r w:rsidR="0007321B" w:rsidRPr="00B41060">
              <w:rPr>
                <w:noProof/>
                <w:sz w:val="18"/>
                <w:highlight w:val="lightGray"/>
                <w:u w:val="single"/>
                <w:lang w:val="es-419"/>
              </w:rPr>
              <w:tab/>
            </w:r>
            <w:r w:rsidR="0007321B" w:rsidRPr="00B41060">
              <w:rPr>
                <w:noProof/>
                <w:sz w:val="18"/>
                <w:highlight w:val="lightGray"/>
                <w:u w:val="single"/>
                <w:lang w:val="es-419"/>
              </w:rPr>
              <w:tab/>
            </w:r>
            <w:r w:rsidRPr="00B41060">
              <w:rPr>
                <w:noProof/>
                <w:color w:val="000000" w:themeColor="text1"/>
                <w:sz w:val="18"/>
                <w:highlight w:val="lightGray"/>
                <w:u w:val="single"/>
                <w:lang w:val="es-419"/>
              </w:rPr>
              <w:sym w:font="Wingdings" w:char="F0E0"/>
            </w:r>
          </w:p>
        </w:tc>
        <w:tc>
          <w:tcPr>
            <w:tcW w:w="429" w:type="dxa"/>
            <w:gridSpan w:val="2"/>
            <w:vMerge w:val="restart"/>
            <w:tcBorders>
              <w:top w:val="single" w:sz="4" w:space="0" w:color="auto"/>
              <w:right w:val="single" w:sz="4" w:space="0" w:color="auto"/>
            </w:tcBorders>
            <w:textDirection w:val="btLr"/>
          </w:tcPr>
          <w:p w:rsidR="00D57A26" w:rsidRPr="00B41060" w:rsidRDefault="00D57A26" w:rsidP="000230A9">
            <w:pPr>
              <w:ind w:left="113" w:right="113"/>
              <w:jc w:val="center"/>
              <w:rPr>
                <w:sz w:val="18"/>
                <w:szCs w:val="18"/>
                <w:lang w:val="es-419"/>
              </w:rPr>
            </w:pPr>
            <w:r w:rsidRPr="00B41060">
              <w:rPr>
                <w:sz w:val="18"/>
                <w:szCs w:val="18"/>
                <w:lang w:val="es-419"/>
              </w:rPr>
              <w:t xml:space="preserve">ancha </w:t>
            </w:r>
            <w:r w:rsidRPr="00B41060">
              <w:rPr>
                <w:strike/>
                <w:noProof/>
                <w:sz w:val="18"/>
                <w:szCs w:val="18"/>
                <w:highlight w:val="lightGray"/>
                <w:lang w:val="es-419"/>
              </w:rPr>
              <w:t>(</w:t>
            </w:r>
            <w:r w:rsidRPr="00B41060">
              <w:rPr>
                <w:i/>
                <w:strike/>
                <w:sz w:val="18"/>
                <w:szCs w:val="18"/>
                <w:highlight w:val="lightGray"/>
                <w:lang w:val="es-419"/>
              </w:rPr>
              <w:t>baja)</w:t>
            </w:r>
            <w:r w:rsidRPr="00B41060">
              <w:rPr>
                <w:noProof/>
                <w:sz w:val="18"/>
                <w:szCs w:val="18"/>
                <w:lang w:val="es-419"/>
              </w:rPr>
              <w:sym w:font="Wingdings" w:char="F0DF"/>
            </w:r>
            <w:r w:rsidRPr="00B41060">
              <w:rPr>
                <w:sz w:val="18"/>
                <w:szCs w:val="18"/>
                <w:lang w:val="es-419"/>
              </w:rPr>
              <w:tab/>
            </w:r>
            <w:r w:rsidRPr="00B41060">
              <w:rPr>
                <w:strike/>
                <w:sz w:val="18"/>
                <w:szCs w:val="18"/>
                <w:highlight w:val="lightGray"/>
                <w:lang w:val="es-419"/>
              </w:rPr>
              <w:t>anchura</w:t>
            </w:r>
            <w:r w:rsidRPr="00B41060">
              <w:rPr>
                <w:strike/>
                <w:sz w:val="18"/>
                <w:szCs w:val="18"/>
                <w:lang w:val="es-419"/>
              </w:rPr>
              <w:t xml:space="preserve"> </w:t>
            </w:r>
            <w:r w:rsidRPr="00B41060">
              <w:rPr>
                <w:strike/>
                <w:sz w:val="18"/>
                <w:szCs w:val="18"/>
                <w:highlight w:val="lightGray"/>
                <w:lang w:val="es-419"/>
              </w:rPr>
              <w:t>(</w:t>
            </w:r>
            <w:r w:rsidRPr="00B41060">
              <w:rPr>
                <w:strike/>
                <w:color w:val="000000"/>
                <w:sz w:val="18"/>
                <w:szCs w:val="18"/>
                <w:highlight w:val="lightGray"/>
                <w:lang w:val="es-419"/>
              </w:rPr>
              <w:t>relación longitud/anchura)</w:t>
            </w:r>
            <w:r w:rsidRPr="00B41060">
              <w:rPr>
                <w:sz w:val="18"/>
                <w:szCs w:val="18"/>
                <w:lang w:val="es-419"/>
              </w:rPr>
              <w:tab/>
            </w:r>
            <w:r w:rsidRPr="00B41060">
              <w:rPr>
                <w:noProof/>
                <w:sz w:val="18"/>
                <w:szCs w:val="18"/>
                <w:lang w:val="es-419"/>
              </w:rPr>
              <w:sym w:font="Wingdings" w:char="F0E0"/>
            </w:r>
            <w:r w:rsidRPr="00B41060">
              <w:rPr>
                <w:sz w:val="18"/>
                <w:szCs w:val="18"/>
                <w:lang w:val="es-419"/>
              </w:rPr>
              <w:t xml:space="preserve"> estrecha </w:t>
            </w:r>
            <w:r w:rsidRPr="00B41060">
              <w:rPr>
                <w:strike/>
                <w:noProof/>
                <w:sz w:val="18"/>
                <w:szCs w:val="18"/>
                <w:highlight w:val="lightGray"/>
                <w:lang w:val="es-419"/>
              </w:rPr>
              <w:t>(</w:t>
            </w:r>
            <w:r w:rsidRPr="00B41060">
              <w:rPr>
                <w:i/>
                <w:strike/>
                <w:sz w:val="18"/>
                <w:szCs w:val="18"/>
                <w:highlight w:val="lightGray"/>
                <w:lang w:val="es-419"/>
              </w:rPr>
              <w:t>alta</w:t>
            </w:r>
            <w:r w:rsidRPr="00B41060">
              <w:rPr>
                <w:strike/>
                <w:noProof/>
                <w:sz w:val="18"/>
                <w:szCs w:val="18"/>
                <w:highlight w:val="lightGray"/>
                <w:lang w:val="es-419"/>
              </w:rPr>
              <w:t>)</w:t>
            </w:r>
          </w:p>
        </w:tc>
        <w:tc>
          <w:tcPr>
            <w:tcW w:w="283" w:type="dxa"/>
            <w:gridSpan w:val="2"/>
            <w:tcBorders>
              <w:top w:val="nil"/>
              <w:left w:val="nil"/>
              <w:bottom w:val="nil"/>
              <w:right w:val="nil"/>
            </w:tcBorders>
          </w:tcPr>
          <w:p w:rsidR="00D57A26" w:rsidRPr="00B41060" w:rsidRDefault="00D57A26" w:rsidP="000230A9">
            <w:pPr>
              <w:jc w:val="center"/>
              <w:rPr>
                <w:sz w:val="18"/>
                <w:lang w:val="es-419"/>
              </w:rPr>
            </w:pPr>
          </w:p>
        </w:tc>
        <w:tc>
          <w:tcPr>
            <w:tcW w:w="1420" w:type="dxa"/>
            <w:tcBorders>
              <w:left w:val="single" w:sz="4" w:space="0" w:color="auto"/>
            </w:tcBorders>
          </w:tcPr>
          <w:p w:rsidR="00D57A26" w:rsidRPr="00B41060" w:rsidRDefault="00D57A26" w:rsidP="000230A9">
            <w:pPr>
              <w:jc w:val="center"/>
              <w:rPr>
                <w:sz w:val="18"/>
                <w:lang w:val="es-419"/>
              </w:rPr>
            </w:pPr>
          </w:p>
        </w:tc>
        <w:tc>
          <w:tcPr>
            <w:tcW w:w="1389" w:type="dxa"/>
          </w:tcPr>
          <w:p w:rsidR="00D57A26" w:rsidRPr="00B41060" w:rsidRDefault="00D57A26" w:rsidP="000230A9">
            <w:pPr>
              <w:jc w:val="center"/>
              <w:rPr>
                <w:sz w:val="18"/>
                <w:lang w:val="es-419"/>
              </w:rPr>
            </w:pPr>
          </w:p>
        </w:tc>
        <w:tc>
          <w:tcPr>
            <w:tcW w:w="1389" w:type="dxa"/>
            <w:gridSpan w:val="2"/>
          </w:tcPr>
          <w:p w:rsidR="00D57A26" w:rsidRPr="00B41060" w:rsidRDefault="00D57A26" w:rsidP="000230A9">
            <w:pPr>
              <w:jc w:val="center"/>
              <w:rPr>
                <w:sz w:val="18"/>
                <w:lang w:val="es-419"/>
              </w:rPr>
            </w:pPr>
            <w:r w:rsidRPr="00B41060">
              <w:rPr>
                <w:noProof/>
                <w:sz w:val="18"/>
                <w:lang w:val="en-US" w:eastAsia="en-US" w:bidi="ar-SA"/>
              </w:rPr>
              <w:drawing>
                <wp:inline distT="0" distB="0" distL="0" distR="0" wp14:anchorId="626BEB1A" wp14:editId="6127355C">
                  <wp:extent cx="171450" cy="1085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1450" cy="1085850"/>
                          </a:xfrm>
                          <a:prstGeom prst="rect">
                            <a:avLst/>
                          </a:prstGeom>
                          <a:noFill/>
                          <a:ln>
                            <a:noFill/>
                          </a:ln>
                        </pic:spPr>
                      </pic:pic>
                    </a:graphicData>
                  </a:graphic>
                </wp:inline>
              </w:drawing>
            </w:r>
          </w:p>
          <w:p w:rsidR="00D57A26" w:rsidRPr="00B41060" w:rsidRDefault="00D57A26" w:rsidP="000230A9">
            <w:pPr>
              <w:jc w:val="center"/>
              <w:rPr>
                <w:sz w:val="18"/>
                <w:lang w:val="es-419"/>
              </w:rPr>
            </w:pPr>
            <w:r w:rsidRPr="00B41060">
              <w:rPr>
                <w:sz w:val="18"/>
                <w:lang w:val="es-419"/>
              </w:rPr>
              <w:t xml:space="preserve">6 </w:t>
            </w:r>
          </w:p>
          <w:p w:rsidR="00D57A26" w:rsidRPr="00B41060" w:rsidRDefault="00D57A26" w:rsidP="000230A9">
            <w:pPr>
              <w:jc w:val="center"/>
              <w:rPr>
                <w:sz w:val="18"/>
                <w:lang w:val="es-419"/>
              </w:rPr>
            </w:pPr>
            <w:r w:rsidRPr="00B41060">
              <w:rPr>
                <w:sz w:val="18"/>
                <w:lang w:val="es-419"/>
              </w:rPr>
              <w:t>lineal</w:t>
            </w:r>
          </w:p>
        </w:tc>
        <w:tc>
          <w:tcPr>
            <w:tcW w:w="1388" w:type="dxa"/>
            <w:gridSpan w:val="2"/>
          </w:tcPr>
          <w:p w:rsidR="00D57A26" w:rsidRPr="00B41060" w:rsidRDefault="00D57A26" w:rsidP="000230A9">
            <w:pPr>
              <w:jc w:val="center"/>
              <w:rPr>
                <w:sz w:val="18"/>
                <w:lang w:val="es-419"/>
              </w:rPr>
            </w:pPr>
          </w:p>
        </w:tc>
        <w:tc>
          <w:tcPr>
            <w:tcW w:w="1389" w:type="dxa"/>
          </w:tcPr>
          <w:p w:rsidR="00D57A26" w:rsidRPr="00B41060" w:rsidRDefault="00D57A26" w:rsidP="000230A9">
            <w:pPr>
              <w:jc w:val="center"/>
              <w:rPr>
                <w:sz w:val="18"/>
                <w:lang w:val="es-419"/>
              </w:rPr>
            </w:pPr>
          </w:p>
        </w:tc>
        <w:tc>
          <w:tcPr>
            <w:tcW w:w="1389" w:type="dxa"/>
            <w:gridSpan w:val="2"/>
          </w:tcPr>
          <w:p w:rsidR="00D57A26" w:rsidRPr="00B41060" w:rsidRDefault="00D57A26" w:rsidP="000230A9">
            <w:pPr>
              <w:jc w:val="center"/>
              <w:rPr>
                <w:sz w:val="18"/>
                <w:lang w:val="es-419"/>
              </w:rPr>
            </w:pPr>
          </w:p>
        </w:tc>
      </w:tr>
      <w:tr w:rsidR="00D57A26" w:rsidRPr="00B41060" w:rsidTr="000230A9">
        <w:trPr>
          <w:cantSplit/>
          <w:jc w:val="center"/>
        </w:trPr>
        <w:tc>
          <w:tcPr>
            <w:tcW w:w="379" w:type="dxa"/>
            <w:vMerge/>
            <w:shd w:val="clear" w:color="auto" w:fill="auto"/>
          </w:tcPr>
          <w:p w:rsidR="00D57A26" w:rsidRPr="00B41060" w:rsidRDefault="00D57A26" w:rsidP="000230A9">
            <w:pPr>
              <w:jc w:val="center"/>
              <w:rPr>
                <w:sz w:val="18"/>
                <w:lang w:val="es-419"/>
              </w:rPr>
            </w:pPr>
          </w:p>
        </w:tc>
        <w:tc>
          <w:tcPr>
            <w:tcW w:w="429" w:type="dxa"/>
            <w:gridSpan w:val="2"/>
            <w:vMerge/>
            <w:tcBorders>
              <w:right w:val="single" w:sz="4" w:space="0" w:color="auto"/>
            </w:tcBorders>
          </w:tcPr>
          <w:p w:rsidR="00D57A26" w:rsidRPr="00B41060" w:rsidRDefault="00D57A26" w:rsidP="000230A9">
            <w:pPr>
              <w:jc w:val="center"/>
              <w:rPr>
                <w:sz w:val="18"/>
                <w:lang w:val="es-419"/>
              </w:rPr>
            </w:pPr>
          </w:p>
        </w:tc>
        <w:tc>
          <w:tcPr>
            <w:tcW w:w="283" w:type="dxa"/>
            <w:gridSpan w:val="2"/>
            <w:tcBorders>
              <w:top w:val="nil"/>
              <w:left w:val="nil"/>
              <w:bottom w:val="nil"/>
              <w:right w:val="nil"/>
            </w:tcBorders>
          </w:tcPr>
          <w:p w:rsidR="00D57A26" w:rsidRPr="00B41060" w:rsidRDefault="00D57A26" w:rsidP="000230A9">
            <w:pPr>
              <w:jc w:val="center"/>
              <w:rPr>
                <w:sz w:val="18"/>
                <w:lang w:val="es-419"/>
              </w:rPr>
            </w:pPr>
          </w:p>
        </w:tc>
        <w:tc>
          <w:tcPr>
            <w:tcW w:w="1420" w:type="dxa"/>
            <w:tcBorders>
              <w:left w:val="single" w:sz="4" w:space="0" w:color="auto"/>
            </w:tcBorders>
          </w:tcPr>
          <w:p w:rsidR="00D57A26" w:rsidRPr="00B41060" w:rsidRDefault="00D57A26" w:rsidP="000230A9">
            <w:pPr>
              <w:jc w:val="center"/>
              <w:rPr>
                <w:sz w:val="18"/>
                <w:lang w:val="es-419"/>
              </w:rPr>
            </w:pPr>
          </w:p>
        </w:tc>
        <w:tc>
          <w:tcPr>
            <w:tcW w:w="1389" w:type="dxa"/>
          </w:tcPr>
          <w:p w:rsidR="00D57A26" w:rsidRPr="00B41060" w:rsidRDefault="00D57A26" w:rsidP="000230A9">
            <w:pPr>
              <w:jc w:val="center"/>
              <w:rPr>
                <w:sz w:val="18"/>
                <w:lang w:val="es-419"/>
              </w:rPr>
            </w:pPr>
          </w:p>
        </w:tc>
        <w:tc>
          <w:tcPr>
            <w:tcW w:w="1389" w:type="dxa"/>
            <w:gridSpan w:val="2"/>
          </w:tcPr>
          <w:p w:rsidR="00D57A26" w:rsidRPr="00B41060" w:rsidRDefault="00D57A26" w:rsidP="000230A9">
            <w:pPr>
              <w:jc w:val="center"/>
              <w:rPr>
                <w:sz w:val="18"/>
                <w:lang w:val="es-419"/>
              </w:rPr>
            </w:pPr>
            <w:r w:rsidRPr="00B41060">
              <w:rPr>
                <w:noProof/>
                <w:sz w:val="18"/>
                <w:lang w:val="en-US" w:eastAsia="en-US" w:bidi="ar-SA"/>
              </w:rPr>
              <w:drawing>
                <wp:inline distT="0" distB="0" distL="0" distR="0" wp14:anchorId="3837005C" wp14:editId="31159F84">
                  <wp:extent cx="371475" cy="10858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1475" cy="1085850"/>
                          </a:xfrm>
                          <a:prstGeom prst="rect">
                            <a:avLst/>
                          </a:prstGeom>
                          <a:noFill/>
                          <a:ln>
                            <a:noFill/>
                          </a:ln>
                        </pic:spPr>
                      </pic:pic>
                    </a:graphicData>
                  </a:graphic>
                </wp:inline>
              </w:drawing>
            </w:r>
          </w:p>
          <w:p w:rsidR="00D57A26" w:rsidRPr="00B41060" w:rsidRDefault="00D57A26" w:rsidP="000230A9">
            <w:pPr>
              <w:jc w:val="center"/>
              <w:rPr>
                <w:sz w:val="18"/>
                <w:lang w:val="es-419"/>
              </w:rPr>
            </w:pPr>
            <w:r w:rsidRPr="00B41060">
              <w:rPr>
                <w:sz w:val="18"/>
                <w:lang w:val="es-419"/>
              </w:rPr>
              <w:t>5</w:t>
            </w:r>
          </w:p>
          <w:p w:rsidR="00D57A26" w:rsidRPr="00B41060" w:rsidRDefault="00D57A26" w:rsidP="000230A9">
            <w:pPr>
              <w:jc w:val="center"/>
              <w:rPr>
                <w:sz w:val="18"/>
                <w:lang w:val="es-419"/>
              </w:rPr>
            </w:pPr>
            <w:r w:rsidRPr="00B41060">
              <w:rPr>
                <w:sz w:val="18"/>
                <w:lang w:val="es-419"/>
              </w:rPr>
              <w:t>oblonga</w:t>
            </w:r>
          </w:p>
        </w:tc>
        <w:tc>
          <w:tcPr>
            <w:tcW w:w="1388" w:type="dxa"/>
            <w:gridSpan w:val="2"/>
          </w:tcPr>
          <w:p w:rsidR="00D57A26" w:rsidRPr="00B41060" w:rsidRDefault="00D57A26" w:rsidP="000230A9">
            <w:pPr>
              <w:jc w:val="center"/>
              <w:rPr>
                <w:sz w:val="18"/>
                <w:lang w:val="es-419"/>
              </w:rPr>
            </w:pPr>
            <w:r w:rsidRPr="00B41060">
              <w:rPr>
                <w:noProof/>
                <w:sz w:val="18"/>
                <w:lang w:val="en-US" w:eastAsia="en-US" w:bidi="ar-SA"/>
              </w:rPr>
              <w:drawing>
                <wp:inline distT="0" distB="0" distL="0" distR="0" wp14:anchorId="2595597B" wp14:editId="6D9684F2">
                  <wp:extent cx="266700" cy="10858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6700" cy="1085850"/>
                          </a:xfrm>
                          <a:prstGeom prst="rect">
                            <a:avLst/>
                          </a:prstGeom>
                          <a:noFill/>
                          <a:ln>
                            <a:noFill/>
                          </a:ln>
                        </pic:spPr>
                      </pic:pic>
                    </a:graphicData>
                  </a:graphic>
                </wp:inline>
              </w:drawing>
            </w:r>
          </w:p>
          <w:p w:rsidR="00D57A26" w:rsidRPr="00B41060" w:rsidRDefault="00D57A26" w:rsidP="000230A9">
            <w:pPr>
              <w:jc w:val="center"/>
              <w:rPr>
                <w:sz w:val="18"/>
                <w:lang w:val="es-419"/>
              </w:rPr>
            </w:pPr>
            <w:r w:rsidRPr="00B41060">
              <w:rPr>
                <w:sz w:val="18"/>
                <w:lang w:val="es-419"/>
              </w:rPr>
              <w:t>8</w:t>
            </w:r>
          </w:p>
          <w:p w:rsidR="00D57A26" w:rsidRPr="00B41060" w:rsidRDefault="00D57A26" w:rsidP="000230A9">
            <w:pPr>
              <w:jc w:val="center"/>
              <w:rPr>
                <w:sz w:val="18"/>
                <w:lang w:val="es-419"/>
              </w:rPr>
            </w:pPr>
            <w:proofErr w:type="spellStart"/>
            <w:r w:rsidRPr="00B41060">
              <w:rPr>
                <w:sz w:val="18"/>
                <w:lang w:val="es-419"/>
              </w:rPr>
              <w:t>oblanceolada</w:t>
            </w:r>
            <w:proofErr w:type="spellEnd"/>
          </w:p>
        </w:tc>
        <w:tc>
          <w:tcPr>
            <w:tcW w:w="1389" w:type="dxa"/>
          </w:tcPr>
          <w:p w:rsidR="00D57A26" w:rsidRPr="00B41060" w:rsidRDefault="00D57A26" w:rsidP="000230A9">
            <w:pPr>
              <w:jc w:val="center"/>
              <w:rPr>
                <w:sz w:val="18"/>
                <w:lang w:val="es-419"/>
              </w:rPr>
            </w:pPr>
            <w:r w:rsidRPr="00B41060">
              <w:rPr>
                <w:noProof/>
                <w:sz w:val="18"/>
                <w:lang w:val="en-US" w:eastAsia="en-US" w:bidi="ar-SA"/>
              </w:rPr>
              <w:drawing>
                <wp:inline distT="0" distB="0" distL="0" distR="0" wp14:anchorId="427719C5" wp14:editId="6E247D18">
                  <wp:extent cx="304800" cy="10763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4800" cy="1076325"/>
                          </a:xfrm>
                          <a:prstGeom prst="rect">
                            <a:avLst/>
                          </a:prstGeom>
                          <a:noFill/>
                          <a:ln>
                            <a:noFill/>
                          </a:ln>
                        </pic:spPr>
                      </pic:pic>
                    </a:graphicData>
                  </a:graphic>
                </wp:inline>
              </w:drawing>
            </w:r>
          </w:p>
          <w:p w:rsidR="00D57A26" w:rsidRPr="00B41060" w:rsidRDefault="00D57A26" w:rsidP="000230A9">
            <w:pPr>
              <w:jc w:val="center"/>
              <w:rPr>
                <w:sz w:val="18"/>
                <w:lang w:val="es-419"/>
              </w:rPr>
            </w:pPr>
            <w:r w:rsidRPr="00B41060">
              <w:rPr>
                <w:sz w:val="18"/>
                <w:lang w:val="es-419"/>
              </w:rPr>
              <w:t>9</w:t>
            </w:r>
          </w:p>
          <w:p w:rsidR="00D57A26" w:rsidRPr="00B41060" w:rsidRDefault="00D57A26" w:rsidP="000230A9">
            <w:pPr>
              <w:jc w:val="center"/>
              <w:rPr>
                <w:sz w:val="18"/>
                <w:lang w:val="es-419"/>
              </w:rPr>
            </w:pPr>
            <w:r w:rsidRPr="00B41060">
              <w:rPr>
                <w:sz w:val="18"/>
                <w:lang w:val="es-419"/>
              </w:rPr>
              <w:t>espatulada</w:t>
            </w:r>
          </w:p>
        </w:tc>
        <w:tc>
          <w:tcPr>
            <w:tcW w:w="1389" w:type="dxa"/>
            <w:gridSpan w:val="2"/>
          </w:tcPr>
          <w:p w:rsidR="00D57A26" w:rsidRPr="00B41060" w:rsidRDefault="00D57A26" w:rsidP="000230A9">
            <w:pPr>
              <w:jc w:val="center"/>
              <w:rPr>
                <w:sz w:val="18"/>
                <w:lang w:val="es-419"/>
              </w:rPr>
            </w:pPr>
          </w:p>
        </w:tc>
      </w:tr>
      <w:tr w:rsidR="00D57A26" w:rsidRPr="00B41060" w:rsidTr="000230A9">
        <w:trPr>
          <w:cantSplit/>
          <w:jc w:val="center"/>
        </w:trPr>
        <w:tc>
          <w:tcPr>
            <w:tcW w:w="379" w:type="dxa"/>
            <w:vMerge/>
            <w:shd w:val="clear" w:color="auto" w:fill="auto"/>
          </w:tcPr>
          <w:p w:rsidR="00D57A26" w:rsidRPr="00B41060" w:rsidRDefault="00D57A26" w:rsidP="000230A9">
            <w:pPr>
              <w:jc w:val="center"/>
              <w:rPr>
                <w:sz w:val="18"/>
                <w:lang w:val="es-419"/>
              </w:rPr>
            </w:pPr>
          </w:p>
        </w:tc>
        <w:tc>
          <w:tcPr>
            <w:tcW w:w="429" w:type="dxa"/>
            <w:gridSpan w:val="2"/>
            <w:vMerge/>
            <w:tcBorders>
              <w:right w:val="single" w:sz="4" w:space="0" w:color="auto"/>
            </w:tcBorders>
          </w:tcPr>
          <w:p w:rsidR="00D57A26" w:rsidRPr="00B41060" w:rsidRDefault="00D57A26" w:rsidP="000230A9">
            <w:pPr>
              <w:jc w:val="center"/>
              <w:rPr>
                <w:sz w:val="18"/>
                <w:lang w:val="es-419"/>
              </w:rPr>
            </w:pPr>
          </w:p>
        </w:tc>
        <w:tc>
          <w:tcPr>
            <w:tcW w:w="283" w:type="dxa"/>
            <w:gridSpan w:val="2"/>
            <w:tcBorders>
              <w:top w:val="nil"/>
              <w:left w:val="nil"/>
              <w:bottom w:val="nil"/>
              <w:right w:val="nil"/>
            </w:tcBorders>
          </w:tcPr>
          <w:p w:rsidR="00D57A26" w:rsidRPr="00B41060" w:rsidRDefault="00D57A26" w:rsidP="000230A9">
            <w:pPr>
              <w:jc w:val="center"/>
              <w:rPr>
                <w:sz w:val="18"/>
                <w:lang w:val="es-419"/>
              </w:rPr>
            </w:pPr>
          </w:p>
        </w:tc>
        <w:tc>
          <w:tcPr>
            <w:tcW w:w="1420" w:type="dxa"/>
            <w:tcBorders>
              <w:left w:val="single" w:sz="4" w:space="0" w:color="auto"/>
            </w:tcBorders>
          </w:tcPr>
          <w:p w:rsidR="00D57A26" w:rsidRPr="00B41060" w:rsidRDefault="00D57A26" w:rsidP="000230A9">
            <w:pPr>
              <w:jc w:val="center"/>
              <w:rPr>
                <w:sz w:val="18"/>
                <w:lang w:val="es-419"/>
              </w:rPr>
            </w:pPr>
            <w:r w:rsidRPr="00B41060">
              <w:rPr>
                <w:noProof/>
                <w:sz w:val="18"/>
                <w:lang w:val="en-US" w:eastAsia="en-US" w:bidi="ar-SA"/>
              </w:rPr>
              <w:drawing>
                <wp:inline distT="0" distB="0" distL="0" distR="0" wp14:anchorId="08DFFC74" wp14:editId="13E4B600">
                  <wp:extent cx="581025" cy="10477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1025" cy="1047750"/>
                          </a:xfrm>
                          <a:prstGeom prst="rect">
                            <a:avLst/>
                          </a:prstGeom>
                          <a:noFill/>
                          <a:ln>
                            <a:noFill/>
                          </a:ln>
                        </pic:spPr>
                      </pic:pic>
                    </a:graphicData>
                  </a:graphic>
                </wp:inline>
              </w:drawing>
            </w:r>
          </w:p>
          <w:p w:rsidR="00D57A26" w:rsidRPr="00B41060" w:rsidRDefault="00D57A26" w:rsidP="000230A9">
            <w:pPr>
              <w:jc w:val="center"/>
              <w:rPr>
                <w:sz w:val="18"/>
                <w:lang w:val="es-419"/>
              </w:rPr>
            </w:pPr>
            <w:r w:rsidRPr="00B41060">
              <w:rPr>
                <w:sz w:val="18"/>
                <w:lang w:val="es-419"/>
              </w:rPr>
              <w:t xml:space="preserve">1 </w:t>
            </w:r>
          </w:p>
          <w:p w:rsidR="00D57A26" w:rsidRPr="00B41060" w:rsidRDefault="00D57A26" w:rsidP="000230A9">
            <w:pPr>
              <w:jc w:val="center"/>
              <w:rPr>
                <w:sz w:val="18"/>
                <w:lang w:val="es-419"/>
              </w:rPr>
            </w:pPr>
            <w:r w:rsidRPr="00B41060">
              <w:rPr>
                <w:sz w:val="18"/>
                <w:lang w:val="es-419"/>
              </w:rPr>
              <w:t>triangular</w:t>
            </w:r>
          </w:p>
        </w:tc>
        <w:tc>
          <w:tcPr>
            <w:tcW w:w="1389" w:type="dxa"/>
          </w:tcPr>
          <w:p w:rsidR="00D57A26" w:rsidRPr="00B41060" w:rsidRDefault="00D57A26" w:rsidP="000230A9">
            <w:pPr>
              <w:jc w:val="center"/>
              <w:rPr>
                <w:sz w:val="18"/>
                <w:lang w:val="es-419"/>
              </w:rPr>
            </w:pPr>
            <w:r w:rsidRPr="00B41060">
              <w:rPr>
                <w:noProof/>
                <w:sz w:val="18"/>
                <w:lang w:val="en-US" w:eastAsia="en-US" w:bidi="ar-SA"/>
              </w:rPr>
              <w:drawing>
                <wp:inline distT="0" distB="0" distL="0" distR="0" wp14:anchorId="4826D8E5" wp14:editId="155B9A31">
                  <wp:extent cx="504825" cy="10858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4825" cy="1085850"/>
                          </a:xfrm>
                          <a:prstGeom prst="rect">
                            <a:avLst/>
                          </a:prstGeom>
                          <a:noFill/>
                          <a:ln>
                            <a:noFill/>
                          </a:ln>
                        </pic:spPr>
                      </pic:pic>
                    </a:graphicData>
                  </a:graphic>
                </wp:inline>
              </w:drawing>
            </w:r>
          </w:p>
          <w:p w:rsidR="00D57A26" w:rsidRPr="00B41060" w:rsidRDefault="00D57A26" w:rsidP="000230A9">
            <w:pPr>
              <w:jc w:val="center"/>
              <w:rPr>
                <w:sz w:val="18"/>
                <w:lang w:val="es-419"/>
              </w:rPr>
            </w:pPr>
            <w:r w:rsidRPr="00B41060">
              <w:rPr>
                <w:sz w:val="18"/>
                <w:lang w:val="es-419"/>
              </w:rPr>
              <w:t>2</w:t>
            </w:r>
          </w:p>
          <w:p w:rsidR="00D57A26" w:rsidRPr="00B41060" w:rsidRDefault="00D57A26" w:rsidP="000230A9">
            <w:pPr>
              <w:jc w:val="center"/>
              <w:rPr>
                <w:sz w:val="18"/>
                <w:lang w:val="es-419"/>
              </w:rPr>
            </w:pPr>
            <w:r w:rsidRPr="00B41060">
              <w:rPr>
                <w:sz w:val="18"/>
                <w:lang w:val="es-419"/>
              </w:rPr>
              <w:t>oval</w:t>
            </w:r>
          </w:p>
        </w:tc>
        <w:tc>
          <w:tcPr>
            <w:tcW w:w="1389" w:type="dxa"/>
            <w:gridSpan w:val="2"/>
          </w:tcPr>
          <w:p w:rsidR="00D57A26" w:rsidRPr="00B41060" w:rsidRDefault="00D57A26" w:rsidP="000230A9">
            <w:pPr>
              <w:jc w:val="center"/>
              <w:rPr>
                <w:sz w:val="18"/>
                <w:lang w:val="es-419"/>
              </w:rPr>
            </w:pPr>
            <w:r w:rsidRPr="00B41060">
              <w:rPr>
                <w:noProof/>
                <w:sz w:val="18"/>
                <w:lang w:val="en-US" w:eastAsia="en-US" w:bidi="ar-SA"/>
              </w:rPr>
              <w:drawing>
                <wp:inline distT="0" distB="0" distL="0" distR="0" wp14:anchorId="76370AD6" wp14:editId="38A7A70F">
                  <wp:extent cx="457200" cy="10763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57200" cy="1076325"/>
                          </a:xfrm>
                          <a:prstGeom prst="rect">
                            <a:avLst/>
                          </a:prstGeom>
                          <a:noFill/>
                          <a:ln>
                            <a:noFill/>
                          </a:ln>
                        </pic:spPr>
                      </pic:pic>
                    </a:graphicData>
                  </a:graphic>
                </wp:inline>
              </w:drawing>
            </w:r>
          </w:p>
          <w:p w:rsidR="00D57A26" w:rsidRPr="00B41060" w:rsidRDefault="00D57A26" w:rsidP="000230A9">
            <w:pPr>
              <w:jc w:val="center"/>
              <w:rPr>
                <w:sz w:val="18"/>
                <w:lang w:val="es-419"/>
              </w:rPr>
            </w:pPr>
            <w:r w:rsidRPr="00B41060">
              <w:rPr>
                <w:sz w:val="18"/>
                <w:lang w:val="es-419"/>
              </w:rPr>
              <w:t>4</w:t>
            </w:r>
          </w:p>
          <w:p w:rsidR="00D57A26" w:rsidRPr="00B41060" w:rsidRDefault="00D57A26" w:rsidP="000230A9">
            <w:pPr>
              <w:jc w:val="center"/>
              <w:rPr>
                <w:sz w:val="18"/>
                <w:lang w:val="es-419"/>
              </w:rPr>
            </w:pPr>
            <w:r w:rsidRPr="00B41060">
              <w:rPr>
                <w:sz w:val="18"/>
                <w:lang w:val="es-419"/>
              </w:rPr>
              <w:t>elíptica</w:t>
            </w:r>
          </w:p>
        </w:tc>
        <w:tc>
          <w:tcPr>
            <w:tcW w:w="1388" w:type="dxa"/>
            <w:gridSpan w:val="2"/>
          </w:tcPr>
          <w:p w:rsidR="00D57A26" w:rsidRPr="00B41060" w:rsidRDefault="00D57A26" w:rsidP="000230A9">
            <w:pPr>
              <w:jc w:val="center"/>
              <w:rPr>
                <w:sz w:val="18"/>
                <w:lang w:val="es-419"/>
              </w:rPr>
            </w:pPr>
            <w:r w:rsidRPr="00B41060">
              <w:rPr>
                <w:noProof/>
                <w:sz w:val="18"/>
                <w:lang w:val="en-US" w:eastAsia="en-US" w:bidi="ar-SA"/>
              </w:rPr>
              <w:drawing>
                <wp:inline distT="0" distB="0" distL="0" distR="0" wp14:anchorId="12C0B2E8" wp14:editId="059C3A90">
                  <wp:extent cx="533400" cy="10763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33400" cy="1076325"/>
                          </a:xfrm>
                          <a:prstGeom prst="rect">
                            <a:avLst/>
                          </a:prstGeom>
                          <a:noFill/>
                          <a:ln>
                            <a:noFill/>
                          </a:ln>
                        </pic:spPr>
                      </pic:pic>
                    </a:graphicData>
                  </a:graphic>
                </wp:inline>
              </w:drawing>
            </w:r>
          </w:p>
          <w:p w:rsidR="00D57A26" w:rsidRPr="00B41060" w:rsidRDefault="00D57A26" w:rsidP="000230A9">
            <w:pPr>
              <w:jc w:val="center"/>
              <w:rPr>
                <w:sz w:val="18"/>
                <w:lang w:val="es-419"/>
              </w:rPr>
            </w:pPr>
            <w:r w:rsidRPr="00B41060">
              <w:rPr>
                <w:sz w:val="18"/>
                <w:lang w:val="es-419"/>
              </w:rPr>
              <w:t>7</w:t>
            </w:r>
          </w:p>
          <w:p w:rsidR="00D57A26" w:rsidRPr="00B41060" w:rsidRDefault="00D57A26" w:rsidP="000230A9">
            <w:pPr>
              <w:jc w:val="center"/>
              <w:rPr>
                <w:sz w:val="18"/>
                <w:lang w:val="es-419"/>
              </w:rPr>
            </w:pPr>
            <w:proofErr w:type="spellStart"/>
            <w:r w:rsidRPr="00B41060">
              <w:rPr>
                <w:sz w:val="18"/>
                <w:lang w:val="es-419"/>
              </w:rPr>
              <w:t>oboval</w:t>
            </w:r>
            <w:proofErr w:type="spellEnd"/>
          </w:p>
        </w:tc>
        <w:tc>
          <w:tcPr>
            <w:tcW w:w="1389" w:type="dxa"/>
          </w:tcPr>
          <w:p w:rsidR="00D57A26" w:rsidRPr="00B41060" w:rsidRDefault="00D57A26" w:rsidP="000230A9">
            <w:pPr>
              <w:jc w:val="center"/>
              <w:rPr>
                <w:sz w:val="18"/>
                <w:lang w:val="es-419"/>
              </w:rPr>
            </w:pPr>
          </w:p>
        </w:tc>
        <w:tc>
          <w:tcPr>
            <w:tcW w:w="1389" w:type="dxa"/>
            <w:gridSpan w:val="2"/>
          </w:tcPr>
          <w:p w:rsidR="00D57A26" w:rsidRPr="00B41060" w:rsidRDefault="00D57A26" w:rsidP="000230A9">
            <w:pPr>
              <w:jc w:val="center"/>
              <w:rPr>
                <w:sz w:val="18"/>
                <w:lang w:val="es-419"/>
              </w:rPr>
            </w:pPr>
            <w:r w:rsidRPr="00B41060">
              <w:rPr>
                <w:noProof/>
                <w:sz w:val="18"/>
                <w:lang w:val="en-US" w:eastAsia="en-US" w:bidi="ar-SA"/>
              </w:rPr>
              <w:drawing>
                <wp:inline distT="0" distB="0" distL="0" distR="0" wp14:anchorId="557F5657" wp14:editId="11203202">
                  <wp:extent cx="523875" cy="10858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3875" cy="1085850"/>
                          </a:xfrm>
                          <a:prstGeom prst="rect">
                            <a:avLst/>
                          </a:prstGeom>
                          <a:noFill/>
                          <a:ln>
                            <a:noFill/>
                          </a:ln>
                        </pic:spPr>
                      </pic:pic>
                    </a:graphicData>
                  </a:graphic>
                </wp:inline>
              </w:drawing>
            </w:r>
          </w:p>
          <w:p w:rsidR="00D57A26" w:rsidRPr="00B41060" w:rsidRDefault="00D57A26" w:rsidP="000230A9">
            <w:pPr>
              <w:jc w:val="center"/>
              <w:rPr>
                <w:sz w:val="18"/>
                <w:lang w:val="es-419"/>
              </w:rPr>
            </w:pPr>
            <w:r w:rsidRPr="00B41060">
              <w:rPr>
                <w:sz w:val="18"/>
                <w:lang w:val="es-419"/>
              </w:rPr>
              <w:t xml:space="preserve">10 </w:t>
            </w:r>
            <w:proofErr w:type="spellStart"/>
            <w:r w:rsidRPr="00B41060">
              <w:rPr>
                <w:sz w:val="18"/>
                <w:lang w:val="es-419"/>
              </w:rPr>
              <w:t>obtriangular</w:t>
            </w:r>
            <w:proofErr w:type="spellEnd"/>
          </w:p>
        </w:tc>
      </w:tr>
      <w:tr w:rsidR="00D57A26" w:rsidRPr="00B41060" w:rsidTr="000230A9">
        <w:trPr>
          <w:cantSplit/>
          <w:trHeight w:val="2035"/>
          <w:jc w:val="center"/>
        </w:trPr>
        <w:tc>
          <w:tcPr>
            <w:tcW w:w="379" w:type="dxa"/>
            <w:vMerge/>
            <w:shd w:val="clear" w:color="auto" w:fill="auto"/>
          </w:tcPr>
          <w:p w:rsidR="00D57A26" w:rsidRPr="00B41060" w:rsidRDefault="00D57A26" w:rsidP="000230A9">
            <w:pPr>
              <w:jc w:val="center"/>
              <w:rPr>
                <w:sz w:val="18"/>
                <w:lang w:val="es-419"/>
              </w:rPr>
            </w:pPr>
          </w:p>
        </w:tc>
        <w:tc>
          <w:tcPr>
            <w:tcW w:w="429" w:type="dxa"/>
            <w:gridSpan w:val="2"/>
            <w:vMerge/>
            <w:tcBorders>
              <w:right w:val="single" w:sz="4" w:space="0" w:color="auto"/>
            </w:tcBorders>
          </w:tcPr>
          <w:p w:rsidR="00D57A26" w:rsidRPr="00B41060" w:rsidRDefault="00D57A26" w:rsidP="000230A9">
            <w:pPr>
              <w:jc w:val="center"/>
              <w:rPr>
                <w:sz w:val="18"/>
                <w:lang w:val="es-419"/>
              </w:rPr>
            </w:pPr>
          </w:p>
        </w:tc>
        <w:tc>
          <w:tcPr>
            <w:tcW w:w="283" w:type="dxa"/>
            <w:gridSpan w:val="2"/>
            <w:tcBorders>
              <w:top w:val="nil"/>
              <w:left w:val="nil"/>
              <w:bottom w:val="nil"/>
              <w:right w:val="nil"/>
            </w:tcBorders>
          </w:tcPr>
          <w:p w:rsidR="00D57A26" w:rsidRPr="00B41060" w:rsidRDefault="00D57A26" w:rsidP="000230A9">
            <w:pPr>
              <w:jc w:val="center"/>
              <w:rPr>
                <w:sz w:val="18"/>
                <w:lang w:val="es-419"/>
              </w:rPr>
            </w:pPr>
          </w:p>
        </w:tc>
        <w:tc>
          <w:tcPr>
            <w:tcW w:w="1420" w:type="dxa"/>
            <w:tcBorders>
              <w:left w:val="single" w:sz="4" w:space="0" w:color="auto"/>
            </w:tcBorders>
          </w:tcPr>
          <w:p w:rsidR="00D57A26" w:rsidRPr="00B41060" w:rsidRDefault="00D57A26" w:rsidP="000230A9">
            <w:pPr>
              <w:jc w:val="center"/>
              <w:rPr>
                <w:sz w:val="18"/>
                <w:lang w:val="es-419"/>
              </w:rPr>
            </w:pPr>
          </w:p>
        </w:tc>
        <w:tc>
          <w:tcPr>
            <w:tcW w:w="1389" w:type="dxa"/>
          </w:tcPr>
          <w:p w:rsidR="00D57A26" w:rsidRPr="00B41060" w:rsidRDefault="00D57A26" w:rsidP="000230A9">
            <w:pPr>
              <w:jc w:val="center"/>
              <w:rPr>
                <w:sz w:val="18"/>
                <w:lang w:val="es-419"/>
              </w:rPr>
            </w:pPr>
          </w:p>
        </w:tc>
        <w:tc>
          <w:tcPr>
            <w:tcW w:w="1389" w:type="dxa"/>
            <w:gridSpan w:val="2"/>
          </w:tcPr>
          <w:p w:rsidR="00D57A26" w:rsidRPr="00B41060" w:rsidRDefault="00D57A26" w:rsidP="000230A9">
            <w:pPr>
              <w:jc w:val="center"/>
              <w:rPr>
                <w:sz w:val="18"/>
                <w:lang w:val="es-419"/>
              </w:rPr>
            </w:pPr>
            <w:r w:rsidRPr="00B41060">
              <w:rPr>
                <w:noProof/>
                <w:sz w:val="18"/>
                <w:lang w:val="en-US" w:eastAsia="en-US" w:bidi="ar-SA"/>
              </w:rPr>
              <w:drawing>
                <wp:inline distT="0" distB="0" distL="0" distR="0" wp14:anchorId="1B2B2782" wp14:editId="61976337">
                  <wp:extent cx="600075" cy="8572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00075" cy="857250"/>
                          </a:xfrm>
                          <a:prstGeom prst="rect">
                            <a:avLst/>
                          </a:prstGeom>
                          <a:noFill/>
                          <a:ln>
                            <a:noFill/>
                          </a:ln>
                        </pic:spPr>
                      </pic:pic>
                    </a:graphicData>
                  </a:graphic>
                </wp:inline>
              </w:drawing>
            </w:r>
          </w:p>
          <w:p w:rsidR="00D57A26" w:rsidRPr="00B41060" w:rsidRDefault="00D57A26" w:rsidP="000230A9">
            <w:pPr>
              <w:jc w:val="center"/>
              <w:rPr>
                <w:sz w:val="18"/>
                <w:lang w:val="es-419"/>
              </w:rPr>
            </w:pPr>
            <w:r w:rsidRPr="00B41060">
              <w:rPr>
                <w:sz w:val="18"/>
                <w:lang w:val="es-419"/>
              </w:rPr>
              <w:t>3</w:t>
            </w:r>
          </w:p>
          <w:p w:rsidR="00D57A26" w:rsidRPr="00B41060" w:rsidRDefault="00D57A26" w:rsidP="000230A9">
            <w:pPr>
              <w:jc w:val="center"/>
              <w:rPr>
                <w:sz w:val="18"/>
                <w:lang w:val="es-419"/>
              </w:rPr>
            </w:pPr>
            <w:r w:rsidRPr="00B41060">
              <w:rPr>
                <w:sz w:val="18"/>
                <w:lang w:val="es-419"/>
              </w:rPr>
              <w:t>circular</w:t>
            </w:r>
          </w:p>
        </w:tc>
        <w:tc>
          <w:tcPr>
            <w:tcW w:w="1388" w:type="dxa"/>
            <w:gridSpan w:val="2"/>
          </w:tcPr>
          <w:p w:rsidR="00D57A26" w:rsidRPr="00B41060" w:rsidRDefault="00D57A26" w:rsidP="000230A9">
            <w:pPr>
              <w:jc w:val="center"/>
              <w:rPr>
                <w:sz w:val="18"/>
                <w:lang w:val="es-419"/>
              </w:rPr>
            </w:pPr>
          </w:p>
        </w:tc>
        <w:tc>
          <w:tcPr>
            <w:tcW w:w="1389" w:type="dxa"/>
          </w:tcPr>
          <w:p w:rsidR="00D57A26" w:rsidRPr="00B41060" w:rsidRDefault="00D57A26" w:rsidP="000230A9">
            <w:pPr>
              <w:jc w:val="center"/>
              <w:rPr>
                <w:sz w:val="18"/>
                <w:lang w:val="es-419"/>
              </w:rPr>
            </w:pPr>
          </w:p>
        </w:tc>
        <w:tc>
          <w:tcPr>
            <w:tcW w:w="1389" w:type="dxa"/>
            <w:gridSpan w:val="2"/>
          </w:tcPr>
          <w:p w:rsidR="00D57A26" w:rsidRPr="00B41060" w:rsidRDefault="00D57A26" w:rsidP="000230A9">
            <w:pPr>
              <w:jc w:val="center"/>
              <w:rPr>
                <w:sz w:val="18"/>
                <w:lang w:val="es-419"/>
              </w:rPr>
            </w:pPr>
          </w:p>
        </w:tc>
      </w:tr>
    </w:tbl>
    <w:p w:rsidR="00D57A26" w:rsidRPr="00B41060" w:rsidRDefault="00D57A26" w:rsidP="00D57A26">
      <w:pPr>
        <w:rPr>
          <w:lang w:val="es-419"/>
        </w:rPr>
      </w:pPr>
    </w:p>
    <w:p w:rsidR="00D57A26" w:rsidRPr="00B41060" w:rsidRDefault="00D57A26" w:rsidP="00D57A26">
      <w:pPr>
        <w:rPr>
          <w:lang w:val="es-419"/>
        </w:rPr>
      </w:pPr>
    </w:p>
    <w:p w:rsidR="00D57A26" w:rsidRPr="00B41060" w:rsidRDefault="00D57A26" w:rsidP="00D57A26">
      <w:pPr>
        <w:jc w:val="left"/>
        <w:rPr>
          <w:lang w:val="es-419"/>
        </w:rPr>
      </w:pPr>
      <w:r w:rsidRPr="00B41060">
        <w:rPr>
          <w:lang w:val="es-419"/>
        </w:rPr>
        <w:br w:type="page"/>
      </w:r>
    </w:p>
    <w:p w:rsidR="00D57A26" w:rsidRPr="00B41060" w:rsidRDefault="00D57A26" w:rsidP="00D57A26">
      <w:pPr>
        <w:rPr>
          <w:rFonts w:eastAsia="MS Mincho"/>
          <w:u w:val="single"/>
          <w:lang w:val="es-419"/>
        </w:rPr>
      </w:pPr>
      <w:r w:rsidRPr="00B41060">
        <w:rPr>
          <w:lang w:val="es-419"/>
        </w:rPr>
        <w:lastRenderedPageBreak/>
        <w:t>i</w:t>
      </w:r>
      <w:r w:rsidRPr="00B41060">
        <w:rPr>
          <w:u w:val="single"/>
          <w:lang w:val="es-419"/>
        </w:rPr>
        <w:t>i)</w:t>
      </w:r>
      <w:r w:rsidRPr="00B41060">
        <w:rPr>
          <w:u w:val="single"/>
          <w:lang w:val="es-419"/>
        </w:rPr>
        <w:tab/>
        <w:t>Factores que se han de tener en cuenta al crear grupos de color</w:t>
      </w:r>
    </w:p>
    <w:p w:rsidR="00D57A26" w:rsidRPr="00B41060" w:rsidRDefault="00D57A26" w:rsidP="00D57A26">
      <w:pPr>
        <w:rPr>
          <w:lang w:val="es-419"/>
        </w:rPr>
      </w:pPr>
    </w:p>
    <w:p w:rsidR="00D57A26" w:rsidRPr="00B41060" w:rsidRDefault="00D57A26" w:rsidP="00D57A26">
      <w:pPr>
        <w:rPr>
          <w:lang w:val="es-419"/>
        </w:rPr>
      </w:pPr>
      <w:r w:rsidRPr="00B41060">
        <w:rPr>
          <w:lang w:val="es-419"/>
        </w:rPr>
        <w:fldChar w:fldCharType="begin"/>
      </w:r>
      <w:r w:rsidRPr="00B41060">
        <w:rPr>
          <w:lang w:val="es-419"/>
        </w:rPr>
        <w:instrText xml:space="preserve"> AUTONUM  </w:instrText>
      </w:r>
      <w:r w:rsidRPr="00B41060">
        <w:rPr>
          <w:lang w:val="es-419"/>
        </w:rPr>
        <w:fldChar w:fldCharType="end"/>
      </w:r>
      <w:r w:rsidRPr="00B41060">
        <w:rPr>
          <w:lang w:val="es-419"/>
        </w:rPr>
        <w:tab/>
        <w:t>En su quincuagésima cuarta sesión, el TC examinó el documento</w:t>
      </w:r>
      <w:r w:rsidR="00ED5EE9">
        <w:rPr>
          <w:lang w:val="es-419"/>
        </w:rPr>
        <w:t xml:space="preserve"> </w:t>
      </w:r>
      <w:r w:rsidRPr="00B41060">
        <w:rPr>
          <w:lang w:val="es-419"/>
        </w:rPr>
        <w:t>TC/54/22 “Nombres de los colores de la carta de colores</w:t>
      </w:r>
      <w:r w:rsidR="00ED5EE9">
        <w:rPr>
          <w:lang w:val="es-419"/>
        </w:rPr>
        <w:t xml:space="preserve"> </w:t>
      </w:r>
      <w:r w:rsidRPr="00B41060">
        <w:rPr>
          <w:lang w:val="es-419"/>
        </w:rPr>
        <w:t>RHS” (véase el párrafo 244 del documento TC/54/31 “Informe”)</w:t>
      </w:r>
    </w:p>
    <w:p w:rsidR="00D57A26" w:rsidRPr="00B41060" w:rsidRDefault="00D57A26" w:rsidP="00D57A26">
      <w:pPr>
        <w:rPr>
          <w:lang w:val="es-419"/>
        </w:rPr>
      </w:pPr>
    </w:p>
    <w:p w:rsidR="00D57A26" w:rsidRPr="00B41060" w:rsidRDefault="00D57A26" w:rsidP="00D57A26">
      <w:pPr>
        <w:rPr>
          <w:lang w:val="es-419"/>
        </w:rPr>
      </w:pPr>
      <w:r w:rsidRPr="00B41060">
        <w:rPr>
          <w:lang w:val="es-419"/>
        </w:rPr>
        <w:fldChar w:fldCharType="begin"/>
      </w:r>
      <w:r w:rsidRPr="00B41060">
        <w:rPr>
          <w:lang w:val="es-419"/>
        </w:rPr>
        <w:instrText xml:space="preserve"> AUTONUM  </w:instrText>
      </w:r>
      <w:r w:rsidRPr="00B41060">
        <w:rPr>
          <w:lang w:val="es-419"/>
        </w:rPr>
        <w:fldChar w:fldCharType="end"/>
      </w:r>
      <w:r w:rsidRPr="00B41060">
        <w:rPr>
          <w:lang w:val="es-419"/>
        </w:rPr>
        <w:tab/>
        <w:t>El TC acordó proponer que se revise el documento TGP/14 para incluir la siguiente orientación sobre los factores que se han de tener en cuenta al crear grupos de color a efectos de agrupar variedades y organizar el ensayo de cultivo:</w:t>
      </w:r>
    </w:p>
    <w:p w:rsidR="00D57A26" w:rsidRPr="00B41060" w:rsidRDefault="00D57A26" w:rsidP="00D57A26">
      <w:pPr>
        <w:rPr>
          <w:rFonts w:eastAsiaTheme="minorEastAsia" w:cs="Arial"/>
          <w:lang w:val="es-419"/>
        </w:rPr>
      </w:pPr>
    </w:p>
    <w:p w:rsidR="00D57A26" w:rsidRPr="00B41060" w:rsidRDefault="00D57A26" w:rsidP="00D57A26">
      <w:pPr>
        <w:ind w:left="567" w:right="567"/>
        <w:rPr>
          <w:rFonts w:eastAsiaTheme="minorEastAsia" w:cs="Arial"/>
          <w:szCs w:val="18"/>
          <w:lang w:val="es-419"/>
        </w:rPr>
      </w:pPr>
      <w:r w:rsidRPr="00B41060">
        <w:rPr>
          <w:lang w:val="es-419"/>
        </w:rPr>
        <w:t>subsección 3: color: nueva sección: “Factores que se han de tener en cuenta al crear grupos de color</w:t>
      </w:r>
    </w:p>
    <w:p w:rsidR="00D57A26" w:rsidRPr="00B41060" w:rsidRDefault="00D57A26" w:rsidP="00D57A26">
      <w:pPr>
        <w:ind w:left="567" w:right="567"/>
        <w:rPr>
          <w:rFonts w:eastAsiaTheme="minorEastAsia" w:cs="Arial"/>
          <w:lang w:val="es-419"/>
        </w:rPr>
      </w:pPr>
    </w:p>
    <w:p w:rsidR="00D57A26" w:rsidRPr="00B41060" w:rsidRDefault="00D57A26" w:rsidP="00D57A26">
      <w:pPr>
        <w:ind w:left="567" w:right="567"/>
        <w:rPr>
          <w:rFonts w:eastAsiaTheme="minorEastAsia" w:cs="Arial"/>
          <w:lang w:val="es-419"/>
        </w:rPr>
      </w:pPr>
      <w:r w:rsidRPr="00B41060">
        <w:rPr>
          <w:rFonts w:eastAsiaTheme="minorEastAsia" w:cs="Arial"/>
          <w:lang w:val="es-419"/>
        </w:rPr>
        <w:t>“</w:t>
      </w:r>
      <w:r w:rsidRPr="00B41060">
        <w:rPr>
          <w:lang w:val="es-419"/>
        </w:rPr>
        <w:t>Cuando se utiliza el color de una parte de una planta para el agrupamiento de variedades, es necesario que la diferencia entre los colores sea clara y amplia.</w:t>
      </w:r>
      <w:r w:rsidR="00BF7D28" w:rsidRPr="00B41060">
        <w:rPr>
          <w:lang w:val="es-419"/>
        </w:rPr>
        <w:t xml:space="preserve"> </w:t>
      </w:r>
      <w:r w:rsidRPr="00B41060">
        <w:rPr>
          <w:lang w:val="es-419"/>
        </w:rPr>
        <w:t>No obstante, los grupos de color se emplean en el cuestionario técnico incluso en el caso de que el solicitante no disponga de una carta de colores RHS. Por tanto, los grupos han de ser lo suficientemente pequeños como para que el solicitante pueda proporcionar un nivel de expresión adecuado para el carácter.</w:t>
      </w:r>
    </w:p>
    <w:p w:rsidR="00D57A26" w:rsidRPr="00B41060" w:rsidRDefault="00D57A26" w:rsidP="00D57A26">
      <w:pPr>
        <w:ind w:left="567" w:right="567"/>
        <w:rPr>
          <w:rFonts w:eastAsiaTheme="minorEastAsia" w:cs="Arial"/>
          <w:lang w:val="es-419"/>
        </w:rPr>
      </w:pPr>
    </w:p>
    <w:p w:rsidR="00D57A26" w:rsidRPr="00B41060" w:rsidRDefault="00D57A26" w:rsidP="00D57A26">
      <w:pPr>
        <w:ind w:left="567" w:right="567"/>
        <w:rPr>
          <w:rFonts w:eastAsiaTheme="minorEastAsia" w:cs="Arial"/>
          <w:lang w:val="es-419"/>
        </w:rPr>
      </w:pPr>
      <w:r w:rsidRPr="00B41060">
        <w:rPr>
          <w:lang w:val="es-419"/>
        </w:rPr>
        <w:t>Al crear grupos de color a efectos del agrupamiento, se han de tener en cuenta los factores siguientes:</w:t>
      </w:r>
    </w:p>
    <w:p w:rsidR="00D57A26" w:rsidRPr="00B41060" w:rsidRDefault="00D57A26" w:rsidP="00D57A26">
      <w:pPr>
        <w:ind w:left="567" w:right="567"/>
        <w:rPr>
          <w:rFonts w:eastAsiaTheme="minorEastAsia" w:cs="Arial"/>
          <w:sz w:val="12"/>
          <w:lang w:val="es-419"/>
        </w:rPr>
      </w:pPr>
    </w:p>
    <w:p w:rsidR="00D57A26" w:rsidRPr="00B41060" w:rsidRDefault="00D57A26" w:rsidP="00D57A26">
      <w:pPr>
        <w:ind w:left="1701" w:right="567" w:hanging="567"/>
        <w:contextualSpacing/>
        <w:rPr>
          <w:rFonts w:eastAsiaTheme="minorEastAsia" w:cs="Arial"/>
          <w:lang w:val="es-419"/>
        </w:rPr>
      </w:pPr>
      <w:r w:rsidRPr="00B41060">
        <w:rPr>
          <w:lang w:val="es-419"/>
        </w:rPr>
        <w:t>a)</w:t>
      </w:r>
      <w:r w:rsidRPr="00B41060">
        <w:rPr>
          <w:lang w:val="es-419"/>
        </w:rPr>
        <w:tab/>
        <w:t>la gama de variación del color de la parte de la planta dentro de la especie</w:t>
      </w:r>
    </w:p>
    <w:p w:rsidR="00D57A26" w:rsidRPr="00B41060" w:rsidRDefault="00D57A26" w:rsidP="00F87429">
      <w:pPr>
        <w:ind w:left="567" w:right="567" w:firstLine="567"/>
        <w:contextualSpacing/>
        <w:rPr>
          <w:rFonts w:eastAsiaTheme="minorEastAsia" w:cs="Arial"/>
          <w:lang w:val="es-419"/>
        </w:rPr>
      </w:pPr>
      <w:r w:rsidRPr="00B41060">
        <w:rPr>
          <w:lang w:val="es-419"/>
        </w:rPr>
        <w:t>b)</w:t>
      </w:r>
      <w:r w:rsidRPr="00B41060">
        <w:rPr>
          <w:lang w:val="es-419"/>
        </w:rPr>
        <w:tab/>
        <w:t>la diferencia entre los colores para que las variedades se consideren claramente distinguibles</w:t>
      </w:r>
    </w:p>
    <w:p w:rsidR="00D57A26" w:rsidRPr="00B41060" w:rsidRDefault="00D57A26" w:rsidP="00D57A26">
      <w:pPr>
        <w:ind w:left="1701" w:right="567" w:hanging="567"/>
        <w:contextualSpacing/>
        <w:rPr>
          <w:rFonts w:eastAsiaTheme="minorEastAsia" w:cs="Arial"/>
          <w:lang w:val="es-419"/>
        </w:rPr>
      </w:pPr>
      <w:r w:rsidRPr="00B41060">
        <w:rPr>
          <w:lang w:val="es-419"/>
        </w:rPr>
        <w:t>c)</w:t>
      </w:r>
      <w:r w:rsidRPr="00B41060">
        <w:rPr>
          <w:lang w:val="es-419"/>
        </w:rPr>
        <w:tab/>
        <w:t>la posible influencia del medio ambiente en el color de la parte de la planta.</w:t>
      </w:r>
    </w:p>
    <w:p w:rsidR="00D57A26" w:rsidRPr="00B41060" w:rsidRDefault="00D57A26" w:rsidP="00D57A26">
      <w:pPr>
        <w:rPr>
          <w:rFonts w:eastAsiaTheme="minorEastAsia"/>
          <w:sz w:val="22"/>
          <w:lang w:val="es-419"/>
        </w:rPr>
      </w:pPr>
    </w:p>
    <w:p w:rsidR="00D57A26" w:rsidRPr="00B41060" w:rsidRDefault="00D57A26" w:rsidP="00D57A26">
      <w:pPr>
        <w:ind w:left="567" w:right="567"/>
        <w:rPr>
          <w:rFonts w:eastAsiaTheme="minorEastAsia" w:cs="Arial"/>
          <w:lang w:val="es-419"/>
        </w:rPr>
      </w:pPr>
      <w:r w:rsidRPr="00B41060">
        <w:rPr>
          <w:lang w:val="es-419"/>
        </w:rPr>
        <w:t>Según la especie de que se trate y la parte de la planta que se observe, los grupos de color para el agrupamiento pueden variar.</w:t>
      </w:r>
      <w:r w:rsidR="00BF7D28" w:rsidRPr="00B41060">
        <w:rPr>
          <w:lang w:val="es-419"/>
        </w:rPr>
        <w:t xml:space="preserve"> </w:t>
      </w:r>
      <w:r w:rsidRPr="00B41060">
        <w:rPr>
          <w:lang w:val="es-419"/>
        </w:rPr>
        <w:t>En el cuadro siguiente se ofrecen ejemplos de grupos de color en los caracteres de agrupamiento de diferentes directrices de examen.</w:t>
      </w:r>
    </w:p>
    <w:p w:rsidR="00D57A26" w:rsidRPr="00B41060" w:rsidRDefault="00D57A26" w:rsidP="00D57A26">
      <w:pPr>
        <w:tabs>
          <w:tab w:val="left" w:pos="8556"/>
        </w:tabs>
        <w:rPr>
          <w:rFonts w:eastAsiaTheme="minorEastAsia" w:cs="Arial"/>
          <w:lang w:val="es-419"/>
        </w:rPr>
      </w:pPr>
    </w:p>
    <w:tbl>
      <w:tblPr>
        <w:tblW w:w="8745" w:type="dxa"/>
        <w:jc w:val="center"/>
        <w:tblLayout w:type="fixed"/>
        <w:tblCellMar>
          <w:top w:w="57" w:type="dxa"/>
          <w:left w:w="57" w:type="dxa"/>
          <w:bottom w:w="28" w:type="dxa"/>
          <w:right w:w="57" w:type="dxa"/>
        </w:tblCellMar>
        <w:tblLook w:val="04A0" w:firstRow="1" w:lastRow="0" w:firstColumn="1" w:lastColumn="0" w:noHBand="0" w:noVBand="1"/>
      </w:tblPr>
      <w:tblGrid>
        <w:gridCol w:w="1510"/>
        <w:gridCol w:w="1787"/>
        <w:gridCol w:w="2004"/>
        <w:gridCol w:w="1742"/>
        <w:gridCol w:w="1702"/>
      </w:tblGrid>
      <w:tr w:rsidR="00D57A26" w:rsidRPr="00B41060" w:rsidTr="000230A9">
        <w:trPr>
          <w:cantSplit/>
          <w:trHeight w:val="397"/>
          <w:jc w:val="center"/>
        </w:trPr>
        <w:tc>
          <w:tcPr>
            <w:tcW w:w="1508" w:type="dxa"/>
            <w:tcBorders>
              <w:top w:val="single" w:sz="4" w:space="0" w:color="auto"/>
              <w:left w:val="nil"/>
              <w:bottom w:val="single" w:sz="4" w:space="0" w:color="auto"/>
              <w:right w:val="single" w:sz="4" w:space="0" w:color="auto"/>
            </w:tcBorders>
            <w:hideMark/>
          </w:tcPr>
          <w:p w:rsidR="00D57A26" w:rsidRPr="00B41060" w:rsidRDefault="00D57A26" w:rsidP="000230A9">
            <w:pPr>
              <w:jc w:val="left"/>
              <w:rPr>
                <w:sz w:val="16"/>
                <w:lang w:val="es-419"/>
              </w:rPr>
            </w:pPr>
            <w:r w:rsidRPr="00B41060">
              <w:rPr>
                <w:sz w:val="16"/>
                <w:lang w:val="es-419"/>
              </w:rPr>
              <w:t>Directrices de examen</w:t>
            </w:r>
          </w:p>
        </w:tc>
        <w:tc>
          <w:tcPr>
            <w:tcW w:w="1786" w:type="dxa"/>
            <w:tcBorders>
              <w:top w:val="single" w:sz="4" w:space="0" w:color="auto"/>
              <w:left w:val="single" w:sz="4" w:space="0" w:color="auto"/>
              <w:bottom w:val="single" w:sz="4" w:space="0" w:color="auto"/>
              <w:right w:val="single" w:sz="4" w:space="0" w:color="auto"/>
            </w:tcBorders>
            <w:hideMark/>
          </w:tcPr>
          <w:p w:rsidR="00D57A26" w:rsidRPr="00B41060" w:rsidRDefault="00D57A26" w:rsidP="000230A9">
            <w:pPr>
              <w:jc w:val="left"/>
              <w:rPr>
                <w:sz w:val="16"/>
                <w:lang w:val="es-419"/>
              </w:rPr>
            </w:pPr>
            <w:r w:rsidRPr="00B41060">
              <w:rPr>
                <w:sz w:val="16"/>
                <w:lang w:val="es-419"/>
              </w:rPr>
              <w:t>Campánula</w:t>
            </w:r>
            <w:r w:rsidRPr="00B41060">
              <w:rPr>
                <w:sz w:val="16"/>
                <w:lang w:val="es-419"/>
              </w:rPr>
              <w:br/>
              <w:t>(TG/305/1)</w:t>
            </w:r>
          </w:p>
        </w:tc>
        <w:tc>
          <w:tcPr>
            <w:tcW w:w="2002" w:type="dxa"/>
            <w:tcBorders>
              <w:top w:val="single" w:sz="4" w:space="0" w:color="auto"/>
              <w:left w:val="single" w:sz="4" w:space="0" w:color="auto"/>
              <w:bottom w:val="single" w:sz="4" w:space="0" w:color="auto"/>
              <w:right w:val="single" w:sz="4" w:space="0" w:color="auto"/>
            </w:tcBorders>
            <w:hideMark/>
          </w:tcPr>
          <w:p w:rsidR="00D57A26" w:rsidRPr="00B41060" w:rsidRDefault="00D57A26" w:rsidP="000230A9">
            <w:pPr>
              <w:jc w:val="left"/>
              <w:rPr>
                <w:dstrike/>
                <w:sz w:val="16"/>
                <w:lang w:val="es-419"/>
              </w:rPr>
            </w:pPr>
            <w:proofErr w:type="spellStart"/>
            <w:r w:rsidRPr="00B41060">
              <w:rPr>
                <w:i/>
                <w:sz w:val="16"/>
                <w:lang w:val="es-419"/>
              </w:rPr>
              <w:t>Hosta</w:t>
            </w:r>
            <w:proofErr w:type="spellEnd"/>
            <w:r w:rsidRPr="00B41060">
              <w:rPr>
                <w:sz w:val="16"/>
                <w:lang w:val="es-419"/>
              </w:rPr>
              <w:br/>
              <w:t>(TG/299/1)</w:t>
            </w:r>
          </w:p>
        </w:tc>
        <w:tc>
          <w:tcPr>
            <w:tcW w:w="1741" w:type="dxa"/>
            <w:tcBorders>
              <w:top w:val="single" w:sz="4" w:space="0" w:color="auto"/>
              <w:left w:val="single" w:sz="4" w:space="0" w:color="auto"/>
              <w:bottom w:val="single" w:sz="4" w:space="0" w:color="auto"/>
              <w:right w:val="single" w:sz="4" w:space="0" w:color="auto"/>
            </w:tcBorders>
            <w:hideMark/>
          </w:tcPr>
          <w:p w:rsidR="00D57A26" w:rsidRPr="00B41060" w:rsidRDefault="00D57A26" w:rsidP="000230A9">
            <w:pPr>
              <w:jc w:val="left"/>
              <w:rPr>
                <w:dstrike/>
                <w:sz w:val="16"/>
                <w:lang w:val="es-419"/>
              </w:rPr>
            </w:pPr>
            <w:proofErr w:type="spellStart"/>
            <w:r w:rsidRPr="00B41060">
              <w:rPr>
                <w:i/>
                <w:sz w:val="16"/>
                <w:lang w:val="es-419"/>
              </w:rPr>
              <w:t>Cordyline</w:t>
            </w:r>
            <w:proofErr w:type="spellEnd"/>
            <w:r w:rsidRPr="00B41060">
              <w:rPr>
                <w:sz w:val="16"/>
                <w:lang w:val="es-419"/>
              </w:rPr>
              <w:br/>
              <w:t>(TG/317/1)</w:t>
            </w:r>
          </w:p>
        </w:tc>
        <w:tc>
          <w:tcPr>
            <w:tcW w:w="1701" w:type="dxa"/>
            <w:tcBorders>
              <w:top w:val="single" w:sz="4" w:space="0" w:color="auto"/>
              <w:left w:val="single" w:sz="4" w:space="0" w:color="auto"/>
              <w:bottom w:val="single" w:sz="4" w:space="0" w:color="auto"/>
              <w:right w:val="nil"/>
            </w:tcBorders>
            <w:hideMark/>
          </w:tcPr>
          <w:p w:rsidR="00D57A26" w:rsidRPr="00B41060" w:rsidRDefault="00D57A26" w:rsidP="000230A9">
            <w:pPr>
              <w:jc w:val="left"/>
              <w:rPr>
                <w:sz w:val="16"/>
                <w:lang w:val="es-419"/>
              </w:rPr>
            </w:pPr>
            <w:proofErr w:type="spellStart"/>
            <w:r w:rsidRPr="00B41060">
              <w:rPr>
                <w:i/>
                <w:sz w:val="16"/>
                <w:lang w:val="es-419"/>
              </w:rPr>
              <w:t>Osteospermum</w:t>
            </w:r>
            <w:proofErr w:type="spellEnd"/>
            <w:r w:rsidRPr="00B41060">
              <w:rPr>
                <w:sz w:val="16"/>
                <w:lang w:val="es-419"/>
              </w:rPr>
              <w:br/>
              <w:t>(TG/175/5)</w:t>
            </w:r>
          </w:p>
        </w:tc>
      </w:tr>
      <w:tr w:rsidR="00D57A26" w:rsidRPr="00B41060" w:rsidTr="000230A9">
        <w:trPr>
          <w:cantSplit/>
          <w:jc w:val="center"/>
        </w:trPr>
        <w:tc>
          <w:tcPr>
            <w:tcW w:w="1508" w:type="dxa"/>
            <w:tcBorders>
              <w:top w:val="nil"/>
              <w:left w:val="nil"/>
              <w:bottom w:val="single" w:sz="4" w:space="0" w:color="auto"/>
              <w:right w:val="single" w:sz="4" w:space="0" w:color="auto"/>
            </w:tcBorders>
            <w:hideMark/>
          </w:tcPr>
          <w:p w:rsidR="00D57A26" w:rsidRPr="00B41060" w:rsidRDefault="00D57A26" w:rsidP="000230A9">
            <w:pPr>
              <w:jc w:val="left"/>
              <w:rPr>
                <w:sz w:val="16"/>
                <w:lang w:val="es-419"/>
              </w:rPr>
            </w:pPr>
            <w:r w:rsidRPr="00B41060">
              <w:rPr>
                <w:sz w:val="16"/>
                <w:lang w:val="es-419"/>
              </w:rPr>
              <w:t>Carácter</w:t>
            </w:r>
          </w:p>
        </w:tc>
        <w:tc>
          <w:tcPr>
            <w:tcW w:w="1786" w:type="dxa"/>
            <w:tcBorders>
              <w:top w:val="nil"/>
              <w:left w:val="single" w:sz="4" w:space="0" w:color="auto"/>
              <w:bottom w:val="single" w:sz="4" w:space="0" w:color="auto"/>
              <w:right w:val="single" w:sz="4" w:space="0" w:color="auto"/>
            </w:tcBorders>
            <w:hideMark/>
          </w:tcPr>
          <w:p w:rsidR="00D57A26" w:rsidRPr="00B41060" w:rsidRDefault="00D57A26" w:rsidP="000230A9">
            <w:pPr>
              <w:jc w:val="left"/>
              <w:rPr>
                <w:sz w:val="16"/>
                <w:lang w:val="es-419"/>
              </w:rPr>
            </w:pPr>
            <w:r w:rsidRPr="00B41060">
              <w:rPr>
                <w:sz w:val="16"/>
                <w:lang w:val="es-419"/>
              </w:rPr>
              <w:t>Corola: color principal de la cara interna</w:t>
            </w:r>
          </w:p>
        </w:tc>
        <w:tc>
          <w:tcPr>
            <w:tcW w:w="2002" w:type="dxa"/>
            <w:tcBorders>
              <w:top w:val="nil"/>
              <w:left w:val="single" w:sz="4" w:space="0" w:color="auto"/>
              <w:bottom w:val="single" w:sz="4" w:space="0" w:color="auto"/>
              <w:right w:val="single" w:sz="4" w:space="0" w:color="auto"/>
            </w:tcBorders>
            <w:hideMark/>
          </w:tcPr>
          <w:p w:rsidR="00D57A26" w:rsidRPr="00B41060" w:rsidRDefault="00D57A26" w:rsidP="000230A9">
            <w:pPr>
              <w:jc w:val="left"/>
              <w:rPr>
                <w:sz w:val="16"/>
                <w:lang w:val="es-419"/>
              </w:rPr>
            </w:pPr>
            <w:r w:rsidRPr="00B41060">
              <w:rPr>
                <w:sz w:val="16"/>
                <w:lang w:val="es-419"/>
              </w:rPr>
              <w:t>Limbo: color que ocupa la superficie más grande</w:t>
            </w:r>
          </w:p>
        </w:tc>
        <w:tc>
          <w:tcPr>
            <w:tcW w:w="1741" w:type="dxa"/>
            <w:tcBorders>
              <w:top w:val="nil"/>
              <w:left w:val="single" w:sz="4" w:space="0" w:color="auto"/>
              <w:bottom w:val="single" w:sz="4" w:space="0" w:color="auto"/>
              <w:right w:val="single" w:sz="4" w:space="0" w:color="auto"/>
            </w:tcBorders>
            <w:hideMark/>
          </w:tcPr>
          <w:p w:rsidR="00D57A26" w:rsidRPr="00B41060" w:rsidRDefault="00D57A26" w:rsidP="000230A9">
            <w:pPr>
              <w:jc w:val="left"/>
              <w:rPr>
                <w:sz w:val="16"/>
                <w:lang w:val="es-419"/>
              </w:rPr>
            </w:pPr>
            <w:r w:rsidRPr="00B41060">
              <w:rPr>
                <w:sz w:val="16"/>
                <w:lang w:val="es-419"/>
              </w:rPr>
              <w:t>Hoja: color secundario</w:t>
            </w:r>
          </w:p>
        </w:tc>
        <w:tc>
          <w:tcPr>
            <w:tcW w:w="1701" w:type="dxa"/>
            <w:tcBorders>
              <w:top w:val="nil"/>
              <w:left w:val="single" w:sz="4" w:space="0" w:color="auto"/>
              <w:bottom w:val="single" w:sz="4" w:space="0" w:color="auto"/>
              <w:right w:val="nil"/>
            </w:tcBorders>
            <w:hideMark/>
          </w:tcPr>
          <w:p w:rsidR="00D57A26" w:rsidRPr="00B41060" w:rsidRDefault="00D57A26" w:rsidP="000230A9">
            <w:pPr>
              <w:jc w:val="left"/>
              <w:rPr>
                <w:sz w:val="16"/>
                <w:lang w:val="es-419"/>
              </w:rPr>
            </w:pPr>
            <w:r w:rsidRPr="00B41060">
              <w:rPr>
                <w:sz w:val="16"/>
                <w:lang w:val="es-419"/>
              </w:rPr>
              <w:t>Flor ligulada: color principal de la parte central</w:t>
            </w:r>
          </w:p>
        </w:tc>
      </w:tr>
      <w:tr w:rsidR="00D57A26" w:rsidRPr="00B41060" w:rsidTr="000230A9">
        <w:trPr>
          <w:cantSplit/>
          <w:jc w:val="center"/>
        </w:trPr>
        <w:tc>
          <w:tcPr>
            <w:tcW w:w="1508" w:type="dxa"/>
            <w:vMerge w:val="restart"/>
            <w:tcBorders>
              <w:top w:val="nil"/>
              <w:left w:val="nil"/>
              <w:bottom w:val="nil"/>
              <w:right w:val="single" w:sz="4" w:space="0" w:color="auto"/>
            </w:tcBorders>
            <w:hideMark/>
          </w:tcPr>
          <w:p w:rsidR="00D57A26" w:rsidRPr="00B41060" w:rsidRDefault="00D57A26" w:rsidP="000230A9">
            <w:pPr>
              <w:jc w:val="left"/>
              <w:rPr>
                <w:sz w:val="16"/>
                <w:lang w:val="es-419"/>
              </w:rPr>
            </w:pPr>
            <w:r w:rsidRPr="00B41060">
              <w:rPr>
                <w:sz w:val="16"/>
                <w:lang w:val="es-419"/>
              </w:rPr>
              <w:t>Grupos de color para el agrupamiento</w:t>
            </w:r>
          </w:p>
        </w:tc>
        <w:tc>
          <w:tcPr>
            <w:tcW w:w="1786" w:type="dxa"/>
            <w:tcBorders>
              <w:top w:val="nil"/>
              <w:left w:val="single" w:sz="4" w:space="0" w:color="auto"/>
              <w:bottom w:val="nil"/>
              <w:right w:val="single" w:sz="4" w:space="0" w:color="auto"/>
            </w:tcBorders>
            <w:hideMark/>
          </w:tcPr>
          <w:p w:rsidR="00D57A26" w:rsidRPr="00B41060" w:rsidRDefault="00D57A26" w:rsidP="000230A9">
            <w:pPr>
              <w:jc w:val="left"/>
              <w:rPr>
                <w:sz w:val="16"/>
                <w:lang w:val="es-419"/>
              </w:rPr>
            </w:pPr>
            <w:r w:rsidRPr="00B41060">
              <w:rPr>
                <w:sz w:val="16"/>
                <w:lang w:val="es-419"/>
              </w:rPr>
              <w:t>blanco</w:t>
            </w:r>
          </w:p>
        </w:tc>
        <w:tc>
          <w:tcPr>
            <w:tcW w:w="2002" w:type="dxa"/>
            <w:tcBorders>
              <w:top w:val="nil"/>
              <w:left w:val="single" w:sz="4" w:space="0" w:color="auto"/>
              <w:bottom w:val="nil"/>
              <w:right w:val="single" w:sz="4" w:space="0" w:color="auto"/>
            </w:tcBorders>
            <w:hideMark/>
          </w:tcPr>
          <w:p w:rsidR="00D57A26" w:rsidRPr="00B41060" w:rsidRDefault="00D57A26" w:rsidP="000230A9">
            <w:pPr>
              <w:jc w:val="left"/>
              <w:rPr>
                <w:sz w:val="16"/>
                <w:lang w:val="es-419"/>
              </w:rPr>
            </w:pPr>
            <w:r w:rsidRPr="00B41060">
              <w:rPr>
                <w:sz w:val="16"/>
                <w:lang w:val="es-419"/>
              </w:rPr>
              <w:t>blanco</w:t>
            </w:r>
          </w:p>
        </w:tc>
        <w:tc>
          <w:tcPr>
            <w:tcW w:w="1741" w:type="dxa"/>
            <w:tcBorders>
              <w:top w:val="nil"/>
              <w:left w:val="single" w:sz="4" w:space="0" w:color="auto"/>
              <w:bottom w:val="nil"/>
              <w:right w:val="single" w:sz="4" w:space="0" w:color="auto"/>
            </w:tcBorders>
            <w:hideMark/>
          </w:tcPr>
          <w:p w:rsidR="00D57A26" w:rsidRPr="00B41060" w:rsidRDefault="00D57A26" w:rsidP="000230A9">
            <w:pPr>
              <w:jc w:val="left"/>
              <w:rPr>
                <w:sz w:val="16"/>
                <w:lang w:val="es-419"/>
              </w:rPr>
            </w:pPr>
            <w:r w:rsidRPr="00B41060">
              <w:rPr>
                <w:sz w:val="16"/>
                <w:lang w:val="es-419"/>
              </w:rPr>
              <w:t>blanco</w:t>
            </w:r>
          </w:p>
        </w:tc>
        <w:tc>
          <w:tcPr>
            <w:tcW w:w="1701" w:type="dxa"/>
            <w:tcBorders>
              <w:top w:val="nil"/>
              <w:left w:val="single" w:sz="4" w:space="0" w:color="auto"/>
              <w:bottom w:val="nil"/>
              <w:right w:val="nil"/>
            </w:tcBorders>
            <w:hideMark/>
          </w:tcPr>
          <w:p w:rsidR="00D57A26" w:rsidRPr="00B41060" w:rsidRDefault="00D57A26" w:rsidP="000230A9">
            <w:pPr>
              <w:jc w:val="left"/>
              <w:rPr>
                <w:sz w:val="16"/>
                <w:lang w:val="es-419"/>
              </w:rPr>
            </w:pPr>
            <w:r w:rsidRPr="00B41060">
              <w:rPr>
                <w:sz w:val="16"/>
                <w:lang w:val="es-419"/>
              </w:rPr>
              <w:t>blanco</w:t>
            </w:r>
          </w:p>
        </w:tc>
      </w:tr>
      <w:tr w:rsidR="00D57A26" w:rsidRPr="00B41060" w:rsidTr="000230A9">
        <w:trPr>
          <w:cantSplit/>
          <w:jc w:val="center"/>
        </w:trPr>
        <w:tc>
          <w:tcPr>
            <w:tcW w:w="1508" w:type="dxa"/>
            <w:vMerge/>
            <w:tcBorders>
              <w:top w:val="nil"/>
              <w:left w:val="nil"/>
              <w:bottom w:val="nil"/>
              <w:right w:val="single" w:sz="4" w:space="0" w:color="auto"/>
            </w:tcBorders>
            <w:vAlign w:val="center"/>
            <w:hideMark/>
          </w:tcPr>
          <w:p w:rsidR="00D57A26" w:rsidRPr="00B41060" w:rsidRDefault="00D57A26" w:rsidP="000230A9">
            <w:pPr>
              <w:jc w:val="left"/>
              <w:rPr>
                <w:sz w:val="16"/>
                <w:lang w:val="es-419"/>
              </w:rPr>
            </w:pPr>
          </w:p>
        </w:tc>
        <w:tc>
          <w:tcPr>
            <w:tcW w:w="1786" w:type="dxa"/>
            <w:tcBorders>
              <w:top w:val="nil"/>
              <w:left w:val="single" w:sz="4" w:space="0" w:color="auto"/>
              <w:bottom w:val="nil"/>
              <w:right w:val="single" w:sz="4" w:space="0" w:color="auto"/>
            </w:tcBorders>
            <w:hideMark/>
          </w:tcPr>
          <w:p w:rsidR="00D57A26" w:rsidRPr="00B41060" w:rsidRDefault="00D57A26" w:rsidP="000230A9">
            <w:pPr>
              <w:jc w:val="left"/>
              <w:rPr>
                <w:sz w:val="16"/>
                <w:lang w:val="es-419"/>
              </w:rPr>
            </w:pPr>
            <w:r w:rsidRPr="00B41060">
              <w:rPr>
                <w:sz w:val="16"/>
                <w:lang w:val="es-419"/>
              </w:rPr>
              <w:t>rosa</w:t>
            </w:r>
          </w:p>
        </w:tc>
        <w:tc>
          <w:tcPr>
            <w:tcW w:w="2002" w:type="dxa"/>
            <w:tcBorders>
              <w:top w:val="nil"/>
              <w:left w:val="single" w:sz="4" w:space="0" w:color="auto"/>
              <w:bottom w:val="nil"/>
              <w:right w:val="single" w:sz="4" w:space="0" w:color="auto"/>
            </w:tcBorders>
            <w:hideMark/>
          </w:tcPr>
          <w:p w:rsidR="00D57A26" w:rsidRPr="00B41060" w:rsidRDefault="00D57A26" w:rsidP="000230A9">
            <w:pPr>
              <w:jc w:val="left"/>
              <w:rPr>
                <w:sz w:val="16"/>
                <w:lang w:val="es-419"/>
              </w:rPr>
            </w:pPr>
            <w:r w:rsidRPr="00B41060">
              <w:rPr>
                <w:sz w:val="16"/>
                <w:lang w:val="es-419"/>
              </w:rPr>
              <w:t>amarillo claro</w:t>
            </w:r>
          </w:p>
        </w:tc>
        <w:tc>
          <w:tcPr>
            <w:tcW w:w="1741" w:type="dxa"/>
            <w:tcBorders>
              <w:top w:val="nil"/>
              <w:left w:val="single" w:sz="4" w:space="0" w:color="auto"/>
              <w:bottom w:val="nil"/>
              <w:right w:val="single" w:sz="4" w:space="0" w:color="auto"/>
            </w:tcBorders>
            <w:hideMark/>
          </w:tcPr>
          <w:p w:rsidR="00D57A26" w:rsidRPr="00B41060" w:rsidRDefault="00D57A26" w:rsidP="000230A9">
            <w:pPr>
              <w:jc w:val="left"/>
              <w:rPr>
                <w:sz w:val="16"/>
                <w:lang w:val="es-419"/>
              </w:rPr>
            </w:pPr>
            <w:r w:rsidRPr="00B41060">
              <w:rPr>
                <w:sz w:val="16"/>
                <w:lang w:val="es-419"/>
              </w:rPr>
              <w:t>amarillo</w:t>
            </w:r>
          </w:p>
        </w:tc>
        <w:tc>
          <w:tcPr>
            <w:tcW w:w="1701" w:type="dxa"/>
            <w:tcBorders>
              <w:top w:val="nil"/>
              <w:left w:val="single" w:sz="4" w:space="0" w:color="auto"/>
              <w:bottom w:val="nil"/>
              <w:right w:val="nil"/>
            </w:tcBorders>
            <w:hideMark/>
          </w:tcPr>
          <w:p w:rsidR="00D57A26" w:rsidRPr="00B41060" w:rsidRDefault="00D57A26" w:rsidP="000230A9">
            <w:pPr>
              <w:jc w:val="left"/>
              <w:rPr>
                <w:sz w:val="16"/>
                <w:lang w:val="es-419"/>
              </w:rPr>
            </w:pPr>
            <w:r w:rsidRPr="00B41060">
              <w:rPr>
                <w:sz w:val="16"/>
                <w:lang w:val="es-419"/>
              </w:rPr>
              <w:t>amarillo</w:t>
            </w:r>
          </w:p>
        </w:tc>
      </w:tr>
      <w:tr w:rsidR="00D57A26" w:rsidRPr="00B41060" w:rsidTr="000230A9">
        <w:trPr>
          <w:cantSplit/>
          <w:jc w:val="center"/>
        </w:trPr>
        <w:tc>
          <w:tcPr>
            <w:tcW w:w="1508" w:type="dxa"/>
            <w:tcBorders>
              <w:top w:val="nil"/>
              <w:left w:val="nil"/>
              <w:bottom w:val="nil"/>
              <w:right w:val="single" w:sz="4" w:space="0" w:color="auto"/>
            </w:tcBorders>
          </w:tcPr>
          <w:p w:rsidR="00D57A26" w:rsidRPr="00B41060" w:rsidRDefault="00D57A26" w:rsidP="000230A9">
            <w:pPr>
              <w:jc w:val="left"/>
              <w:rPr>
                <w:sz w:val="16"/>
                <w:lang w:val="es-419"/>
              </w:rPr>
            </w:pPr>
          </w:p>
        </w:tc>
        <w:tc>
          <w:tcPr>
            <w:tcW w:w="1786" w:type="dxa"/>
            <w:tcBorders>
              <w:top w:val="nil"/>
              <w:left w:val="single" w:sz="4" w:space="0" w:color="auto"/>
              <w:bottom w:val="nil"/>
              <w:right w:val="single" w:sz="4" w:space="0" w:color="auto"/>
            </w:tcBorders>
            <w:hideMark/>
          </w:tcPr>
          <w:p w:rsidR="00D57A26" w:rsidRPr="00B41060" w:rsidRDefault="00D57A26" w:rsidP="000230A9">
            <w:pPr>
              <w:jc w:val="left"/>
              <w:rPr>
                <w:sz w:val="16"/>
                <w:lang w:val="es-419"/>
              </w:rPr>
            </w:pPr>
            <w:r w:rsidRPr="00B41060">
              <w:rPr>
                <w:sz w:val="16"/>
                <w:lang w:val="es-419"/>
              </w:rPr>
              <w:t>púrpura rojizo</w:t>
            </w:r>
          </w:p>
        </w:tc>
        <w:tc>
          <w:tcPr>
            <w:tcW w:w="2002" w:type="dxa"/>
            <w:tcBorders>
              <w:top w:val="nil"/>
              <w:left w:val="single" w:sz="4" w:space="0" w:color="auto"/>
              <w:bottom w:val="nil"/>
              <w:right w:val="single" w:sz="4" w:space="0" w:color="auto"/>
            </w:tcBorders>
            <w:hideMark/>
          </w:tcPr>
          <w:p w:rsidR="00D57A26" w:rsidRPr="00B41060" w:rsidRDefault="00D57A26" w:rsidP="000230A9">
            <w:pPr>
              <w:jc w:val="left"/>
              <w:rPr>
                <w:sz w:val="16"/>
                <w:lang w:val="es-419"/>
              </w:rPr>
            </w:pPr>
            <w:r w:rsidRPr="00B41060">
              <w:rPr>
                <w:sz w:val="16"/>
                <w:lang w:val="es-419"/>
              </w:rPr>
              <w:t>amarillo medio</w:t>
            </w:r>
          </w:p>
        </w:tc>
        <w:tc>
          <w:tcPr>
            <w:tcW w:w="1741" w:type="dxa"/>
            <w:tcBorders>
              <w:top w:val="nil"/>
              <w:left w:val="single" w:sz="4" w:space="0" w:color="auto"/>
              <w:bottom w:val="nil"/>
              <w:right w:val="single" w:sz="4" w:space="0" w:color="auto"/>
            </w:tcBorders>
            <w:hideMark/>
          </w:tcPr>
          <w:p w:rsidR="00D57A26" w:rsidRPr="00B41060" w:rsidRDefault="00D57A26" w:rsidP="000230A9">
            <w:pPr>
              <w:jc w:val="left"/>
              <w:rPr>
                <w:sz w:val="16"/>
                <w:lang w:val="es-419"/>
              </w:rPr>
            </w:pPr>
            <w:r w:rsidRPr="00B41060">
              <w:rPr>
                <w:sz w:val="16"/>
                <w:lang w:val="es-419"/>
              </w:rPr>
              <w:t>verde</w:t>
            </w:r>
          </w:p>
        </w:tc>
        <w:tc>
          <w:tcPr>
            <w:tcW w:w="1701" w:type="dxa"/>
            <w:tcBorders>
              <w:top w:val="nil"/>
              <w:left w:val="single" w:sz="4" w:space="0" w:color="auto"/>
              <w:bottom w:val="nil"/>
              <w:right w:val="nil"/>
            </w:tcBorders>
            <w:hideMark/>
          </w:tcPr>
          <w:p w:rsidR="00D57A26" w:rsidRPr="00B41060" w:rsidRDefault="00D57A26" w:rsidP="000230A9">
            <w:pPr>
              <w:jc w:val="left"/>
              <w:rPr>
                <w:sz w:val="16"/>
                <w:lang w:val="es-419"/>
              </w:rPr>
            </w:pPr>
            <w:r w:rsidRPr="00B41060">
              <w:rPr>
                <w:sz w:val="16"/>
                <w:lang w:val="es-419"/>
              </w:rPr>
              <w:t>naranja</w:t>
            </w:r>
          </w:p>
        </w:tc>
      </w:tr>
      <w:tr w:rsidR="00D57A26" w:rsidRPr="00B41060" w:rsidTr="000230A9">
        <w:trPr>
          <w:cantSplit/>
          <w:jc w:val="center"/>
        </w:trPr>
        <w:tc>
          <w:tcPr>
            <w:tcW w:w="1508" w:type="dxa"/>
            <w:tcBorders>
              <w:top w:val="nil"/>
              <w:left w:val="nil"/>
              <w:bottom w:val="nil"/>
              <w:right w:val="single" w:sz="4" w:space="0" w:color="auto"/>
            </w:tcBorders>
          </w:tcPr>
          <w:p w:rsidR="00D57A26" w:rsidRPr="00B41060" w:rsidRDefault="00D57A26" w:rsidP="000230A9">
            <w:pPr>
              <w:jc w:val="left"/>
              <w:rPr>
                <w:sz w:val="16"/>
                <w:lang w:val="es-419"/>
              </w:rPr>
            </w:pPr>
          </w:p>
        </w:tc>
        <w:tc>
          <w:tcPr>
            <w:tcW w:w="1786" w:type="dxa"/>
            <w:tcBorders>
              <w:top w:val="nil"/>
              <w:left w:val="single" w:sz="4" w:space="0" w:color="auto"/>
              <w:bottom w:val="nil"/>
              <w:right w:val="single" w:sz="4" w:space="0" w:color="auto"/>
            </w:tcBorders>
            <w:hideMark/>
          </w:tcPr>
          <w:p w:rsidR="00D57A26" w:rsidRPr="00B41060" w:rsidRDefault="00D57A26" w:rsidP="000230A9">
            <w:pPr>
              <w:jc w:val="left"/>
              <w:rPr>
                <w:sz w:val="16"/>
                <w:lang w:val="es-419"/>
              </w:rPr>
            </w:pPr>
            <w:r w:rsidRPr="00B41060">
              <w:rPr>
                <w:sz w:val="16"/>
                <w:lang w:val="es-419"/>
              </w:rPr>
              <w:t>púrpura</w:t>
            </w:r>
          </w:p>
        </w:tc>
        <w:tc>
          <w:tcPr>
            <w:tcW w:w="2002" w:type="dxa"/>
            <w:tcBorders>
              <w:top w:val="nil"/>
              <w:left w:val="single" w:sz="4" w:space="0" w:color="auto"/>
              <w:bottom w:val="nil"/>
              <w:right w:val="single" w:sz="4" w:space="0" w:color="auto"/>
            </w:tcBorders>
            <w:hideMark/>
          </w:tcPr>
          <w:p w:rsidR="00D57A26" w:rsidRPr="00B41060" w:rsidRDefault="00D57A26" w:rsidP="000230A9">
            <w:pPr>
              <w:jc w:val="left"/>
              <w:rPr>
                <w:sz w:val="16"/>
                <w:lang w:val="es-419"/>
              </w:rPr>
            </w:pPr>
            <w:r w:rsidRPr="00B41060">
              <w:rPr>
                <w:sz w:val="16"/>
                <w:lang w:val="es-419"/>
              </w:rPr>
              <w:t>amarillo oscuro</w:t>
            </w:r>
          </w:p>
        </w:tc>
        <w:tc>
          <w:tcPr>
            <w:tcW w:w="1741" w:type="dxa"/>
            <w:tcBorders>
              <w:top w:val="nil"/>
              <w:left w:val="single" w:sz="4" w:space="0" w:color="auto"/>
              <w:bottom w:val="nil"/>
              <w:right w:val="single" w:sz="4" w:space="0" w:color="auto"/>
            </w:tcBorders>
            <w:hideMark/>
          </w:tcPr>
          <w:p w:rsidR="00D57A26" w:rsidRPr="00B41060" w:rsidRDefault="00D57A26" w:rsidP="000230A9">
            <w:pPr>
              <w:jc w:val="left"/>
              <w:rPr>
                <w:sz w:val="16"/>
                <w:lang w:val="es-419"/>
              </w:rPr>
            </w:pPr>
            <w:r w:rsidRPr="00B41060">
              <w:rPr>
                <w:sz w:val="16"/>
                <w:lang w:val="es-419"/>
              </w:rPr>
              <w:t>rojo</w:t>
            </w:r>
          </w:p>
        </w:tc>
        <w:tc>
          <w:tcPr>
            <w:tcW w:w="1701" w:type="dxa"/>
            <w:tcBorders>
              <w:top w:val="nil"/>
              <w:left w:val="single" w:sz="4" w:space="0" w:color="auto"/>
              <w:bottom w:val="nil"/>
              <w:right w:val="nil"/>
            </w:tcBorders>
            <w:hideMark/>
          </w:tcPr>
          <w:p w:rsidR="00D57A26" w:rsidRPr="00B41060" w:rsidRDefault="00D57A26" w:rsidP="000230A9">
            <w:pPr>
              <w:jc w:val="left"/>
              <w:rPr>
                <w:sz w:val="16"/>
                <w:lang w:val="es-419"/>
              </w:rPr>
            </w:pPr>
            <w:r w:rsidRPr="00B41060">
              <w:rPr>
                <w:sz w:val="16"/>
                <w:lang w:val="es-419"/>
              </w:rPr>
              <w:t>rosa</w:t>
            </w:r>
          </w:p>
        </w:tc>
      </w:tr>
      <w:tr w:rsidR="00D57A26" w:rsidRPr="00B41060" w:rsidTr="000230A9">
        <w:trPr>
          <w:cantSplit/>
          <w:jc w:val="center"/>
        </w:trPr>
        <w:tc>
          <w:tcPr>
            <w:tcW w:w="1508" w:type="dxa"/>
            <w:tcBorders>
              <w:top w:val="nil"/>
              <w:left w:val="nil"/>
              <w:bottom w:val="nil"/>
              <w:right w:val="single" w:sz="4" w:space="0" w:color="auto"/>
            </w:tcBorders>
          </w:tcPr>
          <w:p w:rsidR="00D57A26" w:rsidRPr="00B41060" w:rsidRDefault="00D57A26" w:rsidP="000230A9">
            <w:pPr>
              <w:jc w:val="left"/>
              <w:rPr>
                <w:sz w:val="16"/>
                <w:lang w:val="es-419"/>
              </w:rPr>
            </w:pPr>
          </w:p>
        </w:tc>
        <w:tc>
          <w:tcPr>
            <w:tcW w:w="1786" w:type="dxa"/>
            <w:tcBorders>
              <w:top w:val="nil"/>
              <w:left w:val="single" w:sz="4" w:space="0" w:color="auto"/>
              <w:bottom w:val="nil"/>
              <w:right w:val="single" w:sz="4" w:space="0" w:color="auto"/>
            </w:tcBorders>
            <w:hideMark/>
          </w:tcPr>
          <w:p w:rsidR="00D57A26" w:rsidRPr="00B41060" w:rsidRDefault="00D57A26" w:rsidP="000230A9">
            <w:pPr>
              <w:jc w:val="left"/>
              <w:rPr>
                <w:sz w:val="16"/>
                <w:lang w:val="es-419"/>
              </w:rPr>
            </w:pPr>
            <w:r w:rsidRPr="00B41060">
              <w:rPr>
                <w:sz w:val="16"/>
                <w:lang w:val="es-419"/>
              </w:rPr>
              <w:t>azul</w:t>
            </w:r>
          </w:p>
        </w:tc>
        <w:tc>
          <w:tcPr>
            <w:tcW w:w="2002" w:type="dxa"/>
            <w:tcBorders>
              <w:top w:val="nil"/>
              <w:left w:val="single" w:sz="4" w:space="0" w:color="auto"/>
              <w:bottom w:val="nil"/>
              <w:right w:val="single" w:sz="4" w:space="0" w:color="auto"/>
            </w:tcBorders>
            <w:hideMark/>
          </w:tcPr>
          <w:p w:rsidR="00D57A26" w:rsidRPr="00B41060" w:rsidRDefault="00D57A26" w:rsidP="000230A9">
            <w:pPr>
              <w:jc w:val="left"/>
              <w:rPr>
                <w:sz w:val="16"/>
                <w:lang w:val="es-419"/>
              </w:rPr>
            </w:pPr>
            <w:r w:rsidRPr="00B41060">
              <w:rPr>
                <w:sz w:val="16"/>
                <w:lang w:val="es-419"/>
              </w:rPr>
              <w:t>verde claro</w:t>
            </w:r>
          </w:p>
        </w:tc>
        <w:tc>
          <w:tcPr>
            <w:tcW w:w="1741" w:type="dxa"/>
            <w:tcBorders>
              <w:top w:val="nil"/>
              <w:left w:val="single" w:sz="4" w:space="0" w:color="auto"/>
              <w:bottom w:val="nil"/>
              <w:right w:val="single" w:sz="4" w:space="0" w:color="auto"/>
            </w:tcBorders>
            <w:hideMark/>
          </w:tcPr>
          <w:p w:rsidR="00D57A26" w:rsidRPr="00B41060" w:rsidRDefault="00D57A26" w:rsidP="000230A9">
            <w:pPr>
              <w:jc w:val="left"/>
              <w:rPr>
                <w:sz w:val="16"/>
                <w:lang w:val="es-419"/>
              </w:rPr>
            </w:pPr>
            <w:r w:rsidRPr="00B41060">
              <w:rPr>
                <w:sz w:val="16"/>
                <w:lang w:val="es-419"/>
              </w:rPr>
              <w:t>púrpura</w:t>
            </w:r>
          </w:p>
        </w:tc>
        <w:tc>
          <w:tcPr>
            <w:tcW w:w="1701" w:type="dxa"/>
            <w:tcBorders>
              <w:top w:val="nil"/>
              <w:left w:val="single" w:sz="4" w:space="0" w:color="auto"/>
              <w:bottom w:val="nil"/>
              <w:right w:val="nil"/>
            </w:tcBorders>
            <w:hideMark/>
          </w:tcPr>
          <w:p w:rsidR="00D57A26" w:rsidRPr="00B41060" w:rsidRDefault="00D57A26" w:rsidP="000230A9">
            <w:pPr>
              <w:jc w:val="left"/>
              <w:rPr>
                <w:sz w:val="16"/>
                <w:lang w:val="es-419"/>
              </w:rPr>
            </w:pPr>
            <w:r w:rsidRPr="00B41060">
              <w:rPr>
                <w:sz w:val="16"/>
                <w:lang w:val="es-419"/>
              </w:rPr>
              <w:t>rojo</w:t>
            </w:r>
          </w:p>
        </w:tc>
      </w:tr>
      <w:tr w:rsidR="00D57A26" w:rsidRPr="00B41060" w:rsidTr="000230A9">
        <w:trPr>
          <w:cantSplit/>
          <w:jc w:val="center"/>
        </w:trPr>
        <w:tc>
          <w:tcPr>
            <w:tcW w:w="1508" w:type="dxa"/>
            <w:tcBorders>
              <w:top w:val="nil"/>
              <w:left w:val="nil"/>
              <w:bottom w:val="nil"/>
              <w:right w:val="single" w:sz="4" w:space="0" w:color="auto"/>
            </w:tcBorders>
          </w:tcPr>
          <w:p w:rsidR="00D57A26" w:rsidRPr="00B41060" w:rsidRDefault="00D57A26" w:rsidP="000230A9">
            <w:pPr>
              <w:jc w:val="left"/>
              <w:rPr>
                <w:sz w:val="16"/>
                <w:lang w:val="es-419"/>
              </w:rPr>
            </w:pPr>
          </w:p>
        </w:tc>
        <w:tc>
          <w:tcPr>
            <w:tcW w:w="1786" w:type="dxa"/>
            <w:tcBorders>
              <w:top w:val="nil"/>
              <w:left w:val="single" w:sz="4" w:space="0" w:color="auto"/>
              <w:bottom w:val="nil"/>
              <w:right w:val="single" w:sz="4" w:space="0" w:color="auto"/>
            </w:tcBorders>
          </w:tcPr>
          <w:p w:rsidR="00D57A26" w:rsidRPr="00B41060" w:rsidRDefault="00D57A26" w:rsidP="000230A9">
            <w:pPr>
              <w:jc w:val="left"/>
              <w:rPr>
                <w:sz w:val="16"/>
                <w:lang w:val="es-419"/>
              </w:rPr>
            </w:pPr>
          </w:p>
        </w:tc>
        <w:tc>
          <w:tcPr>
            <w:tcW w:w="2002" w:type="dxa"/>
            <w:tcBorders>
              <w:top w:val="nil"/>
              <w:left w:val="single" w:sz="4" w:space="0" w:color="auto"/>
              <w:bottom w:val="nil"/>
              <w:right w:val="single" w:sz="4" w:space="0" w:color="auto"/>
            </w:tcBorders>
            <w:hideMark/>
          </w:tcPr>
          <w:p w:rsidR="00D57A26" w:rsidRPr="00B41060" w:rsidRDefault="00D57A26" w:rsidP="000230A9">
            <w:pPr>
              <w:jc w:val="left"/>
              <w:rPr>
                <w:sz w:val="16"/>
                <w:lang w:val="es-419"/>
              </w:rPr>
            </w:pPr>
            <w:r w:rsidRPr="00B41060">
              <w:rPr>
                <w:sz w:val="16"/>
                <w:lang w:val="es-419"/>
              </w:rPr>
              <w:t>verde medio</w:t>
            </w:r>
          </w:p>
        </w:tc>
        <w:tc>
          <w:tcPr>
            <w:tcW w:w="1741" w:type="dxa"/>
            <w:tcBorders>
              <w:top w:val="nil"/>
              <w:left w:val="single" w:sz="4" w:space="0" w:color="auto"/>
              <w:bottom w:val="nil"/>
              <w:right w:val="single" w:sz="4" w:space="0" w:color="auto"/>
            </w:tcBorders>
            <w:hideMark/>
          </w:tcPr>
          <w:p w:rsidR="00D57A26" w:rsidRPr="00B41060" w:rsidRDefault="00D57A26" w:rsidP="000230A9">
            <w:pPr>
              <w:jc w:val="left"/>
              <w:rPr>
                <w:sz w:val="16"/>
                <w:lang w:val="es-419"/>
              </w:rPr>
            </w:pPr>
            <w:r w:rsidRPr="00B41060">
              <w:rPr>
                <w:sz w:val="16"/>
                <w:lang w:val="es-419"/>
              </w:rPr>
              <w:t>marrón</w:t>
            </w:r>
          </w:p>
        </w:tc>
        <w:tc>
          <w:tcPr>
            <w:tcW w:w="1701" w:type="dxa"/>
            <w:tcBorders>
              <w:top w:val="nil"/>
              <w:left w:val="single" w:sz="4" w:space="0" w:color="auto"/>
              <w:bottom w:val="nil"/>
              <w:right w:val="nil"/>
            </w:tcBorders>
            <w:hideMark/>
          </w:tcPr>
          <w:p w:rsidR="00D57A26" w:rsidRPr="00B41060" w:rsidRDefault="00D57A26" w:rsidP="000230A9">
            <w:pPr>
              <w:jc w:val="left"/>
              <w:rPr>
                <w:sz w:val="16"/>
                <w:lang w:val="es-419"/>
              </w:rPr>
            </w:pPr>
            <w:r w:rsidRPr="00B41060">
              <w:rPr>
                <w:sz w:val="16"/>
                <w:lang w:val="es-419"/>
              </w:rPr>
              <w:t>púrpura</w:t>
            </w:r>
          </w:p>
        </w:tc>
      </w:tr>
      <w:tr w:rsidR="00D57A26" w:rsidRPr="00B41060" w:rsidTr="000230A9">
        <w:trPr>
          <w:cantSplit/>
          <w:jc w:val="center"/>
        </w:trPr>
        <w:tc>
          <w:tcPr>
            <w:tcW w:w="1508" w:type="dxa"/>
            <w:tcBorders>
              <w:top w:val="nil"/>
              <w:left w:val="nil"/>
              <w:right w:val="single" w:sz="4" w:space="0" w:color="auto"/>
            </w:tcBorders>
          </w:tcPr>
          <w:p w:rsidR="00D57A26" w:rsidRPr="00B41060" w:rsidRDefault="00D57A26" w:rsidP="000230A9">
            <w:pPr>
              <w:jc w:val="left"/>
              <w:rPr>
                <w:sz w:val="16"/>
                <w:lang w:val="es-419"/>
              </w:rPr>
            </w:pPr>
          </w:p>
        </w:tc>
        <w:tc>
          <w:tcPr>
            <w:tcW w:w="1786" w:type="dxa"/>
            <w:tcBorders>
              <w:top w:val="nil"/>
              <w:left w:val="single" w:sz="4" w:space="0" w:color="auto"/>
              <w:right w:val="single" w:sz="4" w:space="0" w:color="auto"/>
            </w:tcBorders>
          </w:tcPr>
          <w:p w:rsidR="00D57A26" w:rsidRPr="00B41060" w:rsidRDefault="00D57A26" w:rsidP="000230A9">
            <w:pPr>
              <w:jc w:val="left"/>
              <w:rPr>
                <w:sz w:val="16"/>
                <w:lang w:val="es-419"/>
              </w:rPr>
            </w:pPr>
          </w:p>
        </w:tc>
        <w:tc>
          <w:tcPr>
            <w:tcW w:w="2002" w:type="dxa"/>
            <w:tcBorders>
              <w:top w:val="nil"/>
              <w:left w:val="single" w:sz="4" w:space="0" w:color="auto"/>
              <w:bottom w:val="nil"/>
              <w:right w:val="single" w:sz="4" w:space="0" w:color="auto"/>
            </w:tcBorders>
            <w:hideMark/>
          </w:tcPr>
          <w:p w:rsidR="00D57A26" w:rsidRPr="00B41060" w:rsidRDefault="00D57A26" w:rsidP="000230A9">
            <w:pPr>
              <w:jc w:val="left"/>
              <w:rPr>
                <w:sz w:val="16"/>
                <w:lang w:val="es-419"/>
              </w:rPr>
            </w:pPr>
            <w:r w:rsidRPr="00B41060">
              <w:rPr>
                <w:sz w:val="16"/>
                <w:lang w:val="es-419"/>
              </w:rPr>
              <w:t>verde oscuro</w:t>
            </w:r>
          </w:p>
        </w:tc>
        <w:tc>
          <w:tcPr>
            <w:tcW w:w="1741" w:type="dxa"/>
            <w:tcBorders>
              <w:top w:val="nil"/>
              <w:left w:val="single" w:sz="4" w:space="0" w:color="auto"/>
              <w:bottom w:val="nil"/>
              <w:right w:val="single" w:sz="4" w:space="0" w:color="auto"/>
            </w:tcBorders>
            <w:hideMark/>
          </w:tcPr>
          <w:p w:rsidR="00D57A26" w:rsidRPr="00B41060" w:rsidRDefault="00D57A26" w:rsidP="000230A9">
            <w:pPr>
              <w:jc w:val="left"/>
              <w:rPr>
                <w:sz w:val="16"/>
                <w:lang w:val="es-419"/>
              </w:rPr>
            </w:pPr>
            <w:r w:rsidRPr="00B41060">
              <w:rPr>
                <w:sz w:val="16"/>
                <w:lang w:val="es-419"/>
              </w:rPr>
              <w:t>negruzco</w:t>
            </w:r>
          </w:p>
        </w:tc>
        <w:tc>
          <w:tcPr>
            <w:tcW w:w="1701" w:type="dxa"/>
            <w:tcBorders>
              <w:top w:val="nil"/>
              <w:left w:val="single" w:sz="4" w:space="0" w:color="auto"/>
              <w:bottom w:val="nil"/>
              <w:right w:val="nil"/>
            </w:tcBorders>
            <w:hideMark/>
          </w:tcPr>
          <w:p w:rsidR="00D57A26" w:rsidRPr="00B41060" w:rsidRDefault="00D57A26" w:rsidP="000230A9">
            <w:pPr>
              <w:jc w:val="left"/>
              <w:rPr>
                <w:sz w:val="16"/>
                <w:lang w:val="es-419"/>
              </w:rPr>
            </w:pPr>
            <w:r w:rsidRPr="00B41060">
              <w:rPr>
                <w:sz w:val="16"/>
                <w:lang w:val="es-419"/>
              </w:rPr>
              <w:t>violeta</w:t>
            </w:r>
          </w:p>
        </w:tc>
      </w:tr>
      <w:tr w:rsidR="00D57A26" w:rsidRPr="00B41060" w:rsidTr="000230A9">
        <w:trPr>
          <w:cantSplit/>
          <w:jc w:val="center"/>
        </w:trPr>
        <w:tc>
          <w:tcPr>
            <w:tcW w:w="1508" w:type="dxa"/>
            <w:tcBorders>
              <w:top w:val="nil"/>
              <w:left w:val="nil"/>
              <w:bottom w:val="nil"/>
              <w:right w:val="single" w:sz="4" w:space="0" w:color="auto"/>
            </w:tcBorders>
          </w:tcPr>
          <w:p w:rsidR="00D57A26" w:rsidRPr="00B41060" w:rsidRDefault="00D57A26" w:rsidP="000230A9">
            <w:pPr>
              <w:jc w:val="left"/>
              <w:rPr>
                <w:sz w:val="16"/>
                <w:lang w:val="es-419"/>
              </w:rPr>
            </w:pPr>
          </w:p>
        </w:tc>
        <w:tc>
          <w:tcPr>
            <w:tcW w:w="1786" w:type="dxa"/>
            <w:tcBorders>
              <w:top w:val="nil"/>
              <w:left w:val="single" w:sz="4" w:space="0" w:color="auto"/>
              <w:bottom w:val="nil"/>
              <w:right w:val="single" w:sz="4" w:space="0" w:color="auto"/>
            </w:tcBorders>
          </w:tcPr>
          <w:p w:rsidR="00D57A26" w:rsidRPr="00B41060" w:rsidRDefault="00D57A26" w:rsidP="000230A9">
            <w:pPr>
              <w:jc w:val="left"/>
              <w:rPr>
                <w:sz w:val="16"/>
                <w:lang w:val="es-419"/>
              </w:rPr>
            </w:pPr>
          </w:p>
        </w:tc>
        <w:tc>
          <w:tcPr>
            <w:tcW w:w="2002" w:type="dxa"/>
            <w:tcBorders>
              <w:top w:val="nil"/>
              <w:left w:val="single" w:sz="4" w:space="0" w:color="auto"/>
              <w:bottom w:val="nil"/>
              <w:right w:val="single" w:sz="4" w:space="0" w:color="auto"/>
            </w:tcBorders>
            <w:hideMark/>
          </w:tcPr>
          <w:p w:rsidR="00D57A26" w:rsidRPr="00B41060" w:rsidRDefault="00D57A26" w:rsidP="000230A9">
            <w:pPr>
              <w:jc w:val="left"/>
              <w:rPr>
                <w:sz w:val="16"/>
                <w:lang w:val="es-419"/>
              </w:rPr>
            </w:pPr>
            <w:r w:rsidRPr="00B41060">
              <w:rPr>
                <w:sz w:val="16"/>
                <w:lang w:val="es-419"/>
              </w:rPr>
              <w:t>verde azulado</w:t>
            </w:r>
          </w:p>
        </w:tc>
        <w:tc>
          <w:tcPr>
            <w:tcW w:w="1741" w:type="dxa"/>
            <w:tcBorders>
              <w:top w:val="nil"/>
              <w:left w:val="single" w:sz="4" w:space="0" w:color="auto"/>
              <w:bottom w:val="nil"/>
              <w:right w:val="single" w:sz="4" w:space="0" w:color="auto"/>
            </w:tcBorders>
          </w:tcPr>
          <w:p w:rsidR="00D57A26" w:rsidRPr="00B41060" w:rsidRDefault="00D57A26" w:rsidP="000230A9">
            <w:pPr>
              <w:jc w:val="left"/>
              <w:rPr>
                <w:sz w:val="16"/>
                <w:lang w:val="es-419"/>
              </w:rPr>
            </w:pPr>
          </w:p>
        </w:tc>
        <w:tc>
          <w:tcPr>
            <w:tcW w:w="1701" w:type="dxa"/>
            <w:tcBorders>
              <w:top w:val="nil"/>
              <w:left w:val="single" w:sz="4" w:space="0" w:color="auto"/>
              <w:bottom w:val="nil"/>
              <w:right w:val="nil"/>
            </w:tcBorders>
          </w:tcPr>
          <w:p w:rsidR="00D57A26" w:rsidRPr="00B41060" w:rsidRDefault="00D57A26" w:rsidP="000230A9">
            <w:pPr>
              <w:jc w:val="left"/>
              <w:rPr>
                <w:sz w:val="16"/>
                <w:lang w:val="es-419"/>
              </w:rPr>
            </w:pPr>
          </w:p>
        </w:tc>
      </w:tr>
    </w:tbl>
    <w:p w:rsidR="00D57A26" w:rsidRPr="00B41060" w:rsidRDefault="00D57A26" w:rsidP="00D57A26">
      <w:pPr>
        <w:rPr>
          <w:rFonts w:eastAsiaTheme="minorEastAsia" w:cs="Arial"/>
          <w:lang w:val="es-419"/>
        </w:rPr>
      </w:pPr>
    </w:p>
    <w:p w:rsidR="00D57A26" w:rsidRPr="00B41060" w:rsidRDefault="00D57A26" w:rsidP="00D57A26">
      <w:pPr>
        <w:keepLines/>
        <w:ind w:left="567" w:right="567"/>
        <w:rPr>
          <w:rFonts w:eastAsiaTheme="minorEastAsia" w:cs="Arial"/>
          <w:lang w:val="es-419"/>
        </w:rPr>
      </w:pPr>
      <w:r w:rsidRPr="00B41060">
        <w:rPr>
          <w:lang w:val="es-419"/>
        </w:rPr>
        <w:t>Cabe subrayar que, cuando se emplea información que no procede de la misma fuente (el mismo lugar, el mismo observador), los grupos no siempre son claramente distintos entre sí y no siempre se pueden utilizar para excluir variedades del ensayo.</w:t>
      </w:r>
      <w:r w:rsidR="00BF7D28" w:rsidRPr="00B41060">
        <w:rPr>
          <w:lang w:val="es-419"/>
        </w:rPr>
        <w:t xml:space="preserve"> </w:t>
      </w:r>
      <w:r w:rsidRPr="00B41060">
        <w:rPr>
          <w:lang w:val="es-419"/>
        </w:rPr>
        <w:t>Por ejemplo, respecto del carácter “Hoja:</w:t>
      </w:r>
      <w:r w:rsidR="00ED5EE9">
        <w:rPr>
          <w:lang w:val="es-419"/>
        </w:rPr>
        <w:t xml:space="preserve"> </w:t>
      </w:r>
      <w:r w:rsidRPr="00B41060">
        <w:rPr>
          <w:lang w:val="es-419"/>
        </w:rPr>
        <w:t xml:space="preserve">color secundario” de </w:t>
      </w:r>
      <w:proofErr w:type="spellStart"/>
      <w:r w:rsidRPr="00B41060">
        <w:rPr>
          <w:i/>
          <w:lang w:val="es-419"/>
        </w:rPr>
        <w:t>Cordyline</w:t>
      </w:r>
      <w:proofErr w:type="spellEnd"/>
      <w:r w:rsidRPr="00B41060">
        <w:rPr>
          <w:lang w:val="es-419"/>
        </w:rPr>
        <w:t>, es posible que no se pueda distinguir claramente entre “marrón” y “negruzco” en fotografías de Internet o de un catálogo de plantas.”</w:t>
      </w:r>
    </w:p>
    <w:p w:rsidR="00D57A26" w:rsidRPr="00B41060" w:rsidRDefault="00D57A26" w:rsidP="00D57A26">
      <w:pPr>
        <w:jc w:val="left"/>
        <w:rPr>
          <w:lang w:val="es-419"/>
        </w:rPr>
      </w:pPr>
    </w:p>
    <w:p w:rsidR="00D57A26" w:rsidRPr="00B41060" w:rsidRDefault="00D57A26" w:rsidP="00D57A26">
      <w:pPr>
        <w:jc w:val="left"/>
        <w:rPr>
          <w:lang w:val="es-419"/>
        </w:rPr>
      </w:pPr>
    </w:p>
    <w:p w:rsidR="00D57A26" w:rsidRPr="00B41060" w:rsidRDefault="00D57A26" w:rsidP="00D57A26">
      <w:pPr>
        <w:jc w:val="left"/>
        <w:rPr>
          <w:lang w:val="es-419"/>
        </w:rPr>
      </w:pPr>
    </w:p>
    <w:p w:rsidR="00B43ACC" w:rsidRPr="00B41060" w:rsidRDefault="00D57A26" w:rsidP="00D57A26">
      <w:pPr>
        <w:jc w:val="right"/>
        <w:rPr>
          <w:lang w:val="es-419"/>
        </w:rPr>
      </w:pPr>
      <w:r w:rsidRPr="00B41060">
        <w:rPr>
          <w:lang w:val="es-419"/>
        </w:rPr>
        <w:t>[Sigue el Anexo V]</w:t>
      </w:r>
    </w:p>
    <w:p w:rsidR="00B43ACC" w:rsidRPr="00B41060" w:rsidRDefault="00B43ACC" w:rsidP="00B43ACC">
      <w:pPr>
        <w:jc w:val="left"/>
        <w:rPr>
          <w:lang w:val="es-419"/>
        </w:rPr>
      </w:pPr>
    </w:p>
    <w:p w:rsidR="00B43ACC" w:rsidRPr="00B41060" w:rsidRDefault="00B43ACC" w:rsidP="00B43ACC">
      <w:pPr>
        <w:jc w:val="left"/>
        <w:rPr>
          <w:lang w:val="es-419"/>
        </w:rPr>
      </w:pPr>
    </w:p>
    <w:p w:rsidR="00B43ACC" w:rsidRPr="00B41060" w:rsidRDefault="00B43ACC" w:rsidP="00B43ACC">
      <w:pPr>
        <w:rPr>
          <w:lang w:val="es-419"/>
        </w:rPr>
        <w:sectPr w:rsidR="00B43ACC" w:rsidRPr="00B41060" w:rsidSect="000230A9">
          <w:headerReference w:type="default" r:id="rId34"/>
          <w:headerReference w:type="first" r:id="rId35"/>
          <w:footnotePr>
            <w:numRestart w:val="eachSect"/>
          </w:footnotePr>
          <w:pgSz w:w="11907" w:h="16840" w:code="9"/>
          <w:pgMar w:top="510" w:right="1134" w:bottom="1134" w:left="1134" w:header="510" w:footer="680" w:gutter="0"/>
          <w:pgNumType w:start="1"/>
          <w:cols w:space="720"/>
          <w:titlePg/>
        </w:sectPr>
      </w:pPr>
    </w:p>
    <w:p w:rsidR="00D57A26" w:rsidRPr="00B41060" w:rsidRDefault="00D57A26" w:rsidP="00D57A26">
      <w:pPr>
        <w:jc w:val="center"/>
        <w:rPr>
          <w:lang w:val="es-419"/>
        </w:rPr>
      </w:pPr>
      <w:r w:rsidRPr="00B41060">
        <w:rPr>
          <w:caps/>
          <w:lang w:val="es-419"/>
        </w:rPr>
        <w:lastRenderedPageBreak/>
        <w:t>REVISIONES DEL documento</w:t>
      </w:r>
      <w:r w:rsidR="00ED5EE9">
        <w:rPr>
          <w:caps/>
          <w:lang w:val="es-419"/>
        </w:rPr>
        <w:t xml:space="preserve"> </w:t>
      </w:r>
      <w:r w:rsidRPr="00B41060">
        <w:rPr>
          <w:caps/>
          <w:lang w:val="es-419"/>
        </w:rPr>
        <w:t xml:space="preserve">TGP/15 “Orientación sobre el uso de marcadores bioquímicos y moleculares en el examen de la distinción, la homogeneidad y la estabilidad (DHE)” </w:t>
      </w:r>
      <w:r w:rsidRPr="00B41060">
        <w:rPr>
          <w:lang w:val="es-419"/>
        </w:rPr>
        <w:t xml:space="preserve">CONVENIDAS POR EL COMITÉ TÉCNICO EN SU </w:t>
      </w:r>
      <w:r w:rsidR="00B541EC" w:rsidRPr="00B41060">
        <w:rPr>
          <w:lang w:val="es-419"/>
        </w:rPr>
        <w:br/>
      </w:r>
      <w:r w:rsidRPr="00B41060">
        <w:rPr>
          <w:lang w:val="es-419"/>
        </w:rPr>
        <w:t>QUINCUAGÉSIMA</w:t>
      </w:r>
      <w:r w:rsidR="00ED5EE9">
        <w:rPr>
          <w:lang w:val="es-419"/>
        </w:rPr>
        <w:t xml:space="preserve"> </w:t>
      </w:r>
      <w:r w:rsidRPr="00B41060">
        <w:rPr>
          <w:lang w:val="es-419"/>
        </w:rPr>
        <w:t>CUARTA SESIÓN</w:t>
      </w:r>
      <w:r w:rsidRPr="00B41060">
        <w:rPr>
          <w:rStyle w:val="FootnoteReference"/>
          <w:lang w:val="es-419"/>
        </w:rPr>
        <w:footnoteReference w:id="13"/>
      </w:r>
    </w:p>
    <w:p w:rsidR="00D57A26" w:rsidRPr="00B41060" w:rsidRDefault="00D57A26" w:rsidP="00D57A26">
      <w:pPr>
        <w:rPr>
          <w:lang w:val="es-419"/>
        </w:rPr>
      </w:pPr>
    </w:p>
    <w:p w:rsidR="00D57A26" w:rsidRPr="00B41060" w:rsidRDefault="00D57A26" w:rsidP="00D57A26">
      <w:pPr>
        <w:rPr>
          <w:lang w:val="es-419"/>
        </w:rPr>
      </w:pPr>
    </w:p>
    <w:p w:rsidR="00D57A26" w:rsidRPr="00B41060" w:rsidRDefault="00D57A26" w:rsidP="00D57A26">
      <w:pPr>
        <w:rPr>
          <w:u w:val="single"/>
          <w:lang w:val="es-419"/>
        </w:rPr>
      </w:pPr>
      <w:r w:rsidRPr="00B41060">
        <w:rPr>
          <w:u w:val="single"/>
          <w:lang w:val="es-419"/>
        </w:rPr>
        <w:t>Revisión del modelo</w:t>
      </w:r>
      <w:r w:rsidR="00ED5EE9">
        <w:rPr>
          <w:u w:val="single"/>
          <w:lang w:val="es-419"/>
        </w:rPr>
        <w:t xml:space="preserve"> </w:t>
      </w:r>
      <w:r w:rsidRPr="00B41060">
        <w:rPr>
          <w:u w:val="single"/>
          <w:lang w:val="es-419"/>
        </w:rPr>
        <w:t>1: nuevo texto sobre la fiabilidad del vínculo entre el gen y la expresión del carácter</w:t>
      </w:r>
    </w:p>
    <w:p w:rsidR="00D57A26" w:rsidRPr="00B41060" w:rsidRDefault="00D57A26" w:rsidP="00D57A26">
      <w:pPr>
        <w:rPr>
          <w:lang w:val="es-419"/>
        </w:rPr>
      </w:pPr>
    </w:p>
    <w:p w:rsidR="00D57A26" w:rsidRPr="00B41060" w:rsidRDefault="00D57A26" w:rsidP="00D57A26">
      <w:pPr>
        <w:rPr>
          <w:lang w:val="es-419"/>
        </w:rPr>
      </w:pPr>
      <w:r w:rsidRPr="00B41060">
        <w:rPr>
          <w:lang w:val="es-419"/>
        </w:rPr>
        <w:t>Tras las propuestas acordadas por el TC en su quincuagésima cuarta sesión, se propone incluir las frases siguientes en el documento</w:t>
      </w:r>
      <w:r w:rsidR="00ED5EE9">
        <w:rPr>
          <w:lang w:val="es-419"/>
        </w:rPr>
        <w:t xml:space="preserve"> </w:t>
      </w:r>
      <w:r w:rsidRPr="00B41060">
        <w:rPr>
          <w:lang w:val="es-419"/>
        </w:rPr>
        <w:t>TGP/15:</w:t>
      </w:r>
    </w:p>
    <w:p w:rsidR="00D57A26" w:rsidRPr="00B41060" w:rsidRDefault="00D57A26" w:rsidP="00D57A26">
      <w:pPr>
        <w:rPr>
          <w:lang w:val="es-419"/>
        </w:rPr>
      </w:pPr>
    </w:p>
    <w:p w:rsidR="00D57A26" w:rsidRPr="00B41060" w:rsidRDefault="00D57A26" w:rsidP="00D57A26">
      <w:pPr>
        <w:tabs>
          <w:tab w:val="left" w:pos="1276"/>
        </w:tabs>
        <w:ind w:left="567" w:right="567"/>
        <w:rPr>
          <w:rFonts w:cs="Arial"/>
          <w:lang w:val="es-419"/>
        </w:rPr>
      </w:pPr>
      <w:r w:rsidRPr="00B41060">
        <w:rPr>
          <w:lang w:val="es-419"/>
        </w:rPr>
        <w:t>“2.1.2</w:t>
      </w:r>
      <w:r w:rsidRPr="00B41060">
        <w:rPr>
          <w:lang w:val="es-419"/>
        </w:rPr>
        <w:tab/>
        <w:t>Incumbe a la autoridad competente determinar si se han cumplido las premisas al aplicar el modelo y el ejemplo que figuran en el Anexo I del presente documento.</w:t>
      </w:r>
    </w:p>
    <w:p w:rsidR="00D57A26" w:rsidRPr="00B41060" w:rsidRDefault="00D57A26" w:rsidP="00D57A26">
      <w:pPr>
        <w:tabs>
          <w:tab w:val="left" w:pos="1276"/>
        </w:tabs>
        <w:ind w:left="567" w:right="567"/>
        <w:rPr>
          <w:rFonts w:cs="Arial"/>
          <w:lang w:val="es-419"/>
        </w:rPr>
      </w:pPr>
    </w:p>
    <w:p w:rsidR="00D57A26" w:rsidRPr="00B41060" w:rsidRDefault="00D57A26" w:rsidP="00D57A26">
      <w:pPr>
        <w:tabs>
          <w:tab w:val="left" w:pos="1276"/>
        </w:tabs>
        <w:ind w:left="567" w:right="567"/>
        <w:rPr>
          <w:rFonts w:cs="Arial"/>
          <w:lang w:val="es-419"/>
        </w:rPr>
      </w:pPr>
      <w:r w:rsidRPr="00B41060">
        <w:rPr>
          <w:lang w:val="es-419"/>
        </w:rPr>
        <w:t>2.1.3</w:t>
      </w:r>
      <w:r w:rsidRPr="00B41060">
        <w:rPr>
          <w:lang w:val="es-419"/>
        </w:rPr>
        <w:tab/>
        <w:t>Para que se incluya en las directrices de examen un método basado en el modelo que figura en el Anexo I del presente documento, el Grupo de Trabajo Técnico competente y el TC deberán convenir en que se ha satisfecho el requisito de fiabilidad del vínculo entre el gen y la expresión del carácter.”</w:t>
      </w:r>
    </w:p>
    <w:p w:rsidR="00D57A26" w:rsidRPr="00B41060" w:rsidRDefault="00D57A26" w:rsidP="00D57A26">
      <w:pPr>
        <w:rPr>
          <w:lang w:val="es-419"/>
        </w:rPr>
      </w:pPr>
    </w:p>
    <w:p w:rsidR="00D57A26" w:rsidRPr="00B41060" w:rsidRDefault="00D57A26" w:rsidP="00D57A26">
      <w:pPr>
        <w:jc w:val="left"/>
        <w:rPr>
          <w:lang w:val="es-419"/>
        </w:rPr>
      </w:pPr>
    </w:p>
    <w:p w:rsidR="00D57A26" w:rsidRPr="00B41060" w:rsidRDefault="00D57A26" w:rsidP="00D57A26">
      <w:pPr>
        <w:rPr>
          <w:u w:val="single"/>
          <w:lang w:val="es-419"/>
        </w:rPr>
      </w:pPr>
      <w:r w:rsidRPr="00B41060">
        <w:rPr>
          <w:u w:val="single"/>
          <w:lang w:val="es-419"/>
        </w:rPr>
        <w:t>Nuevo modelo: “Selección genética de variedades similares para el primer ciclo de cultivo”</w:t>
      </w:r>
    </w:p>
    <w:p w:rsidR="00D57A26" w:rsidRPr="00B41060" w:rsidRDefault="00D57A26" w:rsidP="00D57A26">
      <w:pPr>
        <w:rPr>
          <w:lang w:val="es-419"/>
        </w:rPr>
      </w:pPr>
    </w:p>
    <w:p w:rsidR="00D57A26" w:rsidRPr="00B41060" w:rsidRDefault="00D57A26" w:rsidP="00D57A26">
      <w:pPr>
        <w:rPr>
          <w:lang w:val="es-419"/>
        </w:rPr>
      </w:pPr>
      <w:r w:rsidRPr="00B41060">
        <w:rPr>
          <w:lang w:val="es-419"/>
        </w:rPr>
        <w:t>En su quincuagésima</w:t>
      </w:r>
      <w:r w:rsidR="00ED5EE9">
        <w:rPr>
          <w:lang w:val="es-419"/>
        </w:rPr>
        <w:t xml:space="preserve"> </w:t>
      </w:r>
      <w:r w:rsidRPr="00B41060">
        <w:rPr>
          <w:lang w:val="es-419"/>
        </w:rPr>
        <w:t>cuarta sesión, el TC convino en la inclusión de un nuevo modelo en el</w:t>
      </w:r>
      <w:r w:rsidR="00B541EC" w:rsidRPr="00B41060">
        <w:rPr>
          <w:lang w:val="es-419"/>
        </w:rPr>
        <w:t xml:space="preserve"> </w:t>
      </w:r>
      <w:r w:rsidRPr="00B41060">
        <w:rPr>
          <w:lang w:val="es-419"/>
        </w:rPr>
        <w:t>documento</w:t>
      </w:r>
      <w:r w:rsidR="004219FB">
        <w:rPr>
          <w:lang w:val="es-419"/>
        </w:rPr>
        <w:t> </w:t>
      </w:r>
      <w:r w:rsidRPr="00B41060">
        <w:rPr>
          <w:lang w:val="es-419"/>
        </w:rPr>
        <w:t>TGP/15, concretamente (véanse los párrafos 290 y 291 del documento</w:t>
      </w:r>
      <w:r w:rsidR="00ED5EE9">
        <w:rPr>
          <w:lang w:val="es-419"/>
        </w:rPr>
        <w:t xml:space="preserve"> </w:t>
      </w:r>
      <w:r w:rsidRPr="00B41060">
        <w:rPr>
          <w:lang w:val="es-419"/>
        </w:rPr>
        <w:t>TC/54/31 “Informe”):</w:t>
      </w:r>
    </w:p>
    <w:p w:rsidR="00D57A26" w:rsidRPr="00B41060" w:rsidRDefault="00D57A26" w:rsidP="00D57A26">
      <w:pPr>
        <w:rPr>
          <w:lang w:val="es-419"/>
        </w:rPr>
      </w:pPr>
    </w:p>
    <w:p w:rsidR="00D57A26" w:rsidRPr="00B41060" w:rsidRDefault="00D57A26" w:rsidP="00D57A26">
      <w:pPr>
        <w:ind w:left="567" w:right="567"/>
        <w:rPr>
          <w:i/>
          <w:lang w:val="es-419"/>
        </w:rPr>
      </w:pPr>
      <w:r w:rsidRPr="00B41060">
        <w:rPr>
          <w:i/>
          <w:lang w:val="es-419"/>
        </w:rPr>
        <w:t>Nueva sección 2.3 “Selección genética de variedades similares para el primer ciclo de cultivo”</w:t>
      </w:r>
    </w:p>
    <w:p w:rsidR="00D57A26" w:rsidRPr="00B41060" w:rsidRDefault="00D57A26" w:rsidP="00D57A26">
      <w:pPr>
        <w:ind w:left="567" w:right="567"/>
        <w:rPr>
          <w:lang w:val="es-419"/>
        </w:rPr>
      </w:pPr>
    </w:p>
    <w:p w:rsidR="00D57A26" w:rsidRPr="00B41060" w:rsidRDefault="00D57A26" w:rsidP="00D57A26">
      <w:pPr>
        <w:ind w:left="567" w:right="567"/>
        <w:rPr>
          <w:lang w:val="es-419"/>
        </w:rPr>
      </w:pPr>
      <w:r w:rsidRPr="00B41060">
        <w:rPr>
          <w:lang w:val="es-419"/>
        </w:rPr>
        <w:t>2.3</w:t>
      </w:r>
      <w:r w:rsidRPr="00B41060">
        <w:rPr>
          <w:lang w:val="es-419"/>
        </w:rPr>
        <w:tab/>
        <w:t>Selección genética de variedades similares para el primer ciclo de cultivo (véase el</w:t>
      </w:r>
      <w:r w:rsidR="00ED5EE9">
        <w:rPr>
          <w:lang w:val="es-419"/>
        </w:rPr>
        <w:t xml:space="preserve"> </w:t>
      </w:r>
      <w:r w:rsidRPr="00B41060">
        <w:rPr>
          <w:lang w:val="es-419"/>
        </w:rPr>
        <w:t>Anexo</w:t>
      </w:r>
      <w:r w:rsidR="00ED5EE9">
        <w:rPr>
          <w:lang w:val="es-419"/>
        </w:rPr>
        <w:t xml:space="preserve"> </w:t>
      </w:r>
      <w:r w:rsidRPr="00B41060">
        <w:rPr>
          <w:lang w:val="es-419"/>
        </w:rPr>
        <w:t>III)</w:t>
      </w:r>
    </w:p>
    <w:p w:rsidR="00D57A26" w:rsidRPr="00B41060" w:rsidRDefault="00D57A26" w:rsidP="00D57A26">
      <w:pPr>
        <w:ind w:left="567" w:right="567"/>
        <w:rPr>
          <w:lang w:val="es-419"/>
        </w:rPr>
      </w:pPr>
    </w:p>
    <w:p w:rsidR="00D57A26" w:rsidRPr="00B41060" w:rsidRDefault="00D57A26" w:rsidP="00D57A26">
      <w:pPr>
        <w:ind w:left="567" w:right="567"/>
        <w:rPr>
          <w:lang w:val="es-419"/>
        </w:rPr>
      </w:pPr>
      <w:r w:rsidRPr="00B41060">
        <w:rPr>
          <w:lang w:val="es-419"/>
        </w:rPr>
        <w:t>2.3.1</w:t>
      </w:r>
      <w:r w:rsidRPr="00B41060">
        <w:rPr>
          <w:lang w:val="es-419"/>
        </w:rPr>
        <w:tab/>
        <w:t>Este método incluye una fase de comprobación de la similitud genética antes del primer ciclo de cultivo.</w:t>
      </w:r>
    </w:p>
    <w:p w:rsidR="00D57A26" w:rsidRPr="00B41060" w:rsidRDefault="00D57A26" w:rsidP="00D57A26">
      <w:pPr>
        <w:ind w:left="567" w:right="567"/>
        <w:rPr>
          <w:lang w:val="es-419"/>
        </w:rPr>
      </w:pPr>
    </w:p>
    <w:p w:rsidR="00D57A26" w:rsidRPr="00B41060" w:rsidRDefault="00D57A26" w:rsidP="00D57A26">
      <w:pPr>
        <w:ind w:left="567" w:right="567"/>
        <w:rPr>
          <w:lang w:val="es-419"/>
        </w:rPr>
      </w:pPr>
      <w:r w:rsidRPr="00B41060">
        <w:rPr>
          <w:lang w:val="es-419"/>
        </w:rPr>
        <w:t>2.3.2</w:t>
      </w:r>
      <w:r w:rsidRPr="00B41060">
        <w:rPr>
          <w:lang w:val="es-419"/>
        </w:rPr>
        <w:tab/>
        <w:t>En aquellos casos en que la duración mínima de los ensayos es normalmente de dos ciclos de cultivo, se seleccionan de la colección de variedades las que son genéticamente similares a fin de compararlas con las variedades candidatas en el primer ciclo de cultivo. En la fase siguiente, se utiliza la información suministrada por el solicitante en el cuestionario técnico para comprobar si alguna variedad genéticamente similar presenta diferencias en los caracteres DHE y, por tanto, no es necesario compararla en el ensayo de cultivo.</w:t>
      </w:r>
    </w:p>
    <w:p w:rsidR="00D57A26" w:rsidRPr="00B41060" w:rsidRDefault="00D57A26" w:rsidP="00D57A26">
      <w:pPr>
        <w:ind w:left="567" w:right="567"/>
        <w:rPr>
          <w:lang w:val="es-419"/>
        </w:rPr>
      </w:pPr>
    </w:p>
    <w:p w:rsidR="00D57A26" w:rsidRPr="00B41060" w:rsidRDefault="00D57A26" w:rsidP="00D57A26">
      <w:pPr>
        <w:ind w:left="567" w:right="567"/>
        <w:rPr>
          <w:lang w:val="es-419"/>
        </w:rPr>
      </w:pPr>
      <w:r w:rsidRPr="00B41060">
        <w:rPr>
          <w:lang w:val="es-419"/>
        </w:rPr>
        <w:t>2.3.3</w:t>
      </w:r>
      <w:r w:rsidRPr="00B41060">
        <w:rPr>
          <w:lang w:val="es-419"/>
        </w:rPr>
        <w:tab/>
        <w:t xml:space="preserve">Sobre la base de la descripción de los caracteres DHE de la variedad elaborada en el primer ciclo de cultivo, se realiza otra búsqueda en la colección para encontrar variedades similares que no se hayan comparado en ese primer ciclo y deban compararse con la variedad candidata en el segundo ciclo. </w:t>
      </w:r>
    </w:p>
    <w:p w:rsidR="00D57A26" w:rsidRPr="00B41060" w:rsidRDefault="00D57A26" w:rsidP="00D57A26">
      <w:pPr>
        <w:ind w:left="567" w:right="567"/>
        <w:rPr>
          <w:lang w:val="es-419"/>
        </w:rPr>
      </w:pPr>
    </w:p>
    <w:p w:rsidR="00D57A26" w:rsidRPr="00B41060" w:rsidRDefault="00D57A26" w:rsidP="00D57A26">
      <w:pPr>
        <w:ind w:left="567" w:right="567"/>
        <w:rPr>
          <w:lang w:val="es-419"/>
        </w:rPr>
      </w:pPr>
      <w:r w:rsidRPr="00B41060">
        <w:rPr>
          <w:lang w:val="es-419"/>
        </w:rPr>
        <w:t>2.3.4</w:t>
      </w:r>
      <w:r w:rsidRPr="00B41060">
        <w:rPr>
          <w:lang w:val="es-419"/>
        </w:rPr>
        <w:tab/>
        <w:t>En el Anexo III del presente documento “Selección genética de variedades similares para el primer ciclo de cultivo” se ofrece un ejemplo de la selección genética de variedades similares para el primer ciclo de cultivo.</w:t>
      </w:r>
    </w:p>
    <w:p w:rsidR="00D57A26" w:rsidRPr="00B41060" w:rsidRDefault="00D57A26" w:rsidP="00D57A26">
      <w:pPr>
        <w:ind w:left="567" w:right="567"/>
        <w:rPr>
          <w:lang w:val="es-419"/>
        </w:rPr>
      </w:pPr>
    </w:p>
    <w:p w:rsidR="00D57A26" w:rsidRPr="00B41060" w:rsidRDefault="00D57A26" w:rsidP="00D57A26">
      <w:pPr>
        <w:ind w:left="567" w:right="567"/>
        <w:rPr>
          <w:i/>
          <w:lang w:val="es-419"/>
        </w:rPr>
      </w:pPr>
      <w:r w:rsidRPr="00B41060">
        <w:rPr>
          <w:i/>
          <w:lang w:val="es-419"/>
        </w:rPr>
        <w:t>Anexo III “</w:t>
      </w:r>
      <w:proofErr w:type="spellStart"/>
      <w:r w:rsidRPr="00B41060">
        <w:rPr>
          <w:i/>
          <w:lang w:val="es-419"/>
        </w:rPr>
        <w:t>Model</w:t>
      </w:r>
      <w:proofErr w:type="spellEnd"/>
      <w:r w:rsidRPr="00B41060">
        <w:rPr>
          <w:i/>
          <w:lang w:val="es-419"/>
        </w:rPr>
        <w:t>: Selección genética de variedades similares para el primer ciclo de cultivo”</w:t>
      </w:r>
    </w:p>
    <w:p w:rsidR="00D57A26" w:rsidRPr="00B41060" w:rsidRDefault="00D57A26" w:rsidP="00D57A26">
      <w:pPr>
        <w:ind w:left="567" w:right="567"/>
        <w:jc w:val="center"/>
        <w:rPr>
          <w:snapToGrid w:val="0"/>
          <w:color w:val="000000"/>
          <w:lang w:val="es-419"/>
        </w:rPr>
      </w:pPr>
    </w:p>
    <w:p w:rsidR="00D57A26" w:rsidRPr="00B41060" w:rsidRDefault="00D57A26" w:rsidP="00D57A26">
      <w:pPr>
        <w:ind w:left="567" w:right="567"/>
        <w:jc w:val="left"/>
        <w:rPr>
          <w:i/>
          <w:lang w:val="es-419"/>
        </w:rPr>
      </w:pPr>
      <w:r w:rsidRPr="00B41060">
        <w:rPr>
          <w:lang w:val="es-419"/>
        </w:rPr>
        <w:t>Ejemplo:</w:t>
      </w:r>
      <w:r w:rsidR="00BF7D28" w:rsidRPr="00B41060">
        <w:rPr>
          <w:lang w:val="es-419"/>
        </w:rPr>
        <w:t xml:space="preserve"> </w:t>
      </w:r>
      <w:r w:rsidRPr="00B41060">
        <w:rPr>
          <w:lang w:val="es-419"/>
        </w:rPr>
        <w:t>la judía común (preparado por un experto de los Países Bajos)</w:t>
      </w:r>
    </w:p>
    <w:p w:rsidR="00D57A26" w:rsidRPr="00B41060" w:rsidRDefault="00D57A26" w:rsidP="00D57A26">
      <w:pPr>
        <w:ind w:left="567" w:right="567"/>
        <w:jc w:val="center"/>
        <w:rPr>
          <w:rFonts w:cs="Arial"/>
          <w:i/>
          <w:lang w:val="es-419"/>
        </w:rPr>
      </w:pPr>
    </w:p>
    <w:p w:rsidR="00D57A26" w:rsidRPr="00B41060" w:rsidRDefault="00D57A26" w:rsidP="00D57A26">
      <w:pPr>
        <w:ind w:left="567" w:right="567"/>
        <w:rPr>
          <w:lang w:val="es-419"/>
        </w:rPr>
      </w:pPr>
      <w:r w:rsidRPr="00B41060">
        <w:rPr>
          <w:lang w:val="es-419"/>
        </w:rPr>
        <w:t>1.</w:t>
      </w:r>
      <w:r w:rsidRPr="00B41060">
        <w:rPr>
          <w:lang w:val="es-419"/>
        </w:rPr>
        <w:tab/>
        <w:t>Introducción</w:t>
      </w:r>
    </w:p>
    <w:p w:rsidR="00D57A26" w:rsidRPr="00B41060" w:rsidRDefault="00D57A26" w:rsidP="00D57A26">
      <w:pPr>
        <w:ind w:left="567" w:right="567"/>
        <w:rPr>
          <w:lang w:val="es-419"/>
        </w:rPr>
      </w:pPr>
    </w:p>
    <w:p w:rsidR="00D57A26" w:rsidRPr="00B41060" w:rsidRDefault="00D57A26" w:rsidP="00D57A26">
      <w:pPr>
        <w:ind w:left="567" w:right="567"/>
        <w:rPr>
          <w:lang w:val="es-419"/>
        </w:rPr>
      </w:pPr>
      <w:r w:rsidRPr="00B41060">
        <w:rPr>
          <w:lang w:val="es-419"/>
        </w:rPr>
        <w:t xml:space="preserve">1.1 </w:t>
      </w:r>
      <w:r w:rsidRPr="00B41060">
        <w:rPr>
          <w:lang w:val="es-419"/>
        </w:rPr>
        <w:tab/>
        <w:t>Este método incluye una fase de comprobación de la similitud genética antes del primer ciclo de cultivo.</w:t>
      </w:r>
      <w:r w:rsidR="00BF7D28" w:rsidRPr="00B41060">
        <w:rPr>
          <w:lang w:val="es-419"/>
        </w:rPr>
        <w:t xml:space="preserve"> </w:t>
      </w:r>
    </w:p>
    <w:p w:rsidR="00D57A26" w:rsidRPr="00B41060" w:rsidRDefault="00D57A26" w:rsidP="00D57A26">
      <w:pPr>
        <w:ind w:left="567" w:right="567"/>
        <w:rPr>
          <w:lang w:val="es-419"/>
        </w:rPr>
      </w:pPr>
    </w:p>
    <w:p w:rsidR="00D57A26" w:rsidRPr="00B41060" w:rsidRDefault="00D57A26" w:rsidP="00D57A26">
      <w:pPr>
        <w:ind w:left="567" w:right="567"/>
        <w:rPr>
          <w:lang w:val="es-419"/>
        </w:rPr>
      </w:pPr>
      <w:r w:rsidRPr="00B41060">
        <w:rPr>
          <w:lang w:val="es-419"/>
        </w:rPr>
        <w:t>1.2</w:t>
      </w:r>
      <w:r w:rsidRPr="00B41060">
        <w:rPr>
          <w:lang w:val="es-419"/>
        </w:rPr>
        <w:tab/>
        <w:t xml:space="preserve">En aquellos casos en que la duración mínima de los ensayos es normalmente de dos ciclos de cultivo, se seleccionan de la colección de variedades las que son genéticamente similares a </w:t>
      </w:r>
      <w:r w:rsidRPr="00B41060">
        <w:rPr>
          <w:lang w:val="es-419"/>
        </w:rPr>
        <w:lastRenderedPageBreak/>
        <w:t>fin de compararlas con las variedades candidatas en el primer ciclo de cultivo. En la fase siguiente, se utiliza la información suministrada por el solicitante en el cuestionario técnico para comprobar si alguna variedad genéticamente similar presenta diferencias en los caracteres DHE y, por tanto, no es necesario compararla en el ensayo de cultivo.</w:t>
      </w:r>
      <w:r w:rsidR="00BF7D28" w:rsidRPr="00B41060">
        <w:rPr>
          <w:lang w:val="es-419"/>
        </w:rPr>
        <w:t xml:space="preserve"> </w:t>
      </w:r>
    </w:p>
    <w:p w:rsidR="00D57A26" w:rsidRPr="00B41060" w:rsidRDefault="00D57A26" w:rsidP="00D57A26">
      <w:pPr>
        <w:ind w:left="567" w:right="567"/>
        <w:rPr>
          <w:lang w:val="es-419"/>
        </w:rPr>
      </w:pPr>
    </w:p>
    <w:p w:rsidR="00D57A26" w:rsidRPr="00B41060" w:rsidRDefault="00D57A26" w:rsidP="00D57A26">
      <w:pPr>
        <w:ind w:left="567" w:right="567"/>
        <w:rPr>
          <w:lang w:val="es-419"/>
        </w:rPr>
      </w:pPr>
      <w:r w:rsidRPr="00B41060">
        <w:rPr>
          <w:lang w:val="es-419"/>
        </w:rPr>
        <w:t>1.3</w:t>
      </w:r>
      <w:r w:rsidRPr="00B41060">
        <w:rPr>
          <w:lang w:val="es-419"/>
        </w:rPr>
        <w:tab/>
        <w:t xml:space="preserve">Sobre la base de la descripción de los caracteres DHE de la variedad elaborada en el primer ciclo de cultivo, se realiza otra búsqueda en la colección para encontrar variedades similares que no se hayan comparado en ese primer ciclo y deban compararse con la variedad candidata en el segundo ciclo. </w:t>
      </w:r>
    </w:p>
    <w:p w:rsidR="00D57A26" w:rsidRPr="00B41060" w:rsidRDefault="00D57A26" w:rsidP="00D57A26">
      <w:pPr>
        <w:ind w:left="567" w:right="567"/>
        <w:rPr>
          <w:lang w:val="es-419"/>
        </w:rPr>
      </w:pPr>
    </w:p>
    <w:p w:rsidR="00D57A26" w:rsidRPr="00B41060" w:rsidRDefault="00D57A26" w:rsidP="00D57A26">
      <w:pPr>
        <w:ind w:left="567" w:right="567"/>
        <w:rPr>
          <w:lang w:val="es-419"/>
        </w:rPr>
      </w:pPr>
      <w:r w:rsidRPr="00B41060">
        <w:rPr>
          <w:lang w:val="es-419"/>
        </w:rPr>
        <w:t>2.</w:t>
      </w:r>
      <w:r w:rsidRPr="00B41060">
        <w:rPr>
          <w:lang w:val="es-419"/>
        </w:rPr>
        <w:tab/>
        <w:t>Procedimiento</w:t>
      </w:r>
    </w:p>
    <w:p w:rsidR="00D57A26" w:rsidRPr="00B41060" w:rsidRDefault="00D57A26" w:rsidP="00D57A26">
      <w:pPr>
        <w:keepNext/>
        <w:ind w:left="567" w:right="567"/>
        <w:outlineLvl w:val="2"/>
        <w:rPr>
          <w:rFonts w:eastAsia="MS Mincho"/>
          <w:i/>
          <w:lang w:val="es-419"/>
        </w:rPr>
      </w:pPr>
      <w:r w:rsidRPr="00B41060">
        <w:rPr>
          <w:i/>
          <w:lang w:val="es-419"/>
        </w:rPr>
        <w:t xml:space="preserve"> </w:t>
      </w:r>
    </w:p>
    <w:p w:rsidR="00D57A26" w:rsidRPr="00B41060" w:rsidRDefault="00D57A26" w:rsidP="00D57A26">
      <w:pPr>
        <w:ind w:left="567" w:right="567"/>
        <w:rPr>
          <w:i/>
          <w:lang w:val="es-419"/>
        </w:rPr>
      </w:pPr>
      <w:r w:rsidRPr="00B41060">
        <w:rPr>
          <w:i/>
          <w:lang w:val="es-419"/>
        </w:rPr>
        <w:t>Determinación de la similitud genética</w:t>
      </w:r>
    </w:p>
    <w:p w:rsidR="00D57A26" w:rsidRPr="00B41060" w:rsidRDefault="00D57A26" w:rsidP="00D57A26">
      <w:pPr>
        <w:ind w:left="567" w:right="567"/>
        <w:rPr>
          <w:lang w:val="es-419"/>
        </w:rPr>
      </w:pPr>
    </w:p>
    <w:p w:rsidR="00D57A26" w:rsidRPr="00B41060" w:rsidRDefault="00D57A26" w:rsidP="00D57A26">
      <w:pPr>
        <w:ind w:left="567" w:right="567"/>
        <w:rPr>
          <w:lang w:val="es-419"/>
        </w:rPr>
      </w:pPr>
      <w:r w:rsidRPr="00B41060">
        <w:rPr>
          <w:lang w:val="es-419"/>
        </w:rPr>
        <w:t>2.1</w:t>
      </w:r>
      <w:r w:rsidRPr="00B41060">
        <w:rPr>
          <w:lang w:val="es-419"/>
        </w:rPr>
        <w:tab/>
        <w:t>En cuanto se recibe el material vegetal, se obtiene el perfil de ADN de la variedad candidata.</w:t>
      </w:r>
    </w:p>
    <w:p w:rsidR="00D57A26" w:rsidRPr="00B41060" w:rsidRDefault="00D57A26" w:rsidP="00D57A26">
      <w:pPr>
        <w:ind w:left="567" w:right="567"/>
        <w:rPr>
          <w:lang w:val="es-419"/>
        </w:rPr>
      </w:pPr>
    </w:p>
    <w:p w:rsidR="00D57A26" w:rsidRPr="00B41060" w:rsidRDefault="00D57A26" w:rsidP="00D57A26">
      <w:pPr>
        <w:ind w:left="567" w:right="567"/>
        <w:rPr>
          <w:lang w:val="es-419"/>
        </w:rPr>
      </w:pPr>
      <w:r w:rsidRPr="00B41060">
        <w:rPr>
          <w:lang w:val="es-419"/>
        </w:rPr>
        <w:t>2.2</w:t>
      </w:r>
      <w:r w:rsidRPr="00B41060">
        <w:rPr>
          <w:lang w:val="es-419"/>
        </w:rPr>
        <w:tab/>
        <w:t xml:space="preserve">El perfil de ADN se compara con los perfiles de todas las variedades que figuran en la colección de variedades y se seleccionan las que presentan similitud genética. </w:t>
      </w:r>
    </w:p>
    <w:p w:rsidR="00D57A26" w:rsidRPr="00B41060" w:rsidRDefault="00D57A26" w:rsidP="00D57A26">
      <w:pPr>
        <w:ind w:left="567" w:right="567"/>
        <w:rPr>
          <w:lang w:val="es-419"/>
        </w:rPr>
      </w:pPr>
    </w:p>
    <w:p w:rsidR="00D57A26" w:rsidRPr="00B41060" w:rsidRDefault="00D57A26" w:rsidP="00D57A26">
      <w:pPr>
        <w:ind w:left="567" w:right="567"/>
        <w:rPr>
          <w:i/>
          <w:lang w:val="es-419"/>
        </w:rPr>
      </w:pPr>
      <w:r w:rsidRPr="00B41060">
        <w:rPr>
          <w:i/>
          <w:lang w:val="es-419"/>
        </w:rPr>
        <w:t>Información del cuestionario técnico</w:t>
      </w:r>
    </w:p>
    <w:p w:rsidR="00D57A26" w:rsidRPr="00B41060" w:rsidRDefault="00D57A26" w:rsidP="00D57A26">
      <w:pPr>
        <w:ind w:left="567" w:right="567"/>
        <w:rPr>
          <w:lang w:val="es-419"/>
        </w:rPr>
      </w:pPr>
    </w:p>
    <w:p w:rsidR="00D57A26" w:rsidRPr="00B41060" w:rsidRDefault="00D57A26" w:rsidP="00D57A26">
      <w:pPr>
        <w:ind w:left="567" w:right="567"/>
        <w:rPr>
          <w:lang w:val="es-419"/>
        </w:rPr>
      </w:pPr>
      <w:r w:rsidRPr="00B41060">
        <w:rPr>
          <w:lang w:val="es-419"/>
        </w:rPr>
        <w:t>2.3</w:t>
      </w:r>
      <w:r w:rsidRPr="00B41060">
        <w:rPr>
          <w:lang w:val="es-419"/>
        </w:rPr>
        <w:tab/>
        <w:t>A continuación, se utiliza la información suministrada por el solicitante en el cuestionario técnico para comprobar si alguna variedad genéticamente similar presenta claras diferencias respecto de los caracteres DHE, en cuyo caso no será necesario compararla con las variedades candidatas en el ensayo de cultivo.</w:t>
      </w:r>
      <w:r w:rsidR="0007321B" w:rsidRPr="00B41060">
        <w:rPr>
          <w:lang w:val="es-419"/>
        </w:rPr>
        <w:t xml:space="preserve"> </w:t>
      </w:r>
    </w:p>
    <w:p w:rsidR="00D57A26" w:rsidRPr="00B41060" w:rsidRDefault="00D57A26" w:rsidP="00D57A26">
      <w:pPr>
        <w:ind w:left="567" w:right="567"/>
        <w:rPr>
          <w:lang w:val="es-419"/>
        </w:rPr>
      </w:pPr>
    </w:p>
    <w:p w:rsidR="00D57A26" w:rsidRPr="00B41060" w:rsidRDefault="00D57A26" w:rsidP="00D57A26">
      <w:pPr>
        <w:ind w:left="567" w:right="567"/>
        <w:rPr>
          <w:i/>
          <w:lang w:val="es-419"/>
        </w:rPr>
      </w:pPr>
      <w:r w:rsidRPr="00B41060">
        <w:rPr>
          <w:i/>
          <w:lang w:val="es-419"/>
        </w:rPr>
        <w:t>Ensayo de campo</w:t>
      </w:r>
    </w:p>
    <w:p w:rsidR="00D57A26" w:rsidRPr="00B41060" w:rsidRDefault="00D57A26" w:rsidP="00D57A26">
      <w:pPr>
        <w:ind w:left="567" w:right="567"/>
        <w:rPr>
          <w:lang w:val="es-419"/>
        </w:rPr>
      </w:pPr>
    </w:p>
    <w:p w:rsidR="00D57A26" w:rsidRPr="00B41060" w:rsidRDefault="00D57A26" w:rsidP="00D57A26">
      <w:pPr>
        <w:ind w:left="567" w:right="567" w:firstLine="567"/>
        <w:rPr>
          <w:u w:val="single"/>
          <w:lang w:val="es-419"/>
        </w:rPr>
      </w:pPr>
      <w:r w:rsidRPr="00B41060">
        <w:rPr>
          <w:u w:val="single"/>
          <w:lang w:val="es-419"/>
        </w:rPr>
        <w:t>Primer ciclo de cultivo</w:t>
      </w:r>
    </w:p>
    <w:p w:rsidR="00D57A26" w:rsidRPr="00B41060" w:rsidRDefault="00D57A26" w:rsidP="00D57A26">
      <w:pPr>
        <w:ind w:left="567" w:right="567"/>
        <w:rPr>
          <w:lang w:val="es-419"/>
        </w:rPr>
      </w:pPr>
    </w:p>
    <w:p w:rsidR="00D57A26" w:rsidRPr="00B41060" w:rsidRDefault="00D57A26" w:rsidP="00D57A26">
      <w:pPr>
        <w:ind w:left="567" w:right="567"/>
        <w:rPr>
          <w:lang w:val="es-419"/>
        </w:rPr>
      </w:pPr>
      <w:r w:rsidRPr="00B41060">
        <w:rPr>
          <w:lang w:val="es-419"/>
        </w:rPr>
        <w:t>2.4</w:t>
      </w:r>
      <w:r w:rsidRPr="00B41060">
        <w:rPr>
          <w:lang w:val="es-419"/>
        </w:rPr>
        <w:tab/>
        <w:t xml:space="preserve">Las variedades candidatas y las genéticamente similares seleccionadas mediante el procedimiento descrito se cultivan en un mismo ensayo de campo. Se elabora una completa descripción de los caracteres DHE de la variedad candidata y se compara con las descripciones de todas las variedades de la colección por medio de una base de datos que contiene descripciones elaboradas en el mismo lugar en años anteriores. </w:t>
      </w:r>
    </w:p>
    <w:p w:rsidR="00D57A26" w:rsidRPr="00B41060" w:rsidRDefault="00D57A26" w:rsidP="00D57A26">
      <w:pPr>
        <w:ind w:left="567" w:right="567"/>
        <w:rPr>
          <w:lang w:val="es-419"/>
        </w:rPr>
      </w:pPr>
    </w:p>
    <w:p w:rsidR="00D57A26" w:rsidRPr="00B41060" w:rsidRDefault="00D57A26" w:rsidP="00D57A26">
      <w:pPr>
        <w:ind w:left="567" w:right="567"/>
        <w:rPr>
          <w:lang w:val="es-419"/>
        </w:rPr>
      </w:pPr>
      <w:r w:rsidRPr="00B41060">
        <w:rPr>
          <w:lang w:val="es-419"/>
        </w:rPr>
        <w:t>2.5</w:t>
      </w:r>
      <w:r w:rsidRPr="00B41060">
        <w:rPr>
          <w:lang w:val="es-419"/>
        </w:rPr>
        <w:tab/>
        <w:t xml:space="preserve">Resultados posibles: </w:t>
      </w:r>
    </w:p>
    <w:p w:rsidR="00D57A26" w:rsidRPr="00B41060" w:rsidRDefault="00D57A26" w:rsidP="00D57A26">
      <w:pPr>
        <w:ind w:left="567" w:right="567"/>
        <w:rPr>
          <w:lang w:val="es-419"/>
        </w:rPr>
      </w:pPr>
    </w:p>
    <w:p w:rsidR="00D57A26" w:rsidRPr="00B41060" w:rsidRDefault="00D57A26" w:rsidP="00D57A26">
      <w:pPr>
        <w:ind w:left="567" w:right="567"/>
        <w:rPr>
          <w:lang w:val="es-419"/>
        </w:rPr>
      </w:pPr>
      <w:r w:rsidRPr="00B41060">
        <w:rPr>
          <w:lang w:val="es-419"/>
        </w:rPr>
        <w:t xml:space="preserve">Si la variedad candidata no es distinta de las variedades genéticamente similares en lo que respecta a los caracteres DHE, se continuará con el ensayo en otro ciclo de cultivo. </w:t>
      </w:r>
    </w:p>
    <w:p w:rsidR="00D57A26" w:rsidRPr="00B41060" w:rsidRDefault="00D57A26" w:rsidP="00D57A26">
      <w:pPr>
        <w:ind w:left="567" w:right="567"/>
        <w:rPr>
          <w:lang w:val="es-419"/>
        </w:rPr>
      </w:pPr>
    </w:p>
    <w:p w:rsidR="00D57A26" w:rsidRPr="00B41060" w:rsidRDefault="00D57A26" w:rsidP="00D57A26">
      <w:pPr>
        <w:ind w:left="567" w:right="567"/>
        <w:rPr>
          <w:lang w:val="es-419"/>
        </w:rPr>
      </w:pPr>
      <w:r w:rsidRPr="00B41060">
        <w:rPr>
          <w:lang w:val="es-419"/>
        </w:rPr>
        <w:t xml:space="preserve">En cualquier caso, la descripción de la variedad candidata elaborada en el primer ciclo de cultivo se compara con las descripciones de las variedades de la colección por medio de una base de datos que contiene descripciones elaboradas en el mismo lugar. </w:t>
      </w:r>
    </w:p>
    <w:p w:rsidR="00D57A26" w:rsidRPr="00B41060" w:rsidRDefault="00D57A26" w:rsidP="00D57A26">
      <w:pPr>
        <w:ind w:left="567" w:right="567"/>
        <w:rPr>
          <w:lang w:val="es-419"/>
        </w:rPr>
      </w:pPr>
    </w:p>
    <w:p w:rsidR="00D57A26" w:rsidRPr="00B41060" w:rsidRDefault="00D57A26" w:rsidP="00D57A26">
      <w:pPr>
        <w:ind w:left="567" w:right="567"/>
        <w:rPr>
          <w:lang w:val="es-419"/>
        </w:rPr>
      </w:pPr>
      <w:r w:rsidRPr="00B41060">
        <w:rPr>
          <w:lang w:val="es-419"/>
        </w:rPr>
        <w:tab/>
        <w:t>a)</w:t>
      </w:r>
      <w:r w:rsidR="00521634" w:rsidRPr="00B41060">
        <w:rPr>
          <w:lang w:val="es-419"/>
        </w:rPr>
        <w:tab/>
      </w:r>
      <w:r w:rsidRPr="00B41060">
        <w:rPr>
          <w:lang w:val="es-419"/>
        </w:rPr>
        <w:t>Si, al final del primer ciclo de cultivo, se determina que la variedad candidata es distinta de todas las variedades cultivadas en ese primer ciclo y de todas las demás variedades de la colección y que reúne los requisitos de homogeneidad y estabilidad, puede concluirse el examen DHE cuando termine el primer ciclo de cultivo.</w:t>
      </w:r>
    </w:p>
    <w:p w:rsidR="00D57A26" w:rsidRPr="00B41060" w:rsidRDefault="00D57A26" w:rsidP="00D57A26">
      <w:pPr>
        <w:ind w:left="567" w:right="567"/>
        <w:rPr>
          <w:lang w:val="es-419"/>
        </w:rPr>
      </w:pPr>
    </w:p>
    <w:p w:rsidR="00D57A26" w:rsidRPr="00B41060" w:rsidRDefault="00D57A26" w:rsidP="00D57A26">
      <w:pPr>
        <w:ind w:left="567" w:right="567"/>
        <w:rPr>
          <w:lang w:val="es-419"/>
        </w:rPr>
      </w:pPr>
      <w:r w:rsidRPr="00B41060">
        <w:rPr>
          <w:lang w:val="es-419"/>
        </w:rPr>
        <w:tab/>
        <w:t>b)</w:t>
      </w:r>
      <w:r w:rsidR="00521634" w:rsidRPr="00B41060">
        <w:rPr>
          <w:lang w:val="es-419"/>
        </w:rPr>
        <w:tab/>
      </w:r>
      <w:r w:rsidRPr="00B41060">
        <w:rPr>
          <w:lang w:val="es-419"/>
        </w:rPr>
        <w:t xml:space="preserve">En todos los demás casos, deberá llevarse a cabo un segundo ciclo de cultivo. </w:t>
      </w:r>
    </w:p>
    <w:p w:rsidR="00D57A26" w:rsidRPr="00B41060" w:rsidRDefault="00D57A26" w:rsidP="00D57A26">
      <w:pPr>
        <w:ind w:left="567" w:right="567"/>
        <w:rPr>
          <w:lang w:val="es-419"/>
        </w:rPr>
      </w:pPr>
    </w:p>
    <w:p w:rsidR="00D57A26" w:rsidRPr="00B41060" w:rsidRDefault="00D57A26" w:rsidP="00D57A26">
      <w:pPr>
        <w:ind w:left="567" w:right="567" w:firstLine="567"/>
        <w:rPr>
          <w:u w:val="single"/>
          <w:lang w:val="es-419"/>
        </w:rPr>
      </w:pPr>
      <w:r w:rsidRPr="00B41060">
        <w:rPr>
          <w:u w:val="single"/>
          <w:lang w:val="es-419"/>
        </w:rPr>
        <w:t>Segundo ciclo de cultivo</w:t>
      </w:r>
    </w:p>
    <w:p w:rsidR="00D57A26" w:rsidRPr="00B41060" w:rsidRDefault="00D57A26" w:rsidP="00D57A26">
      <w:pPr>
        <w:ind w:left="567" w:right="567"/>
        <w:rPr>
          <w:lang w:val="es-419"/>
        </w:rPr>
      </w:pPr>
    </w:p>
    <w:p w:rsidR="00D57A26" w:rsidRPr="00B41060" w:rsidRDefault="00D57A26" w:rsidP="00D57A26">
      <w:pPr>
        <w:ind w:left="567" w:right="567"/>
        <w:rPr>
          <w:lang w:val="es-419"/>
        </w:rPr>
      </w:pPr>
      <w:r w:rsidRPr="00B41060">
        <w:rPr>
          <w:lang w:val="es-419"/>
        </w:rPr>
        <w:t>2.6</w:t>
      </w:r>
      <w:r w:rsidRPr="00B41060">
        <w:rPr>
          <w:lang w:val="es-419"/>
        </w:rPr>
        <w:tab/>
        <w:t xml:space="preserve">En el segundo ciclo, se cultiva la variedad candidata junto con todas aquellas variedades de la colección respecto de las cuales se ha determinado que no es distinta al final del primer ciclo de cultivo. </w:t>
      </w:r>
    </w:p>
    <w:p w:rsidR="00D57A26" w:rsidRPr="00B41060" w:rsidRDefault="00D57A26" w:rsidP="00D57A26">
      <w:pPr>
        <w:ind w:left="567" w:right="567"/>
        <w:rPr>
          <w:lang w:val="es-419"/>
        </w:rPr>
      </w:pPr>
    </w:p>
    <w:p w:rsidR="00D57A26" w:rsidRPr="00B41060" w:rsidRDefault="00D57A26" w:rsidP="00D57A26">
      <w:pPr>
        <w:ind w:left="567" w:right="567"/>
        <w:rPr>
          <w:lang w:val="es-419"/>
        </w:rPr>
      </w:pPr>
      <w:r w:rsidRPr="00B41060">
        <w:rPr>
          <w:lang w:val="es-419"/>
        </w:rPr>
        <w:t>2.7</w:t>
      </w:r>
      <w:r w:rsidRPr="00B41060">
        <w:rPr>
          <w:lang w:val="es-419"/>
        </w:rPr>
        <w:tab/>
        <w:t>Al término del segundo ciclo de cultivo se efectúa una evaluación de la distinción, la homogeneidad y la estabilidad.</w:t>
      </w:r>
      <w:r w:rsidR="0007321B" w:rsidRPr="00B41060">
        <w:rPr>
          <w:lang w:val="es-419"/>
        </w:rPr>
        <w:t xml:space="preserve"> </w:t>
      </w:r>
      <w:r w:rsidRPr="00B41060">
        <w:rPr>
          <w:lang w:val="es-419"/>
        </w:rPr>
        <w:t>Si no es posible adoptar entonces una decisión acerca de la distinción, la homogeneidad y la estabilidad, puede llevarse a cabo un nuevo ciclo de cultivo.</w:t>
      </w:r>
    </w:p>
    <w:p w:rsidR="00D57A26" w:rsidRPr="00B41060" w:rsidRDefault="00D57A26" w:rsidP="00D57A26">
      <w:pPr>
        <w:rPr>
          <w:lang w:val="es-419"/>
        </w:rPr>
      </w:pPr>
    </w:p>
    <w:p w:rsidR="00050E16" w:rsidRPr="00B41060" w:rsidRDefault="00521634" w:rsidP="00B43ACC">
      <w:pPr>
        <w:rPr>
          <w:lang w:val="es-419"/>
        </w:rPr>
      </w:pPr>
      <w:r w:rsidRPr="00B41060">
        <w:rPr>
          <w:noProof/>
          <w:lang w:val="en-US" w:eastAsia="en-US" w:bidi="ar-SA"/>
        </w:rPr>
        <mc:AlternateContent>
          <mc:Choice Requires="wps">
            <w:drawing>
              <wp:anchor distT="0" distB="0" distL="114300" distR="114300" simplePos="0" relativeHeight="251660288" behindDoc="0" locked="0" layoutInCell="1" allowOverlap="1" wp14:anchorId="53340091" wp14:editId="0D069258">
                <wp:simplePos x="0" y="0"/>
                <wp:positionH relativeFrom="column">
                  <wp:posOffset>3499887</wp:posOffset>
                </wp:positionH>
                <wp:positionV relativeFrom="paragraph">
                  <wp:posOffset>5724</wp:posOffset>
                </wp:positionV>
                <wp:extent cx="2678806" cy="285115"/>
                <wp:effectExtent l="0" t="0" r="0" b="635"/>
                <wp:wrapNone/>
                <wp:docPr id="2" name="Text Box 2"/>
                <wp:cNvGraphicFramePr/>
                <a:graphic xmlns:a="http://schemas.openxmlformats.org/drawingml/2006/main">
                  <a:graphicData uri="http://schemas.microsoft.com/office/word/2010/wordprocessingShape">
                    <wps:wsp>
                      <wps:cNvSpPr txBox="1"/>
                      <wps:spPr>
                        <a:xfrm>
                          <a:off x="0" y="0"/>
                          <a:ext cx="2678806" cy="285115"/>
                        </a:xfrm>
                        <a:prstGeom prst="rect">
                          <a:avLst/>
                        </a:prstGeom>
                        <a:noFill/>
                        <a:ln w="6350">
                          <a:noFill/>
                        </a:ln>
                      </wps:spPr>
                      <wps:txbx>
                        <w:txbxContent>
                          <w:p w:rsidR="00F758FF" w:rsidRPr="00B43ACC" w:rsidRDefault="00F758FF" w:rsidP="00521634">
                            <w:pPr>
                              <w:ind w:right="741"/>
                              <w:jc w:val="right"/>
                            </w:pPr>
                            <w:r>
                              <w:t>[Fin del Anexo V y del documento]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40091" id="_x0000_s1028" type="#_x0000_t202" style="position:absolute;left:0;text-align:left;margin-left:275.6pt;margin-top:.45pt;width:210.95pt;height:2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" filled="f" stroked="f" strokeweight=".5pt">
                <v:textbox>
                  <w:txbxContent>
                    <w:p w:rsidR="00F758FF" w:rsidRPr="00B43ACC" w:rsidRDefault="00F758FF" w:rsidP="00521634">
                      <w:pPr>
                        <w:ind w:right="741"/>
                        <w:jc w:val="right"/>
                      </w:pPr>
                      <w:r>
                        <w:t>[Fin del Anexo V y del documento]</w:t>
                      </w:r>
                    </w:p>
                  </w:txbxContent>
                </v:textbox>
              </v:shape>
            </w:pict>
          </mc:Fallback>
        </mc:AlternateContent>
      </w:r>
    </w:p>
    <w:sectPr w:rsidR="00050E16" w:rsidRPr="00B41060" w:rsidSect="004219FB">
      <w:headerReference w:type="default" r:id="rId36"/>
      <w:headerReference w:type="first" r:id="rId37"/>
      <w:pgSz w:w="11907" w:h="16840" w:code="9"/>
      <w:pgMar w:top="510" w:right="1134" w:bottom="851"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8FF" w:rsidRDefault="00F758FF" w:rsidP="006655D3">
      <w:r>
        <w:separator/>
      </w:r>
    </w:p>
    <w:p w:rsidR="00F758FF" w:rsidRDefault="00F758FF" w:rsidP="006655D3"/>
    <w:p w:rsidR="00F758FF" w:rsidRDefault="00F758FF" w:rsidP="006655D3"/>
  </w:endnote>
  <w:endnote w:type="continuationSeparator" w:id="0">
    <w:p w:rsidR="00F758FF" w:rsidRDefault="00F758FF" w:rsidP="006655D3">
      <w:r>
        <w:separator/>
      </w:r>
    </w:p>
    <w:p w:rsidR="00F758FF" w:rsidRPr="00294751" w:rsidRDefault="00F758FF">
      <w:pPr>
        <w:pStyle w:val="Footer"/>
        <w:spacing w:after="60"/>
        <w:rPr>
          <w:sz w:val="18"/>
          <w:lang w:val="fr-FR"/>
        </w:rPr>
      </w:pPr>
      <w:r w:rsidRPr="00294751">
        <w:rPr>
          <w:sz w:val="18"/>
          <w:lang w:val="fr-FR"/>
        </w:rPr>
        <w:t>[Suite de la note de la page précédente]</w:t>
      </w:r>
    </w:p>
    <w:p w:rsidR="00F758FF" w:rsidRPr="00294751" w:rsidRDefault="00F758FF" w:rsidP="006655D3">
      <w:pPr>
        <w:rPr>
          <w:lang w:val="fr-FR"/>
        </w:rPr>
      </w:pPr>
    </w:p>
    <w:p w:rsidR="00F758FF" w:rsidRPr="00294751" w:rsidRDefault="00F758FF" w:rsidP="006655D3">
      <w:pPr>
        <w:rPr>
          <w:lang w:val="fr-FR"/>
        </w:rPr>
      </w:pPr>
    </w:p>
  </w:endnote>
  <w:endnote w:type="continuationNotice" w:id="1">
    <w:p w:rsidR="00F758FF" w:rsidRPr="00294751" w:rsidRDefault="00F758FF" w:rsidP="006655D3">
      <w:pPr>
        <w:rPr>
          <w:lang w:val="fr-FR"/>
        </w:rPr>
      </w:pPr>
      <w:r w:rsidRPr="00294751">
        <w:rPr>
          <w:lang w:val="fr-FR"/>
        </w:rPr>
        <w:t>[Suite de la note page suivante]</w:t>
      </w:r>
    </w:p>
    <w:p w:rsidR="00F758FF" w:rsidRPr="00294751" w:rsidRDefault="00F758FF" w:rsidP="006655D3">
      <w:pPr>
        <w:rPr>
          <w:lang w:val="fr-FR"/>
        </w:rPr>
      </w:pPr>
    </w:p>
    <w:p w:rsidR="00F758FF" w:rsidRPr="00294751" w:rsidRDefault="00F758F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8FF" w:rsidRDefault="00F758FF" w:rsidP="006655D3">
      <w:r>
        <w:separator/>
      </w:r>
    </w:p>
  </w:footnote>
  <w:footnote w:type="continuationSeparator" w:id="0">
    <w:p w:rsidR="00F758FF" w:rsidRDefault="00F758FF" w:rsidP="006655D3">
      <w:r>
        <w:separator/>
      </w:r>
    </w:p>
  </w:footnote>
  <w:footnote w:type="continuationNotice" w:id="1">
    <w:p w:rsidR="00F758FF" w:rsidRPr="00AB530F" w:rsidRDefault="00F758FF" w:rsidP="00AB530F">
      <w:pPr>
        <w:pStyle w:val="Footer"/>
      </w:pPr>
    </w:p>
  </w:footnote>
  <w:footnote w:id="2">
    <w:p w:rsidR="00F758FF" w:rsidRPr="0085065C" w:rsidRDefault="00F758FF" w:rsidP="00ED5EE9">
      <w:pPr>
        <w:pStyle w:val="FootnoteText"/>
      </w:pPr>
      <w:r>
        <w:rPr>
          <w:rStyle w:val="FootnoteReference"/>
        </w:rPr>
        <w:footnoteRef/>
      </w:r>
      <w:r>
        <w:tab/>
        <w:t>Celebrada en Ginebra los días 29 y 30 de octubre de 2018</w:t>
      </w:r>
    </w:p>
  </w:footnote>
  <w:footnote w:id="3">
    <w:p w:rsidR="00F758FF" w:rsidRPr="0085065C" w:rsidRDefault="00F758FF" w:rsidP="00ED5EE9">
      <w:pPr>
        <w:pStyle w:val="FootnoteText"/>
      </w:pPr>
      <w:r>
        <w:rPr>
          <w:rStyle w:val="FootnoteReference"/>
        </w:rPr>
        <w:footnoteRef/>
      </w:r>
      <w:r>
        <w:tab/>
        <w:t>Que se celebrará en Ginebra el</w:t>
      </w:r>
      <w:r w:rsidR="00ED5EE9">
        <w:t xml:space="preserve"> </w:t>
      </w:r>
      <w:r>
        <w:t>30 de octubre de</w:t>
      </w:r>
      <w:r w:rsidR="00ED5EE9">
        <w:t xml:space="preserve"> </w:t>
      </w:r>
      <w:r>
        <w:t>2019.</w:t>
      </w:r>
    </w:p>
  </w:footnote>
  <w:footnote w:id="4">
    <w:p w:rsidR="00F758FF" w:rsidRPr="0085065C" w:rsidRDefault="00F758FF" w:rsidP="00ED5EE9">
      <w:pPr>
        <w:pStyle w:val="FootnoteText"/>
      </w:pPr>
      <w:r>
        <w:rPr>
          <w:rStyle w:val="FootnoteReference"/>
        </w:rPr>
        <w:footnoteRef/>
      </w:r>
      <w:r>
        <w:tab/>
        <w:t>Que se celebrará en Ginebra los días</w:t>
      </w:r>
      <w:r w:rsidR="00ED5EE9">
        <w:t xml:space="preserve"> </w:t>
      </w:r>
      <w:r>
        <w:t>28 y 29 de octubre de</w:t>
      </w:r>
      <w:r w:rsidR="00ED5EE9">
        <w:t xml:space="preserve"> </w:t>
      </w:r>
      <w:r>
        <w:t>2019.</w:t>
      </w:r>
    </w:p>
  </w:footnote>
  <w:footnote w:id="5">
    <w:p w:rsidR="00F758FF" w:rsidRPr="0085065C" w:rsidRDefault="00F758FF" w:rsidP="00ED5EE9">
      <w:pPr>
        <w:pStyle w:val="FootnoteText"/>
      </w:pPr>
      <w:r>
        <w:rPr>
          <w:rStyle w:val="FootnoteReference"/>
        </w:rPr>
        <w:footnoteRef/>
      </w:r>
      <w:r>
        <w:tab/>
        <w:t>Celebrada en Ginebra del</w:t>
      </w:r>
      <w:r w:rsidR="00ED5EE9">
        <w:t xml:space="preserve"> </w:t>
      </w:r>
      <w:r>
        <w:t>3 al 5 de abril de</w:t>
      </w:r>
      <w:r w:rsidR="00ED5EE9">
        <w:t xml:space="preserve"> </w:t>
      </w:r>
      <w:r>
        <w:t>2017.</w:t>
      </w:r>
    </w:p>
  </w:footnote>
  <w:footnote w:id="6">
    <w:p w:rsidR="00F758FF" w:rsidRPr="0085065C" w:rsidRDefault="00F758FF" w:rsidP="00ED5EE9">
      <w:pPr>
        <w:pStyle w:val="FootnoteText"/>
      </w:pPr>
      <w:r>
        <w:rPr>
          <w:rStyle w:val="FootnoteReference"/>
        </w:rPr>
        <w:footnoteRef/>
      </w:r>
      <w:r>
        <w:tab/>
        <w:t>Celebrada en Ginebra el 31 de octubre de 2018.</w:t>
      </w:r>
    </w:p>
  </w:footnote>
  <w:footnote w:id="7">
    <w:p w:rsidR="00F758FF" w:rsidRPr="009E5A8F" w:rsidRDefault="00F758FF" w:rsidP="00ED5EE9">
      <w:pPr>
        <w:pStyle w:val="FootnoteText"/>
      </w:pPr>
      <w:r>
        <w:rPr>
          <w:rStyle w:val="FootnoteReference"/>
        </w:rPr>
        <w:footnoteRef/>
      </w:r>
      <w:r>
        <w:t xml:space="preserve"> </w:t>
      </w:r>
      <w:r>
        <w:tab/>
        <w:t>Celebrada en Ginebra los días 28 y 29 de octubre de 2018.</w:t>
      </w:r>
    </w:p>
  </w:footnote>
  <w:footnote w:id="8">
    <w:p w:rsidR="00F758FF" w:rsidRPr="009E5A8F" w:rsidRDefault="00F758FF" w:rsidP="00ED5EE9">
      <w:pPr>
        <w:pStyle w:val="FootnoteText"/>
      </w:pPr>
      <w:r>
        <w:rPr>
          <w:rStyle w:val="FootnoteReference"/>
        </w:rPr>
        <w:footnoteRef/>
      </w:r>
      <w:r>
        <w:tab/>
        <w:t>Celebrada en Ginebra del</w:t>
      </w:r>
      <w:r w:rsidR="00ED5EE9">
        <w:t xml:space="preserve"> </w:t>
      </w:r>
      <w:r>
        <w:t>3 al 5 de abril de</w:t>
      </w:r>
      <w:r w:rsidR="00ED5EE9">
        <w:t xml:space="preserve"> </w:t>
      </w:r>
      <w:r>
        <w:t>2017.</w:t>
      </w:r>
    </w:p>
  </w:footnote>
  <w:footnote w:id="9">
    <w:p w:rsidR="00F758FF" w:rsidRPr="009E5A8F" w:rsidRDefault="00F758FF" w:rsidP="00ED5EE9">
      <w:pPr>
        <w:pStyle w:val="FootnoteText"/>
      </w:pPr>
      <w:r>
        <w:rPr>
          <w:rStyle w:val="FootnoteReference"/>
        </w:rPr>
        <w:footnoteRef/>
      </w:r>
      <w:r>
        <w:t xml:space="preserve"> </w:t>
      </w:r>
      <w:r>
        <w:tab/>
        <w:t>Celebrada en Ginebra los días 28 y 29 de octubre de 2018.</w:t>
      </w:r>
    </w:p>
  </w:footnote>
  <w:footnote w:id="10">
    <w:p w:rsidR="00F758FF" w:rsidRPr="009E5A8F" w:rsidRDefault="00F758FF" w:rsidP="00ED5EE9">
      <w:pPr>
        <w:pStyle w:val="FootnoteText"/>
      </w:pPr>
      <w:r>
        <w:rPr>
          <w:rStyle w:val="FootnoteReference"/>
        </w:rPr>
        <w:footnoteRef/>
      </w:r>
      <w:r>
        <w:t xml:space="preserve"> </w:t>
      </w:r>
      <w:r>
        <w:tab/>
        <w:t>Celebrada en Ginebra los días 28 y 29 de octubre de 2018.</w:t>
      </w:r>
    </w:p>
  </w:footnote>
  <w:footnote w:id="11">
    <w:p w:rsidR="00F758FF" w:rsidRPr="009E5A8F" w:rsidRDefault="00F758FF" w:rsidP="00ED5EE9">
      <w:pPr>
        <w:pStyle w:val="FootnoteText"/>
      </w:pPr>
      <w:r>
        <w:rPr>
          <w:rStyle w:val="FootnoteReference"/>
        </w:rPr>
        <w:footnoteRef/>
      </w:r>
      <w:r>
        <w:tab/>
        <w:t>Celebrada en Ginebra del</w:t>
      </w:r>
      <w:r w:rsidR="00ED5EE9">
        <w:t xml:space="preserve"> </w:t>
      </w:r>
      <w:r>
        <w:t>3 al 5 de abril de</w:t>
      </w:r>
      <w:r w:rsidR="00ED5EE9">
        <w:t xml:space="preserve"> </w:t>
      </w:r>
      <w:r>
        <w:t>2017.</w:t>
      </w:r>
    </w:p>
  </w:footnote>
  <w:footnote w:id="12">
    <w:p w:rsidR="00F758FF" w:rsidRPr="009E5A8F" w:rsidRDefault="00F758FF" w:rsidP="00ED5EE9">
      <w:pPr>
        <w:pStyle w:val="FootnoteText"/>
      </w:pPr>
      <w:r>
        <w:rPr>
          <w:rStyle w:val="FootnoteReference"/>
        </w:rPr>
        <w:footnoteRef/>
      </w:r>
      <w:r>
        <w:t xml:space="preserve"> </w:t>
      </w:r>
      <w:r>
        <w:tab/>
        <w:t>Celebrada en Ginebra los días 28 y 29 de octubre de 2018.</w:t>
      </w:r>
    </w:p>
  </w:footnote>
  <w:footnote w:id="13">
    <w:p w:rsidR="00F758FF" w:rsidRPr="009E5A8F" w:rsidRDefault="00F758FF" w:rsidP="00ED5EE9">
      <w:pPr>
        <w:pStyle w:val="FootnoteText"/>
      </w:pPr>
      <w:r>
        <w:rPr>
          <w:rStyle w:val="FootnoteReference"/>
        </w:rPr>
        <w:footnoteRef/>
      </w:r>
      <w:r>
        <w:t xml:space="preserve"> </w:t>
      </w:r>
      <w:r>
        <w:tab/>
        <w:t>Celebrada en Ginebra los días 28 y 29 de octubre de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8FF" w:rsidRPr="00C5280D" w:rsidRDefault="00F758FF" w:rsidP="00EB048E">
    <w:pPr>
      <w:pStyle w:val="Header"/>
      <w:rPr>
        <w:rStyle w:val="PageNumber"/>
      </w:rPr>
    </w:pPr>
    <w:r>
      <w:rPr>
        <w:rStyle w:val="PageNumber"/>
      </w:rPr>
      <w:t>C/53/3</w:t>
    </w:r>
  </w:p>
  <w:p w:rsidR="00F758FF" w:rsidRPr="00C5280D" w:rsidRDefault="00F758FF" w:rsidP="00EB048E">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767E0A">
      <w:rPr>
        <w:rStyle w:val="PageNumber"/>
        <w:noProof/>
      </w:rPr>
      <w:t>2</w:t>
    </w:r>
    <w:r w:rsidRPr="00C5280D">
      <w:rPr>
        <w:rStyle w:val="PageNumber"/>
      </w:rPr>
      <w:fldChar w:fldCharType="end"/>
    </w:r>
  </w:p>
  <w:p w:rsidR="00F758FF" w:rsidRPr="00C5280D" w:rsidRDefault="00F758FF"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8FF" w:rsidRDefault="00F758FF" w:rsidP="000230A9">
    <w:pPr>
      <w:pStyle w:val="Header"/>
    </w:pPr>
    <w:r>
      <w:t>C/53/3</w:t>
    </w:r>
  </w:p>
  <w:p w:rsidR="00F758FF" w:rsidRDefault="00F758FF" w:rsidP="000230A9">
    <w:pPr>
      <w:pStyle w:val="Header"/>
    </w:pPr>
  </w:p>
  <w:p w:rsidR="00F758FF" w:rsidRDefault="00F758FF" w:rsidP="000230A9">
    <w:pPr>
      <w:pStyle w:val="Header"/>
    </w:pPr>
    <w:r>
      <w:t>ANEXO V</w:t>
    </w:r>
  </w:p>
  <w:p w:rsidR="00F758FF" w:rsidRDefault="00F758FF" w:rsidP="000230A9">
    <w:pPr>
      <w:pStyle w:val="Header"/>
    </w:pPr>
  </w:p>
  <w:p w:rsidR="00F758FF" w:rsidRDefault="00F758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8FF" w:rsidRPr="00C5280D" w:rsidRDefault="00F758FF" w:rsidP="00EB048E">
    <w:pPr>
      <w:pStyle w:val="Header"/>
      <w:rPr>
        <w:rStyle w:val="PageNumber"/>
      </w:rPr>
    </w:pPr>
    <w:r>
      <w:rPr>
        <w:rStyle w:val="PageNumber"/>
      </w:rPr>
      <w:t>C/53/3</w:t>
    </w:r>
  </w:p>
  <w:p w:rsidR="00F758FF" w:rsidRDefault="00F758FF" w:rsidP="000230A9">
    <w:pPr>
      <w:pStyle w:val="Header"/>
      <w:rPr>
        <w:rStyle w:val="PageNumber"/>
      </w:rPr>
    </w:pPr>
    <w:r>
      <w:t xml:space="preserve">Anexo I,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767E0A">
      <w:rPr>
        <w:rStyle w:val="PageNumber"/>
        <w:noProof/>
      </w:rPr>
      <w:t>2</w:t>
    </w:r>
    <w:r w:rsidRPr="00C5280D">
      <w:rPr>
        <w:rStyle w:val="PageNumber"/>
      </w:rPr>
      <w:fldChar w:fldCharType="end"/>
    </w:r>
  </w:p>
  <w:p w:rsidR="00F758FF" w:rsidRPr="00A8283B" w:rsidRDefault="00F758FF" w:rsidP="000230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8FF" w:rsidRDefault="00F758FF" w:rsidP="000230A9">
    <w:pPr>
      <w:pStyle w:val="Header"/>
    </w:pPr>
    <w:r>
      <w:t>C/53/3</w:t>
    </w:r>
  </w:p>
  <w:p w:rsidR="00F758FF" w:rsidRDefault="00F758FF" w:rsidP="000230A9">
    <w:pPr>
      <w:pStyle w:val="Header"/>
    </w:pPr>
  </w:p>
  <w:p w:rsidR="00F758FF" w:rsidRDefault="00F758FF" w:rsidP="000230A9">
    <w:pPr>
      <w:pStyle w:val="Header"/>
    </w:pPr>
    <w:r>
      <w:t>ANEXO I</w:t>
    </w:r>
  </w:p>
  <w:p w:rsidR="00F758FF" w:rsidRDefault="00F758FF" w:rsidP="000230A9">
    <w:pPr>
      <w:pStyle w:val="Header"/>
    </w:pPr>
  </w:p>
  <w:p w:rsidR="00F758FF" w:rsidRDefault="00F758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8FF" w:rsidRDefault="00F758FF" w:rsidP="000230A9">
    <w:pPr>
      <w:pStyle w:val="Header"/>
    </w:pPr>
    <w:r>
      <w:t>C/53/3</w:t>
    </w:r>
  </w:p>
  <w:p w:rsidR="00F758FF" w:rsidRDefault="00F758FF" w:rsidP="000230A9">
    <w:pPr>
      <w:pStyle w:val="Header"/>
    </w:pPr>
  </w:p>
  <w:p w:rsidR="00F758FF" w:rsidRDefault="00F758FF" w:rsidP="000230A9">
    <w:pPr>
      <w:pStyle w:val="Header"/>
    </w:pPr>
    <w:r>
      <w:t>ANEXO II</w:t>
    </w:r>
  </w:p>
  <w:p w:rsidR="00F758FF" w:rsidRDefault="00F758FF" w:rsidP="000230A9">
    <w:pPr>
      <w:pStyle w:val="Header"/>
    </w:pPr>
  </w:p>
  <w:p w:rsidR="00F758FF" w:rsidRDefault="00F758F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8FF" w:rsidRPr="00C5280D" w:rsidRDefault="00F758FF" w:rsidP="00EB048E">
    <w:pPr>
      <w:pStyle w:val="Header"/>
      <w:rPr>
        <w:rStyle w:val="PageNumber"/>
      </w:rPr>
    </w:pPr>
    <w:r>
      <w:rPr>
        <w:rStyle w:val="PageNumber"/>
      </w:rPr>
      <w:t>C/53/3</w:t>
    </w:r>
  </w:p>
  <w:p w:rsidR="00F758FF" w:rsidRDefault="00F758FF" w:rsidP="000230A9">
    <w:pPr>
      <w:pStyle w:val="Header"/>
      <w:rPr>
        <w:rStyle w:val="PageNumber"/>
      </w:rPr>
    </w:pPr>
    <w:r>
      <w:t xml:space="preserve">Anexo III,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767E0A">
      <w:rPr>
        <w:rStyle w:val="PageNumber"/>
        <w:noProof/>
      </w:rPr>
      <w:t>3</w:t>
    </w:r>
    <w:r w:rsidRPr="00C5280D">
      <w:rPr>
        <w:rStyle w:val="PageNumber"/>
      </w:rPr>
      <w:fldChar w:fldCharType="end"/>
    </w:r>
  </w:p>
  <w:p w:rsidR="00F758FF" w:rsidRPr="00A8283B" w:rsidRDefault="00F758FF" w:rsidP="000230A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8FF" w:rsidRDefault="00F758FF" w:rsidP="000230A9">
    <w:pPr>
      <w:pStyle w:val="Header"/>
    </w:pPr>
    <w:r>
      <w:t>C/53/3</w:t>
    </w:r>
  </w:p>
  <w:p w:rsidR="00F758FF" w:rsidRDefault="00F758FF" w:rsidP="000230A9">
    <w:pPr>
      <w:pStyle w:val="Header"/>
    </w:pPr>
  </w:p>
  <w:p w:rsidR="00F758FF" w:rsidRDefault="00F758FF" w:rsidP="000230A9">
    <w:pPr>
      <w:pStyle w:val="Header"/>
    </w:pPr>
    <w:r>
      <w:t>ANEXO III</w:t>
    </w:r>
  </w:p>
  <w:p w:rsidR="00F758FF" w:rsidRDefault="00F758FF" w:rsidP="000230A9">
    <w:pPr>
      <w:pStyle w:val="Header"/>
    </w:pPr>
  </w:p>
  <w:p w:rsidR="00F758FF" w:rsidRDefault="00F758F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8FF" w:rsidRPr="00C5280D" w:rsidRDefault="00F758FF" w:rsidP="00EB048E">
    <w:pPr>
      <w:pStyle w:val="Header"/>
      <w:rPr>
        <w:rStyle w:val="PageNumber"/>
      </w:rPr>
    </w:pPr>
    <w:r>
      <w:rPr>
        <w:rStyle w:val="PageNumber"/>
      </w:rPr>
      <w:t>C/53/3</w:t>
    </w:r>
  </w:p>
  <w:p w:rsidR="00F758FF" w:rsidRDefault="00F758FF" w:rsidP="000230A9">
    <w:pPr>
      <w:pStyle w:val="Header"/>
      <w:rPr>
        <w:rStyle w:val="PageNumber"/>
      </w:rPr>
    </w:pPr>
    <w:r>
      <w:t xml:space="preserve">Anexo IV,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767E0A">
      <w:rPr>
        <w:rStyle w:val="PageNumber"/>
        <w:noProof/>
      </w:rPr>
      <w:t>2</w:t>
    </w:r>
    <w:r w:rsidRPr="00C5280D">
      <w:rPr>
        <w:rStyle w:val="PageNumber"/>
      </w:rPr>
      <w:fldChar w:fldCharType="end"/>
    </w:r>
  </w:p>
  <w:p w:rsidR="00F758FF" w:rsidRPr="00A8283B" w:rsidRDefault="00F758FF" w:rsidP="000230A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8FF" w:rsidRDefault="00F758FF" w:rsidP="000230A9">
    <w:pPr>
      <w:pStyle w:val="Header"/>
    </w:pPr>
    <w:r>
      <w:t>C/53/3</w:t>
    </w:r>
  </w:p>
  <w:p w:rsidR="00F758FF" w:rsidRDefault="00F758FF" w:rsidP="000230A9">
    <w:pPr>
      <w:pStyle w:val="Header"/>
    </w:pPr>
  </w:p>
  <w:p w:rsidR="00F758FF" w:rsidRDefault="00F758FF" w:rsidP="000230A9">
    <w:pPr>
      <w:pStyle w:val="Header"/>
    </w:pPr>
    <w:r>
      <w:t>ANEXO IV</w:t>
    </w:r>
  </w:p>
  <w:p w:rsidR="00F758FF" w:rsidRDefault="00F758FF" w:rsidP="000230A9">
    <w:pPr>
      <w:pStyle w:val="Header"/>
    </w:pPr>
  </w:p>
  <w:p w:rsidR="00F758FF" w:rsidRDefault="00F758F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8FF" w:rsidRPr="000A23DC" w:rsidRDefault="00F758FF" w:rsidP="000A23DC">
    <w:pPr>
      <w:pStyle w:val="Header"/>
      <w:rPr>
        <w:rStyle w:val="PageNumber"/>
      </w:rPr>
    </w:pPr>
    <w:r>
      <w:rPr>
        <w:rStyle w:val="PageNumber"/>
      </w:rPr>
      <w:t>C/53/3</w:t>
    </w:r>
  </w:p>
  <w:p w:rsidR="00F758FF" w:rsidRPr="00202E38" w:rsidRDefault="00F758FF" w:rsidP="008B3D8D">
    <w:pPr>
      <w:pStyle w:val="Header"/>
    </w:pPr>
    <w:r>
      <w:t xml:space="preserve">Anexo V, página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767E0A">
      <w:rPr>
        <w:rStyle w:val="PageNumber"/>
        <w:noProof/>
      </w:rPr>
      <w:t>2</w:t>
    </w:r>
    <w:r w:rsidRPr="00202E38">
      <w:rPr>
        <w:rStyle w:val="PageNumber"/>
      </w:rPr>
      <w:fldChar w:fldCharType="end"/>
    </w:r>
  </w:p>
  <w:p w:rsidR="00F758FF" w:rsidRPr="00202E38" w:rsidRDefault="00F758FF"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B302D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B573C1"/>
    <w:multiLevelType w:val="hybridMultilevel"/>
    <w:tmpl w:val="8DAC9A7A"/>
    <w:lvl w:ilvl="0" w:tplc="BC581B66">
      <w:start w:val="1"/>
      <w:numFmt w:val="lowerLetter"/>
      <w:lvlText w:val="%1)"/>
      <w:lvlJc w:val="left"/>
      <w:pPr>
        <w:ind w:left="1495" w:hanging="360"/>
      </w:pPr>
      <w:rPr>
        <w:rFonts w:cs="Times New Roman" w:hint="default"/>
      </w:rPr>
    </w:lvl>
    <w:lvl w:ilvl="1" w:tplc="0C0A0019" w:tentative="1">
      <w:start w:val="1"/>
      <w:numFmt w:val="lowerLetter"/>
      <w:lvlText w:val="%2."/>
      <w:lvlJc w:val="lef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2" w15:restartNumberingAfterBreak="0">
    <w:nsid w:val="17AD7199"/>
    <w:multiLevelType w:val="hybridMultilevel"/>
    <w:tmpl w:val="AE209784"/>
    <w:lvl w:ilvl="0" w:tplc="0E4CF37C">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268D2437"/>
    <w:multiLevelType w:val="hybridMultilevel"/>
    <w:tmpl w:val="E632D114"/>
    <w:lvl w:ilvl="0" w:tplc="0409000F">
      <w:start w:val="1"/>
      <w:numFmt w:val="decimal"/>
      <w:lvlText w:val="%1."/>
      <w:lvlJc w:val="left"/>
      <w:pPr>
        <w:ind w:left="-351" w:hanging="360"/>
      </w:pPr>
    </w:lvl>
    <w:lvl w:ilvl="1" w:tplc="04090019">
      <w:start w:val="1"/>
      <w:numFmt w:val="lowerLetter"/>
      <w:lvlText w:val="%2."/>
      <w:lvlJc w:val="left"/>
      <w:pPr>
        <w:ind w:left="369" w:hanging="360"/>
      </w:pPr>
    </w:lvl>
    <w:lvl w:ilvl="2" w:tplc="0409001B" w:tentative="1">
      <w:start w:val="1"/>
      <w:numFmt w:val="lowerRoman"/>
      <w:lvlText w:val="%3."/>
      <w:lvlJc w:val="right"/>
      <w:pPr>
        <w:ind w:left="1089" w:hanging="180"/>
      </w:pPr>
    </w:lvl>
    <w:lvl w:ilvl="3" w:tplc="0409000F" w:tentative="1">
      <w:start w:val="1"/>
      <w:numFmt w:val="decimal"/>
      <w:lvlText w:val="%4."/>
      <w:lvlJc w:val="left"/>
      <w:pPr>
        <w:ind w:left="1809" w:hanging="360"/>
      </w:pPr>
    </w:lvl>
    <w:lvl w:ilvl="4" w:tplc="04090019" w:tentative="1">
      <w:start w:val="1"/>
      <w:numFmt w:val="lowerLetter"/>
      <w:lvlText w:val="%5."/>
      <w:lvlJc w:val="left"/>
      <w:pPr>
        <w:ind w:left="2529" w:hanging="360"/>
      </w:pPr>
    </w:lvl>
    <w:lvl w:ilvl="5" w:tplc="0409001B" w:tentative="1">
      <w:start w:val="1"/>
      <w:numFmt w:val="lowerRoman"/>
      <w:lvlText w:val="%6."/>
      <w:lvlJc w:val="right"/>
      <w:pPr>
        <w:ind w:left="3249" w:hanging="180"/>
      </w:pPr>
    </w:lvl>
    <w:lvl w:ilvl="6" w:tplc="0409000F" w:tentative="1">
      <w:start w:val="1"/>
      <w:numFmt w:val="decimal"/>
      <w:lvlText w:val="%7."/>
      <w:lvlJc w:val="left"/>
      <w:pPr>
        <w:ind w:left="3969" w:hanging="360"/>
      </w:pPr>
    </w:lvl>
    <w:lvl w:ilvl="7" w:tplc="04090019" w:tentative="1">
      <w:start w:val="1"/>
      <w:numFmt w:val="lowerLetter"/>
      <w:lvlText w:val="%8."/>
      <w:lvlJc w:val="left"/>
      <w:pPr>
        <w:ind w:left="4689" w:hanging="360"/>
      </w:pPr>
    </w:lvl>
    <w:lvl w:ilvl="8" w:tplc="0409001B" w:tentative="1">
      <w:start w:val="1"/>
      <w:numFmt w:val="lowerRoman"/>
      <w:lvlText w:val="%9."/>
      <w:lvlJc w:val="right"/>
      <w:pPr>
        <w:ind w:left="5409" w:hanging="180"/>
      </w:pPr>
    </w:lvl>
  </w:abstractNum>
  <w:abstractNum w:abstractNumId="4" w15:restartNumberingAfterBreak="0">
    <w:nsid w:val="26AA139A"/>
    <w:multiLevelType w:val="hybridMultilevel"/>
    <w:tmpl w:val="0D3E884A"/>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F04A6"/>
    <w:multiLevelType w:val="hybridMultilevel"/>
    <w:tmpl w:val="0B60CECC"/>
    <w:lvl w:ilvl="0" w:tplc="ABA8C88C">
      <w:start w:val="1"/>
      <w:numFmt w:val="bullet"/>
      <w:lvlText w:val=""/>
      <w:lvlJc w:val="left"/>
      <w:pPr>
        <w:ind w:left="720" w:hanging="360"/>
      </w:pPr>
      <w:rPr>
        <w:rFonts w:ascii="Symbol" w:hAnsi="Symbol" w:hint="default"/>
        <w:spacing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825A4E"/>
    <w:multiLevelType w:val="hybridMultilevel"/>
    <w:tmpl w:val="4C0E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97BD0"/>
    <w:multiLevelType w:val="hybridMultilevel"/>
    <w:tmpl w:val="07468D48"/>
    <w:lvl w:ilvl="0" w:tplc="1AC678F0">
      <w:start w:val="2"/>
      <w:numFmt w:val="lowerLetter"/>
      <w:lvlText w:val="%1)"/>
      <w:lvlJc w:val="left"/>
      <w:pPr>
        <w:ind w:left="1495" w:hanging="360"/>
      </w:pPr>
      <w:rPr>
        <w:rFonts w:cs="Times New Roman" w:hint="default"/>
      </w:rPr>
    </w:lvl>
    <w:lvl w:ilvl="1" w:tplc="0C0A0019" w:tentative="1">
      <w:start w:val="1"/>
      <w:numFmt w:val="lowerLetter"/>
      <w:lvlText w:val="%2."/>
      <w:lvlJc w:val="lef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8" w15:restartNumberingAfterBreak="0">
    <w:nsid w:val="51086AB5"/>
    <w:multiLevelType w:val="hybridMultilevel"/>
    <w:tmpl w:val="F85C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EF287E"/>
    <w:multiLevelType w:val="hybridMultilevel"/>
    <w:tmpl w:val="7666A288"/>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EC4B75"/>
    <w:multiLevelType w:val="hybridMultilevel"/>
    <w:tmpl w:val="133A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8"/>
  </w:num>
  <w:num w:numId="5">
    <w:abstractNumId w:val="10"/>
  </w:num>
  <w:num w:numId="6">
    <w:abstractNumId w:val="6"/>
  </w:num>
  <w:num w:numId="7">
    <w:abstractNumId w:val="4"/>
  </w:num>
  <w:num w:numId="8">
    <w:abstractNumId w:val="2"/>
  </w:num>
  <w:num w:numId="9">
    <w:abstractNumId w:val="9"/>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DFC"/>
    <w:rsid w:val="00004EB5"/>
    <w:rsid w:val="00010CF3"/>
    <w:rsid w:val="00011E27"/>
    <w:rsid w:val="000148BC"/>
    <w:rsid w:val="000230A9"/>
    <w:rsid w:val="00024AB8"/>
    <w:rsid w:val="00030854"/>
    <w:rsid w:val="00036028"/>
    <w:rsid w:val="00044642"/>
    <w:rsid w:val="000446B9"/>
    <w:rsid w:val="00047E21"/>
    <w:rsid w:val="00050E16"/>
    <w:rsid w:val="00052642"/>
    <w:rsid w:val="000638A9"/>
    <w:rsid w:val="0007321B"/>
    <w:rsid w:val="00073DFC"/>
    <w:rsid w:val="00085505"/>
    <w:rsid w:val="00094786"/>
    <w:rsid w:val="000A014B"/>
    <w:rsid w:val="000A23DC"/>
    <w:rsid w:val="000A7839"/>
    <w:rsid w:val="000C4E25"/>
    <w:rsid w:val="000C7021"/>
    <w:rsid w:val="000D6BBC"/>
    <w:rsid w:val="000D7780"/>
    <w:rsid w:val="000E636A"/>
    <w:rsid w:val="000F2F11"/>
    <w:rsid w:val="00105929"/>
    <w:rsid w:val="00110C36"/>
    <w:rsid w:val="001131D5"/>
    <w:rsid w:val="00141DB8"/>
    <w:rsid w:val="00152279"/>
    <w:rsid w:val="001677A8"/>
    <w:rsid w:val="00172084"/>
    <w:rsid w:val="0017474A"/>
    <w:rsid w:val="001758C6"/>
    <w:rsid w:val="00182B99"/>
    <w:rsid w:val="001F64BF"/>
    <w:rsid w:val="00202E38"/>
    <w:rsid w:val="0021332C"/>
    <w:rsid w:val="00213982"/>
    <w:rsid w:val="00220758"/>
    <w:rsid w:val="002273A2"/>
    <w:rsid w:val="002362CD"/>
    <w:rsid w:val="0024416D"/>
    <w:rsid w:val="002464A3"/>
    <w:rsid w:val="00271911"/>
    <w:rsid w:val="002800A0"/>
    <w:rsid w:val="002801B3"/>
    <w:rsid w:val="00281060"/>
    <w:rsid w:val="002940E8"/>
    <w:rsid w:val="00294751"/>
    <w:rsid w:val="002A6E50"/>
    <w:rsid w:val="002B4298"/>
    <w:rsid w:val="002B4C23"/>
    <w:rsid w:val="002B6DFF"/>
    <w:rsid w:val="002C256A"/>
    <w:rsid w:val="002D13A9"/>
    <w:rsid w:val="002E5944"/>
    <w:rsid w:val="00300ECB"/>
    <w:rsid w:val="00305A7F"/>
    <w:rsid w:val="003152FE"/>
    <w:rsid w:val="003255EE"/>
    <w:rsid w:val="00327436"/>
    <w:rsid w:val="00344BD6"/>
    <w:rsid w:val="003509D5"/>
    <w:rsid w:val="0035528D"/>
    <w:rsid w:val="00361821"/>
    <w:rsid w:val="00361E9E"/>
    <w:rsid w:val="003B031A"/>
    <w:rsid w:val="003C7FBE"/>
    <w:rsid w:val="003D227C"/>
    <w:rsid w:val="003D2B4D"/>
    <w:rsid w:val="003D5DCC"/>
    <w:rsid w:val="00401DDB"/>
    <w:rsid w:val="0040557F"/>
    <w:rsid w:val="004219FB"/>
    <w:rsid w:val="00444A88"/>
    <w:rsid w:val="00452A77"/>
    <w:rsid w:val="00474DA4"/>
    <w:rsid w:val="00476B4D"/>
    <w:rsid w:val="004805FA"/>
    <w:rsid w:val="004935D2"/>
    <w:rsid w:val="004B1215"/>
    <w:rsid w:val="004D047D"/>
    <w:rsid w:val="004F1E9E"/>
    <w:rsid w:val="004F305A"/>
    <w:rsid w:val="00512164"/>
    <w:rsid w:val="00520297"/>
    <w:rsid w:val="00521634"/>
    <w:rsid w:val="00532E5E"/>
    <w:rsid w:val="005338F9"/>
    <w:rsid w:val="00534EDA"/>
    <w:rsid w:val="0054281C"/>
    <w:rsid w:val="00544581"/>
    <w:rsid w:val="00545E42"/>
    <w:rsid w:val="0055268D"/>
    <w:rsid w:val="00576BE4"/>
    <w:rsid w:val="005A400A"/>
    <w:rsid w:val="005E031A"/>
    <w:rsid w:val="005F7B0C"/>
    <w:rsid w:val="005F7B92"/>
    <w:rsid w:val="00612379"/>
    <w:rsid w:val="006153B6"/>
    <w:rsid w:val="0061555F"/>
    <w:rsid w:val="00636CA6"/>
    <w:rsid w:val="00637EDD"/>
    <w:rsid w:val="00641200"/>
    <w:rsid w:val="00645CA8"/>
    <w:rsid w:val="006655D3"/>
    <w:rsid w:val="00667404"/>
    <w:rsid w:val="00687EB4"/>
    <w:rsid w:val="00695C56"/>
    <w:rsid w:val="006A1916"/>
    <w:rsid w:val="006A32E5"/>
    <w:rsid w:val="006A5CDE"/>
    <w:rsid w:val="006A644A"/>
    <w:rsid w:val="006B17D2"/>
    <w:rsid w:val="006C224E"/>
    <w:rsid w:val="006D780A"/>
    <w:rsid w:val="0071271E"/>
    <w:rsid w:val="00732DEC"/>
    <w:rsid w:val="00735BD5"/>
    <w:rsid w:val="00751613"/>
    <w:rsid w:val="007556F6"/>
    <w:rsid w:val="00760DF9"/>
    <w:rsid w:val="00760EEF"/>
    <w:rsid w:val="00767E0A"/>
    <w:rsid w:val="00777EE5"/>
    <w:rsid w:val="00783722"/>
    <w:rsid w:val="00784836"/>
    <w:rsid w:val="0079023E"/>
    <w:rsid w:val="007A2854"/>
    <w:rsid w:val="007B08FF"/>
    <w:rsid w:val="007C1D92"/>
    <w:rsid w:val="007C4CB9"/>
    <w:rsid w:val="007D0B9D"/>
    <w:rsid w:val="007D19B0"/>
    <w:rsid w:val="007E4AF9"/>
    <w:rsid w:val="007F498F"/>
    <w:rsid w:val="0080679D"/>
    <w:rsid w:val="008108B0"/>
    <w:rsid w:val="00811B20"/>
    <w:rsid w:val="008211B5"/>
    <w:rsid w:val="0082296E"/>
    <w:rsid w:val="00824099"/>
    <w:rsid w:val="00833F83"/>
    <w:rsid w:val="00846D7C"/>
    <w:rsid w:val="0085065C"/>
    <w:rsid w:val="008574A4"/>
    <w:rsid w:val="00864C55"/>
    <w:rsid w:val="00867AC1"/>
    <w:rsid w:val="00890DF8"/>
    <w:rsid w:val="008A743F"/>
    <w:rsid w:val="008B3D8D"/>
    <w:rsid w:val="008B6290"/>
    <w:rsid w:val="008B7616"/>
    <w:rsid w:val="008C0970"/>
    <w:rsid w:val="008D0BC5"/>
    <w:rsid w:val="008D2CF7"/>
    <w:rsid w:val="00900C26"/>
    <w:rsid w:val="0090197F"/>
    <w:rsid w:val="00906DDC"/>
    <w:rsid w:val="0092457A"/>
    <w:rsid w:val="00934E09"/>
    <w:rsid w:val="00936253"/>
    <w:rsid w:val="00940D46"/>
    <w:rsid w:val="00952DD4"/>
    <w:rsid w:val="0096175D"/>
    <w:rsid w:val="00965AE7"/>
    <w:rsid w:val="00970FED"/>
    <w:rsid w:val="00992D82"/>
    <w:rsid w:val="00997029"/>
    <w:rsid w:val="009A3DA7"/>
    <w:rsid w:val="009A7339"/>
    <w:rsid w:val="009B17F7"/>
    <w:rsid w:val="009B440E"/>
    <w:rsid w:val="009D690D"/>
    <w:rsid w:val="009E65B6"/>
    <w:rsid w:val="00A20FB2"/>
    <w:rsid w:val="00A24C10"/>
    <w:rsid w:val="00A42AC3"/>
    <w:rsid w:val="00A430CF"/>
    <w:rsid w:val="00A54309"/>
    <w:rsid w:val="00A54C18"/>
    <w:rsid w:val="00A61043"/>
    <w:rsid w:val="00A706D3"/>
    <w:rsid w:val="00AA75CF"/>
    <w:rsid w:val="00AB2B93"/>
    <w:rsid w:val="00AB530F"/>
    <w:rsid w:val="00AB7E5B"/>
    <w:rsid w:val="00AC2883"/>
    <w:rsid w:val="00AC5E35"/>
    <w:rsid w:val="00AD0893"/>
    <w:rsid w:val="00AE0EF1"/>
    <w:rsid w:val="00AE2937"/>
    <w:rsid w:val="00B07301"/>
    <w:rsid w:val="00B11F3E"/>
    <w:rsid w:val="00B14109"/>
    <w:rsid w:val="00B21337"/>
    <w:rsid w:val="00B224DE"/>
    <w:rsid w:val="00B324D4"/>
    <w:rsid w:val="00B41060"/>
    <w:rsid w:val="00B43ACC"/>
    <w:rsid w:val="00B46575"/>
    <w:rsid w:val="00B541EC"/>
    <w:rsid w:val="00B57583"/>
    <w:rsid w:val="00B61777"/>
    <w:rsid w:val="00B84BBD"/>
    <w:rsid w:val="00BA43FB"/>
    <w:rsid w:val="00BB2803"/>
    <w:rsid w:val="00BC0BD4"/>
    <w:rsid w:val="00BC127D"/>
    <w:rsid w:val="00BC1FE6"/>
    <w:rsid w:val="00BF7D28"/>
    <w:rsid w:val="00C061B6"/>
    <w:rsid w:val="00C12FC0"/>
    <w:rsid w:val="00C212B0"/>
    <w:rsid w:val="00C2446C"/>
    <w:rsid w:val="00C36AE5"/>
    <w:rsid w:val="00C41F17"/>
    <w:rsid w:val="00C527FA"/>
    <w:rsid w:val="00C5280D"/>
    <w:rsid w:val="00C53EB3"/>
    <w:rsid w:val="00C5791C"/>
    <w:rsid w:val="00C66290"/>
    <w:rsid w:val="00C72B7A"/>
    <w:rsid w:val="00C973F2"/>
    <w:rsid w:val="00CA304C"/>
    <w:rsid w:val="00CA3F50"/>
    <w:rsid w:val="00CA774A"/>
    <w:rsid w:val="00CC11B0"/>
    <w:rsid w:val="00CC2841"/>
    <w:rsid w:val="00CF1330"/>
    <w:rsid w:val="00CF7E36"/>
    <w:rsid w:val="00D3708D"/>
    <w:rsid w:val="00D40426"/>
    <w:rsid w:val="00D57A26"/>
    <w:rsid w:val="00D57C96"/>
    <w:rsid w:val="00D57D18"/>
    <w:rsid w:val="00D91203"/>
    <w:rsid w:val="00D95174"/>
    <w:rsid w:val="00DA4973"/>
    <w:rsid w:val="00DA6F36"/>
    <w:rsid w:val="00DB596E"/>
    <w:rsid w:val="00DB7773"/>
    <w:rsid w:val="00DC00EA"/>
    <w:rsid w:val="00DC3802"/>
    <w:rsid w:val="00DD5931"/>
    <w:rsid w:val="00E07D87"/>
    <w:rsid w:val="00E23487"/>
    <w:rsid w:val="00E329C6"/>
    <w:rsid w:val="00E32F7E"/>
    <w:rsid w:val="00E51E9C"/>
    <w:rsid w:val="00E5267B"/>
    <w:rsid w:val="00E63C0E"/>
    <w:rsid w:val="00E72D49"/>
    <w:rsid w:val="00E7593C"/>
    <w:rsid w:val="00E7678A"/>
    <w:rsid w:val="00E935F1"/>
    <w:rsid w:val="00E94A81"/>
    <w:rsid w:val="00EA1FFB"/>
    <w:rsid w:val="00EA65D2"/>
    <w:rsid w:val="00EB048E"/>
    <w:rsid w:val="00EB4E9C"/>
    <w:rsid w:val="00EB7224"/>
    <w:rsid w:val="00EC2265"/>
    <w:rsid w:val="00ED5EE9"/>
    <w:rsid w:val="00EE34DF"/>
    <w:rsid w:val="00EF2F89"/>
    <w:rsid w:val="00F03E98"/>
    <w:rsid w:val="00F1237A"/>
    <w:rsid w:val="00F22CBD"/>
    <w:rsid w:val="00F272F1"/>
    <w:rsid w:val="00F45372"/>
    <w:rsid w:val="00F560F7"/>
    <w:rsid w:val="00F6334D"/>
    <w:rsid w:val="00F758FF"/>
    <w:rsid w:val="00F87429"/>
    <w:rsid w:val="00F976F7"/>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2C5081A"/>
  <w15:docId w15:val="{30B3B8DF-4467-4413-8F34-7AD59911C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semiHidden/>
    <w:unhideWhenUsed/>
    <w:qFormat/>
    <w:rsid w:val="00B43ACC"/>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401DDB"/>
    <w:pPr>
      <w:tabs>
        <w:tab w:val="left" w:pos="5387"/>
        <w:tab w:val="left" w:pos="5954"/>
      </w:tabs>
      <w:ind w:left="4820"/>
    </w:pPr>
    <w:rPr>
      <w:i/>
    </w:rPr>
  </w:style>
  <w:style w:type="paragraph" w:styleId="FootnoteText">
    <w:name w:val="footnote text"/>
    <w:link w:val="FootnoteTextChar"/>
    <w:autoRedefine/>
    <w:rsid w:val="00ED5EE9"/>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6A32E5"/>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s-ES" w:bidi="es-ES"/>
    </w:rPr>
  </w:style>
  <w:style w:type="paragraph" w:styleId="TOC2">
    <w:name w:val="toc 2"/>
    <w:next w:val="Normal"/>
    <w:autoRedefine/>
    <w:rsid w:val="00401DD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401DDB"/>
    <w:pPr>
      <w:tabs>
        <w:tab w:val="right" w:leader="dot" w:pos="9639"/>
      </w:tabs>
      <w:spacing w:after="120"/>
      <w:ind w:left="568" w:right="851" w:hanging="284"/>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401DDB"/>
    <w:pPr>
      <w:tabs>
        <w:tab w:val="right" w:leader="dot" w:pos="9639"/>
      </w:tabs>
      <w:spacing w:after="120"/>
      <w:ind w:left="738" w:right="851" w:hanging="284"/>
    </w:pPr>
    <w:rPr>
      <w:rFonts w:ascii="Arial" w:hAnsi="Arial"/>
      <w:i/>
      <w:sz w:val="18"/>
    </w:rPr>
  </w:style>
  <w:style w:type="paragraph" w:styleId="TOC1">
    <w:name w:val="toc 1"/>
    <w:next w:val="Normal"/>
    <w:autoRedefine/>
    <w:rsid w:val="00401DDB"/>
    <w:pPr>
      <w:tabs>
        <w:tab w:val="right" w:leader="dot" w:pos="9639"/>
      </w:tabs>
      <w:spacing w:after="120"/>
      <w:jc w:val="center"/>
    </w:pPr>
    <w:rPr>
      <w:rFonts w:ascii="Arial" w:hAnsi="Arial"/>
      <w:caps/>
    </w:rPr>
  </w:style>
  <w:style w:type="paragraph" w:styleId="TOC5">
    <w:name w:val="toc 5"/>
    <w:next w:val="Normal"/>
    <w:autoRedefine/>
    <w:rsid w:val="00401DDB"/>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semiHidden/>
    <w:rsid w:val="00B43ACC"/>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rsid w:val="00B43ACC"/>
    <w:rPr>
      <w:rFonts w:ascii="Arial" w:hAnsi="Arial"/>
      <w:caps/>
    </w:rPr>
  </w:style>
  <w:style w:type="character" w:customStyle="1" w:styleId="Heading2Char">
    <w:name w:val="Heading 2 Char"/>
    <w:basedOn w:val="DefaultParagraphFont"/>
    <w:link w:val="Heading2"/>
    <w:rsid w:val="00B43ACC"/>
    <w:rPr>
      <w:rFonts w:ascii="Arial" w:hAnsi="Arial"/>
      <w:u w:val="single"/>
    </w:rPr>
  </w:style>
  <w:style w:type="character" w:customStyle="1" w:styleId="Heading3Char">
    <w:name w:val="Heading 3 Char"/>
    <w:basedOn w:val="DefaultParagraphFont"/>
    <w:link w:val="Heading3"/>
    <w:rsid w:val="00B43ACC"/>
    <w:rPr>
      <w:rFonts w:ascii="Arial" w:hAnsi="Arial"/>
      <w:i/>
    </w:rPr>
  </w:style>
  <w:style w:type="character" w:customStyle="1" w:styleId="Heading4Char">
    <w:name w:val="Heading 4 Char"/>
    <w:basedOn w:val="DefaultParagraphFont"/>
    <w:link w:val="Heading4"/>
    <w:rsid w:val="00B43ACC"/>
    <w:rPr>
      <w:rFonts w:ascii="Arial" w:hAnsi="Arial"/>
      <w:u w:val="single"/>
      <w:lang w:val="es-ES"/>
    </w:rPr>
  </w:style>
  <w:style w:type="character" w:customStyle="1" w:styleId="Heading5Char">
    <w:name w:val="Heading 5 Char"/>
    <w:basedOn w:val="DefaultParagraphFont"/>
    <w:link w:val="Heading5"/>
    <w:rsid w:val="00B43ACC"/>
    <w:rPr>
      <w:rFonts w:ascii="Arial" w:hAnsi="Arial"/>
      <w:i/>
    </w:rPr>
  </w:style>
  <w:style w:type="character" w:customStyle="1" w:styleId="Heading9Char">
    <w:name w:val="Heading 9 Char"/>
    <w:basedOn w:val="DefaultParagraphFont"/>
    <w:link w:val="Heading9"/>
    <w:rsid w:val="00B43ACC"/>
    <w:rPr>
      <w:rFonts w:ascii="Arial" w:hAnsi="Arial"/>
      <w:i/>
      <w:sz w:val="18"/>
      <w:lang w:val="es-ES"/>
    </w:rPr>
  </w:style>
  <w:style w:type="character" w:customStyle="1" w:styleId="HeaderChar">
    <w:name w:val="Header Char"/>
    <w:basedOn w:val="DefaultParagraphFont"/>
    <w:link w:val="Header"/>
    <w:rsid w:val="00B43ACC"/>
    <w:rPr>
      <w:rFonts w:ascii="Arial" w:hAnsi="Arial"/>
      <w:lang w:val="es-ES"/>
    </w:rPr>
  </w:style>
  <w:style w:type="character" w:customStyle="1" w:styleId="FooterChar">
    <w:name w:val="Footer Char"/>
    <w:aliases w:val="doc_path_name Char"/>
    <w:basedOn w:val="DefaultParagraphFont"/>
    <w:link w:val="Footer"/>
    <w:rsid w:val="00B43ACC"/>
    <w:rPr>
      <w:rFonts w:ascii="Arial" w:hAnsi="Arial"/>
      <w:sz w:val="14"/>
    </w:rPr>
  </w:style>
  <w:style w:type="character" w:customStyle="1" w:styleId="TitleChar">
    <w:name w:val="Title Char"/>
    <w:basedOn w:val="DefaultParagraphFont"/>
    <w:link w:val="Title"/>
    <w:rsid w:val="00B43ACC"/>
    <w:rPr>
      <w:rFonts w:ascii="Arial" w:hAnsi="Arial"/>
      <w:b/>
      <w:caps/>
      <w:kern w:val="28"/>
      <w:sz w:val="30"/>
      <w:lang w:val="es-ES"/>
    </w:rPr>
  </w:style>
  <w:style w:type="character" w:customStyle="1" w:styleId="FootnoteTextChar">
    <w:name w:val="Footnote Text Char"/>
    <w:basedOn w:val="DefaultParagraphFont"/>
    <w:link w:val="FootnoteText"/>
    <w:rsid w:val="00ED5EE9"/>
    <w:rPr>
      <w:rFonts w:ascii="Arial" w:hAnsi="Arial"/>
      <w:sz w:val="16"/>
    </w:rPr>
  </w:style>
  <w:style w:type="character" w:customStyle="1" w:styleId="ClosingChar">
    <w:name w:val="Closing Char"/>
    <w:basedOn w:val="DefaultParagraphFont"/>
    <w:link w:val="Closing"/>
    <w:rsid w:val="00B43ACC"/>
    <w:rPr>
      <w:rFonts w:ascii="Arial" w:hAnsi="Arial"/>
      <w:lang w:val="es-ES"/>
    </w:rPr>
  </w:style>
  <w:style w:type="character" w:customStyle="1" w:styleId="MacroTextChar">
    <w:name w:val="Macro Text Char"/>
    <w:basedOn w:val="DefaultParagraphFont"/>
    <w:link w:val="MacroText"/>
    <w:semiHidden/>
    <w:rsid w:val="00B43ACC"/>
    <w:rPr>
      <w:rFonts w:ascii="Courier New" w:hAnsi="Courier New"/>
      <w:sz w:val="16"/>
    </w:rPr>
  </w:style>
  <w:style w:type="character" w:customStyle="1" w:styleId="SignatureChar">
    <w:name w:val="Signature Char"/>
    <w:basedOn w:val="DefaultParagraphFont"/>
    <w:link w:val="Signature"/>
    <w:rsid w:val="00B43ACC"/>
    <w:rPr>
      <w:rFonts w:ascii="Arial" w:hAnsi="Arial"/>
      <w:lang w:val="es-ES"/>
    </w:rPr>
  </w:style>
  <w:style w:type="character" w:customStyle="1" w:styleId="BodyTextChar">
    <w:name w:val="Body Text Char"/>
    <w:basedOn w:val="DefaultParagraphFont"/>
    <w:link w:val="BodyText"/>
    <w:rsid w:val="00B43ACC"/>
    <w:rPr>
      <w:rFonts w:ascii="Arial" w:hAnsi="Arial"/>
      <w:lang w:val="es-ES"/>
    </w:rPr>
  </w:style>
  <w:style w:type="character" w:customStyle="1" w:styleId="EndnoteTextChar">
    <w:name w:val="Endnote Text Char"/>
    <w:basedOn w:val="DefaultParagraphFont"/>
    <w:link w:val="EndnoteText"/>
    <w:semiHidden/>
    <w:rsid w:val="00B43ACC"/>
    <w:rPr>
      <w:rFonts w:ascii="Arial" w:hAnsi="Arial"/>
      <w:lang w:val="es-ES"/>
    </w:rPr>
  </w:style>
  <w:style w:type="character" w:customStyle="1" w:styleId="DateChar">
    <w:name w:val="Date Char"/>
    <w:basedOn w:val="DefaultParagraphFont"/>
    <w:link w:val="Date"/>
    <w:semiHidden/>
    <w:rsid w:val="00B43ACC"/>
    <w:rPr>
      <w:rFonts w:ascii="Arial" w:hAnsi="Arial"/>
      <w:b/>
      <w:sz w:val="22"/>
      <w:lang w:val="es-ES"/>
    </w:rPr>
  </w:style>
  <w:style w:type="paragraph" w:styleId="ListParagraph">
    <w:name w:val="List Paragraph"/>
    <w:basedOn w:val="Normal"/>
    <w:uiPriority w:val="34"/>
    <w:qFormat/>
    <w:rsid w:val="00B43ACC"/>
    <w:pPr>
      <w:ind w:left="720"/>
      <w:contextualSpacing/>
    </w:pPr>
  </w:style>
  <w:style w:type="character" w:customStyle="1" w:styleId="DecisionParagraphsChar">
    <w:name w:val="DecisionParagraphs Char"/>
    <w:basedOn w:val="DefaultParagraphFont"/>
    <w:link w:val="DecisionParagraphs"/>
    <w:rsid w:val="00B43ACC"/>
    <w:rPr>
      <w:rFonts w:ascii="Arial" w:hAnsi="Arial"/>
      <w:i/>
      <w:lang w:val="es-ES"/>
    </w:rPr>
  </w:style>
  <w:style w:type="table" w:styleId="TableGrid">
    <w:name w:val="Table Grid"/>
    <w:basedOn w:val="TableNormal"/>
    <w:rsid w:val="00B43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B43ACC"/>
    <w:pPr>
      <w:numPr>
        <w:numId w:val="2"/>
      </w:numPr>
      <w:contextualSpacing/>
    </w:pPr>
  </w:style>
  <w:style w:type="character" w:styleId="FollowedHyperlink">
    <w:name w:val="FollowedHyperlink"/>
    <w:basedOn w:val="DefaultParagraphFont"/>
    <w:rsid w:val="00B43ACC"/>
    <w:rPr>
      <w:color w:val="800080" w:themeColor="followedHyperlink"/>
      <w:u w:val="single"/>
    </w:rPr>
  </w:style>
  <w:style w:type="table" w:customStyle="1" w:styleId="TableGrid2">
    <w:name w:val="Table Grid2"/>
    <w:basedOn w:val="TableNormal"/>
    <w:next w:val="TableGrid"/>
    <w:uiPriority w:val="59"/>
    <w:rsid w:val="00B43ACC"/>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upov.int/edocs/mdocs/upov/es/tc_54/tc_54_31.pdf" TargetMode="External"/><Relationship Id="rId18" Type="http://schemas.openxmlformats.org/officeDocument/2006/relationships/header" Target="header1.xml"/><Relationship Id="rId26" Type="http://schemas.openxmlformats.org/officeDocument/2006/relationships/image" Target="media/image4.wmf"/><Relationship Id="rId39" Type="http://schemas.openxmlformats.org/officeDocument/2006/relationships/theme" Target="theme/theme1.xml"/><Relationship Id="rId21" Type="http://schemas.openxmlformats.org/officeDocument/2006/relationships/header" Target="header4.xml"/><Relationship Id="rId34"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yperlink" Target="https://www.upov.int/edocs/mdocs/upov/es/tc_53/tc_53_31.pdf" TargetMode="External"/><Relationship Id="rId17" Type="http://schemas.openxmlformats.org/officeDocument/2006/relationships/hyperlink" Target="https://www.upov.int/edocs/mdocs/upov/es/caj_75/caj_75_14.pdf" TargetMode="External"/><Relationship Id="rId25" Type="http://schemas.openxmlformats.org/officeDocument/2006/relationships/image" Target="media/image3.wmf"/><Relationship Id="rId33" Type="http://schemas.openxmlformats.org/officeDocument/2006/relationships/image" Target="media/image11.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pov.int/edocs/mdocs/upov/es/tc_54/tc_54_31.pdf" TargetMode="External"/><Relationship Id="rId20" Type="http://schemas.openxmlformats.org/officeDocument/2006/relationships/header" Target="header3.xml"/><Relationship Id="rId29"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pov.int/edocs/mdocs/upov/es/tc_54/tc_54_31.pdf" TargetMode="External"/><Relationship Id="rId24" Type="http://schemas.openxmlformats.org/officeDocument/2006/relationships/image" Target="media/image2.wmf"/><Relationship Id="rId32" Type="http://schemas.openxmlformats.org/officeDocument/2006/relationships/image" Target="media/image10.wmf"/><Relationship Id="rId37"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yperlink" Target="https://www.upov.int/edocs/mdocs/upov/es/tc_54/tc_54_31.pdf" TargetMode="External"/><Relationship Id="rId23" Type="http://schemas.openxmlformats.org/officeDocument/2006/relationships/header" Target="header6.xml"/><Relationship Id="rId28" Type="http://schemas.openxmlformats.org/officeDocument/2006/relationships/image" Target="media/image6.wmf"/><Relationship Id="rId36" Type="http://schemas.openxmlformats.org/officeDocument/2006/relationships/header" Target="header9.xml"/><Relationship Id="rId10" Type="http://schemas.openxmlformats.org/officeDocument/2006/relationships/hyperlink" Target="https://www.upov.int/edocs/mdocs/upov/es/tc_54/tc_54_31.pdf" TargetMode="External"/><Relationship Id="rId19" Type="http://schemas.openxmlformats.org/officeDocument/2006/relationships/header" Target="header2.xml"/><Relationship Id="rId31"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hyperlink" Target="https://www.upov.int/edocs/mdocs/upov/es/tc_53/tc_53_31.pdf" TargetMode="External"/><Relationship Id="rId14" Type="http://schemas.openxmlformats.org/officeDocument/2006/relationships/hyperlink" Target="https://www.upov.int/edocs/mdocs/upov/es/tc_54/tc_54_31.pdf" TargetMode="External"/><Relationship Id="rId22" Type="http://schemas.openxmlformats.org/officeDocument/2006/relationships/header" Target="header5.xml"/><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header" Target="header8.xml"/><Relationship Id="rId8" Type="http://schemas.openxmlformats.org/officeDocument/2006/relationships/hyperlink" Target="https://www.upov.int/edocs/mdocs/upov/es/tc_54/tc_54_31.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15</Pages>
  <Words>7086</Words>
  <Characters>39320</Characters>
  <Application>Microsoft Office Word</Application>
  <DocSecurity>0</DocSecurity>
  <Lines>327</Lines>
  <Paragraphs>92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C/53/3</vt:lpstr>
      <vt:lpstr>C/53/3</vt:lpstr>
    </vt:vector>
  </TitlesOfParts>
  <Company>UPOV</Company>
  <LinksUpToDate>false</LinksUpToDate>
  <CharactersWithSpaces>46314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C/53/3</dc:title>
  <dc:creator>CEVALLOS DUQUE Nilo</dc:creator>
  <cp:lastModifiedBy>SANCHEZ VIZCAINO GOMEZ Rosa Maria</cp:lastModifiedBy>
  <cp:revision>21</cp:revision>
  <cp:lastPrinted>2016-11-22T15:41:00Z</cp:lastPrinted>
  <dcterms:created xsi:type="dcterms:W3CDTF">2019-07-29T10:14:00Z</dcterms:created>
  <dcterms:modified xsi:type="dcterms:W3CDTF">2019-08-02T13:04:00Z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1fe797b1-7711-4089-aac5-4fdbe47f9a04</vt:lpwstr>
  </property>
</Properties>
</file>