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2B3076" w:rsidTr="00EB4E9C">
        <w:tc>
          <w:tcPr>
            <w:tcW w:w="6522" w:type="dxa"/>
          </w:tcPr>
          <w:p w:rsidR="00DC3802" w:rsidRPr="002B3076" w:rsidRDefault="00DC3802" w:rsidP="00062884">
            <w:pPr>
              <w:rPr>
                <w:dstrike/>
              </w:rPr>
            </w:pPr>
            <w:r w:rsidRPr="00062884">
              <w:rPr>
                <w:noProof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062884" w:rsidRDefault="00CF2D6B" w:rsidP="00AC2883">
            <w:pPr>
              <w:pStyle w:val="Lettrine"/>
            </w:pPr>
            <w:r w:rsidRPr="00062884">
              <w:t>S</w:t>
            </w:r>
          </w:p>
        </w:tc>
      </w:tr>
      <w:tr w:rsidR="00DC3802" w:rsidRPr="00ED0C3B" w:rsidTr="00645CA8">
        <w:trPr>
          <w:trHeight w:val="219"/>
        </w:trPr>
        <w:tc>
          <w:tcPr>
            <w:tcW w:w="6522" w:type="dxa"/>
          </w:tcPr>
          <w:p w:rsidR="00DC3802" w:rsidRPr="00ED0C3B" w:rsidRDefault="00CF2D6B" w:rsidP="00AC2883">
            <w:pPr>
              <w:pStyle w:val="upove"/>
              <w:rPr>
                <w:dstrike/>
                <w:lang w:val="es-ES_tradnl"/>
              </w:rPr>
            </w:pPr>
            <w:r w:rsidRPr="00062884">
              <w:rPr>
                <w:lang w:val="es-ES_tradnl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062884" w:rsidRDefault="00DC3802" w:rsidP="00DA4973">
            <w:pPr>
              <w:rPr>
                <w:lang w:val="es-ES_tradnl"/>
              </w:rPr>
            </w:pPr>
          </w:p>
        </w:tc>
      </w:tr>
    </w:tbl>
    <w:p w:rsidR="00DC3802" w:rsidRPr="00062884" w:rsidRDefault="00DC3802" w:rsidP="00DC3802">
      <w:pPr>
        <w:rPr>
          <w:lang w:val="es-ES_tradnl"/>
        </w:rPr>
      </w:pPr>
    </w:p>
    <w:p w:rsidR="00DA4973" w:rsidRPr="00062884" w:rsidRDefault="00DA4973" w:rsidP="00DC3802">
      <w:pPr>
        <w:rPr>
          <w:lang w:val="es-ES_tradnl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ED0C3B" w:rsidTr="00EB4E9C">
        <w:tc>
          <w:tcPr>
            <w:tcW w:w="6512" w:type="dxa"/>
          </w:tcPr>
          <w:p w:rsidR="00EB4E9C" w:rsidRPr="00062884" w:rsidRDefault="00A57E6E" w:rsidP="00AC2883">
            <w:pPr>
              <w:pStyle w:val="Sessiontc"/>
              <w:spacing w:line="240" w:lineRule="auto"/>
              <w:rPr>
                <w:lang w:val="es-ES_tradnl"/>
              </w:rPr>
            </w:pPr>
            <w:r w:rsidRPr="00062884">
              <w:rPr>
                <w:lang w:val="es-ES_tradnl"/>
              </w:rPr>
              <w:t>Consejo</w:t>
            </w:r>
          </w:p>
          <w:p w:rsidR="00EB4E9C" w:rsidRPr="00ED0C3B" w:rsidRDefault="00CF2D6B" w:rsidP="00782255">
            <w:pPr>
              <w:pStyle w:val="Sessiontcplacedate"/>
              <w:rPr>
                <w:dstrike/>
                <w:sz w:val="22"/>
                <w:lang w:val="es-ES_tradnl"/>
              </w:rPr>
            </w:pPr>
            <w:r w:rsidRPr="00062884">
              <w:rPr>
                <w:lang w:val="es-ES_tradnl"/>
              </w:rPr>
              <w:t>Quincuagésima tercera sesión ordinaria</w:t>
            </w:r>
            <w:r w:rsidRPr="00062884">
              <w:rPr>
                <w:lang w:val="es-ES_tradnl"/>
              </w:rPr>
              <w:br/>
              <w:t>Ginebra</w:t>
            </w:r>
            <w:r w:rsidR="00E07157" w:rsidRPr="00062884">
              <w:rPr>
                <w:lang w:val="es-ES_tradnl"/>
              </w:rPr>
              <w:t>, 1</w:t>
            </w:r>
            <w:r w:rsidRPr="00062884">
              <w:rPr>
                <w:lang w:val="es-ES_tradnl"/>
              </w:rPr>
              <w:t xml:space="preserve"> de noviembre de</w:t>
            </w:r>
            <w:r w:rsidR="007514E1">
              <w:rPr>
                <w:lang w:val="es-ES_tradnl"/>
              </w:rPr>
              <w:t xml:space="preserve"> </w:t>
            </w:r>
            <w:r w:rsidR="00831885" w:rsidRPr="00062884">
              <w:rPr>
                <w:lang w:val="es-ES_tradnl"/>
              </w:rPr>
              <w:t>2</w:t>
            </w:r>
            <w:r w:rsidRPr="00062884">
              <w:rPr>
                <w:lang w:val="es-ES_tradnl"/>
              </w:rPr>
              <w:t>019</w:t>
            </w:r>
          </w:p>
        </w:tc>
        <w:tc>
          <w:tcPr>
            <w:tcW w:w="3127" w:type="dxa"/>
          </w:tcPr>
          <w:p w:rsidR="00EB4E9C" w:rsidRPr="00062884" w:rsidRDefault="00782255" w:rsidP="003C7FBE">
            <w:pPr>
              <w:pStyle w:val="Doccode"/>
              <w:rPr>
                <w:lang w:val="es-ES_tradnl"/>
              </w:rPr>
            </w:pPr>
            <w:r w:rsidRPr="00062884">
              <w:rPr>
                <w:lang w:val="es-ES_tradnl"/>
              </w:rPr>
              <w:t>C/53</w:t>
            </w:r>
            <w:r w:rsidR="00EB4E9C" w:rsidRPr="00062884">
              <w:rPr>
                <w:lang w:val="es-ES_tradnl"/>
              </w:rPr>
              <w:t>/</w:t>
            </w:r>
            <w:r w:rsidR="00303444" w:rsidRPr="00062884">
              <w:rPr>
                <w:lang w:val="es-ES_tradnl"/>
              </w:rPr>
              <w:t>13</w:t>
            </w:r>
          </w:p>
          <w:p w:rsidR="00EB4E9C" w:rsidRPr="00062884" w:rsidRDefault="00EB4E9C" w:rsidP="003C7FBE">
            <w:pPr>
              <w:pStyle w:val="Docoriginal"/>
              <w:rPr>
                <w:lang w:val="es-ES_tradnl"/>
              </w:rPr>
            </w:pPr>
            <w:r w:rsidRPr="00062884">
              <w:rPr>
                <w:lang w:val="es-ES_tradnl"/>
              </w:rPr>
              <w:t>Original:</w:t>
            </w:r>
            <w:r w:rsidR="00CF2D6B" w:rsidRPr="00062884">
              <w:rPr>
                <w:b w:val="0"/>
                <w:spacing w:val="0"/>
                <w:lang w:val="es-ES_tradnl"/>
              </w:rPr>
              <w:t xml:space="preserve"> Inglés</w:t>
            </w:r>
          </w:p>
          <w:p w:rsidR="00EB4E9C" w:rsidRPr="00062884" w:rsidRDefault="00CF2D6B" w:rsidP="0043141D">
            <w:pPr>
              <w:pStyle w:val="Docoriginal"/>
              <w:rPr>
                <w:lang w:val="es-ES_tradnl"/>
              </w:rPr>
            </w:pPr>
            <w:r w:rsidRPr="00062884">
              <w:rPr>
                <w:lang w:val="es-ES_tradnl"/>
              </w:rPr>
              <w:t>Fecha</w:t>
            </w:r>
            <w:r w:rsidR="00EB4E9C" w:rsidRPr="00062884">
              <w:rPr>
                <w:lang w:val="es-ES_tradnl"/>
              </w:rPr>
              <w:t>:</w:t>
            </w:r>
            <w:r w:rsidR="007514E1">
              <w:rPr>
                <w:b w:val="0"/>
                <w:spacing w:val="0"/>
                <w:lang w:val="es-ES_tradnl"/>
              </w:rPr>
              <w:t xml:space="preserve"> </w:t>
            </w:r>
            <w:r w:rsidR="00831885" w:rsidRPr="00062884">
              <w:rPr>
                <w:b w:val="0"/>
                <w:spacing w:val="0"/>
                <w:lang w:val="es-ES_tradnl"/>
              </w:rPr>
              <w:t>1</w:t>
            </w:r>
            <w:r w:rsidR="0043141D" w:rsidRPr="00062884">
              <w:rPr>
                <w:b w:val="0"/>
                <w:spacing w:val="0"/>
                <w:lang w:val="es-ES_tradnl"/>
              </w:rPr>
              <w:t>5</w:t>
            </w:r>
            <w:r w:rsidRPr="00062884">
              <w:rPr>
                <w:b w:val="0"/>
                <w:spacing w:val="0"/>
                <w:lang w:val="es-ES_tradnl"/>
              </w:rPr>
              <w:t xml:space="preserve"> de octubre de</w:t>
            </w:r>
            <w:r w:rsidR="007514E1">
              <w:rPr>
                <w:b w:val="0"/>
                <w:spacing w:val="0"/>
                <w:lang w:val="es-ES_tradnl"/>
              </w:rPr>
              <w:t xml:space="preserve"> </w:t>
            </w:r>
            <w:r w:rsidR="00831885" w:rsidRPr="00062884">
              <w:rPr>
                <w:b w:val="0"/>
                <w:spacing w:val="0"/>
                <w:lang w:val="es-ES_tradnl"/>
              </w:rPr>
              <w:t>2</w:t>
            </w:r>
            <w:r w:rsidR="00EB4E9C" w:rsidRPr="00062884">
              <w:rPr>
                <w:b w:val="0"/>
                <w:spacing w:val="0"/>
                <w:lang w:val="es-ES_tradnl"/>
              </w:rPr>
              <w:t>01</w:t>
            </w:r>
            <w:r w:rsidR="00782255" w:rsidRPr="00062884">
              <w:rPr>
                <w:b w:val="0"/>
                <w:spacing w:val="0"/>
                <w:lang w:val="es-ES_tradnl"/>
              </w:rPr>
              <w:t>9</w:t>
            </w:r>
          </w:p>
        </w:tc>
      </w:tr>
    </w:tbl>
    <w:p w:rsidR="000D7780" w:rsidRPr="006A644A" w:rsidRDefault="00713CCB" w:rsidP="002E18E2">
      <w:pPr>
        <w:pStyle w:val="Titleofdoc0"/>
        <w:jc w:val="both"/>
      </w:pPr>
      <w:bookmarkStart w:id="0" w:name="TitleOfDoc"/>
      <w:bookmarkEnd w:id="0"/>
      <w:r w:rsidRPr="007514E1">
        <w:rPr>
          <w:caps w:val="0"/>
          <w:spacing w:val="-2"/>
          <w:lang w:val="es-ES_tradnl"/>
        </w:rPr>
        <w:t>NOVEDADES QUE SE HAN PRODUCIDO EN RELACIÓN CON EL LIBRO</w:t>
      </w:r>
      <w:r w:rsidR="007514E1" w:rsidRPr="007514E1">
        <w:rPr>
          <w:caps w:val="0"/>
          <w:spacing w:val="-2"/>
          <w:lang w:val="es-ES_tradnl"/>
        </w:rPr>
        <w:t xml:space="preserve"> </w:t>
      </w:r>
      <w:r w:rsidRPr="007514E1">
        <w:rPr>
          <w:caps w:val="0"/>
          <w:spacing w:val="-2"/>
          <w:lang w:val="es-ES_tradnl"/>
        </w:rPr>
        <w:t xml:space="preserve">IV “VARIEDADES VEGETALES” </w:t>
      </w:r>
      <w:r w:rsidRPr="001F2748">
        <w:rPr>
          <w:caps w:val="0"/>
          <w:lang w:val="es-ES_tradnl"/>
        </w:rPr>
        <w:t>DE LA LEY DE PROTECCIÓN DE LOS DERECHOS DE PROPIEDAD INTELECTUAL DE EGIPTO</w:t>
      </w:r>
    </w:p>
    <w:p w:rsidR="00CF2D6B" w:rsidRPr="00062884" w:rsidRDefault="00CF2D6B" w:rsidP="00CF2D6B">
      <w:pPr>
        <w:pStyle w:val="preparedby1"/>
        <w:jc w:val="left"/>
        <w:rPr>
          <w:lang w:val="es-ES_tradnl"/>
        </w:rPr>
      </w:pPr>
      <w:bookmarkStart w:id="1" w:name="Prepared"/>
      <w:bookmarkEnd w:id="1"/>
      <w:r w:rsidRPr="00062884">
        <w:rPr>
          <w:lang w:val="es-ES_tradnl"/>
        </w:rPr>
        <w:t>Documento preparado por la Oficina de la Unión</w:t>
      </w:r>
    </w:p>
    <w:p w:rsidR="00CF2D6B" w:rsidRPr="00062884" w:rsidRDefault="00CF2D6B" w:rsidP="00CF2D6B">
      <w:pPr>
        <w:pStyle w:val="Disclaimer"/>
        <w:rPr>
          <w:lang w:val="es-ES_tradnl"/>
        </w:rPr>
      </w:pPr>
      <w:r w:rsidRPr="00062884">
        <w:rPr>
          <w:lang w:val="es-ES_tradnl"/>
        </w:rPr>
        <w:t>Descargo de responsabilidad: el presente documento no constituye un documento de política u orientación de la UPOV</w:t>
      </w:r>
    </w:p>
    <w:p w:rsidR="002C0C13" w:rsidRPr="00CF2D6B" w:rsidRDefault="00A33B31" w:rsidP="00CF2D6B">
      <w:pPr>
        <w:pStyle w:val="ListParagraph"/>
        <w:numPr>
          <w:ilvl w:val="0"/>
          <w:numId w:val="6"/>
        </w:numPr>
        <w:rPr>
          <w:szCs w:val="22"/>
        </w:rPr>
      </w:pPr>
      <w:r w:rsidRPr="001802E4">
        <w:rPr>
          <w:szCs w:val="22"/>
          <w:lang w:val="es-ES_tradnl"/>
        </w:rPr>
        <w:t xml:space="preserve">El presente documento tiene por objeto invitar al Consejo a </w:t>
      </w:r>
      <w:r w:rsidR="00157463" w:rsidRPr="001802E4">
        <w:rPr>
          <w:szCs w:val="22"/>
          <w:lang w:val="es-ES_tradnl"/>
        </w:rPr>
        <w:t xml:space="preserve">que </w:t>
      </w:r>
      <w:r w:rsidRPr="001802E4">
        <w:rPr>
          <w:szCs w:val="22"/>
          <w:lang w:val="es-ES_tradnl"/>
        </w:rPr>
        <w:t>consider</w:t>
      </w:r>
      <w:r w:rsidR="00157463" w:rsidRPr="001802E4">
        <w:rPr>
          <w:szCs w:val="22"/>
          <w:lang w:val="es-ES_tradnl"/>
        </w:rPr>
        <w:t>e</w:t>
      </w:r>
      <w:r w:rsidRPr="001802E4">
        <w:rPr>
          <w:szCs w:val="22"/>
          <w:lang w:val="es-ES_tradnl"/>
        </w:rPr>
        <w:t xml:space="preserve"> si </w:t>
      </w:r>
      <w:r w:rsidR="00157463" w:rsidRPr="001802E4">
        <w:rPr>
          <w:szCs w:val="22"/>
          <w:lang w:val="es-ES_tradnl"/>
        </w:rPr>
        <w:t xml:space="preserve">las </w:t>
      </w:r>
      <w:r w:rsidRPr="001802E4">
        <w:rPr>
          <w:szCs w:val="22"/>
          <w:lang w:val="es-ES_tradnl"/>
        </w:rPr>
        <w:t>novedades</w:t>
      </w:r>
      <w:r w:rsidR="00157463" w:rsidRPr="001802E4">
        <w:rPr>
          <w:szCs w:val="22"/>
          <w:lang w:val="es-ES_tradnl"/>
        </w:rPr>
        <w:t xml:space="preserve"> acontecidas en relación con el </w:t>
      </w:r>
      <w:r w:rsidR="001F2748" w:rsidRPr="001802E4">
        <w:rPr>
          <w:lang w:val="es-ES_tradnl"/>
        </w:rPr>
        <w:t>Libro</w:t>
      </w:r>
      <w:r w:rsidR="007514E1">
        <w:rPr>
          <w:lang w:val="es-ES_tradnl"/>
        </w:rPr>
        <w:t xml:space="preserve"> </w:t>
      </w:r>
      <w:r w:rsidR="001F2748" w:rsidRPr="001802E4">
        <w:rPr>
          <w:lang w:val="es-ES_tradnl"/>
        </w:rPr>
        <w:t>IV “Variedades vegetales” de la Ley de Protección de los Derechos de Propiedad Intelectual de Egipto</w:t>
      </w:r>
      <w:r w:rsidRPr="001802E4">
        <w:rPr>
          <w:szCs w:val="22"/>
          <w:lang w:val="es-ES_tradnl"/>
        </w:rPr>
        <w:t xml:space="preserve"> (</w:t>
      </w:r>
      <w:r w:rsidR="005E75DA" w:rsidRPr="001802E4">
        <w:rPr>
          <w:szCs w:val="22"/>
          <w:lang w:val="es-ES_tradnl"/>
        </w:rPr>
        <w:t xml:space="preserve">la </w:t>
      </w:r>
      <w:r w:rsidR="001F2748" w:rsidRPr="001802E4">
        <w:rPr>
          <w:szCs w:val="22"/>
          <w:lang w:val="es-ES_tradnl"/>
        </w:rPr>
        <w:t>“</w:t>
      </w:r>
      <w:r w:rsidRPr="001802E4">
        <w:rPr>
          <w:szCs w:val="22"/>
          <w:lang w:val="es-ES_tradnl"/>
        </w:rPr>
        <w:t>Ley</w:t>
      </w:r>
      <w:r w:rsidR="00427911" w:rsidRPr="001802E4">
        <w:rPr>
          <w:szCs w:val="22"/>
          <w:lang w:val="es-ES_tradnl"/>
        </w:rPr>
        <w:t>”</w:t>
      </w:r>
      <w:r w:rsidRPr="001802E4">
        <w:rPr>
          <w:szCs w:val="22"/>
          <w:lang w:val="es-ES_tradnl"/>
        </w:rPr>
        <w:t xml:space="preserve">) </w:t>
      </w:r>
      <w:r w:rsidR="005E75DA" w:rsidRPr="001802E4">
        <w:rPr>
          <w:szCs w:val="22"/>
          <w:lang w:val="es-ES_tradnl"/>
        </w:rPr>
        <w:t>a</w:t>
      </w:r>
      <w:r w:rsidRPr="001802E4">
        <w:rPr>
          <w:szCs w:val="22"/>
          <w:lang w:val="es-ES_tradnl"/>
        </w:rPr>
        <w:t>fect</w:t>
      </w:r>
      <w:r w:rsidR="005E75DA" w:rsidRPr="001802E4">
        <w:rPr>
          <w:szCs w:val="22"/>
          <w:lang w:val="es-ES_tradnl"/>
        </w:rPr>
        <w:t>an</w:t>
      </w:r>
      <w:r w:rsidRPr="001802E4">
        <w:rPr>
          <w:szCs w:val="22"/>
          <w:lang w:val="es-ES_tradnl"/>
        </w:rPr>
        <w:t xml:space="preserve"> </w:t>
      </w:r>
      <w:r w:rsidR="005E75DA" w:rsidRPr="001802E4">
        <w:rPr>
          <w:szCs w:val="22"/>
          <w:lang w:val="es-ES_tradnl"/>
        </w:rPr>
        <w:t xml:space="preserve">a la </w:t>
      </w:r>
      <w:r w:rsidRPr="001802E4">
        <w:rPr>
          <w:szCs w:val="22"/>
          <w:lang w:val="es-ES_tradnl"/>
        </w:rPr>
        <w:t xml:space="preserve">decisión </w:t>
      </w:r>
      <w:r w:rsidR="005E75DA" w:rsidRPr="001802E4">
        <w:rPr>
          <w:szCs w:val="22"/>
          <w:lang w:val="es-ES_tradnl"/>
        </w:rPr>
        <w:t xml:space="preserve">adoptada por </w:t>
      </w:r>
      <w:r w:rsidRPr="001802E4">
        <w:rPr>
          <w:szCs w:val="22"/>
          <w:lang w:val="es-ES_tradnl"/>
        </w:rPr>
        <w:t xml:space="preserve">el Consejo </w:t>
      </w:r>
      <w:r w:rsidR="005E75DA" w:rsidRPr="001802E4">
        <w:rPr>
          <w:szCs w:val="22"/>
          <w:lang w:val="es-ES_tradnl"/>
        </w:rPr>
        <w:t>el</w:t>
      </w:r>
      <w:r w:rsidR="007514E1">
        <w:rPr>
          <w:szCs w:val="22"/>
          <w:lang w:val="es-ES_tradnl"/>
        </w:rPr>
        <w:t xml:space="preserve"> </w:t>
      </w:r>
      <w:r w:rsidR="00831885" w:rsidRPr="001802E4">
        <w:rPr>
          <w:szCs w:val="22"/>
          <w:lang w:val="es-ES_tradnl"/>
        </w:rPr>
        <w:t>2</w:t>
      </w:r>
      <w:r w:rsidRPr="001802E4">
        <w:rPr>
          <w:szCs w:val="22"/>
          <w:lang w:val="es-ES_tradnl"/>
        </w:rPr>
        <w:t>7</w:t>
      </w:r>
      <w:r w:rsidR="005E75DA" w:rsidRPr="001802E4">
        <w:rPr>
          <w:szCs w:val="22"/>
          <w:lang w:val="es-ES_tradnl"/>
        </w:rPr>
        <w:t xml:space="preserve"> de marzo de</w:t>
      </w:r>
      <w:r w:rsidR="007514E1">
        <w:rPr>
          <w:szCs w:val="22"/>
          <w:lang w:val="es-ES_tradnl"/>
        </w:rPr>
        <w:t xml:space="preserve"> </w:t>
      </w:r>
      <w:r w:rsidR="00831885" w:rsidRPr="001802E4">
        <w:rPr>
          <w:szCs w:val="22"/>
          <w:lang w:val="es-ES_tradnl"/>
        </w:rPr>
        <w:t>2</w:t>
      </w:r>
      <w:r w:rsidRPr="001802E4">
        <w:rPr>
          <w:szCs w:val="22"/>
          <w:lang w:val="es-ES_tradnl"/>
        </w:rPr>
        <w:t>015.</w:t>
      </w:r>
      <w:r w:rsidR="002C0C13" w:rsidRPr="00CF2D6B">
        <w:rPr>
          <w:szCs w:val="22"/>
        </w:rPr>
        <w:t xml:space="preserve"> </w:t>
      </w:r>
    </w:p>
    <w:p w:rsidR="002C0C13" w:rsidRDefault="002C0C13" w:rsidP="002C0C13">
      <w:pPr>
        <w:rPr>
          <w:szCs w:val="22"/>
        </w:rPr>
      </w:pPr>
    </w:p>
    <w:p w:rsidR="002C0C13" w:rsidRDefault="002C0C13" w:rsidP="002C0C13">
      <w:pPr>
        <w:rPr>
          <w:szCs w:val="22"/>
        </w:rPr>
      </w:pPr>
    </w:p>
    <w:p w:rsidR="00EE237B" w:rsidRDefault="00191751" w:rsidP="00EE237B">
      <w:pPr>
        <w:pStyle w:val="Heading1"/>
      </w:pPr>
      <w:r w:rsidRPr="00E3113A">
        <w:rPr>
          <w:lang w:val="es-ES_tradnl"/>
        </w:rPr>
        <w:t>ANTECEDENTES</w:t>
      </w:r>
    </w:p>
    <w:p w:rsidR="00095755" w:rsidRDefault="00095755" w:rsidP="00095755">
      <w:pPr>
        <w:rPr>
          <w:szCs w:val="22"/>
        </w:rPr>
      </w:pPr>
    </w:p>
    <w:p w:rsidR="000D3AFE" w:rsidRPr="00CF2D6B" w:rsidRDefault="000419DE" w:rsidP="00CF2D6B">
      <w:pPr>
        <w:pStyle w:val="ListParagraph"/>
        <w:numPr>
          <w:ilvl w:val="0"/>
          <w:numId w:val="6"/>
        </w:numPr>
        <w:rPr>
          <w:spacing w:val="2"/>
          <w:szCs w:val="22"/>
        </w:rPr>
      </w:pPr>
      <w:r w:rsidRPr="00E3113A">
        <w:rPr>
          <w:spacing w:val="2"/>
          <w:szCs w:val="22"/>
          <w:lang w:val="es-ES_tradnl"/>
        </w:rPr>
        <w:t>El Gobierno de Egipto inició el procedimiento de adhesión a la</w:t>
      </w:r>
      <w:r w:rsidR="007514E1">
        <w:rPr>
          <w:spacing w:val="2"/>
          <w:szCs w:val="22"/>
          <w:lang w:val="es-ES_tradnl"/>
        </w:rPr>
        <w:t xml:space="preserve"> </w:t>
      </w:r>
      <w:r w:rsidRPr="00E3113A">
        <w:rPr>
          <w:spacing w:val="2"/>
          <w:szCs w:val="22"/>
          <w:lang w:val="es-ES_tradnl"/>
        </w:rPr>
        <w:t xml:space="preserve">UPOV mediante un carta fechada </w:t>
      </w:r>
      <w:r w:rsidR="005870A6" w:rsidRPr="00E3113A">
        <w:rPr>
          <w:spacing w:val="2"/>
          <w:szCs w:val="22"/>
          <w:lang w:val="es-ES_tradnl"/>
        </w:rPr>
        <w:t>el</w:t>
      </w:r>
      <w:r w:rsidR="007514E1">
        <w:rPr>
          <w:spacing w:val="2"/>
          <w:szCs w:val="22"/>
          <w:lang w:val="es-ES_tradnl"/>
        </w:rPr>
        <w:t xml:space="preserve"> </w:t>
      </w:r>
      <w:r w:rsidR="005870A6" w:rsidRPr="00E3113A">
        <w:rPr>
          <w:spacing w:val="2"/>
          <w:szCs w:val="22"/>
          <w:lang w:val="es-ES_tradnl"/>
        </w:rPr>
        <w:t>3 de noviembre de</w:t>
      </w:r>
      <w:r w:rsidR="007514E1">
        <w:rPr>
          <w:spacing w:val="2"/>
          <w:szCs w:val="22"/>
          <w:lang w:val="es-ES_tradnl"/>
        </w:rPr>
        <w:t xml:space="preserve"> </w:t>
      </w:r>
      <w:r w:rsidR="005870A6" w:rsidRPr="00E3113A">
        <w:rPr>
          <w:spacing w:val="2"/>
          <w:szCs w:val="22"/>
          <w:lang w:val="es-ES_tradnl"/>
        </w:rPr>
        <w:t>2014</w:t>
      </w:r>
      <w:r w:rsidR="00E07157" w:rsidRPr="00E3113A">
        <w:rPr>
          <w:spacing w:val="2"/>
          <w:szCs w:val="22"/>
          <w:lang w:val="es-ES_tradnl"/>
        </w:rPr>
        <w:t xml:space="preserve">, </w:t>
      </w:r>
      <w:r w:rsidR="005870A6" w:rsidRPr="00E3113A">
        <w:rPr>
          <w:spacing w:val="2"/>
          <w:szCs w:val="22"/>
          <w:lang w:val="es-ES_tradnl"/>
        </w:rPr>
        <w:t>dirigida</w:t>
      </w:r>
      <w:r w:rsidRPr="00E3113A">
        <w:rPr>
          <w:spacing w:val="2"/>
          <w:szCs w:val="22"/>
          <w:lang w:val="es-ES_tradnl"/>
        </w:rPr>
        <w:t xml:space="preserve"> a</w:t>
      </w:r>
      <w:r w:rsidR="005870A6" w:rsidRPr="00E3113A">
        <w:rPr>
          <w:spacing w:val="2"/>
          <w:szCs w:val="22"/>
          <w:lang w:val="es-ES_tradnl"/>
        </w:rPr>
        <w:t>l</w:t>
      </w:r>
      <w:r w:rsidRPr="00E3113A">
        <w:rPr>
          <w:spacing w:val="2"/>
          <w:szCs w:val="22"/>
          <w:lang w:val="es-ES_tradnl"/>
        </w:rPr>
        <w:t xml:space="preserve"> </w:t>
      </w:r>
      <w:r w:rsidR="005870A6" w:rsidRPr="00E3113A">
        <w:rPr>
          <w:spacing w:val="2"/>
          <w:szCs w:val="22"/>
          <w:lang w:val="es-ES_tradnl"/>
        </w:rPr>
        <w:t>secretario general de la</w:t>
      </w:r>
      <w:r w:rsidR="007514E1">
        <w:rPr>
          <w:spacing w:val="2"/>
          <w:szCs w:val="22"/>
          <w:lang w:val="es-ES_tradnl"/>
        </w:rPr>
        <w:t xml:space="preserve"> </w:t>
      </w:r>
      <w:r w:rsidRPr="00E3113A">
        <w:rPr>
          <w:spacing w:val="2"/>
          <w:szCs w:val="22"/>
          <w:lang w:val="es-ES_tradnl"/>
        </w:rPr>
        <w:t>UPOV</w:t>
      </w:r>
      <w:r w:rsidR="00E07157" w:rsidRPr="00E3113A">
        <w:rPr>
          <w:spacing w:val="2"/>
          <w:szCs w:val="22"/>
          <w:lang w:val="es-ES_tradnl"/>
        </w:rPr>
        <w:t xml:space="preserve">, </w:t>
      </w:r>
      <w:r w:rsidRPr="00E3113A">
        <w:rPr>
          <w:spacing w:val="2"/>
          <w:szCs w:val="22"/>
          <w:lang w:val="es-ES_tradnl"/>
        </w:rPr>
        <w:t xml:space="preserve">en </w:t>
      </w:r>
      <w:r w:rsidR="005870A6" w:rsidRPr="00E3113A">
        <w:rPr>
          <w:spacing w:val="2"/>
          <w:szCs w:val="22"/>
          <w:lang w:val="es-ES_tradnl"/>
        </w:rPr>
        <w:t xml:space="preserve">la que el </w:t>
      </w:r>
      <w:r w:rsidRPr="00E3113A">
        <w:rPr>
          <w:spacing w:val="2"/>
          <w:szCs w:val="22"/>
          <w:lang w:val="es-ES_tradnl"/>
        </w:rPr>
        <w:t>Sr</w:t>
      </w:r>
      <w:r w:rsidR="005870A6" w:rsidRPr="00E3113A">
        <w:rPr>
          <w:spacing w:val="2"/>
          <w:szCs w:val="22"/>
          <w:lang w:val="es-ES_tradnl"/>
        </w:rPr>
        <w:t>.</w:t>
      </w:r>
      <w:r w:rsidR="007514E1">
        <w:rPr>
          <w:spacing w:val="2"/>
          <w:szCs w:val="22"/>
          <w:lang w:val="es-ES_tradnl"/>
        </w:rPr>
        <w:t xml:space="preserve"> </w:t>
      </w:r>
      <w:r w:rsidRPr="00E3113A">
        <w:rPr>
          <w:spacing w:val="2"/>
          <w:szCs w:val="22"/>
          <w:lang w:val="es-ES_tradnl"/>
        </w:rPr>
        <w:t xml:space="preserve">Ahmed </w:t>
      </w:r>
      <w:proofErr w:type="spellStart"/>
      <w:r w:rsidRPr="00E3113A">
        <w:rPr>
          <w:spacing w:val="2"/>
          <w:szCs w:val="22"/>
          <w:lang w:val="es-ES_tradnl"/>
        </w:rPr>
        <w:t>Agiba</w:t>
      </w:r>
      <w:proofErr w:type="spellEnd"/>
      <w:r w:rsidR="00E07157" w:rsidRPr="00E3113A">
        <w:rPr>
          <w:spacing w:val="2"/>
          <w:szCs w:val="22"/>
          <w:lang w:val="es-ES_tradnl"/>
        </w:rPr>
        <w:t xml:space="preserve">, </w:t>
      </w:r>
      <w:r w:rsidR="005E015A" w:rsidRPr="00E3113A">
        <w:rPr>
          <w:spacing w:val="2"/>
          <w:szCs w:val="22"/>
          <w:lang w:val="es-ES_tradnl"/>
        </w:rPr>
        <w:t xml:space="preserve">jefe </w:t>
      </w:r>
      <w:r w:rsidR="005870A6" w:rsidRPr="00E3113A">
        <w:rPr>
          <w:spacing w:val="2"/>
          <w:szCs w:val="22"/>
          <w:lang w:val="es-ES_tradnl"/>
        </w:rPr>
        <w:t xml:space="preserve">de la Administración Central de Certificación de Semillas </w:t>
      </w:r>
      <w:r w:rsidRPr="00E3113A">
        <w:rPr>
          <w:spacing w:val="2"/>
          <w:szCs w:val="22"/>
          <w:lang w:val="es-ES_tradnl"/>
        </w:rPr>
        <w:t>(CASC)</w:t>
      </w:r>
      <w:r w:rsidR="00E07157" w:rsidRPr="00E3113A">
        <w:rPr>
          <w:spacing w:val="2"/>
          <w:szCs w:val="22"/>
          <w:lang w:val="es-ES_tradnl"/>
        </w:rPr>
        <w:t xml:space="preserve">, </w:t>
      </w:r>
      <w:r w:rsidR="005E015A" w:rsidRPr="00E3113A">
        <w:rPr>
          <w:spacing w:val="2"/>
          <w:szCs w:val="22"/>
          <w:lang w:val="es-ES_tradnl"/>
        </w:rPr>
        <w:t>subsecretario del ministro de Agricultura de Egipto</w:t>
      </w:r>
      <w:r w:rsidR="00E07157" w:rsidRPr="00E3113A">
        <w:rPr>
          <w:szCs w:val="22"/>
          <w:lang w:val="es-ES_tradnl"/>
        </w:rPr>
        <w:t xml:space="preserve">, </w:t>
      </w:r>
      <w:r w:rsidR="0023695C" w:rsidRPr="00E3113A">
        <w:rPr>
          <w:szCs w:val="22"/>
          <w:lang w:val="es-ES_tradnl"/>
        </w:rPr>
        <w:t>solicitó el examen del “Proyecto de disposiciones del Libro</w:t>
      </w:r>
      <w:r w:rsidR="007514E1">
        <w:rPr>
          <w:szCs w:val="22"/>
          <w:lang w:val="es-ES_tradnl"/>
        </w:rPr>
        <w:t xml:space="preserve"> </w:t>
      </w:r>
      <w:r w:rsidR="0023695C" w:rsidRPr="00E3113A">
        <w:rPr>
          <w:szCs w:val="22"/>
          <w:lang w:val="es-ES_tradnl"/>
        </w:rPr>
        <w:t>IV ‘Variedades vegetales’ de la Ley N.º</w:t>
      </w:r>
      <w:r w:rsidR="007514E1">
        <w:rPr>
          <w:szCs w:val="22"/>
          <w:lang w:val="es-ES_tradnl"/>
        </w:rPr>
        <w:t xml:space="preserve"> </w:t>
      </w:r>
      <w:r w:rsidR="00831885" w:rsidRPr="00E3113A">
        <w:rPr>
          <w:szCs w:val="22"/>
          <w:lang w:val="es-ES_tradnl"/>
        </w:rPr>
        <w:t>8</w:t>
      </w:r>
      <w:r w:rsidR="0023695C" w:rsidRPr="00E3113A">
        <w:rPr>
          <w:szCs w:val="22"/>
          <w:lang w:val="es-ES_tradnl"/>
        </w:rPr>
        <w:t>2 de</w:t>
      </w:r>
      <w:r w:rsidR="007514E1">
        <w:rPr>
          <w:szCs w:val="22"/>
          <w:lang w:val="es-ES_tradnl"/>
        </w:rPr>
        <w:t xml:space="preserve"> </w:t>
      </w:r>
      <w:r w:rsidR="00831885" w:rsidRPr="00E3113A">
        <w:rPr>
          <w:szCs w:val="22"/>
          <w:lang w:val="es-ES_tradnl"/>
        </w:rPr>
        <w:t>2</w:t>
      </w:r>
      <w:r w:rsidR="0023695C" w:rsidRPr="00E3113A">
        <w:rPr>
          <w:szCs w:val="22"/>
          <w:lang w:val="es-ES_tradnl"/>
        </w:rPr>
        <w:t xml:space="preserve">002 relativa a la </w:t>
      </w:r>
      <w:r w:rsidR="00DA2661" w:rsidRPr="00E3113A">
        <w:rPr>
          <w:szCs w:val="22"/>
          <w:lang w:val="es-ES_tradnl"/>
        </w:rPr>
        <w:t xml:space="preserve">Protección </w:t>
      </w:r>
      <w:r w:rsidR="0023695C" w:rsidRPr="00E3113A">
        <w:rPr>
          <w:szCs w:val="22"/>
          <w:lang w:val="es-ES_tradnl"/>
        </w:rPr>
        <w:t xml:space="preserve">de los </w:t>
      </w:r>
      <w:r w:rsidR="00DA2661" w:rsidRPr="00E3113A">
        <w:rPr>
          <w:szCs w:val="22"/>
          <w:lang w:val="es-ES_tradnl"/>
        </w:rPr>
        <w:t xml:space="preserve">Derechos </w:t>
      </w:r>
      <w:r w:rsidR="0023695C" w:rsidRPr="00E3113A">
        <w:rPr>
          <w:szCs w:val="22"/>
          <w:lang w:val="es-ES_tradnl"/>
        </w:rPr>
        <w:t xml:space="preserve">de </w:t>
      </w:r>
      <w:r w:rsidR="00DA2661" w:rsidRPr="00E3113A">
        <w:rPr>
          <w:szCs w:val="22"/>
          <w:lang w:val="es-ES_tradnl"/>
        </w:rPr>
        <w:t>Propiedad Intelectual</w:t>
      </w:r>
      <w:r w:rsidR="0023695C" w:rsidRPr="00E3113A">
        <w:rPr>
          <w:szCs w:val="22"/>
          <w:lang w:val="es-ES_tradnl"/>
        </w:rPr>
        <w:t xml:space="preserve">” </w:t>
      </w:r>
      <w:r w:rsidR="00905305" w:rsidRPr="00E3113A">
        <w:rPr>
          <w:szCs w:val="22"/>
          <w:lang w:val="es-ES_tradnl"/>
        </w:rPr>
        <w:t>a fin de</w:t>
      </w:r>
      <w:r w:rsidR="0023695C" w:rsidRPr="00E3113A">
        <w:rPr>
          <w:szCs w:val="22"/>
          <w:lang w:val="es-ES_tradnl"/>
        </w:rPr>
        <w:t xml:space="preserve"> determinar su conformidad con el Acta de</w:t>
      </w:r>
      <w:r w:rsidR="007514E1">
        <w:rPr>
          <w:szCs w:val="22"/>
          <w:lang w:val="es-ES_tradnl"/>
        </w:rPr>
        <w:t xml:space="preserve"> </w:t>
      </w:r>
      <w:r w:rsidR="00831885" w:rsidRPr="00E3113A">
        <w:rPr>
          <w:szCs w:val="22"/>
          <w:lang w:val="es-ES_tradnl"/>
        </w:rPr>
        <w:t>1</w:t>
      </w:r>
      <w:r w:rsidR="0023695C" w:rsidRPr="00E3113A">
        <w:rPr>
          <w:szCs w:val="22"/>
          <w:lang w:val="es-ES_tradnl"/>
        </w:rPr>
        <w:t>991 del Convenio de la UPOV</w:t>
      </w:r>
      <w:r w:rsidRPr="00E3113A">
        <w:rPr>
          <w:szCs w:val="22"/>
          <w:lang w:val="es-ES_tradnl"/>
        </w:rPr>
        <w:t>.</w:t>
      </w:r>
      <w:r w:rsidR="00E13ED4">
        <w:rPr>
          <w:spacing w:val="-2"/>
          <w:szCs w:val="22"/>
        </w:rPr>
        <w:t xml:space="preserve"> </w:t>
      </w:r>
      <w:r w:rsidR="00CE7B21" w:rsidRPr="009079E0">
        <w:rPr>
          <w:snapToGrid w:val="0"/>
          <w:spacing w:val="-2"/>
          <w:lang w:val="es-ES_tradnl"/>
        </w:rPr>
        <w:t>En su trigésima segunda sesión extraordinaria</w:t>
      </w:r>
      <w:r w:rsidR="00E07157" w:rsidRPr="009079E0">
        <w:rPr>
          <w:snapToGrid w:val="0"/>
          <w:spacing w:val="-2"/>
          <w:lang w:val="es-ES_tradnl"/>
        </w:rPr>
        <w:t xml:space="preserve">, </w:t>
      </w:r>
      <w:r w:rsidR="00CE7B21" w:rsidRPr="009079E0">
        <w:rPr>
          <w:snapToGrid w:val="0"/>
          <w:spacing w:val="-2"/>
          <w:lang w:val="es-ES_tradnl"/>
        </w:rPr>
        <w:t>celebrada en Ginebra el</w:t>
      </w:r>
      <w:r w:rsidR="007514E1">
        <w:rPr>
          <w:snapToGrid w:val="0"/>
          <w:spacing w:val="-2"/>
          <w:lang w:val="es-ES_tradnl"/>
        </w:rPr>
        <w:t xml:space="preserve"> </w:t>
      </w:r>
      <w:r w:rsidR="00CE7B21" w:rsidRPr="009079E0">
        <w:rPr>
          <w:snapToGrid w:val="0"/>
          <w:spacing w:val="-2"/>
          <w:lang w:val="es-ES_tradnl"/>
        </w:rPr>
        <w:t>27 de marzo de</w:t>
      </w:r>
      <w:r w:rsidR="007514E1">
        <w:rPr>
          <w:snapToGrid w:val="0"/>
          <w:spacing w:val="-2"/>
          <w:lang w:val="es-ES_tradnl"/>
        </w:rPr>
        <w:t xml:space="preserve"> </w:t>
      </w:r>
      <w:r w:rsidR="00CE7B21" w:rsidRPr="009079E0">
        <w:rPr>
          <w:snapToGrid w:val="0"/>
          <w:spacing w:val="-2"/>
          <w:lang w:val="es-ES_tradnl"/>
        </w:rPr>
        <w:t>2015</w:t>
      </w:r>
      <w:r w:rsidR="00E07157" w:rsidRPr="009079E0">
        <w:rPr>
          <w:snapToGrid w:val="0"/>
          <w:spacing w:val="-2"/>
          <w:lang w:val="es-ES_tradnl"/>
        </w:rPr>
        <w:t xml:space="preserve">, </w:t>
      </w:r>
      <w:r w:rsidR="00CE7B21" w:rsidRPr="009079E0">
        <w:rPr>
          <w:spacing w:val="-2"/>
          <w:szCs w:val="22"/>
          <w:lang w:val="es-ES_tradnl"/>
        </w:rPr>
        <w:t>el Consejo examinó el “Proyecto de disposiciones del Libro</w:t>
      </w:r>
      <w:r w:rsidR="007514E1">
        <w:rPr>
          <w:spacing w:val="-2"/>
          <w:szCs w:val="22"/>
          <w:lang w:val="es-ES_tradnl"/>
        </w:rPr>
        <w:t xml:space="preserve"> </w:t>
      </w:r>
      <w:r w:rsidR="00CE7B21" w:rsidRPr="009079E0">
        <w:rPr>
          <w:spacing w:val="-2"/>
          <w:szCs w:val="22"/>
          <w:lang w:val="es-ES_tradnl"/>
        </w:rPr>
        <w:t>IV ‘Variedades vegetales’ de la Ley N.º</w:t>
      </w:r>
      <w:r w:rsidR="007514E1">
        <w:rPr>
          <w:spacing w:val="-2"/>
          <w:szCs w:val="22"/>
          <w:lang w:val="es-ES_tradnl"/>
        </w:rPr>
        <w:t xml:space="preserve"> </w:t>
      </w:r>
      <w:r w:rsidR="00CE7B21" w:rsidRPr="009079E0">
        <w:rPr>
          <w:spacing w:val="-2"/>
          <w:szCs w:val="22"/>
          <w:lang w:val="es-ES_tradnl"/>
        </w:rPr>
        <w:t>82 de</w:t>
      </w:r>
      <w:r w:rsidR="007514E1">
        <w:rPr>
          <w:spacing w:val="-2"/>
          <w:szCs w:val="22"/>
          <w:lang w:val="es-ES_tradnl"/>
        </w:rPr>
        <w:t xml:space="preserve"> </w:t>
      </w:r>
      <w:r w:rsidR="00CE7B21" w:rsidRPr="009079E0">
        <w:rPr>
          <w:spacing w:val="-2"/>
          <w:szCs w:val="22"/>
          <w:lang w:val="es-ES_tradnl"/>
        </w:rPr>
        <w:t>2002 relativa a la Protección de los Derechos de Propiedad Intelectual</w:t>
      </w:r>
      <w:r w:rsidR="00CE7B21" w:rsidRPr="009079E0">
        <w:rPr>
          <w:szCs w:val="22"/>
          <w:lang w:val="es-ES_tradnl"/>
        </w:rPr>
        <w:t xml:space="preserve">” y </w:t>
      </w:r>
      <w:r w:rsidR="00256539" w:rsidRPr="009079E0">
        <w:rPr>
          <w:spacing w:val="-2"/>
          <w:szCs w:val="22"/>
          <w:lang w:val="es-ES_tradnl"/>
        </w:rPr>
        <w:t>decidió</w:t>
      </w:r>
      <w:r w:rsidR="00256539" w:rsidRPr="009079E0">
        <w:rPr>
          <w:szCs w:val="22"/>
          <w:lang w:val="es-ES_tradnl"/>
        </w:rPr>
        <w:t xml:space="preserve"> lo siguiente </w:t>
      </w:r>
      <w:r w:rsidR="00CE7B21" w:rsidRPr="009079E0">
        <w:rPr>
          <w:szCs w:val="22"/>
          <w:lang w:val="es-ES_tradnl"/>
        </w:rPr>
        <w:t>(</w:t>
      </w:r>
      <w:r w:rsidR="00CE7B21" w:rsidRPr="009079E0">
        <w:rPr>
          <w:rFonts w:cs="Arial"/>
          <w:lang w:val="es-ES_tradnl"/>
        </w:rPr>
        <w:t xml:space="preserve">véase </w:t>
      </w:r>
      <w:r w:rsidR="006C2B13" w:rsidRPr="009079E0">
        <w:rPr>
          <w:rFonts w:cs="Arial"/>
          <w:lang w:val="es-ES_tradnl"/>
        </w:rPr>
        <w:t>el párrafo</w:t>
      </w:r>
      <w:r w:rsidR="007514E1">
        <w:rPr>
          <w:rFonts w:cs="Arial"/>
          <w:lang w:val="es-ES_tradnl"/>
        </w:rPr>
        <w:t xml:space="preserve"> </w:t>
      </w:r>
      <w:r w:rsidR="00831885" w:rsidRPr="009079E0">
        <w:rPr>
          <w:rFonts w:cs="Arial"/>
          <w:lang w:val="es-ES_tradnl"/>
        </w:rPr>
        <w:t>1</w:t>
      </w:r>
      <w:r w:rsidR="006C2B13" w:rsidRPr="009079E0">
        <w:rPr>
          <w:rFonts w:cs="Arial"/>
          <w:lang w:val="es-ES_tradnl"/>
        </w:rPr>
        <w:t xml:space="preserve">1 del </w:t>
      </w:r>
      <w:r w:rsidR="00CE7B21" w:rsidRPr="009079E0">
        <w:rPr>
          <w:rFonts w:cs="Arial"/>
          <w:lang w:val="es-ES_tradnl"/>
        </w:rPr>
        <w:t>documento</w:t>
      </w:r>
      <w:r w:rsidR="006C2B13" w:rsidRPr="009079E0">
        <w:rPr>
          <w:rFonts w:cs="Arial"/>
          <w:lang w:val="es-ES_tradnl"/>
        </w:rPr>
        <w:t xml:space="preserve"> </w:t>
      </w:r>
      <w:hyperlink r:id="rId9" w:history="1">
        <w:r w:rsidR="00CE7B21" w:rsidRPr="009079E0">
          <w:rPr>
            <w:rStyle w:val="Hyperlink"/>
            <w:rFonts w:cs="Arial"/>
            <w:lang w:val="es-ES_tradnl"/>
          </w:rPr>
          <w:t>C(</w:t>
        </w:r>
        <w:proofErr w:type="spellStart"/>
        <w:r w:rsidR="00CE7B21" w:rsidRPr="009079E0">
          <w:rPr>
            <w:rStyle w:val="Hyperlink"/>
            <w:rFonts w:cs="Arial"/>
            <w:lang w:val="es-ES_tradnl"/>
          </w:rPr>
          <w:t>Extr</w:t>
        </w:r>
        <w:proofErr w:type="spellEnd"/>
        <w:r w:rsidR="00CE7B21" w:rsidRPr="009079E0">
          <w:rPr>
            <w:rStyle w:val="Hyperlink"/>
            <w:rFonts w:cs="Arial"/>
            <w:lang w:val="es-ES_tradnl"/>
          </w:rPr>
          <w:t>.)/32/10</w:t>
        </w:r>
      </w:hyperlink>
      <w:r w:rsidR="00CE7B21" w:rsidRPr="009079E0">
        <w:rPr>
          <w:rFonts w:cs="Arial"/>
          <w:lang w:val="es-ES_tradnl"/>
        </w:rPr>
        <w:t xml:space="preserve"> “Informe</w:t>
      </w:r>
      <w:r w:rsidR="006C2B13" w:rsidRPr="009079E0">
        <w:rPr>
          <w:rFonts w:cs="Arial"/>
          <w:lang w:val="es-ES_tradnl"/>
        </w:rPr>
        <w:t>”</w:t>
      </w:r>
      <w:r w:rsidR="00CE7B21" w:rsidRPr="009079E0">
        <w:rPr>
          <w:szCs w:val="22"/>
          <w:lang w:val="es-ES_tradnl"/>
        </w:rPr>
        <w:t>):</w:t>
      </w:r>
    </w:p>
    <w:p w:rsidR="00172ADA" w:rsidRDefault="00172ADA" w:rsidP="00095755">
      <w:pPr>
        <w:rPr>
          <w:szCs w:val="22"/>
        </w:rPr>
      </w:pPr>
    </w:p>
    <w:p w:rsidR="009E75EE" w:rsidRPr="009E75EE" w:rsidRDefault="00DE15F2" w:rsidP="009E75EE">
      <w:pPr>
        <w:ind w:left="567" w:right="708"/>
        <w:rPr>
          <w:snapToGrid w:val="0"/>
          <w:sz w:val="18"/>
          <w:szCs w:val="18"/>
        </w:rPr>
      </w:pPr>
      <w:r w:rsidRPr="009079E0">
        <w:rPr>
          <w:snapToGrid w:val="0"/>
          <w:sz w:val="18"/>
          <w:szCs w:val="18"/>
          <w:lang w:val="es-ES_tradnl"/>
        </w:rPr>
        <w:t>“a)</w:t>
      </w:r>
      <w:r w:rsidR="009E75EE" w:rsidRPr="009E75EE">
        <w:rPr>
          <w:snapToGrid w:val="0"/>
          <w:sz w:val="18"/>
          <w:szCs w:val="18"/>
        </w:rPr>
        <w:tab/>
      </w:r>
      <w:r w:rsidRPr="009079E0">
        <w:rPr>
          <w:snapToGrid w:val="0"/>
          <w:sz w:val="18"/>
          <w:szCs w:val="18"/>
          <w:lang w:val="es-ES_tradnl"/>
        </w:rPr>
        <w:t>tomar nota del análisis que se hace en el documento C(</w:t>
      </w:r>
      <w:proofErr w:type="spellStart"/>
      <w:r w:rsidRPr="009079E0">
        <w:rPr>
          <w:snapToGrid w:val="0"/>
          <w:sz w:val="18"/>
          <w:szCs w:val="18"/>
          <w:lang w:val="es-ES_tradnl"/>
        </w:rPr>
        <w:t>Extr</w:t>
      </w:r>
      <w:proofErr w:type="spellEnd"/>
      <w:r w:rsidRPr="009079E0">
        <w:rPr>
          <w:snapToGrid w:val="0"/>
          <w:sz w:val="18"/>
          <w:szCs w:val="18"/>
          <w:lang w:val="es-ES_tradnl"/>
        </w:rPr>
        <w:t>.)/32/3;</w:t>
      </w:r>
    </w:p>
    <w:p w:rsidR="009E75EE" w:rsidRPr="009E75EE" w:rsidRDefault="009E75EE" w:rsidP="009E75EE">
      <w:pPr>
        <w:ind w:left="567" w:right="708"/>
        <w:rPr>
          <w:snapToGrid w:val="0"/>
          <w:sz w:val="18"/>
          <w:szCs w:val="18"/>
        </w:rPr>
      </w:pPr>
    </w:p>
    <w:p w:rsidR="009E75EE" w:rsidRPr="009E75EE" w:rsidRDefault="00DE15F2" w:rsidP="009E75EE">
      <w:pPr>
        <w:ind w:left="567" w:right="708"/>
        <w:rPr>
          <w:snapToGrid w:val="0"/>
          <w:sz w:val="18"/>
          <w:szCs w:val="18"/>
        </w:rPr>
      </w:pPr>
      <w:r w:rsidRPr="009079E0">
        <w:rPr>
          <w:snapToGrid w:val="0"/>
          <w:sz w:val="18"/>
          <w:szCs w:val="18"/>
          <w:lang w:val="es-ES_tradnl"/>
        </w:rPr>
        <w:t>b)</w:t>
      </w:r>
      <w:r w:rsidR="009E75EE" w:rsidRPr="009E75EE">
        <w:rPr>
          <w:snapToGrid w:val="0"/>
          <w:sz w:val="18"/>
          <w:szCs w:val="18"/>
        </w:rPr>
        <w:tab/>
      </w:r>
      <w:r w:rsidRPr="009079E0">
        <w:rPr>
          <w:snapToGrid w:val="0"/>
          <w:sz w:val="18"/>
          <w:szCs w:val="18"/>
          <w:lang w:val="es-ES_tradnl"/>
        </w:rPr>
        <w:t>tomar nota de la información suministrada por la Delegación de Egipto</w:t>
      </w:r>
      <w:r w:rsidR="00E07157" w:rsidRPr="009079E0">
        <w:rPr>
          <w:snapToGrid w:val="0"/>
          <w:sz w:val="18"/>
          <w:szCs w:val="18"/>
          <w:lang w:val="es-ES_tradnl"/>
        </w:rPr>
        <w:t xml:space="preserve">, </w:t>
      </w:r>
      <w:r w:rsidRPr="009079E0">
        <w:rPr>
          <w:snapToGrid w:val="0"/>
          <w:sz w:val="18"/>
          <w:szCs w:val="18"/>
          <w:lang w:val="es-ES_tradnl"/>
        </w:rPr>
        <w:t>en el sentido de que hay que verificar la traducción en inglés del proyecto de Ley y de que deben introducirse las siguientes correcciones en la traducción</w:t>
      </w:r>
      <w:r w:rsidR="00E07157" w:rsidRPr="009079E0">
        <w:rPr>
          <w:snapToGrid w:val="0"/>
          <w:sz w:val="18"/>
          <w:szCs w:val="18"/>
          <w:lang w:val="es-ES_tradnl"/>
        </w:rPr>
        <w:t xml:space="preserve">, </w:t>
      </w:r>
      <w:r w:rsidRPr="009079E0">
        <w:rPr>
          <w:snapToGrid w:val="0"/>
          <w:sz w:val="18"/>
          <w:szCs w:val="18"/>
          <w:lang w:val="es-ES_tradnl"/>
        </w:rPr>
        <w:t>a los fines de que esté en sintonía con el texto original del proyecto de Ley:</w:t>
      </w:r>
    </w:p>
    <w:p w:rsidR="009E75EE" w:rsidRPr="009E75EE" w:rsidRDefault="009E75EE" w:rsidP="009E75EE">
      <w:pPr>
        <w:ind w:left="567" w:right="708"/>
        <w:rPr>
          <w:snapToGrid w:val="0"/>
          <w:sz w:val="18"/>
          <w:szCs w:val="18"/>
        </w:rPr>
      </w:pPr>
    </w:p>
    <w:p w:rsidR="009E75EE" w:rsidRPr="008B2853" w:rsidRDefault="00DE15F2" w:rsidP="009E75EE">
      <w:pPr>
        <w:tabs>
          <w:tab w:val="left" w:pos="1710"/>
        </w:tabs>
        <w:ind w:left="1080" w:right="708"/>
        <w:rPr>
          <w:snapToGrid w:val="0"/>
          <w:sz w:val="18"/>
          <w:szCs w:val="18"/>
        </w:rPr>
      </w:pPr>
      <w:r w:rsidRPr="009079E0">
        <w:rPr>
          <w:snapToGrid w:val="0"/>
          <w:sz w:val="18"/>
          <w:szCs w:val="18"/>
          <w:lang w:val="es-ES_tradnl"/>
        </w:rPr>
        <w:t>i)</w:t>
      </w:r>
      <w:r w:rsidR="009E75EE" w:rsidRPr="009E75EE">
        <w:rPr>
          <w:snapToGrid w:val="0"/>
          <w:sz w:val="18"/>
          <w:szCs w:val="18"/>
        </w:rPr>
        <w:tab/>
      </w:r>
      <w:r w:rsidRPr="009079E0">
        <w:rPr>
          <w:snapToGrid w:val="0"/>
          <w:sz w:val="18"/>
          <w:szCs w:val="18"/>
          <w:lang w:val="es-ES_tradnl"/>
        </w:rPr>
        <w:t>añadir las palabras “</w:t>
      </w:r>
      <w:r w:rsidRPr="00F100B2">
        <w:rPr>
          <w:i/>
          <w:snapToGrid w:val="0"/>
          <w:sz w:val="18"/>
          <w:szCs w:val="18"/>
        </w:rPr>
        <w:t>of this Article</w:t>
      </w:r>
      <w:r w:rsidRPr="009079E0">
        <w:rPr>
          <w:snapToGrid w:val="0"/>
          <w:sz w:val="18"/>
          <w:szCs w:val="18"/>
          <w:lang w:val="es-ES_tradnl"/>
        </w:rPr>
        <w:t>” al final del artículo</w:t>
      </w:r>
      <w:r w:rsidR="007514E1">
        <w:rPr>
          <w:snapToGrid w:val="0"/>
          <w:sz w:val="18"/>
          <w:szCs w:val="18"/>
          <w:lang w:val="es-ES_tradnl"/>
        </w:rPr>
        <w:t xml:space="preserve"> </w:t>
      </w:r>
      <w:r w:rsidRPr="009079E0">
        <w:rPr>
          <w:snapToGrid w:val="0"/>
          <w:sz w:val="18"/>
          <w:szCs w:val="18"/>
          <w:lang w:val="es-ES_tradnl"/>
        </w:rPr>
        <w:t>192.7); y</w:t>
      </w:r>
    </w:p>
    <w:p w:rsidR="009E75EE" w:rsidRPr="008B2853" w:rsidRDefault="009E75EE" w:rsidP="009E75EE">
      <w:pPr>
        <w:tabs>
          <w:tab w:val="left" w:pos="1710"/>
        </w:tabs>
        <w:ind w:left="1080" w:right="708" w:firstLine="90"/>
        <w:rPr>
          <w:snapToGrid w:val="0"/>
          <w:sz w:val="18"/>
          <w:szCs w:val="18"/>
        </w:rPr>
      </w:pPr>
    </w:p>
    <w:p w:rsidR="009E75EE" w:rsidRPr="008B2853" w:rsidRDefault="00DE15F2" w:rsidP="009E75EE">
      <w:pPr>
        <w:tabs>
          <w:tab w:val="left" w:pos="1710"/>
        </w:tabs>
        <w:ind w:left="1080" w:right="708"/>
        <w:rPr>
          <w:snapToGrid w:val="0"/>
          <w:sz w:val="18"/>
          <w:szCs w:val="18"/>
        </w:rPr>
      </w:pPr>
      <w:r w:rsidRPr="009079E0">
        <w:rPr>
          <w:snapToGrid w:val="0"/>
          <w:sz w:val="18"/>
          <w:szCs w:val="18"/>
          <w:lang w:val="es-ES_tradnl"/>
        </w:rPr>
        <w:t>ii)</w:t>
      </w:r>
      <w:r w:rsidR="00A91E56">
        <w:rPr>
          <w:snapToGrid w:val="0"/>
          <w:sz w:val="18"/>
          <w:szCs w:val="18"/>
        </w:rPr>
        <w:tab/>
      </w:r>
      <w:r w:rsidRPr="009079E0">
        <w:rPr>
          <w:snapToGrid w:val="0"/>
          <w:sz w:val="18"/>
          <w:szCs w:val="18"/>
          <w:lang w:val="es-ES_tradnl"/>
        </w:rPr>
        <w:t>en el artículo</w:t>
      </w:r>
      <w:r w:rsidR="007514E1">
        <w:rPr>
          <w:snapToGrid w:val="0"/>
          <w:sz w:val="18"/>
          <w:szCs w:val="18"/>
          <w:lang w:val="es-ES_tradnl"/>
        </w:rPr>
        <w:t xml:space="preserve"> </w:t>
      </w:r>
      <w:r w:rsidRPr="009079E0">
        <w:rPr>
          <w:snapToGrid w:val="0"/>
          <w:sz w:val="18"/>
          <w:szCs w:val="18"/>
          <w:lang w:val="es-ES_tradnl"/>
        </w:rPr>
        <w:t>202</w:t>
      </w:r>
      <w:r w:rsidR="00E07157" w:rsidRPr="009079E0">
        <w:rPr>
          <w:snapToGrid w:val="0"/>
          <w:sz w:val="18"/>
          <w:szCs w:val="18"/>
          <w:lang w:val="es-ES_tradnl"/>
        </w:rPr>
        <w:t xml:space="preserve">, </w:t>
      </w:r>
      <w:r w:rsidRPr="009079E0">
        <w:rPr>
          <w:snapToGrid w:val="0"/>
          <w:sz w:val="18"/>
          <w:szCs w:val="18"/>
          <w:lang w:val="es-ES_tradnl"/>
        </w:rPr>
        <w:t>añadir el número de párrafo “4)” antes de la frase “</w:t>
      </w:r>
      <w:r w:rsidRPr="00F100B2">
        <w:rPr>
          <w:i/>
          <w:snapToGrid w:val="0"/>
          <w:sz w:val="18"/>
          <w:szCs w:val="18"/>
        </w:rPr>
        <w:t>The Minister of Agriculture shall issue a decision establishing the rules and procedures for examination and settlement of the appeal</w:t>
      </w:r>
      <w:r w:rsidRPr="009079E0">
        <w:rPr>
          <w:snapToGrid w:val="0"/>
          <w:sz w:val="18"/>
          <w:szCs w:val="18"/>
          <w:lang w:val="es-ES_tradnl"/>
        </w:rPr>
        <w:t>.”</w:t>
      </w:r>
    </w:p>
    <w:p w:rsidR="009E75EE" w:rsidRPr="009E75EE" w:rsidRDefault="009E75EE" w:rsidP="009E75EE">
      <w:pPr>
        <w:tabs>
          <w:tab w:val="left" w:pos="1710"/>
        </w:tabs>
        <w:ind w:left="567" w:right="708"/>
        <w:rPr>
          <w:snapToGrid w:val="0"/>
          <w:sz w:val="18"/>
          <w:szCs w:val="18"/>
        </w:rPr>
      </w:pPr>
    </w:p>
    <w:p w:rsidR="009E75EE" w:rsidRPr="009E75EE" w:rsidRDefault="006D0E2A" w:rsidP="009E75EE">
      <w:pPr>
        <w:ind w:left="567" w:right="708"/>
        <w:rPr>
          <w:snapToGrid w:val="0"/>
          <w:sz w:val="18"/>
          <w:szCs w:val="18"/>
        </w:rPr>
      </w:pPr>
      <w:r w:rsidRPr="009079E0">
        <w:rPr>
          <w:snapToGrid w:val="0"/>
          <w:sz w:val="18"/>
          <w:szCs w:val="18"/>
          <w:lang w:val="es-ES_tradnl"/>
        </w:rPr>
        <w:t>c)</w:t>
      </w:r>
      <w:r w:rsidR="009E75EE" w:rsidRPr="009E75EE">
        <w:rPr>
          <w:snapToGrid w:val="0"/>
          <w:sz w:val="18"/>
          <w:szCs w:val="18"/>
        </w:rPr>
        <w:tab/>
      </w:r>
      <w:r w:rsidRPr="009079E0">
        <w:rPr>
          <w:snapToGrid w:val="0"/>
          <w:sz w:val="18"/>
          <w:szCs w:val="18"/>
          <w:lang w:val="es-ES_tradnl"/>
        </w:rPr>
        <w:t>adoptar una decisión positiva acerca de la conformidad del “Proyecto de disposiciones del Libro</w:t>
      </w:r>
      <w:r w:rsidR="007514E1">
        <w:rPr>
          <w:snapToGrid w:val="0"/>
          <w:sz w:val="18"/>
          <w:szCs w:val="18"/>
          <w:lang w:val="es-ES_tradnl"/>
        </w:rPr>
        <w:t xml:space="preserve"> </w:t>
      </w:r>
      <w:r w:rsidRPr="009079E0">
        <w:rPr>
          <w:snapToGrid w:val="0"/>
          <w:sz w:val="18"/>
          <w:szCs w:val="18"/>
          <w:lang w:val="es-ES_tradnl"/>
        </w:rPr>
        <w:t>IV ‘Variedades vegetales' de la Ley Nº</w:t>
      </w:r>
      <w:r w:rsidR="007514E1">
        <w:rPr>
          <w:snapToGrid w:val="0"/>
          <w:sz w:val="18"/>
          <w:szCs w:val="18"/>
          <w:lang w:val="es-ES_tradnl"/>
        </w:rPr>
        <w:t xml:space="preserve"> </w:t>
      </w:r>
      <w:r w:rsidRPr="009079E0">
        <w:rPr>
          <w:snapToGrid w:val="0"/>
          <w:sz w:val="18"/>
          <w:szCs w:val="18"/>
          <w:lang w:val="es-ES_tradnl"/>
        </w:rPr>
        <w:t>82 de</w:t>
      </w:r>
      <w:r w:rsidR="007514E1">
        <w:rPr>
          <w:snapToGrid w:val="0"/>
          <w:sz w:val="18"/>
          <w:szCs w:val="18"/>
          <w:lang w:val="es-ES_tradnl"/>
        </w:rPr>
        <w:t xml:space="preserve"> </w:t>
      </w:r>
      <w:r w:rsidRPr="009079E0">
        <w:rPr>
          <w:snapToGrid w:val="0"/>
          <w:sz w:val="18"/>
          <w:szCs w:val="18"/>
          <w:lang w:val="es-ES_tradnl"/>
        </w:rPr>
        <w:t>2002 relativa a la protección de los derechos de propiedad intelectual” (“proyecto de Ley”) de Egipto con el Acta de</w:t>
      </w:r>
      <w:r w:rsidR="007514E1">
        <w:rPr>
          <w:snapToGrid w:val="0"/>
          <w:sz w:val="18"/>
          <w:szCs w:val="18"/>
          <w:lang w:val="es-ES_tradnl"/>
        </w:rPr>
        <w:t xml:space="preserve"> </w:t>
      </w:r>
      <w:r w:rsidRPr="009079E0">
        <w:rPr>
          <w:snapToGrid w:val="0"/>
          <w:sz w:val="18"/>
          <w:szCs w:val="18"/>
          <w:lang w:val="es-ES_tradnl"/>
        </w:rPr>
        <w:t>1991 del Convenio Internacional para la Protección de las Obtenciones Vegetales</w:t>
      </w:r>
      <w:r w:rsidR="00E07157" w:rsidRPr="009079E0">
        <w:rPr>
          <w:snapToGrid w:val="0"/>
          <w:sz w:val="18"/>
          <w:szCs w:val="18"/>
          <w:lang w:val="es-ES_tradnl"/>
        </w:rPr>
        <w:t xml:space="preserve">, </w:t>
      </w:r>
      <w:r w:rsidRPr="009079E0">
        <w:rPr>
          <w:snapToGrid w:val="0"/>
          <w:sz w:val="18"/>
          <w:szCs w:val="18"/>
          <w:lang w:val="es-ES_tradnl"/>
        </w:rPr>
        <w:t>de modo que</w:t>
      </w:r>
      <w:r w:rsidR="00E07157" w:rsidRPr="009079E0">
        <w:rPr>
          <w:snapToGrid w:val="0"/>
          <w:sz w:val="18"/>
          <w:szCs w:val="18"/>
          <w:lang w:val="es-ES_tradnl"/>
        </w:rPr>
        <w:t xml:space="preserve">, </w:t>
      </w:r>
      <w:r w:rsidRPr="009079E0">
        <w:rPr>
          <w:snapToGrid w:val="0"/>
          <w:sz w:val="18"/>
          <w:szCs w:val="18"/>
          <w:lang w:val="es-ES_tradnl"/>
        </w:rPr>
        <w:t>una vez que el proyecto de Ley haya sido aprobado</w:t>
      </w:r>
      <w:r w:rsidR="00E07157" w:rsidRPr="009079E0">
        <w:rPr>
          <w:snapToGrid w:val="0"/>
          <w:sz w:val="18"/>
          <w:szCs w:val="18"/>
          <w:lang w:val="es-ES_tradnl"/>
        </w:rPr>
        <w:t xml:space="preserve">, </w:t>
      </w:r>
      <w:r w:rsidRPr="009079E0">
        <w:rPr>
          <w:snapToGrid w:val="0"/>
          <w:sz w:val="18"/>
          <w:szCs w:val="18"/>
          <w:lang w:val="es-ES_tradnl"/>
        </w:rPr>
        <w:t>sin modificación alguna</w:t>
      </w:r>
      <w:r w:rsidR="00E07157" w:rsidRPr="009079E0">
        <w:rPr>
          <w:snapToGrid w:val="0"/>
          <w:sz w:val="18"/>
          <w:szCs w:val="18"/>
          <w:lang w:val="es-ES_tradnl"/>
        </w:rPr>
        <w:t xml:space="preserve">, </w:t>
      </w:r>
      <w:r w:rsidRPr="009079E0">
        <w:rPr>
          <w:snapToGrid w:val="0"/>
          <w:sz w:val="18"/>
          <w:szCs w:val="18"/>
          <w:lang w:val="es-ES_tradnl"/>
        </w:rPr>
        <w:t>y la Ley haya entrado en vigor</w:t>
      </w:r>
      <w:r w:rsidR="00E07157" w:rsidRPr="009079E0">
        <w:rPr>
          <w:snapToGrid w:val="0"/>
          <w:sz w:val="18"/>
          <w:szCs w:val="18"/>
          <w:lang w:val="es-ES_tradnl"/>
        </w:rPr>
        <w:t xml:space="preserve">, </w:t>
      </w:r>
      <w:r w:rsidRPr="009079E0">
        <w:rPr>
          <w:snapToGrid w:val="0"/>
          <w:sz w:val="18"/>
          <w:szCs w:val="18"/>
          <w:lang w:val="es-ES_tradnl"/>
        </w:rPr>
        <w:t>Egipto pueda depositar su instrumento de adhesión al Acta de</w:t>
      </w:r>
      <w:r w:rsidR="007514E1">
        <w:rPr>
          <w:snapToGrid w:val="0"/>
          <w:sz w:val="18"/>
          <w:szCs w:val="18"/>
          <w:lang w:val="es-ES_tradnl"/>
        </w:rPr>
        <w:t xml:space="preserve"> </w:t>
      </w:r>
      <w:r w:rsidRPr="009079E0">
        <w:rPr>
          <w:snapToGrid w:val="0"/>
          <w:sz w:val="18"/>
          <w:szCs w:val="18"/>
          <w:lang w:val="es-ES_tradnl"/>
        </w:rPr>
        <w:t>1991</w:t>
      </w:r>
      <w:r w:rsidR="00E07157" w:rsidRPr="009079E0">
        <w:rPr>
          <w:snapToGrid w:val="0"/>
          <w:sz w:val="18"/>
          <w:szCs w:val="18"/>
          <w:lang w:val="es-ES_tradnl"/>
        </w:rPr>
        <w:t xml:space="preserve">, </w:t>
      </w:r>
      <w:r w:rsidRPr="009079E0">
        <w:rPr>
          <w:snapToGrid w:val="0"/>
          <w:sz w:val="18"/>
          <w:szCs w:val="18"/>
          <w:lang w:val="es-ES_tradnl"/>
        </w:rPr>
        <w:t>y</w:t>
      </w:r>
    </w:p>
    <w:p w:rsidR="009E75EE" w:rsidRPr="009E75EE" w:rsidRDefault="009E75EE" w:rsidP="009E75EE">
      <w:pPr>
        <w:ind w:left="567" w:right="708"/>
        <w:rPr>
          <w:snapToGrid w:val="0"/>
          <w:sz w:val="18"/>
          <w:szCs w:val="18"/>
        </w:rPr>
      </w:pPr>
    </w:p>
    <w:p w:rsidR="009E75EE" w:rsidRDefault="006D0E2A" w:rsidP="009E75EE">
      <w:pPr>
        <w:ind w:left="567" w:right="708"/>
        <w:rPr>
          <w:snapToGrid w:val="0"/>
          <w:sz w:val="18"/>
          <w:szCs w:val="18"/>
        </w:rPr>
      </w:pPr>
      <w:r w:rsidRPr="009079E0">
        <w:rPr>
          <w:snapToGrid w:val="0"/>
          <w:sz w:val="18"/>
          <w:szCs w:val="18"/>
          <w:lang w:val="es-ES_tradnl"/>
        </w:rPr>
        <w:t>d)</w:t>
      </w:r>
      <w:r w:rsidR="009E75EE" w:rsidRPr="009E75EE">
        <w:rPr>
          <w:snapToGrid w:val="0"/>
          <w:sz w:val="18"/>
          <w:szCs w:val="18"/>
        </w:rPr>
        <w:tab/>
      </w:r>
      <w:r w:rsidRPr="009079E0">
        <w:rPr>
          <w:snapToGrid w:val="0"/>
          <w:sz w:val="18"/>
          <w:szCs w:val="18"/>
          <w:lang w:val="es-ES_tradnl"/>
        </w:rPr>
        <w:t>autorizar al Secretario General a informar de dicha decisión al Gobierno de Egipto.”</w:t>
      </w:r>
    </w:p>
    <w:p w:rsidR="00B94407" w:rsidRDefault="00B94407" w:rsidP="00C47EDC">
      <w:pPr>
        <w:rPr>
          <w:rFonts w:cs="Arial"/>
          <w:spacing w:val="2"/>
        </w:rPr>
      </w:pPr>
    </w:p>
    <w:p w:rsidR="00503D56" w:rsidRPr="00CF2D6B" w:rsidRDefault="00E90A94" w:rsidP="00CF2D6B">
      <w:pPr>
        <w:pStyle w:val="ListParagraph"/>
        <w:numPr>
          <w:ilvl w:val="0"/>
          <w:numId w:val="6"/>
        </w:numPr>
        <w:rPr>
          <w:rFonts w:cs="Arial"/>
          <w:spacing w:val="2"/>
        </w:rPr>
      </w:pPr>
      <w:r w:rsidRPr="00F87F58">
        <w:rPr>
          <w:rFonts w:cs="Arial"/>
          <w:spacing w:val="2"/>
          <w:lang w:val="es-ES_tradnl"/>
        </w:rPr>
        <w:t>Mediante la nota N.º</w:t>
      </w:r>
      <w:r w:rsidR="007514E1">
        <w:rPr>
          <w:rFonts w:cs="Arial"/>
          <w:spacing w:val="2"/>
          <w:lang w:val="es-ES_tradnl"/>
        </w:rPr>
        <w:t xml:space="preserve"> </w:t>
      </w:r>
      <w:r w:rsidR="00831885" w:rsidRPr="00F87F58">
        <w:rPr>
          <w:rFonts w:cs="Arial"/>
          <w:spacing w:val="2"/>
          <w:lang w:val="es-ES_tradnl"/>
        </w:rPr>
        <w:t>2</w:t>
      </w:r>
      <w:r w:rsidRPr="00F87F58">
        <w:rPr>
          <w:rFonts w:cs="Arial"/>
          <w:spacing w:val="2"/>
          <w:lang w:val="es-ES_tradnl"/>
        </w:rPr>
        <w:t>019.238</w:t>
      </w:r>
      <w:r w:rsidR="00173F7F" w:rsidRPr="00F87F58">
        <w:rPr>
          <w:rFonts w:cs="Arial"/>
          <w:spacing w:val="2"/>
          <w:lang w:val="es-ES_tradnl"/>
        </w:rPr>
        <w:t xml:space="preserve"> d</w:t>
      </w:r>
      <w:r w:rsidRPr="00F87F58">
        <w:rPr>
          <w:rFonts w:cs="Arial"/>
          <w:spacing w:val="2"/>
          <w:lang w:val="es-ES_tradnl"/>
        </w:rPr>
        <w:t>e</w:t>
      </w:r>
      <w:r w:rsidR="007514E1">
        <w:rPr>
          <w:rFonts w:cs="Arial"/>
          <w:spacing w:val="2"/>
          <w:lang w:val="es-ES_tradnl"/>
        </w:rPr>
        <w:t xml:space="preserve"> </w:t>
      </w:r>
      <w:r w:rsidR="00831885" w:rsidRPr="00F87F58">
        <w:rPr>
          <w:rFonts w:cs="Arial"/>
          <w:spacing w:val="2"/>
          <w:lang w:val="es-ES_tradnl"/>
        </w:rPr>
        <w:t>2</w:t>
      </w:r>
      <w:r w:rsidRPr="00F87F58">
        <w:rPr>
          <w:rFonts w:cs="Arial"/>
          <w:spacing w:val="2"/>
          <w:lang w:val="es-ES_tradnl"/>
        </w:rPr>
        <w:t>5 de septiembre de</w:t>
      </w:r>
      <w:r w:rsidR="007514E1">
        <w:rPr>
          <w:rFonts w:cs="Arial"/>
          <w:spacing w:val="2"/>
          <w:lang w:val="es-ES_tradnl"/>
        </w:rPr>
        <w:t xml:space="preserve"> </w:t>
      </w:r>
      <w:r w:rsidR="00831885" w:rsidRPr="00F87F58">
        <w:rPr>
          <w:rFonts w:cs="Arial"/>
          <w:spacing w:val="2"/>
          <w:lang w:val="es-ES_tradnl"/>
        </w:rPr>
        <w:t>2</w:t>
      </w:r>
      <w:r w:rsidRPr="00F87F58">
        <w:rPr>
          <w:rFonts w:cs="Arial"/>
          <w:spacing w:val="2"/>
          <w:lang w:val="es-ES_tradnl"/>
        </w:rPr>
        <w:t>019</w:t>
      </w:r>
      <w:r w:rsidR="00E07157" w:rsidRPr="00F87F58">
        <w:rPr>
          <w:rFonts w:cs="Arial"/>
          <w:spacing w:val="2"/>
          <w:lang w:val="es-ES_tradnl"/>
        </w:rPr>
        <w:t xml:space="preserve">, </w:t>
      </w:r>
      <w:r w:rsidRPr="00F87F58">
        <w:rPr>
          <w:rFonts w:cs="Arial"/>
          <w:spacing w:val="2"/>
          <w:lang w:val="es-ES_tradnl"/>
        </w:rPr>
        <w:t>dirigida a la Oficina de la</w:t>
      </w:r>
      <w:r w:rsidR="007514E1">
        <w:rPr>
          <w:rFonts w:cs="Arial"/>
          <w:spacing w:val="2"/>
          <w:lang w:val="es-ES_tradnl"/>
        </w:rPr>
        <w:t xml:space="preserve"> </w:t>
      </w:r>
      <w:r w:rsidRPr="00F87F58">
        <w:rPr>
          <w:rFonts w:cs="Arial"/>
          <w:spacing w:val="2"/>
          <w:lang w:val="es-ES_tradnl"/>
        </w:rPr>
        <w:t>Unión</w:t>
      </w:r>
      <w:r w:rsidR="00E07157" w:rsidRPr="00F87F58">
        <w:rPr>
          <w:rFonts w:cs="Arial"/>
          <w:spacing w:val="2"/>
          <w:lang w:val="es-ES_tradnl"/>
        </w:rPr>
        <w:t xml:space="preserve">, </w:t>
      </w:r>
      <w:r w:rsidRPr="00F87F58">
        <w:rPr>
          <w:rFonts w:cs="Arial"/>
          <w:spacing w:val="2"/>
          <w:lang w:val="es-ES_tradnl"/>
        </w:rPr>
        <w:t>la Misión Permanente de la República Árabe de Egipto ante la Oficina de las Naciones Unidas</w:t>
      </w:r>
      <w:r w:rsidR="00E07157" w:rsidRPr="00F87F58">
        <w:rPr>
          <w:rFonts w:cs="Arial"/>
          <w:spacing w:val="2"/>
          <w:lang w:val="es-ES_tradnl"/>
        </w:rPr>
        <w:t xml:space="preserve">, </w:t>
      </w:r>
      <w:r w:rsidRPr="00F87F58">
        <w:rPr>
          <w:rFonts w:cs="Arial"/>
          <w:spacing w:val="2"/>
          <w:lang w:val="es-ES_tradnl"/>
        </w:rPr>
        <w:t xml:space="preserve">la Organización Mundial del Comercio y </w:t>
      </w:r>
      <w:r w:rsidR="00936F12" w:rsidRPr="00F87F58">
        <w:rPr>
          <w:rFonts w:cs="Arial"/>
          <w:spacing w:val="2"/>
          <w:lang w:val="es-ES_tradnl"/>
        </w:rPr>
        <w:t>demás</w:t>
      </w:r>
      <w:r w:rsidRPr="00F87F58">
        <w:rPr>
          <w:rFonts w:cs="Arial"/>
          <w:spacing w:val="2"/>
          <w:lang w:val="es-ES_tradnl"/>
        </w:rPr>
        <w:t xml:space="preserve"> organizaciones internacionales en Ginebra (la </w:t>
      </w:r>
      <w:r w:rsidR="00431802" w:rsidRPr="00F87F58">
        <w:rPr>
          <w:rFonts w:cs="Arial"/>
          <w:spacing w:val="2"/>
          <w:lang w:val="es-ES_tradnl"/>
        </w:rPr>
        <w:t>“</w:t>
      </w:r>
      <w:r w:rsidRPr="00F87F58">
        <w:rPr>
          <w:rFonts w:cs="Arial"/>
          <w:spacing w:val="2"/>
          <w:lang w:val="es-ES_tradnl"/>
        </w:rPr>
        <w:t>Misión Permanente</w:t>
      </w:r>
      <w:r w:rsidR="00431802" w:rsidRPr="00F87F58">
        <w:rPr>
          <w:rFonts w:cs="Arial"/>
          <w:spacing w:val="2"/>
          <w:lang w:val="es-ES_tradnl"/>
        </w:rPr>
        <w:t>”</w:t>
      </w:r>
      <w:r w:rsidRPr="00F87F58">
        <w:rPr>
          <w:rFonts w:cs="Arial"/>
          <w:spacing w:val="2"/>
          <w:lang w:val="es-ES_tradnl"/>
        </w:rPr>
        <w:t>)</w:t>
      </w:r>
      <w:r w:rsidR="00E07157" w:rsidRPr="00F87F58">
        <w:rPr>
          <w:rFonts w:cs="Arial"/>
          <w:spacing w:val="2"/>
          <w:lang w:val="es-ES_tradnl"/>
        </w:rPr>
        <w:t xml:space="preserve">, </w:t>
      </w:r>
      <w:r w:rsidRPr="00F87F58">
        <w:rPr>
          <w:rFonts w:cs="Arial"/>
          <w:spacing w:val="2"/>
          <w:lang w:val="es-ES_tradnl"/>
        </w:rPr>
        <w:t>informó de las novedades acontecidas en</w:t>
      </w:r>
      <w:r w:rsidR="007514E1">
        <w:rPr>
          <w:rFonts w:cs="Arial"/>
          <w:spacing w:val="2"/>
          <w:lang w:val="es-ES_tradnl"/>
        </w:rPr>
        <w:t xml:space="preserve"> </w:t>
      </w:r>
      <w:r w:rsidR="00831885" w:rsidRPr="00F87F58">
        <w:rPr>
          <w:rFonts w:cs="Arial"/>
          <w:spacing w:val="2"/>
          <w:lang w:val="es-ES_tradnl"/>
        </w:rPr>
        <w:t>2</w:t>
      </w:r>
      <w:r w:rsidRPr="00F87F58">
        <w:rPr>
          <w:rFonts w:cs="Arial"/>
          <w:spacing w:val="2"/>
          <w:lang w:val="es-ES_tradnl"/>
        </w:rPr>
        <w:t xml:space="preserve">019 en relación con la Ley y solicitó al Consejo que </w:t>
      </w:r>
      <w:r w:rsidR="00F0606B" w:rsidRPr="00F87F58">
        <w:rPr>
          <w:rFonts w:cs="Arial"/>
          <w:spacing w:val="2"/>
          <w:lang w:val="es-ES_tradnl"/>
        </w:rPr>
        <w:t xml:space="preserve">ratifique </w:t>
      </w:r>
      <w:r w:rsidRPr="00F87F58">
        <w:rPr>
          <w:rFonts w:cs="Arial"/>
          <w:spacing w:val="2"/>
          <w:lang w:val="es-ES_tradnl"/>
        </w:rPr>
        <w:t>su decisión sobre la conformidad de</w:t>
      </w:r>
      <w:r w:rsidR="007514E1">
        <w:rPr>
          <w:rFonts w:cs="Arial"/>
          <w:spacing w:val="2"/>
          <w:lang w:val="es-ES_tradnl"/>
        </w:rPr>
        <w:t xml:space="preserve"> </w:t>
      </w:r>
      <w:r w:rsidR="00831885" w:rsidRPr="00F87F58">
        <w:rPr>
          <w:rFonts w:cs="Arial"/>
          <w:spacing w:val="2"/>
          <w:lang w:val="es-ES_tradnl"/>
        </w:rPr>
        <w:t>2</w:t>
      </w:r>
      <w:r w:rsidR="00936F12" w:rsidRPr="00F87F58">
        <w:rPr>
          <w:rFonts w:cs="Arial"/>
          <w:spacing w:val="2"/>
          <w:lang w:val="es-ES_tradnl"/>
        </w:rPr>
        <w:t>7 de marzo de</w:t>
      </w:r>
      <w:r w:rsidR="007514E1">
        <w:rPr>
          <w:rFonts w:cs="Arial"/>
          <w:spacing w:val="2"/>
          <w:lang w:val="es-ES_tradnl"/>
        </w:rPr>
        <w:t xml:space="preserve"> </w:t>
      </w:r>
      <w:r w:rsidR="00936F12" w:rsidRPr="00F87F58">
        <w:rPr>
          <w:rFonts w:cs="Arial"/>
          <w:spacing w:val="2"/>
          <w:lang w:val="es-ES_tradnl"/>
        </w:rPr>
        <w:t>2015</w:t>
      </w:r>
      <w:r w:rsidRPr="00F87F58">
        <w:rPr>
          <w:rFonts w:cs="Arial"/>
          <w:spacing w:val="2"/>
          <w:lang w:val="es-ES_tradnl"/>
        </w:rPr>
        <w:t>.</w:t>
      </w:r>
      <w:r w:rsidR="00E13ED4" w:rsidRPr="00971A47">
        <w:rPr>
          <w:rFonts w:cs="Arial"/>
          <w:spacing w:val="2"/>
        </w:rPr>
        <w:t xml:space="preserve"> </w:t>
      </w:r>
      <w:r w:rsidR="00936F12" w:rsidRPr="00F87F58">
        <w:rPr>
          <w:rFonts w:cs="Arial"/>
          <w:spacing w:val="2"/>
          <w:lang w:val="es-ES_tradnl"/>
        </w:rPr>
        <w:t>La nota N.º</w:t>
      </w:r>
      <w:r w:rsidR="007514E1">
        <w:rPr>
          <w:rFonts w:cs="Arial"/>
          <w:spacing w:val="2"/>
          <w:lang w:val="es-ES_tradnl"/>
        </w:rPr>
        <w:t xml:space="preserve"> </w:t>
      </w:r>
      <w:r w:rsidR="00831885" w:rsidRPr="00F87F58">
        <w:rPr>
          <w:rFonts w:cs="Arial"/>
          <w:spacing w:val="2"/>
          <w:lang w:val="es-ES_tradnl"/>
        </w:rPr>
        <w:t>2</w:t>
      </w:r>
      <w:r w:rsidR="00936F12" w:rsidRPr="00F87F58">
        <w:rPr>
          <w:rFonts w:cs="Arial"/>
          <w:spacing w:val="2"/>
          <w:lang w:val="es-ES_tradnl"/>
        </w:rPr>
        <w:t>019.238 se reproduce en el Anexo</w:t>
      </w:r>
      <w:r w:rsidR="007514E1">
        <w:rPr>
          <w:rFonts w:cs="Arial"/>
          <w:spacing w:val="2"/>
          <w:lang w:val="es-ES_tradnl"/>
        </w:rPr>
        <w:t xml:space="preserve"> </w:t>
      </w:r>
      <w:r w:rsidR="00936F12" w:rsidRPr="00F87F58">
        <w:rPr>
          <w:rFonts w:cs="Arial"/>
          <w:spacing w:val="2"/>
          <w:lang w:val="es-ES_tradnl"/>
        </w:rPr>
        <w:t>I del presente documento.</w:t>
      </w:r>
      <w:r w:rsidR="00E13ED4">
        <w:rPr>
          <w:rFonts w:cs="Arial"/>
          <w:spacing w:val="2"/>
        </w:rPr>
        <w:t xml:space="preserve"> </w:t>
      </w:r>
      <w:r w:rsidR="00CF3A66" w:rsidRPr="0032130F">
        <w:rPr>
          <w:rFonts w:cs="Arial"/>
          <w:spacing w:val="2"/>
          <w:lang w:val="es-ES_tradnl"/>
        </w:rPr>
        <w:t>En los Anexos</w:t>
      </w:r>
      <w:r w:rsidR="007514E1">
        <w:rPr>
          <w:rFonts w:cs="Arial"/>
          <w:spacing w:val="2"/>
          <w:lang w:val="es-ES_tradnl"/>
        </w:rPr>
        <w:t xml:space="preserve"> </w:t>
      </w:r>
      <w:r w:rsidR="00CF3A66" w:rsidRPr="0032130F">
        <w:rPr>
          <w:rFonts w:cs="Arial"/>
          <w:spacing w:val="2"/>
          <w:lang w:val="es-ES_tradnl"/>
        </w:rPr>
        <w:t>II y</w:t>
      </w:r>
      <w:r w:rsidR="007514E1">
        <w:rPr>
          <w:rFonts w:cs="Arial"/>
          <w:spacing w:val="2"/>
          <w:lang w:val="es-ES_tradnl"/>
        </w:rPr>
        <w:t xml:space="preserve"> </w:t>
      </w:r>
      <w:r w:rsidR="00CF3A66" w:rsidRPr="0032130F">
        <w:rPr>
          <w:rFonts w:cs="Arial"/>
          <w:spacing w:val="2"/>
          <w:lang w:val="es-ES_tradnl"/>
        </w:rPr>
        <w:t>III</w:t>
      </w:r>
      <w:r w:rsidR="001D2F68" w:rsidRPr="0032130F">
        <w:rPr>
          <w:rFonts w:cs="Arial"/>
          <w:spacing w:val="2"/>
          <w:lang w:val="es-ES_tradnl"/>
        </w:rPr>
        <w:t xml:space="preserve"> figuran</w:t>
      </w:r>
      <w:r w:rsidR="00831885" w:rsidRPr="0032130F">
        <w:rPr>
          <w:rFonts w:cs="Arial"/>
          <w:spacing w:val="2"/>
          <w:lang w:val="es-ES_tradnl"/>
        </w:rPr>
        <w:t xml:space="preserve"> </w:t>
      </w:r>
      <w:r w:rsidR="00177A67" w:rsidRPr="0032130F">
        <w:rPr>
          <w:rFonts w:cs="Arial"/>
          <w:spacing w:val="2"/>
          <w:lang w:val="es-ES_tradnl"/>
        </w:rPr>
        <w:t>las</w:t>
      </w:r>
      <w:r w:rsidR="00475B14" w:rsidRPr="0032130F">
        <w:rPr>
          <w:rFonts w:cs="Arial"/>
          <w:spacing w:val="2"/>
          <w:lang w:val="es-ES_tradnl"/>
        </w:rPr>
        <w:t xml:space="preserve"> traducciones</w:t>
      </w:r>
      <w:r w:rsidR="00CF3A66" w:rsidRPr="0032130F">
        <w:rPr>
          <w:rFonts w:cs="Arial"/>
          <w:spacing w:val="2"/>
          <w:lang w:val="es-ES_tradnl"/>
        </w:rPr>
        <w:t xml:space="preserve"> al inglés de las modificaciones </w:t>
      </w:r>
      <w:r w:rsidR="00935741" w:rsidRPr="0032130F">
        <w:rPr>
          <w:rFonts w:cs="Arial"/>
          <w:spacing w:val="2"/>
          <w:lang w:val="es-ES_tradnl"/>
        </w:rPr>
        <w:t xml:space="preserve">de </w:t>
      </w:r>
      <w:r w:rsidR="00CF3A66" w:rsidRPr="0032130F">
        <w:rPr>
          <w:rFonts w:cs="Arial"/>
          <w:spacing w:val="2"/>
          <w:lang w:val="es-ES_tradnl"/>
        </w:rPr>
        <w:t xml:space="preserve">la </w:t>
      </w:r>
      <w:r w:rsidR="00CF3A66" w:rsidRPr="0032130F">
        <w:rPr>
          <w:rFonts w:cs="Arial"/>
          <w:spacing w:val="2"/>
          <w:lang w:val="es-ES_tradnl"/>
        </w:rPr>
        <w:lastRenderedPageBreak/>
        <w:t>Ley publicada en el Boletín Oficial el</w:t>
      </w:r>
      <w:r w:rsidR="007514E1">
        <w:rPr>
          <w:rFonts w:cs="Arial"/>
          <w:spacing w:val="2"/>
          <w:lang w:val="es-ES_tradnl"/>
        </w:rPr>
        <w:t xml:space="preserve"> </w:t>
      </w:r>
      <w:r w:rsidR="00831885" w:rsidRPr="0032130F">
        <w:rPr>
          <w:rFonts w:cs="Arial"/>
          <w:spacing w:val="2"/>
          <w:lang w:val="es-ES_tradnl"/>
        </w:rPr>
        <w:t>6</w:t>
      </w:r>
      <w:r w:rsidR="00CF3A66" w:rsidRPr="0032130F">
        <w:rPr>
          <w:rFonts w:cs="Arial"/>
          <w:spacing w:val="2"/>
          <w:lang w:val="es-ES_tradnl"/>
        </w:rPr>
        <w:t xml:space="preserve"> de agosto de</w:t>
      </w:r>
      <w:r w:rsidR="007514E1">
        <w:rPr>
          <w:rFonts w:cs="Arial"/>
          <w:spacing w:val="2"/>
          <w:lang w:val="es-ES_tradnl"/>
        </w:rPr>
        <w:t xml:space="preserve"> </w:t>
      </w:r>
      <w:r w:rsidR="00831885" w:rsidRPr="0032130F">
        <w:rPr>
          <w:rFonts w:cs="Arial"/>
          <w:spacing w:val="2"/>
          <w:lang w:val="es-ES_tradnl"/>
        </w:rPr>
        <w:t>2</w:t>
      </w:r>
      <w:r w:rsidR="00CF3A66" w:rsidRPr="0032130F">
        <w:rPr>
          <w:rFonts w:cs="Arial"/>
          <w:spacing w:val="2"/>
          <w:lang w:val="es-ES_tradnl"/>
        </w:rPr>
        <w:t xml:space="preserve">019 y </w:t>
      </w:r>
      <w:r w:rsidR="00475B14" w:rsidRPr="0032130F">
        <w:rPr>
          <w:rFonts w:cs="Arial"/>
          <w:spacing w:val="2"/>
          <w:lang w:val="es-ES_tradnl"/>
        </w:rPr>
        <w:t xml:space="preserve">de </w:t>
      </w:r>
      <w:r w:rsidR="00935741" w:rsidRPr="0032130F">
        <w:rPr>
          <w:rFonts w:cs="Arial"/>
          <w:spacing w:val="2"/>
          <w:lang w:val="es-ES_tradnl"/>
        </w:rPr>
        <w:t>la corrección publicada</w:t>
      </w:r>
      <w:r w:rsidR="00CF3A66" w:rsidRPr="0032130F">
        <w:rPr>
          <w:rFonts w:cs="Arial"/>
          <w:spacing w:val="2"/>
          <w:lang w:val="es-ES_tradnl"/>
        </w:rPr>
        <w:t xml:space="preserve"> el</w:t>
      </w:r>
      <w:r w:rsidR="007514E1">
        <w:rPr>
          <w:rFonts w:cs="Arial"/>
          <w:spacing w:val="2"/>
          <w:lang w:val="es-ES_tradnl"/>
        </w:rPr>
        <w:t xml:space="preserve"> </w:t>
      </w:r>
      <w:r w:rsidR="00831885" w:rsidRPr="0032130F">
        <w:rPr>
          <w:rFonts w:cs="Arial"/>
          <w:spacing w:val="2"/>
          <w:lang w:val="es-ES_tradnl"/>
        </w:rPr>
        <w:t>2</w:t>
      </w:r>
      <w:r w:rsidR="00CF3A66" w:rsidRPr="0032130F">
        <w:rPr>
          <w:rFonts w:cs="Arial"/>
          <w:spacing w:val="2"/>
          <w:lang w:val="es-ES_tradnl"/>
        </w:rPr>
        <w:t>3 de septiembre de</w:t>
      </w:r>
      <w:r w:rsidR="007514E1">
        <w:rPr>
          <w:rFonts w:cs="Arial"/>
          <w:spacing w:val="2"/>
          <w:lang w:val="es-ES_tradnl"/>
        </w:rPr>
        <w:t xml:space="preserve"> </w:t>
      </w:r>
      <w:r w:rsidR="00831885" w:rsidRPr="0032130F">
        <w:rPr>
          <w:rFonts w:cs="Arial"/>
          <w:spacing w:val="2"/>
          <w:lang w:val="es-ES_tradnl"/>
        </w:rPr>
        <w:t>2</w:t>
      </w:r>
      <w:r w:rsidR="00CF3A66" w:rsidRPr="0032130F">
        <w:rPr>
          <w:rFonts w:cs="Arial"/>
          <w:spacing w:val="2"/>
          <w:lang w:val="es-ES_tradnl"/>
        </w:rPr>
        <w:t>019</w:t>
      </w:r>
      <w:r w:rsidR="00E07157" w:rsidRPr="0032130F">
        <w:rPr>
          <w:rFonts w:cs="Arial"/>
          <w:spacing w:val="2"/>
          <w:lang w:val="es-ES_tradnl"/>
        </w:rPr>
        <w:t xml:space="preserve">, </w:t>
      </w:r>
      <w:r w:rsidR="00177A67" w:rsidRPr="0032130F">
        <w:rPr>
          <w:rFonts w:cs="Arial"/>
          <w:spacing w:val="2"/>
          <w:lang w:val="es-ES_tradnl"/>
        </w:rPr>
        <w:t>respectivamente</w:t>
      </w:r>
      <w:r w:rsidR="00CF3A66" w:rsidRPr="0032130F">
        <w:rPr>
          <w:rFonts w:cs="Arial"/>
          <w:spacing w:val="2"/>
          <w:lang w:val="es-ES_tradnl"/>
        </w:rPr>
        <w:t>.</w:t>
      </w:r>
      <w:r w:rsidR="00E13ED4">
        <w:rPr>
          <w:rFonts w:cs="Arial"/>
          <w:spacing w:val="2"/>
        </w:rPr>
        <w:t xml:space="preserve"> </w:t>
      </w:r>
    </w:p>
    <w:p w:rsidR="00503D56" w:rsidRPr="0049173C" w:rsidRDefault="00503D56" w:rsidP="004D20C8">
      <w:pPr>
        <w:rPr>
          <w:rFonts w:cs="Arial"/>
          <w:spacing w:val="2"/>
        </w:rPr>
      </w:pPr>
    </w:p>
    <w:p w:rsidR="003D07ED" w:rsidRDefault="008175A6" w:rsidP="00A27037">
      <w:pPr>
        <w:pStyle w:val="ListParagraph"/>
        <w:keepLines/>
        <w:numPr>
          <w:ilvl w:val="0"/>
          <w:numId w:val="6"/>
        </w:numPr>
      </w:pPr>
      <w:r w:rsidRPr="0032130F">
        <w:rPr>
          <w:rFonts w:cs="Arial"/>
          <w:spacing w:val="-2"/>
          <w:lang w:val="es-ES_tradnl"/>
        </w:rPr>
        <w:t>En una nota explicativa</w:t>
      </w:r>
      <w:r w:rsidR="00831885" w:rsidRPr="0032130F">
        <w:rPr>
          <w:rFonts w:cs="Arial"/>
          <w:spacing w:val="-2"/>
          <w:lang w:val="es-ES_tradnl"/>
        </w:rPr>
        <w:t xml:space="preserve"> </w:t>
      </w:r>
      <w:r w:rsidR="00D25E4D" w:rsidRPr="0032130F">
        <w:rPr>
          <w:rFonts w:cs="Arial"/>
          <w:spacing w:val="-2"/>
          <w:lang w:val="es-ES_tradnl"/>
        </w:rPr>
        <w:t>adjunta a la nota de la Misión Permanente</w:t>
      </w:r>
      <w:r w:rsidR="00E07157" w:rsidRPr="0032130F">
        <w:rPr>
          <w:rFonts w:cs="Arial"/>
          <w:spacing w:val="-2"/>
          <w:lang w:val="es-ES_tradnl"/>
        </w:rPr>
        <w:t xml:space="preserve">, </w:t>
      </w:r>
      <w:r w:rsidRPr="0032130F">
        <w:rPr>
          <w:rFonts w:cs="Arial"/>
          <w:spacing w:val="-2"/>
          <w:lang w:val="es-ES_tradnl"/>
        </w:rPr>
        <w:t>el Sr.</w:t>
      </w:r>
      <w:r w:rsidR="007514E1">
        <w:rPr>
          <w:rFonts w:cs="Arial"/>
          <w:spacing w:val="-2"/>
          <w:lang w:val="es-ES_tradnl"/>
        </w:rPr>
        <w:t xml:space="preserve"> </w:t>
      </w:r>
      <w:proofErr w:type="spellStart"/>
      <w:r w:rsidRPr="0032130F">
        <w:rPr>
          <w:rFonts w:cs="Arial"/>
          <w:spacing w:val="-2"/>
          <w:lang w:val="es-ES_tradnl"/>
        </w:rPr>
        <w:t>Saad</w:t>
      </w:r>
      <w:proofErr w:type="spellEnd"/>
      <w:r w:rsidRPr="0032130F">
        <w:rPr>
          <w:rFonts w:cs="Arial"/>
          <w:spacing w:val="-2"/>
          <w:lang w:val="es-ES_tradnl"/>
        </w:rPr>
        <w:t xml:space="preserve"> </w:t>
      </w:r>
      <w:proofErr w:type="spellStart"/>
      <w:r w:rsidRPr="0032130F">
        <w:rPr>
          <w:rFonts w:cs="Arial"/>
          <w:spacing w:val="-2"/>
          <w:lang w:val="es-ES_tradnl"/>
        </w:rPr>
        <w:t>Nassar</w:t>
      </w:r>
      <w:proofErr w:type="spellEnd"/>
      <w:r w:rsidR="00E07157" w:rsidRPr="0032130F">
        <w:rPr>
          <w:rFonts w:cs="Arial"/>
          <w:spacing w:val="-2"/>
          <w:lang w:val="es-ES_tradnl"/>
        </w:rPr>
        <w:t xml:space="preserve">, </w:t>
      </w:r>
      <w:r w:rsidRPr="0032130F">
        <w:rPr>
          <w:rFonts w:cs="Arial"/>
          <w:spacing w:val="-2"/>
          <w:lang w:val="es-ES_tradnl"/>
        </w:rPr>
        <w:t>asesor del ministro de Agricultura y Reclamación de Tierras</w:t>
      </w:r>
      <w:r w:rsidR="00E07157" w:rsidRPr="0032130F">
        <w:rPr>
          <w:rFonts w:cs="Arial"/>
          <w:spacing w:val="-2"/>
          <w:lang w:val="es-ES_tradnl"/>
        </w:rPr>
        <w:t xml:space="preserve">, </w:t>
      </w:r>
      <w:r w:rsidR="00267CEA" w:rsidRPr="0032130F">
        <w:rPr>
          <w:rFonts w:cs="Arial"/>
          <w:spacing w:val="-2"/>
          <w:lang w:val="es-ES_tradnl"/>
        </w:rPr>
        <w:t>comunic</w:t>
      </w:r>
      <w:r w:rsidR="003D07ED" w:rsidRPr="0032130F">
        <w:rPr>
          <w:rFonts w:cs="Arial"/>
          <w:spacing w:val="-2"/>
          <w:lang w:val="es-ES_tradnl"/>
        </w:rPr>
        <w:t>ó</w:t>
      </w:r>
      <w:r w:rsidR="002878F9" w:rsidRPr="0032130F">
        <w:rPr>
          <w:rFonts w:cs="Arial"/>
          <w:spacing w:val="-2"/>
          <w:lang w:val="es-ES_tradnl"/>
        </w:rPr>
        <w:t xml:space="preserve"> </w:t>
      </w:r>
      <w:r w:rsidRPr="0032130F">
        <w:rPr>
          <w:rFonts w:cs="Arial"/>
          <w:spacing w:val="-2"/>
          <w:lang w:val="es-ES_tradnl"/>
        </w:rPr>
        <w:t xml:space="preserve">que </w:t>
      </w:r>
      <w:r w:rsidR="000E75BC" w:rsidRPr="0032130F">
        <w:rPr>
          <w:rFonts w:cs="Arial"/>
          <w:spacing w:val="-2"/>
          <w:lang w:val="es-ES_tradnl"/>
        </w:rPr>
        <w:t>la</w:t>
      </w:r>
      <w:r w:rsidRPr="0032130F">
        <w:rPr>
          <w:rFonts w:cs="Arial"/>
          <w:spacing w:val="-2"/>
          <w:lang w:val="es-ES_tradnl"/>
        </w:rPr>
        <w:t xml:space="preserve"> </w:t>
      </w:r>
      <w:r w:rsidR="000E75BC" w:rsidRPr="0032130F">
        <w:rPr>
          <w:rFonts w:cs="Arial"/>
          <w:spacing w:val="-2"/>
          <w:lang w:val="es-ES_tradnl"/>
        </w:rPr>
        <w:t>Ley fue modificada</w:t>
      </w:r>
      <w:r w:rsidRPr="0032130F">
        <w:rPr>
          <w:rFonts w:cs="Arial"/>
          <w:spacing w:val="-2"/>
          <w:lang w:val="es-ES_tradnl"/>
        </w:rPr>
        <w:t xml:space="preserve"> por </w:t>
      </w:r>
      <w:r w:rsidR="000E75BC" w:rsidRPr="0032130F">
        <w:rPr>
          <w:rFonts w:cs="Arial"/>
          <w:spacing w:val="-2"/>
          <w:lang w:val="es-ES_tradnl"/>
        </w:rPr>
        <w:t xml:space="preserve">la Ley </w:t>
      </w:r>
      <w:r w:rsidRPr="0032130F">
        <w:rPr>
          <w:rFonts w:cs="Arial"/>
          <w:spacing w:val="-2"/>
          <w:lang w:val="es-ES_tradnl"/>
        </w:rPr>
        <w:t xml:space="preserve">(26) </w:t>
      </w:r>
      <w:r w:rsidR="000E75BC" w:rsidRPr="0032130F">
        <w:rPr>
          <w:rFonts w:cs="Arial"/>
          <w:spacing w:val="-2"/>
          <w:lang w:val="es-ES_tradnl"/>
        </w:rPr>
        <w:t>de</w:t>
      </w:r>
      <w:r w:rsidR="007514E1">
        <w:rPr>
          <w:rFonts w:cs="Arial"/>
          <w:spacing w:val="-2"/>
          <w:lang w:val="es-ES_tradnl"/>
        </w:rPr>
        <w:t xml:space="preserve"> </w:t>
      </w:r>
      <w:r w:rsidR="00831885" w:rsidRPr="0032130F">
        <w:rPr>
          <w:rFonts w:cs="Arial"/>
          <w:spacing w:val="-2"/>
          <w:lang w:val="es-ES_tradnl"/>
        </w:rPr>
        <w:t>2</w:t>
      </w:r>
      <w:r w:rsidRPr="0032130F">
        <w:rPr>
          <w:rFonts w:cs="Arial"/>
          <w:spacing w:val="-2"/>
          <w:lang w:val="es-ES_tradnl"/>
        </w:rPr>
        <w:t xml:space="preserve">015 </w:t>
      </w:r>
      <w:r w:rsidR="000E75BC" w:rsidRPr="0032130F">
        <w:rPr>
          <w:rFonts w:cs="Arial"/>
          <w:spacing w:val="-2"/>
          <w:lang w:val="es-ES_tradnl"/>
        </w:rPr>
        <w:t>con objeto de</w:t>
      </w:r>
      <w:r w:rsidRPr="0032130F">
        <w:rPr>
          <w:rFonts w:cs="Arial"/>
          <w:spacing w:val="-2"/>
          <w:lang w:val="es-ES_tradnl"/>
        </w:rPr>
        <w:t xml:space="preserve"> incorpora</w:t>
      </w:r>
      <w:r w:rsidR="000E75BC" w:rsidRPr="0032130F">
        <w:rPr>
          <w:rFonts w:cs="Arial"/>
          <w:spacing w:val="-2"/>
          <w:lang w:val="es-ES_tradnl"/>
        </w:rPr>
        <w:t>r</w:t>
      </w:r>
      <w:r w:rsidRPr="0032130F">
        <w:rPr>
          <w:rFonts w:cs="Arial"/>
          <w:spacing w:val="-2"/>
          <w:lang w:val="es-ES_tradnl"/>
        </w:rPr>
        <w:t xml:space="preserve"> </w:t>
      </w:r>
      <w:r w:rsidR="000E75BC" w:rsidRPr="0032130F">
        <w:rPr>
          <w:rFonts w:cs="Arial"/>
          <w:spacing w:val="-2"/>
          <w:lang w:val="es-ES_tradnl"/>
        </w:rPr>
        <w:t>determinadas</w:t>
      </w:r>
      <w:r w:rsidRPr="0032130F">
        <w:rPr>
          <w:rFonts w:cs="Arial"/>
          <w:spacing w:val="-2"/>
          <w:lang w:val="es-ES_tradnl"/>
        </w:rPr>
        <w:t xml:space="preserve"> </w:t>
      </w:r>
      <w:r w:rsidR="000E75BC" w:rsidRPr="0032130F">
        <w:rPr>
          <w:rFonts w:cs="Arial"/>
          <w:spacing w:val="-2"/>
          <w:lang w:val="es-ES_tradnl"/>
        </w:rPr>
        <w:t xml:space="preserve">disposiciones </w:t>
      </w:r>
      <w:r w:rsidR="00475B14" w:rsidRPr="0032130F">
        <w:rPr>
          <w:rFonts w:cs="Arial"/>
          <w:spacing w:val="-2"/>
          <w:lang w:val="es-ES_tradnl"/>
        </w:rPr>
        <w:t xml:space="preserve">fundamentales </w:t>
      </w:r>
      <w:r w:rsidRPr="0032130F">
        <w:rPr>
          <w:rFonts w:cs="Arial"/>
          <w:spacing w:val="-2"/>
          <w:lang w:val="es-ES_tradnl"/>
        </w:rPr>
        <w:t>de</w:t>
      </w:r>
      <w:r w:rsidR="000E75BC" w:rsidRPr="0032130F">
        <w:rPr>
          <w:rFonts w:cs="Arial"/>
          <w:spacing w:val="-2"/>
          <w:lang w:val="es-ES_tradnl"/>
        </w:rPr>
        <w:t>l</w:t>
      </w:r>
      <w:r w:rsidRPr="0032130F">
        <w:rPr>
          <w:rFonts w:cs="Arial"/>
          <w:spacing w:val="-2"/>
          <w:lang w:val="es-ES_tradnl"/>
        </w:rPr>
        <w:t xml:space="preserve"> </w:t>
      </w:r>
      <w:r w:rsidR="000E75BC" w:rsidRPr="0032130F">
        <w:rPr>
          <w:rFonts w:cs="Arial"/>
          <w:lang w:val="es-ES_tradnl"/>
        </w:rPr>
        <w:t>Acta de</w:t>
      </w:r>
      <w:r w:rsidR="007514E1">
        <w:rPr>
          <w:rFonts w:cs="Arial"/>
          <w:lang w:val="es-ES_tradnl"/>
        </w:rPr>
        <w:t xml:space="preserve"> </w:t>
      </w:r>
      <w:r w:rsidR="000E75BC" w:rsidRPr="0032130F">
        <w:rPr>
          <w:rFonts w:cs="Arial"/>
          <w:lang w:val="es-ES_tradnl"/>
        </w:rPr>
        <w:t>1991</w:t>
      </w:r>
      <w:r w:rsidRPr="0032130F">
        <w:rPr>
          <w:rFonts w:cs="Arial"/>
          <w:spacing w:val="-2"/>
          <w:lang w:val="es-ES_tradnl"/>
        </w:rPr>
        <w:t>.</w:t>
      </w:r>
      <w:r w:rsidR="00E13ED4" w:rsidRPr="00A27037">
        <w:rPr>
          <w:rFonts w:cs="Arial"/>
        </w:rPr>
        <w:t xml:space="preserve"> </w:t>
      </w:r>
      <w:r w:rsidR="002878F9" w:rsidRPr="0032130F">
        <w:rPr>
          <w:rFonts w:cs="Arial"/>
          <w:lang w:val="es-ES_tradnl"/>
        </w:rPr>
        <w:t>Explic</w:t>
      </w:r>
      <w:r w:rsidR="003D07ED" w:rsidRPr="0032130F">
        <w:rPr>
          <w:rFonts w:cs="Arial"/>
          <w:lang w:val="es-ES_tradnl"/>
        </w:rPr>
        <w:t>ó</w:t>
      </w:r>
      <w:r w:rsidR="002878F9" w:rsidRPr="0032130F">
        <w:rPr>
          <w:rFonts w:cs="Arial"/>
          <w:lang w:val="es-ES_tradnl"/>
        </w:rPr>
        <w:t xml:space="preserve"> </w:t>
      </w:r>
      <w:r w:rsidR="00924E11" w:rsidRPr="0032130F">
        <w:rPr>
          <w:rFonts w:cs="Arial"/>
          <w:lang w:val="es-ES_tradnl"/>
        </w:rPr>
        <w:t>además que</w:t>
      </w:r>
      <w:r w:rsidR="00E07157" w:rsidRPr="0032130F">
        <w:rPr>
          <w:rFonts w:cs="Arial"/>
          <w:lang w:val="es-ES_tradnl"/>
        </w:rPr>
        <w:t xml:space="preserve">, </w:t>
      </w:r>
      <w:r w:rsidR="00251923" w:rsidRPr="0032130F">
        <w:rPr>
          <w:rFonts w:cs="Arial"/>
          <w:lang w:val="es-ES_tradnl"/>
        </w:rPr>
        <w:t>cuando se</w:t>
      </w:r>
      <w:r w:rsidR="004E3325" w:rsidRPr="0032130F">
        <w:rPr>
          <w:rFonts w:cs="Arial"/>
          <w:lang w:val="es-ES_tradnl"/>
        </w:rPr>
        <w:t xml:space="preserve"> deposit</w:t>
      </w:r>
      <w:r w:rsidR="00251923" w:rsidRPr="0032130F">
        <w:rPr>
          <w:rFonts w:cs="Arial"/>
          <w:lang w:val="es-ES_tradnl"/>
        </w:rPr>
        <w:t>ó</w:t>
      </w:r>
      <w:r w:rsidR="004E3325" w:rsidRPr="0032130F">
        <w:rPr>
          <w:rFonts w:cs="Arial"/>
          <w:lang w:val="es-ES_tradnl"/>
        </w:rPr>
        <w:t xml:space="preserve"> </w:t>
      </w:r>
      <w:r w:rsidR="00924E11" w:rsidRPr="0032130F">
        <w:rPr>
          <w:rFonts w:cs="Arial"/>
          <w:lang w:val="es-ES_tradnl"/>
        </w:rPr>
        <w:t>el instrumento de adhesión</w:t>
      </w:r>
      <w:r w:rsidR="00E07157" w:rsidRPr="0032130F">
        <w:rPr>
          <w:rFonts w:cs="Arial"/>
          <w:lang w:val="es-ES_tradnl"/>
        </w:rPr>
        <w:t xml:space="preserve">, </w:t>
      </w:r>
      <w:r w:rsidR="00924E11" w:rsidRPr="0032130F">
        <w:rPr>
          <w:rFonts w:cs="Arial"/>
          <w:lang w:val="es-ES_tradnl"/>
        </w:rPr>
        <w:t>la Oficina de la</w:t>
      </w:r>
      <w:r w:rsidR="007514E1">
        <w:rPr>
          <w:rFonts w:cs="Arial"/>
          <w:lang w:val="es-ES_tradnl"/>
        </w:rPr>
        <w:t xml:space="preserve"> </w:t>
      </w:r>
      <w:r w:rsidR="00924E11" w:rsidRPr="0032130F">
        <w:rPr>
          <w:rFonts w:cs="Arial"/>
          <w:lang w:val="es-ES_tradnl"/>
        </w:rPr>
        <w:t xml:space="preserve">Unión </w:t>
      </w:r>
      <w:r w:rsidR="00251923" w:rsidRPr="0032130F">
        <w:rPr>
          <w:rFonts w:cs="Arial"/>
          <w:lang w:val="es-ES_tradnl"/>
        </w:rPr>
        <w:t>señal</w:t>
      </w:r>
      <w:r w:rsidR="00924E11" w:rsidRPr="0032130F">
        <w:rPr>
          <w:rFonts w:cs="Arial"/>
          <w:lang w:val="es-ES_tradnl"/>
        </w:rPr>
        <w:t xml:space="preserve">ó que </w:t>
      </w:r>
      <w:r w:rsidR="00210E1B" w:rsidRPr="0032130F">
        <w:rPr>
          <w:rFonts w:cs="Arial"/>
          <w:lang w:val="es-ES_tradnl"/>
        </w:rPr>
        <w:t>determinadas disposiciones del Acta de</w:t>
      </w:r>
      <w:r w:rsidR="007514E1">
        <w:rPr>
          <w:rFonts w:cs="Arial"/>
          <w:lang w:val="es-ES_tradnl"/>
        </w:rPr>
        <w:t xml:space="preserve"> </w:t>
      </w:r>
      <w:r w:rsidR="00210E1B" w:rsidRPr="0032130F">
        <w:rPr>
          <w:rFonts w:cs="Arial"/>
          <w:lang w:val="es-ES_tradnl"/>
        </w:rPr>
        <w:t xml:space="preserve">1991 </w:t>
      </w:r>
      <w:r w:rsidR="00924E11" w:rsidRPr="0032130F">
        <w:rPr>
          <w:rFonts w:cs="Arial"/>
          <w:lang w:val="es-ES_tradnl"/>
        </w:rPr>
        <w:t xml:space="preserve">no se habían incorporado </w:t>
      </w:r>
      <w:r w:rsidR="00210E1B" w:rsidRPr="0032130F">
        <w:rPr>
          <w:rFonts w:cs="Arial"/>
          <w:lang w:val="es-ES_tradnl"/>
        </w:rPr>
        <w:t>a</w:t>
      </w:r>
      <w:r w:rsidR="00924E11" w:rsidRPr="0032130F">
        <w:rPr>
          <w:rFonts w:cs="Arial"/>
          <w:lang w:val="es-ES_tradnl"/>
        </w:rPr>
        <w:t xml:space="preserve"> la Ley modificada en</w:t>
      </w:r>
      <w:r w:rsidR="007514E1">
        <w:rPr>
          <w:rFonts w:cs="Arial"/>
          <w:lang w:val="es-ES_tradnl"/>
        </w:rPr>
        <w:t xml:space="preserve"> </w:t>
      </w:r>
      <w:r w:rsidR="00831885" w:rsidRPr="0032130F">
        <w:rPr>
          <w:rFonts w:cs="Arial"/>
          <w:lang w:val="es-ES_tradnl"/>
        </w:rPr>
        <w:t>2</w:t>
      </w:r>
      <w:r w:rsidR="00924E11" w:rsidRPr="0032130F">
        <w:rPr>
          <w:rFonts w:cs="Arial"/>
          <w:lang w:val="es-ES_tradnl"/>
        </w:rPr>
        <w:t>015.</w:t>
      </w:r>
      <w:r w:rsidR="00E13ED4" w:rsidRPr="00A27037">
        <w:rPr>
          <w:rFonts w:cs="Arial"/>
        </w:rPr>
        <w:t xml:space="preserve"> </w:t>
      </w:r>
      <w:r w:rsidR="002878F9" w:rsidRPr="0032130F">
        <w:rPr>
          <w:rFonts w:cs="Arial"/>
          <w:lang w:val="es-ES_tradnl"/>
        </w:rPr>
        <w:t>El Sr.</w:t>
      </w:r>
      <w:r w:rsidR="007514E1">
        <w:rPr>
          <w:rFonts w:cs="Arial"/>
          <w:lang w:val="es-ES_tradnl"/>
        </w:rPr>
        <w:t xml:space="preserve"> </w:t>
      </w:r>
      <w:proofErr w:type="spellStart"/>
      <w:r w:rsidR="002878F9" w:rsidRPr="0032130F">
        <w:rPr>
          <w:rFonts w:cs="Arial"/>
          <w:lang w:val="es-ES_tradnl"/>
        </w:rPr>
        <w:t>Nassar</w:t>
      </w:r>
      <w:proofErr w:type="spellEnd"/>
      <w:r w:rsidR="002878F9" w:rsidRPr="0032130F">
        <w:rPr>
          <w:rFonts w:cs="Arial"/>
          <w:lang w:val="es-ES_tradnl"/>
        </w:rPr>
        <w:t xml:space="preserve"> explic</w:t>
      </w:r>
      <w:r w:rsidR="003D07ED" w:rsidRPr="0032130F">
        <w:rPr>
          <w:rFonts w:cs="Arial"/>
          <w:lang w:val="es-ES_tradnl"/>
        </w:rPr>
        <w:t>ó</w:t>
      </w:r>
      <w:r w:rsidR="002878F9" w:rsidRPr="0032130F">
        <w:rPr>
          <w:rFonts w:cs="Arial"/>
          <w:lang w:val="es-ES_tradnl"/>
        </w:rPr>
        <w:t xml:space="preserve"> que la Ley había sido modificada de nuevo </w:t>
      </w:r>
      <w:r w:rsidR="002878F9" w:rsidRPr="0032130F">
        <w:rPr>
          <w:rFonts w:cs="Arial"/>
          <w:spacing w:val="-2"/>
          <w:lang w:val="es-ES_tradnl"/>
        </w:rPr>
        <w:t>en</w:t>
      </w:r>
      <w:r w:rsidR="007514E1">
        <w:rPr>
          <w:rFonts w:cs="Arial"/>
          <w:spacing w:val="-2"/>
          <w:lang w:val="es-ES_tradnl"/>
        </w:rPr>
        <w:t xml:space="preserve"> </w:t>
      </w:r>
      <w:r w:rsidR="00831885" w:rsidRPr="0032130F">
        <w:rPr>
          <w:rFonts w:cs="Arial"/>
          <w:spacing w:val="-2"/>
          <w:lang w:val="es-ES_tradnl"/>
        </w:rPr>
        <w:t>2</w:t>
      </w:r>
      <w:r w:rsidR="002878F9" w:rsidRPr="0032130F">
        <w:rPr>
          <w:rFonts w:cs="Arial"/>
          <w:spacing w:val="-2"/>
          <w:lang w:val="es-ES_tradnl"/>
        </w:rPr>
        <w:t>019</w:t>
      </w:r>
      <w:r w:rsidR="00E07157" w:rsidRPr="0032130F">
        <w:rPr>
          <w:rFonts w:cs="Arial"/>
          <w:lang w:val="es-ES_tradnl"/>
        </w:rPr>
        <w:t xml:space="preserve">, </w:t>
      </w:r>
      <w:r w:rsidR="002878F9" w:rsidRPr="0032130F">
        <w:rPr>
          <w:rFonts w:cs="Arial"/>
          <w:lang w:val="es-ES_tradnl"/>
        </w:rPr>
        <w:t xml:space="preserve">a fin de </w:t>
      </w:r>
      <w:r w:rsidR="003D07ED" w:rsidRPr="0032130F">
        <w:rPr>
          <w:rFonts w:cs="Arial"/>
          <w:lang w:val="es-ES_tradnl"/>
        </w:rPr>
        <w:t>guardar</w:t>
      </w:r>
      <w:r w:rsidR="002878F9" w:rsidRPr="0032130F">
        <w:rPr>
          <w:rFonts w:cs="Arial"/>
          <w:lang w:val="es-ES_tradnl"/>
        </w:rPr>
        <w:t xml:space="preserve"> conformidad con el Acta de</w:t>
      </w:r>
      <w:r w:rsidR="007514E1">
        <w:rPr>
          <w:rFonts w:cs="Arial"/>
          <w:lang w:val="es-ES_tradnl"/>
        </w:rPr>
        <w:t xml:space="preserve"> </w:t>
      </w:r>
      <w:r w:rsidR="002878F9" w:rsidRPr="0032130F">
        <w:rPr>
          <w:rFonts w:cs="Arial"/>
          <w:lang w:val="es-ES_tradnl"/>
        </w:rPr>
        <w:t>1991 del Convenio de la</w:t>
      </w:r>
      <w:r w:rsidR="007514E1">
        <w:rPr>
          <w:rFonts w:cs="Arial"/>
          <w:lang w:val="es-ES_tradnl"/>
        </w:rPr>
        <w:t xml:space="preserve"> </w:t>
      </w:r>
      <w:r w:rsidR="002878F9" w:rsidRPr="0032130F">
        <w:rPr>
          <w:rFonts w:cs="Arial"/>
          <w:lang w:val="es-ES_tradnl"/>
        </w:rPr>
        <w:t>UPOV y con la decisión del Consejo de</w:t>
      </w:r>
      <w:r w:rsidR="007514E1">
        <w:rPr>
          <w:rFonts w:cs="Arial"/>
          <w:lang w:val="es-ES_tradnl"/>
        </w:rPr>
        <w:t xml:space="preserve"> </w:t>
      </w:r>
      <w:r w:rsidR="002878F9" w:rsidRPr="0032130F">
        <w:rPr>
          <w:rFonts w:cs="Arial"/>
          <w:lang w:val="es-ES_tradnl"/>
        </w:rPr>
        <w:t>2015</w:t>
      </w:r>
      <w:r w:rsidR="002878F9" w:rsidRPr="0032130F">
        <w:rPr>
          <w:rFonts w:cs="Arial"/>
          <w:spacing w:val="-2"/>
          <w:lang w:val="es-ES_tradnl"/>
        </w:rPr>
        <w:t>.</w:t>
      </w:r>
      <w:r w:rsidR="00E13ED4" w:rsidRPr="00A27037">
        <w:rPr>
          <w:rFonts w:cs="Arial"/>
          <w:spacing w:val="-2"/>
        </w:rPr>
        <w:t xml:space="preserve"> </w:t>
      </w:r>
      <w:r w:rsidR="002878F9" w:rsidRPr="0032130F">
        <w:rPr>
          <w:rFonts w:cs="Arial"/>
          <w:spacing w:val="-2"/>
          <w:lang w:val="es-ES_tradnl"/>
        </w:rPr>
        <w:t>Conclu</w:t>
      </w:r>
      <w:r w:rsidR="00A27037" w:rsidRPr="0032130F">
        <w:rPr>
          <w:rFonts w:cs="Arial"/>
          <w:spacing w:val="-2"/>
          <w:lang w:val="es-ES_tradnl"/>
        </w:rPr>
        <w:t>ía</w:t>
      </w:r>
      <w:r w:rsidR="002878F9" w:rsidRPr="0032130F">
        <w:rPr>
          <w:rFonts w:cs="Arial"/>
          <w:spacing w:val="-2"/>
          <w:lang w:val="es-ES_tradnl"/>
        </w:rPr>
        <w:t xml:space="preserve"> indicando que</w:t>
      </w:r>
      <w:r w:rsidR="00E07157" w:rsidRPr="0032130F">
        <w:rPr>
          <w:rFonts w:cs="Arial"/>
          <w:spacing w:val="-2"/>
          <w:lang w:val="es-ES_tradnl"/>
        </w:rPr>
        <w:t xml:space="preserve">, </w:t>
      </w:r>
      <w:r w:rsidR="00A27037" w:rsidRPr="0032130F">
        <w:rPr>
          <w:rFonts w:cs="Arial"/>
          <w:spacing w:val="-2"/>
          <w:lang w:val="es-ES_tradnl"/>
        </w:rPr>
        <w:t>en</w:t>
      </w:r>
      <w:r w:rsidR="002878F9" w:rsidRPr="0032130F">
        <w:rPr>
          <w:rFonts w:cs="Arial"/>
          <w:spacing w:val="-2"/>
          <w:lang w:val="es-ES_tradnl"/>
        </w:rPr>
        <w:t xml:space="preserve"> </w:t>
      </w:r>
      <w:r w:rsidR="00A27037" w:rsidRPr="0032130F">
        <w:rPr>
          <w:rFonts w:cs="Arial"/>
          <w:spacing w:val="-2"/>
          <w:lang w:val="es-ES_tradnl"/>
        </w:rPr>
        <w:t>algunos artículos de la Ley</w:t>
      </w:r>
      <w:r w:rsidR="00E07157" w:rsidRPr="0032130F">
        <w:rPr>
          <w:rFonts w:cs="Arial"/>
          <w:spacing w:val="-2"/>
          <w:lang w:val="es-ES_tradnl"/>
        </w:rPr>
        <w:t xml:space="preserve">, </w:t>
      </w:r>
      <w:r w:rsidR="00A27037" w:rsidRPr="0032130F">
        <w:rPr>
          <w:rFonts w:cs="Arial"/>
          <w:spacing w:val="-2"/>
          <w:lang w:val="es-ES_tradnl"/>
        </w:rPr>
        <w:t>modificada por última vez en</w:t>
      </w:r>
      <w:r w:rsidR="007514E1">
        <w:rPr>
          <w:rFonts w:cs="Arial"/>
          <w:spacing w:val="-2"/>
          <w:lang w:val="es-ES_tradnl"/>
        </w:rPr>
        <w:t xml:space="preserve"> </w:t>
      </w:r>
      <w:r w:rsidR="00A27037" w:rsidRPr="0032130F">
        <w:rPr>
          <w:rFonts w:cs="Arial"/>
          <w:spacing w:val="-2"/>
          <w:lang w:val="es-ES_tradnl"/>
        </w:rPr>
        <w:t>2019</w:t>
      </w:r>
      <w:r w:rsidR="00E07157" w:rsidRPr="0032130F">
        <w:rPr>
          <w:rFonts w:cs="Arial"/>
          <w:spacing w:val="-2"/>
          <w:lang w:val="es-ES_tradnl"/>
        </w:rPr>
        <w:t xml:space="preserve">, </w:t>
      </w:r>
      <w:r w:rsidR="002878F9" w:rsidRPr="0032130F">
        <w:rPr>
          <w:rFonts w:cs="Arial"/>
          <w:spacing w:val="-2"/>
          <w:lang w:val="es-ES_tradnl"/>
        </w:rPr>
        <w:t>el texto dif</w:t>
      </w:r>
      <w:r w:rsidR="001E1BE7" w:rsidRPr="0032130F">
        <w:rPr>
          <w:rFonts w:cs="Arial"/>
          <w:spacing w:val="-2"/>
          <w:lang w:val="es-ES_tradnl"/>
        </w:rPr>
        <w:t>i</w:t>
      </w:r>
      <w:r w:rsidR="002878F9" w:rsidRPr="0032130F">
        <w:rPr>
          <w:rFonts w:cs="Arial"/>
          <w:spacing w:val="-2"/>
          <w:lang w:val="es-ES_tradnl"/>
        </w:rPr>
        <w:t xml:space="preserve">ere del de las correspondientes disposiciones del proyecto de Ley </w:t>
      </w:r>
      <w:r w:rsidR="0032130F" w:rsidRPr="0032130F">
        <w:rPr>
          <w:rFonts w:cs="Arial"/>
          <w:spacing w:val="-2"/>
          <w:lang w:val="es-ES_tradnl"/>
        </w:rPr>
        <w:t xml:space="preserve">que se remitió </w:t>
      </w:r>
      <w:r w:rsidR="002878F9" w:rsidRPr="0032130F">
        <w:rPr>
          <w:rFonts w:cs="Arial"/>
          <w:spacing w:val="-2"/>
          <w:lang w:val="es-ES_tradnl"/>
        </w:rPr>
        <w:t>al Consejo en</w:t>
      </w:r>
      <w:r w:rsidR="007514E1">
        <w:rPr>
          <w:rFonts w:cs="Arial"/>
          <w:spacing w:val="-2"/>
          <w:lang w:val="es-ES_tradnl"/>
        </w:rPr>
        <w:t xml:space="preserve"> </w:t>
      </w:r>
      <w:r w:rsidR="00831885" w:rsidRPr="0032130F">
        <w:rPr>
          <w:rFonts w:cs="Arial"/>
          <w:spacing w:val="-2"/>
          <w:lang w:val="es-ES_tradnl"/>
        </w:rPr>
        <w:t>2</w:t>
      </w:r>
      <w:r w:rsidR="002878F9" w:rsidRPr="0032130F">
        <w:rPr>
          <w:rFonts w:cs="Arial"/>
          <w:spacing w:val="-2"/>
          <w:lang w:val="es-ES_tradnl"/>
        </w:rPr>
        <w:t>015.</w:t>
      </w:r>
      <w:r w:rsidR="00E13ED4" w:rsidRPr="00A27037">
        <w:rPr>
          <w:rFonts w:cs="Arial"/>
          <w:spacing w:val="-2"/>
        </w:rPr>
        <w:t xml:space="preserve"> </w:t>
      </w:r>
      <w:r w:rsidR="002878F9" w:rsidRPr="0032130F">
        <w:rPr>
          <w:rFonts w:cs="Arial"/>
          <w:spacing w:val="-2"/>
          <w:lang w:val="es-ES_tradnl"/>
        </w:rPr>
        <w:t>En el Anexo</w:t>
      </w:r>
      <w:r w:rsidR="007514E1">
        <w:rPr>
          <w:rFonts w:cs="Arial"/>
          <w:spacing w:val="-2"/>
          <w:lang w:val="es-ES_tradnl"/>
        </w:rPr>
        <w:t xml:space="preserve"> </w:t>
      </w:r>
      <w:r w:rsidR="002878F9" w:rsidRPr="0032130F">
        <w:rPr>
          <w:rFonts w:cs="Arial"/>
          <w:spacing w:val="-2"/>
          <w:lang w:val="es-ES_tradnl"/>
        </w:rPr>
        <w:t>IV del presente documento se ofrece una traducción al inglés de la nota explicativa del Sr.</w:t>
      </w:r>
      <w:r w:rsidR="007514E1">
        <w:rPr>
          <w:rFonts w:cs="Arial"/>
          <w:spacing w:val="-2"/>
          <w:lang w:val="es-ES_tradnl"/>
        </w:rPr>
        <w:t xml:space="preserve"> </w:t>
      </w:r>
      <w:proofErr w:type="spellStart"/>
      <w:r w:rsidR="002878F9" w:rsidRPr="0032130F">
        <w:rPr>
          <w:rFonts w:cs="Arial"/>
          <w:spacing w:val="-2"/>
          <w:lang w:val="es-ES_tradnl"/>
        </w:rPr>
        <w:t>Nassar</w:t>
      </w:r>
      <w:proofErr w:type="spellEnd"/>
      <w:r w:rsidR="002878F9" w:rsidRPr="0032130F">
        <w:rPr>
          <w:rFonts w:cs="Arial"/>
          <w:spacing w:val="-2"/>
          <w:lang w:val="es-ES_tradnl"/>
        </w:rPr>
        <w:t>.</w:t>
      </w:r>
      <w:r w:rsidR="003D07ED">
        <w:t xml:space="preserve"> </w:t>
      </w:r>
    </w:p>
    <w:p w:rsidR="0049173C" w:rsidRDefault="0049173C">
      <w:pPr>
        <w:jc w:val="left"/>
      </w:pPr>
    </w:p>
    <w:p w:rsidR="003D07ED" w:rsidRDefault="003D07ED">
      <w:pPr>
        <w:jc w:val="left"/>
      </w:pPr>
    </w:p>
    <w:p w:rsidR="0049173C" w:rsidRPr="0049173C" w:rsidRDefault="0049173C">
      <w:pPr>
        <w:jc w:val="left"/>
      </w:pPr>
    </w:p>
    <w:p w:rsidR="007403C0" w:rsidRPr="0049173C" w:rsidRDefault="00673944" w:rsidP="007403C0">
      <w:pPr>
        <w:pStyle w:val="Heading1"/>
      </w:pPr>
      <w:r w:rsidRPr="0032130F">
        <w:rPr>
          <w:lang w:val="es-ES_tradnl"/>
        </w:rPr>
        <w:t xml:space="preserve">CAMBIOS INTRODUCIDOS en EL </w:t>
      </w:r>
      <w:r w:rsidR="001F2748" w:rsidRPr="0032130F">
        <w:rPr>
          <w:lang w:val="es-ES_tradnl"/>
        </w:rPr>
        <w:t>Libro</w:t>
      </w:r>
      <w:r w:rsidR="007514E1">
        <w:rPr>
          <w:lang w:val="es-ES_tradnl"/>
        </w:rPr>
        <w:t xml:space="preserve"> </w:t>
      </w:r>
      <w:r w:rsidR="001F2748" w:rsidRPr="0032130F">
        <w:rPr>
          <w:lang w:val="es-ES_tradnl"/>
        </w:rPr>
        <w:t>IV “Variedades vegetales” de la Ley de Protección de los Derechos de Propiedad Intelectual</w:t>
      </w:r>
      <w:r w:rsidR="00E07157" w:rsidRPr="0032130F">
        <w:rPr>
          <w:lang w:val="es-ES_tradnl"/>
        </w:rPr>
        <w:t xml:space="preserve">, </w:t>
      </w:r>
      <w:r w:rsidRPr="0032130F">
        <w:rPr>
          <w:caps w:val="0"/>
          <w:lang w:val="es-ES_tradnl"/>
        </w:rPr>
        <w:t xml:space="preserve">MODIFICADO POR ÚLTIMA VEZ </w:t>
      </w:r>
      <w:r w:rsidRPr="0032130F">
        <w:rPr>
          <w:lang w:val="es-ES_tradnl"/>
        </w:rPr>
        <w:t>en</w:t>
      </w:r>
      <w:r w:rsidR="007514E1">
        <w:rPr>
          <w:lang w:val="es-ES_tradnl"/>
        </w:rPr>
        <w:t xml:space="preserve"> </w:t>
      </w:r>
      <w:r w:rsidR="00831885" w:rsidRPr="0032130F">
        <w:rPr>
          <w:lang w:val="es-ES_tradnl"/>
        </w:rPr>
        <w:t>2</w:t>
      </w:r>
      <w:r w:rsidRPr="0032130F">
        <w:rPr>
          <w:lang w:val="es-ES_tradnl"/>
        </w:rPr>
        <w:t>019</w:t>
      </w:r>
      <w:r w:rsidR="00E07157" w:rsidRPr="0032130F">
        <w:rPr>
          <w:lang w:val="es-ES_tradnl"/>
        </w:rPr>
        <w:t xml:space="preserve">, </w:t>
      </w:r>
      <w:r w:rsidR="00624DBB" w:rsidRPr="0032130F">
        <w:rPr>
          <w:caps w:val="0"/>
          <w:lang w:val="es-ES_tradnl"/>
        </w:rPr>
        <w:t>RESPECTO D</w:t>
      </w:r>
      <w:r w:rsidRPr="0032130F">
        <w:rPr>
          <w:lang w:val="es-ES_tradnl"/>
        </w:rPr>
        <w:t>EL textO presentADO a</w:t>
      </w:r>
      <w:r w:rsidRPr="0032130F">
        <w:rPr>
          <w:caps w:val="0"/>
          <w:lang w:val="es-ES_tradnl"/>
        </w:rPr>
        <w:t>L CONSEJO</w:t>
      </w:r>
      <w:r w:rsidRPr="0032130F">
        <w:rPr>
          <w:lang w:val="es-ES_tradnl"/>
        </w:rPr>
        <w:t xml:space="preserve"> en</w:t>
      </w:r>
      <w:r w:rsidR="007514E1">
        <w:rPr>
          <w:lang w:val="es-ES_tradnl"/>
        </w:rPr>
        <w:t xml:space="preserve"> </w:t>
      </w:r>
      <w:r w:rsidR="00831885" w:rsidRPr="0032130F">
        <w:rPr>
          <w:lang w:val="es-ES_tradnl"/>
        </w:rPr>
        <w:t>2</w:t>
      </w:r>
      <w:r w:rsidRPr="0032130F">
        <w:rPr>
          <w:lang w:val="es-ES_tradnl"/>
        </w:rPr>
        <w:t>015</w:t>
      </w:r>
    </w:p>
    <w:p w:rsidR="00E43B3D" w:rsidRPr="0049173C" w:rsidRDefault="00E43B3D" w:rsidP="00E43B3D"/>
    <w:p w:rsidR="00E43B3D" w:rsidRPr="007514E1" w:rsidRDefault="005D74E7" w:rsidP="00A22160">
      <w:pPr>
        <w:pStyle w:val="ListParagraph"/>
        <w:numPr>
          <w:ilvl w:val="0"/>
          <w:numId w:val="6"/>
        </w:numPr>
        <w:ind w:right="-142"/>
      </w:pPr>
      <w:r w:rsidRPr="008666B6">
        <w:rPr>
          <w:lang w:val="es-ES_tradnl"/>
        </w:rPr>
        <w:t>De conformidad con la decisión del Consejo de</w:t>
      </w:r>
      <w:r w:rsidR="007514E1">
        <w:rPr>
          <w:lang w:val="es-ES_tradnl"/>
        </w:rPr>
        <w:t xml:space="preserve"> </w:t>
      </w:r>
      <w:r w:rsidR="00831885" w:rsidRPr="008666B6">
        <w:rPr>
          <w:lang w:val="es-ES_tradnl"/>
        </w:rPr>
        <w:t>2</w:t>
      </w:r>
      <w:r w:rsidRPr="008666B6">
        <w:rPr>
          <w:lang w:val="es-ES_tradnl"/>
        </w:rPr>
        <w:t>015</w:t>
      </w:r>
      <w:r w:rsidR="00E07157" w:rsidRPr="008666B6">
        <w:rPr>
          <w:lang w:val="es-ES_tradnl"/>
        </w:rPr>
        <w:t xml:space="preserve">, </w:t>
      </w:r>
      <w:r w:rsidRPr="008666B6">
        <w:rPr>
          <w:lang w:val="es-ES_tradnl"/>
        </w:rPr>
        <w:t xml:space="preserve">según la cual </w:t>
      </w:r>
      <w:r w:rsidR="00A22160" w:rsidRPr="008666B6">
        <w:rPr>
          <w:lang w:val="es-ES_tradnl"/>
        </w:rPr>
        <w:t>de</w:t>
      </w:r>
      <w:r w:rsidRPr="008666B6">
        <w:rPr>
          <w:lang w:val="es-ES_tradnl"/>
        </w:rPr>
        <w:t>bía verificar</w:t>
      </w:r>
      <w:r w:rsidR="00A22160" w:rsidRPr="008666B6">
        <w:rPr>
          <w:lang w:val="es-ES_tradnl"/>
        </w:rPr>
        <w:t>se</w:t>
      </w:r>
      <w:r w:rsidRPr="008666B6">
        <w:rPr>
          <w:lang w:val="es-ES_tradnl"/>
        </w:rPr>
        <w:t xml:space="preserve"> la traducción al inglés del proyecto de Ley (véase el párrafo</w:t>
      </w:r>
      <w:r w:rsidR="007514E1">
        <w:rPr>
          <w:lang w:val="es-ES_tradnl"/>
        </w:rPr>
        <w:t xml:space="preserve"> </w:t>
      </w:r>
      <w:r w:rsidR="00831885" w:rsidRPr="008666B6">
        <w:rPr>
          <w:lang w:val="es-ES_tradnl"/>
        </w:rPr>
        <w:t>2</w:t>
      </w:r>
      <w:r w:rsidRPr="008666B6">
        <w:rPr>
          <w:lang w:val="es-ES_tradnl"/>
        </w:rPr>
        <w:t xml:space="preserve"> anterior)</w:t>
      </w:r>
      <w:r w:rsidR="00E07157" w:rsidRPr="008666B6">
        <w:rPr>
          <w:lang w:val="es-ES_tradnl"/>
        </w:rPr>
        <w:t xml:space="preserve">, </w:t>
      </w:r>
      <w:r w:rsidR="004E0364" w:rsidRPr="008666B6">
        <w:rPr>
          <w:lang w:val="es-ES_tradnl"/>
        </w:rPr>
        <w:t xml:space="preserve">en la dirección </w:t>
      </w:r>
      <w:hyperlink r:id="rId10" w:history="1">
        <w:r w:rsidR="004E0364" w:rsidRPr="008666B6">
          <w:rPr>
            <w:rStyle w:val="Hyperlink"/>
            <w:lang w:val="es-ES_tradnl"/>
          </w:rPr>
          <w:t>https://www.upov.int/meetings/es/details.jsp?meeting_id=50801</w:t>
        </w:r>
      </w:hyperlink>
      <w:r w:rsidR="004E0364" w:rsidRPr="008666B6">
        <w:rPr>
          <w:lang w:val="es-ES_tradnl"/>
        </w:rPr>
        <w:t xml:space="preserve"> se ofrece un</w:t>
      </w:r>
      <w:r w:rsidRPr="008666B6">
        <w:rPr>
          <w:lang w:val="es-ES_tradnl"/>
        </w:rPr>
        <w:t xml:space="preserve">a </w:t>
      </w:r>
      <w:r w:rsidR="004E0364" w:rsidRPr="008666B6">
        <w:rPr>
          <w:lang w:val="es-ES_tradnl"/>
        </w:rPr>
        <w:t xml:space="preserve">traducción </w:t>
      </w:r>
      <w:r w:rsidR="008666B6" w:rsidRPr="008666B6">
        <w:rPr>
          <w:lang w:val="es-ES_tradnl"/>
        </w:rPr>
        <w:t xml:space="preserve">verificada </w:t>
      </w:r>
      <w:r w:rsidR="004E0364" w:rsidRPr="008666B6">
        <w:rPr>
          <w:lang w:val="es-ES_tradnl"/>
        </w:rPr>
        <w:t xml:space="preserve">al inglés </w:t>
      </w:r>
      <w:r w:rsidR="00F61A6B" w:rsidRPr="008666B6">
        <w:rPr>
          <w:lang w:val="es-ES_tradnl"/>
        </w:rPr>
        <w:t>del</w:t>
      </w:r>
      <w:r w:rsidRPr="008666B6">
        <w:rPr>
          <w:lang w:val="es-ES_tradnl"/>
        </w:rPr>
        <w:t xml:space="preserve"> </w:t>
      </w:r>
      <w:r w:rsidR="003A45F6" w:rsidRPr="008666B6">
        <w:rPr>
          <w:lang w:val="es-ES_tradnl"/>
        </w:rPr>
        <w:t>Libro</w:t>
      </w:r>
      <w:r w:rsidR="007514E1">
        <w:rPr>
          <w:lang w:val="es-ES_tradnl"/>
        </w:rPr>
        <w:t xml:space="preserve"> </w:t>
      </w:r>
      <w:r w:rsidR="003A45F6" w:rsidRPr="008666B6">
        <w:rPr>
          <w:lang w:val="es-ES_tradnl"/>
        </w:rPr>
        <w:t>IV “Variedades vegetales” de la Ley de Protección de los Derechos de Propiedad Intelectual de Egipto</w:t>
      </w:r>
      <w:r w:rsidR="00E07157" w:rsidRPr="008666B6">
        <w:rPr>
          <w:lang w:val="es-ES_tradnl"/>
        </w:rPr>
        <w:t xml:space="preserve">, </w:t>
      </w:r>
      <w:r w:rsidR="00930509" w:rsidRPr="008666B6">
        <w:rPr>
          <w:lang w:val="es-ES_tradnl"/>
        </w:rPr>
        <w:t>modificado</w:t>
      </w:r>
      <w:r w:rsidRPr="008666B6">
        <w:rPr>
          <w:lang w:val="es-ES_tradnl"/>
        </w:rPr>
        <w:t xml:space="preserve"> </w:t>
      </w:r>
      <w:r w:rsidR="00930509" w:rsidRPr="008666B6">
        <w:rPr>
          <w:lang w:val="es-ES_tradnl"/>
        </w:rPr>
        <w:t>e</w:t>
      </w:r>
      <w:r w:rsidRPr="008666B6">
        <w:rPr>
          <w:lang w:val="es-ES_tradnl"/>
        </w:rPr>
        <w:t>n</w:t>
      </w:r>
      <w:r w:rsidR="007514E1">
        <w:rPr>
          <w:lang w:val="es-ES_tradnl"/>
        </w:rPr>
        <w:t xml:space="preserve"> </w:t>
      </w:r>
      <w:r w:rsidR="00831885" w:rsidRPr="008666B6">
        <w:rPr>
          <w:lang w:val="es-ES_tradnl"/>
        </w:rPr>
        <w:t>2</w:t>
      </w:r>
      <w:r w:rsidRPr="008666B6">
        <w:rPr>
          <w:lang w:val="es-ES_tradnl"/>
        </w:rPr>
        <w:t xml:space="preserve">015 y </w:t>
      </w:r>
      <w:r w:rsidR="00930509" w:rsidRPr="008666B6">
        <w:rPr>
          <w:lang w:val="es-ES_tradnl"/>
        </w:rPr>
        <w:t>e</w:t>
      </w:r>
      <w:r w:rsidRPr="008666B6">
        <w:rPr>
          <w:lang w:val="es-ES_tradnl"/>
        </w:rPr>
        <w:t>n</w:t>
      </w:r>
      <w:r w:rsidR="007514E1">
        <w:rPr>
          <w:lang w:val="es-ES_tradnl"/>
        </w:rPr>
        <w:t xml:space="preserve"> </w:t>
      </w:r>
      <w:r w:rsidR="00831885" w:rsidRPr="008666B6">
        <w:rPr>
          <w:lang w:val="es-ES_tradnl"/>
        </w:rPr>
        <w:t>2</w:t>
      </w:r>
      <w:r w:rsidRPr="008666B6">
        <w:rPr>
          <w:lang w:val="es-ES_tradnl"/>
        </w:rPr>
        <w:t>019</w:t>
      </w:r>
      <w:r w:rsidR="004E0364" w:rsidRPr="007514E1">
        <w:t>.</w:t>
      </w:r>
      <w:r w:rsidR="00D36510" w:rsidRPr="007514E1">
        <w:t xml:space="preserve"> </w:t>
      </w:r>
    </w:p>
    <w:p w:rsidR="00D36510" w:rsidRPr="0049173C" w:rsidRDefault="00A22160" w:rsidP="0049173C">
      <w:pPr>
        <w:rPr>
          <w:rStyle w:val="Hyperlink"/>
          <w:color w:val="auto"/>
        </w:rPr>
      </w:pPr>
      <w:r>
        <w:rPr>
          <w:rStyle w:val="Hyperlink"/>
          <w:color w:val="auto"/>
        </w:rPr>
        <w:t xml:space="preserve"> </w:t>
      </w:r>
    </w:p>
    <w:p w:rsidR="00B479DC" w:rsidRPr="00800274" w:rsidRDefault="009A5534" w:rsidP="00CE3652">
      <w:pPr>
        <w:pStyle w:val="ListParagraph"/>
        <w:numPr>
          <w:ilvl w:val="0"/>
          <w:numId w:val="6"/>
        </w:numPr>
      </w:pPr>
      <w:r w:rsidRPr="00913C40">
        <w:rPr>
          <w:lang w:val="es-ES_tradnl"/>
        </w:rPr>
        <w:t xml:space="preserve">La </w:t>
      </w:r>
      <w:r w:rsidR="00F413F8" w:rsidRPr="00913C40">
        <w:rPr>
          <w:lang w:val="es-ES_tradnl"/>
        </w:rPr>
        <w:t>verificación de la traducción al inglés ha revelado que el artículo</w:t>
      </w:r>
      <w:r w:rsidR="007514E1">
        <w:rPr>
          <w:lang w:val="es-ES_tradnl"/>
        </w:rPr>
        <w:t xml:space="preserve"> </w:t>
      </w:r>
      <w:r w:rsidR="00831885" w:rsidRPr="00913C40">
        <w:rPr>
          <w:lang w:val="es-ES_tradnl"/>
        </w:rPr>
        <w:t>1</w:t>
      </w:r>
      <w:r w:rsidR="00F413F8" w:rsidRPr="00913C40">
        <w:rPr>
          <w:lang w:val="es-ES_tradnl"/>
        </w:rPr>
        <w:t xml:space="preserve">89 de la Ley </w:t>
      </w:r>
      <w:r w:rsidR="00246426" w:rsidRPr="00913C40">
        <w:rPr>
          <w:lang w:val="es-ES_tradnl"/>
        </w:rPr>
        <w:t xml:space="preserve">figura ahora como </w:t>
      </w:r>
      <w:r w:rsidR="00F413F8" w:rsidRPr="00913C40">
        <w:rPr>
          <w:lang w:val="es-ES_tradnl"/>
        </w:rPr>
        <w:t>artículo</w:t>
      </w:r>
      <w:r w:rsidR="007514E1">
        <w:rPr>
          <w:lang w:val="es-ES_tradnl"/>
        </w:rPr>
        <w:t xml:space="preserve"> </w:t>
      </w:r>
      <w:r w:rsidR="00831885" w:rsidRPr="00913C40">
        <w:rPr>
          <w:lang w:val="es-ES_tradnl"/>
        </w:rPr>
        <w:t>1</w:t>
      </w:r>
      <w:r w:rsidR="00F413F8" w:rsidRPr="00913C40">
        <w:rPr>
          <w:lang w:val="es-ES_tradnl"/>
        </w:rPr>
        <w:t>89</w:t>
      </w:r>
      <w:r w:rsidR="007A1E56" w:rsidRPr="00913C40">
        <w:rPr>
          <w:rFonts w:cs="Arial"/>
          <w:lang w:val="es-ES_tradnl"/>
        </w:rPr>
        <w:t>.</w:t>
      </w:r>
      <w:r w:rsidR="007A1E56" w:rsidRPr="00913C40">
        <w:rPr>
          <w:rFonts w:cs="Arial"/>
          <w:i/>
          <w:lang w:val="es-ES_tradnl"/>
        </w:rPr>
        <w:t>bis</w:t>
      </w:r>
      <w:r w:rsidR="007A1E56" w:rsidRPr="00913C40">
        <w:rPr>
          <w:lang w:val="es-ES_tradnl"/>
        </w:rPr>
        <w:t xml:space="preserve"> </w:t>
      </w:r>
      <w:r w:rsidR="00F413F8" w:rsidRPr="00913C40">
        <w:rPr>
          <w:lang w:val="es-ES_tradnl"/>
        </w:rPr>
        <w:t>y que</w:t>
      </w:r>
      <w:r w:rsidR="00E07157" w:rsidRPr="00913C40">
        <w:rPr>
          <w:lang w:val="es-ES_tradnl"/>
        </w:rPr>
        <w:t xml:space="preserve">, </w:t>
      </w:r>
      <w:r w:rsidR="00246426" w:rsidRPr="00913C40">
        <w:rPr>
          <w:lang w:val="es-ES_tradnl"/>
        </w:rPr>
        <w:t>en</w:t>
      </w:r>
      <w:r w:rsidR="00F413F8" w:rsidRPr="00913C40">
        <w:rPr>
          <w:lang w:val="es-ES_tradnl"/>
        </w:rPr>
        <w:t xml:space="preserve"> </w:t>
      </w:r>
      <w:r w:rsidR="00246426" w:rsidRPr="00913C40">
        <w:rPr>
          <w:lang w:val="es-ES_tradnl"/>
        </w:rPr>
        <w:t>algunos artículos de la Ley</w:t>
      </w:r>
      <w:r w:rsidR="00E07157" w:rsidRPr="00913C40">
        <w:rPr>
          <w:lang w:val="es-ES_tradnl"/>
        </w:rPr>
        <w:t xml:space="preserve">, </w:t>
      </w:r>
      <w:r w:rsidR="00246426" w:rsidRPr="00913C40">
        <w:rPr>
          <w:lang w:val="es-ES_tradnl"/>
        </w:rPr>
        <w:t xml:space="preserve">se ha modificado </w:t>
      </w:r>
      <w:r w:rsidR="00F413F8" w:rsidRPr="00913C40">
        <w:rPr>
          <w:lang w:val="es-ES_tradnl"/>
        </w:rPr>
        <w:t xml:space="preserve">la numeración de los párrafos y </w:t>
      </w:r>
      <w:r w:rsidR="00246426" w:rsidRPr="00913C40">
        <w:rPr>
          <w:lang w:val="es-ES_tradnl"/>
        </w:rPr>
        <w:t xml:space="preserve">de </w:t>
      </w:r>
      <w:r w:rsidR="00F413F8" w:rsidRPr="00913C40">
        <w:rPr>
          <w:lang w:val="es-ES_tradnl"/>
        </w:rPr>
        <w:t>las referencias correspondientes conform</w:t>
      </w:r>
      <w:r w:rsidR="00497825" w:rsidRPr="00913C40">
        <w:rPr>
          <w:lang w:val="es-ES_tradnl"/>
        </w:rPr>
        <w:t xml:space="preserve">e a </w:t>
      </w:r>
      <w:r w:rsidR="00F413F8" w:rsidRPr="00913C40">
        <w:rPr>
          <w:lang w:val="es-ES_tradnl"/>
        </w:rPr>
        <w:t>la Ley original en árabe (véanse los artículos</w:t>
      </w:r>
      <w:r w:rsidR="007514E1">
        <w:rPr>
          <w:lang w:val="es-ES_tradnl"/>
        </w:rPr>
        <w:t xml:space="preserve"> </w:t>
      </w:r>
      <w:r w:rsidR="00831885" w:rsidRPr="00913C40">
        <w:rPr>
          <w:lang w:val="es-ES_tradnl"/>
        </w:rPr>
        <w:t>1</w:t>
      </w:r>
      <w:r w:rsidR="00F413F8" w:rsidRPr="00913C40">
        <w:rPr>
          <w:lang w:val="es-ES_tradnl"/>
        </w:rPr>
        <w:t>92</w:t>
      </w:r>
      <w:r w:rsidR="00E07157" w:rsidRPr="00913C40">
        <w:rPr>
          <w:lang w:val="es-ES_tradnl"/>
        </w:rPr>
        <w:t>, 1</w:t>
      </w:r>
      <w:r w:rsidR="00F413F8" w:rsidRPr="00913C40">
        <w:rPr>
          <w:lang w:val="es-ES_tradnl"/>
        </w:rPr>
        <w:t>92</w:t>
      </w:r>
      <w:r w:rsidR="007A1E56" w:rsidRPr="00913C40">
        <w:rPr>
          <w:rFonts w:cs="Arial"/>
          <w:lang w:val="es-ES_tradnl"/>
        </w:rPr>
        <w:t>.</w:t>
      </w:r>
      <w:r w:rsidR="007A1E56" w:rsidRPr="00913C40">
        <w:rPr>
          <w:rFonts w:cs="Arial"/>
          <w:i/>
          <w:lang w:val="es-ES_tradnl"/>
        </w:rPr>
        <w:t>bis</w:t>
      </w:r>
      <w:r w:rsidR="00E07157" w:rsidRPr="00913C40">
        <w:rPr>
          <w:lang w:val="es-ES_tradnl"/>
        </w:rPr>
        <w:t>, 1</w:t>
      </w:r>
      <w:r w:rsidR="00F413F8" w:rsidRPr="00913C40">
        <w:rPr>
          <w:lang w:val="es-ES_tradnl"/>
        </w:rPr>
        <w:t>94</w:t>
      </w:r>
      <w:r w:rsidR="00E07157" w:rsidRPr="00913C40">
        <w:rPr>
          <w:lang w:val="es-ES_tradnl"/>
        </w:rPr>
        <w:t>, 1</w:t>
      </w:r>
      <w:r w:rsidR="00F413F8" w:rsidRPr="00913C40">
        <w:rPr>
          <w:lang w:val="es-ES_tradnl"/>
        </w:rPr>
        <w:t>95</w:t>
      </w:r>
      <w:r w:rsidR="00E07157" w:rsidRPr="00913C40">
        <w:rPr>
          <w:lang w:val="es-ES_tradnl"/>
        </w:rPr>
        <w:t>, 1</w:t>
      </w:r>
      <w:r w:rsidR="00F413F8" w:rsidRPr="00913C40">
        <w:rPr>
          <w:lang w:val="es-ES_tradnl"/>
        </w:rPr>
        <w:t>98</w:t>
      </w:r>
      <w:r w:rsidR="00E07157" w:rsidRPr="00913C40">
        <w:rPr>
          <w:lang w:val="es-ES_tradnl"/>
        </w:rPr>
        <w:t>, 2</w:t>
      </w:r>
      <w:r w:rsidR="00F413F8" w:rsidRPr="00913C40">
        <w:rPr>
          <w:lang w:val="es-ES_tradnl"/>
        </w:rPr>
        <w:t>02 y</w:t>
      </w:r>
      <w:r w:rsidR="007514E1">
        <w:rPr>
          <w:lang w:val="es-ES_tradnl"/>
        </w:rPr>
        <w:t xml:space="preserve"> </w:t>
      </w:r>
      <w:r w:rsidR="00831885" w:rsidRPr="00913C40">
        <w:rPr>
          <w:lang w:val="es-ES_tradnl"/>
        </w:rPr>
        <w:t>2</w:t>
      </w:r>
      <w:r w:rsidR="00F413F8" w:rsidRPr="00913C40">
        <w:rPr>
          <w:lang w:val="es-ES_tradnl"/>
        </w:rPr>
        <w:t>02</w:t>
      </w:r>
      <w:r w:rsidR="007A1E56" w:rsidRPr="00913C40">
        <w:rPr>
          <w:rFonts w:cs="Arial"/>
          <w:lang w:val="es-ES_tradnl"/>
        </w:rPr>
        <w:t>.</w:t>
      </w:r>
      <w:r w:rsidR="007A1E56" w:rsidRPr="00913C40">
        <w:rPr>
          <w:rFonts w:cs="Arial"/>
          <w:i/>
          <w:lang w:val="es-ES_tradnl"/>
        </w:rPr>
        <w:t>bis</w:t>
      </w:r>
      <w:r w:rsidR="00F413F8" w:rsidRPr="00913C40">
        <w:rPr>
          <w:spacing w:val="-2"/>
          <w:lang w:val="es-ES_tradnl"/>
        </w:rPr>
        <w:t>).</w:t>
      </w:r>
    </w:p>
    <w:p w:rsidR="00373C52" w:rsidRDefault="00373C52" w:rsidP="00E43B3D">
      <w:pPr>
        <w:jc w:val="left"/>
      </w:pPr>
    </w:p>
    <w:p w:rsidR="00677474" w:rsidRDefault="004B788B" w:rsidP="004B788B">
      <w:pPr>
        <w:pStyle w:val="ListParagraph"/>
        <w:numPr>
          <w:ilvl w:val="0"/>
          <w:numId w:val="6"/>
        </w:numPr>
      </w:pPr>
      <w:r w:rsidRPr="007447A6">
        <w:rPr>
          <w:lang w:val="es-ES_tradnl"/>
        </w:rPr>
        <w:t xml:space="preserve">En cumplimiento del </w:t>
      </w:r>
      <w:r w:rsidR="00F413F8" w:rsidRPr="007447A6">
        <w:rPr>
          <w:lang w:val="es-ES_tradnl"/>
        </w:rPr>
        <w:t>requisito de corregir la traducción</w:t>
      </w:r>
      <w:r w:rsidR="00E07157" w:rsidRPr="007447A6">
        <w:rPr>
          <w:lang w:val="es-ES_tradnl"/>
        </w:rPr>
        <w:t xml:space="preserve">, </w:t>
      </w:r>
      <w:r w:rsidR="00281B00" w:rsidRPr="007447A6">
        <w:rPr>
          <w:lang w:val="es-ES_tradnl"/>
        </w:rPr>
        <w:t>señal</w:t>
      </w:r>
      <w:r w:rsidR="00F413F8" w:rsidRPr="007447A6">
        <w:rPr>
          <w:lang w:val="es-ES_tradnl"/>
        </w:rPr>
        <w:t>ado en la decisión del Consejo de</w:t>
      </w:r>
      <w:r w:rsidR="007514E1">
        <w:rPr>
          <w:lang w:val="es-ES_tradnl"/>
        </w:rPr>
        <w:t xml:space="preserve"> </w:t>
      </w:r>
      <w:r w:rsidR="00831885" w:rsidRPr="007447A6">
        <w:rPr>
          <w:lang w:val="es-ES_tradnl"/>
        </w:rPr>
        <w:t>2</w:t>
      </w:r>
      <w:r w:rsidR="00F413F8" w:rsidRPr="007447A6">
        <w:rPr>
          <w:lang w:val="es-ES_tradnl"/>
        </w:rPr>
        <w:t>7 de marzo de</w:t>
      </w:r>
      <w:r w:rsidR="007514E1">
        <w:rPr>
          <w:lang w:val="es-ES_tradnl"/>
        </w:rPr>
        <w:t xml:space="preserve"> </w:t>
      </w:r>
      <w:r w:rsidR="00831885" w:rsidRPr="007447A6">
        <w:rPr>
          <w:lang w:val="es-ES_tradnl"/>
        </w:rPr>
        <w:t>2</w:t>
      </w:r>
      <w:r w:rsidR="00F413F8" w:rsidRPr="007447A6">
        <w:rPr>
          <w:lang w:val="es-ES_tradnl"/>
        </w:rPr>
        <w:t>015</w:t>
      </w:r>
      <w:r w:rsidR="00E07157" w:rsidRPr="007447A6">
        <w:rPr>
          <w:lang w:val="es-ES_tradnl"/>
        </w:rPr>
        <w:t xml:space="preserve"> </w:t>
      </w:r>
      <w:r w:rsidR="00170D82" w:rsidRPr="007447A6">
        <w:rPr>
          <w:lang w:val="es-ES_tradnl"/>
        </w:rPr>
        <w:t>(</w:t>
      </w:r>
      <w:r w:rsidR="00913C40" w:rsidRPr="007447A6">
        <w:rPr>
          <w:lang w:val="es-ES_tradnl"/>
        </w:rPr>
        <w:t xml:space="preserve">véanse </w:t>
      </w:r>
      <w:r w:rsidR="00F413F8" w:rsidRPr="007447A6">
        <w:rPr>
          <w:lang w:val="es-ES_tradnl"/>
        </w:rPr>
        <w:t>el párrafo</w:t>
      </w:r>
      <w:r w:rsidR="007514E1">
        <w:rPr>
          <w:lang w:val="es-ES_tradnl"/>
        </w:rPr>
        <w:t xml:space="preserve"> </w:t>
      </w:r>
      <w:r w:rsidR="00831885" w:rsidRPr="007447A6">
        <w:rPr>
          <w:lang w:val="es-ES_tradnl"/>
        </w:rPr>
        <w:t>1</w:t>
      </w:r>
      <w:r w:rsidR="00F413F8" w:rsidRPr="007447A6">
        <w:rPr>
          <w:lang w:val="es-ES_tradnl"/>
        </w:rPr>
        <w:t>1</w:t>
      </w:r>
      <w:r w:rsidR="003C0DB2" w:rsidRPr="007447A6">
        <w:rPr>
          <w:lang w:val="es-ES_tradnl"/>
        </w:rPr>
        <w:t>.</w:t>
      </w:r>
      <w:r w:rsidR="00F413F8" w:rsidRPr="007447A6">
        <w:rPr>
          <w:lang w:val="es-ES_tradnl"/>
        </w:rPr>
        <w:t>b) del documento C(</w:t>
      </w:r>
      <w:proofErr w:type="spellStart"/>
      <w:r w:rsidR="00F413F8" w:rsidRPr="007447A6">
        <w:rPr>
          <w:lang w:val="es-ES_tradnl"/>
        </w:rPr>
        <w:t>Extr</w:t>
      </w:r>
      <w:proofErr w:type="spellEnd"/>
      <w:r w:rsidR="00F413F8" w:rsidRPr="007447A6">
        <w:rPr>
          <w:lang w:val="es-ES_tradnl"/>
        </w:rPr>
        <w:t xml:space="preserve">.)/32/10 </w:t>
      </w:r>
      <w:r w:rsidR="003C0DB2" w:rsidRPr="007447A6">
        <w:rPr>
          <w:lang w:val="es-ES_tradnl"/>
        </w:rPr>
        <w:t>“</w:t>
      </w:r>
      <w:r w:rsidR="00F413F8" w:rsidRPr="007447A6">
        <w:rPr>
          <w:lang w:val="es-ES_tradnl"/>
        </w:rPr>
        <w:t>Informe</w:t>
      </w:r>
      <w:r w:rsidR="003C0DB2" w:rsidRPr="007447A6">
        <w:rPr>
          <w:lang w:val="es-ES_tradnl"/>
        </w:rPr>
        <w:t xml:space="preserve">” </w:t>
      </w:r>
      <w:r w:rsidR="00913C40" w:rsidRPr="007447A6">
        <w:rPr>
          <w:lang w:val="es-ES_tradnl"/>
        </w:rPr>
        <w:t xml:space="preserve">y </w:t>
      </w:r>
      <w:r w:rsidR="003C0DB2" w:rsidRPr="007447A6">
        <w:rPr>
          <w:lang w:val="es-ES_tradnl"/>
        </w:rPr>
        <w:t xml:space="preserve">el </w:t>
      </w:r>
      <w:r w:rsidR="00F413F8" w:rsidRPr="007447A6">
        <w:rPr>
          <w:lang w:val="es-ES_tradnl"/>
        </w:rPr>
        <w:t>párrafo</w:t>
      </w:r>
      <w:r w:rsidR="007514E1">
        <w:rPr>
          <w:lang w:val="es-ES_tradnl"/>
        </w:rPr>
        <w:t xml:space="preserve"> </w:t>
      </w:r>
      <w:r w:rsidR="00831885" w:rsidRPr="007447A6">
        <w:rPr>
          <w:lang w:val="es-ES_tradnl"/>
        </w:rPr>
        <w:t>2</w:t>
      </w:r>
      <w:r w:rsidR="003C0DB2" w:rsidRPr="007447A6">
        <w:rPr>
          <w:lang w:val="es-ES_tradnl"/>
        </w:rPr>
        <w:t xml:space="preserve"> </w:t>
      </w:r>
      <w:r w:rsidR="00F413F8" w:rsidRPr="007447A6">
        <w:rPr>
          <w:lang w:val="es-ES_tradnl"/>
        </w:rPr>
        <w:t>anterior)</w:t>
      </w:r>
      <w:r w:rsidR="00E07157" w:rsidRPr="007447A6">
        <w:rPr>
          <w:lang w:val="es-ES_tradnl"/>
        </w:rPr>
        <w:t xml:space="preserve">, </w:t>
      </w:r>
      <w:r w:rsidR="003C0DB2" w:rsidRPr="007447A6">
        <w:rPr>
          <w:lang w:val="es-ES_tradnl"/>
        </w:rPr>
        <w:t>la</w:t>
      </w:r>
      <w:r w:rsidR="00F413F8" w:rsidRPr="007447A6">
        <w:rPr>
          <w:lang w:val="es-ES_tradnl"/>
        </w:rPr>
        <w:t xml:space="preserve"> </w:t>
      </w:r>
      <w:r w:rsidR="003C0DB2" w:rsidRPr="007447A6">
        <w:rPr>
          <w:lang w:val="es-ES_tradnl"/>
        </w:rPr>
        <w:t xml:space="preserve">parte </w:t>
      </w:r>
      <w:r w:rsidR="00F413F8" w:rsidRPr="007447A6">
        <w:rPr>
          <w:lang w:val="es-ES_tradnl"/>
        </w:rPr>
        <w:t>pertinente</w:t>
      </w:r>
      <w:r w:rsidR="003C0DB2" w:rsidRPr="007447A6">
        <w:rPr>
          <w:lang w:val="es-ES_tradnl"/>
        </w:rPr>
        <w:t xml:space="preserve"> </w:t>
      </w:r>
      <w:r w:rsidR="00F413F8" w:rsidRPr="007447A6">
        <w:rPr>
          <w:lang w:val="es-ES_tradnl"/>
        </w:rPr>
        <w:t>de la traducción verificada de</w:t>
      </w:r>
      <w:r w:rsidR="003C0DB2" w:rsidRPr="007447A6">
        <w:rPr>
          <w:lang w:val="es-ES_tradnl"/>
        </w:rPr>
        <w:t>l</w:t>
      </w:r>
      <w:r w:rsidR="00F413F8" w:rsidRPr="007447A6">
        <w:rPr>
          <w:lang w:val="es-ES_tradnl"/>
        </w:rPr>
        <w:t xml:space="preserve"> </w:t>
      </w:r>
      <w:r w:rsidR="003C0DB2" w:rsidRPr="007447A6">
        <w:rPr>
          <w:lang w:val="es-ES_tradnl"/>
        </w:rPr>
        <w:t>artículo</w:t>
      </w:r>
      <w:r w:rsidR="007514E1">
        <w:rPr>
          <w:lang w:val="es-ES_tradnl"/>
        </w:rPr>
        <w:t xml:space="preserve"> </w:t>
      </w:r>
      <w:r w:rsidR="00831885" w:rsidRPr="007447A6">
        <w:rPr>
          <w:lang w:val="es-ES_tradnl"/>
        </w:rPr>
        <w:t>1</w:t>
      </w:r>
      <w:r w:rsidR="00F413F8" w:rsidRPr="007447A6">
        <w:rPr>
          <w:lang w:val="es-ES_tradnl"/>
        </w:rPr>
        <w:t xml:space="preserve">92 </w:t>
      </w:r>
      <w:r w:rsidR="007A1E56" w:rsidRPr="007447A6">
        <w:rPr>
          <w:lang w:val="es-ES_tradnl"/>
        </w:rPr>
        <w:t xml:space="preserve">reza </w:t>
      </w:r>
      <w:r w:rsidR="00F413F8" w:rsidRPr="007447A6">
        <w:rPr>
          <w:lang w:val="es-ES_tradnl"/>
        </w:rPr>
        <w:t xml:space="preserve">ahora </w:t>
      </w:r>
      <w:r w:rsidR="003C0DB2" w:rsidRPr="007447A6">
        <w:rPr>
          <w:lang w:val="es-ES_tradnl"/>
        </w:rPr>
        <w:t>como sigue</w:t>
      </w:r>
      <w:r w:rsidR="00F413F8" w:rsidRPr="007447A6">
        <w:rPr>
          <w:lang w:val="es-ES_tradnl"/>
        </w:rPr>
        <w:t>:</w:t>
      </w:r>
      <w:r w:rsidR="00677474">
        <w:t xml:space="preserve"> </w:t>
      </w:r>
    </w:p>
    <w:p w:rsidR="00D36510" w:rsidRDefault="004B788B" w:rsidP="00E43B3D">
      <w:pPr>
        <w:jc w:val="left"/>
      </w:pPr>
      <w:r>
        <w:t xml:space="preserve"> </w:t>
      </w:r>
    </w:p>
    <w:p w:rsidR="00D36510" w:rsidRPr="00CB68F6" w:rsidRDefault="003C0DB2" w:rsidP="00CB68F6">
      <w:pPr>
        <w:autoSpaceDE w:val="0"/>
        <w:autoSpaceDN w:val="0"/>
        <w:adjustRightInd w:val="0"/>
        <w:spacing w:line="220" w:lineRule="atLeast"/>
        <w:ind w:left="567" w:right="567"/>
        <w:jc w:val="lowKashida"/>
        <w:rPr>
          <w:rFonts w:cs="Arial"/>
          <w:bCs/>
          <w:sz w:val="18"/>
        </w:rPr>
      </w:pPr>
      <w:r w:rsidRPr="007447A6">
        <w:rPr>
          <w:rFonts w:cs="Arial"/>
          <w:bCs/>
          <w:sz w:val="18"/>
          <w:lang w:val="es-ES_tradnl"/>
        </w:rPr>
        <w:t>“Artículo</w:t>
      </w:r>
      <w:r w:rsidR="007514E1">
        <w:rPr>
          <w:rFonts w:cs="Arial"/>
          <w:bCs/>
          <w:sz w:val="18"/>
          <w:lang w:val="es-ES_tradnl"/>
        </w:rPr>
        <w:t xml:space="preserve"> </w:t>
      </w:r>
      <w:r w:rsidRPr="007447A6">
        <w:rPr>
          <w:rFonts w:cs="Arial"/>
          <w:bCs/>
          <w:sz w:val="18"/>
          <w:lang w:val="es-ES_tradnl"/>
        </w:rPr>
        <w:t>192</w:t>
      </w:r>
    </w:p>
    <w:p w:rsidR="00D36510" w:rsidRPr="00CB68F6" w:rsidRDefault="00D36510" w:rsidP="00CB68F6">
      <w:pPr>
        <w:ind w:left="567" w:right="567"/>
        <w:jc w:val="lowKashida"/>
        <w:rPr>
          <w:rFonts w:cs="Arial"/>
          <w:sz w:val="18"/>
        </w:rPr>
      </w:pPr>
    </w:p>
    <w:p w:rsidR="00D36510" w:rsidRPr="00CB68F6" w:rsidRDefault="00EA0C59" w:rsidP="00CB68F6">
      <w:pPr>
        <w:ind w:left="567" w:right="567"/>
        <w:jc w:val="lowKashida"/>
        <w:rPr>
          <w:rFonts w:cs="Arial"/>
          <w:sz w:val="18"/>
        </w:rPr>
      </w:pPr>
      <w:r w:rsidRPr="007447A6">
        <w:rPr>
          <w:rFonts w:cs="Arial"/>
          <w:sz w:val="18"/>
          <w:lang w:val="es-ES_tradnl"/>
        </w:rPr>
        <w:t>Para ser susceptible de protección</w:t>
      </w:r>
      <w:r w:rsidR="00E07157" w:rsidRPr="007447A6">
        <w:rPr>
          <w:rFonts w:cs="Arial"/>
          <w:sz w:val="18"/>
          <w:lang w:val="es-ES_tradnl"/>
        </w:rPr>
        <w:t xml:space="preserve">, </w:t>
      </w:r>
      <w:r w:rsidRPr="007447A6">
        <w:rPr>
          <w:rFonts w:cs="Arial"/>
          <w:sz w:val="18"/>
          <w:lang w:val="es-ES_tradnl"/>
        </w:rPr>
        <w:t>la variedad deberá ser nueva</w:t>
      </w:r>
      <w:r w:rsidR="00E07157" w:rsidRPr="007447A6">
        <w:rPr>
          <w:rFonts w:cs="Arial"/>
          <w:sz w:val="18"/>
          <w:lang w:val="es-ES_tradnl"/>
        </w:rPr>
        <w:t xml:space="preserve">, </w:t>
      </w:r>
      <w:r w:rsidRPr="007447A6">
        <w:rPr>
          <w:rFonts w:cs="Arial"/>
          <w:sz w:val="18"/>
          <w:lang w:val="es-ES_tradnl"/>
        </w:rPr>
        <w:t>distinta</w:t>
      </w:r>
      <w:r w:rsidR="00E07157" w:rsidRPr="007447A6">
        <w:rPr>
          <w:rFonts w:cs="Arial"/>
          <w:sz w:val="18"/>
          <w:lang w:val="es-ES_tradnl"/>
        </w:rPr>
        <w:t xml:space="preserve">, </w:t>
      </w:r>
      <w:r w:rsidRPr="007447A6">
        <w:rPr>
          <w:rFonts w:cs="Arial"/>
          <w:sz w:val="18"/>
          <w:lang w:val="es-ES_tradnl"/>
        </w:rPr>
        <w:t>homogénea</w:t>
      </w:r>
      <w:r w:rsidR="00E07157" w:rsidRPr="007447A6">
        <w:rPr>
          <w:rFonts w:cs="Arial"/>
          <w:sz w:val="18"/>
          <w:lang w:val="es-ES_tradnl"/>
        </w:rPr>
        <w:t xml:space="preserve">, </w:t>
      </w:r>
      <w:r w:rsidRPr="007447A6">
        <w:rPr>
          <w:rFonts w:cs="Arial"/>
          <w:sz w:val="18"/>
          <w:lang w:val="es-ES_tradnl"/>
        </w:rPr>
        <w:t>estable y objeto de una denominación</w:t>
      </w:r>
      <w:r w:rsidR="00E07157" w:rsidRPr="007447A6">
        <w:rPr>
          <w:rFonts w:cs="Arial"/>
          <w:sz w:val="18"/>
          <w:lang w:val="es-ES_tradnl"/>
        </w:rPr>
        <w:t xml:space="preserve">, </w:t>
      </w:r>
      <w:r w:rsidRPr="007447A6">
        <w:rPr>
          <w:rFonts w:cs="Arial"/>
          <w:sz w:val="18"/>
          <w:lang w:val="es-ES_tradnl"/>
        </w:rPr>
        <w:t>según se indica a continuación:</w:t>
      </w:r>
    </w:p>
    <w:p w:rsidR="00D36510" w:rsidRPr="00CB68F6" w:rsidRDefault="00D36510" w:rsidP="00CB68F6">
      <w:pPr>
        <w:ind w:left="567" w:right="567"/>
        <w:jc w:val="lowKashida"/>
        <w:rPr>
          <w:rFonts w:cs="Arial"/>
          <w:sz w:val="18"/>
        </w:rPr>
      </w:pPr>
      <w:r w:rsidRPr="00CB68F6">
        <w:rPr>
          <w:rFonts w:cs="Arial"/>
          <w:sz w:val="18"/>
        </w:rPr>
        <w:t>[…]</w:t>
      </w:r>
    </w:p>
    <w:p w:rsidR="00D36510" w:rsidRPr="00CB68F6" w:rsidRDefault="00EA0C59" w:rsidP="00CB68F6">
      <w:pPr>
        <w:ind w:left="567" w:right="567"/>
        <w:jc w:val="lowKashida"/>
        <w:rPr>
          <w:rFonts w:cs="Arial"/>
          <w:sz w:val="18"/>
        </w:rPr>
      </w:pPr>
      <w:r w:rsidRPr="007447A6">
        <w:rPr>
          <w:rFonts w:cs="Arial"/>
          <w:sz w:val="18"/>
          <w:lang w:val="es-ES_tradnl"/>
        </w:rPr>
        <w:t xml:space="preserve">Toda decisión de conceder protección requerirá un examen del cumplimiento de las condiciones </w:t>
      </w:r>
      <w:r w:rsidRPr="007447A6">
        <w:rPr>
          <w:rFonts w:cs="Arial"/>
          <w:sz w:val="18"/>
          <w:highlight w:val="lightGray"/>
          <w:u w:val="single"/>
          <w:lang w:val="es-ES_tradnl"/>
        </w:rPr>
        <w:t>previstas en e</w:t>
      </w:r>
      <w:r w:rsidR="005304D1" w:rsidRPr="007447A6">
        <w:rPr>
          <w:rFonts w:cs="Arial"/>
          <w:sz w:val="18"/>
          <w:highlight w:val="lightGray"/>
          <w:u w:val="single"/>
          <w:lang w:val="es-ES_tradnl"/>
        </w:rPr>
        <w:t>l presente</w:t>
      </w:r>
      <w:r w:rsidRPr="007447A6">
        <w:rPr>
          <w:rFonts w:cs="Arial"/>
          <w:sz w:val="18"/>
          <w:highlight w:val="lightGray"/>
          <w:u w:val="single"/>
          <w:lang w:val="es-ES_tradnl"/>
        </w:rPr>
        <w:t xml:space="preserve"> artículo</w:t>
      </w:r>
      <w:r w:rsidRPr="007447A6">
        <w:rPr>
          <w:rFonts w:cs="Arial"/>
          <w:sz w:val="18"/>
          <w:lang w:val="es-ES_tradnl"/>
        </w:rPr>
        <w:t>.</w:t>
      </w:r>
    </w:p>
    <w:p w:rsidR="00D36510" w:rsidRPr="00CB68F6" w:rsidRDefault="00D36510" w:rsidP="00CB68F6">
      <w:pPr>
        <w:ind w:left="567" w:right="567"/>
        <w:jc w:val="lowKashida"/>
        <w:rPr>
          <w:rFonts w:cs="Arial"/>
          <w:sz w:val="18"/>
        </w:rPr>
      </w:pPr>
    </w:p>
    <w:p w:rsidR="00D36510" w:rsidRPr="00CB68F6" w:rsidRDefault="00D36510" w:rsidP="00CB68F6">
      <w:pPr>
        <w:ind w:left="567" w:right="567"/>
        <w:jc w:val="lowKashida"/>
        <w:rPr>
          <w:rFonts w:cs="Arial"/>
          <w:sz w:val="18"/>
          <w:lang w:bidi="ar-IQ"/>
        </w:rPr>
      </w:pPr>
      <w:r w:rsidRPr="00CB68F6">
        <w:rPr>
          <w:rFonts w:cs="Arial"/>
          <w:sz w:val="18"/>
        </w:rPr>
        <w:t>[…]”</w:t>
      </w:r>
    </w:p>
    <w:p w:rsidR="00677474" w:rsidRDefault="00677474" w:rsidP="00E43B3D">
      <w:pPr>
        <w:jc w:val="left"/>
      </w:pPr>
    </w:p>
    <w:p w:rsidR="007403C0" w:rsidRDefault="002A348C" w:rsidP="00CF2D6B">
      <w:pPr>
        <w:pStyle w:val="Header"/>
        <w:numPr>
          <w:ilvl w:val="0"/>
          <w:numId w:val="6"/>
        </w:numPr>
        <w:jc w:val="both"/>
        <w:rPr>
          <w:lang w:val="en-US"/>
        </w:rPr>
      </w:pPr>
      <w:r w:rsidRPr="00B93130">
        <w:rPr>
          <w:lang w:val="es-ES_tradnl"/>
        </w:rPr>
        <w:t xml:space="preserve">El texto </w:t>
      </w:r>
      <w:r w:rsidR="00E565E7" w:rsidRPr="00B93130">
        <w:rPr>
          <w:lang w:val="es-ES_tradnl"/>
        </w:rPr>
        <w:t>del artículo</w:t>
      </w:r>
      <w:r w:rsidR="007514E1">
        <w:rPr>
          <w:lang w:val="es-ES_tradnl"/>
        </w:rPr>
        <w:t xml:space="preserve"> </w:t>
      </w:r>
      <w:r w:rsidR="00E565E7" w:rsidRPr="00B93130">
        <w:rPr>
          <w:lang w:val="es-ES_tradnl"/>
        </w:rPr>
        <w:t xml:space="preserve">193 (en el </w:t>
      </w:r>
      <w:r w:rsidR="00612350" w:rsidRPr="00B93130">
        <w:rPr>
          <w:lang w:val="es-ES_tradnl"/>
        </w:rPr>
        <w:t>párrafo</w:t>
      </w:r>
      <w:r w:rsidR="007514E1">
        <w:rPr>
          <w:lang w:val="es-ES_tradnl"/>
        </w:rPr>
        <w:t xml:space="preserve"> </w:t>
      </w:r>
      <w:r w:rsidR="00831885" w:rsidRPr="00B93130">
        <w:rPr>
          <w:lang w:val="es-ES_tradnl"/>
        </w:rPr>
        <w:t>3</w:t>
      </w:r>
      <w:r w:rsidR="00E565E7" w:rsidRPr="00B93130">
        <w:rPr>
          <w:lang w:val="es-ES_tradnl"/>
        </w:rPr>
        <w:t>)</w:t>
      </w:r>
      <w:r w:rsidR="00E07157" w:rsidRPr="00B93130">
        <w:rPr>
          <w:lang w:val="es-ES_tradnl"/>
        </w:rPr>
        <w:t xml:space="preserve">, </w:t>
      </w:r>
      <w:r w:rsidR="00E565E7" w:rsidRPr="00B93130">
        <w:rPr>
          <w:lang w:val="es-ES_tradnl"/>
        </w:rPr>
        <w:t>del artículo</w:t>
      </w:r>
      <w:r w:rsidR="007514E1">
        <w:rPr>
          <w:lang w:val="es-ES_tradnl"/>
        </w:rPr>
        <w:t xml:space="preserve"> </w:t>
      </w:r>
      <w:r w:rsidR="00E565E7" w:rsidRPr="00B93130">
        <w:rPr>
          <w:lang w:val="es-ES_tradnl"/>
        </w:rPr>
        <w:t xml:space="preserve">195 (en </w:t>
      </w:r>
      <w:r w:rsidRPr="00B93130">
        <w:rPr>
          <w:lang w:val="es-ES_tradnl"/>
        </w:rPr>
        <w:t xml:space="preserve">el </w:t>
      </w:r>
      <w:r w:rsidR="00612350" w:rsidRPr="00B93130">
        <w:rPr>
          <w:lang w:val="es-ES_tradnl"/>
        </w:rPr>
        <w:t>inciso</w:t>
      </w:r>
      <w:r w:rsidR="007514E1">
        <w:rPr>
          <w:lang w:val="es-ES_tradnl"/>
        </w:rPr>
        <w:t xml:space="preserve"> </w:t>
      </w:r>
      <w:r w:rsidR="00612350" w:rsidRPr="00B93130">
        <w:rPr>
          <w:lang w:val="es-ES_tradnl"/>
        </w:rPr>
        <w:t>iii</w:t>
      </w:r>
      <w:r w:rsidR="0091044E" w:rsidRPr="00B93130">
        <w:rPr>
          <w:lang w:val="es-ES_tradnl"/>
        </w:rPr>
        <w:t>)</w:t>
      </w:r>
      <w:r w:rsidR="00612350" w:rsidRPr="00B93130">
        <w:rPr>
          <w:lang w:val="es-ES_tradnl"/>
        </w:rPr>
        <w:t xml:space="preserve"> del párrafo</w:t>
      </w:r>
      <w:r w:rsidR="007514E1">
        <w:rPr>
          <w:lang w:val="es-ES_tradnl"/>
        </w:rPr>
        <w:t xml:space="preserve"> </w:t>
      </w:r>
      <w:r w:rsidR="00831885" w:rsidRPr="00B93130">
        <w:rPr>
          <w:lang w:val="es-ES_tradnl"/>
        </w:rPr>
        <w:t>1</w:t>
      </w:r>
      <w:r w:rsidR="00E565E7" w:rsidRPr="00B93130">
        <w:rPr>
          <w:lang w:val="es-ES_tradnl"/>
        </w:rPr>
        <w:t xml:space="preserve"> y en el</w:t>
      </w:r>
      <w:r w:rsidR="00612350" w:rsidRPr="00B93130">
        <w:rPr>
          <w:lang w:val="es-ES_tradnl"/>
        </w:rPr>
        <w:t xml:space="preserve"> párrafo</w:t>
      </w:r>
      <w:r w:rsidR="007514E1">
        <w:rPr>
          <w:lang w:val="es-ES_tradnl"/>
        </w:rPr>
        <w:t> </w:t>
      </w:r>
      <w:r w:rsidR="00831885" w:rsidRPr="00B93130">
        <w:rPr>
          <w:lang w:val="es-ES_tradnl"/>
        </w:rPr>
        <w:t>2</w:t>
      </w:r>
      <w:r w:rsidR="00E565E7" w:rsidRPr="00B93130">
        <w:rPr>
          <w:lang w:val="es-ES_tradnl"/>
        </w:rPr>
        <w:t>)</w:t>
      </w:r>
      <w:r w:rsidR="00E07157" w:rsidRPr="00B93130">
        <w:rPr>
          <w:lang w:val="es-ES_tradnl"/>
        </w:rPr>
        <w:t xml:space="preserve">, </w:t>
      </w:r>
      <w:r w:rsidR="007447A6" w:rsidRPr="00B93130">
        <w:rPr>
          <w:lang w:val="es-ES_tradnl"/>
        </w:rPr>
        <w:t>d</w:t>
      </w:r>
      <w:r w:rsidR="00F74577" w:rsidRPr="00B93130">
        <w:rPr>
          <w:lang w:val="es-ES_tradnl"/>
        </w:rPr>
        <w:t>el artículo</w:t>
      </w:r>
      <w:r w:rsidR="007514E1">
        <w:rPr>
          <w:lang w:val="es-ES_tradnl"/>
        </w:rPr>
        <w:t xml:space="preserve"> </w:t>
      </w:r>
      <w:r w:rsidR="00831885" w:rsidRPr="00B93130">
        <w:rPr>
          <w:lang w:val="es-ES_tradnl"/>
        </w:rPr>
        <w:t>2</w:t>
      </w:r>
      <w:r w:rsidRPr="00B93130">
        <w:rPr>
          <w:lang w:val="es-ES_tradnl"/>
        </w:rPr>
        <w:t xml:space="preserve">02 y </w:t>
      </w:r>
      <w:r w:rsidR="007447A6" w:rsidRPr="00B93130">
        <w:rPr>
          <w:lang w:val="es-ES_tradnl"/>
        </w:rPr>
        <w:t>d</w:t>
      </w:r>
      <w:r w:rsidR="00612350" w:rsidRPr="00B93130">
        <w:rPr>
          <w:lang w:val="es-ES_tradnl"/>
        </w:rPr>
        <w:t>el artículo</w:t>
      </w:r>
      <w:r w:rsidR="007514E1">
        <w:rPr>
          <w:lang w:val="es-ES_tradnl"/>
        </w:rPr>
        <w:t xml:space="preserve"> </w:t>
      </w:r>
      <w:r w:rsidR="00831885" w:rsidRPr="00B93130">
        <w:rPr>
          <w:lang w:val="es-ES_tradnl"/>
        </w:rPr>
        <w:t>2</w:t>
      </w:r>
      <w:r w:rsidRPr="00B93130">
        <w:rPr>
          <w:lang w:val="es-ES_tradnl"/>
        </w:rPr>
        <w:t>02</w:t>
      </w:r>
      <w:r w:rsidR="00612350" w:rsidRPr="00B93130">
        <w:rPr>
          <w:lang w:val="es-ES_tradnl"/>
        </w:rPr>
        <w:t>.</w:t>
      </w:r>
      <w:r w:rsidR="00612350" w:rsidRPr="00B93130">
        <w:rPr>
          <w:i/>
          <w:lang w:val="es-ES_tradnl"/>
        </w:rPr>
        <w:t>bis</w:t>
      </w:r>
      <w:r w:rsidR="007514E1">
        <w:rPr>
          <w:lang w:val="es-ES_tradnl"/>
        </w:rPr>
        <w:t xml:space="preserve"> </w:t>
      </w:r>
      <w:r w:rsidRPr="00B93130">
        <w:rPr>
          <w:lang w:val="es-ES_tradnl"/>
        </w:rPr>
        <w:t>(1) de la Ley</w:t>
      </w:r>
      <w:r w:rsidR="00E07157" w:rsidRPr="00B93130">
        <w:rPr>
          <w:lang w:val="es-ES_tradnl"/>
        </w:rPr>
        <w:t xml:space="preserve">, </w:t>
      </w:r>
      <w:r w:rsidRPr="00B93130">
        <w:rPr>
          <w:lang w:val="es-ES_tradnl"/>
        </w:rPr>
        <w:t>modificada por última vez en</w:t>
      </w:r>
      <w:r w:rsidR="007514E1">
        <w:rPr>
          <w:lang w:val="es-ES_tradnl"/>
        </w:rPr>
        <w:t xml:space="preserve"> </w:t>
      </w:r>
      <w:r w:rsidR="00831885" w:rsidRPr="00B93130">
        <w:rPr>
          <w:lang w:val="es-ES_tradnl"/>
        </w:rPr>
        <w:t>2</w:t>
      </w:r>
      <w:r w:rsidRPr="00B93130">
        <w:rPr>
          <w:lang w:val="es-ES_tradnl"/>
        </w:rPr>
        <w:t>019</w:t>
      </w:r>
      <w:r w:rsidR="00E07157" w:rsidRPr="00B93130">
        <w:rPr>
          <w:lang w:val="es-ES_tradnl"/>
        </w:rPr>
        <w:t xml:space="preserve">, </w:t>
      </w:r>
      <w:r w:rsidR="001E1BE7" w:rsidRPr="00B93130">
        <w:rPr>
          <w:lang w:val="es-ES_tradnl"/>
        </w:rPr>
        <w:t>difiere del texto</w:t>
      </w:r>
      <w:r w:rsidRPr="00B93130">
        <w:rPr>
          <w:lang w:val="es-ES_tradnl"/>
        </w:rPr>
        <w:t xml:space="preserve"> de las </w:t>
      </w:r>
      <w:r w:rsidR="008E4B12" w:rsidRPr="00B93130">
        <w:rPr>
          <w:lang w:val="es-ES_tradnl"/>
        </w:rPr>
        <w:t xml:space="preserve">correspondientes </w:t>
      </w:r>
      <w:r w:rsidRPr="00B93130">
        <w:rPr>
          <w:lang w:val="es-ES_tradnl"/>
        </w:rPr>
        <w:t xml:space="preserve">disposiciones del </w:t>
      </w:r>
      <w:r w:rsidR="00612350" w:rsidRPr="00B93130">
        <w:rPr>
          <w:lang w:val="es-ES_tradnl"/>
        </w:rPr>
        <w:t xml:space="preserve">proyecto de </w:t>
      </w:r>
      <w:r w:rsidRPr="00B93130">
        <w:rPr>
          <w:lang w:val="es-ES_tradnl"/>
        </w:rPr>
        <w:t xml:space="preserve">Ley que </w:t>
      </w:r>
      <w:r w:rsidR="00612350" w:rsidRPr="00B93130">
        <w:rPr>
          <w:lang w:val="es-ES_tradnl"/>
        </w:rPr>
        <w:t>se presentó</w:t>
      </w:r>
      <w:r w:rsidRPr="00B93130">
        <w:rPr>
          <w:lang w:val="es-ES_tradnl"/>
        </w:rPr>
        <w:t xml:space="preserve"> al Consejo el</w:t>
      </w:r>
      <w:r w:rsidR="007514E1">
        <w:rPr>
          <w:lang w:val="es-ES_tradnl"/>
        </w:rPr>
        <w:t xml:space="preserve"> </w:t>
      </w:r>
      <w:r w:rsidR="00831885" w:rsidRPr="00B93130">
        <w:rPr>
          <w:lang w:val="es-ES_tradnl"/>
        </w:rPr>
        <w:t>2</w:t>
      </w:r>
      <w:r w:rsidRPr="00B93130">
        <w:rPr>
          <w:lang w:val="es-ES_tradnl"/>
        </w:rPr>
        <w:t>7 de marzo de</w:t>
      </w:r>
      <w:r w:rsidR="007514E1">
        <w:rPr>
          <w:lang w:val="es-ES_tradnl"/>
        </w:rPr>
        <w:t xml:space="preserve"> </w:t>
      </w:r>
      <w:r w:rsidR="00831885" w:rsidRPr="00B93130">
        <w:rPr>
          <w:lang w:val="es-ES_tradnl"/>
        </w:rPr>
        <w:t>2</w:t>
      </w:r>
      <w:r w:rsidR="007514E1">
        <w:rPr>
          <w:lang w:val="es-ES_tradnl"/>
        </w:rPr>
        <w:t>015 (los </w:t>
      </w:r>
      <w:r w:rsidRPr="00B93130">
        <w:rPr>
          <w:lang w:val="es-ES_tradnl"/>
        </w:rPr>
        <w:t xml:space="preserve">cambios se </w:t>
      </w:r>
      <w:r w:rsidR="00612350" w:rsidRPr="00B93130">
        <w:rPr>
          <w:lang w:val="es-ES_tradnl"/>
        </w:rPr>
        <w:t>muestran</w:t>
      </w:r>
      <w:r w:rsidRPr="00B93130">
        <w:rPr>
          <w:lang w:val="es-ES_tradnl"/>
        </w:rPr>
        <w:t xml:space="preserve"> con marcas de revisión).</w:t>
      </w:r>
    </w:p>
    <w:p w:rsidR="007403C0" w:rsidRDefault="007403C0" w:rsidP="007403C0">
      <w:pPr>
        <w:tabs>
          <w:tab w:val="left" w:pos="5387"/>
          <w:tab w:val="left" w:pos="5954"/>
        </w:tabs>
        <w:rPr>
          <w:i/>
          <w:spacing w:val="-2"/>
        </w:rPr>
      </w:pPr>
    </w:p>
    <w:p w:rsidR="007403C0" w:rsidRPr="000F074A" w:rsidRDefault="00CD3C59" w:rsidP="000F074A">
      <w:pPr>
        <w:keepNext/>
        <w:autoSpaceDE w:val="0"/>
        <w:autoSpaceDN w:val="0"/>
        <w:adjustRightInd w:val="0"/>
        <w:spacing w:line="230" w:lineRule="atLeast"/>
        <w:ind w:left="567" w:right="567"/>
        <w:jc w:val="lowKashida"/>
        <w:rPr>
          <w:bCs/>
          <w:sz w:val="18"/>
        </w:rPr>
      </w:pPr>
      <w:r w:rsidRPr="00B93130">
        <w:rPr>
          <w:bCs/>
          <w:sz w:val="18"/>
          <w:lang w:val="es-ES_tradnl"/>
        </w:rPr>
        <w:t>“Artículo</w:t>
      </w:r>
      <w:r w:rsidR="007514E1">
        <w:rPr>
          <w:bCs/>
          <w:sz w:val="18"/>
          <w:lang w:val="es-ES_tradnl"/>
        </w:rPr>
        <w:t xml:space="preserve"> </w:t>
      </w:r>
      <w:r w:rsidR="00831885" w:rsidRPr="00B93130">
        <w:rPr>
          <w:bCs/>
          <w:sz w:val="18"/>
          <w:lang w:val="es-ES_tradnl"/>
        </w:rPr>
        <w:t>1</w:t>
      </w:r>
      <w:r w:rsidRPr="00B93130">
        <w:rPr>
          <w:bCs/>
          <w:sz w:val="18"/>
          <w:lang w:val="es-ES_tradnl"/>
        </w:rPr>
        <w:t>93” (párrafo</w:t>
      </w:r>
      <w:r w:rsidR="007514E1">
        <w:rPr>
          <w:bCs/>
          <w:sz w:val="18"/>
          <w:lang w:val="es-ES_tradnl"/>
        </w:rPr>
        <w:t xml:space="preserve"> </w:t>
      </w:r>
      <w:r w:rsidR="00831885" w:rsidRPr="00B93130">
        <w:rPr>
          <w:bCs/>
          <w:sz w:val="18"/>
          <w:lang w:val="es-ES_tradnl"/>
        </w:rPr>
        <w:t>3</w:t>
      </w:r>
      <w:r w:rsidRPr="00B93130">
        <w:rPr>
          <w:bCs/>
          <w:sz w:val="18"/>
          <w:lang w:val="es-ES_tradnl"/>
        </w:rPr>
        <w:t>)</w:t>
      </w:r>
    </w:p>
    <w:p w:rsidR="007403C0" w:rsidRPr="000F074A" w:rsidRDefault="007403C0" w:rsidP="000F074A">
      <w:pPr>
        <w:keepNext/>
        <w:autoSpaceDE w:val="0"/>
        <w:autoSpaceDN w:val="0"/>
        <w:adjustRightInd w:val="0"/>
        <w:spacing w:line="230" w:lineRule="atLeast"/>
        <w:ind w:left="567" w:right="567"/>
        <w:jc w:val="lowKashida"/>
        <w:rPr>
          <w:bCs/>
          <w:sz w:val="18"/>
        </w:rPr>
      </w:pPr>
      <w:r w:rsidRPr="000F074A">
        <w:rPr>
          <w:bCs/>
          <w:sz w:val="18"/>
        </w:rPr>
        <w:t>[…]</w:t>
      </w:r>
    </w:p>
    <w:p w:rsidR="007403C0" w:rsidRPr="000F074A" w:rsidRDefault="00467C68" w:rsidP="000F074A">
      <w:pPr>
        <w:ind w:left="567" w:right="567" w:firstLine="567"/>
        <w:jc w:val="lowKashida"/>
        <w:rPr>
          <w:sz w:val="18"/>
        </w:rPr>
      </w:pPr>
      <w:r w:rsidRPr="00B93130">
        <w:rPr>
          <w:sz w:val="18"/>
          <w:lang w:val="es-ES_tradnl"/>
        </w:rPr>
        <w:t>No obstante</w:t>
      </w:r>
      <w:r w:rsidR="00E07157" w:rsidRPr="00B93130">
        <w:rPr>
          <w:sz w:val="18"/>
          <w:lang w:val="es-ES_tradnl"/>
        </w:rPr>
        <w:t xml:space="preserve">, </w:t>
      </w:r>
      <w:r w:rsidR="00D74530" w:rsidRPr="00B93130">
        <w:rPr>
          <w:sz w:val="18"/>
          <w:lang w:val="es-ES_tradnl"/>
        </w:rPr>
        <w:t xml:space="preserve">se aplicarán medidas </w:t>
      </w:r>
      <w:r w:rsidRPr="00B93130">
        <w:rPr>
          <w:sz w:val="18"/>
          <w:lang w:val="es-ES_tradnl"/>
        </w:rPr>
        <w:t>provisional</w:t>
      </w:r>
      <w:r w:rsidR="00D74530" w:rsidRPr="00B93130">
        <w:rPr>
          <w:sz w:val="18"/>
          <w:lang w:val="es-ES_tradnl"/>
        </w:rPr>
        <w:t>es</w:t>
      </w:r>
      <w:r w:rsidRPr="00B93130">
        <w:rPr>
          <w:sz w:val="18"/>
          <w:lang w:val="es-ES_tradnl"/>
        </w:rPr>
        <w:t xml:space="preserve"> </w:t>
      </w:r>
      <w:r w:rsidR="00D74530" w:rsidRPr="00B93130">
        <w:rPr>
          <w:sz w:val="18"/>
          <w:lang w:val="es-ES_tradnl"/>
        </w:rPr>
        <w:t>par</w:t>
      </w:r>
      <w:r w:rsidRPr="00B93130">
        <w:rPr>
          <w:sz w:val="18"/>
          <w:lang w:val="es-ES_tradnl"/>
        </w:rPr>
        <w:t>a sa</w:t>
      </w:r>
      <w:r w:rsidR="00D74530" w:rsidRPr="00B93130">
        <w:rPr>
          <w:sz w:val="18"/>
          <w:lang w:val="es-ES_tradnl"/>
        </w:rPr>
        <w:t xml:space="preserve">lvaguardar los </w:t>
      </w:r>
      <w:r w:rsidRPr="00B93130">
        <w:rPr>
          <w:sz w:val="18"/>
          <w:lang w:val="es-ES_tradnl"/>
        </w:rPr>
        <w:t xml:space="preserve">intereses </w:t>
      </w:r>
      <w:r w:rsidR="00D74530" w:rsidRPr="00B93130">
        <w:rPr>
          <w:sz w:val="18"/>
          <w:lang w:val="es-ES_tradnl"/>
        </w:rPr>
        <w:t>d</w:t>
      </w:r>
      <w:r w:rsidRPr="00B93130">
        <w:rPr>
          <w:sz w:val="18"/>
          <w:lang w:val="es-ES_tradnl"/>
        </w:rPr>
        <w:t xml:space="preserve">el obtentor </w:t>
      </w:r>
      <w:r w:rsidR="00D74530" w:rsidRPr="00B93130">
        <w:rPr>
          <w:sz w:val="18"/>
          <w:lang w:val="es-ES_tradnl"/>
        </w:rPr>
        <w:t>durante el período que transcurre entre la fecha de</w:t>
      </w:r>
      <w:r w:rsidRPr="00B93130">
        <w:rPr>
          <w:sz w:val="18"/>
          <w:lang w:val="es-ES_tradnl"/>
        </w:rPr>
        <w:t xml:space="preserve"> </w:t>
      </w:r>
      <w:r w:rsidRPr="00B93130">
        <w:rPr>
          <w:sz w:val="18"/>
          <w:highlight w:val="lightGray"/>
          <w:u w:val="single"/>
          <w:lang w:val="es-ES_tradnl"/>
        </w:rPr>
        <w:t>presentación</w:t>
      </w:r>
      <w:r w:rsidRPr="00B93130">
        <w:rPr>
          <w:sz w:val="18"/>
          <w:lang w:val="es-ES_tradnl"/>
        </w:rPr>
        <w:t xml:space="preserve"> </w:t>
      </w:r>
      <w:r w:rsidRPr="00B93130">
        <w:rPr>
          <w:strike/>
          <w:sz w:val="18"/>
          <w:highlight w:val="lightGray"/>
          <w:lang w:val="es-ES_tradnl"/>
        </w:rPr>
        <w:t xml:space="preserve">publicación de </w:t>
      </w:r>
      <w:r w:rsidR="00D74530" w:rsidRPr="00B93130">
        <w:rPr>
          <w:strike/>
          <w:sz w:val="18"/>
          <w:highlight w:val="lightGray"/>
          <w:lang w:val="es-ES_tradnl"/>
        </w:rPr>
        <w:t xml:space="preserve">la </w:t>
      </w:r>
      <w:r w:rsidRPr="00B93130">
        <w:rPr>
          <w:strike/>
          <w:sz w:val="18"/>
          <w:highlight w:val="lightGray"/>
          <w:lang w:val="es-ES_tradnl"/>
        </w:rPr>
        <w:t>solicitud</w:t>
      </w:r>
      <w:r w:rsidRPr="00B93130">
        <w:rPr>
          <w:sz w:val="18"/>
          <w:lang w:val="es-ES_tradnl"/>
        </w:rPr>
        <w:t xml:space="preserve"> y </w:t>
      </w:r>
      <w:r w:rsidR="00D74530" w:rsidRPr="00B93130">
        <w:rPr>
          <w:sz w:val="18"/>
          <w:lang w:val="es-ES_tradnl"/>
        </w:rPr>
        <w:t xml:space="preserve">la concesión </w:t>
      </w:r>
      <w:r w:rsidRPr="00B93130">
        <w:rPr>
          <w:sz w:val="18"/>
          <w:lang w:val="es-ES_tradnl"/>
        </w:rPr>
        <w:t xml:space="preserve">de </w:t>
      </w:r>
      <w:r w:rsidR="00D74530" w:rsidRPr="00B93130">
        <w:rPr>
          <w:sz w:val="18"/>
          <w:lang w:val="es-ES_tradnl"/>
        </w:rPr>
        <w:t xml:space="preserve">la </w:t>
      </w:r>
      <w:r w:rsidRPr="00B93130">
        <w:rPr>
          <w:sz w:val="18"/>
          <w:lang w:val="es-ES_tradnl"/>
        </w:rPr>
        <w:t>protección.</w:t>
      </w:r>
      <w:r w:rsidR="00E13ED4">
        <w:rPr>
          <w:sz w:val="18"/>
        </w:rPr>
        <w:t xml:space="preserve"> </w:t>
      </w:r>
      <w:r w:rsidR="00FA5E1E" w:rsidRPr="00B93130">
        <w:rPr>
          <w:sz w:val="18"/>
          <w:highlight w:val="lightGray"/>
          <w:u w:val="single"/>
          <w:lang w:val="es-ES_tradnl"/>
        </w:rPr>
        <w:t>Tales medidas provisionales se</w:t>
      </w:r>
      <w:r w:rsidR="00E26BA4" w:rsidRPr="00B93130">
        <w:rPr>
          <w:sz w:val="18"/>
          <w:highlight w:val="lightGray"/>
          <w:u w:val="single"/>
          <w:lang w:val="es-ES_tradnl"/>
        </w:rPr>
        <w:t>rán</w:t>
      </w:r>
      <w:r w:rsidR="00FA5E1E" w:rsidRPr="00B93130">
        <w:rPr>
          <w:sz w:val="18"/>
          <w:highlight w:val="lightGray"/>
          <w:u w:val="single"/>
          <w:lang w:val="es-ES_tradnl"/>
        </w:rPr>
        <w:t xml:space="preserve"> aplica</w:t>
      </w:r>
      <w:r w:rsidR="00E26BA4" w:rsidRPr="00B93130">
        <w:rPr>
          <w:sz w:val="18"/>
          <w:highlight w:val="lightGray"/>
          <w:u w:val="single"/>
          <w:lang w:val="es-ES_tradnl"/>
        </w:rPr>
        <w:t>bles</w:t>
      </w:r>
      <w:r w:rsidR="00FA5E1E" w:rsidRPr="00B93130">
        <w:rPr>
          <w:sz w:val="18"/>
          <w:highlight w:val="lightGray"/>
          <w:u w:val="single"/>
          <w:lang w:val="es-ES_tradnl"/>
        </w:rPr>
        <w:t xml:space="preserve"> únicamente a quienes el obtentor haya notificado la presentación.</w:t>
      </w:r>
    </w:p>
    <w:p w:rsidR="007403C0" w:rsidRPr="000F074A" w:rsidRDefault="007403C0" w:rsidP="000F074A">
      <w:pPr>
        <w:ind w:left="567" w:right="567" w:firstLine="567"/>
        <w:jc w:val="lowKashida"/>
        <w:rPr>
          <w:sz w:val="18"/>
        </w:rPr>
      </w:pPr>
    </w:p>
    <w:p w:rsidR="007403C0" w:rsidRPr="000F074A" w:rsidRDefault="006B6791" w:rsidP="00AD047A">
      <w:pPr>
        <w:keepNext/>
        <w:autoSpaceDE w:val="0"/>
        <w:autoSpaceDN w:val="0"/>
        <w:adjustRightInd w:val="0"/>
        <w:ind w:left="567" w:right="567" w:firstLine="567"/>
        <w:jc w:val="lowKashida"/>
        <w:rPr>
          <w:bCs/>
          <w:sz w:val="18"/>
        </w:rPr>
      </w:pPr>
      <w:r w:rsidRPr="00B93130">
        <w:rPr>
          <w:bCs/>
          <w:sz w:val="18"/>
          <w:lang w:val="es-ES_tradnl"/>
        </w:rPr>
        <w:t>En virtud de dichas medidas provisionales</w:t>
      </w:r>
      <w:r w:rsidR="00E07157" w:rsidRPr="00B93130">
        <w:rPr>
          <w:bCs/>
          <w:sz w:val="18"/>
          <w:lang w:val="es-ES_tradnl"/>
        </w:rPr>
        <w:t xml:space="preserve">, </w:t>
      </w:r>
      <w:r w:rsidRPr="00B93130">
        <w:rPr>
          <w:bCs/>
          <w:sz w:val="18"/>
          <w:lang w:val="es-ES_tradnl"/>
        </w:rPr>
        <w:t xml:space="preserve">el titular del derecho de obtentor tiene derecho a una remuneración equitativa </w:t>
      </w:r>
      <w:r w:rsidR="007F458C" w:rsidRPr="00B93130">
        <w:rPr>
          <w:bCs/>
          <w:sz w:val="18"/>
          <w:lang w:val="es-ES_tradnl"/>
        </w:rPr>
        <w:t>percibida de quien</w:t>
      </w:r>
      <w:r w:rsidR="00E07157" w:rsidRPr="00B93130">
        <w:rPr>
          <w:bCs/>
          <w:sz w:val="18"/>
          <w:lang w:val="es-ES_tradnl"/>
        </w:rPr>
        <w:t xml:space="preserve">, </w:t>
      </w:r>
      <w:r w:rsidR="00AE1170" w:rsidRPr="00B93130">
        <w:rPr>
          <w:bCs/>
          <w:sz w:val="18"/>
          <w:lang w:val="es-ES_tradnl"/>
        </w:rPr>
        <w:t xml:space="preserve">durante </w:t>
      </w:r>
      <w:r w:rsidR="007F458C" w:rsidRPr="00B93130">
        <w:rPr>
          <w:bCs/>
          <w:sz w:val="18"/>
          <w:lang w:val="es-ES_tradnl"/>
        </w:rPr>
        <w:t>el período indicado en el párrafo anterior</w:t>
      </w:r>
      <w:r w:rsidR="00E07157" w:rsidRPr="00B93130">
        <w:rPr>
          <w:bCs/>
          <w:sz w:val="18"/>
          <w:lang w:val="es-ES_tradnl"/>
        </w:rPr>
        <w:t xml:space="preserve">, </w:t>
      </w:r>
      <w:r w:rsidR="00454268" w:rsidRPr="00B93130">
        <w:rPr>
          <w:bCs/>
          <w:sz w:val="18"/>
          <w:lang w:val="es-ES_tradnl"/>
        </w:rPr>
        <w:t>haya realizado actos que</w:t>
      </w:r>
      <w:r w:rsidR="00E07157" w:rsidRPr="00B93130">
        <w:rPr>
          <w:bCs/>
          <w:sz w:val="18"/>
          <w:lang w:val="es-ES_tradnl"/>
        </w:rPr>
        <w:t xml:space="preserve">, </w:t>
      </w:r>
      <w:r w:rsidR="00454268" w:rsidRPr="00B93130">
        <w:rPr>
          <w:bCs/>
          <w:sz w:val="18"/>
          <w:lang w:val="es-ES_tradnl"/>
        </w:rPr>
        <w:t>tras la concesión del derecho</w:t>
      </w:r>
      <w:r w:rsidR="00E07157" w:rsidRPr="00B93130">
        <w:rPr>
          <w:bCs/>
          <w:sz w:val="18"/>
          <w:lang w:val="es-ES_tradnl"/>
        </w:rPr>
        <w:t xml:space="preserve">, </w:t>
      </w:r>
      <w:r w:rsidR="00541476" w:rsidRPr="00B93130">
        <w:rPr>
          <w:bCs/>
          <w:sz w:val="18"/>
          <w:lang w:val="es-ES_tradnl"/>
        </w:rPr>
        <w:t>requieran la autorización del obtentor de conformidad con lo dispuesto en el artículo</w:t>
      </w:r>
      <w:r w:rsidR="007514E1">
        <w:rPr>
          <w:bCs/>
          <w:sz w:val="18"/>
          <w:lang w:val="es-ES_tradnl"/>
        </w:rPr>
        <w:t xml:space="preserve"> </w:t>
      </w:r>
      <w:r w:rsidR="00831885" w:rsidRPr="00B93130">
        <w:rPr>
          <w:bCs/>
          <w:sz w:val="18"/>
          <w:lang w:val="es-ES_tradnl"/>
        </w:rPr>
        <w:t>1</w:t>
      </w:r>
      <w:r w:rsidRPr="00B93130">
        <w:rPr>
          <w:bCs/>
          <w:sz w:val="18"/>
          <w:lang w:val="es-ES_tradnl"/>
        </w:rPr>
        <w:t xml:space="preserve">94 de </w:t>
      </w:r>
      <w:r w:rsidR="00541476" w:rsidRPr="00B93130">
        <w:rPr>
          <w:bCs/>
          <w:sz w:val="18"/>
          <w:lang w:val="es-ES_tradnl"/>
        </w:rPr>
        <w:t>la presente Ley</w:t>
      </w:r>
      <w:r w:rsidRPr="00B93130">
        <w:rPr>
          <w:bCs/>
          <w:sz w:val="18"/>
          <w:lang w:val="es-ES_tradnl"/>
        </w:rPr>
        <w:t>.”</w:t>
      </w:r>
    </w:p>
    <w:p w:rsidR="007403C0" w:rsidRDefault="007403C0" w:rsidP="00AD047A">
      <w:pPr>
        <w:ind w:left="567" w:right="567"/>
        <w:jc w:val="lowKashida"/>
        <w:rPr>
          <w:sz w:val="18"/>
        </w:rPr>
      </w:pPr>
    </w:p>
    <w:p w:rsidR="008F204E" w:rsidRPr="000F074A" w:rsidRDefault="008F204E" w:rsidP="00AD047A">
      <w:pPr>
        <w:ind w:left="567" w:right="567"/>
        <w:jc w:val="lowKashida"/>
        <w:rPr>
          <w:sz w:val="18"/>
        </w:rPr>
      </w:pPr>
    </w:p>
    <w:p w:rsidR="00B22DD0" w:rsidRPr="000F074A" w:rsidRDefault="00F358AD" w:rsidP="007514E1">
      <w:pPr>
        <w:keepNext/>
        <w:ind w:left="567" w:right="567"/>
        <w:jc w:val="left"/>
        <w:rPr>
          <w:sz w:val="18"/>
        </w:rPr>
      </w:pPr>
      <w:r w:rsidRPr="00B93130">
        <w:rPr>
          <w:sz w:val="18"/>
          <w:lang w:val="es-ES_tradnl"/>
        </w:rPr>
        <w:lastRenderedPageBreak/>
        <w:t>“Artículo</w:t>
      </w:r>
      <w:r w:rsidR="007514E1">
        <w:rPr>
          <w:sz w:val="18"/>
          <w:lang w:val="es-ES_tradnl"/>
        </w:rPr>
        <w:t xml:space="preserve"> </w:t>
      </w:r>
      <w:r w:rsidR="00831885" w:rsidRPr="00B93130">
        <w:rPr>
          <w:sz w:val="18"/>
          <w:lang w:val="es-ES_tradnl"/>
        </w:rPr>
        <w:t>1</w:t>
      </w:r>
      <w:r w:rsidRPr="00B93130">
        <w:rPr>
          <w:sz w:val="18"/>
          <w:lang w:val="es-ES_tradnl"/>
        </w:rPr>
        <w:t>95” (</w:t>
      </w:r>
      <w:r w:rsidRPr="00B93130">
        <w:rPr>
          <w:bCs/>
          <w:sz w:val="18"/>
          <w:lang w:val="es-ES_tradnl"/>
        </w:rPr>
        <w:t>párrafo</w:t>
      </w:r>
      <w:r w:rsidR="007514E1">
        <w:rPr>
          <w:bCs/>
          <w:sz w:val="18"/>
          <w:lang w:val="es-ES_tradnl"/>
        </w:rPr>
        <w:t xml:space="preserve"> </w:t>
      </w:r>
      <w:r w:rsidR="00831885" w:rsidRPr="00B93130">
        <w:rPr>
          <w:bCs/>
          <w:sz w:val="18"/>
          <w:lang w:val="es-ES_tradnl"/>
        </w:rPr>
        <w:t>1</w:t>
      </w:r>
      <w:r w:rsidR="00E07157" w:rsidRPr="00B93130">
        <w:rPr>
          <w:bCs/>
          <w:sz w:val="18"/>
          <w:lang w:val="es-ES_tradnl"/>
        </w:rPr>
        <w:t xml:space="preserve">, </w:t>
      </w:r>
      <w:r w:rsidRPr="00B93130">
        <w:rPr>
          <w:bCs/>
          <w:sz w:val="18"/>
          <w:lang w:val="es-ES_tradnl"/>
        </w:rPr>
        <w:t>inciso</w:t>
      </w:r>
      <w:r w:rsidR="007514E1">
        <w:rPr>
          <w:bCs/>
          <w:sz w:val="18"/>
          <w:lang w:val="es-ES_tradnl"/>
        </w:rPr>
        <w:t xml:space="preserve"> </w:t>
      </w:r>
      <w:r w:rsidRPr="00B93130">
        <w:rPr>
          <w:bCs/>
          <w:sz w:val="18"/>
          <w:lang w:val="es-ES_tradnl"/>
        </w:rPr>
        <w:t>iii))</w:t>
      </w:r>
    </w:p>
    <w:p w:rsidR="00B22DD0" w:rsidRPr="000F074A" w:rsidRDefault="00B22DD0" w:rsidP="007514E1">
      <w:pPr>
        <w:keepNext/>
        <w:ind w:left="567" w:right="567"/>
        <w:jc w:val="left"/>
        <w:rPr>
          <w:sz w:val="18"/>
        </w:rPr>
      </w:pPr>
    </w:p>
    <w:p w:rsidR="00B22DD0" w:rsidRPr="000F074A" w:rsidRDefault="004A72C7" w:rsidP="00AD047A">
      <w:pPr>
        <w:ind w:left="567" w:right="567"/>
        <w:jc w:val="left"/>
        <w:rPr>
          <w:sz w:val="18"/>
        </w:rPr>
      </w:pPr>
      <w:r w:rsidRPr="00B93130">
        <w:rPr>
          <w:sz w:val="18"/>
          <w:lang w:val="es-ES_tradnl"/>
        </w:rPr>
        <w:t>El derecho de obtentor no se extenderá:</w:t>
      </w:r>
    </w:p>
    <w:p w:rsidR="00B22DD0" w:rsidRPr="000F074A" w:rsidRDefault="00B22DD0" w:rsidP="00AD047A">
      <w:pPr>
        <w:ind w:left="567" w:right="567"/>
        <w:jc w:val="left"/>
        <w:rPr>
          <w:sz w:val="18"/>
        </w:rPr>
      </w:pPr>
      <w:r w:rsidRPr="000F074A">
        <w:rPr>
          <w:sz w:val="18"/>
        </w:rPr>
        <w:t>[…]</w:t>
      </w:r>
    </w:p>
    <w:p w:rsidR="00B22DD0" w:rsidRPr="000F074A" w:rsidRDefault="004A72C7" w:rsidP="00AD047A">
      <w:pPr>
        <w:ind w:left="567" w:right="567"/>
        <w:jc w:val="left"/>
        <w:rPr>
          <w:sz w:val="18"/>
        </w:rPr>
      </w:pPr>
      <w:r w:rsidRPr="00B93130">
        <w:rPr>
          <w:sz w:val="18"/>
          <w:highlight w:val="lightGray"/>
          <w:u w:val="single"/>
          <w:lang w:val="es-ES_tradnl"/>
        </w:rPr>
        <w:t>iii)</w:t>
      </w:r>
      <w:r w:rsidR="00B22DD0" w:rsidRPr="000F074A">
        <w:rPr>
          <w:sz w:val="18"/>
        </w:rPr>
        <w:tab/>
      </w:r>
      <w:r w:rsidRPr="00B93130">
        <w:rPr>
          <w:strike/>
          <w:sz w:val="18"/>
          <w:highlight w:val="lightGray"/>
          <w:lang w:val="es-ES_tradnl"/>
        </w:rPr>
        <w:t>c)</w:t>
      </w:r>
      <w:r w:rsidR="00B22DD0" w:rsidRPr="000F074A">
        <w:rPr>
          <w:sz w:val="18"/>
        </w:rPr>
        <w:t xml:space="preserve"> </w:t>
      </w:r>
      <w:r w:rsidR="00B22DD0" w:rsidRPr="000F074A">
        <w:rPr>
          <w:sz w:val="18"/>
        </w:rPr>
        <w:tab/>
      </w:r>
      <w:r w:rsidR="00BF28A6" w:rsidRPr="00B93130">
        <w:rPr>
          <w:sz w:val="18"/>
          <w:lang w:val="es-ES_tradnl"/>
        </w:rPr>
        <w:t xml:space="preserve">a </w:t>
      </w:r>
      <w:r w:rsidRPr="00B93130">
        <w:rPr>
          <w:sz w:val="18"/>
          <w:lang w:val="es-ES_tradnl"/>
        </w:rPr>
        <w:t>los actos realizados a los fines de la creación de otras nuevas variedades</w:t>
      </w:r>
      <w:r w:rsidR="00E07157" w:rsidRPr="00B93130">
        <w:rPr>
          <w:sz w:val="18"/>
          <w:lang w:val="es-ES_tradnl"/>
        </w:rPr>
        <w:t xml:space="preserve">, </w:t>
      </w:r>
      <w:r w:rsidRPr="00B93130">
        <w:rPr>
          <w:sz w:val="18"/>
          <w:lang w:val="es-ES_tradnl"/>
        </w:rPr>
        <w:t>así como</w:t>
      </w:r>
      <w:r w:rsidR="00E07157" w:rsidRPr="00B93130">
        <w:rPr>
          <w:sz w:val="18"/>
          <w:lang w:val="es-ES_tradnl"/>
        </w:rPr>
        <w:t xml:space="preserve">, </w:t>
      </w:r>
      <w:r w:rsidRPr="00B93130">
        <w:rPr>
          <w:sz w:val="18"/>
          <w:lang w:val="es-ES_tradnl"/>
        </w:rPr>
        <w:t xml:space="preserve">a menos que sean aplicables las disposiciones del </w:t>
      </w:r>
      <w:r w:rsidRPr="00B93130">
        <w:rPr>
          <w:sz w:val="18"/>
          <w:highlight w:val="lightGray"/>
          <w:u w:val="single"/>
          <w:lang w:val="es-ES_tradnl"/>
        </w:rPr>
        <w:t>párrafo</w:t>
      </w:r>
      <w:r w:rsidR="007514E1">
        <w:rPr>
          <w:sz w:val="18"/>
          <w:highlight w:val="lightGray"/>
          <w:u w:val="single"/>
          <w:lang w:val="es-ES_tradnl"/>
        </w:rPr>
        <w:t xml:space="preserve"> </w:t>
      </w:r>
      <w:r w:rsidR="00831885" w:rsidRPr="00B93130">
        <w:rPr>
          <w:sz w:val="18"/>
          <w:highlight w:val="lightGray"/>
          <w:u w:val="single"/>
          <w:lang w:val="es-ES_tradnl"/>
        </w:rPr>
        <w:t>4</w:t>
      </w:r>
      <w:r w:rsidRPr="00B93130">
        <w:rPr>
          <w:sz w:val="18"/>
          <w:lang w:val="es-ES_tradnl"/>
        </w:rPr>
        <w:t xml:space="preserve"> de</w:t>
      </w:r>
      <w:r w:rsidR="00AC44C9" w:rsidRPr="00B93130">
        <w:rPr>
          <w:sz w:val="18"/>
          <w:lang w:val="es-ES_tradnl"/>
        </w:rPr>
        <w:t>l</w:t>
      </w:r>
      <w:r w:rsidRPr="00B93130">
        <w:rPr>
          <w:sz w:val="18"/>
          <w:lang w:val="es-ES_tradnl"/>
        </w:rPr>
        <w:t xml:space="preserve"> </w:t>
      </w:r>
      <w:r w:rsidR="00AC44C9" w:rsidRPr="00B93130">
        <w:rPr>
          <w:sz w:val="18"/>
          <w:lang w:val="es-ES_tradnl"/>
        </w:rPr>
        <w:t>artículo</w:t>
      </w:r>
      <w:r w:rsidR="007514E1">
        <w:rPr>
          <w:sz w:val="18"/>
          <w:lang w:val="es-ES_tradnl"/>
        </w:rPr>
        <w:t xml:space="preserve"> </w:t>
      </w:r>
      <w:r w:rsidR="00831885" w:rsidRPr="00B93130">
        <w:rPr>
          <w:sz w:val="18"/>
          <w:lang w:val="es-ES_tradnl"/>
        </w:rPr>
        <w:t>1</w:t>
      </w:r>
      <w:r w:rsidRPr="00B93130">
        <w:rPr>
          <w:sz w:val="18"/>
          <w:lang w:val="es-ES_tradnl"/>
        </w:rPr>
        <w:t>94</w:t>
      </w:r>
      <w:r w:rsidRPr="00B93130">
        <w:rPr>
          <w:strike/>
          <w:sz w:val="18"/>
          <w:highlight w:val="lightGray"/>
          <w:lang w:val="es-ES_tradnl"/>
        </w:rPr>
        <w:t>(3)</w:t>
      </w:r>
      <w:r w:rsidRPr="00B93130">
        <w:rPr>
          <w:sz w:val="18"/>
          <w:lang w:val="es-ES_tradnl"/>
        </w:rPr>
        <w:t xml:space="preserve"> de </w:t>
      </w:r>
      <w:r w:rsidR="00AC44C9" w:rsidRPr="00B93130">
        <w:rPr>
          <w:sz w:val="18"/>
          <w:lang w:val="es-ES_tradnl"/>
        </w:rPr>
        <w:t>la presente</w:t>
      </w:r>
      <w:r w:rsidRPr="00B93130">
        <w:rPr>
          <w:sz w:val="18"/>
          <w:lang w:val="es-ES_tradnl"/>
        </w:rPr>
        <w:t xml:space="preserve"> Ley</w:t>
      </w:r>
      <w:r w:rsidR="00E07157" w:rsidRPr="00B93130">
        <w:rPr>
          <w:sz w:val="18"/>
          <w:lang w:val="es-ES_tradnl"/>
        </w:rPr>
        <w:t xml:space="preserve">, </w:t>
      </w:r>
      <w:r w:rsidR="002366ED" w:rsidRPr="00B93130">
        <w:rPr>
          <w:sz w:val="18"/>
          <w:lang w:val="es-ES_tradnl"/>
        </w:rPr>
        <w:t xml:space="preserve">a los actos </w:t>
      </w:r>
      <w:r w:rsidRPr="00B93130">
        <w:rPr>
          <w:sz w:val="18"/>
          <w:highlight w:val="lightGray"/>
          <w:u w:val="single"/>
          <w:lang w:val="es-ES_tradnl"/>
        </w:rPr>
        <w:t>pr</w:t>
      </w:r>
      <w:r w:rsidR="002366ED" w:rsidRPr="00B93130">
        <w:rPr>
          <w:sz w:val="18"/>
          <w:highlight w:val="lightGray"/>
          <w:u w:val="single"/>
          <w:lang w:val="es-ES_tradnl"/>
        </w:rPr>
        <w:t>evistos</w:t>
      </w:r>
      <w:r w:rsidRPr="00B93130">
        <w:rPr>
          <w:sz w:val="18"/>
          <w:highlight w:val="lightGray"/>
          <w:u w:val="single"/>
          <w:lang w:val="es-ES_tradnl"/>
        </w:rPr>
        <w:t xml:space="preserve"> </w:t>
      </w:r>
      <w:r w:rsidR="002366ED" w:rsidRPr="00B93130">
        <w:rPr>
          <w:sz w:val="18"/>
          <w:highlight w:val="lightGray"/>
          <w:u w:val="single"/>
          <w:lang w:val="es-ES_tradnl"/>
        </w:rPr>
        <w:t>en los párrafos</w:t>
      </w:r>
      <w:r w:rsidR="007514E1">
        <w:rPr>
          <w:sz w:val="18"/>
          <w:highlight w:val="lightGray"/>
          <w:u w:val="single"/>
          <w:lang w:val="es-ES_tradnl"/>
        </w:rPr>
        <w:t xml:space="preserve"> </w:t>
      </w:r>
      <w:r w:rsidR="00831885" w:rsidRPr="00B93130">
        <w:rPr>
          <w:sz w:val="18"/>
          <w:highlight w:val="lightGray"/>
          <w:u w:val="single"/>
          <w:lang w:val="es-ES_tradnl"/>
        </w:rPr>
        <w:t>1</w:t>
      </w:r>
      <w:r w:rsidR="002366ED" w:rsidRPr="00B93130">
        <w:rPr>
          <w:sz w:val="18"/>
          <w:highlight w:val="lightGray"/>
          <w:u w:val="single"/>
          <w:lang w:val="es-ES_tradnl"/>
        </w:rPr>
        <w:t xml:space="preserve"> y</w:t>
      </w:r>
      <w:r w:rsidR="007514E1">
        <w:rPr>
          <w:sz w:val="18"/>
          <w:highlight w:val="lightGray"/>
          <w:u w:val="single"/>
          <w:lang w:val="es-ES_tradnl"/>
        </w:rPr>
        <w:t xml:space="preserve"> </w:t>
      </w:r>
      <w:r w:rsidR="00831885" w:rsidRPr="00B93130">
        <w:rPr>
          <w:sz w:val="18"/>
          <w:highlight w:val="lightGray"/>
          <w:u w:val="single"/>
          <w:lang w:val="es-ES_tradnl"/>
        </w:rPr>
        <w:t>2</w:t>
      </w:r>
      <w:r w:rsidR="002366ED" w:rsidRPr="00B93130">
        <w:rPr>
          <w:sz w:val="18"/>
          <w:highlight w:val="lightGray"/>
          <w:u w:val="single"/>
          <w:lang w:val="es-ES_tradnl"/>
        </w:rPr>
        <w:t xml:space="preserve"> </w:t>
      </w:r>
      <w:r w:rsidRPr="00B93130">
        <w:rPr>
          <w:sz w:val="18"/>
          <w:highlight w:val="lightGray"/>
          <w:u w:val="single"/>
          <w:lang w:val="es-ES_tradnl"/>
        </w:rPr>
        <w:t>de</w:t>
      </w:r>
      <w:r w:rsidR="002366ED" w:rsidRPr="00B93130">
        <w:rPr>
          <w:sz w:val="18"/>
          <w:highlight w:val="lightGray"/>
          <w:u w:val="single"/>
          <w:lang w:val="es-ES_tradnl"/>
        </w:rPr>
        <w:t>l</w:t>
      </w:r>
      <w:r w:rsidRPr="00B93130">
        <w:rPr>
          <w:sz w:val="18"/>
          <w:lang w:val="es-ES_tradnl"/>
        </w:rPr>
        <w:t xml:space="preserve"> </w:t>
      </w:r>
      <w:r w:rsidR="002366ED" w:rsidRPr="00B93130">
        <w:rPr>
          <w:strike/>
          <w:sz w:val="18"/>
          <w:highlight w:val="lightGray"/>
          <w:lang w:val="es-ES_tradnl"/>
        </w:rPr>
        <w:t>mencionados</w:t>
      </w:r>
      <w:r w:rsidRPr="00B93130">
        <w:rPr>
          <w:strike/>
          <w:sz w:val="18"/>
          <w:highlight w:val="lightGray"/>
          <w:lang w:val="es-ES_tradnl"/>
        </w:rPr>
        <w:t xml:space="preserve"> en</w:t>
      </w:r>
      <w:r w:rsidRPr="00B93130">
        <w:rPr>
          <w:sz w:val="18"/>
          <w:lang w:val="es-ES_tradnl"/>
        </w:rPr>
        <w:t xml:space="preserve"> </w:t>
      </w:r>
      <w:r w:rsidR="002366ED" w:rsidRPr="00B93130">
        <w:rPr>
          <w:sz w:val="18"/>
          <w:lang w:val="es-ES_tradnl"/>
        </w:rPr>
        <w:t>el artículo</w:t>
      </w:r>
      <w:r w:rsidR="007514E1">
        <w:rPr>
          <w:sz w:val="18"/>
          <w:lang w:val="es-ES_tradnl"/>
        </w:rPr>
        <w:t xml:space="preserve"> </w:t>
      </w:r>
      <w:r w:rsidR="00831885" w:rsidRPr="00B93130">
        <w:rPr>
          <w:sz w:val="18"/>
          <w:lang w:val="es-ES_tradnl"/>
        </w:rPr>
        <w:t>1</w:t>
      </w:r>
      <w:r w:rsidRPr="00B93130">
        <w:rPr>
          <w:sz w:val="18"/>
          <w:lang w:val="es-ES_tradnl"/>
        </w:rPr>
        <w:t>94</w:t>
      </w:r>
      <w:r w:rsidR="002366ED" w:rsidRPr="00B93130">
        <w:rPr>
          <w:sz w:val="18"/>
          <w:lang w:val="es-ES_tradnl"/>
        </w:rPr>
        <w:t>.</w:t>
      </w:r>
      <w:r w:rsidRPr="00B93130">
        <w:rPr>
          <w:strike/>
          <w:sz w:val="18"/>
          <w:highlight w:val="lightGray"/>
          <w:lang w:val="es-ES_tradnl"/>
        </w:rPr>
        <w:t xml:space="preserve">1) </w:t>
      </w:r>
      <w:r w:rsidRPr="00B93130">
        <w:rPr>
          <w:strike/>
          <w:sz w:val="18"/>
          <w:lang w:val="es-ES_tradnl"/>
        </w:rPr>
        <w:t>y</w:t>
      </w:r>
      <w:r w:rsidR="007514E1">
        <w:rPr>
          <w:strike/>
          <w:sz w:val="18"/>
          <w:highlight w:val="lightGray"/>
          <w:lang w:val="es-ES_tradnl"/>
        </w:rPr>
        <w:t xml:space="preserve"> </w:t>
      </w:r>
      <w:r w:rsidR="00831885" w:rsidRPr="00B93130">
        <w:rPr>
          <w:strike/>
          <w:sz w:val="18"/>
          <w:highlight w:val="lightGray"/>
          <w:lang w:val="es-ES_tradnl"/>
        </w:rPr>
        <w:t>2</w:t>
      </w:r>
      <w:r w:rsidRPr="00B93130">
        <w:rPr>
          <w:strike/>
          <w:sz w:val="18"/>
          <w:highlight w:val="lightGray"/>
          <w:lang w:val="es-ES_tradnl"/>
        </w:rPr>
        <w:t>)</w:t>
      </w:r>
      <w:r w:rsidR="00E07157" w:rsidRPr="00B93130">
        <w:rPr>
          <w:strike/>
          <w:sz w:val="18"/>
          <w:lang w:val="es-ES_tradnl"/>
        </w:rPr>
        <w:t xml:space="preserve">, </w:t>
      </w:r>
      <w:r w:rsidR="002366ED" w:rsidRPr="00B93130">
        <w:rPr>
          <w:sz w:val="18"/>
          <w:lang w:val="es-ES_tradnl"/>
        </w:rPr>
        <w:t>realizados con tales variedades</w:t>
      </w:r>
      <w:r w:rsidRPr="00B93130">
        <w:rPr>
          <w:sz w:val="18"/>
          <w:lang w:val="es-ES_tradnl"/>
        </w:rPr>
        <w:t>.”</w:t>
      </w:r>
    </w:p>
    <w:p w:rsidR="00B22DD0" w:rsidRDefault="00B22DD0" w:rsidP="00AD047A">
      <w:pPr>
        <w:ind w:left="567"/>
      </w:pPr>
    </w:p>
    <w:p w:rsidR="007403C0" w:rsidRPr="000F074A" w:rsidRDefault="003468B9" w:rsidP="00AD047A">
      <w:pPr>
        <w:keepNext/>
        <w:autoSpaceDE w:val="0"/>
        <w:autoSpaceDN w:val="0"/>
        <w:adjustRightInd w:val="0"/>
        <w:ind w:left="567" w:right="567"/>
        <w:jc w:val="lowKashida"/>
        <w:rPr>
          <w:bCs/>
          <w:sz w:val="18"/>
        </w:rPr>
      </w:pPr>
      <w:r w:rsidRPr="00B93130">
        <w:rPr>
          <w:bCs/>
          <w:sz w:val="18"/>
          <w:lang w:val="es-ES_tradnl"/>
        </w:rPr>
        <w:t>“Artículo</w:t>
      </w:r>
      <w:r w:rsidR="007514E1">
        <w:rPr>
          <w:bCs/>
          <w:sz w:val="18"/>
          <w:lang w:val="es-ES_tradnl"/>
        </w:rPr>
        <w:t xml:space="preserve"> </w:t>
      </w:r>
      <w:r w:rsidR="00831885" w:rsidRPr="00B93130">
        <w:rPr>
          <w:bCs/>
          <w:sz w:val="18"/>
          <w:lang w:val="es-ES_tradnl"/>
        </w:rPr>
        <w:t>1</w:t>
      </w:r>
      <w:r w:rsidRPr="00B93130">
        <w:rPr>
          <w:bCs/>
          <w:sz w:val="18"/>
          <w:lang w:val="es-ES_tradnl"/>
        </w:rPr>
        <w:t>95” (párrafo</w:t>
      </w:r>
      <w:r w:rsidR="007514E1">
        <w:rPr>
          <w:bCs/>
          <w:sz w:val="18"/>
          <w:lang w:val="es-ES_tradnl"/>
        </w:rPr>
        <w:t xml:space="preserve"> </w:t>
      </w:r>
      <w:r w:rsidR="00831885" w:rsidRPr="00B93130">
        <w:rPr>
          <w:bCs/>
          <w:sz w:val="18"/>
          <w:lang w:val="es-ES_tradnl"/>
        </w:rPr>
        <w:t>2</w:t>
      </w:r>
      <w:r w:rsidRPr="00B93130">
        <w:rPr>
          <w:bCs/>
          <w:sz w:val="18"/>
          <w:lang w:val="es-ES_tradnl"/>
        </w:rPr>
        <w:t>)</w:t>
      </w:r>
      <w:r w:rsidR="007403C0" w:rsidRPr="000F074A">
        <w:rPr>
          <w:bCs/>
          <w:sz w:val="18"/>
        </w:rPr>
        <w:t xml:space="preserve"> </w:t>
      </w:r>
    </w:p>
    <w:p w:rsidR="007403C0" w:rsidRPr="000F074A" w:rsidRDefault="007403C0" w:rsidP="00AD047A">
      <w:pPr>
        <w:keepNext/>
        <w:ind w:left="567" w:right="567"/>
        <w:jc w:val="lowKashida"/>
        <w:rPr>
          <w:sz w:val="18"/>
          <w:szCs w:val="26"/>
        </w:rPr>
      </w:pPr>
      <w:r w:rsidRPr="000F074A">
        <w:rPr>
          <w:sz w:val="18"/>
          <w:szCs w:val="26"/>
        </w:rPr>
        <w:t>[…]</w:t>
      </w:r>
    </w:p>
    <w:p w:rsidR="007403C0" w:rsidRPr="000F074A" w:rsidRDefault="00D42AAE" w:rsidP="00AD047A">
      <w:pPr>
        <w:ind w:left="567" w:right="567" w:firstLine="567"/>
        <w:rPr>
          <w:sz w:val="18"/>
          <w:lang w:bidi="ar-IQ"/>
        </w:rPr>
      </w:pPr>
      <w:r w:rsidRPr="00B93130">
        <w:rPr>
          <w:strike/>
          <w:color w:val="000000"/>
          <w:sz w:val="18"/>
          <w:highlight w:val="lightGray"/>
          <w:lang w:val="es-ES_tradnl"/>
        </w:rPr>
        <w:t xml:space="preserve">En relación con </w:t>
      </w:r>
      <w:r w:rsidR="00A45E32" w:rsidRPr="00B93130">
        <w:rPr>
          <w:strike/>
          <w:color w:val="000000"/>
          <w:sz w:val="18"/>
          <w:highlight w:val="lightGray"/>
          <w:lang w:val="es-ES_tradnl"/>
        </w:rPr>
        <w:t xml:space="preserve">las </w:t>
      </w:r>
      <w:r w:rsidRPr="00B93130">
        <w:rPr>
          <w:strike/>
          <w:color w:val="000000"/>
          <w:sz w:val="18"/>
          <w:highlight w:val="lightGray"/>
          <w:lang w:val="es-ES_tradnl"/>
        </w:rPr>
        <w:t xml:space="preserve">variedades incluidas en </w:t>
      </w:r>
      <w:r w:rsidR="00A45E32" w:rsidRPr="00B93130">
        <w:rPr>
          <w:strike/>
          <w:color w:val="000000"/>
          <w:sz w:val="18"/>
          <w:highlight w:val="lightGray"/>
          <w:lang w:val="es-ES_tradnl"/>
        </w:rPr>
        <w:t>un</w:t>
      </w:r>
      <w:r w:rsidRPr="00B93130">
        <w:rPr>
          <w:strike/>
          <w:color w:val="000000"/>
          <w:sz w:val="18"/>
          <w:highlight w:val="lightGray"/>
          <w:lang w:val="es-ES_tradnl"/>
        </w:rPr>
        <w:t>a lista de plantas agrícolas</w:t>
      </w:r>
      <w:r w:rsidR="00E07157" w:rsidRPr="00B93130">
        <w:rPr>
          <w:strike/>
          <w:color w:val="000000"/>
          <w:sz w:val="18"/>
          <w:highlight w:val="lightGray"/>
          <w:lang w:val="es-ES_tradnl"/>
        </w:rPr>
        <w:t xml:space="preserve">, </w:t>
      </w:r>
      <w:r w:rsidR="000D0F7B" w:rsidRPr="00B93130">
        <w:rPr>
          <w:strike/>
          <w:color w:val="000000"/>
          <w:sz w:val="18"/>
          <w:highlight w:val="lightGray"/>
          <w:lang w:val="es-ES_tradnl"/>
        </w:rPr>
        <w:t xml:space="preserve">que no incluirá </w:t>
      </w:r>
      <w:r w:rsidR="00BA3E14" w:rsidRPr="00B93130">
        <w:rPr>
          <w:strike/>
          <w:color w:val="000000"/>
          <w:sz w:val="18"/>
          <w:highlight w:val="lightGray"/>
          <w:lang w:val="es-ES_tradnl"/>
        </w:rPr>
        <w:t xml:space="preserve">plantas </w:t>
      </w:r>
      <w:r w:rsidR="000D0F7B" w:rsidRPr="00B93130">
        <w:rPr>
          <w:strike/>
          <w:color w:val="000000"/>
          <w:sz w:val="18"/>
          <w:highlight w:val="lightGray"/>
          <w:lang w:val="es-ES_tradnl"/>
        </w:rPr>
        <w:t>fruta</w:t>
      </w:r>
      <w:r w:rsidR="00BA3E14" w:rsidRPr="00B93130">
        <w:rPr>
          <w:strike/>
          <w:color w:val="000000"/>
          <w:sz w:val="18"/>
          <w:highlight w:val="lightGray"/>
          <w:lang w:val="es-ES_tradnl"/>
        </w:rPr>
        <w:t>le</w:t>
      </w:r>
      <w:r w:rsidR="000D0F7B" w:rsidRPr="00B93130">
        <w:rPr>
          <w:strike/>
          <w:color w:val="000000"/>
          <w:sz w:val="18"/>
          <w:highlight w:val="lightGray"/>
          <w:lang w:val="es-ES_tradnl"/>
        </w:rPr>
        <w:t>s</w:t>
      </w:r>
      <w:r w:rsidR="00E07157" w:rsidRPr="00B93130">
        <w:rPr>
          <w:strike/>
          <w:color w:val="000000"/>
          <w:sz w:val="18"/>
          <w:highlight w:val="lightGray"/>
          <w:lang w:val="es-ES_tradnl"/>
        </w:rPr>
        <w:t xml:space="preserve">, </w:t>
      </w:r>
      <w:r w:rsidR="000D0F7B" w:rsidRPr="00B93130">
        <w:rPr>
          <w:strike/>
          <w:color w:val="000000"/>
          <w:sz w:val="18"/>
          <w:highlight w:val="lightGray"/>
          <w:lang w:val="es-ES_tradnl"/>
        </w:rPr>
        <w:t xml:space="preserve">ornamentales </w:t>
      </w:r>
      <w:r w:rsidR="00280AA1" w:rsidRPr="00B93130">
        <w:rPr>
          <w:strike/>
          <w:color w:val="000000"/>
          <w:sz w:val="18"/>
          <w:highlight w:val="lightGray"/>
          <w:lang w:val="es-ES_tradnl"/>
        </w:rPr>
        <w:t>ni</w:t>
      </w:r>
      <w:r w:rsidR="00BA3E14" w:rsidRPr="00B93130">
        <w:rPr>
          <w:strike/>
          <w:color w:val="000000"/>
          <w:sz w:val="18"/>
          <w:highlight w:val="lightGray"/>
          <w:lang w:val="es-ES_tradnl"/>
        </w:rPr>
        <w:t xml:space="preserve"> </w:t>
      </w:r>
      <w:r w:rsidR="000D0F7B" w:rsidRPr="00B93130">
        <w:rPr>
          <w:strike/>
          <w:color w:val="000000"/>
          <w:sz w:val="18"/>
          <w:highlight w:val="lightGray"/>
          <w:lang w:val="es-ES_tradnl"/>
        </w:rPr>
        <w:t>hort</w:t>
      </w:r>
      <w:r w:rsidR="00BA3E14" w:rsidRPr="00B93130">
        <w:rPr>
          <w:strike/>
          <w:color w:val="000000"/>
          <w:sz w:val="18"/>
          <w:highlight w:val="lightGray"/>
          <w:lang w:val="es-ES_tradnl"/>
        </w:rPr>
        <w:t>ícolas</w:t>
      </w:r>
      <w:r w:rsidR="00E07157" w:rsidRPr="00B93130">
        <w:rPr>
          <w:strike/>
          <w:color w:val="000000"/>
          <w:sz w:val="18"/>
          <w:highlight w:val="lightGray"/>
          <w:lang w:val="es-ES_tradnl"/>
        </w:rPr>
        <w:t xml:space="preserve">, </w:t>
      </w:r>
      <w:r w:rsidR="00A45E32" w:rsidRPr="00B93130">
        <w:rPr>
          <w:strike/>
          <w:color w:val="000000"/>
          <w:sz w:val="18"/>
          <w:highlight w:val="lightGray"/>
          <w:lang w:val="es-ES_tradnl"/>
        </w:rPr>
        <w:t>a</w:t>
      </w:r>
      <w:r w:rsidRPr="00B93130">
        <w:rPr>
          <w:strike/>
          <w:color w:val="000000"/>
          <w:sz w:val="18"/>
          <w:lang w:val="es-ES_tradnl"/>
        </w:rPr>
        <w:t xml:space="preserve"> </w:t>
      </w:r>
      <w:proofErr w:type="spellStart"/>
      <w:r w:rsidR="00A45E32" w:rsidRPr="00B93130">
        <w:rPr>
          <w:color w:val="000000"/>
          <w:sz w:val="18"/>
          <w:highlight w:val="lightGray"/>
          <w:u w:val="single"/>
          <w:lang w:val="es-ES_tradnl"/>
        </w:rPr>
        <w:t>A</w:t>
      </w:r>
      <w:proofErr w:type="spellEnd"/>
      <w:r w:rsidRPr="00B93130">
        <w:rPr>
          <w:color w:val="000000"/>
          <w:sz w:val="18"/>
          <w:lang w:val="es-ES_tradnl"/>
        </w:rPr>
        <w:t xml:space="preserve"> </w:t>
      </w:r>
      <w:r w:rsidR="00A45E32" w:rsidRPr="00B93130">
        <w:rPr>
          <w:color w:val="000000"/>
          <w:sz w:val="18"/>
          <w:lang w:val="es-ES_tradnl"/>
        </w:rPr>
        <w:t xml:space="preserve">reserva de </w:t>
      </w:r>
      <w:r w:rsidRPr="00B93130">
        <w:rPr>
          <w:color w:val="000000"/>
          <w:sz w:val="18"/>
          <w:lang w:val="es-ES_tradnl"/>
        </w:rPr>
        <w:t xml:space="preserve">la salvaguardia de los intereses legítimos </w:t>
      </w:r>
      <w:r w:rsidR="00A35821" w:rsidRPr="00B93130">
        <w:rPr>
          <w:color w:val="000000"/>
          <w:sz w:val="18"/>
          <w:lang w:val="es-ES_tradnl"/>
        </w:rPr>
        <w:t>del obtentor</w:t>
      </w:r>
      <w:r w:rsidR="00E07157" w:rsidRPr="00B93130">
        <w:rPr>
          <w:color w:val="000000"/>
          <w:sz w:val="18"/>
          <w:lang w:val="es-ES_tradnl"/>
        </w:rPr>
        <w:t xml:space="preserve">, </w:t>
      </w:r>
      <w:r w:rsidR="00A35821" w:rsidRPr="00B93130">
        <w:rPr>
          <w:color w:val="000000"/>
          <w:sz w:val="18"/>
          <w:lang w:val="es-ES_tradnl"/>
        </w:rPr>
        <w:t>no se considerará infracción al derecho de obtentor la utilización por agricultores</w:t>
      </w:r>
      <w:r w:rsidR="00E07157" w:rsidRPr="00B93130">
        <w:rPr>
          <w:color w:val="000000"/>
          <w:sz w:val="18"/>
          <w:lang w:val="es-ES_tradnl"/>
        </w:rPr>
        <w:t xml:space="preserve">, </w:t>
      </w:r>
      <w:r w:rsidR="00A35821" w:rsidRPr="00B93130">
        <w:rPr>
          <w:color w:val="000000"/>
          <w:sz w:val="18"/>
          <w:lang w:val="es-ES_tradnl"/>
        </w:rPr>
        <w:t>con fines de reproducción o multiplicación</w:t>
      </w:r>
      <w:r w:rsidR="000412C7" w:rsidRPr="00B93130">
        <w:rPr>
          <w:color w:val="000000"/>
          <w:sz w:val="18"/>
          <w:lang w:val="es-ES_tradnl"/>
        </w:rPr>
        <w:t xml:space="preserve"> y dentro de límites razonables</w:t>
      </w:r>
      <w:r w:rsidR="00E07157" w:rsidRPr="00B93130">
        <w:rPr>
          <w:color w:val="000000"/>
          <w:sz w:val="18"/>
          <w:lang w:val="es-ES_tradnl"/>
        </w:rPr>
        <w:t xml:space="preserve">, </w:t>
      </w:r>
      <w:r w:rsidR="00A35821" w:rsidRPr="00B93130">
        <w:rPr>
          <w:color w:val="000000"/>
          <w:sz w:val="18"/>
          <w:lang w:val="es-ES_tradnl"/>
        </w:rPr>
        <w:t xml:space="preserve">del producto de la cosecha que hayan obtenido por el cultivo de la variedad protegida o de una variedad </w:t>
      </w:r>
      <w:r w:rsidR="00AA65C2" w:rsidRPr="00B93130">
        <w:rPr>
          <w:color w:val="000000"/>
          <w:sz w:val="18"/>
          <w:lang w:val="es-ES_tradnl"/>
        </w:rPr>
        <w:t>cubierta</w:t>
      </w:r>
      <w:r w:rsidR="00A35821" w:rsidRPr="00B93130">
        <w:rPr>
          <w:color w:val="000000"/>
          <w:sz w:val="18"/>
          <w:lang w:val="es-ES_tradnl"/>
        </w:rPr>
        <w:t xml:space="preserve"> por el párrafo</w:t>
      </w:r>
      <w:r w:rsidR="007514E1">
        <w:rPr>
          <w:color w:val="000000"/>
          <w:sz w:val="18"/>
          <w:lang w:val="es-ES_tradnl"/>
        </w:rPr>
        <w:t xml:space="preserve"> </w:t>
      </w:r>
      <w:r w:rsidR="00A35821" w:rsidRPr="00B93130">
        <w:rPr>
          <w:color w:val="000000"/>
          <w:sz w:val="18"/>
          <w:lang w:val="es-ES_tradnl"/>
        </w:rPr>
        <w:t>4 del artículo</w:t>
      </w:r>
      <w:r w:rsidR="007514E1">
        <w:rPr>
          <w:color w:val="000000"/>
          <w:sz w:val="18"/>
          <w:lang w:val="es-ES_tradnl"/>
        </w:rPr>
        <w:t xml:space="preserve"> </w:t>
      </w:r>
      <w:r w:rsidR="00831885" w:rsidRPr="00B93130">
        <w:rPr>
          <w:color w:val="000000"/>
          <w:sz w:val="18"/>
          <w:lang w:val="es-ES_tradnl"/>
        </w:rPr>
        <w:t>1</w:t>
      </w:r>
      <w:r w:rsidR="00A35821" w:rsidRPr="00B93130">
        <w:rPr>
          <w:color w:val="000000"/>
          <w:sz w:val="18"/>
          <w:lang w:val="es-ES_tradnl"/>
        </w:rPr>
        <w:t>94 de</w:t>
      </w:r>
      <w:r w:rsidR="00A35821" w:rsidRPr="00B93130">
        <w:rPr>
          <w:sz w:val="18"/>
          <w:lang w:val="es-ES_tradnl"/>
        </w:rPr>
        <w:t xml:space="preserve"> la presente Ley</w:t>
      </w:r>
      <w:r w:rsidR="00E64F8C">
        <w:rPr>
          <w:sz w:val="18"/>
          <w:lang w:val="es-ES_tradnl"/>
        </w:rPr>
        <w:t xml:space="preserve">, y ambos actos realizados </w:t>
      </w:r>
      <w:r w:rsidR="00E64F8C" w:rsidRPr="00B93130">
        <w:rPr>
          <w:color w:val="000000"/>
          <w:sz w:val="18"/>
          <w:lang w:val="es-ES_tradnl"/>
        </w:rPr>
        <w:t>en su propia explotación</w:t>
      </w:r>
      <w:r w:rsidR="000412C7" w:rsidRPr="00B93130">
        <w:rPr>
          <w:color w:val="000000"/>
          <w:sz w:val="18"/>
          <w:lang w:val="es-ES_tradnl"/>
        </w:rPr>
        <w:t>.</w:t>
      </w:r>
      <w:r w:rsidR="007403C0" w:rsidRPr="000F074A">
        <w:rPr>
          <w:sz w:val="18"/>
          <w:lang w:bidi="ar-IQ"/>
        </w:rPr>
        <w:t xml:space="preserve"> </w:t>
      </w:r>
      <w:r w:rsidR="000412C7" w:rsidRPr="00B93130">
        <w:rPr>
          <w:strike/>
          <w:snapToGrid w:val="0"/>
          <w:sz w:val="18"/>
          <w:highlight w:val="lightGray"/>
          <w:lang w:val="es-ES_tradnl"/>
        </w:rPr>
        <w:t>Los límites razonables y los medios de salvaguardar los intereses legítimos del obtentor se especificarán en el Reglamento Ejecutivo.</w:t>
      </w:r>
      <w:r w:rsidR="000412C7" w:rsidRPr="00B93130">
        <w:rPr>
          <w:snapToGrid w:val="0"/>
          <w:sz w:val="18"/>
          <w:lang w:val="es-ES_tradnl"/>
        </w:rPr>
        <w:t>”</w:t>
      </w:r>
    </w:p>
    <w:p w:rsidR="007403C0" w:rsidRDefault="007403C0" w:rsidP="00AD047A">
      <w:pPr>
        <w:ind w:left="567" w:right="567"/>
        <w:rPr>
          <w:sz w:val="18"/>
        </w:rPr>
      </w:pPr>
    </w:p>
    <w:p w:rsidR="008F204E" w:rsidRPr="000F074A" w:rsidRDefault="008F204E" w:rsidP="00AD047A">
      <w:pPr>
        <w:ind w:left="567" w:right="567"/>
        <w:rPr>
          <w:sz w:val="18"/>
        </w:rPr>
      </w:pPr>
    </w:p>
    <w:p w:rsidR="007937E2" w:rsidRPr="000F074A" w:rsidRDefault="00076BB8" w:rsidP="00AD047A">
      <w:pPr>
        <w:ind w:left="567" w:right="567"/>
        <w:rPr>
          <w:sz w:val="18"/>
        </w:rPr>
      </w:pPr>
      <w:r w:rsidRPr="00B93130">
        <w:rPr>
          <w:sz w:val="18"/>
          <w:lang w:val="es-ES_tradnl"/>
        </w:rPr>
        <w:t>“Artículo</w:t>
      </w:r>
      <w:r w:rsidR="007514E1">
        <w:rPr>
          <w:sz w:val="18"/>
          <w:lang w:val="es-ES_tradnl"/>
        </w:rPr>
        <w:t xml:space="preserve"> </w:t>
      </w:r>
      <w:r w:rsidRPr="00B93130">
        <w:rPr>
          <w:sz w:val="18"/>
          <w:lang w:val="es-ES_tradnl"/>
        </w:rPr>
        <w:t>202</w:t>
      </w:r>
    </w:p>
    <w:p w:rsidR="00F0165E" w:rsidRPr="000F074A" w:rsidRDefault="00F0165E" w:rsidP="00AD047A">
      <w:pPr>
        <w:ind w:left="567" w:right="567"/>
        <w:rPr>
          <w:sz w:val="18"/>
        </w:rPr>
      </w:pPr>
    </w:p>
    <w:p w:rsidR="003D4D27" w:rsidRPr="000F074A" w:rsidRDefault="001838F2" w:rsidP="00AD047A">
      <w:pPr>
        <w:ind w:left="567" w:right="567"/>
        <w:rPr>
          <w:sz w:val="18"/>
        </w:rPr>
      </w:pPr>
      <w:r w:rsidRPr="00B93130">
        <w:rPr>
          <w:sz w:val="18"/>
          <w:highlight w:val="lightGray"/>
          <w:u w:val="single"/>
          <w:lang w:val="es-ES_tradnl"/>
        </w:rPr>
        <w:t xml:space="preserve">La Oficina de Protección de las Obtenciones Vegetales dictará una decisión de anulación del certificado de derecho de obtentor cuando </w:t>
      </w:r>
      <w:r w:rsidR="00B153FF" w:rsidRPr="00B93130">
        <w:rPr>
          <w:sz w:val="18"/>
          <w:highlight w:val="lightGray"/>
          <w:u w:val="single"/>
          <w:lang w:val="es-ES_tradnl"/>
        </w:rPr>
        <w:t>se constate alguno de los casos siguientes</w:t>
      </w:r>
      <w:r w:rsidR="00B153FF" w:rsidRPr="00B93130">
        <w:rPr>
          <w:sz w:val="18"/>
          <w:lang w:val="es-ES_tradnl"/>
        </w:rPr>
        <w:t xml:space="preserve"> </w:t>
      </w:r>
      <w:r w:rsidR="00B153FF" w:rsidRPr="00B93130">
        <w:rPr>
          <w:strike/>
          <w:sz w:val="18"/>
          <w:highlight w:val="lightGray"/>
          <w:lang w:val="es-ES_tradnl"/>
        </w:rPr>
        <w:t>El derecho de obtentor se declarará nulo</w:t>
      </w:r>
      <w:r w:rsidR="00B153FF" w:rsidRPr="00B93130">
        <w:rPr>
          <w:sz w:val="18"/>
          <w:lang w:val="es-ES_tradnl"/>
        </w:rPr>
        <w:t>:</w:t>
      </w:r>
    </w:p>
    <w:p w:rsidR="003D4D27" w:rsidRPr="000F074A" w:rsidRDefault="003D4D27" w:rsidP="00AD047A">
      <w:pPr>
        <w:ind w:left="567" w:right="567"/>
        <w:rPr>
          <w:sz w:val="18"/>
        </w:rPr>
      </w:pPr>
    </w:p>
    <w:p w:rsidR="003D4D27" w:rsidRPr="000F074A" w:rsidRDefault="00EB63B9" w:rsidP="00AD047A">
      <w:pPr>
        <w:ind w:left="567" w:right="567"/>
        <w:rPr>
          <w:sz w:val="18"/>
        </w:rPr>
      </w:pPr>
      <w:r w:rsidRPr="00B93130">
        <w:rPr>
          <w:sz w:val="18"/>
          <w:lang w:val="es-ES_tradnl"/>
        </w:rPr>
        <w:t>i)</w:t>
      </w:r>
      <w:r w:rsidR="003D4D27" w:rsidRPr="000F074A">
        <w:rPr>
          <w:sz w:val="18"/>
        </w:rPr>
        <w:tab/>
      </w:r>
      <w:r w:rsidR="00AF4349" w:rsidRPr="00B93130">
        <w:rPr>
          <w:sz w:val="18"/>
          <w:lang w:val="es-ES_tradnl"/>
        </w:rPr>
        <w:t>si</w:t>
      </w:r>
      <w:r w:rsidR="00E07157" w:rsidRPr="00B93130">
        <w:rPr>
          <w:sz w:val="18"/>
          <w:lang w:val="es-ES_tradnl"/>
        </w:rPr>
        <w:t xml:space="preserve">, </w:t>
      </w:r>
      <w:r w:rsidR="00AF4349" w:rsidRPr="00B93130">
        <w:rPr>
          <w:sz w:val="18"/>
          <w:lang w:val="es-ES_tradnl"/>
        </w:rPr>
        <w:t>en el momento en que se concedió la protección</w:t>
      </w:r>
      <w:r w:rsidR="00E07157" w:rsidRPr="00B93130">
        <w:rPr>
          <w:sz w:val="18"/>
          <w:lang w:val="es-ES_tradnl"/>
        </w:rPr>
        <w:t xml:space="preserve">, </w:t>
      </w:r>
      <w:r w:rsidR="00AF4349" w:rsidRPr="00B93130">
        <w:rPr>
          <w:sz w:val="18"/>
          <w:lang w:val="es-ES_tradnl"/>
        </w:rPr>
        <w:t xml:space="preserve">la variedad vegetal no </w:t>
      </w:r>
      <w:r w:rsidR="004C51B7" w:rsidRPr="00B93130">
        <w:rPr>
          <w:sz w:val="18"/>
          <w:lang w:val="es-ES_tradnl"/>
        </w:rPr>
        <w:t>satisf</w:t>
      </w:r>
      <w:r w:rsidR="005E365A" w:rsidRPr="00B93130">
        <w:rPr>
          <w:sz w:val="18"/>
          <w:lang w:val="es-ES_tradnl"/>
        </w:rPr>
        <w:t>acía</w:t>
      </w:r>
      <w:r w:rsidR="00AF4349" w:rsidRPr="00B93130">
        <w:rPr>
          <w:sz w:val="18"/>
          <w:lang w:val="es-ES_tradnl"/>
        </w:rPr>
        <w:t xml:space="preserve"> </w:t>
      </w:r>
      <w:r w:rsidR="002F68E1" w:rsidRPr="00B93130">
        <w:rPr>
          <w:sz w:val="18"/>
          <w:lang w:val="es-ES_tradnl"/>
        </w:rPr>
        <w:t>al</w:t>
      </w:r>
      <w:r w:rsidR="00AF4349" w:rsidRPr="00B93130">
        <w:rPr>
          <w:sz w:val="18"/>
          <w:lang w:val="es-ES_tradnl"/>
        </w:rPr>
        <w:t xml:space="preserve">guna de las condiciones previstas en los </w:t>
      </w:r>
      <w:r w:rsidR="002F68E1" w:rsidRPr="00B93130">
        <w:rPr>
          <w:sz w:val="18"/>
          <w:lang w:val="es-ES_tradnl"/>
        </w:rPr>
        <w:t>incisos</w:t>
      </w:r>
      <w:r w:rsidR="007514E1">
        <w:rPr>
          <w:sz w:val="18"/>
          <w:lang w:val="es-ES_tradnl"/>
        </w:rPr>
        <w:t xml:space="preserve"> </w:t>
      </w:r>
      <w:r w:rsidR="002F68E1" w:rsidRPr="00B93130">
        <w:rPr>
          <w:sz w:val="18"/>
          <w:lang w:val="es-ES_tradnl"/>
        </w:rPr>
        <w:t>i) y</w:t>
      </w:r>
      <w:r w:rsidR="007514E1">
        <w:rPr>
          <w:sz w:val="18"/>
          <w:lang w:val="es-ES_tradnl"/>
        </w:rPr>
        <w:t xml:space="preserve"> </w:t>
      </w:r>
      <w:r w:rsidR="00AF4349" w:rsidRPr="00B93130">
        <w:rPr>
          <w:sz w:val="18"/>
          <w:lang w:val="es-ES_tradnl"/>
        </w:rPr>
        <w:t>ii) de</w:t>
      </w:r>
      <w:r w:rsidR="002F68E1" w:rsidRPr="00B93130">
        <w:rPr>
          <w:sz w:val="18"/>
          <w:lang w:val="es-ES_tradnl"/>
        </w:rPr>
        <w:t>l</w:t>
      </w:r>
      <w:r w:rsidR="00AF4349" w:rsidRPr="00B93130">
        <w:rPr>
          <w:sz w:val="18"/>
          <w:lang w:val="es-ES_tradnl"/>
        </w:rPr>
        <w:t xml:space="preserve"> </w:t>
      </w:r>
      <w:r w:rsidR="002F68E1" w:rsidRPr="00B93130">
        <w:rPr>
          <w:sz w:val="18"/>
          <w:lang w:val="es-ES_tradnl"/>
        </w:rPr>
        <w:t>párrafo</w:t>
      </w:r>
      <w:r w:rsidR="007514E1">
        <w:rPr>
          <w:sz w:val="18"/>
          <w:lang w:val="es-ES_tradnl"/>
        </w:rPr>
        <w:t xml:space="preserve"> </w:t>
      </w:r>
      <w:r w:rsidR="00831885" w:rsidRPr="00B93130">
        <w:rPr>
          <w:sz w:val="18"/>
          <w:lang w:val="es-ES_tradnl"/>
        </w:rPr>
        <w:t>1</w:t>
      </w:r>
      <w:r w:rsidR="002F68E1" w:rsidRPr="00B93130">
        <w:rPr>
          <w:sz w:val="18"/>
          <w:lang w:val="es-ES_tradnl"/>
        </w:rPr>
        <w:t xml:space="preserve"> </w:t>
      </w:r>
      <w:r w:rsidR="00AF4349" w:rsidRPr="00B93130">
        <w:rPr>
          <w:sz w:val="18"/>
          <w:lang w:val="es-ES_tradnl"/>
        </w:rPr>
        <w:t>de</w:t>
      </w:r>
      <w:r w:rsidR="002F68E1" w:rsidRPr="00B93130">
        <w:rPr>
          <w:sz w:val="18"/>
          <w:lang w:val="es-ES_tradnl"/>
        </w:rPr>
        <w:t>l artículo</w:t>
      </w:r>
      <w:r w:rsidR="007514E1">
        <w:rPr>
          <w:sz w:val="18"/>
          <w:lang w:val="es-ES_tradnl"/>
        </w:rPr>
        <w:t xml:space="preserve"> </w:t>
      </w:r>
      <w:r w:rsidR="00831885" w:rsidRPr="00B93130">
        <w:rPr>
          <w:sz w:val="18"/>
          <w:lang w:val="es-ES_tradnl"/>
        </w:rPr>
        <w:t>1</w:t>
      </w:r>
      <w:r w:rsidR="00AF4349" w:rsidRPr="00B93130">
        <w:rPr>
          <w:sz w:val="18"/>
          <w:lang w:val="es-ES_tradnl"/>
        </w:rPr>
        <w:t xml:space="preserve">92 de </w:t>
      </w:r>
      <w:r w:rsidR="002F68E1" w:rsidRPr="00B93130">
        <w:rPr>
          <w:sz w:val="18"/>
          <w:lang w:val="es-ES_tradnl"/>
        </w:rPr>
        <w:t>la presente Ley;</w:t>
      </w:r>
    </w:p>
    <w:p w:rsidR="003D4D27" w:rsidRPr="000F074A" w:rsidRDefault="003D4D27" w:rsidP="00AD047A">
      <w:pPr>
        <w:ind w:left="567" w:right="567"/>
        <w:rPr>
          <w:sz w:val="18"/>
        </w:rPr>
      </w:pPr>
    </w:p>
    <w:p w:rsidR="003D4D27" w:rsidRPr="000F074A" w:rsidRDefault="002F68E1" w:rsidP="00AD047A">
      <w:pPr>
        <w:ind w:left="567" w:right="567"/>
        <w:rPr>
          <w:sz w:val="18"/>
        </w:rPr>
      </w:pPr>
      <w:r w:rsidRPr="00B93130">
        <w:rPr>
          <w:sz w:val="18"/>
          <w:lang w:val="es-ES_tradnl"/>
        </w:rPr>
        <w:t>ii)</w:t>
      </w:r>
      <w:r w:rsidR="003D4D27" w:rsidRPr="000F074A">
        <w:rPr>
          <w:sz w:val="18"/>
        </w:rPr>
        <w:tab/>
      </w:r>
      <w:r w:rsidRPr="000525FB">
        <w:rPr>
          <w:sz w:val="18"/>
          <w:lang w:val="es-ES_tradnl"/>
        </w:rPr>
        <w:t>si</w:t>
      </w:r>
      <w:r w:rsidR="00E07157" w:rsidRPr="000525FB">
        <w:rPr>
          <w:sz w:val="18"/>
          <w:lang w:val="es-ES_tradnl"/>
        </w:rPr>
        <w:t xml:space="preserve">, </w:t>
      </w:r>
      <w:r w:rsidRPr="000525FB">
        <w:rPr>
          <w:sz w:val="18"/>
          <w:lang w:val="es-ES_tradnl"/>
        </w:rPr>
        <w:t>en el momento en que se concedió la protección</w:t>
      </w:r>
      <w:r w:rsidR="00E07157" w:rsidRPr="000525FB">
        <w:rPr>
          <w:sz w:val="18"/>
          <w:lang w:val="es-ES_tradnl"/>
        </w:rPr>
        <w:t xml:space="preserve">, </w:t>
      </w:r>
      <w:r w:rsidR="004C51B7" w:rsidRPr="000525FB">
        <w:rPr>
          <w:sz w:val="18"/>
          <w:lang w:val="es-ES_tradnl"/>
        </w:rPr>
        <w:t>no se satisfac</w:t>
      </w:r>
      <w:r w:rsidR="005E365A" w:rsidRPr="000525FB">
        <w:rPr>
          <w:sz w:val="18"/>
          <w:lang w:val="es-ES_tradnl"/>
        </w:rPr>
        <w:t>ía</w:t>
      </w:r>
      <w:r w:rsidR="004C51B7" w:rsidRPr="000525FB">
        <w:rPr>
          <w:sz w:val="18"/>
          <w:lang w:val="es-ES_tradnl"/>
        </w:rPr>
        <w:t xml:space="preserve">n </w:t>
      </w:r>
      <w:r w:rsidRPr="000525FB">
        <w:rPr>
          <w:sz w:val="18"/>
          <w:lang w:val="es-ES_tradnl"/>
        </w:rPr>
        <w:t>las condiciones previstas en el inciso</w:t>
      </w:r>
      <w:r w:rsidR="007514E1">
        <w:rPr>
          <w:sz w:val="18"/>
          <w:lang w:val="es-ES_tradnl"/>
        </w:rPr>
        <w:t xml:space="preserve"> </w:t>
      </w:r>
      <w:r w:rsidRPr="000525FB">
        <w:rPr>
          <w:sz w:val="18"/>
          <w:lang w:val="es-ES_tradnl"/>
        </w:rPr>
        <w:t>iii) o en el inciso</w:t>
      </w:r>
      <w:r w:rsidR="007514E1">
        <w:rPr>
          <w:sz w:val="18"/>
          <w:lang w:val="es-ES_tradnl"/>
        </w:rPr>
        <w:t xml:space="preserve"> </w:t>
      </w:r>
      <w:r w:rsidRPr="000525FB">
        <w:rPr>
          <w:sz w:val="18"/>
          <w:lang w:val="es-ES_tradnl"/>
        </w:rPr>
        <w:t>iv)</w:t>
      </w:r>
      <w:r w:rsidR="00726F6F" w:rsidRPr="000525FB">
        <w:rPr>
          <w:sz w:val="18"/>
          <w:lang w:val="es-ES_tradnl"/>
        </w:rPr>
        <w:t xml:space="preserve"> del párrafo y el artículo mencionados en el artículo precedente</w:t>
      </w:r>
      <w:r w:rsidR="00E07157" w:rsidRPr="000525FB">
        <w:rPr>
          <w:sz w:val="18"/>
          <w:lang w:val="es-ES_tradnl"/>
        </w:rPr>
        <w:t xml:space="preserve">, </w:t>
      </w:r>
      <w:r w:rsidR="00A55326" w:rsidRPr="000525FB">
        <w:rPr>
          <w:sz w:val="18"/>
          <w:lang w:val="es-ES_tradnl"/>
        </w:rPr>
        <w:t>siempre que la protección se haya concedido fundamentalmente sobre la</w:t>
      </w:r>
      <w:r w:rsidRPr="000525FB">
        <w:rPr>
          <w:sz w:val="18"/>
          <w:lang w:val="es-ES_tradnl"/>
        </w:rPr>
        <w:t xml:space="preserve"> base </w:t>
      </w:r>
      <w:r w:rsidR="00A55326" w:rsidRPr="000525FB">
        <w:rPr>
          <w:sz w:val="18"/>
          <w:lang w:val="es-ES_tradnl"/>
        </w:rPr>
        <w:t xml:space="preserve">de la </w:t>
      </w:r>
      <w:r w:rsidRPr="000525FB">
        <w:rPr>
          <w:sz w:val="18"/>
          <w:lang w:val="es-ES_tradnl"/>
        </w:rPr>
        <w:t xml:space="preserve">información y </w:t>
      </w:r>
      <w:r w:rsidR="00A55326" w:rsidRPr="000525FB">
        <w:rPr>
          <w:sz w:val="18"/>
          <w:lang w:val="es-ES_tradnl"/>
        </w:rPr>
        <w:t xml:space="preserve">los </w:t>
      </w:r>
      <w:r w:rsidRPr="000525FB">
        <w:rPr>
          <w:sz w:val="18"/>
          <w:lang w:val="es-ES_tradnl"/>
        </w:rPr>
        <w:t xml:space="preserve">documentos </w:t>
      </w:r>
      <w:r w:rsidR="00A55326" w:rsidRPr="000525FB">
        <w:rPr>
          <w:sz w:val="18"/>
          <w:lang w:val="es-ES_tradnl"/>
        </w:rPr>
        <w:t>aportados por el obtentor;</w:t>
      </w:r>
    </w:p>
    <w:p w:rsidR="003D4D27" w:rsidRPr="000F074A" w:rsidRDefault="003D4D27" w:rsidP="00AD047A">
      <w:pPr>
        <w:ind w:left="567" w:right="567"/>
        <w:rPr>
          <w:sz w:val="18"/>
        </w:rPr>
      </w:pPr>
    </w:p>
    <w:p w:rsidR="003D4D27" w:rsidRPr="000F074A" w:rsidRDefault="005E365A" w:rsidP="00AD047A">
      <w:pPr>
        <w:ind w:left="567" w:right="567"/>
        <w:rPr>
          <w:sz w:val="18"/>
        </w:rPr>
      </w:pPr>
      <w:r w:rsidRPr="000525FB">
        <w:rPr>
          <w:sz w:val="18"/>
          <w:lang w:val="es-ES_tradnl"/>
        </w:rPr>
        <w:t>iii)</w:t>
      </w:r>
      <w:r w:rsidR="003D4D27" w:rsidRPr="000F074A">
        <w:rPr>
          <w:sz w:val="18"/>
        </w:rPr>
        <w:tab/>
      </w:r>
      <w:r w:rsidRPr="000525FB">
        <w:rPr>
          <w:sz w:val="18"/>
          <w:lang w:val="es-ES_tradnl"/>
        </w:rPr>
        <w:t>si el certificado fue concedido a una persona que no tenía derecho a este</w:t>
      </w:r>
      <w:r w:rsidR="00E07157" w:rsidRPr="000525FB">
        <w:rPr>
          <w:sz w:val="18"/>
          <w:lang w:val="es-ES_tradnl"/>
        </w:rPr>
        <w:t xml:space="preserve">, </w:t>
      </w:r>
      <w:r w:rsidR="00E718A5" w:rsidRPr="000525FB">
        <w:rPr>
          <w:sz w:val="18"/>
          <w:lang w:val="es-ES_tradnl"/>
        </w:rPr>
        <w:t>a menos que se haya transferido a la persona a quien corresponde el derecho</w:t>
      </w:r>
      <w:r w:rsidRPr="000525FB">
        <w:rPr>
          <w:sz w:val="18"/>
          <w:lang w:val="es-ES_tradnl"/>
        </w:rPr>
        <w:t>.</w:t>
      </w:r>
    </w:p>
    <w:p w:rsidR="003D4D27" w:rsidRPr="000F074A" w:rsidRDefault="003D4D27" w:rsidP="00AD047A">
      <w:pPr>
        <w:ind w:left="567" w:right="567"/>
        <w:rPr>
          <w:sz w:val="18"/>
        </w:rPr>
      </w:pPr>
    </w:p>
    <w:p w:rsidR="009971FD" w:rsidRPr="000F074A" w:rsidRDefault="00AB0CD7" w:rsidP="00AD047A">
      <w:pPr>
        <w:ind w:left="567" w:right="567"/>
        <w:rPr>
          <w:strike/>
          <w:sz w:val="18"/>
        </w:rPr>
      </w:pPr>
      <w:r w:rsidRPr="000525FB">
        <w:rPr>
          <w:strike/>
          <w:sz w:val="18"/>
          <w:highlight w:val="lightGray"/>
          <w:lang w:val="es-ES_tradnl"/>
        </w:rPr>
        <w:t>Ningún derecho de obtentor se declarará nulo por motivos distintos de los indicados en el párrafo</w:t>
      </w:r>
      <w:r w:rsidR="007514E1">
        <w:rPr>
          <w:strike/>
          <w:sz w:val="18"/>
          <w:highlight w:val="lightGray"/>
          <w:lang w:val="es-ES_tradnl"/>
        </w:rPr>
        <w:t xml:space="preserve"> </w:t>
      </w:r>
      <w:r w:rsidR="00831885" w:rsidRPr="000525FB">
        <w:rPr>
          <w:strike/>
          <w:sz w:val="18"/>
          <w:highlight w:val="lightGray"/>
          <w:lang w:val="es-ES_tradnl"/>
        </w:rPr>
        <w:t>1</w:t>
      </w:r>
      <w:r w:rsidRPr="000525FB">
        <w:rPr>
          <w:strike/>
          <w:sz w:val="18"/>
          <w:highlight w:val="lightGray"/>
          <w:lang w:val="es-ES_tradnl"/>
        </w:rPr>
        <w:t>.</w:t>
      </w:r>
    </w:p>
    <w:p w:rsidR="003D4D27" w:rsidRPr="000F074A" w:rsidRDefault="003D4D27" w:rsidP="00AD047A">
      <w:pPr>
        <w:ind w:left="567" w:right="567"/>
        <w:rPr>
          <w:strike/>
          <w:sz w:val="18"/>
        </w:rPr>
      </w:pPr>
    </w:p>
    <w:p w:rsidR="003D4D27" w:rsidRPr="000F074A" w:rsidRDefault="004D4505" w:rsidP="00AD047A">
      <w:pPr>
        <w:ind w:left="567" w:right="567"/>
        <w:rPr>
          <w:sz w:val="18"/>
        </w:rPr>
      </w:pPr>
      <w:r w:rsidRPr="000525FB">
        <w:rPr>
          <w:sz w:val="18"/>
          <w:lang w:val="es-ES_tradnl"/>
        </w:rPr>
        <w:t>La decisión de anulación será notificada por la Oficina al interesado mediante carta certificada con acuse de recibo</w:t>
      </w:r>
      <w:r w:rsidR="00E07157" w:rsidRPr="000525FB">
        <w:rPr>
          <w:sz w:val="18"/>
          <w:lang w:val="es-ES_tradnl"/>
        </w:rPr>
        <w:t xml:space="preserve">, </w:t>
      </w:r>
      <w:r w:rsidRPr="000525FB">
        <w:rPr>
          <w:sz w:val="18"/>
          <w:lang w:val="es-ES_tradnl"/>
        </w:rPr>
        <w:t>y podrá ser recurrida en el plazo de sesenta (60) días a partir de la fecha de notificación.</w:t>
      </w:r>
    </w:p>
    <w:p w:rsidR="009971FD" w:rsidRPr="000F074A" w:rsidRDefault="009971FD" w:rsidP="00AD047A">
      <w:pPr>
        <w:ind w:left="567" w:right="567"/>
        <w:rPr>
          <w:sz w:val="18"/>
        </w:rPr>
      </w:pPr>
    </w:p>
    <w:p w:rsidR="007937E2" w:rsidRPr="000F074A" w:rsidRDefault="004D4505" w:rsidP="00AD047A">
      <w:pPr>
        <w:ind w:left="567" w:right="567"/>
        <w:rPr>
          <w:strike/>
          <w:sz w:val="18"/>
        </w:rPr>
      </w:pPr>
      <w:r w:rsidRPr="000525FB">
        <w:rPr>
          <w:strike/>
          <w:sz w:val="18"/>
          <w:highlight w:val="lightGray"/>
          <w:lang w:val="es-ES_tradnl"/>
        </w:rPr>
        <w:t>El ministro de Agricultura dictará una decisión en la que se estable</w:t>
      </w:r>
      <w:r w:rsidR="00D72223" w:rsidRPr="000525FB">
        <w:rPr>
          <w:strike/>
          <w:sz w:val="18"/>
          <w:highlight w:val="lightGray"/>
          <w:lang w:val="es-ES_tradnl"/>
        </w:rPr>
        <w:t>cerá</w:t>
      </w:r>
      <w:r w:rsidRPr="000525FB">
        <w:rPr>
          <w:strike/>
          <w:sz w:val="18"/>
          <w:highlight w:val="lightGray"/>
          <w:lang w:val="es-ES_tradnl"/>
        </w:rPr>
        <w:t xml:space="preserve">n las </w:t>
      </w:r>
      <w:r w:rsidR="00D72223" w:rsidRPr="000525FB">
        <w:rPr>
          <w:strike/>
          <w:sz w:val="18"/>
          <w:highlight w:val="lightGray"/>
          <w:lang w:val="es-ES_tradnl"/>
        </w:rPr>
        <w:t>norm</w:t>
      </w:r>
      <w:r w:rsidRPr="000525FB">
        <w:rPr>
          <w:strike/>
          <w:sz w:val="18"/>
          <w:highlight w:val="lightGray"/>
          <w:lang w:val="es-ES_tradnl"/>
        </w:rPr>
        <w:t xml:space="preserve">as y los procedimientos </w:t>
      </w:r>
      <w:r w:rsidR="00D72223" w:rsidRPr="000525FB">
        <w:rPr>
          <w:strike/>
          <w:sz w:val="18"/>
          <w:highlight w:val="lightGray"/>
          <w:lang w:val="es-ES_tradnl"/>
        </w:rPr>
        <w:t>de</w:t>
      </w:r>
      <w:r w:rsidRPr="000525FB">
        <w:rPr>
          <w:strike/>
          <w:sz w:val="18"/>
          <w:highlight w:val="lightGray"/>
          <w:lang w:val="es-ES_tradnl"/>
        </w:rPr>
        <w:t xml:space="preserve"> examen y resolución del recurso.</w:t>
      </w:r>
      <w:r w:rsidRPr="000525FB">
        <w:rPr>
          <w:sz w:val="18"/>
          <w:lang w:val="es-ES_tradnl"/>
        </w:rPr>
        <w:t>”</w:t>
      </w:r>
    </w:p>
    <w:p w:rsidR="004A63F0" w:rsidRDefault="004A63F0" w:rsidP="00AD047A"/>
    <w:p w:rsidR="004A63F0" w:rsidRDefault="00525A96" w:rsidP="00CF2D6B">
      <w:pPr>
        <w:pStyle w:val="ListParagraph"/>
        <w:numPr>
          <w:ilvl w:val="0"/>
          <w:numId w:val="6"/>
        </w:numPr>
      </w:pPr>
      <w:r w:rsidRPr="00A9671D">
        <w:rPr>
          <w:lang w:val="es-ES_tradnl"/>
        </w:rPr>
        <w:t>En relación con la traducción del artículo</w:t>
      </w:r>
      <w:r w:rsidR="007514E1">
        <w:rPr>
          <w:lang w:val="es-ES_tradnl"/>
        </w:rPr>
        <w:t xml:space="preserve"> </w:t>
      </w:r>
      <w:r w:rsidR="00831885" w:rsidRPr="00A9671D">
        <w:rPr>
          <w:lang w:val="es-ES_tradnl"/>
        </w:rPr>
        <w:t>2</w:t>
      </w:r>
      <w:r w:rsidRPr="00A9671D">
        <w:rPr>
          <w:lang w:val="es-ES_tradnl"/>
        </w:rPr>
        <w:t>02 de la Ley</w:t>
      </w:r>
      <w:r w:rsidR="00E07157" w:rsidRPr="00A9671D">
        <w:rPr>
          <w:lang w:val="es-ES_tradnl"/>
        </w:rPr>
        <w:t xml:space="preserve">, </w:t>
      </w:r>
      <w:r w:rsidRPr="00A9671D">
        <w:rPr>
          <w:lang w:val="es-ES_tradnl"/>
        </w:rPr>
        <w:t>el Consejo tomó nota en</w:t>
      </w:r>
      <w:r w:rsidR="007514E1">
        <w:rPr>
          <w:lang w:val="es-ES_tradnl"/>
        </w:rPr>
        <w:t xml:space="preserve"> </w:t>
      </w:r>
      <w:r w:rsidR="00831885" w:rsidRPr="00A9671D">
        <w:rPr>
          <w:lang w:val="es-ES_tradnl"/>
        </w:rPr>
        <w:t>2</w:t>
      </w:r>
      <w:r w:rsidRPr="00A9671D">
        <w:rPr>
          <w:lang w:val="es-ES_tradnl"/>
        </w:rPr>
        <w:t>015 de que</w:t>
      </w:r>
      <w:r w:rsidR="00E07157" w:rsidRPr="00A9671D">
        <w:rPr>
          <w:lang w:val="es-ES_tradnl"/>
        </w:rPr>
        <w:t xml:space="preserve">, </w:t>
      </w:r>
      <w:r w:rsidR="00831885" w:rsidRPr="00A9671D">
        <w:rPr>
          <w:lang w:val="es-ES_tradnl"/>
        </w:rPr>
        <w:t>a consecuencia</w:t>
      </w:r>
      <w:r w:rsidRPr="00A9671D">
        <w:rPr>
          <w:lang w:val="es-ES_tradnl"/>
        </w:rPr>
        <w:t xml:space="preserve"> de la verificación de la traducción (véa</w:t>
      </w:r>
      <w:r w:rsidR="00FC1702" w:rsidRPr="00A9671D">
        <w:rPr>
          <w:lang w:val="es-ES_tradnl"/>
        </w:rPr>
        <w:t>n</w:t>
      </w:r>
      <w:r w:rsidRPr="00A9671D">
        <w:rPr>
          <w:lang w:val="es-ES_tradnl"/>
        </w:rPr>
        <w:t>se el párrafo</w:t>
      </w:r>
      <w:r w:rsidR="007514E1">
        <w:rPr>
          <w:lang w:val="es-ES_tradnl"/>
        </w:rPr>
        <w:t xml:space="preserve"> </w:t>
      </w:r>
      <w:r w:rsidR="00831885" w:rsidRPr="00A9671D">
        <w:rPr>
          <w:lang w:val="es-ES_tradnl"/>
        </w:rPr>
        <w:t>1</w:t>
      </w:r>
      <w:r w:rsidRPr="00A9671D">
        <w:rPr>
          <w:lang w:val="es-ES_tradnl"/>
        </w:rPr>
        <w:t>1.b)ii) del documento C(</w:t>
      </w:r>
      <w:proofErr w:type="spellStart"/>
      <w:r w:rsidRPr="00A9671D">
        <w:rPr>
          <w:lang w:val="es-ES_tradnl"/>
        </w:rPr>
        <w:t>Extr</w:t>
      </w:r>
      <w:proofErr w:type="spellEnd"/>
      <w:r w:rsidRPr="00A9671D">
        <w:rPr>
          <w:lang w:val="es-ES_tradnl"/>
        </w:rPr>
        <w:t>.)/32/10 “Informe” y el párrafo</w:t>
      </w:r>
      <w:r w:rsidR="007514E1">
        <w:rPr>
          <w:lang w:val="es-ES_tradnl"/>
        </w:rPr>
        <w:t xml:space="preserve"> </w:t>
      </w:r>
      <w:r w:rsidR="00831885" w:rsidRPr="00A9671D">
        <w:rPr>
          <w:lang w:val="es-ES_tradnl"/>
        </w:rPr>
        <w:t>2</w:t>
      </w:r>
      <w:r w:rsidRPr="00A9671D">
        <w:rPr>
          <w:lang w:val="es-ES_tradnl"/>
        </w:rPr>
        <w:t xml:space="preserve"> del presente documento)</w:t>
      </w:r>
      <w:r w:rsidR="00E07157" w:rsidRPr="00A9671D">
        <w:rPr>
          <w:lang w:val="es-ES_tradnl"/>
        </w:rPr>
        <w:t xml:space="preserve">, </w:t>
      </w:r>
      <w:r w:rsidR="007A7F16" w:rsidRPr="00A9671D">
        <w:rPr>
          <w:lang w:val="es-ES_tradnl"/>
        </w:rPr>
        <w:t xml:space="preserve">debía añadirse </w:t>
      </w:r>
      <w:r w:rsidRPr="00A9671D">
        <w:rPr>
          <w:lang w:val="es-ES_tradnl"/>
        </w:rPr>
        <w:t>en dicho artículo el número de párrafo “4)” antes de la frase “</w:t>
      </w:r>
      <w:r w:rsidR="00304014" w:rsidRPr="00CF1BBB">
        <w:rPr>
          <w:i/>
        </w:rPr>
        <w:t>The Minister of Agriculture shall issue a decision establishing the rules and procedures for examination and settlement of the appeal</w:t>
      </w:r>
      <w:r w:rsidRPr="00A9671D">
        <w:rPr>
          <w:i/>
          <w:lang w:val="es-ES_tradnl"/>
        </w:rPr>
        <w:t>.</w:t>
      </w:r>
      <w:r w:rsidRPr="00A9671D">
        <w:rPr>
          <w:lang w:val="es-ES_tradnl"/>
        </w:rPr>
        <w:t>”</w:t>
      </w:r>
      <w:r w:rsidR="00E13ED4">
        <w:t xml:space="preserve"> </w:t>
      </w:r>
      <w:r w:rsidR="00831885" w:rsidRPr="00A9671D">
        <w:rPr>
          <w:lang w:val="es-ES_tradnl"/>
        </w:rPr>
        <w:t>La adición del número del párrafo ya no es pertinente porque dicho párrafo ha sido suprimido.</w:t>
      </w:r>
      <w:r w:rsidR="00E13ED4">
        <w:t xml:space="preserve"> </w:t>
      </w:r>
      <w:r w:rsidR="00D72223" w:rsidRPr="00495A17">
        <w:rPr>
          <w:lang w:val="es-ES_tradnl"/>
        </w:rPr>
        <w:t>En el último párrafo del artículo</w:t>
      </w:r>
      <w:r w:rsidR="007514E1">
        <w:rPr>
          <w:lang w:val="es-ES_tradnl"/>
        </w:rPr>
        <w:t xml:space="preserve"> </w:t>
      </w:r>
      <w:r w:rsidR="00E07157" w:rsidRPr="00495A17">
        <w:rPr>
          <w:lang w:val="es-ES_tradnl"/>
        </w:rPr>
        <w:t>2</w:t>
      </w:r>
      <w:r w:rsidR="00D72223" w:rsidRPr="00495A17">
        <w:rPr>
          <w:lang w:val="es-ES_tradnl"/>
        </w:rPr>
        <w:t>01 de la Ley se est</w:t>
      </w:r>
      <w:r w:rsidR="00F67632" w:rsidRPr="00495A17">
        <w:rPr>
          <w:lang w:val="es-ES_tradnl"/>
        </w:rPr>
        <w:t>ipula</w:t>
      </w:r>
      <w:r w:rsidR="00D72223" w:rsidRPr="00495A17">
        <w:rPr>
          <w:lang w:val="es-ES_tradnl"/>
        </w:rPr>
        <w:t xml:space="preserve"> que “</w:t>
      </w:r>
      <w:r w:rsidR="00F67632" w:rsidRPr="00495A17">
        <w:rPr>
          <w:lang w:val="es-ES_tradnl"/>
        </w:rPr>
        <w:t>[e]</w:t>
      </w:r>
      <w:r w:rsidR="00D72223" w:rsidRPr="00495A17">
        <w:rPr>
          <w:lang w:val="es-ES_tradnl"/>
        </w:rPr>
        <w:t xml:space="preserve">n el Reglamento se fijarán las </w:t>
      </w:r>
      <w:r w:rsidR="00F67632" w:rsidRPr="00495A17">
        <w:rPr>
          <w:lang w:val="es-ES_tradnl"/>
        </w:rPr>
        <w:t xml:space="preserve">normas </w:t>
      </w:r>
      <w:r w:rsidR="00D72223" w:rsidRPr="00495A17">
        <w:rPr>
          <w:lang w:val="es-ES_tradnl"/>
        </w:rPr>
        <w:t xml:space="preserve">y los procedimientos </w:t>
      </w:r>
      <w:r w:rsidR="004F4C51" w:rsidRPr="00495A17">
        <w:rPr>
          <w:lang w:val="es-ES_tradnl"/>
        </w:rPr>
        <w:t>de</w:t>
      </w:r>
      <w:r w:rsidR="00D72223" w:rsidRPr="00495A17">
        <w:rPr>
          <w:lang w:val="es-ES_tradnl"/>
        </w:rPr>
        <w:t xml:space="preserve"> notificación</w:t>
      </w:r>
      <w:r w:rsidR="00E07157" w:rsidRPr="00495A17">
        <w:rPr>
          <w:lang w:val="es-ES_tradnl"/>
        </w:rPr>
        <w:t xml:space="preserve">, </w:t>
      </w:r>
      <w:r w:rsidR="00D72223" w:rsidRPr="00495A17">
        <w:rPr>
          <w:lang w:val="es-ES_tradnl"/>
        </w:rPr>
        <w:t>examen de</w:t>
      </w:r>
      <w:r w:rsidR="0003693F" w:rsidRPr="00495A17">
        <w:rPr>
          <w:lang w:val="es-ES_tradnl"/>
        </w:rPr>
        <w:t>l</w:t>
      </w:r>
      <w:r w:rsidR="00D72223" w:rsidRPr="00495A17">
        <w:rPr>
          <w:lang w:val="es-ES_tradnl"/>
        </w:rPr>
        <w:t xml:space="preserve"> </w:t>
      </w:r>
      <w:r w:rsidR="0003693F" w:rsidRPr="00495A17">
        <w:rPr>
          <w:lang w:val="es-ES_tradnl"/>
        </w:rPr>
        <w:t>recurso</w:t>
      </w:r>
      <w:r w:rsidR="00D72223" w:rsidRPr="00495A17">
        <w:rPr>
          <w:lang w:val="es-ES_tradnl"/>
        </w:rPr>
        <w:t xml:space="preserve"> y decisión al respecto</w:t>
      </w:r>
      <w:r w:rsidR="00A9671D" w:rsidRPr="00495A17">
        <w:rPr>
          <w:lang w:val="es-ES_tradnl"/>
        </w:rPr>
        <w:t>.</w:t>
      </w:r>
      <w:r w:rsidR="00D72223" w:rsidRPr="00495A17">
        <w:rPr>
          <w:lang w:val="es-ES_tradnl"/>
        </w:rPr>
        <w:t>”</w:t>
      </w:r>
      <w:r w:rsidR="00E13ED4">
        <w:t xml:space="preserve"> </w:t>
      </w:r>
      <w:r w:rsidR="0065795E" w:rsidRPr="00495A17">
        <w:rPr>
          <w:lang w:val="es-ES_tradnl"/>
        </w:rPr>
        <w:t>Por lo tanto</w:t>
      </w:r>
      <w:r w:rsidR="00E07157" w:rsidRPr="00495A17">
        <w:rPr>
          <w:lang w:val="es-ES_tradnl"/>
        </w:rPr>
        <w:t xml:space="preserve">, </w:t>
      </w:r>
      <w:r w:rsidR="0065795E" w:rsidRPr="00495A17">
        <w:rPr>
          <w:lang w:val="es-ES_tradnl"/>
        </w:rPr>
        <w:t xml:space="preserve">las cuestiones pertinentes en relación con los recursos se </w:t>
      </w:r>
      <w:r w:rsidR="00495A17" w:rsidRPr="00495A17">
        <w:rPr>
          <w:lang w:val="es-ES_tradnl"/>
        </w:rPr>
        <w:t>especific</w:t>
      </w:r>
      <w:r w:rsidR="00245264" w:rsidRPr="00495A17">
        <w:rPr>
          <w:lang w:val="es-ES_tradnl"/>
        </w:rPr>
        <w:t>arán</w:t>
      </w:r>
      <w:r w:rsidR="0065795E" w:rsidRPr="00495A17">
        <w:rPr>
          <w:lang w:val="es-ES_tradnl"/>
        </w:rPr>
        <w:t xml:space="preserve"> en el </w:t>
      </w:r>
      <w:r w:rsidR="00245264" w:rsidRPr="00495A17">
        <w:rPr>
          <w:lang w:val="es-ES_tradnl"/>
        </w:rPr>
        <w:t>Reglamento</w:t>
      </w:r>
      <w:r w:rsidR="0065795E" w:rsidRPr="00495A17">
        <w:rPr>
          <w:lang w:val="es-ES_tradnl"/>
        </w:rPr>
        <w:t>.</w:t>
      </w:r>
      <w:r w:rsidR="004A63F0">
        <w:t xml:space="preserve"> </w:t>
      </w:r>
    </w:p>
    <w:p w:rsidR="007937E2" w:rsidRDefault="007937E2" w:rsidP="007403C0"/>
    <w:p w:rsidR="007403C0" w:rsidRPr="000F074A" w:rsidRDefault="003311D3" w:rsidP="000F074A">
      <w:pPr>
        <w:ind w:left="567" w:right="567"/>
        <w:rPr>
          <w:sz w:val="18"/>
        </w:rPr>
      </w:pPr>
      <w:r w:rsidRPr="00495A17">
        <w:rPr>
          <w:sz w:val="18"/>
          <w:szCs w:val="18"/>
          <w:lang w:val="es-ES_tradnl"/>
        </w:rPr>
        <w:t>“Artículo</w:t>
      </w:r>
      <w:r w:rsidR="007514E1">
        <w:rPr>
          <w:sz w:val="18"/>
          <w:szCs w:val="18"/>
          <w:lang w:val="es-ES_tradnl"/>
        </w:rPr>
        <w:t xml:space="preserve"> </w:t>
      </w:r>
      <w:r w:rsidRPr="00495A17">
        <w:rPr>
          <w:sz w:val="18"/>
          <w:szCs w:val="18"/>
          <w:lang w:val="es-ES_tradnl"/>
        </w:rPr>
        <w:t>202</w:t>
      </w:r>
      <w:r w:rsidRPr="00495A17">
        <w:rPr>
          <w:rFonts w:cs="Arial"/>
          <w:sz w:val="18"/>
          <w:szCs w:val="18"/>
          <w:lang w:val="es-ES_tradnl"/>
        </w:rPr>
        <w:t>.</w:t>
      </w:r>
      <w:r w:rsidRPr="00495A17">
        <w:rPr>
          <w:rFonts w:cs="Arial"/>
          <w:i/>
          <w:sz w:val="18"/>
          <w:szCs w:val="18"/>
          <w:lang w:val="es-ES_tradnl"/>
        </w:rPr>
        <w:t>bis.</w:t>
      </w:r>
      <w:r w:rsidRPr="00495A17">
        <w:rPr>
          <w:sz w:val="18"/>
          <w:szCs w:val="18"/>
          <w:lang w:val="es-ES_tradnl"/>
        </w:rPr>
        <w:t>1)</w:t>
      </w:r>
    </w:p>
    <w:p w:rsidR="007403C0" w:rsidRPr="000F074A" w:rsidRDefault="007403C0" w:rsidP="000F074A">
      <w:pPr>
        <w:ind w:left="567" w:right="567"/>
        <w:rPr>
          <w:b/>
          <w:sz w:val="18"/>
        </w:rPr>
      </w:pPr>
    </w:p>
    <w:p w:rsidR="007403C0" w:rsidRPr="000F074A" w:rsidRDefault="00982FC1" w:rsidP="000F074A">
      <w:pPr>
        <w:ind w:left="567" w:right="567"/>
        <w:rPr>
          <w:sz w:val="18"/>
        </w:rPr>
      </w:pPr>
      <w:r w:rsidRPr="00282A6F">
        <w:rPr>
          <w:sz w:val="18"/>
          <w:highlight w:val="lightGray"/>
          <w:u w:val="single"/>
          <w:lang w:val="es-ES_tradnl"/>
        </w:rPr>
        <w:t>Las</w:t>
      </w:r>
      <w:r w:rsidR="004D42D5" w:rsidRPr="00282A6F">
        <w:rPr>
          <w:sz w:val="18"/>
          <w:highlight w:val="lightGray"/>
          <w:u w:val="single"/>
          <w:lang w:val="es-ES_tradnl"/>
        </w:rPr>
        <w:t xml:space="preserve"> disposiciones de</w:t>
      </w:r>
      <w:r w:rsidRPr="00282A6F">
        <w:rPr>
          <w:sz w:val="18"/>
          <w:highlight w:val="lightGray"/>
          <w:u w:val="single"/>
          <w:lang w:val="es-ES_tradnl"/>
        </w:rPr>
        <w:t>l</w:t>
      </w:r>
      <w:r w:rsidR="004D42D5" w:rsidRPr="00282A6F">
        <w:rPr>
          <w:sz w:val="18"/>
          <w:highlight w:val="lightGray"/>
          <w:u w:val="single"/>
          <w:lang w:val="es-ES_tradnl"/>
        </w:rPr>
        <w:t xml:space="preserve"> </w:t>
      </w:r>
      <w:r w:rsidRPr="00282A6F">
        <w:rPr>
          <w:sz w:val="18"/>
          <w:highlight w:val="lightGray"/>
          <w:u w:val="single"/>
          <w:lang w:val="es-ES_tradnl"/>
        </w:rPr>
        <w:t>Libro</w:t>
      </w:r>
      <w:r w:rsidR="007514E1">
        <w:rPr>
          <w:sz w:val="18"/>
          <w:highlight w:val="lightGray"/>
          <w:u w:val="single"/>
          <w:lang w:val="es-ES_tradnl"/>
        </w:rPr>
        <w:t xml:space="preserve"> </w:t>
      </w:r>
      <w:r w:rsidRPr="00282A6F">
        <w:rPr>
          <w:sz w:val="18"/>
          <w:highlight w:val="lightGray"/>
          <w:u w:val="single"/>
          <w:lang w:val="es-ES_tradnl"/>
        </w:rPr>
        <w:t>IV de</w:t>
      </w:r>
      <w:r w:rsidRPr="00282A6F">
        <w:rPr>
          <w:sz w:val="18"/>
          <w:lang w:val="es-ES_tradnl"/>
        </w:rPr>
        <w:t xml:space="preserve"> la Ley </w:t>
      </w:r>
      <w:r w:rsidRPr="00282A6F">
        <w:rPr>
          <w:sz w:val="18"/>
          <w:highlight w:val="lightGray"/>
          <w:u w:val="single"/>
          <w:lang w:val="es-ES_tradnl"/>
        </w:rPr>
        <w:t>de Protección de los Derechos de Propiedad Intelectual</w:t>
      </w:r>
      <w:r w:rsidR="004D42D5" w:rsidRPr="00282A6F">
        <w:rPr>
          <w:sz w:val="18"/>
          <w:lang w:val="es-ES_tradnl"/>
        </w:rPr>
        <w:t xml:space="preserve"> </w:t>
      </w:r>
      <w:r w:rsidR="00AC68E2" w:rsidRPr="00282A6F">
        <w:rPr>
          <w:sz w:val="18"/>
          <w:lang w:val="es-ES_tradnl"/>
        </w:rPr>
        <w:t>se</w:t>
      </w:r>
      <w:r w:rsidR="004D42D5" w:rsidRPr="00282A6F">
        <w:rPr>
          <w:sz w:val="18"/>
          <w:lang w:val="es-ES_tradnl"/>
        </w:rPr>
        <w:t xml:space="preserve"> ap</w:t>
      </w:r>
      <w:r w:rsidR="00AC68E2" w:rsidRPr="00282A6F">
        <w:rPr>
          <w:sz w:val="18"/>
          <w:lang w:val="es-ES_tradnl"/>
        </w:rPr>
        <w:t>lica</w:t>
      </w:r>
      <w:r w:rsidR="00AC68E2" w:rsidRPr="00282A6F">
        <w:rPr>
          <w:sz w:val="18"/>
          <w:highlight w:val="lightGray"/>
          <w:u w:val="single"/>
          <w:lang w:val="es-ES_tradnl"/>
        </w:rPr>
        <w:t>n</w:t>
      </w:r>
      <w:r w:rsidR="004D42D5" w:rsidRPr="00282A6F">
        <w:rPr>
          <w:sz w:val="18"/>
          <w:lang w:val="es-ES_tradnl"/>
        </w:rPr>
        <w:t xml:space="preserve"> a </w:t>
      </w:r>
      <w:r w:rsidR="004D42D5" w:rsidRPr="00282A6F">
        <w:rPr>
          <w:strike/>
          <w:sz w:val="18"/>
          <w:highlight w:val="lightGray"/>
          <w:lang w:val="es-ES_tradnl"/>
        </w:rPr>
        <w:t>todos</w:t>
      </w:r>
      <w:r w:rsidR="004D42D5" w:rsidRPr="00282A6F">
        <w:rPr>
          <w:sz w:val="18"/>
          <w:lang w:val="es-ES_tradnl"/>
        </w:rPr>
        <w:t xml:space="preserve"> </w:t>
      </w:r>
      <w:r w:rsidR="00AC68E2" w:rsidRPr="00282A6F">
        <w:rPr>
          <w:sz w:val="18"/>
          <w:lang w:val="es-ES_tradnl"/>
        </w:rPr>
        <w:t xml:space="preserve">los </w:t>
      </w:r>
      <w:r w:rsidRPr="00282A6F">
        <w:rPr>
          <w:sz w:val="18"/>
          <w:lang w:val="es-ES_tradnl"/>
        </w:rPr>
        <w:t>géneros y especies vegetales</w:t>
      </w:r>
      <w:r w:rsidR="004D42D5" w:rsidRPr="00282A6F">
        <w:rPr>
          <w:sz w:val="18"/>
          <w:lang w:val="es-ES_tradnl"/>
        </w:rPr>
        <w:t xml:space="preserve"> </w:t>
      </w:r>
      <w:r w:rsidRPr="00282A6F">
        <w:rPr>
          <w:sz w:val="18"/>
          <w:highlight w:val="lightGray"/>
          <w:u w:val="single"/>
          <w:lang w:val="es-ES_tradnl"/>
        </w:rPr>
        <w:t>e</w:t>
      </w:r>
      <w:r w:rsidR="004D42D5" w:rsidRPr="00282A6F">
        <w:rPr>
          <w:sz w:val="18"/>
          <w:highlight w:val="lightGray"/>
          <w:u w:val="single"/>
          <w:lang w:val="es-ES_tradnl"/>
        </w:rPr>
        <w:t>specifi</w:t>
      </w:r>
      <w:r w:rsidRPr="00282A6F">
        <w:rPr>
          <w:sz w:val="18"/>
          <w:highlight w:val="lightGray"/>
          <w:u w:val="single"/>
          <w:lang w:val="es-ES_tradnl"/>
        </w:rPr>
        <w:t>cados</w:t>
      </w:r>
      <w:r w:rsidR="004D42D5" w:rsidRPr="00282A6F">
        <w:rPr>
          <w:sz w:val="18"/>
          <w:highlight w:val="lightGray"/>
          <w:u w:val="single"/>
          <w:lang w:val="es-ES_tradnl"/>
        </w:rPr>
        <w:t xml:space="preserve"> por </w:t>
      </w:r>
      <w:r w:rsidRPr="00282A6F">
        <w:rPr>
          <w:sz w:val="18"/>
          <w:highlight w:val="lightGray"/>
          <w:u w:val="single"/>
          <w:lang w:val="es-ES_tradnl"/>
        </w:rPr>
        <w:t xml:space="preserve">el ministro </w:t>
      </w:r>
      <w:r w:rsidR="004D42D5" w:rsidRPr="00282A6F">
        <w:rPr>
          <w:sz w:val="18"/>
          <w:highlight w:val="lightGray"/>
          <w:u w:val="single"/>
          <w:lang w:val="es-ES_tradnl"/>
        </w:rPr>
        <w:t>de Agricultura</w:t>
      </w:r>
      <w:r w:rsidR="00E07157" w:rsidRPr="00282A6F">
        <w:rPr>
          <w:sz w:val="18"/>
          <w:highlight w:val="lightGray"/>
          <w:u w:val="single"/>
          <w:lang w:val="es-ES_tradnl"/>
        </w:rPr>
        <w:t xml:space="preserve">, </w:t>
      </w:r>
      <w:r w:rsidR="004D42D5" w:rsidRPr="00282A6F">
        <w:rPr>
          <w:sz w:val="18"/>
          <w:highlight w:val="lightGray"/>
          <w:u w:val="single"/>
          <w:lang w:val="es-ES_tradnl"/>
        </w:rPr>
        <w:t xml:space="preserve">y </w:t>
      </w:r>
      <w:r w:rsidR="00AC68E2" w:rsidRPr="00282A6F">
        <w:rPr>
          <w:sz w:val="18"/>
          <w:highlight w:val="lightGray"/>
          <w:u w:val="single"/>
          <w:lang w:val="es-ES_tradnl"/>
        </w:rPr>
        <w:t xml:space="preserve">se aplicarán a </w:t>
      </w:r>
      <w:r w:rsidR="004D42D5" w:rsidRPr="00282A6F">
        <w:rPr>
          <w:sz w:val="18"/>
          <w:highlight w:val="lightGray"/>
          <w:u w:val="single"/>
          <w:lang w:val="es-ES_tradnl"/>
        </w:rPr>
        <w:t xml:space="preserve">todos </w:t>
      </w:r>
      <w:r w:rsidR="00482822" w:rsidRPr="00282A6F">
        <w:rPr>
          <w:sz w:val="18"/>
          <w:highlight w:val="lightGray"/>
          <w:u w:val="single"/>
          <w:lang w:val="es-ES_tradnl"/>
        </w:rPr>
        <w:t xml:space="preserve">los </w:t>
      </w:r>
      <w:r w:rsidR="004D42D5" w:rsidRPr="00282A6F">
        <w:rPr>
          <w:sz w:val="18"/>
          <w:highlight w:val="lightGray"/>
          <w:u w:val="single"/>
          <w:lang w:val="es-ES_tradnl"/>
        </w:rPr>
        <w:t>géneros y especie</w:t>
      </w:r>
      <w:r w:rsidR="00482822" w:rsidRPr="00282A6F">
        <w:rPr>
          <w:sz w:val="18"/>
          <w:highlight w:val="lightGray"/>
          <w:u w:val="single"/>
          <w:lang w:val="es-ES_tradnl"/>
        </w:rPr>
        <w:t>s</w:t>
      </w:r>
      <w:r w:rsidR="004D42D5" w:rsidRPr="00282A6F">
        <w:rPr>
          <w:sz w:val="18"/>
          <w:highlight w:val="lightGray"/>
          <w:u w:val="single"/>
          <w:lang w:val="es-ES_tradnl"/>
        </w:rPr>
        <w:t xml:space="preserve"> </w:t>
      </w:r>
      <w:r w:rsidR="00482822" w:rsidRPr="00282A6F">
        <w:rPr>
          <w:sz w:val="18"/>
          <w:highlight w:val="lightGray"/>
          <w:u w:val="single"/>
          <w:lang w:val="es-ES_tradnl"/>
        </w:rPr>
        <w:t>cuando haya transcurrido</w:t>
      </w:r>
      <w:r w:rsidR="004D42D5" w:rsidRPr="00282A6F">
        <w:rPr>
          <w:sz w:val="18"/>
          <w:highlight w:val="lightGray"/>
          <w:u w:val="single"/>
          <w:lang w:val="es-ES_tradnl"/>
        </w:rPr>
        <w:t xml:space="preserve"> </w:t>
      </w:r>
      <w:r w:rsidR="00482822" w:rsidRPr="00282A6F">
        <w:rPr>
          <w:sz w:val="18"/>
          <w:highlight w:val="lightGray"/>
          <w:u w:val="single"/>
          <w:lang w:val="es-ES_tradnl"/>
        </w:rPr>
        <w:t xml:space="preserve">un </w:t>
      </w:r>
      <w:r w:rsidR="004D42D5" w:rsidRPr="00282A6F">
        <w:rPr>
          <w:sz w:val="18"/>
          <w:highlight w:val="lightGray"/>
          <w:u w:val="single"/>
          <w:lang w:val="es-ES_tradnl"/>
        </w:rPr>
        <w:t xml:space="preserve">período de diez (10) años </w:t>
      </w:r>
      <w:r w:rsidR="00482822" w:rsidRPr="00282A6F">
        <w:rPr>
          <w:sz w:val="18"/>
          <w:highlight w:val="lightGray"/>
          <w:u w:val="single"/>
          <w:lang w:val="es-ES_tradnl"/>
        </w:rPr>
        <w:t>desde</w:t>
      </w:r>
      <w:r w:rsidR="004D42D5" w:rsidRPr="00282A6F">
        <w:rPr>
          <w:sz w:val="18"/>
          <w:highlight w:val="lightGray"/>
          <w:u w:val="single"/>
          <w:lang w:val="es-ES_tradnl"/>
        </w:rPr>
        <w:t xml:space="preserve"> </w:t>
      </w:r>
      <w:r w:rsidR="00482822" w:rsidRPr="00282A6F">
        <w:rPr>
          <w:sz w:val="18"/>
          <w:highlight w:val="lightGray"/>
          <w:u w:val="single"/>
          <w:lang w:val="es-ES_tradnl"/>
        </w:rPr>
        <w:t xml:space="preserve">la </w:t>
      </w:r>
      <w:r w:rsidR="004D42D5" w:rsidRPr="00282A6F">
        <w:rPr>
          <w:sz w:val="18"/>
          <w:highlight w:val="lightGray"/>
          <w:u w:val="single"/>
          <w:lang w:val="es-ES_tradnl"/>
        </w:rPr>
        <w:t xml:space="preserve">fecha de </w:t>
      </w:r>
      <w:r w:rsidR="00482822" w:rsidRPr="00282A6F">
        <w:rPr>
          <w:sz w:val="18"/>
          <w:highlight w:val="lightGray"/>
          <w:u w:val="single"/>
          <w:lang w:val="es-ES_tradnl"/>
        </w:rPr>
        <w:t>entrada en vigor</w:t>
      </w:r>
      <w:r w:rsidR="004D42D5" w:rsidRPr="00282A6F">
        <w:rPr>
          <w:sz w:val="18"/>
          <w:highlight w:val="lightGray"/>
          <w:u w:val="single"/>
          <w:lang w:val="es-ES_tradnl"/>
        </w:rPr>
        <w:t xml:space="preserve"> </w:t>
      </w:r>
      <w:r w:rsidR="00482822" w:rsidRPr="00282A6F">
        <w:rPr>
          <w:sz w:val="18"/>
          <w:highlight w:val="lightGray"/>
          <w:u w:val="single"/>
          <w:lang w:val="es-ES_tradnl"/>
        </w:rPr>
        <w:t>de la presente Ley</w:t>
      </w:r>
      <w:r w:rsidR="004D42D5" w:rsidRPr="00282A6F">
        <w:rPr>
          <w:sz w:val="18"/>
          <w:lang w:val="es-ES_tradnl"/>
        </w:rPr>
        <w:t>.”</w:t>
      </w:r>
    </w:p>
    <w:p w:rsidR="003D4D27" w:rsidRDefault="003D4D27" w:rsidP="007403C0"/>
    <w:p w:rsidR="00B529D1" w:rsidRDefault="006E5AA2" w:rsidP="00CF2D6B">
      <w:pPr>
        <w:pStyle w:val="ListParagraph"/>
        <w:numPr>
          <w:ilvl w:val="0"/>
          <w:numId w:val="6"/>
        </w:numPr>
      </w:pPr>
      <w:r w:rsidRPr="00282A6F">
        <w:rPr>
          <w:lang w:val="es-ES_tradnl"/>
        </w:rPr>
        <w:t>Con respecto a los cambios introducidos en el artículo</w:t>
      </w:r>
      <w:r w:rsidR="007514E1">
        <w:rPr>
          <w:lang w:val="es-ES_tradnl"/>
        </w:rPr>
        <w:t xml:space="preserve"> </w:t>
      </w:r>
      <w:r w:rsidRPr="00282A6F">
        <w:rPr>
          <w:lang w:val="es-ES_tradnl"/>
        </w:rPr>
        <w:t>202</w:t>
      </w:r>
      <w:r w:rsidRPr="00282A6F">
        <w:rPr>
          <w:rFonts w:cs="Arial"/>
          <w:lang w:val="es-ES_tradnl"/>
        </w:rPr>
        <w:t>.</w:t>
      </w:r>
      <w:r w:rsidRPr="00282A6F">
        <w:rPr>
          <w:rFonts w:cs="Arial"/>
          <w:i/>
          <w:lang w:val="es-ES_tradnl"/>
        </w:rPr>
        <w:t>bis.</w:t>
      </w:r>
      <w:r w:rsidRPr="00282A6F">
        <w:rPr>
          <w:lang w:val="es-ES_tradnl"/>
        </w:rPr>
        <w:t>1) de la Ley</w:t>
      </w:r>
      <w:r w:rsidR="00E07157" w:rsidRPr="00282A6F">
        <w:rPr>
          <w:lang w:val="es-ES_tradnl"/>
        </w:rPr>
        <w:t xml:space="preserve">, </w:t>
      </w:r>
      <w:r w:rsidR="006D3833" w:rsidRPr="00282A6F">
        <w:rPr>
          <w:lang w:val="es-ES_tradnl"/>
        </w:rPr>
        <w:t>la Misión Permanente transmitió a la Oficina de la</w:t>
      </w:r>
      <w:r w:rsidR="007514E1">
        <w:rPr>
          <w:lang w:val="es-ES_tradnl"/>
        </w:rPr>
        <w:t xml:space="preserve"> </w:t>
      </w:r>
      <w:r w:rsidR="006D3833" w:rsidRPr="00282A6F">
        <w:rPr>
          <w:lang w:val="es-ES_tradnl"/>
        </w:rPr>
        <w:t>Unión</w:t>
      </w:r>
      <w:r w:rsidR="00E07157" w:rsidRPr="00282A6F">
        <w:rPr>
          <w:lang w:val="es-ES_tradnl"/>
        </w:rPr>
        <w:t xml:space="preserve">, </w:t>
      </w:r>
      <w:r w:rsidRPr="00282A6F">
        <w:rPr>
          <w:lang w:val="es-ES_tradnl"/>
        </w:rPr>
        <w:t>mediante la nota N.º</w:t>
      </w:r>
      <w:r w:rsidR="007514E1">
        <w:rPr>
          <w:lang w:val="es-ES_tradnl"/>
        </w:rPr>
        <w:t xml:space="preserve"> </w:t>
      </w:r>
      <w:r w:rsidR="00E07157" w:rsidRPr="00282A6F">
        <w:rPr>
          <w:lang w:val="es-ES_tradnl"/>
        </w:rPr>
        <w:t>2</w:t>
      </w:r>
      <w:r w:rsidRPr="00282A6F">
        <w:rPr>
          <w:lang w:val="es-ES_tradnl"/>
        </w:rPr>
        <w:t>019.240 de</w:t>
      </w:r>
      <w:r w:rsidR="007514E1">
        <w:rPr>
          <w:lang w:val="es-ES_tradnl"/>
        </w:rPr>
        <w:t xml:space="preserve"> </w:t>
      </w:r>
      <w:r w:rsidRPr="00282A6F">
        <w:rPr>
          <w:lang w:val="es-ES_tradnl"/>
        </w:rPr>
        <w:t>30 de septiembre de</w:t>
      </w:r>
      <w:r w:rsidR="007514E1">
        <w:rPr>
          <w:lang w:val="es-ES_tradnl"/>
        </w:rPr>
        <w:t xml:space="preserve"> </w:t>
      </w:r>
      <w:r w:rsidRPr="00282A6F">
        <w:rPr>
          <w:lang w:val="es-ES_tradnl"/>
        </w:rPr>
        <w:t>2019</w:t>
      </w:r>
      <w:r w:rsidR="00E07157" w:rsidRPr="00282A6F">
        <w:rPr>
          <w:lang w:val="es-ES_tradnl"/>
        </w:rPr>
        <w:t xml:space="preserve">, </w:t>
      </w:r>
      <w:r w:rsidR="00573183" w:rsidRPr="00282A6F">
        <w:rPr>
          <w:lang w:val="es-ES_tradnl"/>
        </w:rPr>
        <w:t>un</w:t>
      </w:r>
      <w:r w:rsidRPr="00282A6F">
        <w:rPr>
          <w:lang w:val="es-ES_tradnl"/>
        </w:rPr>
        <w:t>a lista de</w:t>
      </w:r>
      <w:r w:rsidR="007514E1">
        <w:rPr>
          <w:lang w:val="es-ES_tradnl"/>
        </w:rPr>
        <w:t xml:space="preserve"> </w:t>
      </w:r>
      <w:r w:rsidRPr="00282A6F">
        <w:rPr>
          <w:lang w:val="es-ES_tradnl"/>
        </w:rPr>
        <w:t>48 géneros o especie</w:t>
      </w:r>
      <w:r w:rsidR="00573183" w:rsidRPr="00282A6F">
        <w:rPr>
          <w:lang w:val="es-ES_tradnl"/>
        </w:rPr>
        <w:t>s</w:t>
      </w:r>
      <w:r w:rsidRPr="00282A6F">
        <w:rPr>
          <w:lang w:val="es-ES_tradnl"/>
        </w:rPr>
        <w:t xml:space="preserve"> a </w:t>
      </w:r>
      <w:r w:rsidR="00573183" w:rsidRPr="00282A6F">
        <w:rPr>
          <w:lang w:val="es-ES_tradnl"/>
        </w:rPr>
        <w:t xml:space="preserve">los que se aplica la </w:t>
      </w:r>
      <w:r w:rsidRPr="00282A6F">
        <w:rPr>
          <w:lang w:val="es-ES_tradnl"/>
        </w:rPr>
        <w:t xml:space="preserve">Ley de conformidad con </w:t>
      </w:r>
      <w:r w:rsidR="00573183" w:rsidRPr="00282A6F">
        <w:rPr>
          <w:lang w:val="es-ES_tradnl"/>
        </w:rPr>
        <w:t>ese artículo</w:t>
      </w:r>
      <w:r w:rsidRPr="00282A6F">
        <w:rPr>
          <w:lang w:val="es-ES_tradnl"/>
        </w:rPr>
        <w:t>.</w:t>
      </w:r>
      <w:r w:rsidR="00E13ED4">
        <w:t xml:space="preserve"> </w:t>
      </w:r>
      <w:r w:rsidR="00FA0817" w:rsidRPr="00B72134">
        <w:rPr>
          <w:lang w:val="es-ES_tradnl"/>
        </w:rPr>
        <w:t>El artículo</w:t>
      </w:r>
      <w:r w:rsidR="007514E1">
        <w:rPr>
          <w:lang w:val="es-ES_tradnl"/>
        </w:rPr>
        <w:t xml:space="preserve"> </w:t>
      </w:r>
      <w:r w:rsidR="00FA0817" w:rsidRPr="00B72134">
        <w:rPr>
          <w:lang w:val="es-ES_tradnl"/>
        </w:rPr>
        <w:t>202</w:t>
      </w:r>
      <w:r w:rsidR="00FA0817" w:rsidRPr="00B72134">
        <w:rPr>
          <w:rFonts w:cs="Arial"/>
          <w:lang w:val="es-ES_tradnl"/>
        </w:rPr>
        <w:t>.</w:t>
      </w:r>
      <w:r w:rsidR="00FA0817" w:rsidRPr="00B72134">
        <w:rPr>
          <w:rFonts w:cs="Arial"/>
          <w:i/>
          <w:lang w:val="es-ES_tradnl"/>
        </w:rPr>
        <w:t>bis.</w:t>
      </w:r>
      <w:r w:rsidR="00FA0817" w:rsidRPr="00B72134">
        <w:rPr>
          <w:lang w:val="es-ES_tradnl"/>
        </w:rPr>
        <w:t xml:space="preserve">1) de la Ley </w:t>
      </w:r>
      <w:r w:rsidR="0098188B" w:rsidRPr="00B72134">
        <w:rPr>
          <w:lang w:val="es-ES_tradnl"/>
        </w:rPr>
        <w:t xml:space="preserve">se corresponde con la obligación estipulada en el </w:t>
      </w:r>
      <w:r w:rsidR="00FA0817" w:rsidRPr="00B72134">
        <w:rPr>
          <w:lang w:val="es-ES_tradnl"/>
        </w:rPr>
        <w:t>artículo</w:t>
      </w:r>
      <w:r w:rsidR="007514E1">
        <w:rPr>
          <w:lang w:val="es-ES_tradnl"/>
        </w:rPr>
        <w:t xml:space="preserve"> </w:t>
      </w:r>
      <w:r w:rsidR="00FA0817" w:rsidRPr="00B72134">
        <w:rPr>
          <w:lang w:val="es-ES_tradnl"/>
        </w:rPr>
        <w:t>3</w:t>
      </w:r>
      <w:r w:rsidR="0098188B" w:rsidRPr="00B72134">
        <w:rPr>
          <w:lang w:val="es-ES_tradnl"/>
        </w:rPr>
        <w:t>.</w:t>
      </w:r>
      <w:r w:rsidR="00FA0817" w:rsidRPr="00B72134">
        <w:rPr>
          <w:lang w:val="es-ES_tradnl"/>
        </w:rPr>
        <w:t>2) de</w:t>
      </w:r>
      <w:r w:rsidR="0098188B" w:rsidRPr="00B72134">
        <w:rPr>
          <w:lang w:val="es-ES_tradnl"/>
        </w:rPr>
        <w:t>l</w:t>
      </w:r>
      <w:r w:rsidR="00FA0817" w:rsidRPr="00B72134">
        <w:rPr>
          <w:lang w:val="es-ES_tradnl"/>
        </w:rPr>
        <w:t xml:space="preserve"> Acta </w:t>
      </w:r>
      <w:r w:rsidR="0098188B" w:rsidRPr="00B72134">
        <w:rPr>
          <w:lang w:val="es-ES_tradnl"/>
        </w:rPr>
        <w:t>de</w:t>
      </w:r>
      <w:r w:rsidR="007514E1">
        <w:rPr>
          <w:lang w:val="es-ES_tradnl"/>
        </w:rPr>
        <w:t xml:space="preserve"> </w:t>
      </w:r>
      <w:r w:rsidR="00E07157" w:rsidRPr="00B72134">
        <w:rPr>
          <w:lang w:val="es-ES_tradnl"/>
        </w:rPr>
        <w:t>1</w:t>
      </w:r>
      <w:r w:rsidR="00FA0817" w:rsidRPr="00B72134">
        <w:rPr>
          <w:lang w:val="es-ES_tradnl"/>
        </w:rPr>
        <w:t>991</w:t>
      </w:r>
      <w:r w:rsidR="00E07157" w:rsidRPr="00B72134">
        <w:rPr>
          <w:lang w:val="es-ES_tradnl"/>
        </w:rPr>
        <w:t xml:space="preserve">, </w:t>
      </w:r>
      <w:r w:rsidR="00FA0817" w:rsidRPr="00B72134">
        <w:rPr>
          <w:lang w:val="es-ES_tradnl"/>
        </w:rPr>
        <w:t>y</w:t>
      </w:r>
      <w:r w:rsidR="00C6653A" w:rsidRPr="00B72134">
        <w:rPr>
          <w:lang w:val="es-ES_tradnl"/>
        </w:rPr>
        <w:t xml:space="preserve"> en</w:t>
      </w:r>
      <w:r w:rsidR="00FA0817" w:rsidRPr="00B72134">
        <w:rPr>
          <w:lang w:val="es-ES_tradnl"/>
        </w:rPr>
        <w:t xml:space="preserve"> </w:t>
      </w:r>
      <w:r w:rsidR="006973B5" w:rsidRPr="00B72134">
        <w:rPr>
          <w:lang w:val="es-ES_tradnl"/>
        </w:rPr>
        <w:t>la</w:t>
      </w:r>
      <w:r w:rsidR="00FA0817" w:rsidRPr="00B72134">
        <w:rPr>
          <w:lang w:val="es-ES_tradnl"/>
        </w:rPr>
        <w:t xml:space="preserve"> declaración </w:t>
      </w:r>
      <w:r w:rsidR="006973B5" w:rsidRPr="00B72134">
        <w:rPr>
          <w:lang w:val="es-ES_tradnl"/>
        </w:rPr>
        <w:t xml:space="preserve">adjunta </w:t>
      </w:r>
      <w:r w:rsidR="00FA0817" w:rsidRPr="00B72134">
        <w:rPr>
          <w:lang w:val="es-ES_tradnl"/>
        </w:rPr>
        <w:t xml:space="preserve">a </w:t>
      </w:r>
      <w:r w:rsidR="006973B5" w:rsidRPr="00B72134">
        <w:rPr>
          <w:lang w:val="es-ES_tradnl"/>
        </w:rPr>
        <w:t xml:space="preserve">la nota de </w:t>
      </w:r>
      <w:r w:rsidR="00FA0817" w:rsidRPr="00B72134">
        <w:rPr>
          <w:lang w:val="es-ES_tradnl"/>
        </w:rPr>
        <w:t xml:space="preserve">la Misión Permanente </w:t>
      </w:r>
      <w:r w:rsidR="00C6653A" w:rsidRPr="00B72134">
        <w:rPr>
          <w:lang w:val="es-ES_tradnl"/>
        </w:rPr>
        <w:t>se facilita</w:t>
      </w:r>
      <w:r w:rsidR="00FA0817" w:rsidRPr="00B72134">
        <w:rPr>
          <w:lang w:val="es-ES_tradnl"/>
        </w:rPr>
        <w:t xml:space="preserve"> </w:t>
      </w:r>
      <w:r w:rsidR="00C6653A" w:rsidRPr="00B72134">
        <w:rPr>
          <w:lang w:val="es-ES_tradnl"/>
        </w:rPr>
        <w:t xml:space="preserve">un </w:t>
      </w:r>
      <w:r w:rsidR="00FA0817" w:rsidRPr="00B72134">
        <w:rPr>
          <w:lang w:val="es-ES_tradnl"/>
        </w:rPr>
        <w:t xml:space="preserve">número de géneros o especie </w:t>
      </w:r>
      <w:r w:rsidR="00C6653A" w:rsidRPr="00B72134">
        <w:rPr>
          <w:lang w:val="es-ES_tradnl"/>
        </w:rPr>
        <w:t xml:space="preserve">que es superior al </w:t>
      </w:r>
      <w:r w:rsidR="00FA0817" w:rsidRPr="00B72134">
        <w:rPr>
          <w:lang w:val="es-ES_tradnl"/>
        </w:rPr>
        <w:t>mínimo de</w:t>
      </w:r>
      <w:r w:rsidR="007514E1">
        <w:rPr>
          <w:lang w:val="es-ES_tradnl"/>
        </w:rPr>
        <w:t xml:space="preserve"> </w:t>
      </w:r>
      <w:r w:rsidR="00FA0817" w:rsidRPr="00B72134">
        <w:rPr>
          <w:lang w:val="es-ES_tradnl"/>
        </w:rPr>
        <w:t xml:space="preserve">15 </w:t>
      </w:r>
      <w:r w:rsidR="00C6653A" w:rsidRPr="00B72134">
        <w:rPr>
          <w:lang w:val="es-ES_tradnl"/>
        </w:rPr>
        <w:t xml:space="preserve">establecido </w:t>
      </w:r>
      <w:r w:rsidR="00FA0817" w:rsidRPr="00B72134">
        <w:rPr>
          <w:lang w:val="es-ES_tradnl"/>
        </w:rPr>
        <w:t xml:space="preserve">en </w:t>
      </w:r>
      <w:r w:rsidR="00C6653A" w:rsidRPr="00B72134">
        <w:rPr>
          <w:lang w:val="es-ES_tradnl"/>
        </w:rPr>
        <w:t>el artículo</w:t>
      </w:r>
      <w:r w:rsidR="007514E1">
        <w:rPr>
          <w:lang w:val="es-ES_tradnl"/>
        </w:rPr>
        <w:t xml:space="preserve"> </w:t>
      </w:r>
      <w:r w:rsidR="00FA0817" w:rsidRPr="00B72134">
        <w:rPr>
          <w:lang w:val="es-ES_tradnl"/>
        </w:rPr>
        <w:t>3</w:t>
      </w:r>
      <w:r w:rsidR="00C6653A" w:rsidRPr="00B72134">
        <w:rPr>
          <w:lang w:val="es-ES_tradnl"/>
        </w:rPr>
        <w:t>.</w:t>
      </w:r>
      <w:r w:rsidR="00FA0817" w:rsidRPr="00B72134">
        <w:rPr>
          <w:lang w:val="es-ES_tradnl"/>
        </w:rPr>
        <w:t>2)i) de</w:t>
      </w:r>
      <w:r w:rsidR="00C6653A" w:rsidRPr="00B72134">
        <w:rPr>
          <w:lang w:val="es-ES_tradnl"/>
        </w:rPr>
        <w:t xml:space="preserve">l </w:t>
      </w:r>
      <w:r w:rsidR="00FA0817" w:rsidRPr="00B72134">
        <w:rPr>
          <w:lang w:val="es-ES_tradnl"/>
        </w:rPr>
        <w:t xml:space="preserve">Acta </w:t>
      </w:r>
      <w:r w:rsidR="00C6653A" w:rsidRPr="00B72134">
        <w:rPr>
          <w:lang w:val="es-ES_tradnl"/>
        </w:rPr>
        <w:t>de</w:t>
      </w:r>
      <w:r w:rsidR="007514E1">
        <w:rPr>
          <w:lang w:val="es-ES_tradnl"/>
        </w:rPr>
        <w:t xml:space="preserve"> </w:t>
      </w:r>
      <w:r w:rsidR="00E07157" w:rsidRPr="00B72134">
        <w:rPr>
          <w:lang w:val="es-ES_tradnl"/>
        </w:rPr>
        <w:t>1</w:t>
      </w:r>
      <w:r w:rsidR="00FA0817" w:rsidRPr="00B72134">
        <w:rPr>
          <w:lang w:val="es-ES_tradnl"/>
        </w:rPr>
        <w:t>991.</w:t>
      </w:r>
    </w:p>
    <w:p w:rsidR="00072FCE" w:rsidRDefault="00072FCE">
      <w:pPr>
        <w:jc w:val="left"/>
        <w:rPr>
          <w:caps/>
        </w:rPr>
      </w:pPr>
    </w:p>
    <w:p w:rsidR="00784113" w:rsidRDefault="003F0560" w:rsidP="00784113">
      <w:pPr>
        <w:pStyle w:val="Heading1"/>
      </w:pPr>
      <w:r w:rsidRPr="00B72134">
        <w:rPr>
          <w:caps w:val="0"/>
          <w:lang w:val="es-ES_tradnl"/>
        </w:rPr>
        <w:t>CONCLUSIÓN</w:t>
      </w:r>
    </w:p>
    <w:p w:rsidR="00784113" w:rsidRDefault="00784113" w:rsidP="004D3BFB">
      <w:pPr>
        <w:keepLines/>
      </w:pPr>
    </w:p>
    <w:p w:rsidR="00E04693" w:rsidRDefault="003F0560" w:rsidP="00CF2D6B">
      <w:pPr>
        <w:pStyle w:val="ListParagraph"/>
        <w:numPr>
          <w:ilvl w:val="0"/>
          <w:numId w:val="6"/>
        </w:numPr>
      </w:pPr>
      <w:r w:rsidRPr="00B72134">
        <w:rPr>
          <w:lang w:val="es-ES_tradnl"/>
        </w:rPr>
        <w:t>A juicio de la Oficina de la</w:t>
      </w:r>
      <w:r w:rsidR="007514E1">
        <w:rPr>
          <w:lang w:val="es-ES_tradnl"/>
        </w:rPr>
        <w:t xml:space="preserve"> </w:t>
      </w:r>
      <w:r w:rsidRPr="00B72134">
        <w:rPr>
          <w:lang w:val="es-ES_tradnl"/>
        </w:rPr>
        <w:t>Unión</w:t>
      </w:r>
      <w:r w:rsidR="00E07157" w:rsidRPr="00B72134">
        <w:rPr>
          <w:lang w:val="es-ES_tradnl"/>
        </w:rPr>
        <w:t xml:space="preserve">, </w:t>
      </w:r>
      <w:r w:rsidRPr="00B72134">
        <w:rPr>
          <w:lang w:val="es-ES_tradnl"/>
        </w:rPr>
        <w:t xml:space="preserve">los referidos cambios introducidos en el </w:t>
      </w:r>
      <w:r w:rsidR="007F61EE" w:rsidRPr="00B72134">
        <w:rPr>
          <w:lang w:val="es-ES_tradnl"/>
        </w:rPr>
        <w:t>Libro</w:t>
      </w:r>
      <w:r w:rsidR="007514E1">
        <w:rPr>
          <w:lang w:val="es-ES_tradnl"/>
        </w:rPr>
        <w:t xml:space="preserve"> </w:t>
      </w:r>
      <w:r w:rsidR="007F61EE" w:rsidRPr="00B72134">
        <w:rPr>
          <w:lang w:val="es-ES_tradnl"/>
        </w:rPr>
        <w:t>IV “Variedades vegetales” de la Ley de Protección de los Derechos de Propiedad Intelectual</w:t>
      </w:r>
      <w:r w:rsidR="00E07157" w:rsidRPr="00B72134">
        <w:rPr>
          <w:lang w:val="es-ES_tradnl"/>
        </w:rPr>
        <w:t xml:space="preserve">, </w:t>
      </w:r>
      <w:r w:rsidRPr="00B72134">
        <w:rPr>
          <w:lang w:val="es-ES_tradnl"/>
        </w:rPr>
        <w:t>modificada por última vez en</w:t>
      </w:r>
      <w:r w:rsidR="007514E1">
        <w:rPr>
          <w:lang w:val="es-ES_tradnl"/>
        </w:rPr>
        <w:t xml:space="preserve"> </w:t>
      </w:r>
      <w:r w:rsidRPr="00B72134">
        <w:rPr>
          <w:lang w:val="es-ES_tradnl"/>
        </w:rPr>
        <w:t>2019</w:t>
      </w:r>
      <w:r w:rsidR="00E07157" w:rsidRPr="00B72134">
        <w:rPr>
          <w:lang w:val="es-ES_tradnl"/>
        </w:rPr>
        <w:t xml:space="preserve">, </w:t>
      </w:r>
      <w:r w:rsidRPr="00B72134">
        <w:rPr>
          <w:lang w:val="es-ES_tradnl"/>
        </w:rPr>
        <w:t>no afect</w:t>
      </w:r>
      <w:r w:rsidR="00474138" w:rsidRPr="00B72134">
        <w:rPr>
          <w:lang w:val="es-ES_tradnl"/>
        </w:rPr>
        <w:t>an a las</w:t>
      </w:r>
      <w:r w:rsidRPr="00B72134">
        <w:rPr>
          <w:lang w:val="es-ES_tradnl"/>
        </w:rPr>
        <w:t xml:space="preserve"> disposiciones fundamentales </w:t>
      </w:r>
      <w:r w:rsidR="00474138" w:rsidRPr="00B72134">
        <w:rPr>
          <w:lang w:val="es-ES_tradnl"/>
        </w:rPr>
        <w:t>d</w:t>
      </w:r>
      <w:r w:rsidRPr="00B72134">
        <w:rPr>
          <w:lang w:val="es-ES_tradnl"/>
        </w:rPr>
        <w:t>el Acta de</w:t>
      </w:r>
      <w:r w:rsidR="007514E1">
        <w:rPr>
          <w:lang w:val="es-ES_tradnl"/>
        </w:rPr>
        <w:t xml:space="preserve"> </w:t>
      </w:r>
      <w:r w:rsidR="00E07157" w:rsidRPr="00B72134">
        <w:rPr>
          <w:lang w:val="es-ES_tradnl"/>
        </w:rPr>
        <w:t>1</w:t>
      </w:r>
      <w:r w:rsidRPr="00B72134">
        <w:rPr>
          <w:lang w:val="es-ES_tradnl"/>
        </w:rPr>
        <w:t>991 del Convenio de la</w:t>
      </w:r>
      <w:r w:rsidR="007514E1">
        <w:rPr>
          <w:lang w:val="es-ES_tradnl"/>
        </w:rPr>
        <w:t xml:space="preserve"> </w:t>
      </w:r>
      <w:r w:rsidRPr="00B72134">
        <w:rPr>
          <w:lang w:val="es-ES_tradnl"/>
        </w:rPr>
        <w:t>UPOV.</w:t>
      </w:r>
    </w:p>
    <w:p w:rsidR="003410CD" w:rsidRDefault="003410CD" w:rsidP="007403C0"/>
    <w:p w:rsidR="00DC5EB0" w:rsidRPr="00CF2D6B" w:rsidRDefault="00474138" w:rsidP="00CF2D6B">
      <w:pPr>
        <w:pStyle w:val="ListParagraph"/>
        <w:keepNext/>
        <w:numPr>
          <w:ilvl w:val="0"/>
          <w:numId w:val="6"/>
        </w:numPr>
        <w:tabs>
          <w:tab w:val="left" w:pos="5387"/>
        </w:tabs>
        <w:ind w:left="5387" w:hanging="567"/>
        <w:rPr>
          <w:i/>
        </w:rPr>
      </w:pPr>
      <w:r w:rsidRPr="00B72134">
        <w:rPr>
          <w:i/>
          <w:lang w:val="es-ES_tradnl"/>
        </w:rPr>
        <w:t>Se invita al Consejo a:</w:t>
      </w:r>
      <w:r w:rsidR="00DC5EB0" w:rsidRPr="00CF2D6B">
        <w:rPr>
          <w:i/>
        </w:rPr>
        <w:t xml:space="preserve"> </w:t>
      </w:r>
    </w:p>
    <w:p w:rsidR="005F38CA" w:rsidRPr="0049173C" w:rsidRDefault="005F38CA" w:rsidP="00EC2672">
      <w:pPr>
        <w:keepNext/>
        <w:tabs>
          <w:tab w:val="left" w:pos="5387"/>
        </w:tabs>
        <w:ind w:left="4820"/>
        <w:rPr>
          <w:i/>
        </w:rPr>
      </w:pPr>
    </w:p>
    <w:p w:rsidR="005F38CA" w:rsidRPr="00CF2D6B" w:rsidRDefault="005B5E64" w:rsidP="00CF2D6B">
      <w:pPr>
        <w:pStyle w:val="ListParagraph"/>
        <w:keepNext/>
        <w:numPr>
          <w:ilvl w:val="1"/>
          <w:numId w:val="8"/>
        </w:numPr>
        <w:tabs>
          <w:tab w:val="left" w:pos="5954"/>
        </w:tabs>
        <w:ind w:left="4820" w:firstLine="567"/>
        <w:rPr>
          <w:i/>
          <w:spacing w:val="-2"/>
        </w:rPr>
      </w:pPr>
      <w:r w:rsidRPr="00562B6C">
        <w:rPr>
          <w:i/>
          <w:spacing w:val="-2"/>
          <w:lang w:val="es-ES_tradnl"/>
        </w:rPr>
        <w:t xml:space="preserve">tomar nota de que determinadas </w:t>
      </w:r>
      <w:r w:rsidRPr="00562B6C">
        <w:rPr>
          <w:i/>
          <w:spacing w:val="-2"/>
          <w:szCs w:val="22"/>
          <w:lang w:val="es-ES_tradnl"/>
        </w:rPr>
        <w:t xml:space="preserve">disposiciones del </w:t>
      </w:r>
      <w:r w:rsidR="002D26A8" w:rsidRPr="00562B6C">
        <w:rPr>
          <w:i/>
          <w:lang w:val="es-ES_tradnl"/>
        </w:rPr>
        <w:t>Libro</w:t>
      </w:r>
      <w:r w:rsidR="007514E1">
        <w:rPr>
          <w:i/>
          <w:lang w:val="es-ES_tradnl"/>
        </w:rPr>
        <w:t xml:space="preserve"> </w:t>
      </w:r>
      <w:r w:rsidR="002D26A8" w:rsidRPr="00562B6C">
        <w:rPr>
          <w:i/>
          <w:lang w:val="es-ES_tradnl"/>
        </w:rPr>
        <w:t>IV “Variedades vegetales” de la Ley de Protección de los Derechos de Propiedad Intelectual</w:t>
      </w:r>
      <w:r w:rsidR="00E07157" w:rsidRPr="00562B6C">
        <w:rPr>
          <w:rFonts w:cs="Arial"/>
          <w:i/>
          <w:spacing w:val="-2"/>
          <w:lang w:val="es-ES_tradnl"/>
        </w:rPr>
        <w:t xml:space="preserve">, </w:t>
      </w:r>
      <w:r w:rsidRPr="00562B6C">
        <w:rPr>
          <w:i/>
          <w:spacing w:val="-2"/>
          <w:lang w:val="es-ES_tradnl"/>
        </w:rPr>
        <w:t>modificada por última vez en</w:t>
      </w:r>
      <w:r w:rsidR="007514E1">
        <w:rPr>
          <w:i/>
          <w:spacing w:val="-2"/>
          <w:lang w:val="es-ES_tradnl"/>
        </w:rPr>
        <w:t xml:space="preserve"> </w:t>
      </w:r>
      <w:r w:rsidRPr="00562B6C">
        <w:rPr>
          <w:i/>
          <w:spacing w:val="-2"/>
          <w:lang w:val="es-ES_tradnl"/>
        </w:rPr>
        <w:t>2019</w:t>
      </w:r>
      <w:r w:rsidR="00E07157" w:rsidRPr="00562B6C">
        <w:rPr>
          <w:i/>
          <w:spacing w:val="-2"/>
          <w:lang w:val="es-ES_tradnl"/>
        </w:rPr>
        <w:t xml:space="preserve">, </w:t>
      </w:r>
      <w:r w:rsidRPr="00562B6C">
        <w:rPr>
          <w:i/>
          <w:spacing w:val="-2"/>
          <w:lang w:val="es-ES_tradnl"/>
        </w:rPr>
        <w:t>cont</w:t>
      </w:r>
      <w:r w:rsidR="00FC1702" w:rsidRPr="00562B6C">
        <w:rPr>
          <w:i/>
          <w:spacing w:val="-2"/>
          <w:lang w:val="es-ES_tradnl"/>
        </w:rPr>
        <w:t>ienen</w:t>
      </w:r>
      <w:r w:rsidRPr="00562B6C">
        <w:rPr>
          <w:i/>
          <w:spacing w:val="-2"/>
          <w:lang w:val="es-ES_tradnl"/>
        </w:rPr>
        <w:t xml:space="preserve"> </w:t>
      </w:r>
      <w:r w:rsidR="00FC1702" w:rsidRPr="00562B6C">
        <w:rPr>
          <w:i/>
          <w:spacing w:val="-2"/>
          <w:lang w:val="es-ES_tradnl"/>
        </w:rPr>
        <w:t xml:space="preserve">cambios </w:t>
      </w:r>
      <w:r w:rsidR="00FC1702" w:rsidRPr="00562B6C">
        <w:rPr>
          <w:rFonts w:cs="Arial"/>
          <w:i/>
          <w:spacing w:val="-2"/>
          <w:lang w:val="es-ES_tradnl"/>
        </w:rPr>
        <w:t xml:space="preserve">respecto del texto </w:t>
      </w:r>
      <w:r w:rsidRPr="00562B6C">
        <w:rPr>
          <w:i/>
          <w:spacing w:val="-2"/>
          <w:lang w:val="es-ES_tradnl"/>
        </w:rPr>
        <w:t xml:space="preserve">de </w:t>
      </w:r>
      <w:r w:rsidR="00FC1702" w:rsidRPr="00562B6C">
        <w:rPr>
          <w:i/>
          <w:spacing w:val="-2"/>
          <w:lang w:val="es-ES_tradnl"/>
        </w:rPr>
        <w:t xml:space="preserve">las </w:t>
      </w:r>
      <w:r w:rsidR="008817E1" w:rsidRPr="00562B6C">
        <w:rPr>
          <w:i/>
          <w:spacing w:val="-2"/>
          <w:lang w:val="es-ES_tradnl"/>
        </w:rPr>
        <w:t xml:space="preserve">disposiciones </w:t>
      </w:r>
      <w:r w:rsidRPr="00562B6C">
        <w:rPr>
          <w:i/>
          <w:spacing w:val="-2"/>
          <w:lang w:val="es-ES_tradnl"/>
        </w:rPr>
        <w:t>correspondiente</w:t>
      </w:r>
      <w:r w:rsidR="00FC1702" w:rsidRPr="00562B6C">
        <w:rPr>
          <w:i/>
          <w:spacing w:val="-2"/>
          <w:lang w:val="es-ES_tradnl"/>
        </w:rPr>
        <w:t>s</w:t>
      </w:r>
      <w:r w:rsidRPr="00562B6C">
        <w:rPr>
          <w:i/>
          <w:spacing w:val="-2"/>
          <w:lang w:val="es-ES_tradnl"/>
        </w:rPr>
        <w:t xml:space="preserve"> de</w:t>
      </w:r>
      <w:r w:rsidR="00FC1702" w:rsidRPr="00562B6C">
        <w:rPr>
          <w:i/>
          <w:spacing w:val="-2"/>
          <w:lang w:val="es-ES_tradnl"/>
        </w:rPr>
        <w:t>l</w:t>
      </w:r>
      <w:r w:rsidRPr="00562B6C">
        <w:rPr>
          <w:i/>
          <w:spacing w:val="-2"/>
          <w:lang w:val="es-ES_tradnl"/>
        </w:rPr>
        <w:t xml:space="preserve"> </w:t>
      </w:r>
      <w:r w:rsidR="00FC1702" w:rsidRPr="00562B6C">
        <w:rPr>
          <w:i/>
          <w:spacing w:val="-2"/>
          <w:lang w:val="es-ES_tradnl"/>
        </w:rPr>
        <w:t xml:space="preserve">proyecto de </w:t>
      </w:r>
      <w:r w:rsidRPr="00562B6C">
        <w:rPr>
          <w:i/>
          <w:spacing w:val="-2"/>
          <w:lang w:val="es-ES_tradnl"/>
        </w:rPr>
        <w:t xml:space="preserve">Ley </w:t>
      </w:r>
      <w:r w:rsidR="00FC1702" w:rsidRPr="00562B6C">
        <w:rPr>
          <w:i/>
          <w:spacing w:val="-2"/>
          <w:lang w:val="es-ES_tradnl"/>
        </w:rPr>
        <w:t>remitido</w:t>
      </w:r>
      <w:r w:rsidRPr="00562B6C">
        <w:rPr>
          <w:i/>
          <w:spacing w:val="-2"/>
          <w:lang w:val="es-ES_tradnl"/>
        </w:rPr>
        <w:t xml:space="preserve"> al Consejo en</w:t>
      </w:r>
      <w:r w:rsidR="007514E1">
        <w:rPr>
          <w:i/>
          <w:spacing w:val="-2"/>
          <w:lang w:val="es-ES_tradnl"/>
        </w:rPr>
        <w:t xml:space="preserve"> </w:t>
      </w:r>
      <w:r w:rsidRPr="00562B6C">
        <w:rPr>
          <w:i/>
          <w:spacing w:val="-2"/>
          <w:lang w:val="es-ES_tradnl"/>
        </w:rPr>
        <w:t xml:space="preserve">2015 </w:t>
      </w:r>
      <w:r w:rsidRPr="00562B6C">
        <w:rPr>
          <w:rFonts w:cs="Arial"/>
          <w:i/>
          <w:iCs/>
          <w:spacing w:val="-2"/>
          <w:lang w:val="es-ES_tradnl"/>
        </w:rPr>
        <w:t>(véa</w:t>
      </w:r>
      <w:r w:rsidR="00FC1702" w:rsidRPr="00562B6C">
        <w:rPr>
          <w:rFonts w:cs="Arial"/>
          <w:i/>
          <w:iCs/>
          <w:spacing w:val="-2"/>
          <w:lang w:val="es-ES_tradnl"/>
        </w:rPr>
        <w:t>n</w:t>
      </w:r>
      <w:r w:rsidRPr="00562B6C">
        <w:rPr>
          <w:rFonts w:cs="Arial"/>
          <w:i/>
          <w:iCs/>
          <w:spacing w:val="-2"/>
          <w:lang w:val="es-ES_tradnl"/>
        </w:rPr>
        <w:t xml:space="preserve">se </w:t>
      </w:r>
      <w:r w:rsidR="00FC1702" w:rsidRPr="00562B6C">
        <w:rPr>
          <w:rFonts w:cs="Arial"/>
          <w:i/>
          <w:iCs/>
          <w:spacing w:val="-2"/>
          <w:lang w:val="es-ES_tradnl"/>
        </w:rPr>
        <w:t>el párrafo</w:t>
      </w:r>
      <w:r w:rsidR="007514E1">
        <w:rPr>
          <w:rFonts w:cs="Arial"/>
          <w:i/>
          <w:iCs/>
          <w:spacing w:val="-2"/>
          <w:lang w:val="es-ES_tradnl"/>
        </w:rPr>
        <w:t xml:space="preserve"> </w:t>
      </w:r>
      <w:r w:rsidR="00FC1702" w:rsidRPr="00562B6C">
        <w:rPr>
          <w:rFonts w:cs="Arial"/>
          <w:i/>
          <w:iCs/>
          <w:spacing w:val="-2"/>
          <w:lang w:val="es-ES_tradnl"/>
        </w:rPr>
        <w:t xml:space="preserve">11 del </w:t>
      </w:r>
      <w:r w:rsidRPr="00562B6C">
        <w:rPr>
          <w:rFonts w:cs="Arial"/>
          <w:i/>
          <w:iCs/>
          <w:spacing w:val="-2"/>
          <w:lang w:val="es-ES_tradnl"/>
        </w:rPr>
        <w:t>documento</w:t>
      </w:r>
      <w:r w:rsidR="00FC1702" w:rsidRPr="00562B6C">
        <w:rPr>
          <w:rFonts w:cs="Arial"/>
          <w:i/>
          <w:iCs/>
          <w:spacing w:val="-2"/>
          <w:lang w:val="es-ES_tradnl"/>
        </w:rPr>
        <w:t xml:space="preserve"> </w:t>
      </w:r>
      <w:r w:rsidRPr="00562B6C">
        <w:rPr>
          <w:rFonts w:cs="Arial"/>
          <w:i/>
          <w:iCs/>
          <w:spacing w:val="-2"/>
          <w:lang w:val="es-ES_tradnl"/>
        </w:rPr>
        <w:t>C(</w:t>
      </w:r>
      <w:proofErr w:type="spellStart"/>
      <w:r w:rsidRPr="00562B6C">
        <w:rPr>
          <w:rFonts w:cs="Arial"/>
          <w:i/>
          <w:iCs/>
          <w:spacing w:val="-2"/>
          <w:lang w:val="es-ES_tradnl"/>
        </w:rPr>
        <w:t>Extr</w:t>
      </w:r>
      <w:proofErr w:type="spellEnd"/>
      <w:r w:rsidRPr="00562B6C">
        <w:rPr>
          <w:rFonts w:cs="Arial"/>
          <w:i/>
          <w:iCs/>
          <w:spacing w:val="-2"/>
          <w:lang w:val="es-ES_tradnl"/>
        </w:rPr>
        <w:t xml:space="preserve">.)/32/10 “Informe” y </w:t>
      </w:r>
      <w:r w:rsidR="00FC1702" w:rsidRPr="00562B6C">
        <w:rPr>
          <w:rFonts w:cs="Arial"/>
          <w:i/>
          <w:iCs/>
          <w:spacing w:val="-2"/>
          <w:lang w:val="es-ES_tradnl"/>
        </w:rPr>
        <w:t xml:space="preserve">el </w:t>
      </w:r>
      <w:r w:rsidRPr="00562B6C">
        <w:rPr>
          <w:rFonts w:cs="Arial"/>
          <w:i/>
          <w:iCs/>
          <w:spacing w:val="-2"/>
          <w:lang w:val="es-ES_tradnl"/>
        </w:rPr>
        <w:t>párrafo</w:t>
      </w:r>
      <w:r w:rsidR="007514E1">
        <w:rPr>
          <w:rFonts w:cs="Arial"/>
          <w:i/>
          <w:iCs/>
          <w:spacing w:val="-2"/>
          <w:lang w:val="es-ES_tradnl"/>
        </w:rPr>
        <w:t xml:space="preserve"> </w:t>
      </w:r>
      <w:r w:rsidRPr="00562B6C">
        <w:rPr>
          <w:rFonts w:cs="Arial"/>
          <w:i/>
          <w:iCs/>
          <w:spacing w:val="-2"/>
          <w:lang w:val="es-ES_tradnl"/>
        </w:rPr>
        <w:t>2</w:t>
      </w:r>
      <w:r w:rsidR="00FC1702" w:rsidRPr="00562B6C">
        <w:rPr>
          <w:rFonts w:cs="Arial"/>
          <w:i/>
          <w:iCs/>
          <w:spacing w:val="-2"/>
          <w:lang w:val="es-ES_tradnl"/>
        </w:rPr>
        <w:t xml:space="preserve"> </w:t>
      </w:r>
      <w:r w:rsidR="00BE329A" w:rsidRPr="00562B6C">
        <w:rPr>
          <w:rFonts w:cs="Arial"/>
          <w:i/>
          <w:iCs/>
          <w:spacing w:val="-2"/>
          <w:lang w:val="es-ES_tradnl"/>
        </w:rPr>
        <w:t>del presente documento</w:t>
      </w:r>
      <w:r w:rsidRPr="00562B6C">
        <w:rPr>
          <w:rFonts w:cs="Arial"/>
          <w:i/>
          <w:iCs/>
          <w:spacing w:val="-2"/>
          <w:lang w:val="es-ES_tradnl"/>
        </w:rPr>
        <w:t>)</w:t>
      </w:r>
      <w:r w:rsidRPr="00562B6C">
        <w:rPr>
          <w:rFonts w:cs="Arial"/>
          <w:i/>
          <w:spacing w:val="-2"/>
          <w:lang w:val="es-ES_tradnl"/>
        </w:rPr>
        <w:t>;</w:t>
      </w:r>
    </w:p>
    <w:p w:rsidR="00DC5EB0" w:rsidRPr="0049173C" w:rsidRDefault="00DC5EB0" w:rsidP="00CF2D6B">
      <w:pPr>
        <w:keepNext/>
        <w:tabs>
          <w:tab w:val="left" w:pos="5954"/>
        </w:tabs>
        <w:ind w:left="4820" w:firstLine="567"/>
        <w:rPr>
          <w:i/>
        </w:rPr>
      </w:pPr>
    </w:p>
    <w:p w:rsidR="00DC5EB0" w:rsidRPr="00CF2D6B" w:rsidRDefault="00237FAF" w:rsidP="00CF2D6B">
      <w:pPr>
        <w:pStyle w:val="ListParagraph"/>
        <w:keepNext/>
        <w:keepLines/>
        <w:numPr>
          <w:ilvl w:val="1"/>
          <w:numId w:val="8"/>
        </w:numPr>
        <w:tabs>
          <w:tab w:val="left" w:pos="5954"/>
        </w:tabs>
        <w:ind w:left="4820" w:firstLine="567"/>
        <w:rPr>
          <w:i/>
        </w:rPr>
      </w:pPr>
      <w:r w:rsidRPr="004C3617">
        <w:rPr>
          <w:i/>
          <w:spacing w:val="2"/>
          <w:lang w:val="es-ES_tradnl"/>
        </w:rPr>
        <w:t>acordar</w:t>
      </w:r>
      <w:r w:rsidR="00D327DC" w:rsidRPr="004C3617">
        <w:rPr>
          <w:i/>
          <w:spacing w:val="2"/>
          <w:lang w:val="es-ES_tradnl"/>
        </w:rPr>
        <w:t xml:space="preserve"> que los cambios introducidos en el </w:t>
      </w:r>
      <w:r w:rsidR="003F52F5" w:rsidRPr="004C3617">
        <w:rPr>
          <w:i/>
          <w:lang w:val="es-ES_tradnl"/>
        </w:rPr>
        <w:t>Libro</w:t>
      </w:r>
      <w:r w:rsidR="007514E1">
        <w:rPr>
          <w:i/>
          <w:lang w:val="es-ES_tradnl"/>
        </w:rPr>
        <w:t xml:space="preserve"> </w:t>
      </w:r>
      <w:r w:rsidR="003F52F5" w:rsidRPr="004C3617">
        <w:rPr>
          <w:i/>
          <w:lang w:val="es-ES_tradnl"/>
        </w:rPr>
        <w:t>IV “Variedades vegetales” de la Ley de Protección de los Derechos de Propiedad Intelectual</w:t>
      </w:r>
      <w:r w:rsidR="00E07157" w:rsidRPr="004C3617">
        <w:rPr>
          <w:i/>
          <w:spacing w:val="2"/>
          <w:lang w:val="es-ES_tradnl"/>
        </w:rPr>
        <w:t xml:space="preserve">, </w:t>
      </w:r>
      <w:r w:rsidR="00D327DC" w:rsidRPr="004C3617">
        <w:rPr>
          <w:i/>
          <w:spacing w:val="2"/>
          <w:lang w:val="es-ES_tradnl"/>
        </w:rPr>
        <w:t>modificada por última vez en</w:t>
      </w:r>
      <w:r w:rsidR="007514E1">
        <w:rPr>
          <w:i/>
          <w:spacing w:val="2"/>
          <w:lang w:val="es-ES_tradnl"/>
        </w:rPr>
        <w:t xml:space="preserve"> </w:t>
      </w:r>
      <w:r w:rsidR="00D327DC" w:rsidRPr="004C3617">
        <w:rPr>
          <w:i/>
          <w:spacing w:val="2"/>
          <w:lang w:val="es-ES_tradnl"/>
        </w:rPr>
        <w:t>2019</w:t>
      </w:r>
      <w:r w:rsidR="00E07157" w:rsidRPr="004C3617">
        <w:rPr>
          <w:i/>
          <w:spacing w:val="2"/>
          <w:lang w:val="es-ES_tradnl"/>
        </w:rPr>
        <w:t xml:space="preserve">, </w:t>
      </w:r>
      <w:r w:rsidR="00D327DC" w:rsidRPr="004C3617">
        <w:rPr>
          <w:i/>
          <w:spacing w:val="2"/>
          <w:lang w:val="es-ES_tradnl"/>
        </w:rPr>
        <w:t xml:space="preserve">que se exponen </w:t>
      </w:r>
      <w:r w:rsidR="00D327DC" w:rsidRPr="004C3617">
        <w:rPr>
          <w:i/>
          <w:lang w:val="es-ES_tradnl"/>
        </w:rPr>
        <w:t>en el presente documento y en sus Anexos</w:t>
      </w:r>
      <w:r w:rsidR="007514E1">
        <w:rPr>
          <w:i/>
          <w:lang w:val="es-ES_tradnl"/>
        </w:rPr>
        <w:t xml:space="preserve"> </w:t>
      </w:r>
      <w:r w:rsidR="00D327DC" w:rsidRPr="004C3617">
        <w:rPr>
          <w:i/>
          <w:lang w:val="es-ES_tradnl"/>
        </w:rPr>
        <w:t>II y</w:t>
      </w:r>
      <w:r w:rsidR="007514E1">
        <w:rPr>
          <w:i/>
          <w:lang w:val="es-ES_tradnl"/>
        </w:rPr>
        <w:t xml:space="preserve"> </w:t>
      </w:r>
      <w:r w:rsidR="00D327DC" w:rsidRPr="004C3617">
        <w:rPr>
          <w:i/>
          <w:lang w:val="es-ES_tradnl"/>
        </w:rPr>
        <w:t>III</w:t>
      </w:r>
      <w:r w:rsidR="00E07157" w:rsidRPr="004C3617">
        <w:rPr>
          <w:i/>
          <w:lang w:val="es-ES_tradnl"/>
        </w:rPr>
        <w:t xml:space="preserve">, </w:t>
      </w:r>
      <w:r w:rsidR="00D327DC" w:rsidRPr="004C3617">
        <w:rPr>
          <w:i/>
          <w:spacing w:val="2"/>
          <w:lang w:val="es-ES_tradnl"/>
        </w:rPr>
        <w:t>no afectan a las disposiciones fundamentales del Acta de</w:t>
      </w:r>
      <w:r w:rsidR="007514E1">
        <w:rPr>
          <w:i/>
          <w:spacing w:val="2"/>
          <w:lang w:val="es-ES_tradnl"/>
        </w:rPr>
        <w:t xml:space="preserve"> </w:t>
      </w:r>
      <w:r w:rsidR="00E07157" w:rsidRPr="004C3617">
        <w:rPr>
          <w:i/>
          <w:spacing w:val="2"/>
          <w:lang w:val="es-ES_tradnl"/>
        </w:rPr>
        <w:t>1</w:t>
      </w:r>
      <w:r w:rsidR="00D327DC" w:rsidRPr="004C3617">
        <w:rPr>
          <w:i/>
          <w:spacing w:val="2"/>
          <w:lang w:val="es-ES_tradnl"/>
        </w:rPr>
        <w:t>991 del Convenio de la</w:t>
      </w:r>
      <w:r w:rsidR="007514E1">
        <w:rPr>
          <w:i/>
          <w:spacing w:val="2"/>
          <w:lang w:val="es-ES_tradnl"/>
        </w:rPr>
        <w:t xml:space="preserve"> </w:t>
      </w:r>
      <w:r w:rsidR="00D327DC" w:rsidRPr="004C3617">
        <w:rPr>
          <w:i/>
          <w:spacing w:val="2"/>
          <w:lang w:val="es-ES_tradnl"/>
        </w:rPr>
        <w:t>UPOV</w:t>
      </w:r>
      <w:r w:rsidR="00D327DC" w:rsidRPr="004C3617">
        <w:rPr>
          <w:i/>
          <w:lang w:val="es-ES_tradnl"/>
        </w:rPr>
        <w:t xml:space="preserve"> </w:t>
      </w:r>
      <w:r w:rsidRPr="004C3617">
        <w:rPr>
          <w:i/>
          <w:lang w:val="es-ES_tradnl"/>
        </w:rPr>
        <w:t>y</w:t>
      </w:r>
      <w:r w:rsidR="00E07157" w:rsidRPr="004C3617">
        <w:rPr>
          <w:i/>
          <w:lang w:val="es-ES_tradnl"/>
        </w:rPr>
        <w:t xml:space="preserve">, </w:t>
      </w:r>
      <w:r w:rsidRPr="004C3617">
        <w:rPr>
          <w:i/>
          <w:lang w:val="es-ES_tradnl"/>
        </w:rPr>
        <w:t>en virtud de dicho acuerdo,</w:t>
      </w:r>
    </w:p>
    <w:p w:rsidR="00DC5EB0" w:rsidRDefault="00DC5EB0" w:rsidP="00CF2D6B">
      <w:pPr>
        <w:tabs>
          <w:tab w:val="left" w:pos="5954"/>
        </w:tabs>
        <w:ind w:left="4820" w:firstLine="567"/>
        <w:rPr>
          <w:i/>
          <w:spacing w:val="-2"/>
        </w:rPr>
      </w:pPr>
    </w:p>
    <w:p w:rsidR="00DC5EB0" w:rsidRPr="00CF2D6B" w:rsidRDefault="00B75269" w:rsidP="00CF2D6B">
      <w:pPr>
        <w:pStyle w:val="ListParagraph"/>
        <w:numPr>
          <w:ilvl w:val="1"/>
          <w:numId w:val="8"/>
        </w:numPr>
        <w:tabs>
          <w:tab w:val="left" w:pos="5954"/>
        </w:tabs>
        <w:ind w:left="4820" w:firstLine="567"/>
        <w:rPr>
          <w:i/>
          <w:spacing w:val="-2"/>
        </w:rPr>
      </w:pPr>
      <w:r>
        <w:rPr>
          <w:i/>
          <w:spacing w:val="-2"/>
          <w:lang w:val="es-ES_tradnl"/>
        </w:rPr>
        <w:t>reafirmar</w:t>
      </w:r>
      <w:r w:rsidR="006E03E7" w:rsidRPr="004C3617">
        <w:rPr>
          <w:i/>
          <w:spacing w:val="-2"/>
          <w:lang w:val="es-ES_tradnl"/>
        </w:rPr>
        <w:t xml:space="preserve"> </w:t>
      </w:r>
      <w:r w:rsidR="0069602C" w:rsidRPr="004C3617">
        <w:rPr>
          <w:i/>
          <w:spacing w:val="-2"/>
          <w:lang w:val="es-ES_tradnl"/>
        </w:rPr>
        <w:t>la decisión sobre la conformidad de</w:t>
      </w:r>
      <w:r w:rsidR="007514E1">
        <w:rPr>
          <w:i/>
          <w:spacing w:val="-2"/>
          <w:lang w:val="es-ES_tradnl"/>
        </w:rPr>
        <w:t xml:space="preserve"> </w:t>
      </w:r>
      <w:r w:rsidR="00E07157" w:rsidRPr="004C3617">
        <w:rPr>
          <w:i/>
          <w:spacing w:val="-2"/>
          <w:lang w:val="es-ES_tradnl"/>
        </w:rPr>
        <w:t>2</w:t>
      </w:r>
      <w:r w:rsidR="0069602C" w:rsidRPr="004C3617">
        <w:rPr>
          <w:i/>
          <w:spacing w:val="-2"/>
          <w:lang w:val="es-ES_tradnl"/>
        </w:rPr>
        <w:t>7 de marzo de</w:t>
      </w:r>
      <w:r w:rsidR="007514E1">
        <w:rPr>
          <w:i/>
          <w:spacing w:val="-2"/>
          <w:lang w:val="es-ES_tradnl"/>
        </w:rPr>
        <w:t xml:space="preserve"> </w:t>
      </w:r>
      <w:r w:rsidR="00E07157" w:rsidRPr="004C3617">
        <w:rPr>
          <w:i/>
          <w:spacing w:val="-2"/>
          <w:lang w:val="es-ES_tradnl"/>
        </w:rPr>
        <w:t>2</w:t>
      </w:r>
      <w:r w:rsidR="0069602C" w:rsidRPr="004C3617">
        <w:rPr>
          <w:i/>
          <w:spacing w:val="-2"/>
          <w:lang w:val="es-ES_tradnl"/>
        </w:rPr>
        <w:t xml:space="preserve">015 y comunicar al Gobierno de Egipto que </w:t>
      </w:r>
      <w:r w:rsidR="00365727" w:rsidRPr="004C3617">
        <w:rPr>
          <w:i/>
          <w:spacing w:val="-2"/>
          <w:lang w:val="es-ES_tradnl"/>
        </w:rPr>
        <w:t xml:space="preserve">puede depositarse </w:t>
      </w:r>
      <w:r w:rsidR="0069602C" w:rsidRPr="004C3617">
        <w:rPr>
          <w:i/>
          <w:spacing w:val="-2"/>
          <w:lang w:val="es-ES_tradnl"/>
        </w:rPr>
        <w:t xml:space="preserve">el instrumento de adhesión de </w:t>
      </w:r>
      <w:r w:rsidR="00365727" w:rsidRPr="004C3617">
        <w:rPr>
          <w:i/>
          <w:spacing w:val="-2"/>
          <w:lang w:val="es-ES_tradnl"/>
        </w:rPr>
        <w:t>dicho país</w:t>
      </w:r>
      <w:r w:rsidR="0069602C" w:rsidRPr="004C3617">
        <w:rPr>
          <w:i/>
          <w:spacing w:val="-2"/>
          <w:lang w:val="es-ES_tradnl"/>
        </w:rPr>
        <w:t>.</w:t>
      </w:r>
    </w:p>
    <w:p w:rsidR="00DC5EB0" w:rsidRDefault="00DC5EB0" w:rsidP="00DC5EB0">
      <w:pPr>
        <w:jc w:val="right"/>
        <w:rPr>
          <w:highlight w:val="cyan"/>
        </w:rPr>
      </w:pPr>
    </w:p>
    <w:p w:rsidR="0049173C" w:rsidRDefault="0049173C" w:rsidP="00DC5EB0">
      <w:pPr>
        <w:jc w:val="right"/>
        <w:rPr>
          <w:highlight w:val="cyan"/>
        </w:rPr>
      </w:pPr>
    </w:p>
    <w:p w:rsidR="00DC5EB0" w:rsidRDefault="00DC5EB0" w:rsidP="00DC5EB0">
      <w:pPr>
        <w:jc w:val="right"/>
        <w:rPr>
          <w:highlight w:val="cyan"/>
        </w:rPr>
      </w:pPr>
    </w:p>
    <w:p w:rsidR="00DC5EB0" w:rsidRPr="00062884" w:rsidRDefault="00DC5EB0" w:rsidP="00DC5EB0">
      <w:pPr>
        <w:jc w:val="right"/>
        <w:rPr>
          <w:lang w:val="es-ES_tradnl"/>
        </w:rPr>
      </w:pPr>
      <w:r w:rsidRPr="00062884">
        <w:rPr>
          <w:lang w:val="es-ES_tradnl"/>
        </w:rPr>
        <w:t>[</w:t>
      </w:r>
      <w:r w:rsidR="00CF2D6B" w:rsidRPr="00062884">
        <w:rPr>
          <w:lang w:val="es-ES_tradnl"/>
        </w:rPr>
        <w:t>Siguen los Anexos</w:t>
      </w:r>
      <w:r w:rsidRPr="00062884">
        <w:rPr>
          <w:lang w:val="es-ES_tradnl"/>
        </w:rPr>
        <w:t>]</w:t>
      </w:r>
    </w:p>
    <w:p w:rsidR="00DC5EB0" w:rsidRPr="003D54AD" w:rsidRDefault="00DC5EB0">
      <w:pPr>
        <w:jc w:val="left"/>
      </w:pPr>
    </w:p>
    <w:p w:rsidR="00DC5EB0" w:rsidRPr="003D54AD" w:rsidRDefault="00DC5EB0">
      <w:pPr>
        <w:jc w:val="left"/>
      </w:pPr>
    </w:p>
    <w:p w:rsidR="00DC5EB0" w:rsidRPr="003D54AD" w:rsidRDefault="00DC5EB0">
      <w:pPr>
        <w:jc w:val="left"/>
      </w:pPr>
    </w:p>
    <w:p w:rsidR="00DC5EB0" w:rsidRPr="003D54AD" w:rsidRDefault="00DC5EB0">
      <w:pPr>
        <w:jc w:val="left"/>
        <w:sectPr w:rsidR="00DC5EB0" w:rsidRPr="003D54AD" w:rsidSect="00906DDC">
          <w:headerReference w:type="default" r:id="rId11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515BAD" w:rsidRPr="00927613" w:rsidRDefault="00515BAD" w:rsidP="00515BAD">
      <w:pPr>
        <w:rPr>
          <w:rFonts w:cs="Arial"/>
          <w:lang w:val="es-ES_tradnl"/>
        </w:rPr>
      </w:pPr>
      <w:r w:rsidRPr="00927613">
        <w:rPr>
          <w:rFonts w:cs="Arial"/>
          <w:lang w:val="es-ES_tradnl"/>
        </w:rPr>
        <w:lastRenderedPageBreak/>
        <w:t xml:space="preserve">[Traducción por la Oficina de la Unión de una </w:t>
      </w:r>
      <w:r>
        <w:rPr>
          <w:rFonts w:cs="Arial"/>
          <w:lang w:val="es-ES_tradnl"/>
        </w:rPr>
        <w:t>no</w:t>
      </w:r>
      <w:r w:rsidRPr="00927613">
        <w:rPr>
          <w:rFonts w:cs="Arial"/>
          <w:lang w:val="es-ES_tradnl"/>
        </w:rPr>
        <w:t xml:space="preserve">ta con fecha </w:t>
      </w:r>
      <w:r w:rsidRPr="00570BD1">
        <w:rPr>
          <w:lang w:val="es-ES_tradnl"/>
        </w:rPr>
        <w:t>25 de septiembre de</w:t>
      </w:r>
      <w:r w:rsidR="007514E1">
        <w:rPr>
          <w:lang w:val="es-ES_tradnl"/>
        </w:rPr>
        <w:t xml:space="preserve"> </w:t>
      </w:r>
      <w:r w:rsidRPr="00570BD1">
        <w:rPr>
          <w:lang w:val="es-ES_tradnl"/>
        </w:rPr>
        <w:t>2019</w:t>
      </w:r>
      <w:r w:rsidRPr="00927613">
        <w:rPr>
          <w:rFonts w:cs="Arial"/>
          <w:lang w:val="es-ES_tradnl"/>
        </w:rPr>
        <w:t>]</w:t>
      </w:r>
    </w:p>
    <w:p w:rsidR="00515BAD" w:rsidRPr="00927613" w:rsidRDefault="00515BAD" w:rsidP="00515BAD">
      <w:pPr>
        <w:rPr>
          <w:rFonts w:cs="Arial"/>
          <w:lang w:val="es-ES_tradnl"/>
        </w:rPr>
      </w:pPr>
    </w:p>
    <w:p w:rsidR="00515BAD" w:rsidRPr="00927613" w:rsidRDefault="00515BAD" w:rsidP="00515BAD">
      <w:pPr>
        <w:rPr>
          <w:rFonts w:cs="Arial"/>
          <w:lang w:val="es-ES_tradnl"/>
        </w:rPr>
      </w:pPr>
    </w:p>
    <w:p w:rsidR="00515BAD" w:rsidRPr="00927613" w:rsidRDefault="00515BAD" w:rsidP="00515BAD">
      <w:pPr>
        <w:tabs>
          <w:tab w:val="left" w:pos="1701"/>
        </w:tabs>
        <w:ind w:left="1701" w:hanging="1701"/>
        <w:rPr>
          <w:rFonts w:cs="Arial"/>
          <w:lang w:val="es-ES_tradnl"/>
        </w:rPr>
      </w:pPr>
      <w:r w:rsidRPr="00927613">
        <w:rPr>
          <w:rFonts w:cs="Arial"/>
          <w:lang w:val="es-ES_tradnl"/>
        </w:rPr>
        <w:t>Enviada por:</w:t>
      </w:r>
      <w:r w:rsidRPr="00927613">
        <w:rPr>
          <w:rFonts w:cs="Arial"/>
          <w:lang w:val="es-ES_tradnl"/>
        </w:rPr>
        <w:tab/>
      </w:r>
      <w:r w:rsidRPr="006F071E">
        <w:rPr>
          <w:lang w:val="es-ES_tradnl"/>
        </w:rPr>
        <w:t>La Misión Permanente de la República Árabe de Egipto ante la Oficina de las Naciones Unidas, la Organización Mundial del Comercio y demás organizaciones internacionales en Ginebra</w:t>
      </w:r>
    </w:p>
    <w:p w:rsidR="00515BAD" w:rsidRPr="00927613" w:rsidRDefault="00515BAD" w:rsidP="00515BAD">
      <w:pPr>
        <w:rPr>
          <w:rFonts w:cs="Arial"/>
          <w:lang w:val="es-ES_tradnl"/>
        </w:rPr>
      </w:pPr>
    </w:p>
    <w:p w:rsidR="00515BAD" w:rsidRPr="00927613" w:rsidRDefault="00515BAD" w:rsidP="00123E60">
      <w:pPr>
        <w:tabs>
          <w:tab w:val="left" w:pos="1701"/>
        </w:tabs>
        <w:ind w:left="1701" w:hanging="1701"/>
        <w:rPr>
          <w:rFonts w:cs="Arial"/>
          <w:lang w:val="es-ES_tradnl"/>
        </w:rPr>
      </w:pPr>
      <w:r w:rsidRPr="00927613">
        <w:rPr>
          <w:rFonts w:cs="Arial"/>
          <w:lang w:val="es-ES_tradnl"/>
        </w:rPr>
        <w:t>Destinatario:</w:t>
      </w:r>
      <w:r w:rsidRPr="00927613">
        <w:rPr>
          <w:rFonts w:cs="Arial"/>
          <w:lang w:val="es-ES_tradnl"/>
        </w:rPr>
        <w:tab/>
      </w:r>
      <w:r w:rsidR="00123E60">
        <w:rPr>
          <w:rFonts w:cs="Arial"/>
          <w:lang w:val="es-ES_tradnl"/>
        </w:rPr>
        <w:t xml:space="preserve">La </w:t>
      </w:r>
      <w:r w:rsidR="00123E60" w:rsidRPr="00570BD1">
        <w:rPr>
          <w:lang w:val="es-ES_tradnl"/>
        </w:rPr>
        <w:t>Oficina de la</w:t>
      </w:r>
      <w:r w:rsidR="00123E60">
        <w:rPr>
          <w:lang w:val="es-ES_tradnl"/>
        </w:rPr>
        <w:t xml:space="preserve"> </w:t>
      </w:r>
      <w:r w:rsidR="00123E60" w:rsidRPr="00570BD1">
        <w:rPr>
          <w:lang w:val="es-ES_tradnl"/>
        </w:rPr>
        <w:t>Unión Internacional para la Protección de las Obtenciones Vegetales (UPOV)</w:t>
      </w:r>
    </w:p>
    <w:p w:rsidR="00515BAD" w:rsidRPr="00927613" w:rsidRDefault="00515BAD" w:rsidP="00515BAD">
      <w:pPr>
        <w:rPr>
          <w:rFonts w:cs="Arial"/>
          <w:lang w:val="es-ES_tradnl"/>
        </w:rPr>
      </w:pPr>
    </w:p>
    <w:p w:rsidR="00515BAD" w:rsidRPr="00927613" w:rsidRDefault="00515BAD" w:rsidP="00515BAD">
      <w:pPr>
        <w:tabs>
          <w:tab w:val="left" w:pos="1701"/>
          <w:tab w:val="left" w:pos="1985"/>
        </w:tabs>
        <w:rPr>
          <w:rFonts w:cs="Arial"/>
          <w:lang w:val="es-ES_tradnl"/>
        </w:rPr>
      </w:pPr>
      <w:r w:rsidRPr="00927613">
        <w:rPr>
          <w:rFonts w:cs="Arial"/>
          <w:lang w:val="es-ES_tradnl"/>
        </w:rPr>
        <w:t>Ref.:</w:t>
      </w:r>
      <w:r w:rsidRPr="00927613">
        <w:rPr>
          <w:rFonts w:cs="Arial"/>
          <w:lang w:val="es-ES_tradnl"/>
        </w:rPr>
        <w:tab/>
      </w:r>
      <w:r w:rsidR="00291919" w:rsidRPr="00291919">
        <w:t>CHAN.2019.238</w:t>
      </w:r>
    </w:p>
    <w:p w:rsidR="00515BAD" w:rsidRPr="00927613" w:rsidRDefault="00515BAD" w:rsidP="00515BAD">
      <w:pPr>
        <w:rPr>
          <w:rFonts w:cs="Arial"/>
          <w:lang w:val="es-ES_tradnl"/>
        </w:rPr>
      </w:pPr>
    </w:p>
    <w:p w:rsidR="00515BAD" w:rsidRPr="00927613" w:rsidRDefault="00515BAD" w:rsidP="00515BAD">
      <w:pPr>
        <w:rPr>
          <w:rFonts w:cs="Arial"/>
          <w:lang w:val="es-ES_tradnl"/>
        </w:rPr>
      </w:pPr>
    </w:p>
    <w:p w:rsidR="00291919" w:rsidRPr="00423954" w:rsidRDefault="00291919" w:rsidP="00291919">
      <w:r w:rsidRPr="006F071E">
        <w:rPr>
          <w:lang w:val="es-ES_tradnl"/>
        </w:rPr>
        <w:t>La Misión Permanente de la República Árabe de Egipto ante la Oficina de las Naciones Unidas, la Organización Mundial del Comercio y demás organizaciones internacionales en Ginebra presenta sus atentos saludos a la Oficina de la</w:t>
      </w:r>
      <w:r w:rsidR="007514E1">
        <w:rPr>
          <w:lang w:val="es-ES_tradnl"/>
        </w:rPr>
        <w:t xml:space="preserve"> </w:t>
      </w:r>
      <w:r w:rsidRPr="006F071E">
        <w:rPr>
          <w:lang w:val="es-ES_tradnl"/>
        </w:rPr>
        <w:t>Unión Internacional para la Protección de las Obtenciones Vegetales (UPOV) y, con referencia a su nota CHAN.2019.216 de</w:t>
      </w:r>
      <w:r w:rsidR="007514E1">
        <w:rPr>
          <w:lang w:val="es-ES_tradnl"/>
        </w:rPr>
        <w:t xml:space="preserve"> </w:t>
      </w:r>
      <w:r w:rsidRPr="006F071E">
        <w:rPr>
          <w:lang w:val="es-ES_tradnl"/>
        </w:rPr>
        <w:t>16 de septiembre de</w:t>
      </w:r>
      <w:r w:rsidR="007514E1">
        <w:rPr>
          <w:lang w:val="es-ES_tradnl"/>
        </w:rPr>
        <w:t xml:space="preserve"> </w:t>
      </w:r>
      <w:r w:rsidRPr="006F071E">
        <w:rPr>
          <w:lang w:val="es-ES_tradnl"/>
        </w:rPr>
        <w:t>2019, tiene el agrado de adjuntar a la presente los documentos siguientes:</w:t>
      </w:r>
    </w:p>
    <w:p w:rsidR="00291919" w:rsidRPr="00423954" w:rsidRDefault="00291919" w:rsidP="00291919"/>
    <w:p w:rsidR="00291919" w:rsidRPr="00423954" w:rsidRDefault="00291919" w:rsidP="00291919">
      <w:r w:rsidRPr="00423954">
        <w:t>1-</w:t>
      </w:r>
      <w:r w:rsidRPr="00423954">
        <w:tab/>
      </w:r>
      <w:r w:rsidRPr="009577D0">
        <w:rPr>
          <w:lang w:val="es-ES_tradnl"/>
        </w:rPr>
        <w:t>Un ejemplar de la Ley N.º</w:t>
      </w:r>
      <w:r w:rsidR="007514E1">
        <w:rPr>
          <w:lang w:val="es-ES_tradnl"/>
        </w:rPr>
        <w:t xml:space="preserve"> </w:t>
      </w:r>
      <w:r w:rsidRPr="009577D0">
        <w:rPr>
          <w:lang w:val="es-ES_tradnl"/>
        </w:rPr>
        <w:t>144 de</w:t>
      </w:r>
      <w:r w:rsidR="007514E1">
        <w:rPr>
          <w:lang w:val="es-ES_tradnl"/>
        </w:rPr>
        <w:t xml:space="preserve"> </w:t>
      </w:r>
      <w:r w:rsidRPr="009577D0">
        <w:rPr>
          <w:lang w:val="es-ES_tradnl"/>
        </w:rPr>
        <w:t>2019, en la que constan las modificaciones introducidas en algunos artículos del Libro</w:t>
      </w:r>
      <w:r w:rsidR="007514E1">
        <w:rPr>
          <w:lang w:val="es-ES_tradnl"/>
        </w:rPr>
        <w:t xml:space="preserve"> </w:t>
      </w:r>
      <w:r w:rsidRPr="009577D0">
        <w:rPr>
          <w:lang w:val="es-ES_tradnl"/>
        </w:rPr>
        <w:t>IV “Variedades vegetales” de la Ley N.º</w:t>
      </w:r>
      <w:r w:rsidR="007514E1">
        <w:rPr>
          <w:lang w:val="es-ES_tradnl"/>
        </w:rPr>
        <w:t xml:space="preserve"> </w:t>
      </w:r>
      <w:r w:rsidRPr="009577D0">
        <w:rPr>
          <w:lang w:val="es-ES_tradnl"/>
        </w:rPr>
        <w:t>82 de</w:t>
      </w:r>
      <w:r w:rsidR="007514E1">
        <w:rPr>
          <w:lang w:val="es-ES_tradnl"/>
        </w:rPr>
        <w:t xml:space="preserve"> </w:t>
      </w:r>
      <w:r w:rsidRPr="009577D0">
        <w:rPr>
          <w:lang w:val="es-ES_tradnl"/>
        </w:rPr>
        <w:t>2002 relativa a la Protección de los Derechos de Propiedad Intelectual.</w:t>
      </w:r>
      <w:r w:rsidRPr="00423954">
        <w:t xml:space="preserve"> </w:t>
      </w:r>
      <w:r w:rsidRPr="009577D0">
        <w:rPr>
          <w:lang w:val="es-ES_tradnl"/>
        </w:rPr>
        <w:t>La Ley se publicó en el Boletín Oficial el</w:t>
      </w:r>
      <w:r w:rsidR="007514E1">
        <w:rPr>
          <w:lang w:val="es-ES_tradnl"/>
        </w:rPr>
        <w:t xml:space="preserve"> </w:t>
      </w:r>
      <w:r w:rsidRPr="009577D0">
        <w:rPr>
          <w:lang w:val="es-ES_tradnl"/>
        </w:rPr>
        <w:t>6 de agosto de</w:t>
      </w:r>
      <w:r w:rsidR="007514E1">
        <w:rPr>
          <w:lang w:val="es-ES_tradnl"/>
        </w:rPr>
        <w:t xml:space="preserve"> </w:t>
      </w:r>
      <w:r w:rsidRPr="009577D0">
        <w:rPr>
          <w:lang w:val="es-ES_tradnl"/>
        </w:rPr>
        <w:t>2019 y entró en vigor el</w:t>
      </w:r>
      <w:r w:rsidR="007514E1">
        <w:rPr>
          <w:lang w:val="es-ES_tradnl"/>
        </w:rPr>
        <w:t xml:space="preserve"> </w:t>
      </w:r>
      <w:r w:rsidRPr="009577D0">
        <w:rPr>
          <w:lang w:val="es-ES_tradnl"/>
        </w:rPr>
        <w:t>7 de agosto de</w:t>
      </w:r>
      <w:r w:rsidR="007514E1">
        <w:rPr>
          <w:lang w:val="es-ES_tradnl"/>
        </w:rPr>
        <w:t xml:space="preserve"> </w:t>
      </w:r>
      <w:r w:rsidRPr="009577D0">
        <w:rPr>
          <w:lang w:val="es-ES_tradnl"/>
        </w:rPr>
        <w:t>2019.</w:t>
      </w:r>
      <w:r w:rsidRPr="003F3D0D">
        <w:t xml:space="preserve"> </w:t>
      </w:r>
      <w:r w:rsidRPr="009577D0">
        <w:rPr>
          <w:lang w:val="es-ES_tradnl"/>
        </w:rPr>
        <w:t>Se adjunta asimismo una versión de la Ley en inglés.</w:t>
      </w:r>
    </w:p>
    <w:p w:rsidR="00291919" w:rsidRPr="00423954" w:rsidRDefault="00291919" w:rsidP="00291919"/>
    <w:p w:rsidR="00291919" w:rsidRPr="00423954" w:rsidRDefault="00291919" w:rsidP="00291919">
      <w:r w:rsidRPr="00423954">
        <w:t>2-</w:t>
      </w:r>
      <w:r w:rsidRPr="00423954">
        <w:tab/>
      </w:r>
      <w:r w:rsidRPr="00415102">
        <w:rPr>
          <w:lang w:val="es-ES_tradnl"/>
        </w:rPr>
        <w:t>Una copia de la corrección del artículo</w:t>
      </w:r>
      <w:r w:rsidR="007514E1">
        <w:rPr>
          <w:lang w:val="es-ES_tradnl"/>
        </w:rPr>
        <w:t xml:space="preserve"> </w:t>
      </w:r>
      <w:r w:rsidRPr="00415102">
        <w:rPr>
          <w:lang w:val="es-ES_tradnl"/>
        </w:rPr>
        <w:t>198 de la Ley N.º</w:t>
      </w:r>
      <w:r w:rsidR="007514E1">
        <w:rPr>
          <w:lang w:val="es-ES_tradnl"/>
        </w:rPr>
        <w:t xml:space="preserve"> </w:t>
      </w:r>
      <w:r w:rsidRPr="00415102">
        <w:rPr>
          <w:lang w:val="es-ES_tradnl"/>
        </w:rPr>
        <w:t>144 de</w:t>
      </w:r>
      <w:r w:rsidR="007514E1">
        <w:rPr>
          <w:lang w:val="es-ES_tradnl"/>
        </w:rPr>
        <w:t xml:space="preserve"> </w:t>
      </w:r>
      <w:r w:rsidRPr="00415102">
        <w:rPr>
          <w:lang w:val="es-ES_tradnl"/>
        </w:rPr>
        <w:t>2019, que se publicó en el Boletín Oficial el</w:t>
      </w:r>
      <w:r w:rsidR="007514E1">
        <w:rPr>
          <w:lang w:val="es-ES_tradnl"/>
        </w:rPr>
        <w:t xml:space="preserve"> </w:t>
      </w:r>
      <w:r w:rsidRPr="00415102">
        <w:rPr>
          <w:lang w:val="es-ES_tradnl"/>
        </w:rPr>
        <w:t>23 de septiembre de</w:t>
      </w:r>
      <w:r w:rsidR="007514E1">
        <w:rPr>
          <w:lang w:val="es-ES_tradnl"/>
        </w:rPr>
        <w:t xml:space="preserve"> </w:t>
      </w:r>
      <w:r w:rsidRPr="00415102">
        <w:rPr>
          <w:lang w:val="es-ES_tradnl"/>
        </w:rPr>
        <w:t>2019.</w:t>
      </w:r>
    </w:p>
    <w:p w:rsidR="00291919" w:rsidRPr="00423954" w:rsidRDefault="00291919" w:rsidP="00291919"/>
    <w:p w:rsidR="00291919" w:rsidRPr="00423954" w:rsidRDefault="00291919" w:rsidP="00291919">
      <w:r w:rsidRPr="00570BD1">
        <w:rPr>
          <w:lang w:val="es-ES_tradnl"/>
        </w:rPr>
        <w:t>La Misión solicita respetuosamente a la Secretaría de la</w:t>
      </w:r>
      <w:r w:rsidR="007514E1">
        <w:rPr>
          <w:lang w:val="es-ES_tradnl"/>
        </w:rPr>
        <w:t xml:space="preserve"> </w:t>
      </w:r>
      <w:r w:rsidRPr="00570BD1">
        <w:rPr>
          <w:lang w:val="es-ES_tradnl"/>
        </w:rPr>
        <w:t>UPOV que presente dichas modificaciones, así como la nota explicativa del Dr.</w:t>
      </w:r>
      <w:r w:rsidR="007514E1">
        <w:rPr>
          <w:lang w:val="es-ES_tradnl"/>
        </w:rPr>
        <w:t xml:space="preserve"> </w:t>
      </w:r>
      <w:proofErr w:type="spellStart"/>
      <w:r w:rsidRPr="00570BD1">
        <w:rPr>
          <w:lang w:val="es-ES_tradnl"/>
        </w:rPr>
        <w:t>Saad</w:t>
      </w:r>
      <w:proofErr w:type="spellEnd"/>
      <w:r w:rsidRPr="00570BD1">
        <w:rPr>
          <w:lang w:val="es-ES_tradnl"/>
        </w:rPr>
        <w:t xml:space="preserve"> </w:t>
      </w:r>
      <w:proofErr w:type="spellStart"/>
      <w:r w:rsidRPr="00570BD1">
        <w:rPr>
          <w:lang w:val="es-ES_tradnl"/>
        </w:rPr>
        <w:t>Nassar</w:t>
      </w:r>
      <w:proofErr w:type="spellEnd"/>
      <w:r w:rsidRPr="00570BD1">
        <w:rPr>
          <w:lang w:val="es-ES_tradnl"/>
        </w:rPr>
        <w:t>, asesor del ministro de Agricultura (adjunta a la nota de la Misión Permanente), al Consejo de la</w:t>
      </w:r>
      <w:r w:rsidR="007514E1">
        <w:rPr>
          <w:lang w:val="es-ES_tradnl"/>
        </w:rPr>
        <w:t xml:space="preserve"> </w:t>
      </w:r>
      <w:r w:rsidRPr="00570BD1">
        <w:rPr>
          <w:lang w:val="es-ES_tradnl"/>
        </w:rPr>
        <w:t xml:space="preserve">UPOV, a fin de que este </w:t>
      </w:r>
      <w:r w:rsidR="00B75269">
        <w:rPr>
          <w:lang w:val="es-ES_tradnl"/>
        </w:rPr>
        <w:t>reafirme</w:t>
      </w:r>
      <w:r w:rsidRPr="00570BD1">
        <w:rPr>
          <w:lang w:val="es-ES_tradnl"/>
        </w:rPr>
        <w:t xml:space="preserve"> su decisión de conformidad con el texto remitido al Consejo de la</w:t>
      </w:r>
      <w:r w:rsidR="007514E1">
        <w:rPr>
          <w:lang w:val="es-ES_tradnl"/>
        </w:rPr>
        <w:t xml:space="preserve"> </w:t>
      </w:r>
      <w:r w:rsidRPr="00570BD1">
        <w:rPr>
          <w:lang w:val="es-ES_tradnl"/>
        </w:rPr>
        <w:t>UPOV en</w:t>
      </w:r>
      <w:r w:rsidR="007514E1">
        <w:rPr>
          <w:lang w:val="es-ES_tradnl"/>
        </w:rPr>
        <w:t xml:space="preserve"> </w:t>
      </w:r>
      <w:r w:rsidRPr="00570BD1">
        <w:rPr>
          <w:lang w:val="es-ES_tradnl"/>
        </w:rPr>
        <w:t>2015 y pueda completarse el procedimiento de adhesión de Egipto a la</w:t>
      </w:r>
      <w:r w:rsidR="00B75269">
        <w:rPr>
          <w:lang w:val="es-ES_tradnl"/>
        </w:rPr>
        <w:t> </w:t>
      </w:r>
      <w:r w:rsidRPr="00570BD1">
        <w:rPr>
          <w:lang w:val="es-ES_tradnl"/>
        </w:rPr>
        <w:t>UPOV.</w:t>
      </w:r>
    </w:p>
    <w:p w:rsidR="00291919" w:rsidRPr="00423954" w:rsidRDefault="00291919" w:rsidP="00291919"/>
    <w:p w:rsidR="00291919" w:rsidRPr="00423954" w:rsidRDefault="00291919" w:rsidP="00291919">
      <w:r w:rsidRPr="00570BD1">
        <w:rPr>
          <w:lang w:val="es-ES_tradnl"/>
        </w:rPr>
        <w:t>La Misión Permanente de la República Árabe de Egipto ante la Oficina de las Naciones Unidas, la Organización Mundial del Comercio y demás organizaciones internacionales en Ginebra desea aprovechar esta oportunidad para reiterar a la Oficina de la</w:t>
      </w:r>
      <w:r w:rsidR="007514E1">
        <w:rPr>
          <w:lang w:val="es-ES_tradnl"/>
        </w:rPr>
        <w:t xml:space="preserve"> </w:t>
      </w:r>
      <w:r w:rsidRPr="00570BD1">
        <w:rPr>
          <w:lang w:val="es-ES_tradnl"/>
        </w:rPr>
        <w:t>Unión Internacional para la Protección de las Obtenciones Vegetales (UPOV) el testimonio de su más alta consideración.</w:t>
      </w:r>
    </w:p>
    <w:p w:rsidR="00515BAD" w:rsidRPr="00927613" w:rsidRDefault="00515BAD" w:rsidP="00515BAD">
      <w:pPr>
        <w:rPr>
          <w:rFonts w:cs="Arial"/>
          <w:lang w:val="es-ES_tradnl"/>
        </w:rPr>
      </w:pPr>
    </w:p>
    <w:p w:rsidR="00515BAD" w:rsidRDefault="00515BAD" w:rsidP="00423954">
      <w:pPr>
        <w:jc w:val="left"/>
      </w:pPr>
    </w:p>
    <w:p w:rsidR="00423954" w:rsidRDefault="00423954" w:rsidP="00423954">
      <w:pPr>
        <w:jc w:val="left"/>
      </w:pPr>
    </w:p>
    <w:p w:rsidR="00423954" w:rsidRDefault="00423954" w:rsidP="00423954">
      <w:pPr>
        <w:jc w:val="left"/>
      </w:pPr>
    </w:p>
    <w:p w:rsidR="00B823AB" w:rsidRPr="00062884" w:rsidRDefault="00DC5EB0" w:rsidP="00DC5EB0">
      <w:pPr>
        <w:jc w:val="right"/>
        <w:rPr>
          <w:lang w:val="es-ES_tradnl"/>
        </w:rPr>
      </w:pPr>
      <w:r w:rsidRPr="00062884">
        <w:rPr>
          <w:lang w:val="es-ES_tradnl"/>
        </w:rPr>
        <w:t>[</w:t>
      </w:r>
      <w:r w:rsidR="003D54AD" w:rsidRPr="00062884">
        <w:rPr>
          <w:lang w:val="es-ES_tradnl"/>
        </w:rPr>
        <w:t>Sigue el Anexo II</w:t>
      </w:r>
      <w:r w:rsidRPr="00062884">
        <w:rPr>
          <w:lang w:val="es-ES_tradnl"/>
        </w:rPr>
        <w:t>]</w:t>
      </w:r>
    </w:p>
    <w:p w:rsidR="00B823AB" w:rsidRPr="003D54AD" w:rsidRDefault="00B823AB" w:rsidP="00DC5EB0">
      <w:pPr>
        <w:jc w:val="right"/>
        <w:sectPr w:rsidR="00B823AB" w:rsidRPr="003D54AD" w:rsidSect="00906DDC">
          <w:headerReference w:type="default" r:id="rId12"/>
          <w:headerReference w:type="first" r:id="rId13"/>
          <w:footerReference w:type="first" r:id="rId14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B6675E" w:rsidRPr="00B6675E" w:rsidRDefault="00C022B3" w:rsidP="00B6675E">
      <w:r w:rsidRPr="00570BD1">
        <w:rPr>
          <w:lang w:val="es-ES_tradnl"/>
        </w:rPr>
        <w:lastRenderedPageBreak/>
        <w:t>[Traducción]</w:t>
      </w:r>
    </w:p>
    <w:p w:rsidR="00B6675E" w:rsidRPr="00B6675E" w:rsidRDefault="00C022B3" w:rsidP="00B6675E">
      <w:r w:rsidRPr="00570BD1">
        <w:rPr>
          <w:lang w:val="es-ES_tradnl"/>
        </w:rPr>
        <w:t>[Original:</w:t>
      </w:r>
      <w:r w:rsidR="00B6675E" w:rsidRPr="00B6675E">
        <w:t xml:space="preserve"> </w:t>
      </w:r>
      <w:r w:rsidRPr="00570BD1">
        <w:rPr>
          <w:lang w:val="es-ES_tradnl"/>
        </w:rPr>
        <w:t>árabe]</w:t>
      </w:r>
    </w:p>
    <w:p w:rsidR="00B6675E" w:rsidRPr="00B6675E" w:rsidRDefault="00B6675E" w:rsidP="00B6675E">
      <w:pPr>
        <w:rPr>
          <w:b/>
          <w:bCs/>
          <w:caps/>
          <w:szCs w:val="22"/>
        </w:rPr>
      </w:pPr>
    </w:p>
    <w:p w:rsidR="00B6675E" w:rsidRPr="00B6675E" w:rsidRDefault="00B6675E" w:rsidP="00B6675E">
      <w:pPr>
        <w:rPr>
          <w:b/>
          <w:bCs/>
          <w:caps/>
          <w:szCs w:val="22"/>
        </w:rPr>
      </w:pPr>
    </w:p>
    <w:p w:rsidR="00B6675E" w:rsidRPr="00B6675E" w:rsidRDefault="00B6675E" w:rsidP="00B6675E">
      <w:pPr>
        <w:rPr>
          <w:b/>
          <w:bCs/>
          <w:caps/>
          <w:szCs w:val="22"/>
        </w:rPr>
      </w:pPr>
    </w:p>
    <w:p w:rsidR="00B6675E" w:rsidRPr="00B6675E" w:rsidRDefault="00B6675E" w:rsidP="00B6675E">
      <w:pPr>
        <w:rPr>
          <w:b/>
          <w:bCs/>
          <w:caps/>
          <w:szCs w:val="22"/>
        </w:rPr>
      </w:pPr>
    </w:p>
    <w:p w:rsidR="00B6675E" w:rsidRPr="00B6675E" w:rsidRDefault="00B6675E" w:rsidP="00B6675E">
      <w:pPr>
        <w:rPr>
          <w:b/>
          <w:bCs/>
          <w:caps/>
          <w:szCs w:val="22"/>
        </w:rPr>
      </w:pPr>
    </w:p>
    <w:p w:rsidR="00B6675E" w:rsidRPr="00B6675E" w:rsidRDefault="00B6675E" w:rsidP="00B6675E">
      <w:pPr>
        <w:rPr>
          <w:b/>
          <w:bCs/>
          <w:caps/>
          <w:szCs w:val="22"/>
        </w:rPr>
      </w:pPr>
    </w:p>
    <w:p w:rsidR="00B6675E" w:rsidRPr="00062884" w:rsidRDefault="00B6675E" w:rsidP="00B6675E">
      <w:pPr>
        <w:rPr>
          <w:b/>
          <w:bCs/>
          <w:caps/>
          <w:szCs w:val="22"/>
          <w:lang w:bidi="ar-EG"/>
        </w:rPr>
      </w:pPr>
      <w:r w:rsidRPr="00062884">
        <w:rPr>
          <w:b/>
          <w:bCs/>
          <w:caps/>
          <w:szCs w:val="22"/>
        </w:rPr>
        <w:t>arab republic of egypt</w:t>
      </w:r>
    </w:p>
    <w:p w:rsidR="00B6675E" w:rsidRPr="00062884" w:rsidRDefault="00B6675E" w:rsidP="00B6675E">
      <w:pPr>
        <w:rPr>
          <w:b/>
          <w:bCs/>
          <w:caps/>
          <w:szCs w:val="22"/>
        </w:rPr>
      </w:pPr>
    </w:p>
    <w:p w:rsidR="00B6675E" w:rsidRPr="00062884" w:rsidRDefault="00B6675E" w:rsidP="00B6675E">
      <w:pPr>
        <w:rPr>
          <w:b/>
          <w:bCs/>
          <w:caps/>
          <w:szCs w:val="22"/>
        </w:rPr>
      </w:pPr>
    </w:p>
    <w:p w:rsidR="00B6675E" w:rsidRPr="00062884" w:rsidRDefault="00B6675E" w:rsidP="00B6675E">
      <w:pPr>
        <w:rPr>
          <w:b/>
          <w:bCs/>
          <w:caps/>
          <w:szCs w:val="22"/>
        </w:rPr>
      </w:pPr>
    </w:p>
    <w:p w:rsidR="00B6675E" w:rsidRPr="00062884" w:rsidRDefault="00B6675E" w:rsidP="00B6675E">
      <w:pPr>
        <w:rPr>
          <w:b/>
          <w:bCs/>
          <w:caps/>
          <w:szCs w:val="22"/>
        </w:rPr>
      </w:pPr>
      <w:r w:rsidRPr="00062884">
        <w:rPr>
          <w:b/>
          <w:bCs/>
          <w:caps/>
          <w:szCs w:val="22"/>
        </w:rPr>
        <w:t>official gazette</w:t>
      </w:r>
    </w:p>
    <w:p w:rsidR="00B6675E" w:rsidRPr="00062884" w:rsidRDefault="00B6675E" w:rsidP="00B6675E">
      <w:pPr>
        <w:rPr>
          <w:b/>
          <w:bCs/>
          <w:caps/>
          <w:szCs w:val="22"/>
        </w:rPr>
      </w:pPr>
    </w:p>
    <w:p w:rsidR="00B6675E" w:rsidRPr="00062884" w:rsidRDefault="00B6675E" w:rsidP="00B6675E">
      <w:pPr>
        <w:rPr>
          <w:b/>
          <w:bCs/>
          <w:caps/>
          <w:szCs w:val="22"/>
        </w:rPr>
      </w:pPr>
    </w:p>
    <w:p w:rsidR="00B6675E" w:rsidRPr="00062884" w:rsidRDefault="00B6675E" w:rsidP="00B6675E">
      <w:pPr>
        <w:rPr>
          <w:b/>
          <w:bCs/>
          <w:caps/>
          <w:szCs w:val="22"/>
        </w:rPr>
      </w:pPr>
    </w:p>
    <w:p w:rsidR="00B6675E" w:rsidRPr="00062884" w:rsidRDefault="00B6675E" w:rsidP="00B6675E">
      <w:pPr>
        <w:rPr>
          <w:b/>
          <w:bCs/>
          <w:caps/>
          <w:szCs w:val="22"/>
        </w:rPr>
      </w:pPr>
      <w:r w:rsidRPr="00062884">
        <w:rPr>
          <w:b/>
          <w:bCs/>
          <w:caps/>
          <w:szCs w:val="22"/>
        </w:rPr>
        <w:t>issue no.</w:t>
      </w:r>
      <w:r w:rsidR="007514E1">
        <w:rPr>
          <w:b/>
          <w:bCs/>
          <w:caps/>
          <w:szCs w:val="22"/>
        </w:rPr>
        <w:t xml:space="preserve"> </w:t>
      </w:r>
      <w:r w:rsidR="00831885" w:rsidRPr="00062884">
        <w:rPr>
          <w:b/>
          <w:bCs/>
          <w:caps/>
          <w:szCs w:val="22"/>
        </w:rPr>
        <w:t>3</w:t>
      </w:r>
      <w:r w:rsidRPr="00062884">
        <w:rPr>
          <w:b/>
          <w:bCs/>
          <w:caps/>
          <w:szCs w:val="22"/>
        </w:rPr>
        <w:t>1</w:t>
      </w:r>
      <w:r w:rsidRPr="00062884">
        <w:rPr>
          <w:b/>
          <w:bCs/>
          <w:i/>
          <w:iCs/>
          <w:caps/>
          <w:szCs w:val="22"/>
        </w:rPr>
        <w:t>BIS</w:t>
      </w:r>
      <w:r w:rsidRPr="00062884">
        <w:rPr>
          <w:b/>
          <w:bCs/>
          <w:caps/>
          <w:szCs w:val="22"/>
        </w:rPr>
        <w:t>(D)</w:t>
      </w:r>
    </w:p>
    <w:p w:rsidR="00B6675E" w:rsidRPr="00062884" w:rsidRDefault="00B6675E" w:rsidP="00B6675E">
      <w:pPr>
        <w:rPr>
          <w:caps/>
        </w:rPr>
      </w:pPr>
      <w:r w:rsidRPr="00062884">
        <w:t>Dated August</w:t>
      </w:r>
      <w:r w:rsidR="007514E1">
        <w:t xml:space="preserve"> </w:t>
      </w:r>
      <w:r w:rsidR="00831885" w:rsidRPr="00062884">
        <w:t>6</w:t>
      </w:r>
      <w:r w:rsidR="00E07157" w:rsidRPr="00062884">
        <w:rPr>
          <w:caps/>
        </w:rPr>
        <w:t>, 2</w:t>
      </w:r>
      <w:r w:rsidRPr="00062884">
        <w:rPr>
          <w:caps/>
        </w:rPr>
        <w:t>019</w:t>
      </w:r>
    </w:p>
    <w:p w:rsidR="00B6675E" w:rsidRPr="00062884" w:rsidRDefault="00B6675E" w:rsidP="00B6675E">
      <w:pPr>
        <w:rPr>
          <w:b/>
          <w:bCs/>
          <w:caps/>
        </w:rPr>
      </w:pPr>
    </w:p>
    <w:p w:rsidR="00B6675E" w:rsidRPr="00062884" w:rsidRDefault="00B6675E" w:rsidP="00B6675E">
      <w:pPr>
        <w:rPr>
          <w:b/>
          <w:bCs/>
          <w:caps/>
        </w:rPr>
      </w:pPr>
    </w:p>
    <w:p w:rsidR="00B6675E" w:rsidRPr="00062884" w:rsidRDefault="00B6675E" w:rsidP="00B6675E">
      <w:pPr>
        <w:rPr>
          <w:i/>
          <w:iCs/>
          <w:caps/>
        </w:rPr>
      </w:pPr>
    </w:p>
    <w:p w:rsidR="00B6675E" w:rsidRPr="00062884" w:rsidRDefault="00B6675E" w:rsidP="00B6675E">
      <w:pPr>
        <w:rPr>
          <w:i/>
          <w:iCs/>
          <w:caps/>
        </w:rPr>
      </w:pPr>
      <w:r w:rsidRPr="00062884">
        <w:rPr>
          <w:i/>
          <w:iCs/>
          <w:caps/>
        </w:rPr>
        <w:t>[certified copy]</w:t>
      </w:r>
    </w:p>
    <w:p w:rsidR="00B6675E" w:rsidRPr="00062884" w:rsidRDefault="00B6675E" w:rsidP="00B6675E">
      <w:pPr>
        <w:rPr>
          <w:b/>
          <w:bCs/>
          <w:caps/>
        </w:rPr>
      </w:pPr>
    </w:p>
    <w:p w:rsidR="00B6675E" w:rsidRPr="00062884" w:rsidRDefault="00B6675E" w:rsidP="00B6675E">
      <w:pPr>
        <w:jc w:val="left"/>
        <w:rPr>
          <w:lang w:bidi="ar-EG"/>
        </w:rPr>
      </w:pPr>
    </w:p>
    <w:p w:rsidR="00B6675E" w:rsidRPr="00062884" w:rsidRDefault="00B6675E" w:rsidP="00B6675E">
      <w:pPr>
        <w:jc w:val="left"/>
        <w:rPr>
          <w:lang w:bidi="ar-EG"/>
        </w:rPr>
      </w:pPr>
    </w:p>
    <w:p w:rsidR="00B6675E" w:rsidRPr="00062884" w:rsidRDefault="00B6675E" w:rsidP="00B6675E">
      <w:pPr>
        <w:jc w:val="center"/>
        <w:rPr>
          <w:b/>
          <w:bCs/>
          <w:lang w:bidi="ar-EG"/>
        </w:rPr>
      </w:pPr>
      <w:r w:rsidRPr="00062884">
        <w:rPr>
          <w:b/>
          <w:bCs/>
          <w:lang w:bidi="ar-EG"/>
        </w:rPr>
        <w:t>LAW NO.</w:t>
      </w:r>
      <w:r w:rsidR="007514E1">
        <w:rPr>
          <w:b/>
          <w:bCs/>
          <w:lang w:bidi="ar-EG"/>
        </w:rPr>
        <w:t xml:space="preserve"> </w:t>
      </w:r>
      <w:r w:rsidR="00831885" w:rsidRPr="00062884">
        <w:rPr>
          <w:b/>
          <w:bCs/>
          <w:lang w:bidi="ar-EG"/>
        </w:rPr>
        <w:t>1</w:t>
      </w:r>
      <w:r w:rsidRPr="00062884">
        <w:rPr>
          <w:b/>
          <w:bCs/>
          <w:lang w:bidi="ar-EG"/>
        </w:rPr>
        <w:t>44 OF</w:t>
      </w:r>
      <w:r w:rsidR="007514E1">
        <w:rPr>
          <w:b/>
          <w:bCs/>
          <w:lang w:bidi="ar-EG"/>
        </w:rPr>
        <w:t xml:space="preserve"> </w:t>
      </w:r>
      <w:r w:rsidR="00831885" w:rsidRPr="00062884">
        <w:rPr>
          <w:b/>
          <w:bCs/>
          <w:lang w:bidi="ar-EG"/>
        </w:rPr>
        <w:t>2</w:t>
      </w:r>
      <w:r w:rsidRPr="00062884">
        <w:rPr>
          <w:b/>
          <w:bCs/>
          <w:lang w:bidi="ar-EG"/>
        </w:rPr>
        <w:t>019</w:t>
      </w:r>
    </w:p>
    <w:p w:rsidR="00B6675E" w:rsidRPr="00062884" w:rsidRDefault="00B6675E" w:rsidP="00B6675E">
      <w:pPr>
        <w:jc w:val="center"/>
        <w:rPr>
          <w:lang w:bidi="ar-EG"/>
        </w:rPr>
      </w:pPr>
      <w:r w:rsidRPr="00062884">
        <w:rPr>
          <w:lang w:bidi="ar-EG"/>
        </w:rPr>
        <w:t>AMENDING CERTAIN PROVISIONS</w:t>
      </w:r>
    </w:p>
    <w:p w:rsidR="00B6675E" w:rsidRPr="00062884" w:rsidRDefault="00B6675E" w:rsidP="00B6675E">
      <w:pPr>
        <w:jc w:val="center"/>
        <w:rPr>
          <w:lang w:bidi="ar-EG"/>
        </w:rPr>
      </w:pPr>
      <w:r w:rsidRPr="00062884">
        <w:rPr>
          <w:lang w:bidi="ar-EG"/>
        </w:rPr>
        <w:t>OF THE PROTECTION OF INTELLECTUAL PROPERTY RIGHTS ACT NO.</w:t>
      </w:r>
      <w:r w:rsidR="007514E1">
        <w:rPr>
          <w:lang w:bidi="ar-EG"/>
        </w:rPr>
        <w:t xml:space="preserve"> </w:t>
      </w:r>
      <w:r w:rsidR="00831885" w:rsidRPr="00062884">
        <w:rPr>
          <w:lang w:bidi="ar-EG"/>
        </w:rPr>
        <w:t>8</w:t>
      </w:r>
      <w:r w:rsidRPr="00062884">
        <w:rPr>
          <w:lang w:bidi="ar-EG"/>
        </w:rPr>
        <w:t>2 OF</w:t>
      </w:r>
      <w:r w:rsidR="007514E1">
        <w:rPr>
          <w:lang w:bidi="ar-EG"/>
        </w:rPr>
        <w:t xml:space="preserve"> </w:t>
      </w:r>
      <w:r w:rsidR="00831885" w:rsidRPr="00062884">
        <w:rPr>
          <w:lang w:bidi="ar-EG"/>
        </w:rPr>
        <w:t>2</w:t>
      </w:r>
      <w:r w:rsidRPr="00062884">
        <w:rPr>
          <w:lang w:bidi="ar-EG"/>
        </w:rPr>
        <w:t>002</w:t>
      </w:r>
    </w:p>
    <w:p w:rsidR="00B6675E" w:rsidRPr="00062884" w:rsidRDefault="00B6675E" w:rsidP="00B6675E">
      <w:pPr>
        <w:jc w:val="center"/>
        <w:rPr>
          <w:lang w:bidi="ar-EG"/>
        </w:rPr>
      </w:pPr>
    </w:p>
    <w:p w:rsidR="00B6675E" w:rsidRPr="00062884" w:rsidRDefault="00B6675E" w:rsidP="00B6675E">
      <w:pPr>
        <w:jc w:val="left"/>
        <w:rPr>
          <w:lang w:bidi="ar-EG"/>
        </w:rPr>
      </w:pPr>
    </w:p>
    <w:p w:rsidR="00B6675E" w:rsidRPr="00062884" w:rsidRDefault="00B6675E" w:rsidP="00B6675E">
      <w:pPr>
        <w:jc w:val="left"/>
        <w:rPr>
          <w:lang w:bidi="ar-EG"/>
        </w:rPr>
      </w:pPr>
      <w:r w:rsidRPr="00062884">
        <w:rPr>
          <w:lang w:bidi="ar-EG"/>
        </w:rPr>
        <w:t>IN THE NAME OF THE PEOPLE,</w:t>
      </w:r>
    </w:p>
    <w:p w:rsidR="00B6675E" w:rsidRPr="00062884" w:rsidRDefault="00B6675E" w:rsidP="00B6675E">
      <w:pPr>
        <w:jc w:val="left"/>
        <w:rPr>
          <w:lang w:bidi="ar-EG"/>
        </w:rPr>
      </w:pPr>
    </w:p>
    <w:p w:rsidR="00B6675E" w:rsidRPr="00062884" w:rsidRDefault="00B6675E" w:rsidP="00B6675E">
      <w:pPr>
        <w:jc w:val="left"/>
        <w:rPr>
          <w:lang w:bidi="ar-EG"/>
        </w:rPr>
      </w:pPr>
      <w:r w:rsidRPr="00062884">
        <w:rPr>
          <w:lang w:bidi="ar-EG"/>
        </w:rPr>
        <w:t>THE PRESIDENT OF THE REPUBLIC,</w:t>
      </w:r>
    </w:p>
    <w:p w:rsidR="00B6675E" w:rsidRPr="00062884" w:rsidRDefault="00B6675E" w:rsidP="00B6675E">
      <w:pPr>
        <w:jc w:val="left"/>
        <w:rPr>
          <w:lang w:bidi="ar-EG"/>
        </w:rPr>
      </w:pPr>
    </w:p>
    <w:p w:rsidR="00B6675E" w:rsidRPr="00062884" w:rsidRDefault="00B6675E" w:rsidP="00B6675E">
      <w:pPr>
        <w:jc w:val="left"/>
        <w:rPr>
          <w:i/>
          <w:iCs/>
          <w:lang w:bidi="ar-EG"/>
        </w:rPr>
      </w:pPr>
      <w:r w:rsidRPr="00062884">
        <w:rPr>
          <w:lang w:bidi="ar-EG"/>
        </w:rPr>
        <w:tab/>
      </w:r>
      <w:r w:rsidRPr="00062884">
        <w:rPr>
          <w:i/>
          <w:iCs/>
          <w:lang w:bidi="ar-EG"/>
        </w:rPr>
        <w:t>The House of Representatives having approved the following Law</w:t>
      </w:r>
      <w:r w:rsidR="00E07157" w:rsidRPr="00062884">
        <w:rPr>
          <w:i/>
          <w:iCs/>
          <w:lang w:bidi="ar-EG"/>
        </w:rPr>
        <w:t xml:space="preserve">, </w:t>
      </w:r>
      <w:r w:rsidRPr="00062884">
        <w:rPr>
          <w:i/>
          <w:iCs/>
          <w:lang w:bidi="ar-EG"/>
        </w:rPr>
        <w:t xml:space="preserve">it is hereby promulgated: </w:t>
      </w:r>
    </w:p>
    <w:p w:rsidR="00B6675E" w:rsidRPr="00062884" w:rsidRDefault="00B6675E" w:rsidP="00B6675E">
      <w:pPr>
        <w:tabs>
          <w:tab w:val="left" w:pos="7950"/>
          <w:tab w:val="right" w:pos="9639"/>
        </w:tabs>
        <w:jc w:val="left"/>
      </w:pPr>
    </w:p>
    <w:p w:rsidR="00B6675E" w:rsidRPr="00062884" w:rsidRDefault="00B6675E" w:rsidP="00B6675E">
      <w:pPr>
        <w:tabs>
          <w:tab w:val="left" w:pos="7950"/>
          <w:tab w:val="right" w:pos="9639"/>
        </w:tabs>
        <w:jc w:val="left"/>
      </w:pPr>
    </w:p>
    <w:p w:rsidR="00B6675E" w:rsidRPr="00062884" w:rsidRDefault="00B6675E" w:rsidP="00B6675E">
      <w:pPr>
        <w:tabs>
          <w:tab w:val="left" w:pos="7950"/>
          <w:tab w:val="right" w:pos="9639"/>
        </w:tabs>
        <w:jc w:val="center"/>
        <w:rPr>
          <w:b/>
          <w:bCs/>
        </w:rPr>
      </w:pPr>
      <w:r w:rsidRPr="00062884">
        <w:rPr>
          <w:b/>
          <w:bCs/>
        </w:rPr>
        <w:t>ARTICLE I</w:t>
      </w:r>
    </w:p>
    <w:p w:rsidR="00B6675E" w:rsidRPr="00062884" w:rsidRDefault="00B6675E" w:rsidP="00B6675E">
      <w:pPr>
        <w:tabs>
          <w:tab w:val="left" w:pos="7950"/>
          <w:tab w:val="right" w:pos="9639"/>
        </w:tabs>
        <w:jc w:val="left"/>
      </w:pPr>
    </w:p>
    <w:p w:rsidR="00B6675E" w:rsidRPr="00062884" w:rsidRDefault="00B6675E" w:rsidP="00B6675E">
      <w:pPr>
        <w:jc w:val="left"/>
      </w:pPr>
      <w:r w:rsidRPr="00062884">
        <w:tab/>
        <w:t>Articles</w:t>
      </w:r>
      <w:r w:rsidR="007514E1">
        <w:t xml:space="preserve"> </w:t>
      </w:r>
      <w:r w:rsidR="00831885" w:rsidRPr="00062884">
        <w:t>1</w:t>
      </w:r>
      <w:r w:rsidRPr="00062884">
        <w:t>92 (Third Paragraph)</w:t>
      </w:r>
      <w:r w:rsidR="00E07157" w:rsidRPr="00062884">
        <w:t>, 1</w:t>
      </w:r>
      <w:r w:rsidRPr="00062884">
        <w:t>92</w:t>
      </w:r>
      <w:r w:rsidRPr="00062884">
        <w:rPr>
          <w:i/>
          <w:iCs/>
        </w:rPr>
        <w:t xml:space="preserve">Bis </w:t>
      </w:r>
      <w:r w:rsidRPr="00062884">
        <w:t>(Second Paragraph)</w:t>
      </w:r>
      <w:r w:rsidR="00E07157" w:rsidRPr="00062884">
        <w:t>, 1</w:t>
      </w:r>
      <w:r w:rsidRPr="00062884">
        <w:t>93 (Third Paragraph)</w:t>
      </w:r>
      <w:r w:rsidR="00E07157" w:rsidRPr="00062884">
        <w:t>, 1</w:t>
      </w:r>
      <w:r w:rsidRPr="00062884">
        <w:t>94 (Last Paragraph)</w:t>
      </w:r>
      <w:r w:rsidR="00E07157" w:rsidRPr="00062884">
        <w:t>, 1</w:t>
      </w:r>
      <w:r w:rsidRPr="00062884">
        <w:t>95 (First Paragraph</w:t>
      </w:r>
      <w:r w:rsidR="00E07157" w:rsidRPr="00062884">
        <w:t xml:space="preserve">, </w:t>
      </w:r>
      <w:r w:rsidRPr="00062884">
        <w:t>(iii); and Second Paragraph)</w:t>
      </w:r>
      <w:r w:rsidR="00E07157" w:rsidRPr="00062884">
        <w:t>, 1</w:t>
      </w:r>
      <w:r w:rsidRPr="00062884">
        <w:t>98</w:t>
      </w:r>
      <w:r w:rsidR="00E07157" w:rsidRPr="00062884">
        <w:t>, 2</w:t>
      </w:r>
      <w:r w:rsidRPr="00062884">
        <w:t>01 (Fourth Paragraph)</w:t>
      </w:r>
      <w:r w:rsidR="00E07157" w:rsidRPr="00062884">
        <w:t xml:space="preserve">, </w:t>
      </w:r>
      <w:r w:rsidRPr="00062884">
        <w:t>and</w:t>
      </w:r>
      <w:r w:rsidR="007514E1">
        <w:t xml:space="preserve"> </w:t>
      </w:r>
      <w:r w:rsidR="00831885" w:rsidRPr="00062884">
        <w:t>2</w:t>
      </w:r>
      <w:r w:rsidRPr="00062884">
        <w:t>02</w:t>
      </w:r>
      <w:r w:rsidR="00E07157" w:rsidRPr="00062884">
        <w:t>, 2</w:t>
      </w:r>
      <w:r w:rsidRPr="00062884">
        <w:t>02</w:t>
      </w:r>
      <w:r w:rsidRPr="00062884">
        <w:rPr>
          <w:i/>
          <w:iCs/>
        </w:rPr>
        <w:t>Bis</w:t>
      </w:r>
      <w:r w:rsidRPr="00062884">
        <w:t>(1)</w:t>
      </w:r>
      <w:r w:rsidR="00E07157" w:rsidRPr="00062884">
        <w:t xml:space="preserve">, </w:t>
      </w:r>
      <w:r w:rsidRPr="00062884">
        <w:t>of the Protection of Intellectual Property Rights Act issued by Law No.</w:t>
      </w:r>
      <w:r w:rsidR="007514E1">
        <w:t xml:space="preserve"> </w:t>
      </w:r>
      <w:r w:rsidR="00831885" w:rsidRPr="00062884">
        <w:t>8</w:t>
      </w:r>
      <w:r w:rsidRPr="00062884">
        <w:t>2 of</w:t>
      </w:r>
      <w:r w:rsidR="007514E1">
        <w:t xml:space="preserve"> </w:t>
      </w:r>
      <w:r w:rsidR="00831885" w:rsidRPr="00062884">
        <w:t>2</w:t>
      </w:r>
      <w:r w:rsidRPr="00062884">
        <w:t>002</w:t>
      </w:r>
      <w:r w:rsidR="00E07157" w:rsidRPr="00062884">
        <w:t xml:space="preserve">, </w:t>
      </w:r>
      <w:r w:rsidRPr="00062884">
        <w:t>shall hereby be replaced by the following provisions:</w:t>
      </w:r>
    </w:p>
    <w:p w:rsidR="00B6675E" w:rsidRPr="00062884" w:rsidRDefault="00B6675E" w:rsidP="00B6675E">
      <w:pPr>
        <w:tabs>
          <w:tab w:val="left" w:pos="7950"/>
          <w:tab w:val="right" w:pos="9639"/>
        </w:tabs>
        <w:jc w:val="left"/>
      </w:pPr>
    </w:p>
    <w:p w:rsidR="00B6675E" w:rsidRPr="00062884" w:rsidRDefault="00B6675E" w:rsidP="00B6675E">
      <w:pPr>
        <w:tabs>
          <w:tab w:val="left" w:pos="7950"/>
          <w:tab w:val="right" w:pos="9639"/>
        </w:tabs>
        <w:jc w:val="left"/>
      </w:pPr>
    </w:p>
    <w:p w:rsidR="00B6675E" w:rsidRPr="00062884" w:rsidRDefault="00B6675E" w:rsidP="00B6675E">
      <w:pPr>
        <w:autoSpaceDE w:val="0"/>
        <w:autoSpaceDN w:val="0"/>
        <w:adjustRightInd w:val="0"/>
        <w:spacing w:line="220" w:lineRule="atLeast"/>
        <w:jc w:val="lowKashida"/>
        <w:rPr>
          <w:rFonts w:cs="Arial"/>
          <w:b/>
          <w:bCs/>
        </w:rPr>
      </w:pPr>
      <w:r w:rsidRPr="00062884">
        <w:rPr>
          <w:rFonts w:cs="Arial"/>
          <w:b/>
          <w:bCs/>
        </w:rPr>
        <w:t>Article</w:t>
      </w:r>
      <w:r w:rsidR="007514E1">
        <w:rPr>
          <w:rFonts w:cs="Arial"/>
          <w:b/>
          <w:bCs/>
        </w:rPr>
        <w:t xml:space="preserve"> </w:t>
      </w:r>
      <w:r w:rsidR="00831885" w:rsidRPr="00062884">
        <w:rPr>
          <w:rFonts w:cs="Arial"/>
          <w:b/>
          <w:bCs/>
        </w:rPr>
        <w:t>1</w:t>
      </w:r>
      <w:r w:rsidRPr="00062884">
        <w:rPr>
          <w:rFonts w:cs="Arial"/>
          <w:b/>
          <w:bCs/>
        </w:rPr>
        <w:t>92 (Third Paragraph)</w:t>
      </w:r>
    </w:p>
    <w:p w:rsidR="00B6675E" w:rsidRPr="00062884" w:rsidRDefault="00B6675E" w:rsidP="00B6675E">
      <w:pPr>
        <w:ind w:firstLine="567"/>
        <w:jc w:val="lowKashida"/>
        <w:rPr>
          <w:rFonts w:cs="Arial"/>
          <w:b/>
        </w:rPr>
      </w:pPr>
      <w:r w:rsidRPr="00062884">
        <w:rPr>
          <w:rFonts w:cs="Arial"/>
        </w:rPr>
        <w:t>In the course of the examination</w:t>
      </w:r>
      <w:r w:rsidR="00E07157" w:rsidRPr="00062884">
        <w:rPr>
          <w:rFonts w:cs="Arial"/>
        </w:rPr>
        <w:t xml:space="preserve">, </w:t>
      </w:r>
      <w:r w:rsidRPr="00062884">
        <w:rPr>
          <w:rFonts w:cs="Arial"/>
        </w:rPr>
        <w:t>the Office of Plant Variety Protection may grow the variety or carry out other necessary tests</w:t>
      </w:r>
      <w:r w:rsidR="00E07157" w:rsidRPr="00062884">
        <w:rPr>
          <w:rFonts w:cs="Arial"/>
        </w:rPr>
        <w:t xml:space="preserve">, </w:t>
      </w:r>
      <w:r w:rsidRPr="00062884">
        <w:rPr>
          <w:rFonts w:cs="Arial"/>
        </w:rPr>
        <w:t>either</w:t>
      </w:r>
      <w:r w:rsidRPr="00062884">
        <w:rPr>
          <w:rFonts w:cs="Arial"/>
          <w:lang w:bidi="ar-EG"/>
        </w:rPr>
        <w:t xml:space="preserve"> by</w:t>
      </w:r>
      <w:r w:rsidRPr="00062884">
        <w:rPr>
          <w:rFonts w:cs="Arial"/>
        </w:rPr>
        <w:t xml:space="preserve"> itself or by commissioning a third party; provided that</w:t>
      </w:r>
      <w:r w:rsidR="00E07157" w:rsidRPr="00062884">
        <w:rPr>
          <w:rFonts w:cs="Arial"/>
        </w:rPr>
        <w:t xml:space="preserve">, </w:t>
      </w:r>
      <w:r w:rsidRPr="00062884">
        <w:rPr>
          <w:rFonts w:cs="Arial"/>
        </w:rPr>
        <w:t>in any case</w:t>
      </w:r>
      <w:r w:rsidR="00E07157" w:rsidRPr="00062884">
        <w:rPr>
          <w:rFonts w:cs="Arial"/>
        </w:rPr>
        <w:t xml:space="preserve">, </w:t>
      </w:r>
      <w:r w:rsidRPr="00062884">
        <w:rPr>
          <w:rFonts w:cs="Arial"/>
        </w:rPr>
        <w:t>it takes into account the results of growing tests or other trials which have already been carried out.</w:t>
      </w:r>
    </w:p>
    <w:p w:rsidR="00B6675E" w:rsidRPr="00062884" w:rsidRDefault="00B6675E" w:rsidP="00B6675E">
      <w:pPr>
        <w:jc w:val="lowKashida"/>
        <w:rPr>
          <w:rFonts w:cs="Arial"/>
          <w:lang w:bidi="ar-IQ"/>
        </w:rPr>
      </w:pPr>
    </w:p>
    <w:p w:rsidR="00B6675E" w:rsidRPr="00062884" w:rsidRDefault="00B6675E" w:rsidP="00B6675E">
      <w:pPr>
        <w:jc w:val="lowKashida"/>
        <w:rPr>
          <w:rFonts w:cs="Arial"/>
          <w:b/>
          <w:bCs/>
          <w:rtl/>
        </w:rPr>
      </w:pPr>
      <w:r w:rsidRPr="00062884">
        <w:rPr>
          <w:rFonts w:cs="Arial"/>
          <w:b/>
          <w:bCs/>
        </w:rPr>
        <w:t>Article</w:t>
      </w:r>
      <w:r w:rsidR="007514E1">
        <w:rPr>
          <w:rFonts w:cs="Arial"/>
          <w:b/>
          <w:bCs/>
        </w:rPr>
        <w:t xml:space="preserve"> </w:t>
      </w:r>
      <w:r w:rsidR="00831885" w:rsidRPr="00062884">
        <w:rPr>
          <w:rFonts w:cs="Arial"/>
          <w:b/>
          <w:bCs/>
        </w:rPr>
        <w:t>1</w:t>
      </w:r>
      <w:r w:rsidRPr="00062884">
        <w:rPr>
          <w:rFonts w:cs="Arial"/>
          <w:b/>
          <w:bCs/>
        </w:rPr>
        <w:t>92</w:t>
      </w:r>
      <w:r w:rsidRPr="00062884">
        <w:rPr>
          <w:rFonts w:cs="Arial"/>
          <w:b/>
          <w:bCs/>
          <w:i/>
          <w:iCs/>
        </w:rPr>
        <w:t>Bis</w:t>
      </w:r>
      <w:r w:rsidRPr="00062884">
        <w:rPr>
          <w:rFonts w:cs="Arial"/>
          <w:b/>
          <w:bCs/>
        </w:rPr>
        <w:t xml:space="preserve"> (Second Paragraph)</w:t>
      </w:r>
    </w:p>
    <w:p w:rsidR="00B6675E" w:rsidRPr="00062884" w:rsidRDefault="00B6675E" w:rsidP="00B6675E">
      <w:pPr>
        <w:ind w:firstLine="567"/>
        <w:jc w:val="lowKashida"/>
        <w:rPr>
          <w:rFonts w:cs="Arial"/>
        </w:rPr>
      </w:pPr>
      <w:r w:rsidRPr="00062884">
        <w:rPr>
          <w:rFonts w:cs="Arial"/>
        </w:rPr>
        <w:t>Subject to the Fifth Paragraph of this Article</w:t>
      </w:r>
      <w:r w:rsidR="00E07157" w:rsidRPr="00062884">
        <w:rPr>
          <w:rFonts w:cs="Arial"/>
        </w:rPr>
        <w:t xml:space="preserve">, </w:t>
      </w:r>
      <w:r w:rsidRPr="00062884">
        <w:rPr>
          <w:rFonts w:cs="Arial"/>
        </w:rPr>
        <w:t>no rights in the designation registered as the denomination of the variety shall hamper the free use of the denomination in connection with the variety</w:t>
      </w:r>
      <w:r w:rsidR="00E07157" w:rsidRPr="00062884">
        <w:rPr>
          <w:rFonts w:cs="Arial"/>
        </w:rPr>
        <w:t xml:space="preserve">, </w:t>
      </w:r>
      <w:r w:rsidRPr="00062884">
        <w:rPr>
          <w:rFonts w:cs="Arial"/>
        </w:rPr>
        <w:t>either during the validity of the breeder’s right or after its expiration.</w:t>
      </w:r>
    </w:p>
    <w:p w:rsidR="00B6675E" w:rsidRPr="00062884" w:rsidRDefault="00B6675E" w:rsidP="00B6675E">
      <w:pPr>
        <w:ind w:firstLine="567"/>
        <w:jc w:val="lowKashida"/>
        <w:rPr>
          <w:rFonts w:cs="Arial"/>
        </w:rPr>
      </w:pPr>
    </w:p>
    <w:p w:rsidR="00B6675E" w:rsidRPr="00062884" w:rsidRDefault="00B6675E" w:rsidP="00B6675E">
      <w:pPr>
        <w:keepNext/>
        <w:autoSpaceDE w:val="0"/>
        <w:autoSpaceDN w:val="0"/>
        <w:adjustRightInd w:val="0"/>
        <w:spacing w:line="230" w:lineRule="atLeast"/>
        <w:jc w:val="lowKashida"/>
        <w:rPr>
          <w:rFonts w:cs="Arial"/>
          <w:b/>
          <w:bCs/>
        </w:rPr>
      </w:pPr>
      <w:r w:rsidRPr="00062884">
        <w:rPr>
          <w:rFonts w:cs="Arial"/>
          <w:b/>
          <w:bCs/>
        </w:rPr>
        <w:t>Article</w:t>
      </w:r>
      <w:r w:rsidR="007514E1">
        <w:rPr>
          <w:rFonts w:cs="Arial"/>
          <w:b/>
          <w:bCs/>
        </w:rPr>
        <w:t xml:space="preserve"> </w:t>
      </w:r>
      <w:r w:rsidR="00831885" w:rsidRPr="00062884">
        <w:rPr>
          <w:rFonts w:cs="Arial"/>
          <w:b/>
          <w:bCs/>
        </w:rPr>
        <w:t>1</w:t>
      </w:r>
      <w:r w:rsidRPr="00062884">
        <w:rPr>
          <w:rFonts w:cs="Arial"/>
          <w:b/>
          <w:bCs/>
        </w:rPr>
        <w:t>93 (Third Paragraph)</w:t>
      </w:r>
    </w:p>
    <w:p w:rsidR="00B6675E" w:rsidRPr="00062884" w:rsidRDefault="00B6675E" w:rsidP="00B6675E">
      <w:pPr>
        <w:ind w:firstLine="567"/>
        <w:jc w:val="lowKashida"/>
        <w:rPr>
          <w:rFonts w:cs="Arial"/>
        </w:rPr>
      </w:pPr>
      <w:r w:rsidRPr="00062884">
        <w:rPr>
          <w:rFonts w:cs="Arial"/>
        </w:rPr>
        <w:t>Nevertheless</w:t>
      </w:r>
      <w:r w:rsidR="00E07157" w:rsidRPr="00062884">
        <w:rPr>
          <w:rFonts w:cs="Arial"/>
        </w:rPr>
        <w:t xml:space="preserve">, </w:t>
      </w:r>
      <w:r w:rsidRPr="00062884">
        <w:rPr>
          <w:rFonts w:cs="Arial"/>
        </w:rPr>
        <w:t>provisional measures are provided to safeguard the interests of the breeder during the period between the filing date and the grant of protection.</w:t>
      </w:r>
      <w:r w:rsidR="00E13ED4" w:rsidRPr="00062884">
        <w:rPr>
          <w:rFonts w:cs="Arial"/>
        </w:rPr>
        <w:t xml:space="preserve"> </w:t>
      </w:r>
      <w:r w:rsidRPr="00062884">
        <w:rPr>
          <w:rFonts w:cs="Arial"/>
        </w:rPr>
        <w:t>Such provisional measures shall apply only to those persons who are notified by the breeder of this filing.</w:t>
      </w:r>
    </w:p>
    <w:p w:rsidR="00B6675E" w:rsidRPr="00062884" w:rsidRDefault="00B6675E" w:rsidP="00B6675E">
      <w:pPr>
        <w:jc w:val="lowKashida"/>
        <w:rPr>
          <w:rFonts w:cs="Arial"/>
        </w:rPr>
      </w:pPr>
    </w:p>
    <w:p w:rsidR="00B6675E" w:rsidRPr="00062884" w:rsidRDefault="00B6675E" w:rsidP="00082581">
      <w:pPr>
        <w:keepNext/>
        <w:jc w:val="lowKashida"/>
        <w:rPr>
          <w:rFonts w:cs="Arial"/>
          <w:b/>
          <w:bCs/>
        </w:rPr>
      </w:pPr>
      <w:r w:rsidRPr="00062884">
        <w:rPr>
          <w:rFonts w:cs="Arial"/>
          <w:b/>
          <w:bCs/>
        </w:rPr>
        <w:lastRenderedPageBreak/>
        <w:t>Article</w:t>
      </w:r>
      <w:r w:rsidR="007514E1">
        <w:rPr>
          <w:rFonts w:cs="Arial"/>
          <w:b/>
          <w:bCs/>
        </w:rPr>
        <w:t xml:space="preserve"> </w:t>
      </w:r>
      <w:r w:rsidR="00831885" w:rsidRPr="00062884">
        <w:rPr>
          <w:rFonts w:cs="Arial"/>
          <w:b/>
          <w:bCs/>
        </w:rPr>
        <w:t>1</w:t>
      </w:r>
      <w:r w:rsidRPr="00062884">
        <w:rPr>
          <w:rFonts w:cs="Arial"/>
          <w:b/>
          <w:bCs/>
        </w:rPr>
        <w:t>94 (Last Paragraph)</w:t>
      </w:r>
    </w:p>
    <w:p w:rsidR="00B6675E" w:rsidRPr="00062884" w:rsidRDefault="00B6675E" w:rsidP="00B6675E">
      <w:pPr>
        <w:jc w:val="lowKashida"/>
        <w:rPr>
          <w:rFonts w:cs="Arial"/>
          <w:lang w:bidi="ar-IQ"/>
        </w:rPr>
      </w:pPr>
      <w:r w:rsidRPr="00062884">
        <w:rPr>
          <w:rFonts w:cs="Arial"/>
        </w:rPr>
        <w:tab/>
        <w:t>Essentially derived varieties may be obtained by the selection of a natural or induced mutant</w:t>
      </w:r>
      <w:r w:rsidR="00E07157" w:rsidRPr="00062884">
        <w:rPr>
          <w:rFonts w:cs="Arial"/>
        </w:rPr>
        <w:t xml:space="preserve">, </w:t>
      </w:r>
      <w:r w:rsidRPr="00062884">
        <w:rPr>
          <w:rFonts w:cs="Arial"/>
        </w:rPr>
        <w:t xml:space="preserve">or of a </w:t>
      </w:r>
      <w:proofErr w:type="spellStart"/>
      <w:r w:rsidRPr="00062884">
        <w:rPr>
          <w:rFonts w:cs="Arial"/>
        </w:rPr>
        <w:t>somaclonal</w:t>
      </w:r>
      <w:proofErr w:type="spellEnd"/>
      <w:r w:rsidRPr="00062884">
        <w:rPr>
          <w:rFonts w:cs="Arial"/>
        </w:rPr>
        <w:t xml:space="preserve"> variant</w:t>
      </w:r>
      <w:r w:rsidR="00E07157" w:rsidRPr="00062884">
        <w:rPr>
          <w:rFonts w:cs="Arial"/>
        </w:rPr>
        <w:t xml:space="preserve">, </w:t>
      </w:r>
      <w:r w:rsidRPr="00062884">
        <w:rPr>
          <w:rFonts w:cs="Arial"/>
        </w:rPr>
        <w:t>the selection of a variant individual from plants of the initial variety</w:t>
      </w:r>
      <w:r w:rsidR="00E07157" w:rsidRPr="00062884">
        <w:rPr>
          <w:rFonts w:cs="Arial"/>
        </w:rPr>
        <w:t xml:space="preserve">, </w:t>
      </w:r>
      <w:r w:rsidRPr="00062884">
        <w:rPr>
          <w:rFonts w:cs="Arial"/>
        </w:rPr>
        <w:t>backcrossing</w:t>
      </w:r>
      <w:r w:rsidR="00E07157" w:rsidRPr="00062884">
        <w:rPr>
          <w:rFonts w:cs="Arial"/>
        </w:rPr>
        <w:t xml:space="preserve">, </w:t>
      </w:r>
      <w:r w:rsidRPr="00062884">
        <w:rPr>
          <w:rFonts w:cs="Arial"/>
        </w:rPr>
        <w:t>or transformation by genetic engineering</w:t>
      </w:r>
      <w:r w:rsidR="00B94407" w:rsidRPr="00062884">
        <w:rPr>
          <w:rFonts w:cs="Arial"/>
        </w:rPr>
        <w:t>.</w:t>
      </w:r>
    </w:p>
    <w:p w:rsidR="00B6675E" w:rsidRPr="00062884" w:rsidRDefault="00B6675E" w:rsidP="00B6675E">
      <w:pPr>
        <w:jc w:val="lowKashida"/>
        <w:rPr>
          <w:lang w:bidi="ar-IQ"/>
        </w:rPr>
      </w:pPr>
    </w:p>
    <w:p w:rsidR="00B6675E" w:rsidRPr="00062884" w:rsidRDefault="00B6675E" w:rsidP="00B6675E">
      <w:pPr>
        <w:autoSpaceDE w:val="0"/>
        <w:autoSpaceDN w:val="0"/>
        <w:adjustRightInd w:val="0"/>
        <w:spacing w:line="230" w:lineRule="atLeast"/>
        <w:jc w:val="lowKashida"/>
        <w:rPr>
          <w:b/>
          <w:bCs/>
        </w:rPr>
      </w:pPr>
      <w:r w:rsidRPr="00062884">
        <w:rPr>
          <w:b/>
          <w:bCs/>
        </w:rPr>
        <w:t>Article</w:t>
      </w:r>
      <w:r w:rsidR="007514E1">
        <w:rPr>
          <w:b/>
          <w:bCs/>
        </w:rPr>
        <w:t xml:space="preserve"> </w:t>
      </w:r>
      <w:r w:rsidR="00831885" w:rsidRPr="00062884">
        <w:rPr>
          <w:b/>
          <w:bCs/>
        </w:rPr>
        <w:t>1</w:t>
      </w:r>
      <w:r w:rsidRPr="00062884">
        <w:rPr>
          <w:b/>
          <w:bCs/>
        </w:rPr>
        <w:t>95 (First Paragraph</w:t>
      </w:r>
      <w:r w:rsidR="00E07157" w:rsidRPr="00062884">
        <w:rPr>
          <w:b/>
          <w:bCs/>
        </w:rPr>
        <w:t xml:space="preserve">, </w:t>
      </w:r>
      <w:r w:rsidRPr="00062884">
        <w:rPr>
          <w:b/>
          <w:bCs/>
        </w:rPr>
        <w:t xml:space="preserve">(iii) and Second </w:t>
      </w:r>
      <w:r w:rsidRPr="00062884">
        <w:rPr>
          <w:rFonts w:cs="Arial"/>
          <w:b/>
          <w:bCs/>
        </w:rPr>
        <w:t>Paragraph</w:t>
      </w:r>
      <w:r w:rsidRPr="00062884">
        <w:rPr>
          <w:b/>
          <w:bCs/>
        </w:rPr>
        <w:t xml:space="preserve">) </w:t>
      </w:r>
    </w:p>
    <w:p w:rsidR="00B6675E" w:rsidRPr="00062884" w:rsidRDefault="00B6675E" w:rsidP="00B6675E">
      <w:pPr>
        <w:tabs>
          <w:tab w:val="num" w:pos="386"/>
        </w:tabs>
        <w:ind w:firstLine="567"/>
        <w:jc w:val="lowKashida"/>
      </w:pPr>
      <w:r w:rsidRPr="00062884">
        <w:t>The breeder’s right shall not extend to:</w:t>
      </w:r>
    </w:p>
    <w:p w:rsidR="00B6675E" w:rsidRPr="00062884" w:rsidRDefault="00B6675E" w:rsidP="00B6675E">
      <w:pPr>
        <w:ind w:firstLine="567"/>
        <w:jc w:val="lowKashida"/>
        <w:rPr>
          <w:rFonts w:cs="Arial"/>
          <w:b/>
          <w:snapToGrid w:val="0"/>
        </w:rPr>
      </w:pPr>
      <w:r w:rsidRPr="00062884">
        <w:rPr>
          <w:snapToGrid w:val="0"/>
        </w:rPr>
        <w:t>(iii)</w:t>
      </w:r>
      <w:r w:rsidRPr="00062884">
        <w:rPr>
          <w:snapToGrid w:val="0"/>
        </w:rPr>
        <w:tab/>
        <w:t>acts done for the purpose of breeding other varieties</w:t>
      </w:r>
      <w:r w:rsidR="00E07157" w:rsidRPr="00062884">
        <w:rPr>
          <w:snapToGrid w:val="0"/>
        </w:rPr>
        <w:t xml:space="preserve">, </w:t>
      </w:r>
      <w:r w:rsidRPr="00062884">
        <w:rPr>
          <w:snapToGrid w:val="0"/>
        </w:rPr>
        <w:t>and</w:t>
      </w:r>
      <w:r w:rsidR="00E07157" w:rsidRPr="00062884">
        <w:rPr>
          <w:snapToGrid w:val="0"/>
        </w:rPr>
        <w:t xml:space="preserve">, </w:t>
      </w:r>
      <w:r w:rsidRPr="00062884">
        <w:rPr>
          <w:snapToGrid w:val="0"/>
        </w:rPr>
        <w:t>except where the provisions of the Fourth Paragraph of Article</w:t>
      </w:r>
      <w:r w:rsidR="007514E1">
        <w:rPr>
          <w:snapToGrid w:val="0"/>
        </w:rPr>
        <w:t xml:space="preserve"> </w:t>
      </w:r>
      <w:r w:rsidR="00831885" w:rsidRPr="00062884">
        <w:rPr>
          <w:rFonts w:cs="Arial"/>
          <w:snapToGrid w:val="0"/>
        </w:rPr>
        <w:t>1</w:t>
      </w:r>
      <w:r w:rsidRPr="00062884">
        <w:rPr>
          <w:rFonts w:cs="Arial"/>
          <w:snapToGrid w:val="0"/>
        </w:rPr>
        <w:t>94 of this Law apply</w:t>
      </w:r>
      <w:r w:rsidR="00E07157" w:rsidRPr="00062884">
        <w:rPr>
          <w:rFonts w:cs="Arial"/>
          <w:snapToGrid w:val="0"/>
        </w:rPr>
        <w:t xml:space="preserve">, </w:t>
      </w:r>
      <w:r w:rsidRPr="00062884">
        <w:rPr>
          <w:rFonts w:cs="Arial"/>
          <w:snapToGrid w:val="0"/>
        </w:rPr>
        <w:t>acts provided for under the First and Second Paragraph of Article</w:t>
      </w:r>
      <w:r w:rsidR="007514E1">
        <w:rPr>
          <w:rFonts w:cs="Arial"/>
          <w:snapToGrid w:val="0"/>
        </w:rPr>
        <w:t xml:space="preserve"> </w:t>
      </w:r>
      <w:r w:rsidR="00831885" w:rsidRPr="00062884">
        <w:rPr>
          <w:rFonts w:cs="Arial"/>
          <w:snapToGrid w:val="0"/>
        </w:rPr>
        <w:t>1</w:t>
      </w:r>
      <w:r w:rsidRPr="00062884">
        <w:rPr>
          <w:rFonts w:cs="Arial"/>
          <w:snapToGrid w:val="0"/>
        </w:rPr>
        <w:t>94</w:t>
      </w:r>
      <w:r w:rsidR="00E07157" w:rsidRPr="00062884">
        <w:rPr>
          <w:rFonts w:cs="Arial"/>
          <w:snapToGrid w:val="0"/>
        </w:rPr>
        <w:t xml:space="preserve">, </w:t>
      </w:r>
      <w:r w:rsidRPr="00062884">
        <w:rPr>
          <w:rFonts w:cs="Arial"/>
          <w:snapToGrid w:val="0"/>
        </w:rPr>
        <w:t>in respect of such other varieties</w:t>
      </w:r>
      <w:r w:rsidRPr="00062884">
        <w:rPr>
          <w:rFonts w:cs="Arial"/>
          <w:b/>
          <w:snapToGrid w:val="0"/>
        </w:rPr>
        <w:t>.</w:t>
      </w:r>
    </w:p>
    <w:p w:rsidR="00B6675E" w:rsidRPr="00062884" w:rsidRDefault="00B6675E" w:rsidP="00B6675E">
      <w:pPr>
        <w:ind w:firstLine="567"/>
        <w:jc w:val="lowKashida"/>
        <w:rPr>
          <w:rFonts w:cs="Arial"/>
          <w:szCs w:val="26"/>
        </w:rPr>
      </w:pPr>
    </w:p>
    <w:p w:rsidR="00B6675E" w:rsidRPr="00062884" w:rsidRDefault="00B6675E" w:rsidP="00B6675E">
      <w:pPr>
        <w:ind w:firstLine="567"/>
        <w:rPr>
          <w:lang w:bidi="ar-IQ"/>
        </w:rPr>
      </w:pPr>
      <w:r w:rsidRPr="00062884">
        <w:rPr>
          <w:rFonts w:cs="Arial"/>
          <w:snapToGrid w:val="0"/>
        </w:rPr>
        <w:t>Subject to the safeguarding of the legitimate interests of the breeder</w:t>
      </w:r>
      <w:r w:rsidR="00E07157" w:rsidRPr="00062884">
        <w:rPr>
          <w:rFonts w:cs="Arial"/>
          <w:snapToGrid w:val="0"/>
        </w:rPr>
        <w:t xml:space="preserve">, </w:t>
      </w:r>
      <w:r w:rsidRPr="00062884">
        <w:rPr>
          <w:rFonts w:cs="Arial"/>
          <w:snapToGrid w:val="0"/>
        </w:rPr>
        <w:t>the breeder's right shall not be deemed infringed by farmers who</w:t>
      </w:r>
      <w:r w:rsidR="00E07157" w:rsidRPr="00062884">
        <w:rPr>
          <w:rFonts w:cs="Arial"/>
          <w:snapToGrid w:val="0"/>
        </w:rPr>
        <w:t xml:space="preserve">, </w:t>
      </w:r>
      <w:r w:rsidRPr="00062884">
        <w:rPr>
          <w:rFonts w:cs="Arial"/>
          <w:snapToGrid w:val="0"/>
        </w:rPr>
        <w:t>within reasonable limits</w:t>
      </w:r>
      <w:r w:rsidR="00E07157" w:rsidRPr="00062884">
        <w:rPr>
          <w:rFonts w:cs="Arial"/>
          <w:snapToGrid w:val="0"/>
        </w:rPr>
        <w:t xml:space="preserve">, </w:t>
      </w:r>
      <w:r w:rsidRPr="00062884">
        <w:rPr>
          <w:rFonts w:cs="Arial"/>
          <w:snapToGrid w:val="0"/>
        </w:rPr>
        <w:t>use for propagation purposes the product of the harvest which they have obtained by planting the protected variety or a variety covered by the Fourth Paragraph of Article</w:t>
      </w:r>
      <w:r w:rsidR="007514E1">
        <w:rPr>
          <w:rFonts w:cs="Arial"/>
          <w:snapToGrid w:val="0"/>
        </w:rPr>
        <w:t xml:space="preserve"> </w:t>
      </w:r>
      <w:r w:rsidR="00831885" w:rsidRPr="00062884">
        <w:rPr>
          <w:rFonts w:cs="Arial"/>
          <w:snapToGrid w:val="0"/>
        </w:rPr>
        <w:t>1</w:t>
      </w:r>
      <w:r w:rsidRPr="00062884">
        <w:rPr>
          <w:rFonts w:cs="Arial"/>
          <w:snapToGrid w:val="0"/>
        </w:rPr>
        <w:t>94 of this Law</w:t>
      </w:r>
      <w:r w:rsidR="00E07157" w:rsidRPr="00062884">
        <w:rPr>
          <w:rFonts w:cs="Arial"/>
          <w:snapToGrid w:val="0"/>
        </w:rPr>
        <w:t xml:space="preserve">, </w:t>
      </w:r>
      <w:r w:rsidRPr="00062884">
        <w:rPr>
          <w:rFonts w:cs="Arial"/>
          <w:snapToGrid w:val="0"/>
        </w:rPr>
        <w:t>those being done on their own holdings.</w:t>
      </w:r>
    </w:p>
    <w:p w:rsidR="00B6675E" w:rsidRPr="00062884" w:rsidRDefault="00B6675E" w:rsidP="00B6675E">
      <w:pPr>
        <w:jc w:val="lowKashida"/>
        <w:rPr>
          <w:lang w:bidi="ar-IQ"/>
        </w:rPr>
      </w:pPr>
    </w:p>
    <w:p w:rsidR="00B6675E" w:rsidRPr="00062884" w:rsidRDefault="00B6675E" w:rsidP="00B6675E">
      <w:pPr>
        <w:autoSpaceDE w:val="0"/>
        <w:autoSpaceDN w:val="0"/>
        <w:adjustRightInd w:val="0"/>
        <w:spacing w:line="230" w:lineRule="atLeast"/>
        <w:jc w:val="lowKashida"/>
        <w:rPr>
          <w:b/>
          <w:bCs/>
          <w:rtl/>
        </w:rPr>
      </w:pPr>
      <w:r w:rsidRPr="00062884">
        <w:rPr>
          <w:b/>
          <w:bCs/>
        </w:rPr>
        <w:t>Article</w:t>
      </w:r>
      <w:r w:rsidR="007514E1">
        <w:rPr>
          <w:b/>
          <w:bCs/>
        </w:rPr>
        <w:t xml:space="preserve"> </w:t>
      </w:r>
      <w:r w:rsidR="00831885" w:rsidRPr="00062884">
        <w:rPr>
          <w:b/>
          <w:bCs/>
        </w:rPr>
        <w:t>1</w:t>
      </w:r>
      <w:r w:rsidRPr="00062884">
        <w:rPr>
          <w:b/>
          <w:bCs/>
        </w:rPr>
        <w:t>98</w:t>
      </w:r>
    </w:p>
    <w:p w:rsidR="00B6675E" w:rsidRPr="00062884" w:rsidRDefault="00B6675E" w:rsidP="00B6675E">
      <w:pPr>
        <w:jc w:val="lowKashida"/>
        <w:rPr>
          <w:snapToGrid w:val="0"/>
        </w:rPr>
      </w:pPr>
      <w:r w:rsidRPr="00062884">
        <w:rPr>
          <w:snapToGrid w:val="0"/>
        </w:rPr>
        <w:tab/>
        <w:t>The breeder’s right shall not extend to acts concerning material of the protected variety</w:t>
      </w:r>
      <w:r w:rsidR="00E07157" w:rsidRPr="00062884">
        <w:rPr>
          <w:snapToGrid w:val="0"/>
        </w:rPr>
        <w:t xml:space="preserve">, </w:t>
      </w:r>
      <w:r w:rsidRPr="00062884">
        <w:rPr>
          <w:snapToGrid w:val="0"/>
        </w:rPr>
        <w:t>or of any variety covered by the provisions of the fourth paragraph of Article</w:t>
      </w:r>
      <w:r w:rsidR="007514E1">
        <w:rPr>
          <w:snapToGrid w:val="0"/>
        </w:rPr>
        <w:t xml:space="preserve"> </w:t>
      </w:r>
      <w:r w:rsidRPr="00062884">
        <w:rPr>
          <w:snapToGrid w:val="0"/>
        </w:rPr>
        <w:t>194 of this Law</w:t>
      </w:r>
      <w:r w:rsidR="00E07157" w:rsidRPr="00062884">
        <w:rPr>
          <w:snapToGrid w:val="0"/>
        </w:rPr>
        <w:t xml:space="preserve">, </w:t>
      </w:r>
      <w:r w:rsidRPr="00062884">
        <w:rPr>
          <w:snapToGrid w:val="0"/>
        </w:rPr>
        <w:t>or any material derived from the said material</w:t>
      </w:r>
      <w:r w:rsidR="00E07157" w:rsidRPr="00062884">
        <w:rPr>
          <w:snapToGrid w:val="0"/>
        </w:rPr>
        <w:t xml:space="preserve">, </w:t>
      </w:r>
      <w:r w:rsidRPr="00062884">
        <w:rPr>
          <w:snapToGrid w:val="0"/>
        </w:rPr>
        <w:t>which has been sold or otherwise marketed by the breeder or with his consent in the Arab Republic of Egypt or abroad</w:t>
      </w:r>
      <w:r w:rsidR="00E07157" w:rsidRPr="00062884">
        <w:rPr>
          <w:snapToGrid w:val="0"/>
        </w:rPr>
        <w:t xml:space="preserve">, </w:t>
      </w:r>
      <w:r w:rsidRPr="00062884">
        <w:rPr>
          <w:snapToGrid w:val="0"/>
        </w:rPr>
        <w:t>with the exception of the following acts:</w:t>
      </w:r>
    </w:p>
    <w:p w:rsidR="00B6675E" w:rsidRPr="00062884" w:rsidRDefault="00B6675E" w:rsidP="00B6675E">
      <w:pPr>
        <w:keepNext/>
        <w:ind w:firstLine="567"/>
        <w:jc w:val="lowKashida"/>
        <w:rPr>
          <w:snapToGrid w:val="0"/>
        </w:rPr>
      </w:pPr>
      <w:r w:rsidRPr="00062884">
        <w:rPr>
          <w:snapToGrid w:val="0"/>
        </w:rPr>
        <w:t>(i)</w:t>
      </w:r>
      <w:r w:rsidRPr="00062884">
        <w:rPr>
          <w:snapToGrid w:val="0"/>
        </w:rPr>
        <w:tab/>
        <w:t>acts of additional propagation of any variety mentioned in this paragraph</w:t>
      </w:r>
    </w:p>
    <w:p w:rsidR="00B6675E" w:rsidRPr="00062884" w:rsidRDefault="00B6675E" w:rsidP="00B6675E">
      <w:pPr>
        <w:ind w:firstLine="567"/>
        <w:jc w:val="lowKashida"/>
        <w:rPr>
          <w:snapToGrid w:val="0"/>
        </w:rPr>
      </w:pPr>
      <w:r w:rsidRPr="00062884">
        <w:rPr>
          <w:snapToGrid w:val="0"/>
        </w:rPr>
        <w:t>(ii)</w:t>
      </w:r>
      <w:r w:rsidRPr="00062884">
        <w:rPr>
          <w:snapToGrid w:val="0"/>
        </w:rPr>
        <w:tab/>
        <w:t>acts of export of material of the protected variety which enable its propagation in a country where the variety</w:t>
      </w:r>
      <w:r w:rsidR="00E07157" w:rsidRPr="00062884">
        <w:rPr>
          <w:snapToGrid w:val="0"/>
        </w:rPr>
        <w:t xml:space="preserve">, </w:t>
      </w:r>
      <w:r w:rsidRPr="00062884">
        <w:rPr>
          <w:snapToGrid w:val="0"/>
        </w:rPr>
        <w:t>its genus or genotype are not protected</w:t>
      </w:r>
      <w:r w:rsidR="00E07157" w:rsidRPr="00062884">
        <w:rPr>
          <w:snapToGrid w:val="0"/>
        </w:rPr>
        <w:t xml:space="preserve">, </w:t>
      </w:r>
      <w:r w:rsidRPr="00062884">
        <w:rPr>
          <w:snapToGrid w:val="0"/>
        </w:rPr>
        <w:t>unless where the exported material is for consumption purposes.</w:t>
      </w:r>
    </w:p>
    <w:p w:rsidR="00B6675E" w:rsidRPr="00062884" w:rsidRDefault="00B6675E" w:rsidP="00B6675E">
      <w:pPr>
        <w:jc w:val="lowKashida"/>
        <w:rPr>
          <w:snapToGrid w:val="0"/>
        </w:rPr>
      </w:pPr>
    </w:p>
    <w:p w:rsidR="00B6675E" w:rsidRPr="00062884" w:rsidRDefault="00B6675E" w:rsidP="00B6675E">
      <w:pPr>
        <w:ind w:firstLine="567"/>
        <w:jc w:val="lowKashida"/>
        <w:rPr>
          <w:snapToGrid w:val="0"/>
        </w:rPr>
      </w:pPr>
      <w:r w:rsidRPr="00062884">
        <w:rPr>
          <w:snapToGrid w:val="0"/>
        </w:rPr>
        <w:t>The materials provided for under the First Paragraph of this Article</w:t>
      </w:r>
      <w:r w:rsidR="00E07157" w:rsidRPr="00062884">
        <w:rPr>
          <w:snapToGrid w:val="0"/>
        </w:rPr>
        <w:t xml:space="preserve">, </w:t>
      </w:r>
      <w:r w:rsidRPr="00062884">
        <w:rPr>
          <w:snapToGrid w:val="0"/>
        </w:rPr>
        <w:t>which are not covered by breeder’s right protection</w:t>
      </w:r>
      <w:r w:rsidR="00E07157" w:rsidRPr="00062884">
        <w:rPr>
          <w:snapToGrid w:val="0"/>
        </w:rPr>
        <w:t xml:space="preserve">, </w:t>
      </w:r>
      <w:r w:rsidRPr="00062884">
        <w:rPr>
          <w:snapToGrid w:val="0"/>
        </w:rPr>
        <w:t>shall mean,</w:t>
      </w:r>
    </w:p>
    <w:p w:rsidR="00B6675E" w:rsidRPr="00062884" w:rsidRDefault="00B6675E" w:rsidP="00B6675E">
      <w:pPr>
        <w:ind w:firstLine="567"/>
        <w:jc w:val="lowKashida"/>
        <w:rPr>
          <w:snapToGrid w:val="0"/>
        </w:rPr>
      </w:pPr>
      <w:r w:rsidRPr="00062884">
        <w:rPr>
          <w:snapToGrid w:val="0"/>
        </w:rPr>
        <w:t>(i)</w:t>
      </w:r>
      <w:r w:rsidRPr="00062884">
        <w:rPr>
          <w:snapToGrid w:val="0"/>
        </w:rPr>
        <w:tab/>
        <w:t>propagating material of any kind,</w:t>
      </w:r>
    </w:p>
    <w:p w:rsidR="00B6675E" w:rsidRPr="00062884" w:rsidRDefault="00B6675E" w:rsidP="00B6675E">
      <w:pPr>
        <w:ind w:firstLine="567"/>
        <w:jc w:val="lowKashida"/>
        <w:rPr>
          <w:snapToGrid w:val="0"/>
        </w:rPr>
      </w:pPr>
      <w:r w:rsidRPr="00062884">
        <w:rPr>
          <w:snapToGrid w:val="0"/>
        </w:rPr>
        <w:t>(ii)</w:t>
      </w:r>
      <w:r w:rsidRPr="00062884">
        <w:rPr>
          <w:snapToGrid w:val="0"/>
        </w:rPr>
        <w:tab/>
        <w:t>harvested material</w:t>
      </w:r>
      <w:r w:rsidR="00E07157" w:rsidRPr="00062884">
        <w:rPr>
          <w:snapToGrid w:val="0"/>
        </w:rPr>
        <w:t xml:space="preserve">, </w:t>
      </w:r>
      <w:r w:rsidRPr="00062884">
        <w:rPr>
          <w:snapToGrid w:val="0"/>
        </w:rPr>
        <w:t>including entire plants or parts of plants</w:t>
      </w:r>
      <w:r w:rsidR="00E07157" w:rsidRPr="00062884">
        <w:rPr>
          <w:snapToGrid w:val="0"/>
        </w:rPr>
        <w:t xml:space="preserve">, </w:t>
      </w:r>
      <w:r w:rsidRPr="00062884">
        <w:rPr>
          <w:snapToGrid w:val="0"/>
        </w:rPr>
        <w:t>and</w:t>
      </w:r>
    </w:p>
    <w:p w:rsidR="00B6675E" w:rsidRPr="00062884" w:rsidRDefault="00B6675E" w:rsidP="00B6675E">
      <w:pPr>
        <w:ind w:firstLine="567"/>
        <w:jc w:val="lowKashida"/>
        <w:rPr>
          <w:snapToGrid w:val="0"/>
        </w:rPr>
      </w:pPr>
      <w:r w:rsidRPr="00062884">
        <w:rPr>
          <w:snapToGrid w:val="0"/>
        </w:rPr>
        <w:t>(iii)</w:t>
      </w:r>
      <w:r w:rsidRPr="00062884">
        <w:rPr>
          <w:snapToGrid w:val="0"/>
        </w:rPr>
        <w:tab/>
        <w:t>any product made directly from the harvested material.</w:t>
      </w:r>
    </w:p>
    <w:p w:rsidR="00B6675E" w:rsidRPr="00062884" w:rsidRDefault="00B6675E" w:rsidP="00B6675E">
      <w:pPr>
        <w:ind w:firstLine="567"/>
        <w:jc w:val="lowKashida"/>
        <w:rPr>
          <w:snapToGrid w:val="0"/>
        </w:rPr>
      </w:pPr>
    </w:p>
    <w:p w:rsidR="00B6675E" w:rsidRPr="00062884" w:rsidRDefault="00B6675E" w:rsidP="00B6675E">
      <w:pPr>
        <w:ind w:firstLine="567"/>
        <w:jc w:val="lowKashida"/>
        <w:rPr>
          <w:lang w:bidi="ar-IQ"/>
        </w:rPr>
      </w:pPr>
      <w:r w:rsidRPr="00062884">
        <w:rPr>
          <w:snapToGrid w:val="0"/>
        </w:rPr>
        <w:t>Where the Statute of a regional organization of which Egypt is a Member so provide</w:t>
      </w:r>
      <w:r w:rsidR="00E07157" w:rsidRPr="00062884">
        <w:rPr>
          <w:snapToGrid w:val="0"/>
        </w:rPr>
        <w:t xml:space="preserve">, </w:t>
      </w:r>
      <w:r w:rsidRPr="00062884">
        <w:rPr>
          <w:snapToGrid w:val="0"/>
        </w:rPr>
        <w:t>acts done in State Members of that regional organization shall be considered to have been done in Egypt.</w:t>
      </w:r>
    </w:p>
    <w:p w:rsidR="00B6675E" w:rsidRPr="00062884" w:rsidRDefault="00B6675E" w:rsidP="00B6675E">
      <w:pPr>
        <w:jc w:val="lowKashida"/>
        <w:rPr>
          <w:lang w:bidi="ar-IQ"/>
        </w:rPr>
      </w:pPr>
    </w:p>
    <w:p w:rsidR="00B6675E" w:rsidRPr="00062884" w:rsidRDefault="00B6675E" w:rsidP="00B6675E">
      <w:pPr>
        <w:keepNext/>
        <w:autoSpaceDE w:val="0"/>
        <w:autoSpaceDN w:val="0"/>
        <w:adjustRightInd w:val="0"/>
        <w:spacing w:line="230" w:lineRule="atLeast"/>
        <w:jc w:val="lowKashida"/>
        <w:rPr>
          <w:b/>
          <w:bCs/>
        </w:rPr>
      </w:pPr>
      <w:r w:rsidRPr="00062884">
        <w:rPr>
          <w:b/>
          <w:bCs/>
        </w:rPr>
        <w:t>Article</w:t>
      </w:r>
      <w:r w:rsidR="007514E1">
        <w:rPr>
          <w:b/>
          <w:bCs/>
        </w:rPr>
        <w:t xml:space="preserve"> </w:t>
      </w:r>
      <w:r w:rsidR="00831885" w:rsidRPr="00062884">
        <w:rPr>
          <w:b/>
          <w:bCs/>
        </w:rPr>
        <w:t>2</w:t>
      </w:r>
      <w:r w:rsidRPr="00062884">
        <w:rPr>
          <w:b/>
          <w:bCs/>
        </w:rPr>
        <w:t xml:space="preserve">01 (Fourth </w:t>
      </w:r>
      <w:r w:rsidRPr="00062884">
        <w:rPr>
          <w:rFonts w:cs="Arial"/>
          <w:b/>
          <w:bCs/>
        </w:rPr>
        <w:t>Paragraph</w:t>
      </w:r>
      <w:r w:rsidRPr="00062884">
        <w:rPr>
          <w:b/>
          <w:bCs/>
        </w:rPr>
        <w:t>)</w:t>
      </w:r>
    </w:p>
    <w:p w:rsidR="00B6675E" w:rsidRPr="00062884" w:rsidRDefault="00B6675E" w:rsidP="00B6675E">
      <w:pPr>
        <w:ind w:firstLine="567"/>
        <w:jc w:val="lowKashida"/>
        <w:rPr>
          <w:snapToGrid w:val="0"/>
        </w:rPr>
      </w:pPr>
      <w:r w:rsidRPr="00062884">
        <w:rPr>
          <w:snapToGrid w:val="0"/>
        </w:rPr>
        <w:t>The Office of Plant Variety Protection shall publish</w:t>
      </w:r>
      <w:r w:rsidR="00E07157" w:rsidRPr="00062884">
        <w:rPr>
          <w:snapToGrid w:val="0"/>
        </w:rPr>
        <w:t xml:space="preserve">, </w:t>
      </w:r>
      <w:r w:rsidRPr="00062884">
        <w:rPr>
          <w:snapToGrid w:val="0"/>
        </w:rPr>
        <w:t>at the expense of the right holder</w:t>
      </w:r>
      <w:r w:rsidR="00E07157" w:rsidRPr="00062884">
        <w:rPr>
          <w:snapToGrid w:val="0"/>
        </w:rPr>
        <w:t xml:space="preserve">, </w:t>
      </w:r>
      <w:r w:rsidRPr="00062884">
        <w:rPr>
          <w:snapToGrid w:val="0"/>
        </w:rPr>
        <w:t>in a monthly gazette issued by the Office</w:t>
      </w:r>
      <w:r w:rsidR="00E07157" w:rsidRPr="00062884">
        <w:rPr>
          <w:snapToGrid w:val="0"/>
        </w:rPr>
        <w:t xml:space="preserve">, </w:t>
      </w:r>
      <w:r w:rsidRPr="00062884">
        <w:rPr>
          <w:snapToGrid w:val="0"/>
        </w:rPr>
        <w:t>applications for certificates and grants of breeders’ rights</w:t>
      </w:r>
      <w:r w:rsidR="00E07157" w:rsidRPr="00062884">
        <w:rPr>
          <w:snapToGrid w:val="0"/>
        </w:rPr>
        <w:t xml:space="preserve">, </w:t>
      </w:r>
      <w:r w:rsidRPr="00062884">
        <w:rPr>
          <w:snapToGrid w:val="0"/>
        </w:rPr>
        <w:t>the proposed denominations for the variety</w:t>
      </w:r>
      <w:r w:rsidR="00E07157" w:rsidRPr="00062884">
        <w:rPr>
          <w:snapToGrid w:val="0"/>
        </w:rPr>
        <w:t xml:space="preserve">, </w:t>
      </w:r>
      <w:r w:rsidRPr="00062884">
        <w:rPr>
          <w:snapToGrid w:val="0"/>
        </w:rPr>
        <w:t>and approved denominations for the variety. Where an application is rejected</w:t>
      </w:r>
      <w:r w:rsidR="00E07157" w:rsidRPr="00062884">
        <w:rPr>
          <w:snapToGrid w:val="0"/>
        </w:rPr>
        <w:t xml:space="preserve">, </w:t>
      </w:r>
      <w:r w:rsidRPr="00062884">
        <w:rPr>
          <w:snapToGrid w:val="0"/>
        </w:rPr>
        <w:t>the Office shall notify the rejection decision and the reasons thereof. Any interested party may</w:t>
      </w:r>
      <w:r w:rsidR="00E07157" w:rsidRPr="00062884">
        <w:rPr>
          <w:snapToGrid w:val="0"/>
        </w:rPr>
        <w:t xml:space="preserve">, </w:t>
      </w:r>
      <w:r w:rsidRPr="00062884">
        <w:rPr>
          <w:snapToGrid w:val="0"/>
        </w:rPr>
        <w:t>within sixty (60) days from the publication date or the date of notification</w:t>
      </w:r>
      <w:r w:rsidR="00E07157" w:rsidRPr="00062884">
        <w:rPr>
          <w:snapToGrid w:val="0"/>
        </w:rPr>
        <w:t xml:space="preserve">, </w:t>
      </w:r>
      <w:r w:rsidRPr="00062884">
        <w:rPr>
          <w:snapToGrid w:val="0"/>
        </w:rPr>
        <w:t>as the case may be</w:t>
      </w:r>
      <w:r w:rsidR="00E07157" w:rsidRPr="00062884">
        <w:rPr>
          <w:snapToGrid w:val="0"/>
        </w:rPr>
        <w:t xml:space="preserve">, </w:t>
      </w:r>
      <w:r w:rsidRPr="00062884">
        <w:rPr>
          <w:snapToGrid w:val="0"/>
        </w:rPr>
        <w:t>oppose the decision to grant a certificate of breeder’s right or to reject an application for the protection.</w:t>
      </w:r>
    </w:p>
    <w:p w:rsidR="00B6675E" w:rsidRPr="00062884" w:rsidRDefault="00B6675E" w:rsidP="00B6675E">
      <w:pPr>
        <w:ind w:firstLine="567"/>
        <w:jc w:val="lowKashida"/>
        <w:rPr>
          <w:snapToGrid w:val="0"/>
        </w:rPr>
      </w:pPr>
    </w:p>
    <w:p w:rsidR="00B6675E" w:rsidRPr="00062884" w:rsidRDefault="00B6675E" w:rsidP="00B6675E">
      <w:pPr>
        <w:jc w:val="lowKashida"/>
        <w:rPr>
          <w:lang w:bidi="ar-IQ"/>
        </w:rPr>
      </w:pPr>
    </w:p>
    <w:p w:rsidR="00B6675E" w:rsidRPr="00062884" w:rsidRDefault="00B6675E" w:rsidP="00B6675E">
      <w:pPr>
        <w:keepNext/>
        <w:autoSpaceDE w:val="0"/>
        <w:autoSpaceDN w:val="0"/>
        <w:adjustRightInd w:val="0"/>
        <w:spacing w:line="230" w:lineRule="atLeast"/>
        <w:jc w:val="lowKashida"/>
        <w:rPr>
          <w:b/>
          <w:bCs/>
        </w:rPr>
      </w:pPr>
      <w:r w:rsidRPr="00062884">
        <w:rPr>
          <w:b/>
          <w:bCs/>
        </w:rPr>
        <w:t>Article</w:t>
      </w:r>
      <w:r w:rsidR="007514E1">
        <w:rPr>
          <w:b/>
          <w:bCs/>
        </w:rPr>
        <w:t xml:space="preserve"> </w:t>
      </w:r>
      <w:r w:rsidR="00831885" w:rsidRPr="00062884">
        <w:rPr>
          <w:b/>
          <w:bCs/>
        </w:rPr>
        <w:t>2</w:t>
      </w:r>
      <w:r w:rsidRPr="00062884">
        <w:rPr>
          <w:b/>
          <w:bCs/>
        </w:rPr>
        <w:t>02</w:t>
      </w:r>
    </w:p>
    <w:p w:rsidR="00B6675E" w:rsidRPr="00062884" w:rsidRDefault="00B6675E" w:rsidP="00B6675E">
      <w:pPr>
        <w:jc w:val="lowKashida"/>
        <w:rPr>
          <w:snapToGrid w:val="0"/>
        </w:rPr>
      </w:pPr>
      <w:r w:rsidRPr="00062884">
        <w:rPr>
          <w:snapToGrid w:val="0"/>
        </w:rPr>
        <w:tab/>
        <w:t>Where any of the following cases is established</w:t>
      </w:r>
      <w:r w:rsidR="00E07157" w:rsidRPr="00062884">
        <w:rPr>
          <w:snapToGrid w:val="0"/>
        </w:rPr>
        <w:t xml:space="preserve">, </w:t>
      </w:r>
      <w:r w:rsidRPr="00062884">
        <w:rPr>
          <w:snapToGrid w:val="0"/>
        </w:rPr>
        <w:t>the Office of Plant Variety Protection shall issue a decision of annulment of the breeder’s right certificate:</w:t>
      </w:r>
    </w:p>
    <w:p w:rsidR="00B6675E" w:rsidRPr="00062884" w:rsidRDefault="00B6675E" w:rsidP="00B6675E">
      <w:pPr>
        <w:jc w:val="lowKashida"/>
        <w:rPr>
          <w:snapToGrid w:val="0"/>
        </w:rPr>
      </w:pPr>
    </w:p>
    <w:p w:rsidR="00B6675E" w:rsidRPr="00062884" w:rsidRDefault="00B6675E" w:rsidP="00B6675E">
      <w:pPr>
        <w:numPr>
          <w:ilvl w:val="0"/>
          <w:numId w:val="1"/>
        </w:numPr>
        <w:contextualSpacing/>
        <w:jc w:val="lowKashida"/>
        <w:rPr>
          <w:snapToGrid w:val="0"/>
        </w:rPr>
      </w:pPr>
      <w:r w:rsidRPr="00062884">
        <w:rPr>
          <w:snapToGrid w:val="0"/>
        </w:rPr>
        <w:t>if</w:t>
      </w:r>
      <w:r w:rsidR="00E07157" w:rsidRPr="00062884">
        <w:rPr>
          <w:snapToGrid w:val="0"/>
        </w:rPr>
        <w:t xml:space="preserve">, </w:t>
      </w:r>
      <w:r w:rsidRPr="00062884">
        <w:rPr>
          <w:snapToGrid w:val="0"/>
        </w:rPr>
        <w:t>at the time of grant of protection</w:t>
      </w:r>
      <w:r w:rsidR="00E07157" w:rsidRPr="00062884">
        <w:rPr>
          <w:snapToGrid w:val="0"/>
        </w:rPr>
        <w:t xml:space="preserve">, </w:t>
      </w:r>
      <w:r w:rsidRPr="00062884">
        <w:rPr>
          <w:snapToGrid w:val="0"/>
        </w:rPr>
        <w:t>the plant variety does not fulfill any of the conditions provided for under items (i) and (ii) of the First Paragraph of Article</w:t>
      </w:r>
      <w:r w:rsidR="007514E1">
        <w:rPr>
          <w:snapToGrid w:val="0"/>
        </w:rPr>
        <w:t xml:space="preserve"> </w:t>
      </w:r>
      <w:r w:rsidR="00831885" w:rsidRPr="00062884">
        <w:rPr>
          <w:snapToGrid w:val="0"/>
        </w:rPr>
        <w:t>1</w:t>
      </w:r>
      <w:r w:rsidRPr="00062884">
        <w:rPr>
          <w:snapToGrid w:val="0"/>
        </w:rPr>
        <w:t>92 of this Law.</w:t>
      </w:r>
    </w:p>
    <w:p w:rsidR="00B6675E" w:rsidRPr="00062884" w:rsidRDefault="00B6675E" w:rsidP="00B6675E">
      <w:pPr>
        <w:numPr>
          <w:ilvl w:val="0"/>
          <w:numId w:val="1"/>
        </w:numPr>
        <w:contextualSpacing/>
        <w:jc w:val="lowKashida"/>
        <w:rPr>
          <w:snapToGrid w:val="0"/>
        </w:rPr>
      </w:pPr>
      <w:r w:rsidRPr="00062884">
        <w:rPr>
          <w:snapToGrid w:val="0"/>
        </w:rPr>
        <w:t>if</w:t>
      </w:r>
      <w:r w:rsidR="00E07157" w:rsidRPr="00062884">
        <w:rPr>
          <w:snapToGrid w:val="0"/>
        </w:rPr>
        <w:t xml:space="preserve">, </w:t>
      </w:r>
      <w:r w:rsidRPr="00062884">
        <w:rPr>
          <w:snapToGrid w:val="0"/>
        </w:rPr>
        <w:t>at the time of grant of protection</w:t>
      </w:r>
      <w:r w:rsidR="00E07157" w:rsidRPr="00062884">
        <w:rPr>
          <w:snapToGrid w:val="0"/>
        </w:rPr>
        <w:t xml:space="preserve">, </w:t>
      </w:r>
      <w:r w:rsidRPr="00062884">
        <w:rPr>
          <w:snapToGrid w:val="0"/>
        </w:rPr>
        <w:t>conditions provided for under either item (iii) or (iv) of the same Paragraph of the same Article referred to in the foregoing Article are not fulfilled</w:t>
      </w:r>
      <w:r w:rsidR="00E07157" w:rsidRPr="00062884">
        <w:rPr>
          <w:snapToGrid w:val="0"/>
        </w:rPr>
        <w:t xml:space="preserve">, </w:t>
      </w:r>
      <w:r w:rsidRPr="00062884">
        <w:rPr>
          <w:snapToGrid w:val="0"/>
        </w:rPr>
        <w:t>where such protection had been granted based essentially on information and documents furnished by the breeder.</w:t>
      </w:r>
    </w:p>
    <w:p w:rsidR="00B6675E" w:rsidRPr="00062884" w:rsidRDefault="00B6675E" w:rsidP="00B6675E">
      <w:pPr>
        <w:numPr>
          <w:ilvl w:val="0"/>
          <w:numId w:val="1"/>
        </w:numPr>
        <w:contextualSpacing/>
        <w:jc w:val="lowKashida"/>
        <w:rPr>
          <w:snapToGrid w:val="0"/>
        </w:rPr>
      </w:pPr>
      <w:r w:rsidRPr="00062884">
        <w:rPr>
          <w:snapToGrid w:val="0"/>
        </w:rPr>
        <w:t>if the certificate has been granted to a person who is not entitled to it</w:t>
      </w:r>
      <w:r w:rsidR="00E07157" w:rsidRPr="00062884">
        <w:rPr>
          <w:snapToGrid w:val="0"/>
        </w:rPr>
        <w:t xml:space="preserve">, </w:t>
      </w:r>
      <w:r w:rsidRPr="00062884">
        <w:rPr>
          <w:snapToGrid w:val="0"/>
        </w:rPr>
        <w:t>unless the right is transferred to the person who is so entitled.</w:t>
      </w:r>
    </w:p>
    <w:p w:rsidR="00B6675E" w:rsidRPr="00062884" w:rsidRDefault="00B6675E" w:rsidP="00B6675E">
      <w:pPr>
        <w:jc w:val="lowKashida"/>
        <w:rPr>
          <w:snapToGrid w:val="0"/>
        </w:rPr>
      </w:pPr>
    </w:p>
    <w:p w:rsidR="00B6675E" w:rsidRPr="00062884" w:rsidRDefault="00B6675E" w:rsidP="00B6675E">
      <w:pPr>
        <w:ind w:left="1276"/>
        <w:jc w:val="lowKashida"/>
        <w:rPr>
          <w:snapToGrid w:val="0"/>
        </w:rPr>
      </w:pPr>
      <w:r w:rsidRPr="00062884">
        <w:rPr>
          <w:snapToGrid w:val="0"/>
        </w:rPr>
        <w:t>The Office shall notify the annulment decision to the party concerned in a registered letter with acknowledgement of receipt</w:t>
      </w:r>
      <w:r w:rsidR="00E07157" w:rsidRPr="00062884">
        <w:rPr>
          <w:snapToGrid w:val="0"/>
        </w:rPr>
        <w:t xml:space="preserve">, </w:t>
      </w:r>
      <w:r w:rsidRPr="00062884">
        <w:rPr>
          <w:snapToGrid w:val="0"/>
        </w:rPr>
        <w:t>and may be appealed within sixty (60) days from the date of notification.</w:t>
      </w:r>
    </w:p>
    <w:p w:rsidR="00B6675E" w:rsidRPr="00062884" w:rsidRDefault="00B6675E" w:rsidP="00B6675E">
      <w:pPr>
        <w:jc w:val="lowKashida"/>
        <w:rPr>
          <w:snapToGrid w:val="0"/>
        </w:rPr>
      </w:pPr>
    </w:p>
    <w:p w:rsidR="00B6675E" w:rsidRPr="00062884" w:rsidRDefault="00B6675E" w:rsidP="00B6675E">
      <w:pPr>
        <w:jc w:val="lowKashida"/>
        <w:rPr>
          <w:lang w:bidi="ar-IQ"/>
        </w:rPr>
      </w:pPr>
    </w:p>
    <w:p w:rsidR="00B6675E" w:rsidRPr="00062884" w:rsidRDefault="00B6675E" w:rsidP="00082581">
      <w:pPr>
        <w:keepNext/>
        <w:autoSpaceDE w:val="0"/>
        <w:autoSpaceDN w:val="0"/>
        <w:adjustRightInd w:val="0"/>
        <w:spacing w:line="230" w:lineRule="atLeast"/>
        <w:jc w:val="lowKashida"/>
        <w:rPr>
          <w:b/>
          <w:bCs/>
          <w:rtl/>
        </w:rPr>
      </w:pPr>
      <w:r w:rsidRPr="00062884">
        <w:rPr>
          <w:b/>
          <w:bCs/>
        </w:rPr>
        <w:lastRenderedPageBreak/>
        <w:t>Article</w:t>
      </w:r>
      <w:r w:rsidR="007514E1">
        <w:rPr>
          <w:b/>
          <w:bCs/>
        </w:rPr>
        <w:t xml:space="preserve"> </w:t>
      </w:r>
      <w:r w:rsidR="00831885" w:rsidRPr="00062884">
        <w:rPr>
          <w:b/>
          <w:bCs/>
        </w:rPr>
        <w:t>2</w:t>
      </w:r>
      <w:r w:rsidRPr="00062884">
        <w:rPr>
          <w:b/>
          <w:bCs/>
        </w:rPr>
        <w:t>02</w:t>
      </w:r>
      <w:r w:rsidRPr="00062884">
        <w:rPr>
          <w:b/>
          <w:bCs/>
          <w:i/>
          <w:iCs/>
        </w:rPr>
        <w:t>Bis</w:t>
      </w:r>
      <w:r w:rsidRPr="00062884">
        <w:rPr>
          <w:b/>
          <w:bCs/>
        </w:rPr>
        <w:t>(1)</w:t>
      </w:r>
    </w:p>
    <w:p w:rsidR="00B6675E" w:rsidRPr="00062884" w:rsidRDefault="00B6675E" w:rsidP="00B6675E">
      <w:pPr>
        <w:jc w:val="lowKashida"/>
      </w:pPr>
      <w:r w:rsidRPr="00062884">
        <w:t>The provisions of Book Four of the Intellectual Property Rights Law</w:t>
      </w:r>
      <w:r w:rsidR="00E07157" w:rsidRPr="00062884">
        <w:t xml:space="preserve">, </w:t>
      </w:r>
      <w:r w:rsidRPr="00062884">
        <w:t>as referred to</w:t>
      </w:r>
      <w:r w:rsidR="00E07157" w:rsidRPr="00062884">
        <w:t xml:space="preserve">, </w:t>
      </w:r>
      <w:r w:rsidRPr="00062884">
        <w:t>shall apply to plant genera and species specified by the Minister of Agriculture</w:t>
      </w:r>
      <w:r w:rsidR="00E07157" w:rsidRPr="00062884">
        <w:t xml:space="preserve">, </w:t>
      </w:r>
      <w:r w:rsidRPr="00062884">
        <w:t xml:space="preserve">and shall apply to </w:t>
      </w:r>
      <w:r w:rsidR="00B94407" w:rsidRPr="00062884">
        <w:t xml:space="preserve">all </w:t>
      </w:r>
      <w:r w:rsidRPr="00062884">
        <w:t>genera and species at the expiration of a period of ten (10) years from the date of implementation of this Law.</w:t>
      </w:r>
    </w:p>
    <w:p w:rsidR="00B6675E" w:rsidRPr="00062884" w:rsidRDefault="00B6675E" w:rsidP="00B6675E">
      <w:pPr>
        <w:jc w:val="lowKashida"/>
      </w:pPr>
    </w:p>
    <w:p w:rsidR="00B6675E" w:rsidRPr="00062884" w:rsidRDefault="00B6675E" w:rsidP="00B6675E">
      <w:pPr>
        <w:jc w:val="lowKashida"/>
      </w:pPr>
    </w:p>
    <w:p w:rsidR="00B6675E" w:rsidRPr="00062884" w:rsidRDefault="00B6675E" w:rsidP="00B6675E">
      <w:pPr>
        <w:tabs>
          <w:tab w:val="left" w:pos="7950"/>
          <w:tab w:val="right" w:pos="9639"/>
        </w:tabs>
        <w:jc w:val="center"/>
        <w:rPr>
          <w:b/>
          <w:bCs/>
        </w:rPr>
      </w:pPr>
      <w:r w:rsidRPr="00062884">
        <w:rPr>
          <w:b/>
          <w:bCs/>
        </w:rPr>
        <w:t>ARTICLE II</w:t>
      </w:r>
    </w:p>
    <w:p w:rsidR="00B6675E" w:rsidRPr="00062884" w:rsidRDefault="00B6675E" w:rsidP="00B6675E">
      <w:pPr>
        <w:tabs>
          <w:tab w:val="left" w:pos="7950"/>
          <w:tab w:val="right" w:pos="9639"/>
        </w:tabs>
        <w:jc w:val="left"/>
      </w:pPr>
    </w:p>
    <w:p w:rsidR="00B6675E" w:rsidRPr="00062884" w:rsidRDefault="00B6675E" w:rsidP="00B6675E">
      <w:pPr>
        <w:tabs>
          <w:tab w:val="left" w:pos="7950"/>
          <w:tab w:val="right" w:pos="9639"/>
        </w:tabs>
        <w:jc w:val="left"/>
      </w:pPr>
      <w:r w:rsidRPr="00062884">
        <w:t>This Law shall be published in the Official Gazette</w:t>
      </w:r>
      <w:r w:rsidR="00E07157" w:rsidRPr="00062884">
        <w:t xml:space="preserve">, </w:t>
      </w:r>
      <w:r w:rsidRPr="00062884">
        <w:t>and shall enter into force on the day following the date of its publication. It shall repeal any other provision which is contrary to its provisions.</w:t>
      </w:r>
    </w:p>
    <w:p w:rsidR="00B823AB" w:rsidRPr="00062884" w:rsidRDefault="00B823AB" w:rsidP="00DC5EB0">
      <w:pPr>
        <w:jc w:val="right"/>
      </w:pPr>
    </w:p>
    <w:p w:rsidR="00B823AB" w:rsidRPr="00062884" w:rsidRDefault="00B823AB" w:rsidP="00DC5EB0">
      <w:pPr>
        <w:jc w:val="right"/>
      </w:pPr>
    </w:p>
    <w:p w:rsidR="00B823AB" w:rsidRPr="00062884" w:rsidRDefault="00B823AB" w:rsidP="00DC5EB0">
      <w:pPr>
        <w:jc w:val="right"/>
      </w:pPr>
    </w:p>
    <w:p w:rsidR="00B823AB" w:rsidRPr="00062884" w:rsidRDefault="00B823AB" w:rsidP="00B823AB">
      <w:pPr>
        <w:jc w:val="right"/>
        <w:rPr>
          <w:lang w:val="es-ES_tradnl"/>
        </w:rPr>
      </w:pPr>
      <w:r w:rsidRPr="00062884">
        <w:rPr>
          <w:lang w:val="es-ES_tradnl"/>
        </w:rPr>
        <w:t>[</w:t>
      </w:r>
      <w:r w:rsidR="003D54AD" w:rsidRPr="00062884">
        <w:rPr>
          <w:lang w:val="es-ES_tradnl"/>
        </w:rPr>
        <w:t>Sigue el Anexo III</w:t>
      </w:r>
      <w:r w:rsidRPr="00062884">
        <w:rPr>
          <w:lang w:val="es-ES_tradnl"/>
        </w:rPr>
        <w:t>]</w:t>
      </w:r>
    </w:p>
    <w:p w:rsidR="00B823AB" w:rsidRDefault="00B823AB" w:rsidP="00DC5EB0">
      <w:pPr>
        <w:jc w:val="right"/>
      </w:pPr>
    </w:p>
    <w:p w:rsidR="00B823AB" w:rsidRDefault="00B823AB" w:rsidP="00B823AB">
      <w:pPr>
        <w:jc w:val="left"/>
      </w:pPr>
    </w:p>
    <w:p w:rsidR="00B823AB" w:rsidRDefault="00B823AB" w:rsidP="00B823AB">
      <w:pPr>
        <w:jc w:val="left"/>
        <w:sectPr w:rsidR="00B823AB" w:rsidSect="009B76EC">
          <w:headerReference w:type="default" r:id="rId15"/>
          <w:headerReference w:type="first" r:id="rId16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9B76EC" w:rsidRPr="009B76EC" w:rsidRDefault="00C022B3" w:rsidP="009B76EC">
      <w:pPr>
        <w:jc w:val="left"/>
        <w:rPr>
          <w:rFonts w:cs="Arial"/>
        </w:rPr>
      </w:pPr>
      <w:r w:rsidRPr="00C022B3">
        <w:rPr>
          <w:rFonts w:cs="Arial"/>
          <w:lang w:val="es-ES_tradnl"/>
        </w:rPr>
        <w:lastRenderedPageBreak/>
        <w:t>[Traducción]</w:t>
      </w:r>
    </w:p>
    <w:p w:rsidR="009B76EC" w:rsidRPr="009B76EC" w:rsidRDefault="00C022B3" w:rsidP="009B76EC">
      <w:pPr>
        <w:jc w:val="left"/>
        <w:rPr>
          <w:rFonts w:cs="Arial"/>
        </w:rPr>
      </w:pPr>
      <w:r w:rsidRPr="00570BD1">
        <w:rPr>
          <w:rFonts w:cs="Arial"/>
          <w:lang w:val="es-ES_tradnl"/>
        </w:rPr>
        <w:t>[Original:</w:t>
      </w:r>
      <w:r w:rsidR="009B76EC" w:rsidRPr="009B76EC">
        <w:rPr>
          <w:rFonts w:cs="Arial"/>
        </w:rPr>
        <w:t xml:space="preserve"> </w:t>
      </w:r>
      <w:r w:rsidRPr="00570BD1">
        <w:rPr>
          <w:rFonts w:cs="Arial"/>
          <w:lang w:val="es-ES_tradnl"/>
        </w:rPr>
        <w:t>árabe]</w:t>
      </w:r>
    </w:p>
    <w:p w:rsidR="009B76EC" w:rsidRPr="009B76EC" w:rsidRDefault="009B76EC" w:rsidP="009B76EC">
      <w:pPr>
        <w:jc w:val="left"/>
        <w:rPr>
          <w:rFonts w:cs="Arial"/>
          <w:b/>
          <w:bCs/>
          <w:caps/>
          <w:szCs w:val="22"/>
        </w:rPr>
      </w:pPr>
    </w:p>
    <w:p w:rsidR="009B76EC" w:rsidRPr="009B76EC" w:rsidRDefault="009B76EC" w:rsidP="009B76EC">
      <w:pPr>
        <w:jc w:val="left"/>
        <w:rPr>
          <w:rFonts w:cs="Arial"/>
          <w:b/>
          <w:bCs/>
          <w:caps/>
          <w:szCs w:val="22"/>
        </w:rPr>
      </w:pPr>
    </w:p>
    <w:p w:rsidR="009B76EC" w:rsidRPr="009B76EC" w:rsidRDefault="009B76EC" w:rsidP="009B76EC">
      <w:pPr>
        <w:jc w:val="left"/>
        <w:rPr>
          <w:rFonts w:cs="Arial"/>
          <w:b/>
          <w:bCs/>
          <w:caps/>
          <w:szCs w:val="22"/>
        </w:rPr>
      </w:pPr>
    </w:p>
    <w:p w:rsidR="009B76EC" w:rsidRPr="00062884" w:rsidRDefault="009B76EC" w:rsidP="009B76EC">
      <w:pPr>
        <w:jc w:val="left"/>
        <w:rPr>
          <w:rFonts w:cs="Arial"/>
          <w:b/>
          <w:bCs/>
          <w:caps/>
          <w:szCs w:val="22"/>
          <w:lang w:bidi="ar-EG"/>
        </w:rPr>
      </w:pPr>
      <w:r w:rsidRPr="00062884">
        <w:rPr>
          <w:rFonts w:cs="Arial"/>
          <w:b/>
          <w:bCs/>
          <w:caps/>
          <w:szCs w:val="22"/>
        </w:rPr>
        <w:t>arab republic of egypt</w:t>
      </w:r>
    </w:p>
    <w:p w:rsidR="009B76EC" w:rsidRPr="00062884" w:rsidRDefault="009B76EC" w:rsidP="009B76EC">
      <w:pPr>
        <w:jc w:val="left"/>
        <w:rPr>
          <w:rFonts w:cs="Arial"/>
          <w:b/>
          <w:bCs/>
          <w:caps/>
          <w:szCs w:val="22"/>
        </w:rPr>
      </w:pPr>
      <w:r w:rsidRPr="00062884">
        <w:rPr>
          <w:rFonts w:cs="Arial"/>
          <w:b/>
          <w:bCs/>
          <w:caps/>
          <w:szCs w:val="22"/>
        </w:rPr>
        <w:t>official gazette</w:t>
      </w:r>
    </w:p>
    <w:p w:rsidR="009B76EC" w:rsidRPr="00062884" w:rsidRDefault="009B76EC" w:rsidP="009B76EC">
      <w:pPr>
        <w:jc w:val="left"/>
        <w:rPr>
          <w:rFonts w:cs="Arial"/>
          <w:b/>
          <w:bCs/>
          <w:caps/>
          <w:szCs w:val="22"/>
        </w:rPr>
      </w:pPr>
    </w:p>
    <w:p w:rsidR="009B76EC" w:rsidRPr="00062884" w:rsidRDefault="009B76EC" w:rsidP="009B76EC">
      <w:pPr>
        <w:jc w:val="left"/>
        <w:rPr>
          <w:rFonts w:cs="Arial"/>
          <w:b/>
          <w:bCs/>
          <w:caps/>
          <w:szCs w:val="22"/>
        </w:rPr>
      </w:pPr>
      <w:r w:rsidRPr="00062884">
        <w:rPr>
          <w:rFonts w:cs="Arial"/>
          <w:b/>
          <w:bCs/>
          <w:caps/>
          <w:szCs w:val="22"/>
        </w:rPr>
        <w:t>issue no.</w:t>
      </w:r>
      <w:r w:rsidR="007514E1">
        <w:rPr>
          <w:rFonts w:cs="Arial"/>
          <w:b/>
          <w:bCs/>
          <w:caps/>
          <w:szCs w:val="22"/>
        </w:rPr>
        <w:t xml:space="preserve"> </w:t>
      </w:r>
      <w:r w:rsidR="00831885" w:rsidRPr="00062884">
        <w:rPr>
          <w:rFonts w:cs="Arial"/>
          <w:b/>
          <w:bCs/>
          <w:caps/>
          <w:szCs w:val="22"/>
        </w:rPr>
        <w:t>3</w:t>
      </w:r>
      <w:r w:rsidRPr="00062884">
        <w:rPr>
          <w:rFonts w:cs="Arial"/>
          <w:b/>
          <w:bCs/>
          <w:caps/>
          <w:szCs w:val="22"/>
        </w:rPr>
        <w:t>8</w:t>
      </w:r>
      <w:r w:rsidRPr="00062884">
        <w:rPr>
          <w:rFonts w:cs="Arial"/>
          <w:b/>
          <w:bCs/>
          <w:i/>
          <w:iCs/>
          <w:caps/>
          <w:szCs w:val="22"/>
        </w:rPr>
        <w:t>BIS</w:t>
      </w:r>
    </w:p>
    <w:p w:rsidR="009B76EC" w:rsidRPr="00062884" w:rsidRDefault="009B76EC" w:rsidP="009B76EC">
      <w:pPr>
        <w:jc w:val="left"/>
        <w:rPr>
          <w:rFonts w:cs="Arial"/>
          <w:caps/>
        </w:rPr>
      </w:pPr>
      <w:r w:rsidRPr="00062884">
        <w:rPr>
          <w:rFonts w:cs="Arial"/>
        </w:rPr>
        <w:t>Dated September</w:t>
      </w:r>
      <w:r w:rsidR="007514E1">
        <w:rPr>
          <w:rFonts w:cs="Arial"/>
          <w:caps/>
        </w:rPr>
        <w:t xml:space="preserve"> </w:t>
      </w:r>
      <w:r w:rsidR="00831885" w:rsidRPr="00062884">
        <w:rPr>
          <w:rFonts w:cs="Arial"/>
          <w:caps/>
        </w:rPr>
        <w:t>2</w:t>
      </w:r>
      <w:r w:rsidRPr="00062884">
        <w:rPr>
          <w:rFonts w:cs="Arial"/>
          <w:caps/>
        </w:rPr>
        <w:t>3</w:t>
      </w:r>
      <w:r w:rsidR="00E07157" w:rsidRPr="00062884">
        <w:rPr>
          <w:rFonts w:cs="Arial"/>
          <w:caps/>
        </w:rPr>
        <w:t>, 2</w:t>
      </w:r>
      <w:r w:rsidRPr="00062884">
        <w:rPr>
          <w:rFonts w:cs="Arial"/>
          <w:caps/>
        </w:rPr>
        <w:t>019</w:t>
      </w:r>
    </w:p>
    <w:p w:rsidR="009B76EC" w:rsidRPr="00062884" w:rsidRDefault="009B76EC" w:rsidP="009B76EC">
      <w:pPr>
        <w:jc w:val="left"/>
        <w:rPr>
          <w:rFonts w:cs="Arial"/>
          <w:b/>
          <w:bCs/>
          <w:caps/>
        </w:rPr>
      </w:pPr>
    </w:p>
    <w:p w:rsidR="009B76EC" w:rsidRPr="00062884" w:rsidRDefault="009B76EC" w:rsidP="009B76EC">
      <w:pPr>
        <w:jc w:val="left"/>
        <w:rPr>
          <w:rFonts w:cs="Arial"/>
          <w:b/>
          <w:bCs/>
          <w:caps/>
        </w:rPr>
      </w:pPr>
    </w:p>
    <w:p w:rsidR="009B76EC" w:rsidRPr="00062884" w:rsidRDefault="009B76EC" w:rsidP="009B76EC">
      <w:pPr>
        <w:jc w:val="left"/>
        <w:rPr>
          <w:rFonts w:cs="Arial"/>
          <w:b/>
          <w:bCs/>
          <w:caps/>
        </w:rPr>
      </w:pPr>
    </w:p>
    <w:p w:rsidR="009B76EC" w:rsidRPr="00062884" w:rsidRDefault="009B76EC" w:rsidP="009B76EC">
      <w:pPr>
        <w:jc w:val="left"/>
        <w:rPr>
          <w:rFonts w:cs="Arial"/>
          <w:i/>
          <w:iCs/>
          <w:caps/>
        </w:rPr>
      </w:pPr>
      <w:r w:rsidRPr="00062884">
        <w:rPr>
          <w:rFonts w:cs="Arial"/>
          <w:i/>
          <w:iCs/>
          <w:caps/>
        </w:rPr>
        <w:t>[EXTRACT]</w:t>
      </w:r>
    </w:p>
    <w:p w:rsidR="009B76EC" w:rsidRPr="00062884" w:rsidRDefault="009B76EC" w:rsidP="009B76EC">
      <w:pPr>
        <w:jc w:val="left"/>
        <w:rPr>
          <w:rFonts w:cs="Arial"/>
          <w:b/>
          <w:bCs/>
          <w:caps/>
        </w:rPr>
      </w:pPr>
    </w:p>
    <w:p w:rsidR="009B76EC" w:rsidRPr="00062884" w:rsidRDefault="009B76EC" w:rsidP="009B76EC">
      <w:pPr>
        <w:jc w:val="left"/>
        <w:rPr>
          <w:rFonts w:cs="Arial"/>
          <w:b/>
          <w:bCs/>
          <w:caps/>
        </w:rPr>
      </w:pPr>
    </w:p>
    <w:p w:rsidR="009B76EC" w:rsidRPr="00062884" w:rsidRDefault="009B76EC" w:rsidP="009B76EC">
      <w:pPr>
        <w:jc w:val="left"/>
        <w:rPr>
          <w:rFonts w:cs="Arial"/>
          <w:b/>
          <w:bCs/>
          <w:caps/>
        </w:rPr>
      </w:pPr>
    </w:p>
    <w:p w:rsidR="009B76EC" w:rsidRPr="00062884" w:rsidRDefault="009B76EC" w:rsidP="009B76EC">
      <w:pPr>
        <w:spacing w:after="200"/>
        <w:jc w:val="left"/>
        <w:rPr>
          <w:rFonts w:cs="Arial"/>
          <w:b/>
          <w:bCs/>
          <w:szCs w:val="22"/>
          <w:lang w:bidi="ar-EG"/>
        </w:rPr>
      </w:pPr>
      <w:r w:rsidRPr="00062884">
        <w:rPr>
          <w:rFonts w:cs="Arial"/>
          <w:b/>
          <w:bCs/>
          <w:szCs w:val="22"/>
          <w:lang w:bidi="ar-EG"/>
        </w:rPr>
        <w:t>The Presidency of the Council of Ministers</w:t>
      </w:r>
      <w:r w:rsidR="00E07157" w:rsidRPr="00062884">
        <w:rPr>
          <w:rFonts w:cs="Arial"/>
          <w:b/>
          <w:bCs/>
          <w:szCs w:val="22"/>
          <w:lang w:bidi="ar-EG"/>
        </w:rPr>
        <w:t xml:space="preserve">, </w:t>
      </w:r>
      <w:r w:rsidRPr="00062884">
        <w:rPr>
          <w:rFonts w:cs="Arial"/>
          <w:b/>
          <w:bCs/>
          <w:szCs w:val="22"/>
          <w:lang w:bidi="ar-EG"/>
        </w:rPr>
        <w:t>Advisory Board of the Council of Ministers</w:t>
      </w:r>
    </w:p>
    <w:p w:rsidR="009B76EC" w:rsidRPr="00062884" w:rsidRDefault="009B76EC" w:rsidP="009B76EC">
      <w:pPr>
        <w:spacing w:after="200"/>
        <w:jc w:val="left"/>
        <w:rPr>
          <w:rFonts w:cs="Arial"/>
          <w:b/>
          <w:bCs/>
          <w:szCs w:val="22"/>
          <w:lang w:bidi="ar-EG"/>
        </w:rPr>
      </w:pPr>
    </w:p>
    <w:p w:rsidR="009B76EC" w:rsidRPr="00062884" w:rsidRDefault="009B76EC" w:rsidP="009B76EC">
      <w:pPr>
        <w:spacing w:after="200"/>
        <w:jc w:val="center"/>
        <w:rPr>
          <w:rFonts w:cs="Arial"/>
          <w:b/>
          <w:bCs/>
          <w:szCs w:val="22"/>
          <w:lang w:bidi="ar-EG"/>
        </w:rPr>
      </w:pPr>
      <w:r w:rsidRPr="00062884">
        <w:rPr>
          <w:rFonts w:cs="Arial"/>
          <w:b/>
          <w:bCs/>
          <w:szCs w:val="22"/>
          <w:lang w:bidi="ar-EG"/>
        </w:rPr>
        <w:t>CORRIGENDUM</w:t>
      </w:r>
    </w:p>
    <w:p w:rsidR="009B76EC" w:rsidRPr="00062884" w:rsidRDefault="009B76EC" w:rsidP="009B76EC">
      <w:pPr>
        <w:spacing w:after="200"/>
        <w:jc w:val="center"/>
        <w:rPr>
          <w:rFonts w:cs="Arial"/>
          <w:szCs w:val="22"/>
          <w:rtl/>
          <w:lang w:bidi="ar-EG"/>
        </w:rPr>
      </w:pPr>
    </w:p>
    <w:p w:rsidR="009B76EC" w:rsidRPr="00062884" w:rsidRDefault="009B76EC" w:rsidP="009B76EC">
      <w:pPr>
        <w:spacing w:after="200"/>
        <w:ind w:firstLine="567"/>
        <w:jc w:val="left"/>
        <w:rPr>
          <w:rFonts w:cs="Arial"/>
          <w:szCs w:val="22"/>
          <w:lang w:bidi="ar-EG"/>
        </w:rPr>
      </w:pPr>
      <w:r w:rsidRPr="00062884">
        <w:rPr>
          <w:rFonts w:cs="Arial"/>
          <w:szCs w:val="22"/>
          <w:lang w:bidi="ar-EG"/>
        </w:rPr>
        <w:t>This is to notify that there was a material error in the Official Gazette No.</w:t>
      </w:r>
      <w:r w:rsidR="007514E1">
        <w:rPr>
          <w:rFonts w:cs="Arial"/>
          <w:szCs w:val="22"/>
          <w:lang w:bidi="ar-EG"/>
        </w:rPr>
        <w:t xml:space="preserve"> </w:t>
      </w:r>
      <w:r w:rsidR="00831885" w:rsidRPr="00062884">
        <w:rPr>
          <w:rFonts w:cs="Arial"/>
          <w:szCs w:val="22"/>
          <w:lang w:bidi="ar-EG"/>
        </w:rPr>
        <w:t>3</w:t>
      </w:r>
      <w:r w:rsidRPr="00062884">
        <w:rPr>
          <w:rFonts w:cs="Arial"/>
          <w:szCs w:val="22"/>
          <w:lang w:bidi="ar-EG"/>
        </w:rPr>
        <w:t>1</w:t>
      </w:r>
      <w:r w:rsidRPr="00062884">
        <w:rPr>
          <w:rFonts w:cs="Arial"/>
          <w:i/>
          <w:iCs/>
          <w:szCs w:val="22"/>
          <w:lang w:bidi="ar-EG"/>
        </w:rPr>
        <w:t>Bis</w:t>
      </w:r>
      <w:r w:rsidRPr="00062884">
        <w:rPr>
          <w:rFonts w:cs="Arial"/>
          <w:szCs w:val="22"/>
          <w:lang w:bidi="ar-EG"/>
        </w:rPr>
        <w:t>(D)</w:t>
      </w:r>
      <w:r w:rsidR="00E07157" w:rsidRPr="00062884">
        <w:rPr>
          <w:rFonts w:cs="Arial"/>
          <w:szCs w:val="22"/>
          <w:lang w:bidi="ar-EG"/>
        </w:rPr>
        <w:t xml:space="preserve">, </w:t>
      </w:r>
      <w:r w:rsidRPr="00062884">
        <w:rPr>
          <w:rFonts w:cs="Arial"/>
          <w:szCs w:val="22"/>
          <w:lang w:bidi="ar-EG"/>
        </w:rPr>
        <w:t>dated August</w:t>
      </w:r>
      <w:r w:rsidR="007514E1">
        <w:rPr>
          <w:rFonts w:cs="Arial"/>
          <w:szCs w:val="22"/>
          <w:lang w:bidi="ar-EG"/>
        </w:rPr>
        <w:t xml:space="preserve"> </w:t>
      </w:r>
      <w:r w:rsidR="00831885" w:rsidRPr="00062884">
        <w:rPr>
          <w:rFonts w:cs="Arial"/>
          <w:szCs w:val="22"/>
          <w:lang w:bidi="ar-EG"/>
        </w:rPr>
        <w:t>6</w:t>
      </w:r>
      <w:r w:rsidR="00E07157" w:rsidRPr="00062884">
        <w:rPr>
          <w:rFonts w:cs="Arial"/>
          <w:szCs w:val="22"/>
          <w:lang w:bidi="ar-EG"/>
        </w:rPr>
        <w:t>, 2</w:t>
      </w:r>
      <w:r w:rsidRPr="00062884">
        <w:rPr>
          <w:rFonts w:cs="Arial"/>
          <w:szCs w:val="22"/>
          <w:lang w:bidi="ar-EG"/>
        </w:rPr>
        <w:t>019</w:t>
      </w:r>
      <w:r w:rsidR="00E07157" w:rsidRPr="00062884">
        <w:rPr>
          <w:rFonts w:cs="Arial"/>
          <w:szCs w:val="22"/>
          <w:lang w:bidi="ar-EG"/>
        </w:rPr>
        <w:t xml:space="preserve">, </w:t>
      </w:r>
      <w:r w:rsidRPr="00062884">
        <w:rPr>
          <w:rFonts w:cs="Arial"/>
          <w:szCs w:val="22"/>
          <w:lang w:bidi="ar-EG"/>
        </w:rPr>
        <w:t>containing the publication of Law No.</w:t>
      </w:r>
      <w:r w:rsidR="007514E1">
        <w:rPr>
          <w:rFonts w:cs="Arial"/>
          <w:szCs w:val="22"/>
          <w:lang w:bidi="ar-EG"/>
        </w:rPr>
        <w:t xml:space="preserve"> </w:t>
      </w:r>
      <w:r w:rsidR="00831885" w:rsidRPr="00062884">
        <w:rPr>
          <w:rFonts w:cs="Arial"/>
          <w:szCs w:val="22"/>
          <w:lang w:bidi="ar-EG"/>
        </w:rPr>
        <w:t>1</w:t>
      </w:r>
      <w:r w:rsidRPr="00062884">
        <w:rPr>
          <w:rFonts w:cs="Arial"/>
          <w:szCs w:val="22"/>
          <w:lang w:bidi="ar-EG"/>
        </w:rPr>
        <w:t>44 of</w:t>
      </w:r>
      <w:r w:rsidR="007514E1">
        <w:rPr>
          <w:rFonts w:cs="Arial"/>
          <w:szCs w:val="22"/>
          <w:lang w:bidi="ar-EG"/>
        </w:rPr>
        <w:t xml:space="preserve"> </w:t>
      </w:r>
      <w:r w:rsidR="00831885" w:rsidRPr="00062884">
        <w:rPr>
          <w:rFonts w:cs="Arial"/>
          <w:szCs w:val="22"/>
          <w:lang w:bidi="ar-EG"/>
        </w:rPr>
        <w:t>2</w:t>
      </w:r>
      <w:r w:rsidRPr="00062884">
        <w:rPr>
          <w:rFonts w:cs="Arial"/>
          <w:szCs w:val="22"/>
          <w:lang w:bidi="ar-EG"/>
        </w:rPr>
        <w:t>019 Amending certain provisions of the Law on Intellectual Property Right Protection No.</w:t>
      </w:r>
      <w:r w:rsidR="007514E1">
        <w:rPr>
          <w:rFonts w:cs="Arial"/>
          <w:szCs w:val="22"/>
          <w:lang w:bidi="ar-EG"/>
        </w:rPr>
        <w:t xml:space="preserve"> </w:t>
      </w:r>
      <w:r w:rsidR="00831885" w:rsidRPr="00062884">
        <w:rPr>
          <w:rFonts w:cs="Arial"/>
          <w:szCs w:val="22"/>
          <w:lang w:bidi="ar-EG"/>
        </w:rPr>
        <w:t>8</w:t>
      </w:r>
      <w:r w:rsidRPr="00062884">
        <w:rPr>
          <w:rFonts w:cs="Arial"/>
          <w:szCs w:val="22"/>
          <w:lang w:bidi="ar-EG"/>
        </w:rPr>
        <w:t>2 of</w:t>
      </w:r>
      <w:r w:rsidR="007514E1">
        <w:rPr>
          <w:rFonts w:cs="Arial"/>
          <w:szCs w:val="22"/>
          <w:lang w:bidi="ar-EG"/>
        </w:rPr>
        <w:t xml:space="preserve"> </w:t>
      </w:r>
      <w:r w:rsidR="00831885" w:rsidRPr="00062884">
        <w:rPr>
          <w:rFonts w:cs="Arial"/>
          <w:szCs w:val="22"/>
          <w:lang w:bidi="ar-EG"/>
        </w:rPr>
        <w:t>2</w:t>
      </w:r>
      <w:r w:rsidRPr="00062884">
        <w:rPr>
          <w:rFonts w:cs="Arial"/>
          <w:szCs w:val="22"/>
          <w:lang w:bidi="ar-EG"/>
        </w:rPr>
        <w:t>002. The error concerns the First Paragraph of Article</w:t>
      </w:r>
      <w:r w:rsidR="007514E1">
        <w:rPr>
          <w:rFonts w:cs="Arial"/>
          <w:szCs w:val="22"/>
          <w:lang w:bidi="ar-EG"/>
        </w:rPr>
        <w:t xml:space="preserve"> </w:t>
      </w:r>
      <w:r w:rsidR="00831885" w:rsidRPr="00062884">
        <w:rPr>
          <w:rFonts w:cs="Arial"/>
          <w:szCs w:val="22"/>
          <w:lang w:bidi="ar-EG"/>
        </w:rPr>
        <w:t>1</w:t>
      </w:r>
      <w:r w:rsidRPr="00062884">
        <w:rPr>
          <w:rFonts w:cs="Arial"/>
          <w:szCs w:val="22"/>
          <w:lang w:bidi="ar-EG"/>
        </w:rPr>
        <w:t>98 under Article I of the above-mentioned Law</w:t>
      </w:r>
      <w:r w:rsidR="00E07157" w:rsidRPr="00062884">
        <w:rPr>
          <w:rFonts w:cs="Arial"/>
          <w:szCs w:val="22"/>
          <w:lang w:bidi="ar-EG"/>
        </w:rPr>
        <w:t xml:space="preserve">, </w:t>
      </w:r>
      <w:r w:rsidRPr="00062884">
        <w:rPr>
          <w:rFonts w:cs="Arial"/>
          <w:szCs w:val="22"/>
          <w:lang w:bidi="ar-EG"/>
        </w:rPr>
        <w:t>which read as follows:</w:t>
      </w:r>
    </w:p>
    <w:p w:rsidR="009B76EC" w:rsidRPr="00062884" w:rsidRDefault="009B76EC" w:rsidP="009B76EC">
      <w:pPr>
        <w:spacing w:after="200"/>
        <w:ind w:left="567" w:firstLine="567"/>
        <w:jc w:val="left"/>
        <w:rPr>
          <w:rFonts w:cs="Arial"/>
          <w:b/>
          <w:bCs/>
          <w:szCs w:val="22"/>
          <w:lang w:bidi="ar-EG"/>
        </w:rPr>
      </w:pPr>
      <w:r w:rsidRPr="00062884">
        <w:rPr>
          <w:rFonts w:cs="Arial"/>
          <w:b/>
          <w:bCs/>
          <w:szCs w:val="22"/>
          <w:lang w:bidi="ar-EG"/>
        </w:rPr>
        <w:t>Article</w:t>
      </w:r>
      <w:r w:rsidR="007514E1">
        <w:rPr>
          <w:rFonts w:cs="Arial"/>
          <w:b/>
          <w:bCs/>
          <w:szCs w:val="22"/>
          <w:lang w:bidi="ar-EG"/>
        </w:rPr>
        <w:t xml:space="preserve"> </w:t>
      </w:r>
      <w:r w:rsidR="00831885" w:rsidRPr="00062884">
        <w:rPr>
          <w:rFonts w:cs="Arial"/>
          <w:b/>
          <w:bCs/>
          <w:szCs w:val="22"/>
          <w:lang w:bidi="ar-EG"/>
        </w:rPr>
        <w:t>1</w:t>
      </w:r>
      <w:r w:rsidRPr="00062884">
        <w:rPr>
          <w:rFonts w:cs="Arial"/>
          <w:b/>
          <w:bCs/>
          <w:szCs w:val="22"/>
          <w:lang w:bidi="ar-EG"/>
        </w:rPr>
        <w:t>98</w:t>
      </w:r>
    </w:p>
    <w:p w:rsidR="009B76EC" w:rsidRPr="00062884" w:rsidRDefault="009B76EC" w:rsidP="009B76EC">
      <w:pPr>
        <w:spacing w:after="200"/>
        <w:ind w:left="567" w:firstLine="567"/>
        <w:jc w:val="left"/>
        <w:rPr>
          <w:rFonts w:cs="Arial"/>
          <w:szCs w:val="22"/>
          <w:lang w:bidi="ar-EG"/>
        </w:rPr>
      </w:pPr>
      <w:r w:rsidRPr="00062884">
        <w:rPr>
          <w:rFonts w:cs="Arial"/>
          <w:szCs w:val="22"/>
          <w:lang w:bidi="ar-EG"/>
        </w:rPr>
        <w:t>The breeder’s right shall not extend to acts concerning material of the protected variety</w:t>
      </w:r>
      <w:r w:rsidR="00E07157" w:rsidRPr="00062884">
        <w:rPr>
          <w:rFonts w:cs="Arial"/>
          <w:szCs w:val="22"/>
          <w:lang w:bidi="ar-EG"/>
        </w:rPr>
        <w:t xml:space="preserve">, </w:t>
      </w:r>
      <w:r w:rsidRPr="00062884">
        <w:rPr>
          <w:rFonts w:cs="Arial"/>
          <w:szCs w:val="22"/>
          <w:lang w:bidi="ar-EG"/>
        </w:rPr>
        <w:t>or of any variety covered by the provisions of the fourth paragraph of Article</w:t>
      </w:r>
      <w:r w:rsidR="007514E1">
        <w:rPr>
          <w:rFonts w:cs="Arial"/>
          <w:szCs w:val="22"/>
          <w:lang w:bidi="ar-EG"/>
        </w:rPr>
        <w:t xml:space="preserve"> </w:t>
      </w:r>
      <w:r w:rsidR="00831885" w:rsidRPr="00062884">
        <w:rPr>
          <w:rFonts w:cs="Arial"/>
          <w:szCs w:val="22"/>
          <w:lang w:bidi="ar-EG"/>
        </w:rPr>
        <w:t>1</w:t>
      </w:r>
      <w:r w:rsidRPr="00062884">
        <w:rPr>
          <w:rFonts w:cs="Arial"/>
          <w:szCs w:val="22"/>
          <w:lang w:bidi="ar-EG"/>
        </w:rPr>
        <w:t>94 of this Law</w:t>
      </w:r>
      <w:r w:rsidR="00E07157" w:rsidRPr="00062884">
        <w:rPr>
          <w:rFonts w:cs="Arial"/>
          <w:szCs w:val="22"/>
          <w:lang w:bidi="ar-EG"/>
        </w:rPr>
        <w:t xml:space="preserve">, </w:t>
      </w:r>
      <w:r w:rsidRPr="00062884">
        <w:rPr>
          <w:rFonts w:cs="Arial"/>
          <w:szCs w:val="22"/>
          <w:lang w:bidi="ar-EG"/>
        </w:rPr>
        <w:t>or any material derived from the said material</w:t>
      </w:r>
      <w:r w:rsidR="00E07157" w:rsidRPr="00062884">
        <w:rPr>
          <w:rFonts w:cs="Arial"/>
          <w:szCs w:val="22"/>
          <w:lang w:bidi="ar-EG"/>
        </w:rPr>
        <w:t xml:space="preserve">, </w:t>
      </w:r>
      <w:r w:rsidRPr="00062884">
        <w:rPr>
          <w:rFonts w:cs="Arial"/>
          <w:szCs w:val="22"/>
          <w:lang w:bidi="ar-EG"/>
        </w:rPr>
        <w:t xml:space="preserve">which has been sold or otherwise marketed by the breeder or with his consent in the Arab Republic of Egypt </w:t>
      </w:r>
      <w:r w:rsidRPr="00062884">
        <w:rPr>
          <w:rFonts w:cs="Arial"/>
          <w:b/>
          <w:bCs/>
          <w:szCs w:val="22"/>
          <w:lang w:bidi="ar-EG"/>
        </w:rPr>
        <w:t>or abroad</w:t>
      </w:r>
      <w:r w:rsidR="00E07157" w:rsidRPr="00062884">
        <w:rPr>
          <w:rFonts w:cs="Arial"/>
          <w:szCs w:val="22"/>
          <w:lang w:bidi="ar-EG"/>
        </w:rPr>
        <w:t xml:space="preserve">, </w:t>
      </w:r>
      <w:r w:rsidRPr="00062884">
        <w:rPr>
          <w:rFonts w:cs="Arial"/>
          <w:szCs w:val="22"/>
          <w:lang w:bidi="ar-EG"/>
        </w:rPr>
        <w:t>with the exception of the following acts:</w:t>
      </w:r>
    </w:p>
    <w:p w:rsidR="009B76EC" w:rsidRPr="00062884" w:rsidRDefault="009B76EC" w:rsidP="009B76EC">
      <w:pPr>
        <w:spacing w:after="200"/>
        <w:jc w:val="left"/>
        <w:rPr>
          <w:rFonts w:cs="Arial"/>
          <w:szCs w:val="22"/>
          <w:u w:val="single"/>
          <w:lang w:bidi="ar-EG"/>
        </w:rPr>
      </w:pPr>
      <w:r w:rsidRPr="00062884">
        <w:rPr>
          <w:rFonts w:cs="Arial"/>
          <w:szCs w:val="22"/>
          <w:u w:val="single"/>
          <w:lang w:bidi="ar-EG"/>
        </w:rPr>
        <w:t>The above paragraph is hereby corrected to read as follows:</w:t>
      </w:r>
    </w:p>
    <w:p w:rsidR="009B76EC" w:rsidRPr="00062884" w:rsidRDefault="009B76EC" w:rsidP="009B76EC">
      <w:pPr>
        <w:spacing w:after="200"/>
        <w:ind w:left="567" w:firstLine="567"/>
        <w:jc w:val="left"/>
        <w:rPr>
          <w:rFonts w:cs="Arial"/>
          <w:b/>
          <w:bCs/>
          <w:szCs w:val="22"/>
          <w:lang w:bidi="ar-EG"/>
        </w:rPr>
      </w:pPr>
      <w:r w:rsidRPr="00062884">
        <w:rPr>
          <w:rFonts w:cs="Arial"/>
          <w:b/>
          <w:bCs/>
          <w:szCs w:val="22"/>
          <w:lang w:bidi="ar-EG"/>
        </w:rPr>
        <w:t>Article</w:t>
      </w:r>
      <w:r w:rsidR="007514E1">
        <w:rPr>
          <w:rFonts w:cs="Arial"/>
          <w:b/>
          <w:bCs/>
          <w:szCs w:val="22"/>
          <w:lang w:bidi="ar-EG"/>
        </w:rPr>
        <w:t xml:space="preserve"> </w:t>
      </w:r>
      <w:r w:rsidR="00831885" w:rsidRPr="00062884">
        <w:rPr>
          <w:rFonts w:cs="Arial"/>
          <w:b/>
          <w:bCs/>
          <w:szCs w:val="22"/>
          <w:lang w:bidi="ar-EG"/>
        </w:rPr>
        <w:t>1</w:t>
      </w:r>
      <w:r w:rsidRPr="00062884">
        <w:rPr>
          <w:rFonts w:cs="Arial"/>
          <w:b/>
          <w:bCs/>
          <w:szCs w:val="22"/>
          <w:lang w:bidi="ar-EG"/>
        </w:rPr>
        <w:t>98</w:t>
      </w:r>
    </w:p>
    <w:p w:rsidR="009B76EC" w:rsidRPr="00062884" w:rsidRDefault="009B76EC" w:rsidP="009B76EC">
      <w:pPr>
        <w:spacing w:after="200"/>
        <w:ind w:left="567" w:firstLine="567"/>
        <w:jc w:val="left"/>
        <w:rPr>
          <w:rFonts w:cs="Arial"/>
          <w:szCs w:val="22"/>
          <w:lang w:bidi="ar-EG"/>
        </w:rPr>
      </w:pPr>
      <w:r w:rsidRPr="00062884">
        <w:rPr>
          <w:rFonts w:cs="Arial"/>
          <w:szCs w:val="22"/>
          <w:lang w:bidi="ar-EG"/>
        </w:rPr>
        <w:t>The breeder’s right shall not extend to acts concerning material of the protected variety</w:t>
      </w:r>
      <w:r w:rsidR="00E07157" w:rsidRPr="00062884">
        <w:rPr>
          <w:rFonts w:cs="Arial"/>
          <w:szCs w:val="22"/>
          <w:lang w:bidi="ar-EG"/>
        </w:rPr>
        <w:t xml:space="preserve">, </w:t>
      </w:r>
      <w:r w:rsidRPr="00062884">
        <w:rPr>
          <w:rFonts w:cs="Arial"/>
          <w:szCs w:val="22"/>
          <w:lang w:bidi="ar-EG"/>
        </w:rPr>
        <w:t>or of any variety covered by the provisions of the fourth paragraph of Article</w:t>
      </w:r>
      <w:r w:rsidR="007514E1">
        <w:rPr>
          <w:rFonts w:cs="Arial"/>
          <w:szCs w:val="22"/>
          <w:lang w:bidi="ar-EG"/>
        </w:rPr>
        <w:t xml:space="preserve"> </w:t>
      </w:r>
      <w:r w:rsidRPr="00062884">
        <w:rPr>
          <w:rFonts w:cs="Arial"/>
          <w:szCs w:val="22"/>
          <w:lang w:bidi="ar-EG"/>
        </w:rPr>
        <w:t>194 of this Law</w:t>
      </w:r>
      <w:r w:rsidR="00E07157" w:rsidRPr="00062884">
        <w:rPr>
          <w:rFonts w:cs="Arial"/>
          <w:szCs w:val="22"/>
          <w:lang w:bidi="ar-EG"/>
        </w:rPr>
        <w:t xml:space="preserve">, </w:t>
      </w:r>
      <w:r w:rsidRPr="00062884">
        <w:rPr>
          <w:rFonts w:cs="Arial"/>
          <w:szCs w:val="22"/>
          <w:lang w:bidi="ar-EG"/>
        </w:rPr>
        <w:t>or any material derived from the said material</w:t>
      </w:r>
      <w:r w:rsidR="00E07157" w:rsidRPr="00062884">
        <w:rPr>
          <w:rFonts w:cs="Arial"/>
          <w:szCs w:val="22"/>
          <w:lang w:bidi="ar-EG"/>
        </w:rPr>
        <w:t xml:space="preserve">, </w:t>
      </w:r>
      <w:r w:rsidRPr="00062884">
        <w:rPr>
          <w:rFonts w:cs="Arial"/>
          <w:szCs w:val="22"/>
          <w:lang w:bidi="ar-EG"/>
        </w:rPr>
        <w:t>which has been sold or otherwise marketed by the breeder or with his consent in the Arab Republic of Egypt</w:t>
      </w:r>
      <w:r w:rsidR="00E07157" w:rsidRPr="00062884">
        <w:rPr>
          <w:rFonts w:cs="Arial"/>
          <w:szCs w:val="22"/>
          <w:lang w:bidi="ar-EG"/>
        </w:rPr>
        <w:t xml:space="preserve">, </w:t>
      </w:r>
      <w:r w:rsidRPr="00062884">
        <w:rPr>
          <w:rFonts w:cs="Arial"/>
          <w:szCs w:val="22"/>
          <w:lang w:bidi="ar-EG"/>
        </w:rPr>
        <w:t>with the exception of the following acts:</w:t>
      </w:r>
    </w:p>
    <w:p w:rsidR="009B76EC" w:rsidRPr="00062884" w:rsidRDefault="009B76EC" w:rsidP="009B76EC">
      <w:pPr>
        <w:spacing w:after="200"/>
        <w:ind w:firstLine="567"/>
        <w:jc w:val="left"/>
        <w:rPr>
          <w:rFonts w:cs="Arial"/>
          <w:szCs w:val="22"/>
          <w:lang w:bidi="ar-EG"/>
        </w:rPr>
      </w:pPr>
    </w:p>
    <w:p w:rsidR="009B76EC" w:rsidRPr="00062884" w:rsidRDefault="009B76EC" w:rsidP="009B76EC">
      <w:pPr>
        <w:spacing w:after="200"/>
        <w:ind w:firstLine="567"/>
        <w:jc w:val="left"/>
        <w:rPr>
          <w:rFonts w:cs="Arial"/>
          <w:szCs w:val="22"/>
          <w:lang w:bidi="ar-EG"/>
        </w:rPr>
      </w:pPr>
    </w:p>
    <w:p w:rsidR="009B76EC" w:rsidRPr="003F3D0D" w:rsidRDefault="00C022B3" w:rsidP="00570BD1">
      <w:pPr>
        <w:spacing w:after="200"/>
        <w:ind w:firstLine="567"/>
        <w:jc w:val="left"/>
        <w:rPr>
          <w:rFonts w:cs="Arial"/>
          <w:szCs w:val="22"/>
          <w:lang w:bidi="ar-EG"/>
        </w:rPr>
      </w:pPr>
      <w:r w:rsidRPr="00570BD1">
        <w:rPr>
          <w:rFonts w:cs="Arial"/>
          <w:szCs w:val="22"/>
          <w:lang w:val="es-ES_tradnl" w:bidi="ar-EG"/>
        </w:rPr>
        <w:t>[Fin de la corrección]</w:t>
      </w:r>
    </w:p>
    <w:p w:rsidR="009B76EC" w:rsidRDefault="009B76EC" w:rsidP="009B76EC">
      <w:pPr>
        <w:rPr>
          <w:lang w:bidi="ar-EG"/>
        </w:rPr>
      </w:pPr>
    </w:p>
    <w:p w:rsidR="009B76EC" w:rsidRDefault="009B76EC" w:rsidP="009B76EC">
      <w:pPr>
        <w:rPr>
          <w:lang w:bidi="ar-EG"/>
        </w:rPr>
      </w:pPr>
    </w:p>
    <w:p w:rsidR="009B76EC" w:rsidRPr="009B76EC" w:rsidRDefault="009B76EC" w:rsidP="009B76EC">
      <w:pPr>
        <w:rPr>
          <w:lang w:bidi="ar-EG"/>
        </w:rPr>
      </w:pPr>
    </w:p>
    <w:p w:rsidR="009B76EC" w:rsidRPr="00062884" w:rsidRDefault="009B76EC" w:rsidP="009B76EC">
      <w:pPr>
        <w:jc w:val="right"/>
        <w:rPr>
          <w:lang w:val="es-ES_tradnl"/>
        </w:rPr>
      </w:pPr>
      <w:r w:rsidRPr="00062884">
        <w:rPr>
          <w:lang w:val="es-ES_tradnl"/>
        </w:rPr>
        <w:t>[</w:t>
      </w:r>
      <w:r w:rsidR="00DD185A" w:rsidRPr="00062884">
        <w:rPr>
          <w:lang w:val="es-ES_tradnl"/>
        </w:rPr>
        <w:t>Sigue el Anexo IV</w:t>
      </w:r>
      <w:r w:rsidRPr="00062884">
        <w:rPr>
          <w:lang w:val="es-ES_tradnl"/>
        </w:rPr>
        <w:t>]</w:t>
      </w:r>
    </w:p>
    <w:p w:rsidR="009B76EC" w:rsidRDefault="009B76EC">
      <w:pPr>
        <w:jc w:val="left"/>
      </w:pPr>
    </w:p>
    <w:p w:rsidR="009B76EC" w:rsidRDefault="009B76EC">
      <w:pPr>
        <w:jc w:val="left"/>
        <w:sectPr w:rsidR="009B76EC" w:rsidSect="00906DDC">
          <w:headerReference w:type="first" r:id="rId17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902EAD" w:rsidRPr="00927613" w:rsidRDefault="00902EAD" w:rsidP="00902EAD">
      <w:pPr>
        <w:rPr>
          <w:rFonts w:cs="Arial"/>
          <w:lang w:val="es-ES_tradnl"/>
        </w:rPr>
      </w:pPr>
      <w:r w:rsidRPr="00927613">
        <w:rPr>
          <w:rFonts w:cs="Arial"/>
          <w:lang w:val="es-ES_tradnl"/>
        </w:rPr>
        <w:lastRenderedPageBreak/>
        <w:t xml:space="preserve">[Traducción por la Oficina de la Unión de una </w:t>
      </w:r>
      <w:r>
        <w:rPr>
          <w:rFonts w:cs="Arial"/>
          <w:lang w:val="es-ES_tradnl"/>
        </w:rPr>
        <w:t>no</w:t>
      </w:r>
      <w:r w:rsidRPr="00927613">
        <w:rPr>
          <w:rFonts w:cs="Arial"/>
          <w:lang w:val="es-ES_tradnl"/>
        </w:rPr>
        <w:t xml:space="preserve">ta con fecha </w:t>
      </w:r>
      <w:r w:rsidRPr="000A2342">
        <w:rPr>
          <w:rFonts w:cs="Arial"/>
          <w:szCs w:val="22"/>
          <w:lang w:val="es-ES_tradnl" w:bidi="ar-EG"/>
        </w:rPr>
        <w:t>10 de septiembre de</w:t>
      </w:r>
      <w:r w:rsidR="007514E1">
        <w:rPr>
          <w:rFonts w:cs="Arial"/>
          <w:szCs w:val="22"/>
          <w:lang w:val="es-ES_tradnl" w:bidi="ar-EG"/>
        </w:rPr>
        <w:t xml:space="preserve"> </w:t>
      </w:r>
      <w:r w:rsidRPr="000A2342">
        <w:rPr>
          <w:rFonts w:cs="Arial"/>
          <w:szCs w:val="22"/>
          <w:lang w:val="es-ES_tradnl" w:bidi="ar-EG"/>
        </w:rPr>
        <w:t>2019</w:t>
      </w:r>
      <w:r w:rsidRPr="00927613">
        <w:rPr>
          <w:rFonts w:cs="Arial"/>
          <w:lang w:val="es-ES_tradnl"/>
        </w:rPr>
        <w:t>]</w:t>
      </w:r>
    </w:p>
    <w:p w:rsidR="00902EAD" w:rsidRPr="009B76EC" w:rsidRDefault="00902EAD" w:rsidP="00902EAD">
      <w:pPr>
        <w:jc w:val="left"/>
        <w:rPr>
          <w:rFonts w:cs="Arial"/>
        </w:rPr>
      </w:pPr>
      <w:r w:rsidRPr="00570BD1">
        <w:rPr>
          <w:rFonts w:cs="Arial"/>
          <w:lang w:val="es-ES_tradnl"/>
        </w:rPr>
        <w:t>[Original:</w:t>
      </w:r>
      <w:r w:rsidRPr="009B76EC">
        <w:rPr>
          <w:rFonts w:cs="Arial"/>
        </w:rPr>
        <w:t xml:space="preserve"> </w:t>
      </w:r>
      <w:r w:rsidRPr="00570BD1">
        <w:rPr>
          <w:rFonts w:cs="Arial"/>
          <w:lang w:val="es-ES_tradnl"/>
        </w:rPr>
        <w:t>árabe]</w:t>
      </w:r>
    </w:p>
    <w:p w:rsidR="00902EAD" w:rsidRPr="00927613" w:rsidRDefault="00902EAD" w:rsidP="00902EAD">
      <w:pPr>
        <w:rPr>
          <w:rFonts w:cs="Arial"/>
          <w:lang w:val="es-ES_tradnl"/>
        </w:rPr>
      </w:pPr>
    </w:p>
    <w:p w:rsidR="00902EAD" w:rsidRPr="00927613" w:rsidRDefault="00902EAD" w:rsidP="00902EAD">
      <w:pPr>
        <w:rPr>
          <w:rFonts w:cs="Arial"/>
          <w:lang w:val="es-ES_tradnl"/>
        </w:rPr>
      </w:pPr>
    </w:p>
    <w:p w:rsidR="00902EAD" w:rsidRDefault="00902EAD" w:rsidP="00902EAD">
      <w:pPr>
        <w:tabs>
          <w:tab w:val="left" w:pos="1701"/>
        </w:tabs>
        <w:rPr>
          <w:rFonts w:cs="Arial"/>
          <w:lang w:val="es-ES_tradnl"/>
        </w:rPr>
      </w:pPr>
      <w:r w:rsidRPr="00927613">
        <w:rPr>
          <w:rFonts w:cs="Arial"/>
          <w:lang w:val="es-ES_tradnl"/>
        </w:rPr>
        <w:t>Enviada por:</w:t>
      </w:r>
      <w:r w:rsidRPr="00927613">
        <w:rPr>
          <w:rFonts w:cs="Arial"/>
          <w:lang w:val="es-ES_tradnl"/>
        </w:rPr>
        <w:tab/>
      </w:r>
      <w:r w:rsidR="0081063A" w:rsidRPr="0081063A">
        <w:rPr>
          <w:rFonts w:cs="Arial"/>
          <w:lang w:val="es-ES_tradnl"/>
        </w:rPr>
        <w:t xml:space="preserve">Dr. </w:t>
      </w:r>
      <w:proofErr w:type="spellStart"/>
      <w:r w:rsidR="0081063A" w:rsidRPr="0081063A">
        <w:rPr>
          <w:rFonts w:cs="Arial"/>
          <w:lang w:val="es-ES_tradnl"/>
        </w:rPr>
        <w:t>Saad</w:t>
      </w:r>
      <w:proofErr w:type="spellEnd"/>
      <w:r w:rsidR="0081063A" w:rsidRPr="0081063A">
        <w:rPr>
          <w:rFonts w:cs="Arial"/>
          <w:lang w:val="es-ES_tradnl"/>
        </w:rPr>
        <w:t xml:space="preserve"> </w:t>
      </w:r>
      <w:proofErr w:type="spellStart"/>
      <w:r w:rsidR="0081063A" w:rsidRPr="0081063A">
        <w:rPr>
          <w:rFonts w:cs="Arial"/>
          <w:lang w:val="es-ES_tradnl"/>
        </w:rPr>
        <w:t>Nassar</w:t>
      </w:r>
      <w:proofErr w:type="spellEnd"/>
    </w:p>
    <w:p w:rsidR="0081063A" w:rsidRPr="00927613" w:rsidRDefault="0081063A" w:rsidP="0081063A">
      <w:pPr>
        <w:ind w:left="1701"/>
        <w:rPr>
          <w:rFonts w:cs="Arial"/>
          <w:lang w:val="es-ES_tradnl"/>
        </w:rPr>
      </w:pPr>
      <w:r>
        <w:rPr>
          <w:rFonts w:cs="Arial"/>
          <w:lang w:val="es-ES_tradnl"/>
        </w:rPr>
        <w:t xml:space="preserve">Asesor del ministro </w:t>
      </w:r>
      <w:r w:rsidRPr="0081063A">
        <w:rPr>
          <w:rFonts w:cs="Arial"/>
          <w:lang w:val="es-ES_tradnl"/>
        </w:rPr>
        <w:t>de Agric</w:t>
      </w:r>
      <w:r>
        <w:rPr>
          <w:rFonts w:cs="Arial"/>
          <w:lang w:val="es-ES_tradnl"/>
        </w:rPr>
        <w:t>ultura y Reclamación de Tierras</w:t>
      </w:r>
    </w:p>
    <w:p w:rsidR="00902EAD" w:rsidRPr="00927613" w:rsidRDefault="00902EAD" w:rsidP="00902EAD">
      <w:pPr>
        <w:rPr>
          <w:rFonts w:cs="Arial"/>
          <w:lang w:val="es-ES_tradnl"/>
        </w:rPr>
      </w:pPr>
    </w:p>
    <w:p w:rsidR="00902EAD" w:rsidRPr="00927613" w:rsidRDefault="00902EAD" w:rsidP="00661FC6">
      <w:pPr>
        <w:tabs>
          <w:tab w:val="left" w:pos="1701"/>
        </w:tabs>
        <w:ind w:left="1701" w:hanging="1701"/>
        <w:rPr>
          <w:rFonts w:cs="Arial"/>
          <w:lang w:val="es-ES_tradnl"/>
        </w:rPr>
      </w:pPr>
      <w:r w:rsidRPr="00927613">
        <w:rPr>
          <w:rFonts w:cs="Arial"/>
          <w:lang w:val="es-ES_tradnl"/>
        </w:rPr>
        <w:t>Destinatario:</w:t>
      </w:r>
      <w:r w:rsidRPr="00927613">
        <w:rPr>
          <w:rFonts w:cs="Arial"/>
          <w:lang w:val="es-ES_tradnl"/>
        </w:rPr>
        <w:tab/>
      </w:r>
      <w:r w:rsidR="00661FC6">
        <w:rPr>
          <w:rFonts w:cs="Arial"/>
          <w:lang w:val="es-ES_tradnl"/>
        </w:rPr>
        <w:t xml:space="preserve">La </w:t>
      </w:r>
      <w:r w:rsidR="00661FC6" w:rsidRPr="00570BD1">
        <w:rPr>
          <w:lang w:val="es-ES_tradnl"/>
        </w:rPr>
        <w:t>Oficina de la</w:t>
      </w:r>
      <w:r w:rsidR="00661FC6">
        <w:rPr>
          <w:lang w:val="es-ES_tradnl"/>
        </w:rPr>
        <w:t xml:space="preserve"> </w:t>
      </w:r>
      <w:r w:rsidR="00661FC6" w:rsidRPr="00570BD1">
        <w:rPr>
          <w:lang w:val="es-ES_tradnl"/>
        </w:rPr>
        <w:t>Unión Internacional para la Protección de las Obtenciones Vegetales (UPOV)</w:t>
      </w:r>
    </w:p>
    <w:p w:rsidR="00902EAD" w:rsidRPr="00927613" w:rsidRDefault="00902EAD" w:rsidP="00902EAD">
      <w:pPr>
        <w:rPr>
          <w:rFonts w:cs="Arial"/>
          <w:lang w:val="es-ES_tradnl"/>
        </w:rPr>
      </w:pPr>
    </w:p>
    <w:p w:rsidR="00902EAD" w:rsidRPr="00927613" w:rsidRDefault="00902EAD" w:rsidP="00787833">
      <w:pPr>
        <w:tabs>
          <w:tab w:val="left" w:pos="1701"/>
        </w:tabs>
        <w:ind w:left="1701" w:hanging="1701"/>
        <w:rPr>
          <w:rFonts w:cs="Arial"/>
          <w:lang w:val="es-ES_tradnl"/>
        </w:rPr>
      </w:pPr>
      <w:r w:rsidRPr="00927613">
        <w:rPr>
          <w:rFonts w:cs="Arial"/>
          <w:lang w:val="es-ES_tradnl"/>
        </w:rPr>
        <w:t>Objeto</w:t>
      </w:r>
      <w:r w:rsidR="00787833">
        <w:rPr>
          <w:rFonts w:cs="Arial"/>
          <w:lang w:val="es-ES_tradnl"/>
        </w:rPr>
        <w:t>:</w:t>
      </w:r>
      <w:r w:rsidR="00787833">
        <w:rPr>
          <w:rFonts w:cs="Arial"/>
          <w:lang w:val="es-ES_tradnl"/>
        </w:rPr>
        <w:tab/>
      </w:r>
      <w:r w:rsidR="00787833" w:rsidRPr="00787833">
        <w:rPr>
          <w:rFonts w:cs="Arial"/>
          <w:bCs/>
          <w:szCs w:val="22"/>
          <w:lang w:val="es-ES_tradnl"/>
        </w:rPr>
        <w:t>Nota explicativa acerca de la adhesión de Egipto a</w:t>
      </w:r>
      <w:r w:rsidR="00787833" w:rsidRPr="00787833">
        <w:rPr>
          <w:rFonts w:cs="Arial"/>
          <w:bCs/>
          <w:szCs w:val="22"/>
        </w:rPr>
        <w:t xml:space="preserve"> </w:t>
      </w:r>
      <w:r w:rsidR="00787833" w:rsidRPr="00787833">
        <w:rPr>
          <w:rFonts w:cs="Arial"/>
          <w:bCs/>
          <w:szCs w:val="22"/>
          <w:lang w:val="es-ES_tradnl"/>
        </w:rPr>
        <w:t xml:space="preserve">la Unión Internacional para la Protección de las Obtenciones Vegetales </w:t>
      </w:r>
      <w:r w:rsidR="00787833" w:rsidRPr="00787833">
        <w:rPr>
          <w:rFonts w:cs="Arial"/>
          <w:bCs/>
          <w:caps/>
          <w:szCs w:val="22"/>
          <w:lang w:val="es-ES_tradnl"/>
        </w:rPr>
        <w:t>(UPOV)</w:t>
      </w:r>
    </w:p>
    <w:p w:rsidR="00902EAD" w:rsidRPr="00927613" w:rsidRDefault="00902EAD" w:rsidP="00902EAD">
      <w:pPr>
        <w:rPr>
          <w:rFonts w:cs="Arial"/>
          <w:lang w:val="es-ES_tradnl"/>
        </w:rPr>
      </w:pPr>
    </w:p>
    <w:p w:rsidR="00DB49F1" w:rsidRDefault="00DB49F1" w:rsidP="00902EAD">
      <w:pPr>
        <w:rPr>
          <w:rFonts w:cs="Arial"/>
          <w:szCs w:val="22"/>
          <w:lang w:val="es-ES_tradnl" w:bidi="ar-EG"/>
        </w:rPr>
      </w:pPr>
    </w:p>
    <w:p w:rsidR="00902EAD" w:rsidRDefault="00067873" w:rsidP="00902EAD">
      <w:pPr>
        <w:rPr>
          <w:rFonts w:cs="Arial"/>
          <w:szCs w:val="22"/>
          <w:lang w:val="es-ES_tradnl" w:bidi="ar-EG"/>
        </w:rPr>
      </w:pPr>
      <w:r w:rsidRPr="00D04D78">
        <w:rPr>
          <w:rFonts w:cs="Arial"/>
          <w:szCs w:val="22"/>
          <w:lang w:val="es-ES_tradnl" w:bidi="ar-EG"/>
        </w:rPr>
        <w:t>En la sesión del Consejo de la</w:t>
      </w:r>
      <w:r w:rsidR="007514E1">
        <w:rPr>
          <w:rFonts w:cs="Arial"/>
          <w:szCs w:val="22"/>
          <w:lang w:val="es-ES_tradnl" w:bidi="ar-EG"/>
        </w:rPr>
        <w:t xml:space="preserve"> </w:t>
      </w:r>
      <w:r w:rsidRPr="00D04D78">
        <w:rPr>
          <w:rFonts w:cs="Arial"/>
          <w:szCs w:val="22"/>
          <w:lang w:val="es-ES_tradnl" w:bidi="ar-EG"/>
        </w:rPr>
        <w:t>UPOV celebrada en Ginebra en marzo de</w:t>
      </w:r>
      <w:r w:rsidR="007514E1">
        <w:rPr>
          <w:rFonts w:cs="Arial"/>
          <w:szCs w:val="22"/>
          <w:lang w:val="es-ES_tradnl" w:bidi="ar-EG"/>
        </w:rPr>
        <w:t xml:space="preserve"> </w:t>
      </w:r>
      <w:r w:rsidRPr="00D04D78">
        <w:rPr>
          <w:rFonts w:cs="Arial"/>
          <w:szCs w:val="22"/>
          <w:lang w:val="es-ES_tradnl" w:bidi="ar-EG"/>
        </w:rPr>
        <w:t>2015, la delegación del Ministerio de Agricultura y Reclamación de Tierras presentó, en su calidad de observador, un proyecto de Ley que estaba examinando la Cámara de Representantes.</w:t>
      </w:r>
      <w:r>
        <w:rPr>
          <w:rFonts w:cs="Arial"/>
          <w:szCs w:val="22"/>
          <w:lang w:bidi="ar-EG"/>
        </w:rPr>
        <w:t xml:space="preserve"> </w:t>
      </w:r>
      <w:r w:rsidRPr="00BD4961">
        <w:rPr>
          <w:rFonts w:cs="Arial"/>
          <w:szCs w:val="22"/>
          <w:lang w:val="es-ES_tradnl" w:bidi="ar-EG"/>
        </w:rPr>
        <w:t>En el proyecto de Ley, determinadas disposiciones del Libro</w:t>
      </w:r>
      <w:r w:rsidR="007514E1">
        <w:rPr>
          <w:rFonts w:cs="Arial"/>
          <w:szCs w:val="22"/>
          <w:lang w:val="es-ES_tradnl" w:bidi="ar-EG"/>
        </w:rPr>
        <w:t xml:space="preserve"> </w:t>
      </w:r>
      <w:r w:rsidRPr="00BD4961">
        <w:rPr>
          <w:rFonts w:cs="Arial"/>
          <w:szCs w:val="22"/>
          <w:lang w:val="es-ES_tradnl" w:bidi="ar-EG"/>
        </w:rPr>
        <w:t>IV “Variedades vegetales” de la Ley N.º</w:t>
      </w:r>
      <w:r w:rsidR="007514E1">
        <w:rPr>
          <w:rFonts w:cs="Arial"/>
          <w:szCs w:val="22"/>
          <w:lang w:val="es-ES_tradnl" w:bidi="ar-EG"/>
        </w:rPr>
        <w:t xml:space="preserve"> </w:t>
      </w:r>
      <w:r w:rsidRPr="00BD4961">
        <w:rPr>
          <w:rFonts w:cs="Arial"/>
          <w:szCs w:val="22"/>
          <w:lang w:val="es-ES_tradnl" w:bidi="ar-EG"/>
        </w:rPr>
        <w:t>82 de</w:t>
      </w:r>
      <w:r w:rsidR="007514E1">
        <w:rPr>
          <w:rFonts w:cs="Arial"/>
          <w:szCs w:val="22"/>
          <w:lang w:val="es-ES_tradnl" w:bidi="ar-EG"/>
        </w:rPr>
        <w:t xml:space="preserve"> </w:t>
      </w:r>
      <w:r w:rsidRPr="00BD4961">
        <w:rPr>
          <w:rFonts w:cs="Arial"/>
          <w:szCs w:val="22"/>
          <w:lang w:val="es-ES_tradnl" w:bidi="ar-EG"/>
        </w:rPr>
        <w:t>2002 relativa a la Protección de los Derechos de Propiedad Intelectual habían sido modificadas a fin de guardar conformidad con el Acta de</w:t>
      </w:r>
      <w:r w:rsidR="007514E1">
        <w:rPr>
          <w:rFonts w:cs="Arial"/>
          <w:szCs w:val="22"/>
          <w:lang w:val="es-ES_tradnl" w:bidi="ar-EG"/>
        </w:rPr>
        <w:t xml:space="preserve"> </w:t>
      </w:r>
      <w:r w:rsidRPr="00BD4961">
        <w:rPr>
          <w:rFonts w:cs="Arial"/>
          <w:szCs w:val="22"/>
          <w:lang w:val="es-ES_tradnl" w:bidi="ar-EG"/>
        </w:rPr>
        <w:t>1991 del Convenio de la</w:t>
      </w:r>
      <w:r w:rsidR="007514E1">
        <w:rPr>
          <w:rFonts w:cs="Arial"/>
          <w:szCs w:val="22"/>
          <w:lang w:val="es-ES_tradnl" w:bidi="ar-EG"/>
        </w:rPr>
        <w:t xml:space="preserve"> </w:t>
      </w:r>
      <w:r w:rsidRPr="00BD4961">
        <w:rPr>
          <w:rFonts w:cs="Arial"/>
          <w:szCs w:val="22"/>
          <w:lang w:val="es-ES_tradnl" w:bidi="ar-EG"/>
        </w:rPr>
        <w:t>UPOV.</w:t>
      </w:r>
    </w:p>
    <w:p w:rsidR="00067873" w:rsidRDefault="00067873" w:rsidP="00902EAD">
      <w:pPr>
        <w:rPr>
          <w:rFonts w:cs="Arial"/>
          <w:szCs w:val="22"/>
          <w:lang w:val="es-ES_tradnl" w:bidi="ar-EG"/>
        </w:rPr>
      </w:pPr>
    </w:p>
    <w:p w:rsidR="00F64020" w:rsidRDefault="00067873" w:rsidP="00F64020">
      <w:pPr>
        <w:rPr>
          <w:rFonts w:cs="Arial"/>
          <w:szCs w:val="22"/>
          <w:lang w:val="es-ES_tradnl" w:bidi="ar-EG"/>
        </w:rPr>
      </w:pPr>
      <w:r w:rsidRPr="003E0BEE">
        <w:rPr>
          <w:rFonts w:cs="Arial"/>
          <w:szCs w:val="22"/>
          <w:lang w:val="es-ES_tradnl" w:bidi="ar-EG"/>
        </w:rPr>
        <w:t>Posteriormente, el Consejo adoptó una decisión positiva (se adjunta a la presente [véase el párrafo</w:t>
      </w:r>
      <w:r w:rsidR="007514E1">
        <w:rPr>
          <w:rFonts w:cs="Arial"/>
          <w:szCs w:val="22"/>
          <w:lang w:val="es-ES_tradnl" w:bidi="ar-EG"/>
        </w:rPr>
        <w:t xml:space="preserve"> </w:t>
      </w:r>
      <w:r w:rsidRPr="003E0BEE">
        <w:rPr>
          <w:rFonts w:cs="Arial"/>
          <w:szCs w:val="22"/>
          <w:lang w:val="es-ES_tradnl" w:bidi="ar-EG"/>
        </w:rPr>
        <w:t>11 del documento C(</w:t>
      </w:r>
      <w:proofErr w:type="spellStart"/>
      <w:r w:rsidRPr="003E0BEE">
        <w:rPr>
          <w:rFonts w:cs="Arial"/>
          <w:szCs w:val="22"/>
          <w:lang w:val="es-ES_tradnl" w:bidi="ar-EG"/>
        </w:rPr>
        <w:t>Extr</w:t>
      </w:r>
      <w:proofErr w:type="spellEnd"/>
      <w:r w:rsidRPr="003E0BEE">
        <w:rPr>
          <w:rFonts w:cs="Arial"/>
          <w:szCs w:val="22"/>
          <w:lang w:val="es-ES_tradnl" w:bidi="ar-EG"/>
        </w:rPr>
        <w:t>.)/32/10 “Informe”]) acerca de la adhesión de Egipto a la</w:t>
      </w:r>
      <w:r w:rsidR="007514E1">
        <w:rPr>
          <w:rFonts w:cs="Arial"/>
          <w:szCs w:val="22"/>
          <w:lang w:val="es-ES_tradnl" w:bidi="ar-EG"/>
        </w:rPr>
        <w:t xml:space="preserve"> </w:t>
      </w:r>
      <w:r w:rsidRPr="003E0BEE">
        <w:rPr>
          <w:rFonts w:cs="Arial"/>
          <w:szCs w:val="22"/>
          <w:lang w:val="es-ES_tradnl" w:bidi="ar-EG"/>
        </w:rPr>
        <w:t>UPOV, siempre y cuando la Ley se promulgara sin modificación alguna respecto del proyecto de Ley remitido a la</w:t>
      </w:r>
      <w:r w:rsidR="007514E1">
        <w:rPr>
          <w:rFonts w:cs="Arial"/>
          <w:szCs w:val="22"/>
          <w:lang w:val="es-ES_tradnl" w:bidi="ar-EG"/>
        </w:rPr>
        <w:t xml:space="preserve"> </w:t>
      </w:r>
      <w:r w:rsidRPr="003E0BEE">
        <w:rPr>
          <w:rFonts w:cs="Arial"/>
          <w:szCs w:val="22"/>
          <w:lang w:val="es-ES_tradnl" w:bidi="ar-EG"/>
        </w:rPr>
        <w:t>UPOV y a la Cámara de Representantes, y Egipto depositara la documentación necesaria para su adhesión.</w:t>
      </w:r>
    </w:p>
    <w:p w:rsidR="00F64020" w:rsidRDefault="00F64020" w:rsidP="00F64020">
      <w:pPr>
        <w:rPr>
          <w:rFonts w:cs="Arial"/>
          <w:szCs w:val="22"/>
          <w:lang w:val="es-ES_tradnl" w:bidi="ar-EG"/>
        </w:rPr>
      </w:pPr>
    </w:p>
    <w:p w:rsidR="00B75269" w:rsidRDefault="00B75269" w:rsidP="00B75269">
      <w:pPr>
        <w:rPr>
          <w:rFonts w:cs="Arial"/>
          <w:szCs w:val="22"/>
          <w:lang w:val="es-ES_tradnl" w:bidi="ar-EG"/>
        </w:rPr>
      </w:pPr>
      <w:r w:rsidRPr="003E0BEE">
        <w:rPr>
          <w:rFonts w:cs="Arial"/>
          <w:szCs w:val="22"/>
          <w:lang w:val="es-ES_tradnl" w:bidi="ar-EG"/>
        </w:rPr>
        <w:t>Sin embargo, la Ley promulgada contenía algunos cambios.</w:t>
      </w:r>
      <w:r>
        <w:rPr>
          <w:rFonts w:cs="Arial"/>
          <w:szCs w:val="22"/>
          <w:lang w:bidi="ar-EG"/>
        </w:rPr>
        <w:t xml:space="preserve"> </w:t>
      </w:r>
      <w:r w:rsidRPr="00951913">
        <w:rPr>
          <w:rFonts w:cs="Arial"/>
          <w:szCs w:val="22"/>
          <w:lang w:val="es-ES_tradnl" w:bidi="ar-EG"/>
        </w:rPr>
        <w:t>En consecuencia, cuando el Ministerio de Relaciones Exteriores depositó la documentación necesaria para la adhesión de Egipto a la</w:t>
      </w:r>
      <w:r>
        <w:rPr>
          <w:rFonts w:cs="Arial"/>
          <w:szCs w:val="22"/>
          <w:lang w:val="es-ES_tradnl" w:bidi="ar-EG"/>
        </w:rPr>
        <w:t xml:space="preserve"> </w:t>
      </w:r>
      <w:r w:rsidRPr="00951913">
        <w:rPr>
          <w:rFonts w:cs="Arial"/>
          <w:szCs w:val="22"/>
          <w:lang w:val="es-ES_tradnl" w:bidi="ar-EG"/>
        </w:rPr>
        <w:t>UPOV, de conformidad con el Decreto de la República N.º</w:t>
      </w:r>
      <w:r>
        <w:rPr>
          <w:rFonts w:cs="Arial"/>
          <w:szCs w:val="22"/>
          <w:lang w:val="es-ES_tradnl" w:bidi="ar-EG"/>
        </w:rPr>
        <w:t xml:space="preserve"> </w:t>
      </w:r>
      <w:r w:rsidRPr="00951913">
        <w:rPr>
          <w:rFonts w:cs="Arial"/>
          <w:szCs w:val="22"/>
          <w:lang w:val="es-ES_tradnl" w:bidi="ar-EG"/>
        </w:rPr>
        <w:t>84 de</w:t>
      </w:r>
      <w:r>
        <w:rPr>
          <w:rFonts w:cs="Arial"/>
          <w:szCs w:val="22"/>
          <w:lang w:val="es-ES_tradnl" w:bidi="ar-EG"/>
        </w:rPr>
        <w:t xml:space="preserve"> </w:t>
      </w:r>
      <w:r w:rsidRPr="00951913">
        <w:rPr>
          <w:rFonts w:cs="Arial"/>
          <w:szCs w:val="22"/>
          <w:lang w:val="es-ES_tradnl" w:bidi="ar-EG"/>
        </w:rPr>
        <w:t>2017, en el que se aprobaba la adhesión de Egipto al Convenio Internacional para la Protección de las Obtenciones Vegetales a reserva de la ratificación por la Cámara de Representantes, que posteriormente ratificó el Decreto, la [Oficina de la] Unión señaló que la Ley promulgada difería de la versión remitida con anterioridad y, por consiguiente, precisaba algunas modificaciones para guardar conformidad con la versión aprobada por el Consejo y con el Acta de</w:t>
      </w:r>
      <w:r>
        <w:rPr>
          <w:rFonts w:cs="Arial"/>
          <w:szCs w:val="22"/>
          <w:lang w:val="es-ES_tradnl" w:bidi="ar-EG"/>
        </w:rPr>
        <w:t xml:space="preserve"> </w:t>
      </w:r>
      <w:r w:rsidRPr="00951913">
        <w:rPr>
          <w:rFonts w:cs="Arial"/>
          <w:szCs w:val="22"/>
          <w:lang w:val="es-ES_tradnl" w:bidi="ar-EG"/>
        </w:rPr>
        <w:t>1991 del Convenio de la</w:t>
      </w:r>
      <w:r>
        <w:rPr>
          <w:rFonts w:cs="Arial"/>
          <w:szCs w:val="22"/>
          <w:lang w:val="es-ES_tradnl" w:bidi="ar-EG"/>
        </w:rPr>
        <w:t xml:space="preserve"> </w:t>
      </w:r>
      <w:r w:rsidRPr="00951913">
        <w:rPr>
          <w:rFonts w:cs="Arial"/>
          <w:szCs w:val="22"/>
          <w:lang w:val="es-ES_tradnl" w:bidi="ar-EG"/>
        </w:rPr>
        <w:t>UPOV.</w:t>
      </w:r>
    </w:p>
    <w:p w:rsidR="00B75269" w:rsidRDefault="00B75269" w:rsidP="00B75269">
      <w:pPr>
        <w:rPr>
          <w:rFonts w:cs="Arial"/>
          <w:szCs w:val="22"/>
          <w:lang w:val="es-ES_tradnl" w:bidi="ar-EG"/>
        </w:rPr>
      </w:pPr>
    </w:p>
    <w:p w:rsidR="00B75269" w:rsidRPr="009B76EC" w:rsidRDefault="00B75269" w:rsidP="00B75269">
      <w:pPr>
        <w:rPr>
          <w:rFonts w:cs="Arial"/>
          <w:szCs w:val="22"/>
          <w:lang w:bidi="ar-EG"/>
        </w:rPr>
      </w:pPr>
      <w:r w:rsidRPr="000A2342">
        <w:rPr>
          <w:rFonts w:cs="Arial"/>
          <w:szCs w:val="22"/>
          <w:lang w:val="es-ES_tradnl" w:bidi="ar-EG"/>
        </w:rPr>
        <w:t>Así pues, se emitió la nueva Ley N.º</w:t>
      </w:r>
      <w:r>
        <w:rPr>
          <w:rFonts w:cs="Arial"/>
          <w:szCs w:val="22"/>
          <w:lang w:val="es-ES_tradnl" w:bidi="ar-EG"/>
        </w:rPr>
        <w:t xml:space="preserve"> </w:t>
      </w:r>
      <w:r w:rsidRPr="000A2342">
        <w:rPr>
          <w:rFonts w:cs="Arial"/>
          <w:szCs w:val="22"/>
          <w:lang w:val="es-ES_tradnl" w:bidi="ar-EG"/>
        </w:rPr>
        <w:t>144 de</w:t>
      </w:r>
      <w:r>
        <w:rPr>
          <w:rFonts w:cs="Arial"/>
          <w:szCs w:val="22"/>
          <w:lang w:val="es-ES_tradnl" w:bidi="ar-EG"/>
        </w:rPr>
        <w:t xml:space="preserve"> </w:t>
      </w:r>
      <w:r w:rsidRPr="000A2342">
        <w:rPr>
          <w:rFonts w:cs="Arial"/>
          <w:szCs w:val="22"/>
          <w:lang w:val="es-ES_tradnl" w:bidi="ar-EG"/>
        </w:rPr>
        <w:t>2019, en la que constan las modificaciones introducidas en determinadas disposiciones del Libro</w:t>
      </w:r>
      <w:r>
        <w:rPr>
          <w:rFonts w:cs="Arial"/>
          <w:szCs w:val="22"/>
          <w:lang w:val="es-ES_tradnl" w:bidi="ar-EG"/>
        </w:rPr>
        <w:t xml:space="preserve"> </w:t>
      </w:r>
      <w:r w:rsidRPr="000A2342">
        <w:rPr>
          <w:rFonts w:cs="Arial"/>
          <w:szCs w:val="22"/>
          <w:lang w:val="es-ES_tradnl" w:bidi="ar-EG"/>
        </w:rPr>
        <w:t>IV “Variedades vegetales” de la Ley N.º</w:t>
      </w:r>
      <w:r>
        <w:rPr>
          <w:rFonts w:cs="Arial"/>
          <w:szCs w:val="22"/>
          <w:lang w:val="es-ES_tradnl" w:bidi="ar-EG"/>
        </w:rPr>
        <w:t xml:space="preserve"> </w:t>
      </w:r>
      <w:r w:rsidRPr="000A2342">
        <w:rPr>
          <w:rFonts w:cs="Arial"/>
          <w:szCs w:val="22"/>
          <w:lang w:val="es-ES_tradnl" w:bidi="ar-EG"/>
        </w:rPr>
        <w:t>82 de</w:t>
      </w:r>
      <w:r>
        <w:rPr>
          <w:rFonts w:cs="Arial"/>
          <w:szCs w:val="22"/>
          <w:lang w:val="es-ES_tradnl" w:bidi="ar-EG"/>
        </w:rPr>
        <w:t xml:space="preserve"> </w:t>
      </w:r>
      <w:r w:rsidRPr="000A2342">
        <w:rPr>
          <w:rFonts w:cs="Arial"/>
          <w:szCs w:val="22"/>
          <w:lang w:val="es-ES_tradnl" w:bidi="ar-EG"/>
        </w:rPr>
        <w:t>2002 relativa a la Protección de los Derechos de Propiedad Intelectual, y que fue publicada en el Boletín Oficial No.</w:t>
      </w:r>
      <w:r>
        <w:rPr>
          <w:rFonts w:cs="Arial"/>
          <w:szCs w:val="22"/>
          <w:lang w:val="es-ES_tradnl" w:bidi="ar-EG"/>
        </w:rPr>
        <w:t xml:space="preserve"> </w:t>
      </w:r>
      <w:r w:rsidRPr="000A2342">
        <w:rPr>
          <w:rFonts w:cs="Arial"/>
          <w:szCs w:val="22"/>
          <w:lang w:val="es-ES_tradnl" w:bidi="ar-EG"/>
        </w:rPr>
        <w:t>31.</w:t>
      </w:r>
      <w:r w:rsidRPr="000A2342">
        <w:rPr>
          <w:rFonts w:cs="Arial"/>
          <w:i/>
          <w:iCs/>
          <w:szCs w:val="22"/>
          <w:lang w:val="es-ES_tradnl" w:bidi="ar-EG"/>
        </w:rPr>
        <w:t>bis</w:t>
      </w:r>
      <w:r w:rsidRPr="000A2342">
        <w:rPr>
          <w:rFonts w:cs="Arial"/>
          <w:szCs w:val="22"/>
          <w:lang w:val="es-ES_tradnl" w:bidi="ar-EG"/>
        </w:rPr>
        <w:t>.D) el</w:t>
      </w:r>
      <w:r>
        <w:rPr>
          <w:rFonts w:cs="Arial"/>
          <w:szCs w:val="22"/>
          <w:lang w:val="es-ES_tradnl" w:bidi="ar-EG"/>
        </w:rPr>
        <w:t xml:space="preserve"> </w:t>
      </w:r>
      <w:r w:rsidRPr="000A2342">
        <w:rPr>
          <w:rFonts w:cs="Arial"/>
          <w:szCs w:val="22"/>
          <w:lang w:val="es-ES_tradnl" w:bidi="ar-EG"/>
        </w:rPr>
        <w:t>6 de agosto de</w:t>
      </w:r>
      <w:r>
        <w:rPr>
          <w:rFonts w:cs="Arial"/>
          <w:szCs w:val="22"/>
          <w:lang w:val="es-ES_tradnl" w:bidi="ar-EG"/>
        </w:rPr>
        <w:t xml:space="preserve"> </w:t>
      </w:r>
      <w:r w:rsidRPr="000A2342">
        <w:rPr>
          <w:rFonts w:cs="Arial"/>
          <w:szCs w:val="22"/>
          <w:lang w:val="es-ES_tradnl" w:bidi="ar-EG"/>
        </w:rPr>
        <w:t>2019.</w:t>
      </w:r>
    </w:p>
    <w:p w:rsidR="00B75269" w:rsidRPr="00927613" w:rsidRDefault="00B75269" w:rsidP="00B75269">
      <w:pPr>
        <w:rPr>
          <w:rFonts w:cs="Arial"/>
          <w:lang w:val="es-ES_tradnl"/>
        </w:rPr>
      </w:pPr>
    </w:p>
    <w:p w:rsidR="00F64020" w:rsidRDefault="00F64020" w:rsidP="00F64020">
      <w:pPr>
        <w:rPr>
          <w:rFonts w:cs="Arial"/>
          <w:szCs w:val="22"/>
          <w:lang w:val="es-ES_tradnl" w:bidi="ar-EG"/>
        </w:rPr>
      </w:pPr>
      <w:bookmarkStart w:id="2" w:name="_GoBack"/>
      <w:bookmarkEnd w:id="2"/>
      <w:r w:rsidRPr="000A2342">
        <w:rPr>
          <w:rFonts w:cs="Arial"/>
          <w:szCs w:val="22"/>
          <w:lang w:val="es-ES_tradnl" w:bidi="ar-EG"/>
        </w:rPr>
        <w:t>De esta manera, la Ley egipcia ha quedado armonizada con el Acta de</w:t>
      </w:r>
      <w:r w:rsidR="007514E1">
        <w:rPr>
          <w:rFonts w:cs="Arial"/>
          <w:szCs w:val="22"/>
          <w:lang w:val="es-ES_tradnl" w:bidi="ar-EG"/>
        </w:rPr>
        <w:t xml:space="preserve"> </w:t>
      </w:r>
      <w:r w:rsidRPr="000A2342">
        <w:rPr>
          <w:rFonts w:cs="Arial"/>
          <w:szCs w:val="22"/>
          <w:lang w:val="es-ES_tradnl" w:bidi="ar-EG"/>
        </w:rPr>
        <w:t>1991 del Convenio de la</w:t>
      </w:r>
      <w:r w:rsidR="007514E1">
        <w:rPr>
          <w:rFonts w:cs="Arial"/>
          <w:szCs w:val="22"/>
          <w:lang w:val="es-ES_tradnl" w:bidi="ar-EG"/>
        </w:rPr>
        <w:t xml:space="preserve"> </w:t>
      </w:r>
      <w:r w:rsidRPr="000A2342">
        <w:rPr>
          <w:rFonts w:cs="Arial"/>
          <w:szCs w:val="22"/>
          <w:lang w:val="es-ES_tradnl" w:bidi="ar-EG"/>
        </w:rPr>
        <w:t>UPOV y con el proyecto de Ley aprobado por el Consejo de la UPOV en marzo de</w:t>
      </w:r>
      <w:r w:rsidR="007514E1">
        <w:rPr>
          <w:rFonts w:cs="Arial"/>
          <w:szCs w:val="22"/>
          <w:lang w:val="es-ES_tradnl" w:bidi="ar-EG"/>
        </w:rPr>
        <w:t xml:space="preserve"> </w:t>
      </w:r>
      <w:r w:rsidRPr="000A2342">
        <w:rPr>
          <w:rFonts w:cs="Arial"/>
          <w:szCs w:val="22"/>
          <w:lang w:val="es-ES_tradnl" w:bidi="ar-EG"/>
        </w:rPr>
        <w:t>2015, con las excepciones siguientes:</w:t>
      </w:r>
    </w:p>
    <w:p w:rsidR="00F64020" w:rsidRPr="009B76EC" w:rsidRDefault="00F64020" w:rsidP="00F64020">
      <w:pPr>
        <w:rPr>
          <w:rFonts w:cs="Arial"/>
          <w:szCs w:val="22"/>
          <w:lang w:bidi="ar-EG"/>
        </w:rPr>
      </w:pPr>
    </w:p>
    <w:p w:rsidR="00F64020" w:rsidRPr="00F64020" w:rsidRDefault="00F64020" w:rsidP="00F64020">
      <w:pPr>
        <w:numPr>
          <w:ilvl w:val="0"/>
          <w:numId w:val="2"/>
        </w:numPr>
        <w:ind w:left="714" w:hanging="357"/>
        <w:rPr>
          <w:rFonts w:cs="Arial"/>
          <w:szCs w:val="22"/>
          <w:lang w:bidi="ar-EG"/>
        </w:rPr>
      </w:pPr>
      <w:r w:rsidRPr="000A2342">
        <w:rPr>
          <w:rFonts w:cs="Arial"/>
          <w:szCs w:val="22"/>
          <w:lang w:val="es-ES_tradnl" w:bidi="ar-EG"/>
        </w:rPr>
        <w:t>se ha modificado el párrafo</w:t>
      </w:r>
      <w:r w:rsidR="007514E1">
        <w:rPr>
          <w:rFonts w:cs="Arial"/>
          <w:szCs w:val="22"/>
          <w:lang w:val="es-ES_tradnl" w:bidi="ar-EG"/>
        </w:rPr>
        <w:t xml:space="preserve"> </w:t>
      </w:r>
      <w:r w:rsidRPr="000A2342">
        <w:rPr>
          <w:rFonts w:cs="Arial"/>
          <w:szCs w:val="22"/>
          <w:lang w:val="es-ES_tradnl" w:bidi="ar-EG"/>
        </w:rPr>
        <w:t>2 del artículo</w:t>
      </w:r>
      <w:r w:rsidR="007514E1">
        <w:rPr>
          <w:rFonts w:cs="Arial"/>
          <w:szCs w:val="22"/>
          <w:lang w:val="es-ES_tradnl" w:bidi="ar-EG"/>
        </w:rPr>
        <w:t xml:space="preserve"> </w:t>
      </w:r>
      <w:r w:rsidRPr="000A2342">
        <w:rPr>
          <w:rFonts w:cs="Arial"/>
          <w:szCs w:val="22"/>
          <w:lang w:val="es-ES_tradnl" w:bidi="ar-EG"/>
        </w:rPr>
        <w:t>193 para indicar que el período de protección [provisional] comienza en la fecha de presentación y no en la fecha de publicación;</w:t>
      </w:r>
    </w:p>
    <w:p w:rsidR="00F64020" w:rsidRPr="009B76EC" w:rsidRDefault="00F64020" w:rsidP="00F64020">
      <w:pPr>
        <w:ind w:left="357"/>
        <w:rPr>
          <w:rFonts w:cs="Arial"/>
          <w:szCs w:val="22"/>
          <w:lang w:bidi="ar-EG"/>
        </w:rPr>
      </w:pPr>
    </w:p>
    <w:p w:rsidR="00F64020" w:rsidRPr="00F64020" w:rsidRDefault="00F64020" w:rsidP="00F64020">
      <w:pPr>
        <w:numPr>
          <w:ilvl w:val="0"/>
          <w:numId w:val="2"/>
        </w:numPr>
        <w:ind w:left="714" w:hanging="357"/>
        <w:rPr>
          <w:rFonts w:cs="Arial"/>
          <w:szCs w:val="22"/>
          <w:lang w:bidi="ar-EG"/>
        </w:rPr>
      </w:pPr>
      <w:r w:rsidRPr="000A2342">
        <w:rPr>
          <w:rFonts w:cs="Arial"/>
          <w:szCs w:val="22"/>
          <w:lang w:val="es-ES_tradnl" w:bidi="ar-EG"/>
        </w:rPr>
        <w:t>se han suprimido del artículo</w:t>
      </w:r>
      <w:r w:rsidR="007514E1">
        <w:rPr>
          <w:rFonts w:cs="Arial"/>
          <w:szCs w:val="22"/>
          <w:lang w:val="es-ES_tradnl" w:bidi="ar-EG"/>
        </w:rPr>
        <w:t xml:space="preserve"> </w:t>
      </w:r>
      <w:r w:rsidRPr="000A2342">
        <w:rPr>
          <w:rFonts w:cs="Arial"/>
          <w:szCs w:val="22"/>
          <w:lang w:val="es-ES_tradnl" w:bidi="ar-EG"/>
        </w:rPr>
        <w:t>195 las dos frases relativas a la reproducción vegetativa; y</w:t>
      </w:r>
    </w:p>
    <w:p w:rsidR="00F64020" w:rsidRPr="009B76EC" w:rsidRDefault="00F64020" w:rsidP="00F64020">
      <w:pPr>
        <w:ind w:left="357"/>
        <w:rPr>
          <w:rFonts w:cs="Arial"/>
          <w:szCs w:val="22"/>
          <w:lang w:bidi="ar-EG"/>
        </w:rPr>
      </w:pPr>
    </w:p>
    <w:p w:rsidR="00F64020" w:rsidRPr="009B76EC" w:rsidRDefault="00F64020" w:rsidP="00F64020">
      <w:pPr>
        <w:numPr>
          <w:ilvl w:val="0"/>
          <w:numId w:val="2"/>
        </w:numPr>
        <w:ind w:left="714" w:hanging="357"/>
        <w:rPr>
          <w:rFonts w:cs="Arial"/>
          <w:szCs w:val="22"/>
          <w:lang w:bidi="ar-EG"/>
        </w:rPr>
      </w:pPr>
      <w:r w:rsidRPr="000A2342">
        <w:rPr>
          <w:rFonts w:cs="Arial"/>
          <w:szCs w:val="22"/>
          <w:lang w:val="es-ES_tradnl" w:bidi="ar-EG"/>
        </w:rPr>
        <w:t>las disposiciones de la Ley se aplican a determinadas variedades y especies vegetales (artículo</w:t>
      </w:r>
      <w:r w:rsidR="007514E1">
        <w:rPr>
          <w:rFonts w:cs="Arial"/>
          <w:szCs w:val="22"/>
          <w:lang w:val="es-ES_tradnl" w:bidi="ar-EG"/>
        </w:rPr>
        <w:t xml:space="preserve"> </w:t>
      </w:r>
      <w:r w:rsidRPr="000A2342">
        <w:rPr>
          <w:rFonts w:cs="Arial"/>
          <w:szCs w:val="22"/>
          <w:lang w:val="es-ES_tradnl" w:bidi="ar-EG"/>
        </w:rPr>
        <w:t>202.</w:t>
      </w:r>
      <w:r w:rsidRPr="000A2342">
        <w:rPr>
          <w:rFonts w:cs="Arial"/>
          <w:i/>
          <w:iCs/>
          <w:szCs w:val="22"/>
          <w:lang w:val="es-ES_tradnl" w:bidi="ar-EG"/>
        </w:rPr>
        <w:t>bis</w:t>
      </w:r>
      <w:r w:rsidRPr="000A2342">
        <w:rPr>
          <w:rFonts w:cs="Arial"/>
          <w:szCs w:val="22"/>
          <w:lang w:val="es-ES_tradnl" w:bidi="ar-EG"/>
        </w:rPr>
        <w:t>).</w:t>
      </w:r>
    </w:p>
    <w:p w:rsidR="00F64020" w:rsidRDefault="00F64020" w:rsidP="00F64020">
      <w:pPr>
        <w:rPr>
          <w:rFonts w:cs="Arial"/>
          <w:szCs w:val="22"/>
          <w:lang w:val="es-ES_tradnl" w:bidi="ar-EG"/>
        </w:rPr>
      </w:pPr>
    </w:p>
    <w:p w:rsidR="00F64020" w:rsidRPr="009B76EC" w:rsidRDefault="00F64020" w:rsidP="00F64020">
      <w:pPr>
        <w:rPr>
          <w:rFonts w:cs="Arial"/>
          <w:szCs w:val="22"/>
          <w:lang w:bidi="ar-EG"/>
        </w:rPr>
      </w:pPr>
      <w:r w:rsidRPr="000A2342">
        <w:rPr>
          <w:rFonts w:cs="Arial"/>
          <w:szCs w:val="22"/>
          <w:lang w:val="es-ES_tradnl" w:bidi="ar-EG"/>
        </w:rPr>
        <w:t>Cabe señalar que estas modificaciones no afectan a la compatibilidad entre la Ley egipcia y el Acta de</w:t>
      </w:r>
      <w:r w:rsidR="007514E1">
        <w:rPr>
          <w:rFonts w:cs="Arial"/>
          <w:szCs w:val="22"/>
          <w:lang w:val="es-ES_tradnl" w:bidi="ar-EG"/>
        </w:rPr>
        <w:t xml:space="preserve"> </w:t>
      </w:r>
      <w:r w:rsidRPr="000A2342">
        <w:rPr>
          <w:rFonts w:cs="Arial"/>
          <w:szCs w:val="22"/>
          <w:lang w:val="es-ES_tradnl" w:bidi="ar-EG"/>
        </w:rPr>
        <w:t>1991 del Convenio de la</w:t>
      </w:r>
      <w:r w:rsidR="007514E1">
        <w:rPr>
          <w:rFonts w:cs="Arial"/>
          <w:szCs w:val="22"/>
          <w:lang w:val="es-ES_tradnl" w:bidi="ar-EG"/>
        </w:rPr>
        <w:t xml:space="preserve"> </w:t>
      </w:r>
      <w:r w:rsidRPr="000A2342">
        <w:rPr>
          <w:rFonts w:cs="Arial"/>
          <w:szCs w:val="22"/>
          <w:lang w:val="es-ES_tradnl" w:bidi="ar-EG"/>
        </w:rPr>
        <w:t>UPOV, tal como se debatió y se acordó con la Secretaría de la</w:t>
      </w:r>
      <w:r w:rsidR="007514E1">
        <w:rPr>
          <w:rFonts w:cs="Arial"/>
          <w:szCs w:val="22"/>
          <w:lang w:val="es-ES_tradnl" w:bidi="ar-EG"/>
        </w:rPr>
        <w:t xml:space="preserve"> </w:t>
      </w:r>
      <w:r w:rsidRPr="000A2342">
        <w:rPr>
          <w:rFonts w:cs="Arial"/>
          <w:szCs w:val="22"/>
          <w:lang w:val="es-ES_tradnl" w:bidi="ar-EG"/>
        </w:rPr>
        <w:t>UPOV antes de la promulgación de la Ley.</w:t>
      </w:r>
    </w:p>
    <w:p w:rsidR="00902EAD" w:rsidRPr="00927613" w:rsidRDefault="00902EAD" w:rsidP="00902EAD">
      <w:pPr>
        <w:rPr>
          <w:rFonts w:cs="Arial"/>
          <w:lang w:val="es-ES_tradnl"/>
        </w:rPr>
      </w:pPr>
    </w:p>
    <w:p w:rsidR="00902EAD" w:rsidRPr="00927613" w:rsidRDefault="00902EAD" w:rsidP="00902EAD">
      <w:pPr>
        <w:rPr>
          <w:rFonts w:cs="Arial"/>
          <w:lang w:val="es-ES_tradnl"/>
        </w:rPr>
      </w:pPr>
      <w:r w:rsidRPr="00927613">
        <w:rPr>
          <w:rFonts w:cs="Arial"/>
          <w:lang w:val="es-ES_tradnl"/>
        </w:rPr>
        <w:t>(Firmada)</w:t>
      </w:r>
    </w:p>
    <w:p w:rsidR="00902EAD" w:rsidRDefault="00902EAD" w:rsidP="00902EAD">
      <w:pPr>
        <w:pStyle w:val="Footer"/>
        <w:rPr>
          <w:rFonts w:cs="Arial"/>
          <w:sz w:val="20"/>
          <w:lang w:val="es-ES_tradnl"/>
        </w:rPr>
      </w:pPr>
    </w:p>
    <w:p w:rsidR="00DB49F1" w:rsidRDefault="00DB49F1" w:rsidP="00902EAD">
      <w:pPr>
        <w:pStyle w:val="Footer"/>
        <w:rPr>
          <w:rFonts w:cs="Arial"/>
          <w:sz w:val="20"/>
          <w:lang w:val="es-ES_tradnl"/>
        </w:rPr>
      </w:pPr>
    </w:p>
    <w:p w:rsidR="00DB49F1" w:rsidRDefault="00DB49F1" w:rsidP="00902EAD">
      <w:pPr>
        <w:pStyle w:val="Footer"/>
        <w:rPr>
          <w:rFonts w:cs="Arial"/>
          <w:sz w:val="20"/>
          <w:lang w:val="es-ES_tradnl"/>
        </w:rPr>
      </w:pPr>
    </w:p>
    <w:p w:rsidR="009B76EC" w:rsidRPr="00062884" w:rsidRDefault="00DC5EB0" w:rsidP="009B76EC">
      <w:pPr>
        <w:jc w:val="right"/>
      </w:pPr>
      <w:r w:rsidRPr="00062884">
        <w:t>[</w:t>
      </w:r>
      <w:r w:rsidR="00DD185A" w:rsidRPr="00062884">
        <w:rPr>
          <w:lang w:val="es-ES_tradnl"/>
        </w:rPr>
        <w:t>Fin del Anexo</w:t>
      </w:r>
      <w:r w:rsidR="00E469B3" w:rsidRPr="00062884">
        <w:rPr>
          <w:lang w:val="es-ES_tradnl"/>
        </w:rPr>
        <w:t xml:space="preserve"> IV</w:t>
      </w:r>
      <w:r w:rsidRPr="00062884">
        <w:rPr>
          <w:lang w:val="es-ES_tradnl"/>
        </w:rPr>
        <w:t xml:space="preserve"> </w:t>
      </w:r>
      <w:r w:rsidR="00DD185A" w:rsidRPr="00062884">
        <w:rPr>
          <w:lang w:val="es-ES_tradnl"/>
        </w:rPr>
        <w:t>y del documento</w:t>
      </w:r>
      <w:r w:rsidRPr="00062884">
        <w:t>]</w:t>
      </w:r>
    </w:p>
    <w:sectPr w:rsidR="009B76EC" w:rsidRPr="00062884" w:rsidSect="001B148C">
      <w:headerReference w:type="default" r:id="rId18"/>
      <w:headerReference w:type="first" r:id="rId1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B6C" w:rsidRDefault="00562B6C" w:rsidP="006655D3">
      <w:r>
        <w:separator/>
      </w:r>
    </w:p>
    <w:p w:rsidR="00562B6C" w:rsidRDefault="00562B6C" w:rsidP="006655D3"/>
    <w:p w:rsidR="00562B6C" w:rsidRDefault="00562B6C" w:rsidP="006655D3"/>
  </w:endnote>
  <w:endnote w:type="continuationSeparator" w:id="0">
    <w:p w:rsidR="00562B6C" w:rsidRDefault="00562B6C" w:rsidP="006655D3">
      <w:r>
        <w:separator/>
      </w:r>
    </w:p>
    <w:p w:rsidR="00562B6C" w:rsidRPr="00294751" w:rsidRDefault="00562B6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562B6C" w:rsidRPr="00294751" w:rsidRDefault="00562B6C" w:rsidP="006655D3">
      <w:pPr>
        <w:rPr>
          <w:lang w:val="fr-FR"/>
        </w:rPr>
      </w:pPr>
    </w:p>
    <w:p w:rsidR="00562B6C" w:rsidRPr="00294751" w:rsidRDefault="00562B6C" w:rsidP="006655D3">
      <w:pPr>
        <w:rPr>
          <w:lang w:val="fr-FR"/>
        </w:rPr>
      </w:pPr>
    </w:p>
  </w:endnote>
  <w:endnote w:type="continuationNotice" w:id="1">
    <w:p w:rsidR="00562B6C" w:rsidRPr="00294751" w:rsidRDefault="00562B6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562B6C" w:rsidRPr="00294751" w:rsidRDefault="00562B6C" w:rsidP="006655D3">
      <w:pPr>
        <w:rPr>
          <w:lang w:val="fr-FR"/>
        </w:rPr>
      </w:pPr>
    </w:p>
    <w:p w:rsidR="00562B6C" w:rsidRPr="00294751" w:rsidRDefault="00562B6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B6C" w:rsidRPr="001210C2" w:rsidRDefault="00562B6C" w:rsidP="008A7B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B6C" w:rsidRDefault="00562B6C" w:rsidP="006655D3">
      <w:r>
        <w:separator/>
      </w:r>
    </w:p>
  </w:footnote>
  <w:footnote w:type="continuationSeparator" w:id="0">
    <w:p w:rsidR="00562B6C" w:rsidRDefault="00562B6C" w:rsidP="006655D3">
      <w:r>
        <w:separator/>
      </w:r>
    </w:p>
  </w:footnote>
  <w:footnote w:type="continuationNotice" w:id="1">
    <w:p w:rsidR="00562B6C" w:rsidRPr="00AB530F" w:rsidRDefault="00562B6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B6C" w:rsidRPr="002C3075" w:rsidRDefault="00562B6C" w:rsidP="00DC5EB0">
    <w:pPr>
      <w:pStyle w:val="Header"/>
    </w:pPr>
    <w:r>
      <w:t>C/53/13</w:t>
    </w:r>
  </w:p>
  <w:p w:rsidR="00562B6C" w:rsidRPr="00805977" w:rsidRDefault="00562B6C" w:rsidP="00DC5EB0">
    <w:pPr>
      <w:pStyle w:val="Header"/>
      <w:rPr>
        <w:lang w:val="es-ES_tradnl"/>
      </w:rPr>
    </w:pPr>
    <w:r w:rsidRPr="00805977">
      <w:rPr>
        <w:lang w:val="es-ES_tradnl"/>
      </w:rPr>
      <w:t xml:space="preserve">página </w:t>
    </w:r>
    <w:r w:rsidRPr="00805977">
      <w:rPr>
        <w:lang w:val="es-ES_tradnl"/>
      </w:rPr>
      <w:fldChar w:fldCharType="begin"/>
    </w:r>
    <w:r w:rsidRPr="00805977">
      <w:rPr>
        <w:lang w:val="es-ES_tradnl"/>
      </w:rPr>
      <w:instrText xml:space="preserve"> PAGE </w:instrText>
    </w:r>
    <w:r w:rsidRPr="00805977">
      <w:rPr>
        <w:lang w:val="es-ES_tradnl"/>
      </w:rPr>
      <w:fldChar w:fldCharType="separate"/>
    </w:r>
    <w:r w:rsidR="00B75269">
      <w:rPr>
        <w:noProof/>
        <w:lang w:val="es-ES_tradnl"/>
      </w:rPr>
      <w:t>4</w:t>
    </w:r>
    <w:r w:rsidRPr="00805977">
      <w:rPr>
        <w:lang w:val="es-ES_tradnl"/>
      </w:rPr>
      <w:fldChar w:fldCharType="end"/>
    </w:r>
  </w:p>
  <w:p w:rsidR="00562B6C" w:rsidRPr="00C5280D" w:rsidRDefault="00562B6C" w:rsidP="00CF2D6B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B6C" w:rsidRPr="00C5280D" w:rsidRDefault="00562B6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C/47/</w:t>
    </w:r>
  </w:p>
  <w:p w:rsidR="00562B6C" w:rsidRPr="00C5280D" w:rsidRDefault="00562B6C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82F1C">
      <w:rPr>
        <w:rStyle w:val="PageNumber"/>
        <w:noProof/>
        <w:lang w:val="en-US"/>
      </w:rPr>
      <w:t>6</w:t>
    </w:r>
    <w:r w:rsidRPr="00C5280D">
      <w:rPr>
        <w:rStyle w:val="PageNumber"/>
        <w:lang w:val="en-US"/>
      </w:rPr>
      <w:fldChar w:fldCharType="end"/>
    </w:r>
  </w:p>
  <w:p w:rsidR="00562B6C" w:rsidRPr="00C5280D" w:rsidRDefault="00562B6C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B6C" w:rsidRDefault="00562B6C">
    <w:pPr>
      <w:pStyle w:val="Header"/>
    </w:pPr>
    <w:r>
      <w:t>C/53/13</w:t>
    </w:r>
  </w:p>
  <w:p w:rsidR="00562B6C" w:rsidRDefault="00562B6C">
    <w:pPr>
      <w:pStyle w:val="Header"/>
    </w:pPr>
  </w:p>
  <w:p w:rsidR="00562B6C" w:rsidRPr="004174B2" w:rsidRDefault="00562B6C">
    <w:pPr>
      <w:pStyle w:val="Header"/>
      <w:rPr>
        <w:lang w:val="es-ES_tradnl"/>
      </w:rPr>
    </w:pPr>
    <w:r w:rsidRPr="004174B2">
      <w:rPr>
        <w:lang w:val="es-ES_tradnl"/>
      </w:rPr>
      <w:t>ANEXO I</w:t>
    </w:r>
  </w:p>
  <w:p w:rsidR="00562B6C" w:rsidRDefault="00562B6C">
    <w:pPr>
      <w:pStyle w:val="Header"/>
    </w:pPr>
  </w:p>
  <w:p w:rsidR="00562B6C" w:rsidRDefault="00562B6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B6C" w:rsidRPr="00C5280D" w:rsidRDefault="00562B6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C/53/13</w:t>
    </w:r>
  </w:p>
  <w:p w:rsidR="00562B6C" w:rsidRPr="00805977" w:rsidRDefault="00562B6C" w:rsidP="00EB048E">
    <w:pPr>
      <w:pStyle w:val="Header"/>
      <w:rPr>
        <w:lang w:val="es-ES_tradnl"/>
      </w:rPr>
    </w:pPr>
    <w:r w:rsidRPr="00805977">
      <w:rPr>
        <w:lang w:val="es-ES_tradnl"/>
      </w:rPr>
      <w:t xml:space="preserve">Anexo II, página </w:t>
    </w:r>
    <w:r w:rsidRPr="00805977">
      <w:rPr>
        <w:rStyle w:val="PageNumber"/>
        <w:lang w:val="es-ES_tradnl"/>
      </w:rPr>
      <w:fldChar w:fldCharType="begin"/>
    </w:r>
    <w:r w:rsidRPr="00805977">
      <w:rPr>
        <w:rStyle w:val="PageNumber"/>
        <w:lang w:val="es-ES_tradnl"/>
      </w:rPr>
      <w:instrText xml:space="preserve"> PAGE </w:instrText>
    </w:r>
    <w:r w:rsidRPr="00805977">
      <w:rPr>
        <w:rStyle w:val="PageNumber"/>
        <w:lang w:val="es-ES_tradnl"/>
      </w:rPr>
      <w:fldChar w:fldCharType="separate"/>
    </w:r>
    <w:r w:rsidR="00B75269">
      <w:rPr>
        <w:rStyle w:val="PageNumber"/>
        <w:noProof/>
        <w:lang w:val="es-ES_tradnl"/>
      </w:rPr>
      <w:t>3</w:t>
    </w:r>
    <w:r w:rsidRPr="00805977">
      <w:rPr>
        <w:rStyle w:val="PageNumber"/>
        <w:lang w:val="es-ES_tradnl"/>
      </w:rPr>
      <w:fldChar w:fldCharType="end"/>
    </w:r>
  </w:p>
  <w:p w:rsidR="00562B6C" w:rsidRPr="00C5280D" w:rsidRDefault="00562B6C" w:rsidP="006655D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B6C" w:rsidRDefault="00562B6C">
    <w:pPr>
      <w:pStyle w:val="Header"/>
    </w:pPr>
    <w:r>
      <w:t>C/53/13</w:t>
    </w:r>
  </w:p>
  <w:p w:rsidR="00562B6C" w:rsidRDefault="00562B6C">
    <w:pPr>
      <w:pStyle w:val="Header"/>
    </w:pPr>
  </w:p>
  <w:p w:rsidR="00562B6C" w:rsidRPr="00084645" w:rsidRDefault="00562B6C" w:rsidP="00B823AB">
    <w:pPr>
      <w:jc w:val="center"/>
      <w:rPr>
        <w:lang w:val="es-ES_tradnl"/>
      </w:rPr>
    </w:pPr>
    <w:r w:rsidRPr="00084645">
      <w:rPr>
        <w:lang w:val="es-ES_tradnl"/>
      </w:rPr>
      <w:t>ANEXO II</w:t>
    </w:r>
  </w:p>
  <w:p w:rsidR="00562B6C" w:rsidRDefault="00562B6C" w:rsidP="00B823AB">
    <w:pPr>
      <w:jc w:val="center"/>
    </w:pPr>
  </w:p>
  <w:p w:rsidR="00562B6C" w:rsidRDefault="00562B6C" w:rsidP="00B823AB">
    <w:pPr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B6C" w:rsidRDefault="00562B6C" w:rsidP="00DC5EB0">
    <w:pPr>
      <w:pStyle w:val="Header"/>
    </w:pPr>
    <w:r>
      <w:t>C/53/13</w:t>
    </w:r>
  </w:p>
  <w:p w:rsidR="00562B6C" w:rsidRDefault="00562B6C" w:rsidP="00DC5EB0">
    <w:pPr>
      <w:pStyle w:val="Header"/>
    </w:pPr>
  </w:p>
  <w:p w:rsidR="00562B6C" w:rsidRPr="00270F63" w:rsidRDefault="00562B6C" w:rsidP="009B76EC">
    <w:pPr>
      <w:jc w:val="center"/>
      <w:rPr>
        <w:lang w:val="es-ES_tradnl"/>
      </w:rPr>
    </w:pPr>
    <w:r w:rsidRPr="00270F63">
      <w:rPr>
        <w:lang w:val="es-ES_tradnl"/>
      </w:rPr>
      <w:t>ANEXO III</w:t>
    </w:r>
  </w:p>
  <w:p w:rsidR="00562B6C" w:rsidRDefault="00562B6C">
    <w:pPr>
      <w:pStyle w:val="Header"/>
    </w:pPr>
  </w:p>
  <w:p w:rsidR="00562B6C" w:rsidRDefault="00562B6C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B6C" w:rsidRPr="00C5280D" w:rsidRDefault="00562B6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C/53/13</w:t>
    </w:r>
  </w:p>
  <w:p w:rsidR="00562B6C" w:rsidRPr="00805977" w:rsidRDefault="00562B6C" w:rsidP="00EB048E">
    <w:pPr>
      <w:pStyle w:val="Header"/>
      <w:rPr>
        <w:lang w:val="es-ES_tradnl"/>
      </w:rPr>
    </w:pPr>
    <w:r w:rsidRPr="00805977">
      <w:rPr>
        <w:lang w:val="es-ES_tradnl"/>
      </w:rPr>
      <w:t>Anexo I</w:t>
    </w:r>
    <w:r>
      <w:rPr>
        <w:lang w:val="es-ES_tradnl"/>
      </w:rPr>
      <w:t>V</w:t>
    </w:r>
    <w:r w:rsidRPr="00805977">
      <w:rPr>
        <w:lang w:val="es-ES_tradnl"/>
      </w:rPr>
      <w:t xml:space="preserve">, página </w:t>
    </w:r>
    <w:r w:rsidRPr="00805977">
      <w:rPr>
        <w:rStyle w:val="PageNumber"/>
        <w:lang w:val="es-ES_tradnl"/>
      </w:rPr>
      <w:fldChar w:fldCharType="begin"/>
    </w:r>
    <w:r w:rsidRPr="00805977">
      <w:rPr>
        <w:rStyle w:val="PageNumber"/>
        <w:lang w:val="es-ES_tradnl"/>
      </w:rPr>
      <w:instrText xml:space="preserve"> PAGE </w:instrText>
    </w:r>
    <w:r w:rsidRPr="00805977">
      <w:rPr>
        <w:rStyle w:val="PageNumber"/>
        <w:lang w:val="es-ES_tradnl"/>
      </w:rPr>
      <w:fldChar w:fldCharType="separate"/>
    </w:r>
    <w:r w:rsidR="009A2335">
      <w:rPr>
        <w:rStyle w:val="PageNumber"/>
        <w:noProof/>
        <w:lang w:val="es-ES_tradnl"/>
      </w:rPr>
      <w:t>2</w:t>
    </w:r>
    <w:r w:rsidRPr="00805977">
      <w:rPr>
        <w:rStyle w:val="PageNumber"/>
        <w:lang w:val="es-ES_tradnl"/>
      </w:rPr>
      <w:fldChar w:fldCharType="end"/>
    </w:r>
  </w:p>
  <w:p w:rsidR="00562B6C" w:rsidRPr="00C5280D" w:rsidRDefault="00562B6C" w:rsidP="006655D3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B6C" w:rsidRDefault="00562B6C" w:rsidP="00DC5EB0">
    <w:pPr>
      <w:pStyle w:val="Header"/>
    </w:pPr>
    <w:r>
      <w:t>C/53/13</w:t>
    </w:r>
  </w:p>
  <w:p w:rsidR="00562B6C" w:rsidRDefault="00562B6C" w:rsidP="00DC5EB0">
    <w:pPr>
      <w:pStyle w:val="Header"/>
    </w:pPr>
  </w:p>
  <w:p w:rsidR="00562B6C" w:rsidRPr="00805977" w:rsidRDefault="00562B6C" w:rsidP="009B76EC">
    <w:pPr>
      <w:jc w:val="center"/>
      <w:rPr>
        <w:lang w:val="es-ES_tradnl"/>
      </w:rPr>
    </w:pPr>
    <w:r w:rsidRPr="00805977">
      <w:rPr>
        <w:lang w:val="es-ES_tradnl"/>
      </w:rPr>
      <w:t>ANEXO IV</w:t>
    </w:r>
  </w:p>
  <w:p w:rsidR="00562B6C" w:rsidRDefault="00562B6C">
    <w:pPr>
      <w:pStyle w:val="Header"/>
    </w:pPr>
  </w:p>
  <w:p w:rsidR="00562B6C" w:rsidRDefault="00562B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23D5"/>
    <w:multiLevelType w:val="hybridMultilevel"/>
    <w:tmpl w:val="CE40117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B78E6"/>
    <w:multiLevelType w:val="hybridMultilevel"/>
    <w:tmpl w:val="692AD2F8"/>
    <w:lvl w:ilvl="0" w:tplc="0C0A0017">
      <w:start w:val="1"/>
      <w:numFmt w:val="lowerLetter"/>
      <w:lvlText w:val="%1)"/>
      <w:lvlJc w:val="left"/>
      <w:pPr>
        <w:ind w:left="5540" w:hanging="360"/>
      </w:pPr>
    </w:lvl>
    <w:lvl w:ilvl="1" w:tplc="0C0A0017">
      <w:start w:val="1"/>
      <w:numFmt w:val="lowerLetter"/>
      <w:lvlText w:val="%2)"/>
      <w:lvlJc w:val="left"/>
      <w:pPr>
        <w:ind w:left="6260" w:hanging="360"/>
      </w:pPr>
    </w:lvl>
    <w:lvl w:ilvl="2" w:tplc="580A001B" w:tentative="1">
      <w:start w:val="1"/>
      <w:numFmt w:val="lowerRoman"/>
      <w:lvlText w:val="%3."/>
      <w:lvlJc w:val="right"/>
      <w:pPr>
        <w:ind w:left="6980" w:hanging="180"/>
      </w:pPr>
    </w:lvl>
    <w:lvl w:ilvl="3" w:tplc="580A000F" w:tentative="1">
      <w:start w:val="1"/>
      <w:numFmt w:val="decimal"/>
      <w:lvlText w:val="%4."/>
      <w:lvlJc w:val="left"/>
      <w:pPr>
        <w:ind w:left="7700" w:hanging="360"/>
      </w:pPr>
    </w:lvl>
    <w:lvl w:ilvl="4" w:tplc="580A0019" w:tentative="1">
      <w:start w:val="1"/>
      <w:numFmt w:val="lowerLetter"/>
      <w:lvlText w:val="%5."/>
      <w:lvlJc w:val="left"/>
      <w:pPr>
        <w:ind w:left="8420" w:hanging="360"/>
      </w:pPr>
    </w:lvl>
    <w:lvl w:ilvl="5" w:tplc="580A001B" w:tentative="1">
      <w:start w:val="1"/>
      <w:numFmt w:val="lowerRoman"/>
      <w:lvlText w:val="%6."/>
      <w:lvlJc w:val="right"/>
      <w:pPr>
        <w:ind w:left="9140" w:hanging="180"/>
      </w:pPr>
    </w:lvl>
    <w:lvl w:ilvl="6" w:tplc="580A000F" w:tentative="1">
      <w:start w:val="1"/>
      <w:numFmt w:val="decimal"/>
      <w:lvlText w:val="%7."/>
      <w:lvlJc w:val="left"/>
      <w:pPr>
        <w:ind w:left="9860" w:hanging="360"/>
      </w:pPr>
    </w:lvl>
    <w:lvl w:ilvl="7" w:tplc="580A0019" w:tentative="1">
      <w:start w:val="1"/>
      <w:numFmt w:val="lowerLetter"/>
      <w:lvlText w:val="%8."/>
      <w:lvlJc w:val="left"/>
      <w:pPr>
        <w:ind w:left="10580" w:hanging="360"/>
      </w:pPr>
    </w:lvl>
    <w:lvl w:ilvl="8" w:tplc="580A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2" w15:restartNumberingAfterBreak="0">
    <w:nsid w:val="2C847651"/>
    <w:multiLevelType w:val="hybridMultilevel"/>
    <w:tmpl w:val="3440F8C2"/>
    <w:lvl w:ilvl="0" w:tplc="E9B2036A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E4A87"/>
    <w:multiLevelType w:val="hybridMultilevel"/>
    <w:tmpl w:val="8A704ACA"/>
    <w:lvl w:ilvl="0" w:tplc="69820A38">
      <w:start w:val="1"/>
      <w:numFmt w:val="lowerRoman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471704C2"/>
    <w:multiLevelType w:val="hybridMultilevel"/>
    <w:tmpl w:val="65086876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06A6D"/>
    <w:multiLevelType w:val="hybridMultilevel"/>
    <w:tmpl w:val="E03C0354"/>
    <w:lvl w:ilvl="0" w:tplc="0AD62F02">
      <w:start w:val="1"/>
      <w:numFmt w:val="lowerRoman"/>
      <w:lvlText w:val="(%1)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85868"/>
    <w:multiLevelType w:val="hybridMultilevel"/>
    <w:tmpl w:val="EC3E89EC"/>
    <w:lvl w:ilvl="0" w:tplc="5F8ACAAE">
      <w:start w:val="1"/>
      <w:numFmt w:val="decimal"/>
      <w:lvlText w:val="%1."/>
      <w:lvlJc w:val="left"/>
      <w:pPr>
        <w:ind w:left="0" w:firstLine="0"/>
      </w:pPr>
      <w:rPr>
        <w:rFonts w:cs="Arial" w:hint="default"/>
        <w:color w:val="auto"/>
      </w:rPr>
    </w:lvl>
    <w:lvl w:ilvl="1" w:tplc="CA36EE3C">
      <w:start w:val="1"/>
      <w:numFmt w:val="lowerLetter"/>
      <w:lvlText w:val="(%2)"/>
      <w:lvlJc w:val="left"/>
      <w:pPr>
        <w:ind w:left="1935" w:hanging="855"/>
      </w:pPr>
      <w:rPr>
        <w:rFonts w:hint="default"/>
      </w:r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45064"/>
    <w:multiLevelType w:val="hybridMultilevel"/>
    <w:tmpl w:val="A900DC66"/>
    <w:lvl w:ilvl="0" w:tplc="5F8ACAAE">
      <w:start w:val="1"/>
      <w:numFmt w:val="decimal"/>
      <w:lvlText w:val="%1."/>
      <w:lvlJc w:val="left"/>
      <w:pPr>
        <w:ind w:left="0" w:firstLine="0"/>
      </w:pPr>
      <w:rPr>
        <w:rFonts w:cs="Arial"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tBookmark" w:val="00007"/>
  </w:docVars>
  <w:rsids>
    <w:rsidRoot w:val="00DB597F"/>
    <w:rsid w:val="00010CF3"/>
    <w:rsid w:val="00011CEC"/>
    <w:rsid w:val="00011E27"/>
    <w:rsid w:val="00012AA2"/>
    <w:rsid w:val="000148BC"/>
    <w:rsid w:val="000218FE"/>
    <w:rsid w:val="00024AB8"/>
    <w:rsid w:val="000271E6"/>
    <w:rsid w:val="00030854"/>
    <w:rsid w:val="000319BC"/>
    <w:rsid w:val="00032FF2"/>
    <w:rsid w:val="00035599"/>
    <w:rsid w:val="00036028"/>
    <w:rsid w:val="0003693F"/>
    <w:rsid w:val="000412C7"/>
    <w:rsid w:val="000419DE"/>
    <w:rsid w:val="00042F97"/>
    <w:rsid w:val="00044642"/>
    <w:rsid w:val="000446B9"/>
    <w:rsid w:val="00045F4F"/>
    <w:rsid w:val="00047E21"/>
    <w:rsid w:val="00050E16"/>
    <w:rsid w:val="000525FB"/>
    <w:rsid w:val="00062884"/>
    <w:rsid w:val="00067873"/>
    <w:rsid w:val="00067B12"/>
    <w:rsid w:val="00072FCE"/>
    <w:rsid w:val="00075986"/>
    <w:rsid w:val="00076BB8"/>
    <w:rsid w:val="0007763E"/>
    <w:rsid w:val="00082581"/>
    <w:rsid w:val="00084645"/>
    <w:rsid w:val="00085505"/>
    <w:rsid w:val="00087D79"/>
    <w:rsid w:val="00095755"/>
    <w:rsid w:val="000A2342"/>
    <w:rsid w:val="000A7373"/>
    <w:rsid w:val="000C1E8E"/>
    <w:rsid w:val="000C4E25"/>
    <w:rsid w:val="000C7021"/>
    <w:rsid w:val="000D0F7B"/>
    <w:rsid w:val="000D3AFE"/>
    <w:rsid w:val="000D415D"/>
    <w:rsid w:val="000D6BBC"/>
    <w:rsid w:val="000D7780"/>
    <w:rsid w:val="000E636A"/>
    <w:rsid w:val="000E75BC"/>
    <w:rsid w:val="000F074A"/>
    <w:rsid w:val="000F2F11"/>
    <w:rsid w:val="000F37FF"/>
    <w:rsid w:val="00105929"/>
    <w:rsid w:val="00105EFA"/>
    <w:rsid w:val="00110C36"/>
    <w:rsid w:val="001131D5"/>
    <w:rsid w:val="001151B6"/>
    <w:rsid w:val="00115915"/>
    <w:rsid w:val="00123E60"/>
    <w:rsid w:val="00134BBC"/>
    <w:rsid w:val="00141DB8"/>
    <w:rsid w:val="001421B3"/>
    <w:rsid w:val="00147C2A"/>
    <w:rsid w:val="00157463"/>
    <w:rsid w:val="00170D82"/>
    <w:rsid w:val="00171EA1"/>
    <w:rsid w:val="00172084"/>
    <w:rsid w:val="00172ADA"/>
    <w:rsid w:val="00173F7F"/>
    <w:rsid w:val="0017452D"/>
    <w:rsid w:val="0017474A"/>
    <w:rsid w:val="001758C6"/>
    <w:rsid w:val="0017627E"/>
    <w:rsid w:val="00177A67"/>
    <w:rsid w:val="001802E4"/>
    <w:rsid w:val="00182B99"/>
    <w:rsid w:val="001838F2"/>
    <w:rsid w:val="00191751"/>
    <w:rsid w:val="00194DDC"/>
    <w:rsid w:val="001956FB"/>
    <w:rsid w:val="001B01D5"/>
    <w:rsid w:val="001B148C"/>
    <w:rsid w:val="001B3EA5"/>
    <w:rsid w:val="001C1525"/>
    <w:rsid w:val="001C7E86"/>
    <w:rsid w:val="001D26C5"/>
    <w:rsid w:val="001D2F68"/>
    <w:rsid w:val="001E195C"/>
    <w:rsid w:val="001E1BE7"/>
    <w:rsid w:val="001E4AC9"/>
    <w:rsid w:val="001F2748"/>
    <w:rsid w:val="00210E1B"/>
    <w:rsid w:val="0021332C"/>
    <w:rsid w:val="00213982"/>
    <w:rsid w:val="00214C72"/>
    <w:rsid w:val="00216B12"/>
    <w:rsid w:val="0023501F"/>
    <w:rsid w:val="002355A0"/>
    <w:rsid w:val="002366ED"/>
    <w:rsid w:val="0023695C"/>
    <w:rsid w:val="00237FAF"/>
    <w:rsid w:val="0024416D"/>
    <w:rsid w:val="00245264"/>
    <w:rsid w:val="00246426"/>
    <w:rsid w:val="00251923"/>
    <w:rsid w:val="00252AAD"/>
    <w:rsid w:val="00252C30"/>
    <w:rsid w:val="002538AC"/>
    <w:rsid w:val="00256404"/>
    <w:rsid w:val="00256539"/>
    <w:rsid w:val="00256BFA"/>
    <w:rsid w:val="00267714"/>
    <w:rsid w:val="00267CEA"/>
    <w:rsid w:val="00270F63"/>
    <w:rsid w:val="00271911"/>
    <w:rsid w:val="002800A0"/>
    <w:rsid w:val="002801B3"/>
    <w:rsid w:val="00280AA1"/>
    <w:rsid w:val="00281060"/>
    <w:rsid w:val="00281B00"/>
    <w:rsid w:val="00282A6F"/>
    <w:rsid w:val="00282F1C"/>
    <w:rsid w:val="0028587C"/>
    <w:rsid w:val="002878F9"/>
    <w:rsid w:val="00291919"/>
    <w:rsid w:val="002940E8"/>
    <w:rsid w:val="00294751"/>
    <w:rsid w:val="002A348C"/>
    <w:rsid w:val="002A4970"/>
    <w:rsid w:val="002A49A7"/>
    <w:rsid w:val="002A6E50"/>
    <w:rsid w:val="002B3076"/>
    <w:rsid w:val="002B4298"/>
    <w:rsid w:val="002C0C13"/>
    <w:rsid w:val="002C256A"/>
    <w:rsid w:val="002D26A8"/>
    <w:rsid w:val="002E18E2"/>
    <w:rsid w:val="002E5C91"/>
    <w:rsid w:val="002F2FE5"/>
    <w:rsid w:val="002F68E1"/>
    <w:rsid w:val="002F6F96"/>
    <w:rsid w:val="00303444"/>
    <w:rsid w:val="00304014"/>
    <w:rsid w:val="00305A7F"/>
    <w:rsid w:val="00314168"/>
    <w:rsid w:val="003152FE"/>
    <w:rsid w:val="0032130F"/>
    <w:rsid w:val="00327436"/>
    <w:rsid w:val="003311D3"/>
    <w:rsid w:val="003333D3"/>
    <w:rsid w:val="003410CD"/>
    <w:rsid w:val="00344BD6"/>
    <w:rsid w:val="003468B9"/>
    <w:rsid w:val="00346B1A"/>
    <w:rsid w:val="0035528D"/>
    <w:rsid w:val="00360121"/>
    <w:rsid w:val="00361821"/>
    <w:rsid w:val="00361E9E"/>
    <w:rsid w:val="003637E1"/>
    <w:rsid w:val="00365727"/>
    <w:rsid w:val="003730C4"/>
    <w:rsid w:val="003737D8"/>
    <w:rsid w:val="00373C52"/>
    <w:rsid w:val="00380D13"/>
    <w:rsid w:val="00384249"/>
    <w:rsid w:val="00391F9C"/>
    <w:rsid w:val="0039633A"/>
    <w:rsid w:val="003A23E9"/>
    <w:rsid w:val="003A45F6"/>
    <w:rsid w:val="003B57EF"/>
    <w:rsid w:val="003C0DB2"/>
    <w:rsid w:val="003C7FBE"/>
    <w:rsid w:val="003D07ED"/>
    <w:rsid w:val="003D227C"/>
    <w:rsid w:val="003D2B4D"/>
    <w:rsid w:val="003D4D27"/>
    <w:rsid w:val="003D54AD"/>
    <w:rsid w:val="003E0BEE"/>
    <w:rsid w:val="003E146F"/>
    <w:rsid w:val="003E7B8D"/>
    <w:rsid w:val="003F0560"/>
    <w:rsid w:val="003F3D0D"/>
    <w:rsid w:val="003F52F5"/>
    <w:rsid w:val="003F5F2B"/>
    <w:rsid w:val="0041322A"/>
    <w:rsid w:val="00415102"/>
    <w:rsid w:val="00416F4E"/>
    <w:rsid w:val="004174B2"/>
    <w:rsid w:val="00423954"/>
    <w:rsid w:val="00427911"/>
    <w:rsid w:val="0043141D"/>
    <w:rsid w:val="00431802"/>
    <w:rsid w:val="00432DDD"/>
    <w:rsid w:val="00441BBF"/>
    <w:rsid w:val="00444A88"/>
    <w:rsid w:val="00454268"/>
    <w:rsid w:val="004550C2"/>
    <w:rsid w:val="0045563C"/>
    <w:rsid w:val="00467C68"/>
    <w:rsid w:val="00473B00"/>
    <w:rsid w:val="00474138"/>
    <w:rsid w:val="00474DA4"/>
    <w:rsid w:val="00475034"/>
    <w:rsid w:val="00475B14"/>
    <w:rsid w:val="00476B4D"/>
    <w:rsid w:val="004805FA"/>
    <w:rsid w:val="00482822"/>
    <w:rsid w:val="0049006C"/>
    <w:rsid w:val="0049173C"/>
    <w:rsid w:val="004935D2"/>
    <w:rsid w:val="00495A17"/>
    <w:rsid w:val="00497825"/>
    <w:rsid w:val="004A63F0"/>
    <w:rsid w:val="004A72C7"/>
    <w:rsid w:val="004B1215"/>
    <w:rsid w:val="004B4E5F"/>
    <w:rsid w:val="004B6584"/>
    <w:rsid w:val="004B788B"/>
    <w:rsid w:val="004C3617"/>
    <w:rsid w:val="004C51B7"/>
    <w:rsid w:val="004D047D"/>
    <w:rsid w:val="004D20C8"/>
    <w:rsid w:val="004D3BFB"/>
    <w:rsid w:val="004D42D5"/>
    <w:rsid w:val="004D4505"/>
    <w:rsid w:val="004E0364"/>
    <w:rsid w:val="004E3325"/>
    <w:rsid w:val="004F1A6F"/>
    <w:rsid w:val="004F1E9E"/>
    <w:rsid w:val="004F305A"/>
    <w:rsid w:val="004F4C51"/>
    <w:rsid w:val="00503D56"/>
    <w:rsid w:val="00512164"/>
    <w:rsid w:val="00515BAD"/>
    <w:rsid w:val="00520297"/>
    <w:rsid w:val="00525A96"/>
    <w:rsid w:val="005304D1"/>
    <w:rsid w:val="005338F9"/>
    <w:rsid w:val="0054128C"/>
    <w:rsid w:val="00541476"/>
    <w:rsid w:val="0054281C"/>
    <w:rsid w:val="00544581"/>
    <w:rsid w:val="005514C3"/>
    <w:rsid w:val="0055268D"/>
    <w:rsid w:val="005619F1"/>
    <w:rsid w:val="00562B6C"/>
    <w:rsid w:val="00562D76"/>
    <w:rsid w:val="00570BD1"/>
    <w:rsid w:val="00571079"/>
    <w:rsid w:val="00573183"/>
    <w:rsid w:val="00576BE4"/>
    <w:rsid w:val="005870A6"/>
    <w:rsid w:val="00591676"/>
    <w:rsid w:val="005935C9"/>
    <w:rsid w:val="005A400A"/>
    <w:rsid w:val="005A5DA1"/>
    <w:rsid w:val="005A65D5"/>
    <w:rsid w:val="005A72EF"/>
    <w:rsid w:val="005B5E64"/>
    <w:rsid w:val="005B78B4"/>
    <w:rsid w:val="005D13B9"/>
    <w:rsid w:val="005D2E0B"/>
    <w:rsid w:val="005D6ED5"/>
    <w:rsid w:val="005D74E7"/>
    <w:rsid w:val="005E015A"/>
    <w:rsid w:val="005E365A"/>
    <w:rsid w:val="005E4D12"/>
    <w:rsid w:val="005E75DA"/>
    <w:rsid w:val="005F297E"/>
    <w:rsid w:val="005F38CA"/>
    <w:rsid w:val="005F3F78"/>
    <w:rsid w:val="005F6E8F"/>
    <w:rsid w:val="005F7B92"/>
    <w:rsid w:val="00612350"/>
    <w:rsid w:val="00612379"/>
    <w:rsid w:val="006153B6"/>
    <w:rsid w:val="0061555F"/>
    <w:rsid w:val="00620519"/>
    <w:rsid w:val="00624DBB"/>
    <w:rsid w:val="00624E6B"/>
    <w:rsid w:val="00636CA6"/>
    <w:rsid w:val="00637958"/>
    <w:rsid w:val="00641200"/>
    <w:rsid w:val="00645CA8"/>
    <w:rsid w:val="006504C7"/>
    <w:rsid w:val="0065267A"/>
    <w:rsid w:val="0065795E"/>
    <w:rsid w:val="00661FC6"/>
    <w:rsid w:val="006655D3"/>
    <w:rsid w:val="00665ECA"/>
    <w:rsid w:val="00667404"/>
    <w:rsid w:val="00673944"/>
    <w:rsid w:val="00677474"/>
    <w:rsid w:val="006821DB"/>
    <w:rsid w:val="00687EB4"/>
    <w:rsid w:val="00691FBE"/>
    <w:rsid w:val="00695C56"/>
    <w:rsid w:val="0069602C"/>
    <w:rsid w:val="006973B5"/>
    <w:rsid w:val="006A36D9"/>
    <w:rsid w:val="006A5CDE"/>
    <w:rsid w:val="006A644A"/>
    <w:rsid w:val="006B17D2"/>
    <w:rsid w:val="006B533B"/>
    <w:rsid w:val="006B6791"/>
    <w:rsid w:val="006C224E"/>
    <w:rsid w:val="006C2B13"/>
    <w:rsid w:val="006D0E2A"/>
    <w:rsid w:val="006D1575"/>
    <w:rsid w:val="006D3833"/>
    <w:rsid w:val="006D780A"/>
    <w:rsid w:val="006E03E7"/>
    <w:rsid w:val="006E0E23"/>
    <w:rsid w:val="006E5AA2"/>
    <w:rsid w:val="006E5D39"/>
    <w:rsid w:val="006F071E"/>
    <w:rsid w:val="0070014B"/>
    <w:rsid w:val="00701EE3"/>
    <w:rsid w:val="0071271E"/>
    <w:rsid w:val="00713CCB"/>
    <w:rsid w:val="00725142"/>
    <w:rsid w:val="00726F6F"/>
    <w:rsid w:val="00732DEC"/>
    <w:rsid w:val="00735BD5"/>
    <w:rsid w:val="007403C0"/>
    <w:rsid w:val="007447A6"/>
    <w:rsid w:val="007451EC"/>
    <w:rsid w:val="007514E1"/>
    <w:rsid w:val="00751613"/>
    <w:rsid w:val="007556F6"/>
    <w:rsid w:val="00760EEF"/>
    <w:rsid w:val="007645E6"/>
    <w:rsid w:val="00777966"/>
    <w:rsid w:val="00777EE5"/>
    <w:rsid w:val="00782255"/>
    <w:rsid w:val="00784113"/>
    <w:rsid w:val="00784836"/>
    <w:rsid w:val="007867F6"/>
    <w:rsid w:val="00787833"/>
    <w:rsid w:val="0079023E"/>
    <w:rsid w:val="007922EE"/>
    <w:rsid w:val="007937E2"/>
    <w:rsid w:val="007A1E56"/>
    <w:rsid w:val="007A2854"/>
    <w:rsid w:val="007A60F4"/>
    <w:rsid w:val="007A7F16"/>
    <w:rsid w:val="007C1D92"/>
    <w:rsid w:val="007C3C19"/>
    <w:rsid w:val="007C4CB9"/>
    <w:rsid w:val="007D0B9D"/>
    <w:rsid w:val="007D19B0"/>
    <w:rsid w:val="007D4635"/>
    <w:rsid w:val="007E07BE"/>
    <w:rsid w:val="007E688B"/>
    <w:rsid w:val="007E74D2"/>
    <w:rsid w:val="007F1C3E"/>
    <w:rsid w:val="007F458C"/>
    <w:rsid w:val="007F498F"/>
    <w:rsid w:val="007F61EE"/>
    <w:rsid w:val="00800274"/>
    <w:rsid w:val="00805977"/>
    <w:rsid w:val="0080679D"/>
    <w:rsid w:val="0081063A"/>
    <w:rsid w:val="008108B0"/>
    <w:rsid w:val="00811B20"/>
    <w:rsid w:val="0081290E"/>
    <w:rsid w:val="008175A6"/>
    <w:rsid w:val="008211B5"/>
    <w:rsid w:val="0082296E"/>
    <w:rsid w:val="00824099"/>
    <w:rsid w:val="00827E7D"/>
    <w:rsid w:val="00831885"/>
    <w:rsid w:val="00841F6C"/>
    <w:rsid w:val="00846D7C"/>
    <w:rsid w:val="008666B6"/>
    <w:rsid w:val="0086776C"/>
    <w:rsid w:val="00867AC1"/>
    <w:rsid w:val="0087281A"/>
    <w:rsid w:val="00874495"/>
    <w:rsid w:val="008817E1"/>
    <w:rsid w:val="00890DF8"/>
    <w:rsid w:val="00892D9E"/>
    <w:rsid w:val="008A743F"/>
    <w:rsid w:val="008A7B22"/>
    <w:rsid w:val="008B2853"/>
    <w:rsid w:val="008B373C"/>
    <w:rsid w:val="008C0970"/>
    <w:rsid w:val="008D0BC5"/>
    <w:rsid w:val="008D1DCA"/>
    <w:rsid w:val="008D2CF7"/>
    <w:rsid w:val="008D6C53"/>
    <w:rsid w:val="008E4B12"/>
    <w:rsid w:val="008E5D03"/>
    <w:rsid w:val="008F204E"/>
    <w:rsid w:val="008F4933"/>
    <w:rsid w:val="008F5709"/>
    <w:rsid w:val="00900C26"/>
    <w:rsid w:val="00901660"/>
    <w:rsid w:val="0090197F"/>
    <w:rsid w:val="00902EAD"/>
    <w:rsid w:val="00903264"/>
    <w:rsid w:val="00905305"/>
    <w:rsid w:val="00906DDC"/>
    <w:rsid w:val="009079E0"/>
    <w:rsid w:val="0091044E"/>
    <w:rsid w:val="00913C40"/>
    <w:rsid w:val="0091705E"/>
    <w:rsid w:val="0092152C"/>
    <w:rsid w:val="00924E11"/>
    <w:rsid w:val="00930509"/>
    <w:rsid w:val="00931F55"/>
    <w:rsid w:val="00933109"/>
    <w:rsid w:val="00934E09"/>
    <w:rsid w:val="00935741"/>
    <w:rsid w:val="00936253"/>
    <w:rsid w:val="00936F12"/>
    <w:rsid w:val="00940212"/>
    <w:rsid w:val="00940D46"/>
    <w:rsid w:val="00951913"/>
    <w:rsid w:val="00952DD4"/>
    <w:rsid w:val="009577D0"/>
    <w:rsid w:val="00965AE7"/>
    <w:rsid w:val="00966509"/>
    <w:rsid w:val="00970FED"/>
    <w:rsid w:val="00971A47"/>
    <w:rsid w:val="009739DE"/>
    <w:rsid w:val="00980363"/>
    <w:rsid w:val="0098188B"/>
    <w:rsid w:val="00982FC1"/>
    <w:rsid w:val="00987A2B"/>
    <w:rsid w:val="00992D82"/>
    <w:rsid w:val="00997029"/>
    <w:rsid w:val="0099710B"/>
    <w:rsid w:val="009971FD"/>
    <w:rsid w:val="009A2335"/>
    <w:rsid w:val="009A3555"/>
    <w:rsid w:val="009A463C"/>
    <w:rsid w:val="009A5534"/>
    <w:rsid w:val="009A7148"/>
    <w:rsid w:val="009A7339"/>
    <w:rsid w:val="009B440E"/>
    <w:rsid w:val="009B76EC"/>
    <w:rsid w:val="009C02E0"/>
    <w:rsid w:val="009D381D"/>
    <w:rsid w:val="009D690D"/>
    <w:rsid w:val="009E65B6"/>
    <w:rsid w:val="009E75EE"/>
    <w:rsid w:val="009F0242"/>
    <w:rsid w:val="009F0271"/>
    <w:rsid w:val="009F77CF"/>
    <w:rsid w:val="00A02B9A"/>
    <w:rsid w:val="00A04598"/>
    <w:rsid w:val="00A17662"/>
    <w:rsid w:val="00A2196C"/>
    <w:rsid w:val="00A22160"/>
    <w:rsid w:val="00A24C10"/>
    <w:rsid w:val="00A27037"/>
    <w:rsid w:val="00A3365A"/>
    <w:rsid w:val="00A33B31"/>
    <w:rsid w:val="00A35821"/>
    <w:rsid w:val="00A42AC3"/>
    <w:rsid w:val="00A430CF"/>
    <w:rsid w:val="00A45E32"/>
    <w:rsid w:val="00A54309"/>
    <w:rsid w:val="00A55326"/>
    <w:rsid w:val="00A57E6E"/>
    <w:rsid w:val="00A7620E"/>
    <w:rsid w:val="00A77EFA"/>
    <w:rsid w:val="00A91E56"/>
    <w:rsid w:val="00A945FA"/>
    <w:rsid w:val="00A9671D"/>
    <w:rsid w:val="00AA4992"/>
    <w:rsid w:val="00AA65C2"/>
    <w:rsid w:val="00AB09DF"/>
    <w:rsid w:val="00AB0CD7"/>
    <w:rsid w:val="00AB2B93"/>
    <w:rsid w:val="00AB530F"/>
    <w:rsid w:val="00AB7E5B"/>
    <w:rsid w:val="00AC2883"/>
    <w:rsid w:val="00AC44C9"/>
    <w:rsid w:val="00AC68E2"/>
    <w:rsid w:val="00AD047A"/>
    <w:rsid w:val="00AD2B2D"/>
    <w:rsid w:val="00AD5B9A"/>
    <w:rsid w:val="00AE0EF1"/>
    <w:rsid w:val="00AE1170"/>
    <w:rsid w:val="00AE2937"/>
    <w:rsid w:val="00AF4349"/>
    <w:rsid w:val="00AF5ECB"/>
    <w:rsid w:val="00B05313"/>
    <w:rsid w:val="00B07301"/>
    <w:rsid w:val="00B11F3E"/>
    <w:rsid w:val="00B153FF"/>
    <w:rsid w:val="00B224DE"/>
    <w:rsid w:val="00B22B8B"/>
    <w:rsid w:val="00B22DD0"/>
    <w:rsid w:val="00B23517"/>
    <w:rsid w:val="00B257F5"/>
    <w:rsid w:val="00B324D4"/>
    <w:rsid w:val="00B33C97"/>
    <w:rsid w:val="00B46575"/>
    <w:rsid w:val="00B479DC"/>
    <w:rsid w:val="00B51BD7"/>
    <w:rsid w:val="00B529D1"/>
    <w:rsid w:val="00B61777"/>
    <w:rsid w:val="00B6675E"/>
    <w:rsid w:val="00B72134"/>
    <w:rsid w:val="00B75269"/>
    <w:rsid w:val="00B77AB9"/>
    <w:rsid w:val="00B823AB"/>
    <w:rsid w:val="00B84BBD"/>
    <w:rsid w:val="00B90975"/>
    <w:rsid w:val="00B93130"/>
    <w:rsid w:val="00B94407"/>
    <w:rsid w:val="00BA3E14"/>
    <w:rsid w:val="00BA43FB"/>
    <w:rsid w:val="00BB0FB7"/>
    <w:rsid w:val="00BC127D"/>
    <w:rsid w:val="00BC1FE6"/>
    <w:rsid w:val="00BD4961"/>
    <w:rsid w:val="00BE1ABC"/>
    <w:rsid w:val="00BE329A"/>
    <w:rsid w:val="00BE66BB"/>
    <w:rsid w:val="00BF0947"/>
    <w:rsid w:val="00BF28A6"/>
    <w:rsid w:val="00BF5A45"/>
    <w:rsid w:val="00C00793"/>
    <w:rsid w:val="00C022B3"/>
    <w:rsid w:val="00C061B6"/>
    <w:rsid w:val="00C226D3"/>
    <w:rsid w:val="00C2446C"/>
    <w:rsid w:val="00C313A1"/>
    <w:rsid w:val="00C36AE5"/>
    <w:rsid w:val="00C41F17"/>
    <w:rsid w:val="00C43D2D"/>
    <w:rsid w:val="00C47EDC"/>
    <w:rsid w:val="00C527FA"/>
    <w:rsid w:val="00C5280D"/>
    <w:rsid w:val="00C53EB3"/>
    <w:rsid w:val="00C5791C"/>
    <w:rsid w:val="00C66290"/>
    <w:rsid w:val="00C6653A"/>
    <w:rsid w:val="00C66C6C"/>
    <w:rsid w:val="00C72B7A"/>
    <w:rsid w:val="00C84EBB"/>
    <w:rsid w:val="00C973F2"/>
    <w:rsid w:val="00CA17B4"/>
    <w:rsid w:val="00CA304C"/>
    <w:rsid w:val="00CA774A"/>
    <w:rsid w:val="00CB3737"/>
    <w:rsid w:val="00CB37F5"/>
    <w:rsid w:val="00CB490F"/>
    <w:rsid w:val="00CB4FAA"/>
    <w:rsid w:val="00CB5F7D"/>
    <w:rsid w:val="00CB68F6"/>
    <w:rsid w:val="00CC094B"/>
    <w:rsid w:val="00CC0AB3"/>
    <w:rsid w:val="00CC11B0"/>
    <w:rsid w:val="00CC2841"/>
    <w:rsid w:val="00CC66A9"/>
    <w:rsid w:val="00CD3C59"/>
    <w:rsid w:val="00CD58BF"/>
    <w:rsid w:val="00CE3652"/>
    <w:rsid w:val="00CE6845"/>
    <w:rsid w:val="00CE7B21"/>
    <w:rsid w:val="00CF1330"/>
    <w:rsid w:val="00CF1BBB"/>
    <w:rsid w:val="00CF2351"/>
    <w:rsid w:val="00CF2D6B"/>
    <w:rsid w:val="00CF3A66"/>
    <w:rsid w:val="00CF64ED"/>
    <w:rsid w:val="00CF7E36"/>
    <w:rsid w:val="00D01215"/>
    <w:rsid w:val="00D04D78"/>
    <w:rsid w:val="00D075BD"/>
    <w:rsid w:val="00D25E4D"/>
    <w:rsid w:val="00D326E0"/>
    <w:rsid w:val="00D327DC"/>
    <w:rsid w:val="00D34AC1"/>
    <w:rsid w:val="00D36510"/>
    <w:rsid w:val="00D3708D"/>
    <w:rsid w:val="00D37FE4"/>
    <w:rsid w:val="00D40426"/>
    <w:rsid w:val="00D42AAE"/>
    <w:rsid w:val="00D51CC5"/>
    <w:rsid w:val="00D57C96"/>
    <w:rsid w:val="00D57D18"/>
    <w:rsid w:val="00D623C8"/>
    <w:rsid w:val="00D72223"/>
    <w:rsid w:val="00D74530"/>
    <w:rsid w:val="00D91203"/>
    <w:rsid w:val="00D95174"/>
    <w:rsid w:val="00DA2661"/>
    <w:rsid w:val="00DA4973"/>
    <w:rsid w:val="00DA6F36"/>
    <w:rsid w:val="00DB19C7"/>
    <w:rsid w:val="00DB43D3"/>
    <w:rsid w:val="00DB49F1"/>
    <w:rsid w:val="00DB596E"/>
    <w:rsid w:val="00DB597F"/>
    <w:rsid w:val="00DB7773"/>
    <w:rsid w:val="00DC00EA"/>
    <w:rsid w:val="00DC3802"/>
    <w:rsid w:val="00DC5EB0"/>
    <w:rsid w:val="00DD185A"/>
    <w:rsid w:val="00DD340F"/>
    <w:rsid w:val="00DE15F2"/>
    <w:rsid w:val="00DF1E35"/>
    <w:rsid w:val="00E04693"/>
    <w:rsid w:val="00E07157"/>
    <w:rsid w:val="00E07D87"/>
    <w:rsid w:val="00E13A14"/>
    <w:rsid w:val="00E13ED4"/>
    <w:rsid w:val="00E21A49"/>
    <w:rsid w:val="00E222DC"/>
    <w:rsid w:val="00E26BA4"/>
    <w:rsid w:val="00E3113A"/>
    <w:rsid w:val="00E32F7E"/>
    <w:rsid w:val="00E43B3D"/>
    <w:rsid w:val="00E45B81"/>
    <w:rsid w:val="00E469B3"/>
    <w:rsid w:val="00E5267B"/>
    <w:rsid w:val="00E565E7"/>
    <w:rsid w:val="00E63C0E"/>
    <w:rsid w:val="00E64236"/>
    <w:rsid w:val="00E64F8C"/>
    <w:rsid w:val="00E717EB"/>
    <w:rsid w:val="00E718A5"/>
    <w:rsid w:val="00E72D49"/>
    <w:rsid w:val="00E7593C"/>
    <w:rsid w:val="00E7678A"/>
    <w:rsid w:val="00E90A94"/>
    <w:rsid w:val="00E935F1"/>
    <w:rsid w:val="00E94A81"/>
    <w:rsid w:val="00EA0C59"/>
    <w:rsid w:val="00EA1FFB"/>
    <w:rsid w:val="00EA216D"/>
    <w:rsid w:val="00EA305B"/>
    <w:rsid w:val="00EB048E"/>
    <w:rsid w:val="00EB2874"/>
    <w:rsid w:val="00EB295D"/>
    <w:rsid w:val="00EB4E9C"/>
    <w:rsid w:val="00EB63B9"/>
    <w:rsid w:val="00EB701D"/>
    <w:rsid w:val="00EB7BB1"/>
    <w:rsid w:val="00EC2672"/>
    <w:rsid w:val="00EC3A5F"/>
    <w:rsid w:val="00ED0C3B"/>
    <w:rsid w:val="00ED0FED"/>
    <w:rsid w:val="00ED39FC"/>
    <w:rsid w:val="00EE237B"/>
    <w:rsid w:val="00EE34DF"/>
    <w:rsid w:val="00EF2D5B"/>
    <w:rsid w:val="00EF2F89"/>
    <w:rsid w:val="00F0165E"/>
    <w:rsid w:val="00F03E98"/>
    <w:rsid w:val="00F0606B"/>
    <w:rsid w:val="00F100B2"/>
    <w:rsid w:val="00F1237A"/>
    <w:rsid w:val="00F20A58"/>
    <w:rsid w:val="00F22CBD"/>
    <w:rsid w:val="00F272F1"/>
    <w:rsid w:val="00F358AD"/>
    <w:rsid w:val="00F413F8"/>
    <w:rsid w:val="00F4189F"/>
    <w:rsid w:val="00F45372"/>
    <w:rsid w:val="00F560F7"/>
    <w:rsid w:val="00F61A6B"/>
    <w:rsid w:val="00F6334D"/>
    <w:rsid w:val="00F63599"/>
    <w:rsid w:val="00F64020"/>
    <w:rsid w:val="00F67632"/>
    <w:rsid w:val="00F74577"/>
    <w:rsid w:val="00F77D6D"/>
    <w:rsid w:val="00F87F58"/>
    <w:rsid w:val="00F9496C"/>
    <w:rsid w:val="00FA0817"/>
    <w:rsid w:val="00FA49AB"/>
    <w:rsid w:val="00FA5E1E"/>
    <w:rsid w:val="00FB70CB"/>
    <w:rsid w:val="00FC1702"/>
    <w:rsid w:val="00FC348D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5130CD51"/>
  <w15:docId w15:val="{E48CE35A-80EF-4D08-8023-FC01CB7B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1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DC5EB0"/>
    <w:rPr>
      <w:rFonts w:ascii="Arial" w:hAnsi="Arial"/>
      <w:lang w:val="fr-FR"/>
    </w:rPr>
  </w:style>
  <w:style w:type="character" w:styleId="FollowedHyperlink">
    <w:name w:val="FollowedHyperlink"/>
    <w:basedOn w:val="DefaultParagraphFont"/>
    <w:semiHidden/>
    <w:unhideWhenUsed/>
    <w:rsid w:val="008F570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403C0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EF2D5B"/>
    <w:pPr>
      <w:ind w:left="720"/>
      <w:contextualSpacing/>
    </w:pPr>
  </w:style>
  <w:style w:type="table" w:styleId="TableGrid">
    <w:name w:val="Table Grid"/>
    <w:basedOn w:val="TableNormal"/>
    <w:rsid w:val="00423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s://www.upov.int/meetings/es/details.jsp?meeting_id=50801" TargetMode="Externa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yperlink" Target="https://www.upov.int/meetings/es/doc_details.jsp?meeting_id=35046&amp;doc_id=31665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84932-E212-4A3C-85CB-FE8325736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4378</Words>
  <Characters>22258</Characters>
  <Application>Microsoft Office Word</Application>
  <DocSecurity>0</DocSecurity>
  <Lines>185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C/53</vt:lpstr>
    </vt:vector>
  </TitlesOfParts>
  <Company>UPOV</Company>
  <LinksUpToDate>false</LinksUpToDate>
  <CharactersWithSpaces>26583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C/53/13</dc:title>
  <dc:creator>SANTOS Carla Marina</dc:creator>
  <cp:lastModifiedBy>SANCHEZ VIZCAINO GOMEZ Rosa Maria</cp:lastModifiedBy>
  <cp:revision>5</cp:revision>
  <cp:lastPrinted>2019-10-16T16:44:00Z</cp:lastPrinted>
  <dcterms:created xsi:type="dcterms:W3CDTF">2019-10-24T17:31:00Z</dcterms:created>
  <dcterms:modified xsi:type="dcterms:W3CDTF">2019-10-24T19:27:00Z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8cf89fb3-8d70-428b-8df6-23a1e1e3a1b2</vt:lpwstr>
  </property>
</Properties>
</file>