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2E5944" w:rsidP="00AC2883">
            <w:pPr>
              <w:pStyle w:val="Lettrine"/>
            </w:pPr>
            <w:r>
              <w:t>S</w:t>
            </w:r>
          </w:p>
        </w:tc>
      </w:tr>
      <w:tr w:rsidR="00DC3802" w:rsidRPr="00DA4973" w:rsidTr="00645CA8">
        <w:trPr>
          <w:trHeight w:val="219"/>
        </w:trPr>
        <w:tc>
          <w:tcPr>
            <w:tcW w:w="6522" w:type="dxa"/>
          </w:tcPr>
          <w:p w:rsidR="00DC3802" w:rsidRPr="00AC2883" w:rsidRDefault="002E5944" w:rsidP="00BC0BD4">
            <w:pPr>
              <w:pStyle w:val="upove"/>
            </w:pPr>
            <w:r>
              <w:t>Unión Internacional para la Protección de las Obtenciones Vegetales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5954"/>
        <w:gridCol w:w="3685"/>
      </w:tblGrid>
      <w:tr w:rsidR="00EB4E9C" w:rsidRPr="00C5280D" w:rsidTr="00AE1CD4">
        <w:tc>
          <w:tcPr>
            <w:tcW w:w="5954" w:type="dxa"/>
          </w:tcPr>
          <w:p w:rsidR="00EB4E9C" w:rsidRPr="00AC2883" w:rsidRDefault="00EA65D2" w:rsidP="00AC2883">
            <w:pPr>
              <w:pStyle w:val="Sessiontc"/>
              <w:spacing w:line="240" w:lineRule="auto"/>
            </w:pPr>
            <w:r>
              <w:t>Consejo</w:t>
            </w:r>
          </w:p>
          <w:p w:rsidR="00EB4E9C" w:rsidRPr="00DC3802" w:rsidRDefault="00EA65D2" w:rsidP="000A014B">
            <w:pPr>
              <w:pStyle w:val="Sessiontcplacedate"/>
              <w:rPr>
                <w:sz w:val="22"/>
              </w:rPr>
            </w:pPr>
            <w:r>
              <w:t xml:space="preserve">Quincuagésima </w:t>
            </w:r>
            <w:r w:rsidR="000A014B">
              <w:t xml:space="preserve">segunda </w:t>
            </w:r>
            <w:r w:rsidR="002E5944">
              <w:t>sesión</w:t>
            </w:r>
            <w:r>
              <w:t xml:space="preserve"> ordinaria</w:t>
            </w:r>
            <w:r w:rsidR="00EB4E9C" w:rsidRPr="00DA4973">
              <w:br/>
            </w:r>
            <w:r w:rsidR="002E5944">
              <w:t>Ginebra</w:t>
            </w:r>
            <w:r w:rsidR="00EB4E9C" w:rsidRPr="00DA4973">
              <w:t xml:space="preserve">, </w:t>
            </w:r>
            <w:r w:rsidR="00A20FB2">
              <w:t>2</w:t>
            </w:r>
            <w:r w:rsidR="00A706D3">
              <w:t xml:space="preserve"> </w:t>
            </w:r>
            <w:r w:rsidR="002E5944">
              <w:t xml:space="preserve">de </w:t>
            </w:r>
            <w:r w:rsidR="000A014B">
              <w:t xml:space="preserve">noviembre </w:t>
            </w:r>
            <w:r w:rsidR="002E5944">
              <w:t>de</w:t>
            </w:r>
            <w:r w:rsidR="00A706D3">
              <w:t xml:space="preserve"> </w:t>
            </w:r>
            <w:r w:rsidR="000A014B">
              <w:t>2018</w:t>
            </w:r>
          </w:p>
        </w:tc>
        <w:tc>
          <w:tcPr>
            <w:tcW w:w="3685" w:type="dxa"/>
          </w:tcPr>
          <w:p w:rsidR="00EB4E9C" w:rsidRPr="003C7FBE" w:rsidRDefault="00C97EE1" w:rsidP="003C7FBE">
            <w:pPr>
              <w:pStyle w:val="Doccode"/>
            </w:pPr>
            <w:r>
              <w:t>C/52/15 Add.</w:t>
            </w:r>
          </w:p>
          <w:p w:rsidR="00AE1CD4" w:rsidRPr="00CF3AFC" w:rsidRDefault="00AE1CD4" w:rsidP="00AE1CD4">
            <w:pPr>
              <w:pStyle w:val="Docoriginal"/>
              <w:rPr>
                <w:lang w:val="fr-CH"/>
              </w:rPr>
            </w:pPr>
            <w:r w:rsidRPr="00CF3AFC">
              <w:rPr>
                <w:lang w:val="fr-CH"/>
              </w:rPr>
              <w:t>Original:</w:t>
            </w:r>
            <w:r w:rsidRPr="00CF3AFC">
              <w:rPr>
                <w:b w:val="0"/>
                <w:spacing w:val="0"/>
                <w:lang w:val="fr-CH"/>
              </w:rPr>
              <w:t xml:space="preserve">  English/español</w:t>
            </w:r>
          </w:p>
          <w:p w:rsidR="00EB4E9C" w:rsidRPr="00AE1CD4" w:rsidRDefault="00AE1CD4" w:rsidP="00C97EE1">
            <w:pPr>
              <w:pStyle w:val="Docoriginal"/>
            </w:pPr>
            <w:r w:rsidRPr="00AE1CD4">
              <w:t>Fecha:</w:t>
            </w:r>
            <w:r w:rsidRPr="00AE1CD4">
              <w:rPr>
                <w:b w:val="0"/>
                <w:spacing w:val="0"/>
              </w:rPr>
              <w:t xml:space="preserve">  </w:t>
            </w:r>
            <w:r w:rsidR="00C97EE1">
              <w:rPr>
                <w:b w:val="0"/>
                <w:spacing w:val="0"/>
              </w:rPr>
              <w:t>28</w:t>
            </w:r>
            <w:r w:rsidRPr="00AE1CD4">
              <w:rPr>
                <w:b w:val="0"/>
                <w:spacing w:val="0"/>
              </w:rPr>
              <w:t xml:space="preserve"> de </w:t>
            </w:r>
            <w:r w:rsidR="00C97EE1">
              <w:rPr>
                <w:b w:val="0"/>
                <w:spacing w:val="0"/>
              </w:rPr>
              <w:t xml:space="preserve">noviembre </w:t>
            </w:r>
            <w:r w:rsidRPr="00AE1CD4">
              <w:rPr>
                <w:b w:val="0"/>
                <w:spacing w:val="0"/>
              </w:rPr>
              <w:t>de 2018</w:t>
            </w:r>
          </w:p>
        </w:tc>
      </w:tr>
    </w:tbl>
    <w:p w:rsidR="00AE1CD4" w:rsidRPr="006A644A" w:rsidRDefault="00C97EE1" w:rsidP="00AE1CD4">
      <w:pPr>
        <w:pStyle w:val="Titleofdoc0"/>
      </w:pPr>
      <w:bookmarkStart w:id="0" w:name="TitleOfDoc"/>
      <w:bookmarkEnd w:id="0"/>
      <w:r>
        <w:t>Adenda</w:t>
      </w:r>
      <w:r>
        <w:br/>
      </w:r>
      <w:r w:rsidR="00AE1CD4">
        <w:t>INFORMES DE REPRESENTANTES DE MIEMBROS Y OBSERVADORES SOBRE LOS ÁMBITOS LEGISLATIVO, ADMINISTRATIVO Y TÉCNICO</w:t>
      </w:r>
    </w:p>
    <w:p w:rsidR="00AE1CD4" w:rsidRPr="006A644A" w:rsidRDefault="00AE1CD4" w:rsidP="00AE1CD4">
      <w:pPr>
        <w:pStyle w:val="preparedby1"/>
        <w:jc w:val="left"/>
      </w:pPr>
      <w:bookmarkStart w:id="1" w:name="Prepared"/>
      <w:bookmarkEnd w:id="1"/>
      <w:r>
        <w:t>Documento preparado por la Oficina de la Unión</w:t>
      </w:r>
    </w:p>
    <w:p w:rsidR="00AE1CD4" w:rsidRPr="006A644A" w:rsidRDefault="00AE1CD4" w:rsidP="00AE1CD4">
      <w:pPr>
        <w:pStyle w:val="Disclaimer"/>
      </w:pPr>
      <w:r w:rsidRPr="000638A9">
        <w:t>Descargo de responsabilidad: el presente documento no constituye</w:t>
      </w:r>
      <w:r>
        <w:t xml:space="preserve"> </w:t>
      </w:r>
      <w:r w:rsidRPr="000638A9">
        <w:t>un documento de política u orientación de la UPOV</w:t>
      </w:r>
    </w:p>
    <w:p w:rsidR="00C97EE1" w:rsidRPr="00611C40" w:rsidRDefault="00C97EE1" w:rsidP="00C97EE1">
      <w:r w:rsidRPr="00611C40">
        <w:t xml:space="preserve">Los informes siguientes (presentados por orden alfabético de los nombres de los miembros en francés) se recibieron después del vencimiento del plazo correspondiente, el </w:t>
      </w:r>
      <w:r>
        <w:t>18 de septiembre de 2018</w:t>
      </w:r>
      <w:r w:rsidRPr="00611C40">
        <w:t>:</w:t>
      </w:r>
    </w:p>
    <w:p w:rsidR="00AE1CD4" w:rsidRPr="00D42A19" w:rsidRDefault="00AE1CD4" w:rsidP="00AE1CD4">
      <w:pPr>
        <w:widowControl w:val="0"/>
      </w:pPr>
    </w:p>
    <w:p w:rsidR="00AE1CD4" w:rsidRPr="00BE0BB5" w:rsidRDefault="00AE1CD4" w:rsidP="00AE1CD4">
      <w:pPr>
        <w:ind w:left="567"/>
        <w:rPr>
          <w:szCs w:val="24"/>
        </w:rPr>
      </w:pPr>
      <w:r w:rsidRPr="00D42A19">
        <w:rPr>
          <w:spacing w:val="-2"/>
          <w:szCs w:val="24"/>
          <w:u w:val="single"/>
        </w:rPr>
        <w:t>Miembros</w:t>
      </w:r>
      <w:r w:rsidRPr="00D42A19">
        <w:rPr>
          <w:spacing w:val="-2"/>
          <w:szCs w:val="24"/>
        </w:rPr>
        <w:t xml:space="preserve">:  Anexos I a </w:t>
      </w:r>
      <w:r w:rsidR="00C97EE1">
        <w:rPr>
          <w:spacing w:val="-2"/>
          <w:szCs w:val="24"/>
        </w:rPr>
        <w:t>I</w:t>
      </w:r>
      <w:r>
        <w:rPr>
          <w:spacing w:val="-2"/>
          <w:szCs w:val="24"/>
        </w:rPr>
        <w:t>V</w:t>
      </w:r>
      <w:r w:rsidRPr="00D42A19">
        <w:rPr>
          <w:spacing w:val="-2"/>
          <w:szCs w:val="24"/>
        </w:rPr>
        <w:t xml:space="preserve">:  </w:t>
      </w:r>
      <w:r w:rsidR="00C97EE1">
        <w:rPr>
          <w:szCs w:val="24"/>
        </w:rPr>
        <w:t>Australia, Brasil, Colombia y Japón</w:t>
      </w:r>
    </w:p>
    <w:p w:rsidR="00AE1CD4" w:rsidRPr="00D42A19" w:rsidRDefault="00AE1CD4" w:rsidP="00AE1CD4">
      <w:pPr>
        <w:widowControl w:val="0"/>
        <w:ind w:right="567"/>
      </w:pPr>
    </w:p>
    <w:p w:rsidR="00AE1CD4" w:rsidRPr="00D42A19" w:rsidRDefault="00AE1CD4" w:rsidP="00AE1CD4"/>
    <w:p w:rsidR="00AE1CD4" w:rsidRPr="00D42A19" w:rsidRDefault="00AE1CD4" w:rsidP="00AE1CD4"/>
    <w:p w:rsidR="00AE1CD4" w:rsidRPr="00D42A19" w:rsidRDefault="00AE1CD4" w:rsidP="00AE1CD4">
      <w:pPr>
        <w:jc w:val="right"/>
      </w:pPr>
      <w:r w:rsidRPr="00D42A19">
        <w:t>[Siguen los Anexos]</w:t>
      </w:r>
    </w:p>
    <w:p w:rsidR="00050E16" w:rsidRDefault="00050E16" w:rsidP="00050E16"/>
    <w:p w:rsidR="0047359E" w:rsidRDefault="0047359E" w:rsidP="009B440E">
      <w:pPr>
        <w:jc w:val="left"/>
        <w:sectPr w:rsidR="0047359E" w:rsidSect="00906DDC">
          <w:headerReference w:type="default" r:id="rId8"/>
          <w:pgSz w:w="11907" w:h="16840" w:code="9"/>
          <w:pgMar w:top="510" w:right="1134" w:bottom="1134" w:left="1134" w:header="510" w:footer="680" w:gutter="0"/>
          <w:cols w:space="720"/>
          <w:titlePg/>
        </w:sectPr>
      </w:pPr>
    </w:p>
    <w:p w:rsidR="0047359E" w:rsidRPr="0075031D" w:rsidRDefault="00C97EE1" w:rsidP="0047359E">
      <w:pPr>
        <w:jc w:val="center"/>
      </w:pPr>
      <w:r>
        <w:lastRenderedPageBreak/>
        <w:t>C/52/15 Add.</w:t>
      </w:r>
    </w:p>
    <w:p w:rsidR="0047359E" w:rsidRPr="0075031D" w:rsidRDefault="0047359E" w:rsidP="0047359E">
      <w:pPr>
        <w:jc w:val="center"/>
      </w:pPr>
    </w:p>
    <w:p w:rsidR="0047359E" w:rsidRPr="0075031D" w:rsidRDefault="0047359E" w:rsidP="0047359E">
      <w:pPr>
        <w:jc w:val="center"/>
      </w:pPr>
      <w:r>
        <w:t>ANEXO</w:t>
      </w:r>
      <w:r w:rsidRPr="0075031D">
        <w:t xml:space="preserve"> I</w:t>
      </w:r>
    </w:p>
    <w:p w:rsidR="0047359E" w:rsidRPr="0075031D" w:rsidRDefault="0047359E" w:rsidP="0047359E">
      <w:pPr>
        <w:jc w:val="center"/>
      </w:pPr>
    </w:p>
    <w:p w:rsidR="0047359E" w:rsidRDefault="0047359E" w:rsidP="0047359E">
      <w:pPr>
        <w:jc w:val="center"/>
      </w:pPr>
    </w:p>
    <w:p w:rsidR="00121096" w:rsidRPr="00A06444" w:rsidRDefault="00121096" w:rsidP="00121096">
      <w:pPr>
        <w:jc w:val="center"/>
        <w:rPr>
          <w:lang w:val="es-ES"/>
        </w:rPr>
      </w:pPr>
      <w:r w:rsidRPr="00F80E67">
        <w:t>AUSTRALIA</w:t>
      </w:r>
    </w:p>
    <w:p w:rsidR="00121096" w:rsidRPr="00A06444" w:rsidRDefault="00121096" w:rsidP="00121096">
      <w:pPr>
        <w:jc w:val="center"/>
        <w:rPr>
          <w:lang w:val="es-ES"/>
        </w:rPr>
      </w:pPr>
    </w:p>
    <w:p w:rsidR="00121096" w:rsidRPr="00A06444" w:rsidRDefault="00121096" w:rsidP="00121096">
      <w:pPr>
        <w:jc w:val="center"/>
        <w:rPr>
          <w:lang w:val="es-ES"/>
        </w:rPr>
      </w:pPr>
    </w:p>
    <w:p w:rsidR="00121096" w:rsidRPr="00A06444" w:rsidRDefault="00121096" w:rsidP="00121096">
      <w:pPr>
        <w:rPr>
          <w:lang w:val="es-ES"/>
        </w:rPr>
      </w:pPr>
      <w:r w:rsidRPr="00F80E67">
        <w:t>I.</w:t>
      </w:r>
      <w:r w:rsidRPr="00A06444">
        <w:rPr>
          <w:lang w:val="es-ES"/>
        </w:rPr>
        <w:tab/>
      </w:r>
      <w:r w:rsidRPr="00F80E67">
        <w:t>PROTECCIÓN DE LAS OBTENCIONES VEGETALES</w:t>
      </w:r>
    </w:p>
    <w:p w:rsidR="00121096" w:rsidRPr="00A06444" w:rsidRDefault="00121096" w:rsidP="00121096">
      <w:pPr>
        <w:rPr>
          <w:lang w:val="es-ES"/>
        </w:rPr>
      </w:pPr>
    </w:p>
    <w:p w:rsidR="00121096" w:rsidRPr="00C313C9" w:rsidRDefault="00121096" w:rsidP="00121096">
      <w:r w:rsidRPr="00C313C9">
        <w:t xml:space="preserve">1. </w:t>
      </w:r>
      <w:r w:rsidRPr="00C313C9">
        <w:tab/>
      </w:r>
      <w:r w:rsidRPr="00F80E67">
        <w:rPr>
          <w:u w:val="single"/>
        </w:rPr>
        <w:t>Situación en el campo legislativo</w:t>
      </w:r>
    </w:p>
    <w:p w:rsidR="00121096" w:rsidRPr="00C313C9" w:rsidRDefault="00121096" w:rsidP="00121096"/>
    <w:p w:rsidR="00121096" w:rsidRPr="00A06444" w:rsidRDefault="00121096" w:rsidP="00121096">
      <w:pPr>
        <w:rPr>
          <w:lang w:val="es-ES"/>
        </w:rPr>
      </w:pPr>
      <w:r w:rsidRPr="00C313C9">
        <w:tab/>
      </w:r>
      <w:r w:rsidRPr="00A06444">
        <w:rPr>
          <w:lang w:val="es-ES"/>
        </w:rPr>
        <w:t>1.1</w:t>
      </w:r>
      <w:r w:rsidRPr="00A06444">
        <w:rPr>
          <w:lang w:val="es-ES"/>
        </w:rPr>
        <w:tab/>
      </w:r>
      <w:r w:rsidRPr="00F80E67">
        <w:t>Modificaciones de la ley y de los reglamentos</w:t>
      </w:r>
    </w:p>
    <w:p w:rsidR="00121096" w:rsidRPr="00A06444" w:rsidRDefault="00121096" w:rsidP="00121096">
      <w:pPr>
        <w:ind w:left="851"/>
        <w:rPr>
          <w:lang w:val="es-ES"/>
        </w:rPr>
      </w:pPr>
      <w:r w:rsidRPr="00A06444">
        <w:rPr>
          <w:lang w:val="es-ES"/>
        </w:rPr>
        <w:t>-</w:t>
      </w:r>
      <w:r w:rsidRPr="00A06444">
        <w:rPr>
          <w:lang w:val="es-ES"/>
        </w:rPr>
        <w:tab/>
      </w:r>
      <w:r w:rsidRPr="00F80E67">
        <w:t>Otras modificaciones, incluidas las que atañen a las tasas</w:t>
      </w:r>
    </w:p>
    <w:p w:rsidR="00121096" w:rsidRPr="00A06444" w:rsidRDefault="00121096" w:rsidP="00121096">
      <w:pPr>
        <w:rPr>
          <w:lang w:val="es-ES"/>
        </w:rPr>
      </w:pPr>
    </w:p>
    <w:p w:rsidR="00121096" w:rsidRPr="00A06444" w:rsidRDefault="00121096" w:rsidP="00121096">
      <w:pPr>
        <w:rPr>
          <w:lang w:val="es-ES"/>
        </w:rPr>
      </w:pPr>
      <w:r w:rsidRPr="00F80E67">
        <w:t xml:space="preserve">La </w:t>
      </w:r>
      <w:r w:rsidRPr="00F80E67">
        <w:rPr>
          <w:iCs/>
        </w:rPr>
        <w:t>Ley de </w:t>
      </w:r>
      <w:r w:rsidRPr="00F80E67">
        <w:t xml:space="preserve">2018 </w:t>
      </w:r>
      <w:r w:rsidRPr="00F80E67">
        <w:rPr>
          <w:iCs/>
        </w:rPr>
        <w:t>de Reforma de las Leyes de Propiedad Intelectual</w:t>
      </w:r>
      <w:r w:rsidRPr="00F80E67">
        <w:t xml:space="preserve"> (respuesta de la Comisión de Productividad, parte 1, y otras medidas) fue aprobada por el Parlamento australiano y recibió la sanción real el 24 de agosto de 2018.</w:t>
      </w:r>
      <w:r w:rsidRPr="00A06444">
        <w:rPr>
          <w:lang w:val="es-ES"/>
        </w:rPr>
        <w:t xml:space="preserve"> </w:t>
      </w:r>
      <w:r w:rsidRPr="00F80E67">
        <w:t xml:space="preserve">Dicha Ley contiene varias modificaciones de la </w:t>
      </w:r>
      <w:r w:rsidRPr="00F80E67">
        <w:rPr>
          <w:iCs/>
        </w:rPr>
        <w:t>Ley de Derechos de Obtentor de 1994</w:t>
      </w:r>
      <w:r w:rsidRPr="00F80E67">
        <w:t>.</w:t>
      </w:r>
      <w:r w:rsidRPr="00A06444">
        <w:rPr>
          <w:lang w:val="es-ES"/>
        </w:rPr>
        <w:t xml:space="preserve"> </w:t>
      </w:r>
      <w:r w:rsidRPr="00F80E67">
        <w:t>Las modificaciones administrativas y aclaratorias entraron en vigor tras la obtención de la sanción real.</w:t>
      </w:r>
      <w:r w:rsidRPr="00A06444">
        <w:rPr>
          <w:lang w:val="es-ES"/>
        </w:rPr>
        <w:t xml:space="preserve"> </w:t>
      </w:r>
      <w:r w:rsidRPr="00F80E67">
        <w:t>La versión más reciente de la Ley de Derechos de Obtentor está disponible en la siguiente dirección:</w:t>
      </w:r>
      <w:r w:rsidRPr="00A06444">
        <w:rPr>
          <w:lang w:val="es-ES"/>
        </w:rPr>
        <w:t xml:space="preserve"> </w:t>
      </w:r>
      <w:hyperlink r:id="rId9" w:history="1">
        <w:r w:rsidRPr="00A06444">
          <w:rPr>
            <w:rStyle w:val="Hyperlink"/>
            <w:lang w:val="es-ES"/>
          </w:rPr>
          <w:t>https://www.legislation.gov.au/Details/C2018C00361</w:t>
        </w:r>
      </w:hyperlink>
    </w:p>
    <w:p w:rsidR="00121096" w:rsidRPr="00A06444" w:rsidRDefault="00121096" w:rsidP="00121096">
      <w:pPr>
        <w:rPr>
          <w:lang w:val="es-ES"/>
        </w:rPr>
      </w:pPr>
    </w:p>
    <w:p w:rsidR="00121096" w:rsidRPr="00A06444" w:rsidRDefault="00121096" w:rsidP="00121096">
      <w:pPr>
        <w:rPr>
          <w:lang w:val="es-ES"/>
        </w:rPr>
      </w:pPr>
      <w:r w:rsidRPr="00F80E67">
        <w:t>También se aprobaron otras varias modificaciones que no entrarán en vigor hasta el 24 de febrero de 2019 (seis meses después de la obtención de la sanción real), entre ellas las que se indican a continuación:</w:t>
      </w:r>
    </w:p>
    <w:p w:rsidR="00121096" w:rsidRPr="00A06444" w:rsidRDefault="00121096" w:rsidP="00121096">
      <w:pPr>
        <w:rPr>
          <w:lang w:val="es-ES"/>
        </w:rPr>
      </w:pPr>
    </w:p>
    <w:p w:rsidR="00121096" w:rsidRPr="00A06444" w:rsidRDefault="00121096" w:rsidP="00121096">
      <w:pPr>
        <w:rPr>
          <w:lang w:val="es-ES"/>
        </w:rPr>
      </w:pPr>
      <w:r w:rsidRPr="00A06444">
        <w:rPr>
          <w:lang w:val="es-ES"/>
        </w:rPr>
        <w:t xml:space="preserve">- </w:t>
      </w:r>
      <w:r w:rsidRPr="00F80E67">
        <w:t>la declaración de la condición de variedad esencialmente derivada podrá incluir variedades no protegidas por el derecho de obtentor;</w:t>
      </w:r>
    </w:p>
    <w:p w:rsidR="00121096" w:rsidRPr="00A06444" w:rsidRDefault="00121096" w:rsidP="00121096">
      <w:pPr>
        <w:rPr>
          <w:lang w:val="es-ES"/>
        </w:rPr>
      </w:pPr>
      <w:r w:rsidRPr="00A06444">
        <w:rPr>
          <w:lang w:val="es-ES"/>
        </w:rPr>
        <w:t xml:space="preserve">- </w:t>
      </w:r>
      <w:r w:rsidRPr="00F80E67">
        <w:t>se podrán reconocer daños y perjuicios adicionales en los casos de infracción;</w:t>
      </w:r>
    </w:p>
    <w:p w:rsidR="00121096" w:rsidRPr="00A06444" w:rsidRDefault="00121096" w:rsidP="00121096">
      <w:pPr>
        <w:rPr>
          <w:lang w:val="es-ES"/>
        </w:rPr>
      </w:pPr>
      <w:r w:rsidRPr="00A06444">
        <w:rPr>
          <w:lang w:val="es-ES"/>
        </w:rPr>
        <w:t xml:space="preserve">- </w:t>
      </w:r>
      <w:r w:rsidRPr="00F80E67">
        <w:t>reconocimiento de licenciatarios exclusivos.</w:t>
      </w:r>
    </w:p>
    <w:p w:rsidR="00121096" w:rsidRPr="00A06444" w:rsidRDefault="00121096" w:rsidP="00121096">
      <w:pPr>
        <w:rPr>
          <w:lang w:val="es-ES"/>
        </w:rPr>
      </w:pPr>
    </w:p>
    <w:p w:rsidR="00121096" w:rsidRPr="00A06444" w:rsidRDefault="00121096" w:rsidP="00121096">
      <w:pPr>
        <w:rPr>
          <w:lang w:val="es-ES"/>
        </w:rPr>
      </w:pPr>
    </w:p>
    <w:p w:rsidR="00121096" w:rsidRPr="00A06444" w:rsidRDefault="00121096" w:rsidP="00121096">
      <w:pPr>
        <w:rPr>
          <w:lang w:val="es-ES"/>
        </w:rPr>
      </w:pPr>
      <w:r w:rsidRPr="00A06444">
        <w:rPr>
          <w:lang w:val="es-ES"/>
        </w:rPr>
        <w:t>2.</w:t>
      </w:r>
      <w:r w:rsidRPr="00A06444">
        <w:rPr>
          <w:lang w:val="es-ES"/>
        </w:rPr>
        <w:tab/>
      </w:r>
      <w:r w:rsidRPr="00F80E67">
        <w:rPr>
          <w:u w:val="single"/>
        </w:rPr>
        <w:t>Cooperación en el examen</w:t>
      </w:r>
    </w:p>
    <w:p w:rsidR="00121096" w:rsidRPr="00A06444" w:rsidRDefault="00121096" w:rsidP="00121096">
      <w:pPr>
        <w:rPr>
          <w:lang w:val="es-ES"/>
        </w:rPr>
      </w:pPr>
    </w:p>
    <w:p w:rsidR="00121096" w:rsidRPr="00A06444" w:rsidRDefault="00121096" w:rsidP="00121096">
      <w:pPr>
        <w:rPr>
          <w:b/>
          <w:lang w:val="es-ES"/>
        </w:rPr>
      </w:pPr>
      <w:r w:rsidRPr="00A06444">
        <w:rPr>
          <w:lang w:val="es-ES"/>
        </w:rPr>
        <w:tab/>
      </w:r>
      <w:r w:rsidRPr="00F80E67">
        <w:rPr>
          <w:color w:val="000000" w:themeColor="text1"/>
        </w:rPr>
        <w:t>No se produjeron novedades.</w:t>
      </w:r>
    </w:p>
    <w:p w:rsidR="00121096" w:rsidRPr="00A06444" w:rsidRDefault="00121096" w:rsidP="00121096">
      <w:pPr>
        <w:rPr>
          <w:lang w:val="es-ES"/>
        </w:rPr>
      </w:pPr>
    </w:p>
    <w:p w:rsidR="00121096" w:rsidRPr="00A06444" w:rsidRDefault="00121096" w:rsidP="00121096">
      <w:pPr>
        <w:rPr>
          <w:lang w:val="es-ES"/>
        </w:rPr>
      </w:pPr>
    </w:p>
    <w:p w:rsidR="00121096" w:rsidRPr="00A06444" w:rsidRDefault="00121096" w:rsidP="00121096">
      <w:pPr>
        <w:rPr>
          <w:u w:val="single"/>
          <w:lang w:val="es-ES"/>
        </w:rPr>
      </w:pPr>
      <w:r w:rsidRPr="00A06444">
        <w:rPr>
          <w:lang w:val="es-ES"/>
        </w:rPr>
        <w:t>3.</w:t>
      </w:r>
      <w:r w:rsidRPr="00A06444">
        <w:rPr>
          <w:lang w:val="es-ES"/>
        </w:rPr>
        <w:tab/>
      </w:r>
      <w:r w:rsidRPr="00F80E67">
        <w:rPr>
          <w:u w:val="single"/>
        </w:rPr>
        <w:t>Situación en el campo administrativo</w:t>
      </w:r>
    </w:p>
    <w:p w:rsidR="00121096" w:rsidRPr="00A06444" w:rsidRDefault="00121096" w:rsidP="00121096">
      <w:pPr>
        <w:rPr>
          <w:lang w:val="es-ES"/>
        </w:rPr>
      </w:pPr>
    </w:p>
    <w:p w:rsidR="00121096" w:rsidRPr="001335C2" w:rsidRDefault="00121096" w:rsidP="00121096">
      <w:pPr>
        <w:rPr>
          <w:lang w:val="es-ES"/>
        </w:rPr>
      </w:pPr>
      <w:r w:rsidRPr="00A06444">
        <w:rPr>
          <w:lang w:val="es-ES"/>
        </w:rPr>
        <w:tab/>
      </w:r>
      <w:r w:rsidRPr="00F80E67">
        <w:t>No se produjeron novedades.</w:t>
      </w:r>
    </w:p>
    <w:p w:rsidR="00121096" w:rsidRPr="001335C2" w:rsidRDefault="00121096" w:rsidP="00121096">
      <w:pPr>
        <w:rPr>
          <w:lang w:val="es-ES"/>
        </w:rPr>
      </w:pPr>
    </w:p>
    <w:p w:rsidR="00121096" w:rsidRPr="001335C2" w:rsidRDefault="00121096" w:rsidP="00121096">
      <w:pPr>
        <w:rPr>
          <w:lang w:val="es-ES"/>
        </w:rPr>
      </w:pPr>
    </w:p>
    <w:p w:rsidR="00121096" w:rsidRPr="001335C2" w:rsidRDefault="00121096" w:rsidP="00121096">
      <w:pPr>
        <w:rPr>
          <w:lang w:val="es-ES"/>
        </w:rPr>
      </w:pPr>
      <w:r w:rsidRPr="001335C2">
        <w:rPr>
          <w:lang w:val="es-ES"/>
        </w:rPr>
        <w:t>4.</w:t>
      </w:r>
      <w:r w:rsidRPr="001335C2">
        <w:rPr>
          <w:lang w:val="es-ES"/>
        </w:rPr>
        <w:tab/>
      </w:r>
      <w:r w:rsidRPr="00F80E67">
        <w:rPr>
          <w:u w:val="single"/>
        </w:rPr>
        <w:t>Situación en el campo técnico</w:t>
      </w:r>
    </w:p>
    <w:p w:rsidR="00121096" w:rsidRPr="001335C2" w:rsidRDefault="00121096" w:rsidP="00121096">
      <w:pPr>
        <w:rPr>
          <w:lang w:val="es-ES"/>
        </w:rPr>
      </w:pPr>
    </w:p>
    <w:p w:rsidR="00121096" w:rsidRPr="001335C2" w:rsidRDefault="00121096" w:rsidP="00121096">
      <w:pPr>
        <w:rPr>
          <w:lang w:val="es-ES"/>
        </w:rPr>
      </w:pPr>
      <w:r w:rsidRPr="001335C2">
        <w:rPr>
          <w:lang w:val="es-ES"/>
        </w:rPr>
        <w:tab/>
      </w:r>
      <w:r w:rsidRPr="00F80E67">
        <w:t>No se produjeron novedades.</w:t>
      </w:r>
    </w:p>
    <w:p w:rsidR="00121096" w:rsidRPr="001335C2" w:rsidRDefault="00121096" w:rsidP="00121096">
      <w:pPr>
        <w:rPr>
          <w:lang w:val="es-ES"/>
        </w:rPr>
      </w:pPr>
    </w:p>
    <w:p w:rsidR="00121096" w:rsidRPr="001335C2" w:rsidRDefault="00121096" w:rsidP="00121096">
      <w:pPr>
        <w:rPr>
          <w:lang w:val="es-ES"/>
        </w:rPr>
      </w:pPr>
    </w:p>
    <w:p w:rsidR="00121096" w:rsidRPr="001335C2" w:rsidRDefault="00121096" w:rsidP="00121096">
      <w:pPr>
        <w:rPr>
          <w:u w:val="single"/>
          <w:lang w:val="es-ES"/>
        </w:rPr>
      </w:pPr>
      <w:r w:rsidRPr="001335C2">
        <w:rPr>
          <w:lang w:val="es-ES"/>
        </w:rPr>
        <w:t>5.</w:t>
      </w:r>
      <w:r w:rsidRPr="001335C2">
        <w:rPr>
          <w:lang w:val="es-ES"/>
        </w:rPr>
        <w:tab/>
      </w:r>
      <w:r w:rsidRPr="00F80E67">
        <w:rPr>
          <w:u w:val="single"/>
        </w:rPr>
        <w:t>Actividades para la promoción de la protección de las obtenciones vegetales</w:t>
      </w:r>
    </w:p>
    <w:p w:rsidR="00121096" w:rsidRPr="001335C2" w:rsidRDefault="00121096" w:rsidP="00121096">
      <w:pPr>
        <w:rPr>
          <w:lang w:val="es-ES"/>
        </w:rPr>
      </w:pPr>
    </w:p>
    <w:tbl>
      <w:tblPr>
        <w:tblStyle w:val="TableGrid"/>
        <w:tblW w:w="9776" w:type="dxa"/>
        <w:tblLayout w:type="fixed"/>
        <w:tblLook w:val="01E0" w:firstRow="1" w:lastRow="1" w:firstColumn="1" w:lastColumn="1" w:noHBand="0" w:noVBand="0"/>
      </w:tblPr>
      <w:tblGrid>
        <w:gridCol w:w="1555"/>
        <w:gridCol w:w="1940"/>
        <w:gridCol w:w="1603"/>
        <w:gridCol w:w="2127"/>
        <w:gridCol w:w="2551"/>
      </w:tblGrid>
      <w:tr w:rsidR="00121096" w:rsidRPr="001335C2" w:rsidTr="002D69F6">
        <w:tc>
          <w:tcPr>
            <w:tcW w:w="1555" w:type="dxa"/>
          </w:tcPr>
          <w:p w:rsidR="00121096" w:rsidRPr="00C313C9" w:rsidRDefault="00121096" w:rsidP="002D69F6">
            <w:pPr>
              <w:jc w:val="left"/>
              <w:rPr>
                <w:sz w:val="18"/>
              </w:rPr>
            </w:pPr>
            <w:r w:rsidRPr="00F80E67">
              <w:rPr>
                <w:sz w:val="18"/>
              </w:rPr>
              <w:t>Fecha</w:t>
            </w:r>
          </w:p>
        </w:tc>
        <w:tc>
          <w:tcPr>
            <w:tcW w:w="1940" w:type="dxa"/>
          </w:tcPr>
          <w:p w:rsidR="00121096" w:rsidRPr="00C313C9" w:rsidRDefault="00121096" w:rsidP="002D69F6">
            <w:pPr>
              <w:jc w:val="left"/>
              <w:rPr>
                <w:sz w:val="18"/>
              </w:rPr>
            </w:pPr>
            <w:r w:rsidRPr="00F80E67">
              <w:rPr>
                <w:sz w:val="18"/>
              </w:rPr>
              <w:t>Lugar</w:t>
            </w:r>
          </w:p>
        </w:tc>
        <w:tc>
          <w:tcPr>
            <w:tcW w:w="1603" w:type="dxa"/>
          </w:tcPr>
          <w:p w:rsidR="00121096" w:rsidRPr="00C313C9" w:rsidRDefault="00121096" w:rsidP="002D69F6">
            <w:pPr>
              <w:jc w:val="left"/>
              <w:rPr>
                <w:sz w:val="18"/>
              </w:rPr>
            </w:pPr>
            <w:r w:rsidRPr="00F80E67">
              <w:rPr>
                <w:sz w:val="18"/>
              </w:rPr>
              <w:t>Organizador(es)</w:t>
            </w:r>
          </w:p>
        </w:tc>
        <w:tc>
          <w:tcPr>
            <w:tcW w:w="2127" w:type="dxa"/>
          </w:tcPr>
          <w:p w:rsidR="00121096" w:rsidRPr="00C313C9" w:rsidRDefault="00121096" w:rsidP="002D69F6">
            <w:pPr>
              <w:jc w:val="left"/>
              <w:rPr>
                <w:sz w:val="18"/>
              </w:rPr>
            </w:pPr>
            <w:r w:rsidRPr="00F80E67">
              <w:rPr>
                <w:sz w:val="18"/>
              </w:rPr>
              <w:t>Finalidad de la actividad</w:t>
            </w:r>
          </w:p>
        </w:tc>
        <w:tc>
          <w:tcPr>
            <w:tcW w:w="2551" w:type="dxa"/>
          </w:tcPr>
          <w:p w:rsidR="00121096" w:rsidRPr="001335C2" w:rsidRDefault="00121096" w:rsidP="002D69F6">
            <w:pPr>
              <w:jc w:val="left"/>
              <w:rPr>
                <w:sz w:val="18"/>
                <w:lang w:val="es-ES"/>
              </w:rPr>
            </w:pPr>
            <w:r w:rsidRPr="00F80E67">
              <w:rPr>
                <w:sz w:val="18"/>
              </w:rPr>
              <w:t>Países/organizaciones participantes (número de participantes en cada caso)</w:t>
            </w:r>
          </w:p>
        </w:tc>
      </w:tr>
      <w:tr w:rsidR="00121096" w:rsidRPr="001335C2" w:rsidTr="002D69F6">
        <w:tc>
          <w:tcPr>
            <w:tcW w:w="1555" w:type="dxa"/>
          </w:tcPr>
          <w:p w:rsidR="00121096" w:rsidRPr="00C313C9" w:rsidRDefault="00121096" w:rsidP="002D69F6">
            <w:pPr>
              <w:jc w:val="left"/>
              <w:rPr>
                <w:sz w:val="18"/>
              </w:rPr>
            </w:pPr>
            <w:r w:rsidRPr="00F80E67">
              <w:rPr>
                <w:sz w:val="18"/>
              </w:rPr>
              <w:t>22 de agosto de 2018</w:t>
            </w:r>
          </w:p>
        </w:tc>
        <w:tc>
          <w:tcPr>
            <w:tcW w:w="1940" w:type="dxa"/>
          </w:tcPr>
          <w:p w:rsidR="00121096" w:rsidRPr="00C313C9" w:rsidRDefault="00121096" w:rsidP="002D69F6">
            <w:pPr>
              <w:jc w:val="left"/>
              <w:rPr>
                <w:sz w:val="18"/>
              </w:rPr>
            </w:pPr>
            <w:r w:rsidRPr="00F80E67">
              <w:rPr>
                <w:sz w:val="18"/>
              </w:rPr>
              <w:t>Melbourne (Australia)</w:t>
            </w:r>
          </w:p>
        </w:tc>
        <w:tc>
          <w:tcPr>
            <w:tcW w:w="1603" w:type="dxa"/>
          </w:tcPr>
          <w:p w:rsidR="00121096" w:rsidRPr="00C313C9" w:rsidRDefault="00121096" w:rsidP="002D69F6">
            <w:pPr>
              <w:jc w:val="left"/>
              <w:rPr>
                <w:sz w:val="18"/>
              </w:rPr>
            </w:pPr>
            <w:r w:rsidRPr="00F80E67">
              <w:rPr>
                <w:sz w:val="18"/>
              </w:rPr>
              <w:t>Federación Australiana de Semillas</w:t>
            </w:r>
          </w:p>
        </w:tc>
        <w:tc>
          <w:tcPr>
            <w:tcW w:w="2127" w:type="dxa"/>
          </w:tcPr>
          <w:p w:rsidR="00121096" w:rsidRPr="00C313C9" w:rsidRDefault="00121096" w:rsidP="002D69F6">
            <w:pPr>
              <w:jc w:val="left"/>
              <w:rPr>
                <w:sz w:val="18"/>
              </w:rPr>
            </w:pPr>
            <w:r w:rsidRPr="00F80E67">
              <w:rPr>
                <w:sz w:val="18"/>
              </w:rPr>
              <w:t>Explicación de UPOV PRISMA</w:t>
            </w:r>
          </w:p>
        </w:tc>
        <w:tc>
          <w:tcPr>
            <w:tcW w:w="2551" w:type="dxa"/>
          </w:tcPr>
          <w:p w:rsidR="00121096" w:rsidRPr="001335C2" w:rsidRDefault="00121096" w:rsidP="002D69F6">
            <w:pPr>
              <w:jc w:val="left"/>
              <w:rPr>
                <w:sz w:val="18"/>
                <w:lang w:val="es-ES"/>
              </w:rPr>
            </w:pPr>
            <w:r w:rsidRPr="00F80E67">
              <w:rPr>
                <w:sz w:val="18"/>
              </w:rPr>
              <w:t>Organizaciones de la industria de las semillas de Australia y Nueva Zelandia</w:t>
            </w:r>
          </w:p>
        </w:tc>
      </w:tr>
    </w:tbl>
    <w:p w:rsidR="00121096" w:rsidRPr="001335C2" w:rsidRDefault="00121096" w:rsidP="00121096">
      <w:pPr>
        <w:rPr>
          <w:lang w:val="es-ES"/>
        </w:rPr>
      </w:pPr>
    </w:p>
    <w:p w:rsidR="00121096" w:rsidRPr="001335C2" w:rsidRDefault="00121096" w:rsidP="00121096">
      <w:pPr>
        <w:rPr>
          <w:lang w:val="es-ES"/>
        </w:rPr>
      </w:pPr>
    </w:p>
    <w:p w:rsidR="00121096" w:rsidRPr="001335C2" w:rsidRDefault="00121096" w:rsidP="00121096">
      <w:pPr>
        <w:rPr>
          <w:lang w:val="es-ES"/>
        </w:rPr>
      </w:pPr>
      <w:r w:rsidRPr="00F80E67">
        <w:t>II.</w:t>
      </w:r>
      <w:r w:rsidRPr="001335C2">
        <w:rPr>
          <w:lang w:val="es-ES"/>
        </w:rPr>
        <w:tab/>
      </w:r>
      <w:r w:rsidRPr="00F80E67">
        <w:t>OTRAS NOVEDADES DE INTERÉS PARA LA UPOV</w:t>
      </w:r>
    </w:p>
    <w:p w:rsidR="00121096" w:rsidRPr="001335C2" w:rsidRDefault="00121096" w:rsidP="00121096">
      <w:pPr>
        <w:rPr>
          <w:lang w:val="es-ES"/>
        </w:rPr>
      </w:pPr>
    </w:p>
    <w:p w:rsidR="00121096" w:rsidRPr="001335C2" w:rsidRDefault="00121096" w:rsidP="00121096">
      <w:pPr>
        <w:rPr>
          <w:lang w:val="es-ES"/>
        </w:rPr>
      </w:pPr>
      <w:r w:rsidRPr="001335C2">
        <w:rPr>
          <w:lang w:val="es-ES"/>
        </w:rPr>
        <w:tab/>
      </w:r>
      <w:r w:rsidRPr="00F80E67">
        <w:t>No se produjeron novedades.</w:t>
      </w:r>
    </w:p>
    <w:p w:rsidR="00121096" w:rsidRPr="001335C2" w:rsidRDefault="00121096" w:rsidP="00121096">
      <w:pPr>
        <w:rPr>
          <w:lang w:val="es-ES"/>
        </w:rPr>
      </w:pPr>
    </w:p>
    <w:p w:rsidR="0047359E" w:rsidRDefault="0047359E" w:rsidP="0047359E">
      <w:pPr>
        <w:jc w:val="left"/>
      </w:pPr>
    </w:p>
    <w:p w:rsidR="0047359E" w:rsidRDefault="0047359E" w:rsidP="0047359E">
      <w:pPr>
        <w:jc w:val="left"/>
      </w:pPr>
    </w:p>
    <w:p w:rsidR="0047359E" w:rsidRDefault="0047359E" w:rsidP="0047359E">
      <w:pPr>
        <w:jc w:val="right"/>
      </w:pPr>
      <w:r>
        <w:t>[Sigue el Anexo II</w:t>
      </w:r>
      <w:r w:rsidR="006176B7">
        <w:t>]</w:t>
      </w:r>
    </w:p>
    <w:p w:rsidR="0047359E" w:rsidRDefault="0047359E" w:rsidP="0047359E">
      <w:pPr>
        <w:jc w:val="left"/>
      </w:pPr>
    </w:p>
    <w:p w:rsidR="0047359E" w:rsidRDefault="0047359E" w:rsidP="0047359E">
      <w:pPr>
        <w:jc w:val="left"/>
        <w:sectPr w:rsidR="0047359E" w:rsidSect="00AE79F5">
          <w:headerReference w:type="default" r:id="rId10"/>
          <w:pgSz w:w="11907" w:h="16840" w:code="9"/>
          <w:pgMar w:top="510" w:right="1134" w:bottom="1134" w:left="1134" w:header="510" w:footer="680" w:gutter="0"/>
          <w:pgNumType w:start="1"/>
          <w:cols w:space="720"/>
          <w:titlePg/>
        </w:sectPr>
      </w:pPr>
    </w:p>
    <w:p w:rsidR="0047359E" w:rsidRPr="0075031D" w:rsidRDefault="00C97EE1" w:rsidP="0047359E">
      <w:pPr>
        <w:jc w:val="center"/>
      </w:pPr>
      <w:r>
        <w:lastRenderedPageBreak/>
        <w:t>C/52/15 Add.</w:t>
      </w:r>
    </w:p>
    <w:p w:rsidR="0047359E" w:rsidRPr="0075031D" w:rsidRDefault="0047359E" w:rsidP="0047359E">
      <w:pPr>
        <w:jc w:val="center"/>
      </w:pPr>
    </w:p>
    <w:p w:rsidR="0047359E" w:rsidRPr="0075031D" w:rsidRDefault="0047359E" w:rsidP="0047359E">
      <w:pPr>
        <w:jc w:val="center"/>
      </w:pPr>
      <w:r>
        <w:t>ANEXO</w:t>
      </w:r>
      <w:r w:rsidRPr="0075031D">
        <w:t xml:space="preserve"> I</w:t>
      </w:r>
      <w:r>
        <w:t>I</w:t>
      </w:r>
    </w:p>
    <w:p w:rsidR="0047359E" w:rsidRPr="0075031D" w:rsidRDefault="0047359E" w:rsidP="0047359E">
      <w:pPr>
        <w:jc w:val="center"/>
      </w:pPr>
    </w:p>
    <w:p w:rsidR="0047359E" w:rsidRDefault="0047359E" w:rsidP="0047359E">
      <w:pPr>
        <w:jc w:val="center"/>
      </w:pPr>
    </w:p>
    <w:p w:rsidR="00B06AD0" w:rsidRPr="001335C2" w:rsidRDefault="00B06AD0" w:rsidP="00B06AD0">
      <w:pPr>
        <w:jc w:val="center"/>
        <w:rPr>
          <w:lang w:val="es-ES"/>
        </w:rPr>
      </w:pPr>
      <w:r w:rsidRPr="00F80E67">
        <w:t>BRASIL</w:t>
      </w:r>
    </w:p>
    <w:p w:rsidR="00B06AD0" w:rsidRPr="001335C2" w:rsidRDefault="00B06AD0" w:rsidP="00B06AD0">
      <w:pPr>
        <w:rPr>
          <w:lang w:val="es-ES"/>
        </w:rPr>
      </w:pPr>
    </w:p>
    <w:p w:rsidR="00B06AD0" w:rsidRPr="001335C2" w:rsidRDefault="00B06AD0" w:rsidP="00B06AD0">
      <w:pPr>
        <w:rPr>
          <w:lang w:val="es-ES"/>
        </w:rPr>
      </w:pPr>
    </w:p>
    <w:p w:rsidR="00B06AD0" w:rsidRPr="001335C2" w:rsidRDefault="00B06AD0" w:rsidP="00B06AD0">
      <w:pPr>
        <w:rPr>
          <w:lang w:val="es-ES"/>
        </w:rPr>
      </w:pPr>
      <w:r w:rsidRPr="00F80E67">
        <w:t>I.</w:t>
      </w:r>
      <w:r w:rsidRPr="001335C2">
        <w:rPr>
          <w:lang w:val="es-ES"/>
        </w:rPr>
        <w:tab/>
      </w:r>
      <w:r w:rsidRPr="00F80E67">
        <w:t>PROTECCIÓN DE LAS OBTENCIONES VEGETALES</w:t>
      </w:r>
    </w:p>
    <w:p w:rsidR="00B06AD0" w:rsidRPr="001335C2" w:rsidRDefault="00B06AD0" w:rsidP="00B06AD0">
      <w:pPr>
        <w:rPr>
          <w:lang w:val="es-ES"/>
        </w:rPr>
      </w:pPr>
    </w:p>
    <w:p w:rsidR="00B06AD0" w:rsidRPr="001335C2" w:rsidRDefault="00B06AD0" w:rsidP="00B06AD0">
      <w:pPr>
        <w:tabs>
          <w:tab w:val="left" w:pos="426"/>
          <w:tab w:val="left" w:pos="1276"/>
        </w:tabs>
        <w:rPr>
          <w:lang w:val="es-ES"/>
        </w:rPr>
      </w:pPr>
      <w:r w:rsidRPr="001335C2">
        <w:rPr>
          <w:lang w:val="es-ES"/>
        </w:rPr>
        <w:t xml:space="preserve">1. </w:t>
      </w:r>
      <w:r w:rsidRPr="001335C2">
        <w:rPr>
          <w:lang w:val="es-ES"/>
        </w:rPr>
        <w:tab/>
      </w:r>
      <w:r w:rsidRPr="00F80E67">
        <w:rPr>
          <w:u w:val="single"/>
        </w:rPr>
        <w:t>Situación en el campo legislativo</w:t>
      </w:r>
    </w:p>
    <w:p w:rsidR="00B06AD0" w:rsidRPr="001335C2" w:rsidRDefault="00B06AD0" w:rsidP="00B06AD0">
      <w:pPr>
        <w:rPr>
          <w:lang w:val="es-ES"/>
        </w:rPr>
      </w:pPr>
    </w:p>
    <w:p w:rsidR="00B06AD0" w:rsidRPr="001335C2" w:rsidRDefault="00B06AD0" w:rsidP="00B06AD0">
      <w:pPr>
        <w:rPr>
          <w:lang w:val="es-ES"/>
        </w:rPr>
      </w:pPr>
      <w:r w:rsidRPr="001335C2">
        <w:rPr>
          <w:lang w:val="es-ES"/>
        </w:rPr>
        <w:t>1.1</w:t>
      </w:r>
      <w:r w:rsidRPr="001335C2">
        <w:rPr>
          <w:lang w:val="es-ES"/>
        </w:rPr>
        <w:tab/>
      </w:r>
      <w:r w:rsidRPr="00F80E67">
        <w:t>Modificaciones de la ley y de los reglamentos</w:t>
      </w:r>
    </w:p>
    <w:p w:rsidR="00B06AD0" w:rsidRPr="001335C2" w:rsidRDefault="00B06AD0" w:rsidP="00B06AD0">
      <w:pPr>
        <w:rPr>
          <w:lang w:val="es-ES"/>
        </w:rPr>
      </w:pPr>
    </w:p>
    <w:p w:rsidR="00B06AD0" w:rsidRPr="001335C2" w:rsidRDefault="00B06AD0" w:rsidP="00B06AD0">
      <w:pPr>
        <w:rPr>
          <w:lang w:val="es-ES"/>
        </w:rPr>
      </w:pPr>
      <w:r w:rsidRPr="001335C2">
        <w:rPr>
          <w:lang w:val="es-ES"/>
        </w:rPr>
        <w:t>-</w:t>
      </w:r>
      <w:r w:rsidRPr="001335C2">
        <w:rPr>
          <w:lang w:val="es-ES"/>
        </w:rPr>
        <w:tab/>
      </w:r>
      <w:r w:rsidRPr="00F80E67">
        <w:t>Ley 13.606/18.</w:t>
      </w:r>
      <w:r w:rsidRPr="001335C2">
        <w:rPr>
          <w:lang w:val="es-ES"/>
        </w:rPr>
        <w:t xml:space="preserve"> </w:t>
      </w:r>
    </w:p>
    <w:p w:rsidR="00B06AD0" w:rsidRPr="001335C2" w:rsidRDefault="00B06AD0" w:rsidP="00B06AD0">
      <w:pPr>
        <w:rPr>
          <w:lang w:val="es-ES"/>
        </w:rPr>
      </w:pPr>
    </w:p>
    <w:p w:rsidR="00B06AD0" w:rsidRPr="001335C2" w:rsidRDefault="00B06AD0" w:rsidP="00B06AD0">
      <w:pPr>
        <w:rPr>
          <w:lang w:val="es-ES"/>
        </w:rPr>
      </w:pPr>
      <w:r w:rsidRPr="001335C2">
        <w:rPr>
          <w:lang w:val="es-ES"/>
        </w:rPr>
        <w:t>1.2</w:t>
      </w:r>
      <w:r w:rsidRPr="001335C2">
        <w:rPr>
          <w:lang w:val="es-ES"/>
        </w:rPr>
        <w:tab/>
      </w:r>
      <w:r w:rsidRPr="00F80E67">
        <w:t>Extensión de la protección a otros géneros y especies (realizada o prevista)</w:t>
      </w:r>
    </w:p>
    <w:p w:rsidR="00B06AD0" w:rsidRPr="001335C2" w:rsidRDefault="00B06AD0" w:rsidP="00B06AD0">
      <w:pPr>
        <w:rPr>
          <w:lang w:val="es-ES"/>
        </w:rPr>
      </w:pPr>
    </w:p>
    <w:p w:rsidR="00B06AD0" w:rsidRPr="001335C2" w:rsidRDefault="00B06AD0" w:rsidP="00B06AD0">
      <w:pPr>
        <w:ind w:left="567" w:hanging="567"/>
        <w:rPr>
          <w:lang w:eastAsia="pt-BR"/>
        </w:rPr>
      </w:pPr>
      <w:r w:rsidRPr="001335C2">
        <w:rPr>
          <w:lang w:val="es-ES"/>
        </w:rPr>
        <w:t>-</w:t>
      </w:r>
      <w:r w:rsidRPr="001335C2">
        <w:rPr>
          <w:lang w:val="es-ES"/>
        </w:rPr>
        <w:tab/>
      </w:r>
      <w:r w:rsidRPr="008779B1">
        <w:t xml:space="preserve">Desde el final de 2017 hasta la actualidad, se ha extendido la protección a los siguientes géneros y especies: </w:t>
      </w:r>
      <w:r w:rsidRPr="000A2AD4">
        <w:rPr>
          <w:i/>
          <w:noProof/>
          <w:lang w:eastAsia="pt-BR"/>
        </w:rPr>
        <w:t>Begonia boliviensis</w:t>
      </w:r>
      <w:r w:rsidRPr="008779B1">
        <w:rPr>
          <w:lang w:eastAsia="pt-BR"/>
        </w:rPr>
        <w:t xml:space="preserve"> A. DC., </w:t>
      </w:r>
      <w:r w:rsidRPr="000A2AD4">
        <w:rPr>
          <w:i/>
          <w:noProof/>
          <w:lang w:eastAsia="pt-BR"/>
        </w:rPr>
        <w:t>Begonia pendula</w:t>
      </w:r>
      <w:r w:rsidRPr="008779B1">
        <w:rPr>
          <w:lang w:eastAsia="pt-BR"/>
        </w:rPr>
        <w:t xml:space="preserve"> Ridl., </w:t>
      </w:r>
      <w:r w:rsidRPr="000A2AD4">
        <w:rPr>
          <w:i/>
          <w:noProof/>
          <w:lang w:eastAsia="pt-BR"/>
        </w:rPr>
        <w:t>Begonia × semperflorens-cultorum</w:t>
      </w:r>
      <w:r w:rsidRPr="008779B1">
        <w:rPr>
          <w:lang w:eastAsia="pt-BR"/>
        </w:rPr>
        <w:t xml:space="preserve"> hort., </w:t>
      </w:r>
      <w:r w:rsidRPr="000A2AD4">
        <w:rPr>
          <w:i/>
          <w:noProof/>
          <w:lang w:eastAsia="pt-BR"/>
        </w:rPr>
        <w:t>Begonia × tuberhybrida</w:t>
      </w:r>
      <w:r w:rsidRPr="008779B1">
        <w:rPr>
          <w:lang w:eastAsia="pt-BR"/>
        </w:rPr>
        <w:t xml:space="preserve"> Voss, </w:t>
      </w:r>
      <w:r w:rsidRPr="000A2AD4">
        <w:rPr>
          <w:i/>
          <w:noProof/>
          <w:lang w:eastAsia="pt-BR"/>
        </w:rPr>
        <w:t>Begonia boliviensis</w:t>
      </w:r>
      <w:r w:rsidRPr="008779B1">
        <w:rPr>
          <w:lang w:eastAsia="pt-BR"/>
        </w:rPr>
        <w:t xml:space="preserve"> A. DC. × </w:t>
      </w:r>
      <w:r w:rsidRPr="000A2AD4">
        <w:rPr>
          <w:i/>
          <w:noProof/>
          <w:lang w:eastAsia="pt-BR"/>
        </w:rPr>
        <w:t>Begonia pendula</w:t>
      </w:r>
      <w:r w:rsidRPr="008779B1">
        <w:rPr>
          <w:lang w:eastAsia="pt-BR"/>
        </w:rPr>
        <w:t xml:space="preserve"> Ridl., </w:t>
      </w:r>
      <w:r w:rsidRPr="000A2AD4">
        <w:rPr>
          <w:i/>
          <w:noProof/>
          <w:lang w:eastAsia="pt-BR"/>
        </w:rPr>
        <w:t>Bougainvillea</w:t>
      </w:r>
      <w:r w:rsidRPr="008779B1">
        <w:rPr>
          <w:lang w:eastAsia="pt-BR"/>
        </w:rPr>
        <w:t xml:space="preserve"> (Comm. ex Juss.), </w:t>
      </w:r>
      <w:r w:rsidRPr="000A2AD4">
        <w:rPr>
          <w:i/>
          <w:noProof/>
          <w:lang w:eastAsia="pt-BR"/>
        </w:rPr>
        <w:t>Cocos nucifera</w:t>
      </w:r>
      <w:r w:rsidRPr="008779B1">
        <w:rPr>
          <w:lang w:eastAsia="pt-BR"/>
        </w:rPr>
        <w:t xml:space="preserve"> L., </w:t>
      </w:r>
      <w:r w:rsidRPr="000A2AD4">
        <w:rPr>
          <w:i/>
          <w:noProof/>
          <w:lang w:eastAsia="pt-BR"/>
        </w:rPr>
        <w:t>Agave</w:t>
      </w:r>
      <w:r w:rsidRPr="008779B1">
        <w:rPr>
          <w:lang w:eastAsia="pt-BR"/>
        </w:rPr>
        <w:t xml:space="preserve">, </w:t>
      </w:r>
      <w:r w:rsidRPr="000A2AD4">
        <w:rPr>
          <w:i/>
          <w:noProof/>
          <w:lang w:eastAsia="pt-BR"/>
        </w:rPr>
        <w:t>Cicer arietinum</w:t>
      </w:r>
      <w:r w:rsidRPr="008779B1">
        <w:rPr>
          <w:lang w:eastAsia="pt-BR"/>
        </w:rPr>
        <w:t xml:space="preserve"> L., </w:t>
      </w:r>
      <w:r w:rsidRPr="000A2AD4">
        <w:rPr>
          <w:i/>
          <w:noProof/>
          <w:lang w:eastAsia="pt-BR"/>
        </w:rPr>
        <w:t>Lagenaria siceraria</w:t>
      </w:r>
      <w:r w:rsidRPr="008779B1">
        <w:rPr>
          <w:lang w:eastAsia="pt-BR"/>
        </w:rPr>
        <w:t xml:space="preserve"> (Molina) Standl., </w:t>
      </w:r>
      <w:r w:rsidRPr="000A2AD4">
        <w:rPr>
          <w:i/>
          <w:noProof/>
          <w:lang w:eastAsia="pt-BR"/>
        </w:rPr>
        <w:t>Pelargonium grandiflorum</w:t>
      </w:r>
      <w:r w:rsidRPr="008779B1">
        <w:rPr>
          <w:lang w:eastAsia="pt-BR"/>
        </w:rPr>
        <w:t xml:space="preserve"> (Andrews) Willd., </w:t>
      </w:r>
      <w:r w:rsidRPr="000A2AD4">
        <w:rPr>
          <w:i/>
          <w:noProof/>
          <w:lang w:eastAsia="pt-BR"/>
        </w:rPr>
        <w:t>P.</w:t>
      </w:r>
      <w:r w:rsidRPr="008779B1">
        <w:rPr>
          <w:lang w:eastAsia="pt-BR"/>
        </w:rPr>
        <w:t xml:space="preserve"> × </w:t>
      </w:r>
      <w:r w:rsidRPr="000A2AD4">
        <w:rPr>
          <w:i/>
          <w:noProof/>
          <w:lang w:eastAsia="pt-BR"/>
        </w:rPr>
        <w:t>domesticum</w:t>
      </w:r>
      <w:r w:rsidRPr="008779B1">
        <w:rPr>
          <w:lang w:eastAsia="pt-BR"/>
        </w:rPr>
        <w:t xml:space="preserve"> L.H. Bailey, </w:t>
      </w:r>
      <w:r w:rsidRPr="000A2AD4">
        <w:rPr>
          <w:i/>
          <w:noProof/>
          <w:lang w:eastAsia="pt-BR"/>
        </w:rPr>
        <w:t>P. crispum</w:t>
      </w:r>
      <w:r w:rsidRPr="008779B1">
        <w:rPr>
          <w:lang w:eastAsia="pt-BR"/>
        </w:rPr>
        <w:t xml:space="preserve"> (P.J. Bergius) L’Hér., </w:t>
      </w:r>
      <w:r w:rsidRPr="000A2AD4">
        <w:rPr>
          <w:i/>
          <w:noProof/>
          <w:lang w:eastAsia="pt-BR"/>
        </w:rPr>
        <w:t>P. crispum</w:t>
      </w:r>
      <w:r w:rsidRPr="008779B1">
        <w:rPr>
          <w:lang w:eastAsia="pt-BR"/>
        </w:rPr>
        <w:t xml:space="preserve"> × </w:t>
      </w:r>
      <w:r w:rsidRPr="000A2AD4">
        <w:rPr>
          <w:i/>
          <w:noProof/>
          <w:lang w:eastAsia="pt-BR"/>
        </w:rPr>
        <w:t>P. × domesticum</w:t>
      </w:r>
      <w:r w:rsidRPr="008779B1">
        <w:rPr>
          <w:lang w:eastAsia="pt-BR"/>
        </w:rPr>
        <w:t xml:space="preserve"> y </w:t>
      </w:r>
      <w:r w:rsidRPr="000A2AD4">
        <w:rPr>
          <w:i/>
          <w:noProof/>
          <w:lang w:eastAsia="pt-BR"/>
        </w:rPr>
        <w:t>Psidium guajava</w:t>
      </w:r>
      <w:r w:rsidRPr="008779B1">
        <w:rPr>
          <w:lang w:eastAsia="pt-BR"/>
        </w:rPr>
        <w:t xml:space="preserve"> L.</w:t>
      </w:r>
    </w:p>
    <w:p w:rsidR="00B06AD0" w:rsidRPr="001335C2" w:rsidRDefault="00B06AD0" w:rsidP="00B06AD0">
      <w:pPr>
        <w:ind w:left="567" w:hanging="567"/>
        <w:rPr>
          <w:lang w:eastAsia="pt-BR"/>
        </w:rPr>
      </w:pPr>
    </w:p>
    <w:p w:rsidR="00B06AD0" w:rsidRPr="001335C2" w:rsidRDefault="00B06AD0" w:rsidP="00B06AD0">
      <w:pPr>
        <w:ind w:left="567" w:hanging="567"/>
        <w:rPr>
          <w:lang w:val="es-ES"/>
        </w:rPr>
      </w:pPr>
      <w:r w:rsidRPr="001335C2">
        <w:rPr>
          <w:lang w:val="es-ES"/>
        </w:rPr>
        <w:t>-</w:t>
      </w:r>
      <w:r w:rsidRPr="001335C2">
        <w:rPr>
          <w:lang w:val="es-ES"/>
        </w:rPr>
        <w:tab/>
      </w:r>
      <w:r w:rsidRPr="008779B1">
        <w:t>Revisiones previstas de directrices de examen:</w:t>
      </w:r>
      <w:r w:rsidRPr="001335C2">
        <w:rPr>
          <w:lang w:val="es-ES"/>
        </w:rPr>
        <w:t xml:space="preserve"> </w:t>
      </w:r>
      <w:r w:rsidRPr="008779B1">
        <w:t>caña de azúcar, trigo</w:t>
      </w:r>
    </w:p>
    <w:p w:rsidR="00B06AD0" w:rsidRPr="001335C2" w:rsidRDefault="00B06AD0" w:rsidP="00B06AD0">
      <w:pPr>
        <w:rPr>
          <w:lang w:val="es-ES"/>
        </w:rPr>
      </w:pPr>
    </w:p>
    <w:p w:rsidR="00B06AD0" w:rsidRPr="001335C2" w:rsidRDefault="00B06AD0" w:rsidP="00B06AD0">
      <w:pPr>
        <w:rPr>
          <w:lang w:val="es-ES"/>
        </w:rPr>
      </w:pPr>
      <w:r w:rsidRPr="001335C2">
        <w:rPr>
          <w:lang w:val="es-ES"/>
        </w:rPr>
        <w:t>1.3</w:t>
      </w:r>
      <w:r w:rsidRPr="001335C2">
        <w:rPr>
          <w:lang w:val="es-ES"/>
        </w:rPr>
        <w:tab/>
      </w:r>
      <w:r w:rsidRPr="008779B1">
        <w:t>Jurisprudencia</w:t>
      </w:r>
    </w:p>
    <w:p w:rsidR="00B06AD0" w:rsidRPr="001335C2" w:rsidRDefault="00B06AD0" w:rsidP="00B06AD0">
      <w:pPr>
        <w:rPr>
          <w:lang w:val="es-ES"/>
        </w:rPr>
      </w:pPr>
    </w:p>
    <w:p w:rsidR="00B06AD0" w:rsidRPr="001335C2" w:rsidRDefault="00B06AD0" w:rsidP="00B06AD0">
      <w:pPr>
        <w:rPr>
          <w:lang w:val="es-ES"/>
        </w:rPr>
      </w:pPr>
      <w:r w:rsidRPr="001335C2">
        <w:rPr>
          <w:lang w:val="es-ES"/>
        </w:rPr>
        <w:tab/>
      </w:r>
      <w:r w:rsidRPr="008779B1">
        <w:t>No se produjeron novedades.</w:t>
      </w:r>
    </w:p>
    <w:p w:rsidR="00B06AD0" w:rsidRPr="001335C2" w:rsidRDefault="00B06AD0" w:rsidP="00B06AD0">
      <w:pPr>
        <w:rPr>
          <w:lang w:val="es-ES"/>
        </w:rPr>
      </w:pPr>
    </w:p>
    <w:p w:rsidR="00B06AD0" w:rsidRPr="001335C2" w:rsidRDefault="00B06AD0" w:rsidP="00B06AD0">
      <w:pPr>
        <w:rPr>
          <w:lang w:val="es-ES"/>
        </w:rPr>
      </w:pPr>
    </w:p>
    <w:p w:rsidR="00B06AD0" w:rsidRPr="001335C2" w:rsidRDefault="00B06AD0" w:rsidP="00B06AD0">
      <w:pPr>
        <w:rPr>
          <w:lang w:val="es-ES"/>
        </w:rPr>
      </w:pPr>
      <w:r w:rsidRPr="001335C2">
        <w:rPr>
          <w:lang w:val="es-ES"/>
        </w:rPr>
        <w:t>2.</w:t>
      </w:r>
      <w:r w:rsidRPr="001335C2">
        <w:rPr>
          <w:lang w:val="es-ES"/>
        </w:rPr>
        <w:tab/>
      </w:r>
      <w:r w:rsidRPr="008779B1">
        <w:rPr>
          <w:u w:val="single"/>
        </w:rPr>
        <w:t>Cooperación en el examen</w:t>
      </w:r>
    </w:p>
    <w:p w:rsidR="00B06AD0" w:rsidRPr="001335C2" w:rsidRDefault="00B06AD0" w:rsidP="00B06AD0">
      <w:pPr>
        <w:tabs>
          <w:tab w:val="left" w:pos="426"/>
          <w:tab w:val="left" w:pos="851"/>
        </w:tabs>
        <w:rPr>
          <w:b/>
          <w:lang w:val="es-ES"/>
        </w:rPr>
      </w:pPr>
    </w:p>
    <w:p w:rsidR="00B06AD0" w:rsidRPr="001335C2" w:rsidRDefault="00B06AD0" w:rsidP="00B06AD0">
      <w:pPr>
        <w:rPr>
          <w:lang w:val="es-ES"/>
        </w:rPr>
      </w:pPr>
      <w:r w:rsidRPr="001335C2">
        <w:rPr>
          <w:lang w:val="es-ES"/>
        </w:rPr>
        <w:tab/>
      </w:r>
      <w:r w:rsidRPr="008779B1">
        <w:t>No se produjeron novedades.</w:t>
      </w:r>
    </w:p>
    <w:p w:rsidR="00B06AD0" w:rsidRPr="001335C2" w:rsidRDefault="00B06AD0" w:rsidP="00B06AD0">
      <w:pPr>
        <w:tabs>
          <w:tab w:val="left" w:pos="426"/>
          <w:tab w:val="left" w:pos="851"/>
        </w:tabs>
        <w:rPr>
          <w:b/>
          <w:lang w:val="es-ES"/>
        </w:rPr>
      </w:pPr>
    </w:p>
    <w:p w:rsidR="00B06AD0" w:rsidRPr="001335C2" w:rsidRDefault="00B06AD0" w:rsidP="00B06AD0">
      <w:pPr>
        <w:rPr>
          <w:lang w:val="es-ES"/>
        </w:rPr>
      </w:pPr>
    </w:p>
    <w:p w:rsidR="00B06AD0" w:rsidRPr="001335C2" w:rsidRDefault="00B06AD0" w:rsidP="00B06AD0">
      <w:pPr>
        <w:rPr>
          <w:u w:val="single"/>
          <w:lang w:val="es-ES"/>
        </w:rPr>
      </w:pPr>
      <w:r w:rsidRPr="001335C2">
        <w:rPr>
          <w:lang w:val="es-ES"/>
        </w:rPr>
        <w:t>3.</w:t>
      </w:r>
      <w:r w:rsidRPr="001335C2">
        <w:rPr>
          <w:lang w:val="es-ES"/>
        </w:rPr>
        <w:tab/>
      </w:r>
      <w:r w:rsidRPr="008779B1">
        <w:rPr>
          <w:u w:val="single"/>
        </w:rPr>
        <w:t>Situación en el campo administrativo</w:t>
      </w:r>
    </w:p>
    <w:p w:rsidR="00B06AD0" w:rsidRPr="001335C2" w:rsidRDefault="00B06AD0" w:rsidP="00B06AD0">
      <w:pPr>
        <w:rPr>
          <w:lang w:val="es-ES"/>
        </w:rPr>
      </w:pPr>
    </w:p>
    <w:p w:rsidR="00B06AD0" w:rsidRPr="001335C2" w:rsidRDefault="00B06AD0" w:rsidP="00B06AD0">
      <w:pPr>
        <w:rPr>
          <w:lang w:val="es-ES"/>
        </w:rPr>
      </w:pPr>
      <w:r w:rsidRPr="008779B1">
        <w:t>La Oficina de Protección de las Obtenciones Vegetales ha actualizado su sistema de presentación de solicitudes de derechos de obtentor (CultivarWeb), que ya funciona íntegramente en línea (sin documentos en papel), con las características siguientes:</w:t>
      </w:r>
    </w:p>
    <w:p w:rsidR="00B06AD0" w:rsidRPr="001335C2" w:rsidRDefault="00B06AD0" w:rsidP="00B06AD0">
      <w:pPr>
        <w:rPr>
          <w:lang w:val="es-ES"/>
        </w:rPr>
      </w:pPr>
    </w:p>
    <w:p w:rsidR="00B06AD0" w:rsidRPr="001335C2" w:rsidRDefault="00B06AD0" w:rsidP="00B06AD0">
      <w:pPr>
        <w:pStyle w:val="ListParagraph"/>
        <w:numPr>
          <w:ilvl w:val="0"/>
          <w:numId w:val="9"/>
        </w:numPr>
        <w:contextualSpacing/>
        <w:jc w:val="both"/>
        <w:rPr>
          <w:szCs w:val="20"/>
          <w:lang w:val="es-ES"/>
        </w:rPr>
      </w:pPr>
      <w:r w:rsidRPr="008779B1">
        <w:rPr>
          <w:szCs w:val="20"/>
          <w:lang w:val="es-ES_tradnl"/>
        </w:rPr>
        <w:t>cumplimentación de las solicitudes por vía electrónica;</w:t>
      </w:r>
    </w:p>
    <w:p w:rsidR="00B06AD0" w:rsidRPr="001335C2" w:rsidRDefault="00B06AD0" w:rsidP="00B06AD0">
      <w:pPr>
        <w:pStyle w:val="ListParagraph"/>
        <w:numPr>
          <w:ilvl w:val="0"/>
          <w:numId w:val="9"/>
        </w:numPr>
        <w:contextualSpacing/>
        <w:jc w:val="both"/>
        <w:rPr>
          <w:szCs w:val="20"/>
          <w:lang w:val="es-ES"/>
        </w:rPr>
      </w:pPr>
      <w:r w:rsidRPr="008779B1">
        <w:rPr>
          <w:szCs w:val="20"/>
          <w:lang w:val="es-ES_tradnl"/>
        </w:rPr>
        <w:t>transmisión de información adicional por vía electrónica;</w:t>
      </w:r>
    </w:p>
    <w:p w:rsidR="00B06AD0" w:rsidRPr="001335C2" w:rsidRDefault="00B06AD0" w:rsidP="00B06AD0">
      <w:pPr>
        <w:pStyle w:val="ListParagraph"/>
        <w:numPr>
          <w:ilvl w:val="0"/>
          <w:numId w:val="9"/>
        </w:numPr>
        <w:contextualSpacing/>
        <w:jc w:val="both"/>
        <w:rPr>
          <w:szCs w:val="20"/>
          <w:lang w:val="es-ES"/>
        </w:rPr>
      </w:pPr>
      <w:r w:rsidRPr="008779B1">
        <w:rPr>
          <w:szCs w:val="20"/>
          <w:lang w:val="es-ES_tradnl"/>
        </w:rPr>
        <w:t>un botón para pedir, con un solo clic, la retirada de la solicitud o la renuncia a la protección;</w:t>
      </w:r>
    </w:p>
    <w:p w:rsidR="00B06AD0" w:rsidRPr="001335C2" w:rsidRDefault="00B06AD0" w:rsidP="00B06AD0">
      <w:pPr>
        <w:pStyle w:val="ListParagraph"/>
        <w:numPr>
          <w:ilvl w:val="0"/>
          <w:numId w:val="9"/>
        </w:numPr>
        <w:contextualSpacing/>
        <w:jc w:val="both"/>
        <w:rPr>
          <w:szCs w:val="20"/>
          <w:lang w:val="es-ES"/>
        </w:rPr>
      </w:pPr>
      <w:r w:rsidRPr="008779B1">
        <w:rPr>
          <w:szCs w:val="20"/>
          <w:lang w:val="es-ES_tradnl"/>
        </w:rPr>
        <w:t>gestión de las tasas (mejor gestión de las tasas para los obtentores;</w:t>
      </w:r>
      <w:r w:rsidRPr="001335C2">
        <w:rPr>
          <w:szCs w:val="20"/>
          <w:lang w:val="es-ES"/>
        </w:rPr>
        <w:t xml:space="preserve"> </w:t>
      </w:r>
      <w:r w:rsidRPr="008779B1">
        <w:rPr>
          <w:szCs w:val="20"/>
          <w:lang w:val="es-ES_tradnl"/>
        </w:rPr>
        <w:t>facilidad para generar el formulario de cobro de las tasas;</w:t>
      </w:r>
      <w:r w:rsidRPr="001335C2">
        <w:rPr>
          <w:szCs w:val="20"/>
          <w:lang w:val="es-ES"/>
        </w:rPr>
        <w:t xml:space="preserve"> </w:t>
      </w:r>
      <w:r w:rsidRPr="008779B1">
        <w:rPr>
          <w:szCs w:val="20"/>
          <w:lang w:val="es-ES_tradnl"/>
        </w:rPr>
        <w:t>la obtención de datos y la liquidación de los pagos se efectúan de forma automática; etcétera).</w:t>
      </w:r>
    </w:p>
    <w:p w:rsidR="00B06AD0" w:rsidRPr="001335C2" w:rsidRDefault="00B06AD0" w:rsidP="00B06AD0">
      <w:pPr>
        <w:rPr>
          <w:lang w:val="es-ES"/>
        </w:rPr>
      </w:pPr>
    </w:p>
    <w:p w:rsidR="00B06AD0" w:rsidRPr="001335C2" w:rsidRDefault="00B06AD0" w:rsidP="00B06AD0">
      <w:pPr>
        <w:rPr>
          <w:lang w:val="es-ES"/>
        </w:rPr>
      </w:pPr>
    </w:p>
    <w:p w:rsidR="00B06AD0" w:rsidRPr="001335C2" w:rsidRDefault="00B06AD0" w:rsidP="00B06AD0">
      <w:pPr>
        <w:spacing w:line="360" w:lineRule="auto"/>
        <w:rPr>
          <w:lang w:val="es-ES"/>
        </w:rPr>
      </w:pPr>
      <w:r w:rsidRPr="001335C2">
        <w:rPr>
          <w:lang w:val="es-ES"/>
        </w:rPr>
        <w:t>4.</w:t>
      </w:r>
      <w:r w:rsidRPr="001335C2">
        <w:rPr>
          <w:lang w:val="es-ES"/>
        </w:rPr>
        <w:tab/>
      </w:r>
      <w:r w:rsidRPr="008779B1">
        <w:rPr>
          <w:u w:val="single"/>
        </w:rPr>
        <w:t>Situación en el campo técnico</w:t>
      </w:r>
    </w:p>
    <w:p w:rsidR="00B06AD0" w:rsidRPr="001335C2" w:rsidRDefault="00B06AD0" w:rsidP="00B06AD0">
      <w:pPr>
        <w:rPr>
          <w:lang w:val="es-ES"/>
        </w:rPr>
      </w:pPr>
      <w:r w:rsidRPr="001335C2">
        <w:rPr>
          <w:lang w:val="es-ES"/>
        </w:rPr>
        <w:tab/>
      </w:r>
      <w:r w:rsidRPr="008779B1">
        <w:t>No se produjeron novedades.</w:t>
      </w:r>
    </w:p>
    <w:p w:rsidR="00B06AD0" w:rsidRPr="001335C2" w:rsidRDefault="00B06AD0" w:rsidP="00B06AD0">
      <w:pPr>
        <w:rPr>
          <w:lang w:val="es-ES"/>
        </w:rPr>
      </w:pPr>
    </w:p>
    <w:p w:rsidR="00B06AD0" w:rsidRPr="001335C2" w:rsidRDefault="00B06AD0" w:rsidP="00B06AD0">
      <w:pPr>
        <w:rPr>
          <w:lang w:val="es-ES"/>
        </w:rPr>
      </w:pPr>
    </w:p>
    <w:p w:rsidR="00B06AD0" w:rsidRPr="001335C2" w:rsidRDefault="00B06AD0" w:rsidP="00B06AD0">
      <w:pPr>
        <w:jc w:val="left"/>
        <w:rPr>
          <w:lang w:val="es-ES"/>
        </w:rPr>
      </w:pPr>
      <w:r w:rsidRPr="001335C2">
        <w:rPr>
          <w:lang w:val="es-ES"/>
        </w:rPr>
        <w:br w:type="page"/>
      </w:r>
    </w:p>
    <w:p w:rsidR="00B06AD0" w:rsidRPr="001335C2" w:rsidRDefault="00B06AD0" w:rsidP="00B06AD0">
      <w:pPr>
        <w:rPr>
          <w:u w:val="single"/>
          <w:lang w:val="es-ES"/>
        </w:rPr>
      </w:pPr>
      <w:r w:rsidRPr="001335C2">
        <w:rPr>
          <w:lang w:val="es-ES"/>
        </w:rPr>
        <w:lastRenderedPageBreak/>
        <w:t>5.</w:t>
      </w:r>
      <w:r w:rsidRPr="001335C2">
        <w:rPr>
          <w:lang w:val="es-ES"/>
        </w:rPr>
        <w:tab/>
      </w:r>
      <w:r w:rsidRPr="008779B1">
        <w:rPr>
          <w:u w:val="single"/>
        </w:rPr>
        <w:t>Actividades para la promoción de la protección de las obtenciones vegetales</w:t>
      </w:r>
    </w:p>
    <w:p w:rsidR="00B06AD0" w:rsidRPr="001335C2" w:rsidRDefault="00B06AD0" w:rsidP="00B06AD0">
      <w:pPr>
        <w:rPr>
          <w:lang w:val="es-ES"/>
        </w:rPr>
      </w:pPr>
    </w:p>
    <w:tbl>
      <w:tblPr>
        <w:tblStyle w:val="TableGrid"/>
        <w:tblW w:w="10089" w:type="dxa"/>
        <w:tblLayout w:type="fixed"/>
        <w:tblCellMar>
          <w:top w:w="28" w:type="dxa"/>
          <w:left w:w="28" w:type="dxa"/>
          <w:bottom w:w="28" w:type="dxa"/>
          <w:right w:w="28" w:type="dxa"/>
        </w:tblCellMar>
        <w:tblLook w:val="01E0" w:firstRow="1" w:lastRow="1" w:firstColumn="1" w:lastColumn="1" w:noHBand="0" w:noVBand="0"/>
      </w:tblPr>
      <w:tblGrid>
        <w:gridCol w:w="1129"/>
        <w:gridCol w:w="1276"/>
        <w:gridCol w:w="851"/>
        <w:gridCol w:w="1134"/>
        <w:gridCol w:w="1786"/>
        <w:gridCol w:w="2183"/>
        <w:gridCol w:w="1730"/>
      </w:tblGrid>
      <w:tr w:rsidR="00B06AD0" w:rsidRPr="00C313C9" w:rsidTr="002D69F6">
        <w:tc>
          <w:tcPr>
            <w:tcW w:w="1129" w:type="dxa"/>
          </w:tcPr>
          <w:p w:rsidR="00B06AD0" w:rsidRPr="00C313C9" w:rsidRDefault="00B06AD0" w:rsidP="002D69F6">
            <w:pPr>
              <w:jc w:val="left"/>
              <w:rPr>
                <w:sz w:val="16"/>
                <w:szCs w:val="16"/>
              </w:rPr>
            </w:pPr>
            <w:bookmarkStart w:id="2" w:name="_Hlk493056441"/>
            <w:r w:rsidRPr="008779B1">
              <w:rPr>
                <w:sz w:val="16"/>
                <w:szCs w:val="16"/>
              </w:rPr>
              <w:t>Título de la actividad</w:t>
            </w:r>
          </w:p>
        </w:tc>
        <w:tc>
          <w:tcPr>
            <w:tcW w:w="1276" w:type="dxa"/>
          </w:tcPr>
          <w:p w:rsidR="00B06AD0" w:rsidRPr="00C313C9" w:rsidRDefault="00B06AD0" w:rsidP="002D69F6">
            <w:pPr>
              <w:jc w:val="left"/>
              <w:rPr>
                <w:sz w:val="16"/>
                <w:szCs w:val="16"/>
              </w:rPr>
            </w:pPr>
            <w:r w:rsidRPr="008779B1">
              <w:rPr>
                <w:sz w:val="16"/>
                <w:szCs w:val="16"/>
              </w:rPr>
              <w:t>Fecha</w:t>
            </w:r>
          </w:p>
        </w:tc>
        <w:tc>
          <w:tcPr>
            <w:tcW w:w="851" w:type="dxa"/>
          </w:tcPr>
          <w:p w:rsidR="00B06AD0" w:rsidRPr="00C313C9" w:rsidRDefault="00B06AD0" w:rsidP="002D69F6">
            <w:pPr>
              <w:jc w:val="left"/>
              <w:rPr>
                <w:sz w:val="16"/>
                <w:szCs w:val="16"/>
              </w:rPr>
            </w:pPr>
            <w:r w:rsidRPr="008779B1">
              <w:rPr>
                <w:sz w:val="16"/>
                <w:szCs w:val="16"/>
              </w:rPr>
              <w:t>Lugar</w:t>
            </w:r>
          </w:p>
        </w:tc>
        <w:tc>
          <w:tcPr>
            <w:tcW w:w="1134" w:type="dxa"/>
          </w:tcPr>
          <w:p w:rsidR="00B06AD0" w:rsidRPr="00C313C9" w:rsidRDefault="00B06AD0" w:rsidP="002D69F6">
            <w:pPr>
              <w:jc w:val="left"/>
              <w:rPr>
                <w:sz w:val="16"/>
                <w:szCs w:val="16"/>
              </w:rPr>
            </w:pPr>
            <w:r w:rsidRPr="008779B1">
              <w:rPr>
                <w:sz w:val="16"/>
                <w:szCs w:val="16"/>
              </w:rPr>
              <w:t>Organizador(es)</w:t>
            </w:r>
          </w:p>
        </w:tc>
        <w:tc>
          <w:tcPr>
            <w:tcW w:w="1786" w:type="dxa"/>
          </w:tcPr>
          <w:p w:rsidR="00B06AD0" w:rsidRPr="00C313C9" w:rsidRDefault="00B06AD0" w:rsidP="002D69F6">
            <w:pPr>
              <w:jc w:val="left"/>
              <w:rPr>
                <w:sz w:val="16"/>
                <w:szCs w:val="16"/>
              </w:rPr>
            </w:pPr>
            <w:r w:rsidRPr="008779B1">
              <w:rPr>
                <w:sz w:val="16"/>
                <w:szCs w:val="16"/>
              </w:rPr>
              <w:t>Finalidad de la actividad</w:t>
            </w:r>
          </w:p>
        </w:tc>
        <w:tc>
          <w:tcPr>
            <w:tcW w:w="2183" w:type="dxa"/>
          </w:tcPr>
          <w:p w:rsidR="00B06AD0" w:rsidRPr="001335C2" w:rsidRDefault="00B06AD0" w:rsidP="002D69F6">
            <w:pPr>
              <w:jc w:val="left"/>
              <w:rPr>
                <w:sz w:val="16"/>
                <w:szCs w:val="16"/>
                <w:lang w:val="es-ES"/>
              </w:rPr>
            </w:pPr>
            <w:r w:rsidRPr="008779B1">
              <w:rPr>
                <w:sz w:val="16"/>
                <w:szCs w:val="16"/>
              </w:rPr>
              <w:t>Países/organizaciones participantes (número de participantes en cada caso)</w:t>
            </w:r>
          </w:p>
        </w:tc>
        <w:tc>
          <w:tcPr>
            <w:tcW w:w="1730" w:type="dxa"/>
          </w:tcPr>
          <w:p w:rsidR="00B06AD0" w:rsidRPr="00C313C9" w:rsidRDefault="00B06AD0" w:rsidP="002D69F6">
            <w:pPr>
              <w:jc w:val="left"/>
              <w:rPr>
                <w:sz w:val="16"/>
                <w:szCs w:val="16"/>
              </w:rPr>
            </w:pPr>
            <w:r w:rsidRPr="008779B1">
              <w:rPr>
                <w:sz w:val="16"/>
                <w:szCs w:val="16"/>
              </w:rPr>
              <w:t>Observaciones</w:t>
            </w:r>
          </w:p>
        </w:tc>
      </w:tr>
      <w:tr w:rsidR="00B06AD0" w:rsidRPr="001335C2" w:rsidTr="002D69F6">
        <w:tc>
          <w:tcPr>
            <w:tcW w:w="1129" w:type="dxa"/>
          </w:tcPr>
          <w:p w:rsidR="00B06AD0" w:rsidRPr="001335C2" w:rsidRDefault="00B06AD0" w:rsidP="002D69F6">
            <w:pPr>
              <w:jc w:val="left"/>
              <w:rPr>
                <w:rFonts w:cs="Arial"/>
                <w:sz w:val="16"/>
                <w:szCs w:val="16"/>
                <w:lang w:val="es-ES"/>
              </w:rPr>
            </w:pPr>
            <w:r w:rsidRPr="001335C2">
              <w:rPr>
                <w:rFonts w:cs="Arial"/>
                <w:sz w:val="16"/>
                <w:szCs w:val="16"/>
                <w:lang w:val="es-ES"/>
              </w:rPr>
              <w:t xml:space="preserve">1. </w:t>
            </w:r>
            <w:r w:rsidRPr="008779B1">
              <w:rPr>
                <w:rFonts w:cs="Arial"/>
                <w:sz w:val="16"/>
                <w:szCs w:val="16"/>
              </w:rPr>
              <w:t>Curso general sobre propiedad intelectual</w:t>
            </w:r>
          </w:p>
        </w:tc>
        <w:tc>
          <w:tcPr>
            <w:tcW w:w="1276" w:type="dxa"/>
          </w:tcPr>
          <w:p w:rsidR="00B06AD0" w:rsidRPr="001335C2" w:rsidRDefault="00B06AD0" w:rsidP="002D69F6">
            <w:pPr>
              <w:jc w:val="left"/>
              <w:rPr>
                <w:rFonts w:cs="Arial"/>
                <w:sz w:val="16"/>
                <w:szCs w:val="16"/>
                <w:lang w:val="es-ES"/>
              </w:rPr>
            </w:pPr>
            <w:r w:rsidRPr="008779B1">
              <w:rPr>
                <w:rFonts w:cs="Arial"/>
                <w:sz w:val="16"/>
                <w:szCs w:val="16"/>
              </w:rPr>
              <w:t>6 de febrero a 8 de abril de 2018</w:t>
            </w:r>
          </w:p>
        </w:tc>
        <w:tc>
          <w:tcPr>
            <w:tcW w:w="851" w:type="dxa"/>
          </w:tcPr>
          <w:p w:rsidR="00B06AD0" w:rsidRPr="001335C2" w:rsidRDefault="00B06AD0" w:rsidP="002D69F6">
            <w:pPr>
              <w:jc w:val="left"/>
              <w:rPr>
                <w:rFonts w:cs="Arial"/>
                <w:sz w:val="16"/>
                <w:szCs w:val="16"/>
                <w:lang w:val="es-ES"/>
              </w:rPr>
            </w:pPr>
            <w:r w:rsidRPr="008779B1">
              <w:rPr>
                <w:rFonts w:cs="Arial"/>
                <w:sz w:val="16"/>
                <w:szCs w:val="16"/>
              </w:rPr>
              <w:t>Curso de enseñanza a distancia</w:t>
            </w:r>
          </w:p>
        </w:tc>
        <w:tc>
          <w:tcPr>
            <w:tcW w:w="1134" w:type="dxa"/>
          </w:tcPr>
          <w:p w:rsidR="00B06AD0" w:rsidRPr="001335C2" w:rsidRDefault="00B06AD0" w:rsidP="002D69F6">
            <w:pPr>
              <w:jc w:val="left"/>
              <w:rPr>
                <w:rFonts w:cs="Arial"/>
                <w:sz w:val="16"/>
                <w:szCs w:val="16"/>
                <w:lang w:val="es-ES"/>
              </w:rPr>
            </w:pPr>
            <w:r w:rsidRPr="008779B1">
              <w:rPr>
                <w:rFonts w:cs="Arial"/>
                <w:sz w:val="16"/>
                <w:szCs w:val="16"/>
              </w:rPr>
              <w:t>INPI (Instituto Nacional de la Propiedad Industrial del Brasil)</w:t>
            </w:r>
            <w:r w:rsidRPr="001335C2">
              <w:rPr>
                <w:rFonts w:cs="Arial"/>
                <w:sz w:val="16"/>
                <w:szCs w:val="16"/>
                <w:lang w:val="es-ES"/>
              </w:rPr>
              <w:t xml:space="preserve"> </w:t>
            </w:r>
          </w:p>
          <w:p w:rsidR="00B06AD0" w:rsidRPr="00C313C9" w:rsidRDefault="00B06AD0" w:rsidP="002D69F6">
            <w:pPr>
              <w:jc w:val="left"/>
              <w:rPr>
                <w:rFonts w:cs="Arial"/>
                <w:sz w:val="16"/>
                <w:szCs w:val="16"/>
              </w:rPr>
            </w:pPr>
            <w:r w:rsidRPr="008779B1">
              <w:rPr>
                <w:rFonts w:cs="Arial"/>
                <w:sz w:val="16"/>
                <w:szCs w:val="16"/>
              </w:rPr>
              <w:t>OMPI</w:t>
            </w:r>
          </w:p>
        </w:tc>
        <w:tc>
          <w:tcPr>
            <w:tcW w:w="1786" w:type="dxa"/>
          </w:tcPr>
          <w:p w:rsidR="00B06AD0" w:rsidRPr="001335C2" w:rsidRDefault="00B06AD0" w:rsidP="002D69F6">
            <w:pPr>
              <w:jc w:val="left"/>
              <w:rPr>
                <w:rFonts w:cs="Arial"/>
                <w:sz w:val="16"/>
                <w:szCs w:val="16"/>
                <w:lang w:val="es-ES"/>
              </w:rPr>
            </w:pPr>
            <w:r w:rsidRPr="008779B1">
              <w:rPr>
                <w:rFonts w:cs="Arial"/>
                <w:sz w:val="16"/>
                <w:szCs w:val="16"/>
              </w:rPr>
              <w:t>Curso general sobre propiedad intelectual con un capítulo dedicado a la protección de las obtenciones vegetales</w:t>
            </w:r>
            <w:r w:rsidRPr="001335C2">
              <w:rPr>
                <w:rFonts w:cs="Arial"/>
                <w:sz w:val="16"/>
                <w:szCs w:val="16"/>
                <w:lang w:val="es-ES"/>
              </w:rPr>
              <w:t xml:space="preserve"> </w:t>
            </w:r>
          </w:p>
        </w:tc>
        <w:tc>
          <w:tcPr>
            <w:tcW w:w="2183" w:type="dxa"/>
          </w:tcPr>
          <w:p w:rsidR="00B06AD0" w:rsidRPr="001335C2" w:rsidRDefault="00B06AD0" w:rsidP="002D69F6">
            <w:pPr>
              <w:jc w:val="left"/>
              <w:rPr>
                <w:rFonts w:cs="Arial"/>
                <w:sz w:val="16"/>
                <w:szCs w:val="16"/>
                <w:lang w:val="es-ES"/>
              </w:rPr>
            </w:pPr>
            <w:r w:rsidRPr="008779B1">
              <w:rPr>
                <w:rFonts w:cs="Arial"/>
                <w:sz w:val="16"/>
                <w:szCs w:val="16"/>
              </w:rPr>
              <w:t>Alrededor de 2000 participantes (todos ellos del Brasil) de distintos ámbitos (estudiantes, abogados, representantes legales, funcionarios públicos, investigadores, etc.)</w:t>
            </w:r>
          </w:p>
        </w:tc>
        <w:tc>
          <w:tcPr>
            <w:tcW w:w="1730" w:type="dxa"/>
          </w:tcPr>
          <w:p w:rsidR="00B06AD0" w:rsidRPr="001335C2" w:rsidRDefault="00B06AD0" w:rsidP="002D69F6">
            <w:pPr>
              <w:jc w:val="left"/>
              <w:rPr>
                <w:rFonts w:cs="Arial"/>
                <w:sz w:val="16"/>
                <w:szCs w:val="16"/>
                <w:lang w:val="es-ES"/>
              </w:rPr>
            </w:pPr>
            <w:r w:rsidRPr="001071BF">
              <w:rPr>
                <w:rFonts w:cs="Arial"/>
                <w:sz w:val="16"/>
                <w:szCs w:val="16"/>
              </w:rPr>
              <w:t>Los examinadores del SNPC (la oficina de protección de las obtenciones vegetales del Brasil) actuaron de tutores en los debates sobre protección de las obtenciones vegetales</w:t>
            </w:r>
            <w:r w:rsidRPr="001335C2">
              <w:rPr>
                <w:rFonts w:cs="Arial"/>
                <w:sz w:val="16"/>
                <w:szCs w:val="16"/>
                <w:lang w:val="es-ES"/>
              </w:rPr>
              <w:t xml:space="preserve"> </w:t>
            </w:r>
          </w:p>
        </w:tc>
      </w:tr>
      <w:tr w:rsidR="00B06AD0" w:rsidRPr="001335C2" w:rsidTr="002D69F6">
        <w:tc>
          <w:tcPr>
            <w:tcW w:w="1129" w:type="dxa"/>
          </w:tcPr>
          <w:p w:rsidR="00B06AD0" w:rsidRPr="001335C2" w:rsidRDefault="00B06AD0" w:rsidP="002D69F6">
            <w:pPr>
              <w:jc w:val="left"/>
              <w:rPr>
                <w:rFonts w:cs="Arial"/>
                <w:sz w:val="16"/>
                <w:szCs w:val="16"/>
                <w:lang w:val="es-ES"/>
              </w:rPr>
            </w:pPr>
            <w:r w:rsidRPr="001335C2">
              <w:rPr>
                <w:rFonts w:cs="Arial"/>
                <w:sz w:val="16"/>
                <w:szCs w:val="16"/>
                <w:lang w:val="es-ES"/>
              </w:rPr>
              <w:t xml:space="preserve">2. </w:t>
            </w:r>
            <w:r w:rsidRPr="001071BF">
              <w:rPr>
                <w:rFonts w:cs="Arial"/>
                <w:sz w:val="16"/>
                <w:szCs w:val="16"/>
              </w:rPr>
              <w:t>Curso general sobre propiedad intelectual</w:t>
            </w:r>
          </w:p>
        </w:tc>
        <w:tc>
          <w:tcPr>
            <w:tcW w:w="1276" w:type="dxa"/>
          </w:tcPr>
          <w:p w:rsidR="00B06AD0" w:rsidRPr="001335C2" w:rsidRDefault="00B06AD0" w:rsidP="002D69F6">
            <w:pPr>
              <w:jc w:val="left"/>
              <w:rPr>
                <w:rFonts w:cs="Arial"/>
                <w:sz w:val="16"/>
                <w:szCs w:val="16"/>
                <w:lang w:val="es-ES"/>
              </w:rPr>
            </w:pPr>
            <w:r w:rsidRPr="001071BF">
              <w:rPr>
                <w:rFonts w:cs="Arial"/>
                <w:sz w:val="16"/>
                <w:szCs w:val="16"/>
              </w:rPr>
              <w:t>2 de mayo a 29 de junio de 2018</w:t>
            </w:r>
          </w:p>
        </w:tc>
        <w:tc>
          <w:tcPr>
            <w:tcW w:w="851" w:type="dxa"/>
          </w:tcPr>
          <w:p w:rsidR="00B06AD0" w:rsidRPr="001335C2" w:rsidRDefault="00B06AD0" w:rsidP="002D69F6">
            <w:pPr>
              <w:jc w:val="left"/>
              <w:rPr>
                <w:rFonts w:cs="Arial"/>
                <w:sz w:val="16"/>
                <w:szCs w:val="16"/>
                <w:lang w:val="es-ES"/>
              </w:rPr>
            </w:pPr>
            <w:r w:rsidRPr="001071BF">
              <w:rPr>
                <w:rFonts w:cs="Arial"/>
                <w:sz w:val="16"/>
                <w:szCs w:val="16"/>
              </w:rPr>
              <w:t>Curso de enseñanza a distancia</w:t>
            </w:r>
          </w:p>
        </w:tc>
        <w:tc>
          <w:tcPr>
            <w:tcW w:w="1134" w:type="dxa"/>
          </w:tcPr>
          <w:p w:rsidR="00B06AD0" w:rsidRPr="00C313C9" w:rsidRDefault="00B06AD0" w:rsidP="002D69F6">
            <w:pPr>
              <w:jc w:val="left"/>
              <w:rPr>
                <w:rFonts w:cs="Arial"/>
                <w:sz w:val="16"/>
                <w:szCs w:val="16"/>
              </w:rPr>
            </w:pPr>
            <w:r w:rsidRPr="001071BF">
              <w:rPr>
                <w:rFonts w:cs="Arial"/>
                <w:sz w:val="16"/>
                <w:szCs w:val="16"/>
              </w:rPr>
              <w:t>INPI</w:t>
            </w:r>
            <w:r w:rsidRPr="00C313C9">
              <w:rPr>
                <w:rFonts w:cs="Arial"/>
                <w:sz w:val="16"/>
                <w:szCs w:val="16"/>
              </w:rPr>
              <w:t xml:space="preserve"> </w:t>
            </w:r>
          </w:p>
          <w:p w:rsidR="00B06AD0" w:rsidRPr="00C313C9" w:rsidRDefault="00B06AD0" w:rsidP="002D69F6">
            <w:pPr>
              <w:jc w:val="left"/>
              <w:rPr>
                <w:rFonts w:cs="Arial"/>
                <w:sz w:val="16"/>
                <w:szCs w:val="16"/>
              </w:rPr>
            </w:pPr>
            <w:r w:rsidRPr="001071BF">
              <w:rPr>
                <w:rFonts w:cs="Arial"/>
                <w:sz w:val="16"/>
                <w:szCs w:val="16"/>
              </w:rPr>
              <w:t>OMPI</w:t>
            </w:r>
          </w:p>
        </w:tc>
        <w:tc>
          <w:tcPr>
            <w:tcW w:w="1786" w:type="dxa"/>
          </w:tcPr>
          <w:p w:rsidR="00B06AD0" w:rsidRPr="001335C2" w:rsidRDefault="00B06AD0" w:rsidP="002D69F6">
            <w:pPr>
              <w:jc w:val="left"/>
              <w:rPr>
                <w:rFonts w:cs="Arial"/>
                <w:sz w:val="16"/>
                <w:szCs w:val="16"/>
                <w:lang w:val="es-ES"/>
              </w:rPr>
            </w:pPr>
            <w:r w:rsidRPr="001071BF">
              <w:rPr>
                <w:rFonts w:cs="Arial"/>
                <w:sz w:val="16"/>
                <w:szCs w:val="16"/>
              </w:rPr>
              <w:t>Curso general sobre propiedad intelectual con un capítulo dedicado a la protección de las obtenciones vegetales</w:t>
            </w:r>
            <w:r w:rsidRPr="001335C2">
              <w:rPr>
                <w:rFonts w:cs="Arial"/>
                <w:sz w:val="16"/>
                <w:szCs w:val="16"/>
                <w:lang w:val="es-ES"/>
              </w:rPr>
              <w:t xml:space="preserve"> </w:t>
            </w:r>
          </w:p>
        </w:tc>
        <w:tc>
          <w:tcPr>
            <w:tcW w:w="2183" w:type="dxa"/>
          </w:tcPr>
          <w:p w:rsidR="00B06AD0" w:rsidRPr="001335C2" w:rsidRDefault="00B06AD0" w:rsidP="002D69F6">
            <w:pPr>
              <w:jc w:val="left"/>
              <w:rPr>
                <w:rFonts w:cs="Arial"/>
                <w:sz w:val="16"/>
                <w:szCs w:val="16"/>
                <w:lang w:val="es-ES"/>
              </w:rPr>
            </w:pPr>
            <w:r w:rsidRPr="001071BF">
              <w:rPr>
                <w:rFonts w:cs="Arial"/>
                <w:sz w:val="16"/>
                <w:szCs w:val="16"/>
              </w:rPr>
              <w:t>Alrededor de 2000 participantes (todos ellos del Brasil) de distintos ámbitos (estudiantes, abogados, representantes legales, funcionarios públicos, investigadores, etc.)</w:t>
            </w:r>
          </w:p>
        </w:tc>
        <w:tc>
          <w:tcPr>
            <w:tcW w:w="1730" w:type="dxa"/>
          </w:tcPr>
          <w:p w:rsidR="00B06AD0" w:rsidRPr="001335C2" w:rsidRDefault="00B06AD0" w:rsidP="002D69F6">
            <w:pPr>
              <w:jc w:val="left"/>
              <w:rPr>
                <w:rFonts w:cs="Arial"/>
                <w:sz w:val="16"/>
                <w:szCs w:val="16"/>
                <w:lang w:val="es-ES"/>
              </w:rPr>
            </w:pPr>
            <w:r w:rsidRPr="001071BF">
              <w:rPr>
                <w:rFonts w:cs="Arial"/>
                <w:sz w:val="16"/>
                <w:szCs w:val="16"/>
              </w:rPr>
              <w:t>Los examinadores del SNPC actuaron de tutores en los debates sobre protección de las obtenciones vegetales</w:t>
            </w:r>
            <w:r w:rsidRPr="001335C2">
              <w:rPr>
                <w:rFonts w:cs="Arial"/>
                <w:sz w:val="16"/>
                <w:szCs w:val="16"/>
                <w:lang w:val="es-ES"/>
              </w:rPr>
              <w:t xml:space="preserve"> </w:t>
            </w:r>
          </w:p>
        </w:tc>
      </w:tr>
      <w:tr w:rsidR="00B06AD0" w:rsidRPr="001335C2" w:rsidTr="002D69F6">
        <w:tc>
          <w:tcPr>
            <w:tcW w:w="1129" w:type="dxa"/>
          </w:tcPr>
          <w:p w:rsidR="00B06AD0" w:rsidRPr="001335C2" w:rsidRDefault="00B06AD0" w:rsidP="002D69F6">
            <w:pPr>
              <w:jc w:val="left"/>
              <w:rPr>
                <w:rFonts w:cs="Arial"/>
                <w:sz w:val="16"/>
                <w:szCs w:val="16"/>
                <w:lang w:val="es-ES"/>
              </w:rPr>
            </w:pPr>
            <w:r w:rsidRPr="001335C2">
              <w:rPr>
                <w:rFonts w:cs="Arial"/>
                <w:sz w:val="16"/>
                <w:szCs w:val="16"/>
                <w:lang w:val="es-ES"/>
              </w:rPr>
              <w:t xml:space="preserve">3. </w:t>
            </w:r>
            <w:r w:rsidRPr="001071BF">
              <w:rPr>
                <w:rFonts w:cs="Arial"/>
                <w:sz w:val="16"/>
                <w:szCs w:val="16"/>
              </w:rPr>
              <w:t>Curso general sobre propiedad intelectual</w:t>
            </w:r>
          </w:p>
        </w:tc>
        <w:tc>
          <w:tcPr>
            <w:tcW w:w="1276" w:type="dxa"/>
          </w:tcPr>
          <w:p w:rsidR="00B06AD0" w:rsidRPr="001335C2" w:rsidRDefault="00B06AD0" w:rsidP="002D69F6">
            <w:pPr>
              <w:jc w:val="left"/>
              <w:rPr>
                <w:rFonts w:cs="Arial"/>
                <w:sz w:val="16"/>
                <w:szCs w:val="16"/>
                <w:lang w:val="es-ES"/>
              </w:rPr>
            </w:pPr>
            <w:r w:rsidRPr="001071BF">
              <w:rPr>
                <w:rFonts w:cs="Arial"/>
                <w:sz w:val="16"/>
                <w:szCs w:val="16"/>
              </w:rPr>
              <w:t>23 de julio a 20 de septiembre de 2018</w:t>
            </w:r>
          </w:p>
        </w:tc>
        <w:tc>
          <w:tcPr>
            <w:tcW w:w="851" w:type="dxa"/>
          </w:tcPr>
          <w:p w:rsidR="00B06AD0" w:rsidRPr="001335C2" w:rsidRDefault="00B06AD0" w:rsidP="002D69F6">
            <w:pPr>
              <w:jc w:val="left"/>
              <w:rPr>
                <w:rFonts w:cs="Arial"/>
                <w:sz w:val="16"/>
                <w:szCs w:val="16"/>
                <w:lang w:val="es-ES"/>
              </w:rPr>
            </w:pPr>
            <w:r w:rsidRPr="001071BF">
              <w:rPr>
                <w:rFonts w:cs="Arial"/>
                <w:sz w:val="16"/>
                <w:szCs w:val="16"/>
              </w:rPr>
              <w:t>Curso de enseñanza a distancia</w:t>
            </w:r>
          </w:p>
        </w:tc>
        <w:tc>
          <w:tcPr>
            <w:tcW w:w="1134" w:type="dxa"/>
          </w:tcPr>
          <w:p w:rsidR="00B06AD0" w:rsidRPr="00C313C9" w:rsidRDefault="00B06AD0" w:rsidP="002D69F6">
            <w:pPr>
              <w:jc w:val="left"/>
              <w:rPr>
                <w:rFonts w:cs="Arial"/>
                <w:sz w:val="16"/>
                <w:szCs w:val="16"/>
              </w:rPr>
            </w:pPr>
            <w:r w:rsidRPr="001071BF">
              <w:rPr>
                <w:rFonts w:cs="Arial"/>
                <w:sz w:val="16"/>
                <w:szCs w:val="16"/>
              </w:rPr>
              <w:t>INPI</w:t>
            </w:r>
            <w:r w:rsidRPr="00C313C9">
              <w:rPr>
                <w:rFonts w:cs="Arial"/>
                <w:sz w:val="16"/>
                <w:szCs w:val="16"/>
              </w:rPr>
              <w:t xml:space="preserve"> </w:t>
            </w:r>
          </w:p>
          <w:p w:rsidR="00B06AD0" w:rsidRPr="00C313C9" w:rsidRDefault="00B06AD0" w:rsidP="002D69F6">
            <w:pPr>
              <w:jc w:val="left"/>
              <w:rPr>
                <w:rFonts w:cs="Arial"/>
                <w:sz w:val="16"/>
                <w:szCs w:val="16"/>
              </w:rPr>
            </w:pPr>
            <w:r w:rsidRPr="001071BF">
              <w:rPr>
                <w:rFonts w:cs="Arial"/>
                <w:sz w:val="16"/>
                <w:szCs w:val="16"/>
              </w:rPr>
              <w:t>OMPI</w:t>
            </w:r>
          </w:p>
        </w:tc>
        <w:tc>
          <w:tcPr>
            <w:tcW w:w="1786" w:type="dxa"/>
          </w:tcPr>
          <w:p w:rsidR="00B06AD0" w:rsidRPr="001335C2" w:rsidRDefault="00B06AD0" w:rsidP="002D69F6">
            <w:pPr>
              <w:jc w:val="left"/>
              <w:rPr>
                <w:rFonts w:cs="Arial"/>
                <w:sz w:val="16"/>
                <w:szCs w:val="16"/>
                <w:lang w:val="es-ES"/>
              </w:rPr>
            </w:pPr>
            <w:r w:rsidRPr="001071BF">
              <w:rPr>
                <w:rFonts w:cs="Arial"/>
                <w:sz w:val="16"/>
                <w:szCs w:val="16"/>
              </w:rPr>
              <w:t>Curso general sobre propiedad intelectual con un capítulo dedicado a la protección de las obtenciones vegetales</w:t>
            </w:r>
            <w:r w:rsidRPr="001335C2">
              <w:rPr>
                <w:rFonts w:cs="Arial"/>
                <w:sz w:val="16"/>
                <w:szCs w:val="16"/>
                <w:lang w:val="es-ES"/>
              </w:rPr>
              <w:t xml:space="preserve"> </w:t>
            </w:r>
          </w:p>
        </w:tc>
        <w:tc>
          <w:tcPr>
            <w:tcW w:w="2183" w:type="dxa"/>
          </w:tcPr>
          <w:p w:rsidR="00B06AD0" w:rsidRPr="001335C2" w:rsidRDefault="00B06AD0" w:rsidP="002D69F6">
            <w:pPr>
              <w:jc w:val="left"/>
              <w:rPr>
                <w:rFonts w:cs="Arial"/>
                <w:sz w:val="16"/>
                <w:szCs w:val="16"/>
                <w:lang w:val="es-ES"/>
              </w:rPr>
            </w:pPr>
            <w:r w:rsidRPr="001071BF">
              <w:rPr>
                <w:rFonts w:cs="Arial"/>
                <w:sz w:val="16"/>
                <w:szCs w:val="16"/>
              </w:rPr>
              <w:t>Alrededor de 2000 participantes (todos ellos del Brasil) de distintos ámbitos (estudiantes, abogados, representantes legales, funcionarios públicos, investigadores, etc.)</w:t>
            </w:r>
          </w:p>
        </w:tc>
        <w:tc>
          <w:tcPr>
            <w:tcW w:w="1730" w:type="dxa"/>
          </w:tcPr>
          <w:p w:rsidR="00B06AD0" w:rsidRPr="001335C2" w:rsidRDefault="00B06AD0" w:rsidP="002D69F6">
            <w:pPr>
              <w:jc w:val="left"/>
              <w:rPr>
                <w:rFonts w:cs="Arial"/>
                <w:sz w:val="16"/>
                <w:szCs w:val="16"/>
                <w:lang w:val="es-ES"/>
              </w:rPr>
            </w:pPr>
            <w:r w:rsidRPr="001071BF">
              <w:rPr>
                <w:rFonts w:cs="Arial"/>
                <w:sz w:val="16"/>
                <w:szCs w:val="16"/>
              </w:rPr>
              <w:t>Los examinadores del SNPC actuaron de tutores en los debates sobre protección de las obtenciones vegetales</w:t>
            </w:r>
            <w:r w:rsidRPr="001335C2">
              <w:rPr>
                <w:rFonts w:cs="Arial"/>
                <w:sz w:val="16"/>
                <w:szCs w:val="16"/>
                <w:lang w:val="es-ES"/>
              </w:rPr>
              <w:t xml:space="preserve"> </w:t>
            </w:r>
          </w:p>
        </w:tc>
      </w:tr>
      <w:tr w:rsidR="00B06AD0" w:rsidRPr="00C313C9" w:rsidTr="002D69F6">
        <w:tc>
          <w:tcPr>
            <w:tcW w:w="1129" w:type="dxa"/>
          </w:tcPr>
          <w:p w:rsidR="00B06AD0" w:rsidRPr="001335C2" w:rsidRDefault="00B06AD0" w:rsidP="002D69F6">
            <w:pPr>
              <w:jc w:val="left"/>
              <w:rPr>
                <w:rFonts w:cs="Arial"/>
                <w:sz w:val="16"/>
                <w:szCs w:val="16"/>
                <w:lang w:val="es-ES"/>
              </w:rPr>
            </w:pPr>
            <w:r w:rsidRPr="001335C2">
              <w:rPr>
                <w:rFonts w:cs="Arial"/>
                <w:sz w:val="16"/>
                <w:szCs w:val="16"/>
                <w:lang w:val="es-ES"/>
              </w:rPr>
              <w:t xml:space="preserve">4. </w:t>
            </w:r>
            <w:r w:rsidRPr="001071BF">
              <w:rPr>
                <w:rFonts w:cs="Arial"/>
                <w:sz w:val="16"/>
                <w:szCs w:val="16"/>
              </w:rPr>
              <w:t>Formación sobre el nuevo sistema de solicitud de derechos de obtentor (CultivarWeb)</w:t>
            </w:r>
          </w:p>
        </w:tc>
        <w:tc>
          <w:tcPr>
            <w:tcW w:w="1276" w:type="dxa"/>
          </w:tcPr>
          <w:p w:rsidR="00B06AD0" w:rsidRPr="00C313C9" w:rsidRDefault="00B06AD0" w:rsidP="002D69F6">
            <w:pPr>
              <w:jc w:val="left"/>
              <w:rPr>
                <w:rFonts w:cs="Arial"/>
                <w:sz w:val="16"/>
                <w:szCs w:val="16"/>
              </w:rPr>
            </w:pPr>
            <w:r w:rsidRPr="001071BF">
              <w:rPr>
                <w:rFonts w:cs="Arial"/>
                <w:sz w:val="16"/>
                <w:szCs w:val="16"/>
              </w:rPr>
              <w:t>5 de septiembre de 2018</w:t>
            </w:r>
          </w:p>
        </w:tc>
        <w:tc>
          <w:tcPr>
            <w:tcW w:w="851" w:type="dxa"/>
          </w:tcPr>
          <w:p w:rsidR="00B06AD0" w:rsidRPr="00C313C9" w:rsidRDefault="00B06AD0" w:rsidP="002D69F6">
            <w:pPr>
              <w:jc w:val="left"/>
              <w:rPr>
                <w:rFonts w:cs="Arial"/>
                <w:sz w:val="16"/>
                <w:szCs w:val="16"/>
              </w:rPr>
            </w:pPr>
            <w:r w:rsidRPr="001071BF">
              <w:rPr>
                <w:rFonts w:cs="Arial"/>
                <w:sz w:val="16"/>
                <w:szCs w:val="16"/>
              </w:rPr>
              <w:t>Brasilia (Brasil)</w:t>
            </w:r>
          </w:p>
        </w:tc>
        <w:tc>
          <w:tcPr>
            <w:tcW w:w="1134" w:type="dxa"/>
          </w:tcPr>
          <w:p w:rsidR="00B06AD0" w:rsidRPr="00C313C9" w:rsidRDefault="00B06AD0" w:rsidP="002D69F6">
            <w:pPr>
              <w:jc w:val="left"/>
              <w:rPr>
                <w:rFonts w:cs="Arial"/>
                <w:sz w:val="16"/>
                <w:szCs w:val="16"/>
              </w:rPr>
            </w:pPr>
            <w:r w:rsidRPr="001071BF">
              <w:rPr>
                <w:rFonts w:cs="Arial"/>
                <w:sz w:val="16"/>
                <w:szCs w:val="16"/>
              </w:rPr>
              <w:t>SNPC</w:t>
            </w:r>
          </w:p>
        </w:tc>
        <w:tc>
          <w:tcPr>
            <w:tcW w:w="1786" w:type="dxa"/>
          </w:tcPr>
          <w:p w:rsidR="00B06AD0" w:rsidRPr="001335C2" w:rsidRDefault="00B06AD0" w:rsidP="002D69F6">
            <w:pPr>
              <w:jc w:val="left"/>
              <w:rPr>
                <w:rFonts w:cs="Arial"/>
                <w:sz w:val="16"/>
                <w:szCs w:val="16"/>
                <w:lang w:val="es-ES"/>
              </w:rPr>
            </w:pPr>
            <w:r w:rsidRPr="001071BF">
              <w:rPr>
                <w:rFonts w:cs="Arial"/>
                <w:sz w:val="16"/>
                <w:szCs w:val="16"/>
              </w:rPr>
              <w:t>Proporcionar formación a los agentes con más solicitudes sobre la nueva versión del sistema de presentación de solicitudes</w:t>
            </w:r>
          </w:p>
        </w:tc>
        <w:tc>
          <w:tcPr>
            <w:tcW w:w="2183" w:type="dxa"/>
          </w:tcPr>
          <w:p w:rsidR="00B06AD0" w:rsidRPr="00C313C9" w:rsidRDefault="00B06AD0" w:rsidP="002D69F6">
            <w:pPr>
              <w:jc w:val="left"/>
              <w:rPr>
                <w:rFonts w:cs="Arial"/>
                <w:sz w:val="16"/>
                <w:szCs w:val="16"/>
              </w:rPr>
            </w:pPr>
            <w:r w:rsidRPr="001071BF">
              <w:rPr>
                <w:rFonts w:cs="Arial"/>
                <w:sz w:val="16"/>
                <w:szCs w:val="16"/>
              </w:rPr>
              <w:t>Unos 20 agentes</w:t>
            </w:r>
          </w:p>
        </w:tc>
        <w:tc>
          <w:tcPr>
            <w:tcW w:w="1730" w:type="dxa"/>
          </w:tcPr>
          <w:p w:rsidR="00B06AD0" w:rsidRPr="00C313C9" w:rsidRDefault="00B06AD0" w:rsidP="002D69F6">
            <w:pPr>
              <w:jc w:val="left"/>
              <w:rPr>
                <w:rFonts w:cs="Arial"/>
                <w:sz w:val="16"/>
                <w:szCs w:val="16"/>
              </w:rPr>
            </w:pPr>
          </w:p>
        </w:tc>
      </w:tr>
      <w:tr w:rsidR="00B06AD0" w:rsidRPr="001335C2" w:rsidTr="002D69F6">
        <w:tc>
          <w:tcPr>
            <w:tcW w:w="1129" w:type="dxa"/>
          </w:tcPr>
          <w:p w:rsidR="00B06AD0" w:rsidRPr="001335C2" w:rsidRDefault="00B06AD0" w:rsidP="002D69F6">
            <w:pPr>
              <w:jc w:val="left"/>
              <w:rPr>
                <w:rFonts w:cs="Arial"/>
                <w:sz w:val="16"/>
                <w:szCs w:val="16"/>
                <w:lang w:val="es-ES"/>
              </w:rPr>
            </w:pPr>
            <w:r w:rsidRPr="001335C2">
              <w:rPr>
                <w:rFonts w:cs="Arial"/>
                <w:sz w:val="16"/>
                <w:szCs w:val="16"/>
                <w:lang w:val="es-ES"/>
              </w:rPr>
              <w:t xml:space="preserve">5. </w:t>
            </w:r>
            <w:r w:rsidRPr="001071BF">
              <w:rPr>
                <w:rFonts w:cs="Arial"/>
                <w:sz w:val="16"/>
                <w:szCs w:val="16"/>
              </w:rPr>
              <w:t>Curso general sobre propiedad intelectual</w:t>
            </w:r>
          </w:p>
        </w:tc>
        <w:tc>
          <w:tcPr>
            <w:tcW w:w="1276" w:type="dxa"/>
          </w:tcPr>
          <w:p w:rsidR="00B06AD0" w:rsidRPr="001335C2" w:rsidRDefault="00B06AD0" w:rsidP="002D69F6">
            <w:pPr>
              <w:jc w:val="left"/>
              <w:rPr>
                <w:rFonts w:cs="Arial"/>
                <w:sz w:val="16"/>
                <w:szCs w:val="16"/>
                <w:lang w:val="es-ES"/>
              </w:rPr>
            </w:pPr>
            <w:r w:rsidRPr="00B621A9">
              <w:rPr>
                <w:rFonts w:cs="Arial"/>
                <w:sz w:val="16"/>
                <w:szCs w:val="16"/>
              </w:rPr>
              <w:t>22 de octubre a 6 de diciembre de 2018 (no ha finalizado aún)</w:t>
            </w:r>
          </w:p>
        </w:tc>
        <w:tc>
          <w:tcPr>
            <w:tcW w:w="851" w:type="dxa"/>
          </w:tcPr>
          <w:p w:rsidR="00B06AD0" w:rsidRPr="001335C2" w:rsidRDefault="00B06AD0" w:rsidP="002D69F6">
            <w:pPr>
              <w:jc w:val="left"/>
              <w:rPr>
                <w:rFonts w:cs="Arial"/>
                <w:sz w:val="16"/>
                <w:szCs w:val="16"/>
                <w:lang w:val="es-ES"/>
              </w:rPr>
            </w:pPr>
            <w:r w:rsidRPr="00B621A9">
              <w:rPr>
                <w:rFonts w:cs="Arial"/>
                <w:sz w:val="16"/>
                <w:szCs w:val="16"/>
              </w:rPr>
              <w:t>Curso de enseñanza a distancia</w:t>
            </w:r>
          </w:p>
        </w:tc>
        <w:tc>
          <w:tcPr>
            <w:tcW w:w="1134" w:type="dxa"/>
          </w:tcPr>
          <w:p w:rsidR="00B06AD0" w:rsidRPr="00C313C9" w:rsidRDefault="00B06AD0" w:rsidP="002D69F6">
            <w:pPr>
              <w:jc w:val="left"/>
              <w:rPr>
                <w:rFonts w:cs="Arial"/>
                <w:sz w:val="16"/>
                <w:szCs w:val="16"/>
              </w:rPr>
            </w:pPr>
            <w:r w:rsidRPr="00B621A9">
              <w:rPr>
                <w:rFonts w:cs="Arial"/>
                <w:sz w:val="16"/>
                <w:szCs w:val="16"/>
              </w:rPr>
              <w:t>INPI</w:t>
            </w:r>
            <w:r w:rsidRPr="00C313C9">
              <w:rPr>
                <w:rFonts w:cs="Arial"/>
                <w:sz w:val="16"/>
                <w:szCs w:val="16"/>
              </w:rPr>
              <w:t xml:space="preserve"> </w:t>
            </w:r>
          </w:p>
          <w:p w:rsidR="00B06AD0" w:rsidRPr="00C313C9" w:rsidRDefault="00B06AD0" w:rsidP="002D69F6">
            <w:pPr>
              <w:jc w:val="left"/>
              <w:rPr>
                <w:rFonts w:cs="Arial"/>
                <w:sz w:val="16"/>
                <w:szCs w:val="16"/>
              </w:rPr>
            </w:pPr>
            <w:r w:rsidRPr="00B621A9">
              <w:rPr>
                <w:rFonts w:cs="Arial"/>
                <w:sz w:val="16"/>
                <w:szCs w:val="16"/>
              </w:rPr>
              <w:t>OMPI</w:t>
            </w:r>
          </w:p>
        </w:tc>
        <w:tc>
          <w:tcPr>
            <w:tcW w:w="1786" w:type="dxa"/>
          </w:tcPr>
          <w:p w:rsidR="00B06AD0" w:rsidRPr="001335C2" w:rsidRDefault="00B06AD0" w:rsidP="002D69F6">
            <w:pPr>
              <w:jc w:val="left"/>
              <w:rPr>
                <w:rFonts w:cs="Arial"/>
                <w:sz w:val="16"/>
                <w:szCs w:val="16"/>
                <w:lang w:val="es-ES"/>
              </w:rPr>
            </w:pPr>
            <w:r w:rsidRPr="00B621A9">
              <w:rPr>
                <w:rFonts w:cs="Arial"/>
                <w:sz w:val="16"/>
                <w:szCs w:val="16"/>
              </w:rPr>
              <w:t>Curso general sobre propiedad intelectual con un capítulo dedicado a la protección de las obtenciones vegetales</w:t>
            </w:r>
            <w:r w:rsidRPr="001335C2">
              <w:rPr>
                <w:rFonts w:cs="Arial"/>
                <w:sz w:val="16"/>
                <w:szCs w:val="16"/>
                <w:lang w:val="es-ES"/>
              </w:rPr>
              <w:t xml:space="preserve"> </w:t>
            </w:r>
          </w:p>
        </w:tc>
        <w:tc>
          <w:tcPr>
            <w:tcW w:w="2183" w:type="dxa"/>
          </w:tcPr>
          <w:p w:rsidR="00B06AD0" w:rsidRPr="001335C2" w:rsidRDefault="00B06AD0" w:rsidP="002D69F6">
            <w:pPr>
              <w:jc w:val="left"/>
              <w:rPr>
                <w:rFonts w:cs="Arial"/>
                <w:sz w:val="16"/>
                <w:szCs w:val="16"/>
                <w:lang w:val="es-ES"/>
              </w:rPr>
            </w:pPr>
            <w:r w:rsidRPr="00B621A9">
              <w:rPr>
                <w:rFonts w:cs="Arial"/>
                <w:sz w:val="16"/>
                <w:szCs w:val="16"/>
              </w:rPr>
              <w:t>Alrededor de 2000 participantes (todos ellos del Brasil) de distintos ámbitos (estudiantes, abogados, representantes legales, funcionarios públicos, investigadores, etc.)</w:t>
            </w:r>
          </w:p>
        </w:tc>
        <w:tc>
          <w:tcPr>
            <w:tcW w:w="1730" w:type="dxa"/>
          </w:tcPr>
          <w:p w:rsidR="00B06AD0" w:rsidRPr="001335C2" w:rsidRDefault="00B06AD0" w:rsidP="002D69F6">
            <w:pPr>
              <w:jc w:val="left"/>
              <w:rPr>
                <w:rFonts w:cs="Arial"/>
                <w:sz w:val="16"/>
                <w:szCs w:val="16"/>
                <w:lang w:val="es-ES"/>
              </w:rPr>
            </w:pPr>
            <w:r w:rsidRPr="00B621A9">
              <w:rPr>
                <w:rFonts w:cs="Arial"/>
                <w:sz w:val="16"/>
                <w:szCs w:val="16"/>
              </w:rPr>
              <w:t>Los examinadores del SNPC actuaron de tutores en los debates sobre protección de las obtenciones vegetales</w:t>
            </w:r>
            <w:r w:rsidRPr="001335C2">
              <w:rPr>
                <w:rFonts w:cs="Arial"/>
                <w:sz w:val="16"/>
                <w:szCs w:val="16"/>
                <w:lang w:val="es-ES"/>
              </w:rPr>
              <w:t xml:space="preserve"> </w:t>
            </w:r>
          </w:p>
        </w:tc>
      </w:tr>
      <w:bookmarkEnd w:id="2"/>
    </w:tbl>
    <w:p w:rsidR="00B06AD0" w:rsidRPr="001335C2" w:rsidRDefault="00B06AD0" w:rsidP="00B06AD0">
      <w:pPr>
        <w:rPr>
          <w:lang w:val="es-ES"/>
        </w:rPr>
      </w:pPr>
    </w:p>
    <w:p w:rsidR="00B06AD0" w:rsidRPr="001335C2" w:rsidRDefault="00B06AD0" w:rsidP="00B06AD0">
      <w:pPr>
        <w:rPr>
          <w:lang w:val="es-ES"/>
        </w:rPr>
      </w:pPr>
    </w:p>
    <w:p w:rsidR="00B06AD0" w:rsidRPr="001335C2" w:rsidRDefault="00B06AD0" w:rsidP="00B06AD0">
      <w:pPr>
        <w:rPr>
          <w:lang w:val="es-ES"/>
        </w:rPr>
      </w:pPr>
      <w:r w:rsidRPr="00B621A9">
        <w:t>II.</w:t>
      </w:r>
      <w:r w:rsidRPr="001335C2">
        <w:rPr>
          <w:lang w:val="es-ES"/>
        </w:rPr>
        <w:tab/>
      </w:r>
      <w:r w:rsidRPr="00B621A9">
        <w:t>OTRAS NOVEDADES DE INTERÉS PARA LA UPOV</w:t>
      </w:r>
    </w:p>
    <w:p w:rsidR="00B06AD0" w:rsidRPr="001335C2" w:rsidRDefault="00B06AD0" w:rsidP="00B06AD0">
      <w:pPr>
        <w:rPr>
          <w:lang w:val="es-ES"/>
        </w:rPr>
      </w:pPr>
    </w:p>
    <w:p w:rsidR="00B06AD0" w:rsidRPr="001335C2" w:rsidRDefault="00B06AD0" w:rsidP="00B06AD0">
      <w:pPr>
        <w:jc w:val="left"/>
        <w:rPr>
          <w:lang w:val="es-ES"/>
        </w:rPr>
      </w:pPr>
      <w:r w:rsidRPr="00B621A9">
        <w:t>No se produjeron novedades.</w:t>
      </w:r>
    </w:p>
    <w:p w:rsidR="0047359E" w:rsidRDefault="0047359E" w:rsidP="0047359E">
      <w:pPr>
        <w:jc w:val="left"/>
      </w:pPr>
    </w:p>
    <w:p w:rsidR="0047359E" w:rsidRDefault="0047359E" w:rsidP="0047359E">
      <w:pPr>
        <w:jc w:val="left"/>
      </w:pPr>
    </w:p>
    <w:p w:rsidR="0047359E" w:rsidRDefault="0047359E" w:rsidP="0047359E">
      <w:pPr>
        <w:jc w:val="right"/>
      </w:pPr>
      <w:r>
        <w:t>[Sigue el Anexo III</w:t>
      </w:r>
      <w:r w:rsidR="006176B7">
        <w:t>]</w:t>
      </w:r>
    </w:p>
    <w:p w:rsidR="0047359E" w:rsidRDefault="0047359E" w:rsidP="0047359E">
      <w:pPr>
        <w:jc w:val="left"/>
      </w:pPr>
    </w:p>
    <w:p w:rsidR="0047359E" w:rsidRDefault="0047359E" w:rsidP="0047359E">
      <w:pPr>
        <w:jc w:val="left"/>
        <w:sectPr w:rsidR="0047359E" w:rsidSect="00AE79F5">
          <w:headerReference w:type="default" r:id="rId11"/>
          <w:pgSz w:w="11907" w:h="16840" w:code="9"/>
          <w:pgMar w:top="510" w:right="1134" w:bottom="1134" w:left="1134" w:header="510" w:footer="680" w:gutter="0"/>
          <w:pgNumType w:start="1"/>
          <w:cols w:space="720"/>
          <w:titlePg/>
        </w:sectPr>
      </w:pPr>
    </w:p>
    <w:p w:rsidR="0047359E" w:rsidRPr="0075031D" w:rsidRDefault="00C97EE1" w:rsidP="0047359E">
      <w:pPr>
        <w:jc w:val="center"/>
      </w:pPr>
      <w:r>
        <w:lastRenderedPageBreak/>
        <w:t>C/52/15 Add.</w:t>
      </w:r>
    </w:p>
    <w:p w:rsidR="0047359E" w:rsidRPr="0075031D" w:rsidRDefault="0047359E" w:rsidP="0047359E">
      <w:pPr>
        <w:jc w:val="center"/>
      </w:pPr>
    </w:p>
    <w:p w:rsidR="0047359E" w:rsidRPr="0075031D" w:rsidRDefault="0047359E" w:rsidP="0047359E">
      <w:pPr>
        <w:jc w:val="center"/>
      </w:pPr>
      <w:r>
        <w:t>ANEXO</w:t>
      </w:r>
      <w:r w:rsidRPr="0075031D">
        <w:t xml:space="preserve"> I</w:t>
      </w:r>
      <w:r>
        <w:t>II</w:t>
      </w:r>
    </w:p>
    <w:p w:rsidR="0047359E" w:rsidRPr="0075031D" w:rsidRDefault="0047359E" w:rsidP="0047359E">
      <w:pPr>
        <w:jc w:val="center"/>
      </w:pPr>
    </w:p>
    <w:p w:rsidR="0047359E" w:rsidRDefault="0047359E" w:rsidP="0047359E">
      <w:pPr>
        <w:jc w:val="center"/>
      </w:pPr>
    </w:p>
    <w:p w:rsidR="00121096" w:rsidRPr="00801F98" w:rsidRDefault="00121096" w:rsidP="00121096">
      <w:pPr>
        <w:jc w:val="center"/>
        <w:rPr>
          <w:color w:val="000000"/>
          <w:szCs w:val="24"/>
        </w:rPr>
      </w:pPr>
      <w:r>
        <w:rPr>
          <w:color w:val="000000"/>
          <w:szCs w:val="24"/>
        </w:rPr>
        <w:t>COLOMBIA</w:t>
      </w:r>
    </w:p>
    <w:p w:rsidR="00121096" w:rsidRPr="004B7A45" w:rsidRDefault="00121096" w:rsidP="00121096">
      <w:pPr>
        <w:jc w:val="center"/>
      </w:pPr>
      <w:r w:rsidRPr="004B7A45">
        <w:t xml:space="preserve">PERÍODO: </w:t>
      </w:r>
      <w:r>
        <w:t xml:space="preserve"> </w:t>
      </w:r>
      <w:r w:rsidRPr="004B7A45">
        <w:t>OCTUBRE DE 201</w:t>
      </w:r>
      <w:r>
        <w:t>7 – SEPTIEMBRE DE 2018</w:t>
      </w:r>
    </w:p>
    <w:p w:rsidR="00121096" w:rsidRPr="004B7A45" w:rsidRDefault="00121096" w:rsidP="00121096"/>
    <w:p w:rsidR="00121096" w:rsidRDefault="00121096" w:rsidP="00121096">
      <w:pPr>
        <w:rPr>
          <w:rFonts w:cs="Arial"/>
          <w:u w:val="single"/>
        </w:rPr>
      </w:pPr>
    </w:p>
    <w:p w:rsidR="00121096" w:rsidRPr="00872770" w:rsidRDefault="00121096" w:rsidP="00121096">
      <w:pPr>
        <w:rPr>
          <w:u w:val="single"/>
        </w:rPr>
      </w:pPr>
      <w:r w:rsidRPr="00872770">
        <w:rPr>
          <w:u w:val="single"/>
        </w:rPr>
        <w:t>Situación en el campo legislativo</w:t>
      </w:r>
    </w:p>
    <w:p w:rsidR="00121096" w:rsidRPr="00872770" w:rsidRDefault="00121096" w:rsidP="00121096"/>
    <w:p w:rsidR="00121096" w:rsidRPr="00872770" w:rsidRDefault="00121096" w:rsidP="00121096">
      <w:r w:rsidRPr="00872770">
        <w:t xml:space="preserve">Durante el período objeto del informe no se produjeron modificaciones de nuestra legislación en materia de derechos de obtentor actualmente Colombia continúa aplicando la legislación vigente para proteger los derechos de los obtentores de variedades vegetales, basados en la Decisión 345 de 1993. </w:t>
      </w:r>
    </w:p>
    <w:p w:rsidR="00121096" w:rsidRDefault="00121096" w:rsidP="00121096"/>
    <w:p w:rsidR="00121096" w:rsidRPr="00872770" w:rsidRDefault="00121096" w:rsidP="00121096">
      <w:r w:rsidRPr="00872770">
        <w:t xml:space="preserve">De la legislación Colombiana, hace parte también la Resolución ICA 1893 de 1995, Ley 243 </w:t>
      </w:r>
      <w:r>
        <w:t>de 1995, “Por </w:t>
      </w:r>
      <w:r w:rsidRPr="00872770">
        <w:t>medio de la cual se aprueba el Convenio Internacional para la protección de las obtenciones vegetales, UPOV, del 2 de diciembre de 1961, revisado en Ginebra el 10 de noviembr</w:t>
      </w:r>
      <w:r>
        <w:t>e de 1972 y el 23 de octubre de </w:t>
      </w:r>
      <w:r w:rsidRPr="00872770">
        <w:t>1978”, Decreto 2687 de 2002, modificatorio del artículo 7 del Decreto 533 de 1994 hoy compilado en el Decreto 1071 del 26 de mayo de 2015, Ley 1032 de 2006 Código penal, Ley 1564 de 2012, funciones jurisdiccionales al Instituto Colombiano Agropecuario en los procesos por infracción a los derechos de ob</w:t>
      </w:r>
      <w:r>
        <w:t>tentor de variedades vegetales.</w:t>
      </w:r>
    </w:p>
    <w:p w:rsidR="00121096" w:rsidRDefault="00121096" w:rsidP="00121096"/>
    <w:p w:rsidR="00121096" w:rsidRPr="00872770" w:rsidRDefault="00121096" w:rsidP="00121096">
      <w:r w:rsidRPr="00872770">
        <w:t>En Colombia el derecho de obtentor es aplicable a las variedades de todos los géneros y especies botánicas siempre que su cultivo, posesión o utilización no se encuentren prohibidos por razones de salud humana, animal o vegetal. Se resalta entonces que en lo concerniente a la normatividad aplicable, en la actualidad Colombia hace parte del Convenio UPOV por la aprobación del Acta de 1978, y que la adhesión de Colombia al Acta de 1991 de UPOV no variaría sustancialmente su régimen de protección de variedades vegetales, pues en la práctica la integración de toda la normatividad referida anteriormente hace que Colombia esté aplicando las reglas previstas en el Acta de 1991 ya que el régimen jurídico que se aplica  se halla en conformidad con el Acta de 1991 del Convenio.</w:t>
      </w:r>
    </w:p>
    <w:p w:rsidR="00121096" w:rsidRPr="00872770" w:rsidRDefault="00121096" w:rsidP="00121096"/>
    <w:p w:rsidR="00121096" w:rsidRPr="00872770" w:rsidRDefault="00121096" w:rsidP="00121096"/>
    <w:p w:rsidR="00121096" w:rsidRPr="00872770" w:rsidRDefault="00121096" w:rsidP="00121096">
      <w:pPr>
        <w:rPr>
          <w:u w:val="single"/>
        </w:rPr>
      </w:pPr>
      <w:r w:rsidRPr="00872770">
        <w:rPr>
          <w:u w:val="single"/>
        </w:rPr>
        <w:t>Situación en el Campo Administrativo y Técnico</w:t>
      </w:r>
    </w:p>
    <w:p w:rsidR="00121096" w:rsidRDefault="00121096" w:rsidP="00121096"/>
    <w:p w:rsidR="00121096" w:rsidRPr="00872770" w:rsidRDefault="00121096" w:rsidP="00121096">
      <w:r w:rsidRPr="00872770">
        <w:t xml:space="preserve">Tal como se observa en la Gráfica 1 en el periodo comprendido entre los meses de octubre del año 2017 y septiembre de 2018, se recibieron, analizaron y atendieron 138 solicitudes procedentes de diferentes países. Las variedades que se solicitaron fueron de las especies de Rosa, Crisantemo, Arándano, Clavel, Alstroemeria, Arroz, entre otras. </w:t>
      </w:r>
      <w:r>
        <w:t xml:space="preserve"> </w:t>
      </w:r>
      <w:r w:rsidRPr="00872770">
        <w:t xml:space="preserve">Se establecieron 13 pruebas de distinguibilidad, homogeneidad y estabilidad (D.H.E) de café y palma de aceite. Se emitieron 97 certificados de obtentor, de diferentes nacionalidades como se observa en el Gráfico 2.  </w:t>
      </w:r>
    </w:p>
    <w:p w:rsidR="00121096" w:rsidRPr="00872770" w:rsidRDefault="00121096" w:rsidP="00121096"/>
    <w:p w:rsidR="00121096" w:rsidRPr="00872770" w:rsidRDefault="00121096" w:rsidP="00121096">
      <w:r w:rsidRPr="00872770">
        <w:t xml:space="preserve">El ICA fungió como autoridad nacional competente en materia de derechos de obtentor y perito técnico designado para la identificación de variedades vegetales protegidas dentro de distintos trámites judiciales en donde se discute la infracción de derechos de obtentor. </w:t>
      </w:r>
      <w:r>
        <w:t xml:space="preserve"> </w:t>
      </w:r>
      <w:r w:rsidRPr="00872770">
        <w:t>Así las cosas adelantaron en su condición de experto y perito técnico una actividad de apoyo judicial en donde rindió diversos conceptos y peritajes sobre la infracción de derechos de obtentor.  Se elaboró y publico la Gaceta de Variedades Vegetales Protegidas No.</w:t>
      </w:r>
      <w:r>
        <w:t> </w:t>
      </w:r>
      <w:r w:rsidRPr="00872770">
        <w:t>20</w:t>
      </w:r>
      <w:r>
        <w:t>.</w:t>
      </w:r>
    </w:p>
    <w:p w:rsidR="00121096" w:rsidRPr="00872770" w:rsidRDefault="00121096" w:rsidP="00121096"/>
    <w:p w:rsidR="00121096" w:rsidRDefault="00121096" w:rsidP="00121096">
      <w:pPr>
        <w:jc w:val="left"/>
        <w:rPr>
          <w:rFonts w:cs="Arial"/>
          <w:sz w:val="18"/>
          <w:szCs w:val="18"/>
        </w:rPr>
      </w:pPr>
      <w:r>
        <w:rPr>
          <w:rFonts w:cs="Arial"/>
          <w:sz w:val="18"/>
          <w:szCs w:val="18"/>
        </w:rPr>
        <w:br w:type="page"/>
      </w:r>
    </w:p>
    <w:p w:rsidR="00121096" w:rsidRPr="00872770" w:rsidRDefault="00121096" w:rsidP="00121096">
      <w:pPr>
        <w:rPr>
          <w:sz w:val="18"/>
        </w:rPr>
      </w:pPr>
      <w:r w:rsidRPr="00872770">
        <w:rPr>
          <w:sz w:val="18"/>
        </w:rPr>
        <w:lastRenderedPageBreak/>
        <w:t xml:space="preserve">Gráfico 1. Solicitudes recibidas por especie durante el periodo comprendido de </w:t>
      </w:r>
      <w:r>
        <w:rPr>
          <w:sz w:val="18"/>
        </w:rPr>
        <w:t>o</w:t>
      </w:r>
      <w:r w:rsidRPr="00872770">
        <w:rPr>
          <w:sz w:val="18"/>
        </w:rPr>
        <w:t xml:space="preserve">ctubre de 2017 a </w:t>
      </w:r>
      <w:r>
        <w:rPr>
          <w:sz w:val="18"/>
        </w:rPr>
        <w:t>s</w:t>
      </w:r>
      <w:r w:rsidRPr="00872770">
        <w:rPr>
          <w:sz w:val="18"/>
        </w:rPr>
        <w:t>eptiembre de 2018</w:t>
      </w:r>
    </w:p>
    <w:p w:rsidR="00121096" w:rsidRPr="00872770" w:rsidRDefault="00121096" w:rsidP="00121096"/>
    <w:p w:rsidR="00121096" w:rsidRDefault="00121096" w:rsidP="00121096">
      <w:pPr>
        <w:jc w:val="center"/>
      </w:pPr>
      <w:r>
        <w:rPr>
          <w:noProof/>
          <w:lang w:val="en-US"/>
        </w:rPr>
        <w:drawing>
          <wp:inline distT="0" distB="0" distL="0" distR="0" wp14:anchorId="05FDC16B" wp14:editId="72F1C676">
            <wp:extent cx="5581650" cy="3714750"/>
            <wp:effectExtent l="0" t="0" r="19050" b="1905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21096" w:rsidRDefault="00121096" w:rsidP="00121096">
      <w:pPr>
        <w:rPr>
          <w:sz w:val="16"/>
        </w:rPr>
      </w:pPr>
    </w:p>
    <w:p w:rsidR="00121096" w:rsidRDefault="00121096" w:rsidP="00121096">
      <w:pPr>
        <w:rPr>
          <w:rFonts w:cs="Arial"/>
          <w:sz w:val="18"/>
          <w:szCs w:val="18"/>
        </w:rPr>
      </w:pPr>
    </w:p>
    <w:p w:rsidR="00121096" w:rsidRDefault="00121096" w:rsidP="00121096">
      <w:pPr>
        <w:rPr>
          <w:rFonts w:cs="Arial"/>
          <w:sz w:val="18"/>
          <w:szCs w:val="18"/>
        </w:rPr>
      </w:pPr>
      <w:r w:rsidRPr="00C82DA6">
        <w:rPr>
          <w:rFonts w:cs="Arial"/>
          <w:sz w:val="18"/>
          <w:szCs w:val="18"/>
        </w:rPr>
        <w:t>Gráfico 2.</w:t>
      </w:r>
      <w:r w:rsidRPr="00C82DA6">
        <w:rPr>
          <w:rFonts w:eastAsiaTheme="minorEastAsia" w:cs="Arial"/>
          <w:color w:val="000000"/>
          <w:kern w:val="24"/>
          <w:sz w:val="18"/>
          <w:szCs w:val="18"/>
          <w:lang w:eastAsia="es-CO"/>
        </w:rPr>
        <w:t xml:space="preserve"> </w:t>
      </w:r>
      <w:r w:rsidRPr="00C82DA6">
        <w:rPr>
          <w:rFonts w:cs="Arial"/>
          <w:sz w:val="18"/>
          <w:szCs w:val="18"/>
        </w:rPr>
        <w:t xml:space="preserve">Certificados </w:t>
      </w:r>
      <w:r>
        <w:rPr>
          <w:rFonts w:cs="Arial"/>
          <w:sz w:val="18"/>
          <w:szCs w:val="18"/>
        </w:rPr>
        <w:t>e</w:t>
      </w:r>
      <w:r w:rsidRPr="00C82DA6">
        <w:rPr>
          <w:rFonts w:cs="Arial"/>
          <w:sz w:val="18"/>
          <w:szCs w:val="18"/>
        </w:rPr>
        <w:t xml:space="preserve">ntregados </w:t>
      </w:r>
      <w:r>
        <w:rPr>
          <w:rFonts w:cs="Arial"/>
          <w:sz w:val="18"/>
          <w:szCs w:val="18"/>
        </w:rPr>
        <w:t>- Octubre de 2017</w:t>
      </w:r>
      <w:r w:rsidRPr="00C82DA6">
        <w:rPr>
          <w:rFonts w:cs="Arial"/>
          <w:sz w:val="18"/>
          <w:szCs w:val="18"/>
        </w:rPr>
        <w:t xml:space="preserve"> a </w:t>
      </w:r>
      <w:r>
        <w:rPr>
          <w:rFonts w:cs="Arial"/>
          <w:sz w:val="18"/>
          <w:szCs w:val="18"/>
        </w:rPr>
        <w:t>septiembre</w:t>
      </w:r>
      <w:r w:rsidRPr="00C82DA6">
        <w:rPr>
          <w:rFonts w:cs="Arial"/>
          <w:sz w:val="18"/>
          <w:szCs w:val="18"/>
        </w:rPr>
        <w:t xml:space="preserve"> de 201</w:t>
      </w:r>
      <w:r>
        <w:rPr>
          <w:rFonts w:cs="Arial"/>
          <w:sz w:val="18"/>
          <w:szCs w:val="18"/>
        </w:rPr>
        <w:t>8</w:t>
      </w:r>
    </w:p>
    <w:p w:rsidR="00121096" w:rsidRDefault="00121096" w:rsidP="00121096">
      <w:pPr>
        <w:rPr>
          <w:rFonts w:cs="Arial"/>
          <w:sz w:val="18"/>
          <w:szCs w:val="18"/>
        </w:rPr>
      </w:pPr>
    </w:p>
    <w:p w:rsidR="00121096" w:rsidRPr="00C82DA6" w:rsidRDefault="00121096" w:rsidP="00121096">
      <w:pPr>
        <w:spacing w:after="120"/>
        <w:jc w:val="center"/>
        <w:rPr>
          <w:sz w:val="16"/>
        </w:rPr>
      </w:pPr>
      <w:r>
        <w:rPr>
          <w:noProof/>
          <w:lang w:val="en-US"/>
        </w:rPr>
        <w:drawing>
          <wp:inline distT="0" distB="0" distL="0" distR="0" wp14:anchorId="40579D98" wp14:editId="7C45AC74">
            <wp:extent cx="5753100" cy="36195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21096" w:rsidRPr="00872770" w:rsidRDefault="00121096" w:rsidP="00121096"/>
    <w:p w:rsidR="0047359E" w:rsidRDefault="0047359E" w:rsidP="0047359E">
      <w:pPr>
        <w:jc w:val="left"/>
      </w:pPr>
    </w:p>
    <w:p w:rsidR="0047359E" w:rsidRDefault="0047359E" w:rsidP="0047359E">
      <w:pPr>
        <w:jc w:val="left"/>
      </w:pPr>
    </w:p>
    <w:p w:rsidR="0047359E" w:rsidRDefault="0047359E" w:rsidP="0047359E">
      <w:pPr>
        <w:jc w:val="right"/>
      </w:pPr>
      <w:r>
        <w:t>[Sigue el Anexo IV</w:t>
      </w:r>
      <w:r w:rsidR="006176B7">
        <w:t>]</w:t>
      </w:r>
    </w:p>
    <w:p w:rsidR="0047359E" w:rsidRDefault="0047359E" w:rsidP="0047359E">
      <w:pPr>
        <w:jc w:val="left"/>
      </w:pPr>
    </w:p>
    <w:p w:rsidR="0047359E" w:rsidRDefault="0047359E" w:rsidP="0047359E">
      <w:pPr>
        <w:jc w:val="left"/>
        <w:sectPr w:rsidR="0047359E" w:rsidSect="00AE79F5">
          <w:headerReference w:type="default" r:id="rId14"/>
          <w:pgSz w:w="11907" w:h="16840" w:code="9"/>
          <w:pgMar w:top="510" w:right="1134" w:bottom="1134" w:left="1134" w:header="510" w:footer="680" w:gutter="0"/>
          <w:pgNumType w:start="1"/>
          <w:cols w:space="720"/>
          <w:titlePg/>
        </w:sectPr>
      </w:pPr>
    </w:p>
    <w:p w:rsidR="0047359E" w:rsidRPr="0075031D" w:rsidRDefault="00C97EE1" w:rsidP="0047359E">
      <w:pPr>
        <w:jc w:val="center"/>
      </w:pPr>
      <w:r>
        <w:lastRenderedPageBreak/>
        <w:t>C/52/15 Add.</w:t>
      </w:r>
    </w:p>
    <w:p w:rsidR="0047359E" w:rsidRPr="0075031D" w:rsidRDefault="0047359E" w:rsidP="0047359E">
      <w:pPr>
        <w:jc w:val="center"/>
      </w:pPr>
    </w:p>
    <w:p w:rsidR="0047359E" w:rsidRPr="0075031D" w:rsidRDefault="0047359E" w:rsidP="0047359E">
      <w:pPr>
        <w:jc w:val="center"/>
      </w:pPr>
      <w:r>
        <w:t>ANEXO</w:t>
      </w:r>
      <w:r w:rsidRPr="0075031D">
        <w:t xml:space="preserve"> I</w:t>
      </w:r>
      <w:r>
        <w:t>V</w:t>
      </w:r>
    </w:p>
    <w:p w:rsidR="0047359E" w:rsidRPr="0075031D" w:rsidRDefault="0047359E" w:rsidP="0047359E">
      <w:pPr>
        <w:jc w:val="center"/>
      </w:pPr>
    </w:p>
    <w:p w:rsidR="0047359E" w:rsidRDefault="0047359E" w:rsidP="0047359E">
      <w:pPr>
        <w:jc w:val="center"/>
      </w:pPr>
    </w:p>
    <w:p w:rsidR="00B06AD0" w:rsidRPr="00D974AF" w:rsidRDefault="00B06AD0" w:rsidP="00B06AD0">
      <w:pPr>
        <w:jc w:val="center"/>
        <w:rPr>
          <w:color w:val="000000"/>
          <w:szCs w:val="24"/>
          <w:lang w:val="es-ES"/>
        </w:rPr>
      </w:pPr>
      <w:r w:rsidRPr="00535A0A">
        <w:rPr>
          <w:color w:val="000000"/>
          <w:szCs w:val="24"/>
        </w:rPr>
        <w:t>JAPÓN</w:t>
      </w:r>
    </w:p>
    <w:p w:rsidR="00B06AD0" w:rsidRPr="00D974AF" w:rsidRDefault="00B06AD0" w:rsidP="00B06AD0">
      <w:pPr>
        <w:rPr>
          <w:lang w:val="es-ES"/>
        </w:rPr>
      </w:pPr>
    </w:p>
    <w:p w:rsidR="00B06AD0" w:rsidRPr="00D974AF" w:rsidRDefault="00B06AD0" w:rsidP="00B06AD0">
      <w:pPr>
        <w:jc w:val="left"/>
        <w:rPr>
          <w:lang w:val="es-ES"/>
        </w:rPr>
      </w:pPr>
    </w:p>
    <w:p w:rsidR="00B06AD0" w:rsidRPr="00D974AF" w:rsidRDefault="00B06AD0" w:rsidP="00B06AD0">
      <w:pPr>
        <w:rPr>
          <w:lang w:val="es-ES"/>
        </w:rPr>
      </w:pPr>
      <w:r w:rsidRPr="00535A0A">
        <w:t>I.</w:t>
      </w:r>
      <w:r w:rsidRPr="00D974AF">
        <w:rPr>
          <w:lang w:val="es-ES"/>
        </w:rPr>
        <w:tab/>
      </w:r>
      <w:r w:rsidRPr="00535A0A">
        <w:t>PROTECCIÓN DE LAS OBTENCIONES VEGETALES</w:t>
      </w:r>
    </w:p>
    <w:p w:rsidR="00B06AD0" w:rsidRPr="00D974AF" w:rsidRDefault="00B06AD0" w:rsidP="00B06AD0">
      <w:pPr>
        <w:rPr>
          <w:lang w:val="es-ES"/>
        </w:rPr>
      </w:pPr>
    </w:p>
    <w:p w:rsidR="00B06AD0" w:rsidRPr="00746819" w:rsidRDefault="00B06AD0" w:rsidP="00B06AD0">
      <w:r w:rsidRPr="00746819">
        <w:t xml:space="preserve">1. </w:t>
      </w:r>
      <w:r w:rsidRPr="00746819">
        <w:tab/>
      </w:r>
      <w:r w:rsidRPr="00535A0A">
        <w:rPr>
          <w:u w:val="single"/>
        </w:rPr>
        <w:t>Situación en el campo legislativo</w:t>
      </w:r>
    </w:p>
    <w:p w:rsidR="00B06AD0" w:rsidRDefault="00B06AD0" w:rsidP="00B06AD0"/>
    <w:p w:rsidR="00B06AD0" w:rsidRPr="00D974AF" w:rsidRDefault="00B06AD0" w:rsidP="00B06AD0">
      <w:pPr>
        <w:rPr>
          <w:lang w:val="es-ES"/>
        </w:rPr>
      </w:pPr>
      <w:r w:rsidRPr="00D974AF">
        <w:rPr>
          <w:lang w:val="es-ES"/>
        </w:rPr>
        <w:t>1.1</w:t>
      </w:r>
      <w:r w:rsidRPr="00D974AF">
        <w:rPr>
          <w:lang w:val="es-ES"/>
        </w:rPr>
        <w:tab/>
      </w:r>
      <w:r w:rsidRPr="00535A0A">
        <w:t>Modificaciones de la ley y de los reglamentos</w:t>
      </w:r>
    </w:p>
    <w:p w:rsidR="00B06AD0" w:rsidRPr="00D974AF" w:rsidRDefault="00B06AD0" w:rsidP="00B06AD0">
      <w:pPr>
        <w:rPr>
          <w:rFonts w:cs="Arial"/>
          <w:color w:val="000000" w:themeColor="text1"/>
          <w:lang w:val="es-ES"/>
        </w:rPr>
      </w:pPr>
    </w:p>
    <w:p w:rsidR="00B06AD0" w:rsidRPr="00D974AF" w:rsidRDefault="00B06AD0" w:rsidP="00B06AD0">
      <w:pPr>
        <w:rPr>
          <w:rFonts w:cs="Arial"/>
          <w:color w:val="000000" w:themeColor="text1"/>
          <w:lang w:val="es-ES" w:eastAsia="ja-JP"/>
        </w:rPr>
      </w:pPr>
      <w:r w:rsidRPr="00535A0A">
        <w:rPr>
          <w:rFonts w:cs="Arial"/>
          <w:color w:val="000000" w:themeColor="text1"/>
        </w:rPr>
        <w:t>El Decreto de ejecución de la Ley de protección de las obtenciones vegetales y de semillas del Japón (Decreto N.º 83 del Ministerio de Agricultura</w:t>
      </w:r>
      <w:r>
        <w:rPr>
          <w:rFonts w:cs="Arial"/>
          <w:color w:val="000000" w:themeColor="text1"/>
        </w:rPr>
        <w:t xml:space="preserve">, </w:t>
      </w:r>
      <w:r w:rsidRPr="00535A0A">
        <w:rPr>
          <w:rFonts w:cs="Arial"/>
          <w:color w:val="000000" w:themeColor="text1"/>
        </w:rPr>
        <w:t>Silvicultura y Pesca (MAFF)</w:t>
      </w:r>
      <w:r>
        <w:rPr>
          <w:rFonts w:cs="Arial"/>
          <w:color w:val="000000" w:themeColor="text1"/>
        </w:rPr>
        <w:t xml:space="preserve">, </w:t>
      </w:r>
      <w:r w:rsidRPr="00535A0A">
        <w:rPr>
          <w:rFonts w:cs="Arial"/>
          <w:color w:val="000000" w:themeColor="text1"/>
        </w:rPr>
        <w:t>de 3 de diciembre de 1998) fue modificado para restringir los géneros y especies vegetales de multiplicación vegetativa cuyas semillas pueden conservarse en las explotaciones agrícolas</w:t>
      </w:r>
      <w:r>
        <w:rPr>
          <w:rFonts w:cs="Arial"/>
          <w:color w:val="000000" w:themeColor="text1"/>
        </w:rPr>
        <w:t xml:space="preserve">, </w:t>
      </w:r>
      <w:r w:rsidRPr="00535A0A">
        <w:rPr>
          <w:rFonts w:cs="Arial"/>
          <w:color w:val="000000" w:themeColor="text1"/>
        </w:rPr>
        <w:t>y la enmienda entró en vigor el 23 de marzo de 2018.</w:t>
      </w:r>
    </w:p>
    <w:p w:rsidR="00B06AD0" w:rsidRPr="00D974AF" w:rsidRDefault="00B06AD0" w:rsidP="00B06AD0">
      <w:pPr>
        <w:rPr>
          <w:rFonts w:cs="Arial"/>
          <w:lang w:val="es-ES" w:eastAsia="ja-JP"/>
        </w:rPr>
      </w:pPr>
    </w:p>
    <w:p w:rsidR="00B06AD0" w:rsidRPr="00D974AF" w:rsidRDefault="00B06AD0" w:rsidP="00B06AD0">
      <w:pPr>
        <w:rPr>
          <w:rFonts w:cs="Arial"/>
          <w:lang w:val="es-ES" w:eastAsia="ja-JP"/>
        </w:rPr>
      </w:pPr>
    </w:p>
    <w:p w:rsidR="00B06AD0" w:rsidRPr="00D974AF" w:rsidRDefault="00B06AD0" w:rsidP="00B06AD0">
      <w:pPr>
        <w:rPr>
          <w:rFonts w:cs="Arial"/>
          <w:lang w:val="es-ES"/>
        </w:rPr>
      </w:pPr>
      <w:r w:rsidRPr="00D974AF">
        <w:rPr>
          <w:rFonts w:cs="Arial"/>
          <w:lang w:val="es-ES"/>
        </w:rPr>
        <w:t>2.</w:t>
      </w:r>
      <w:r w:rsidRPr="00D974AF">
        <w:rPr>
          <w:rFonts w:cs="Arial"/>
          <w:lang w:val="es-ES"/>
        </w:rPr>
        <w:tab/>
      </w:r>
      <w:r w:rsidRPr="00535A0A">
        <w:rPr>
          <w:rFonts w:cs="Arial"/>
          <w:u w:val="single"/>
        </w:rPr>
        <w:t>Cooperación en el examen</w:t>
      </w:r>
    </w:p>
    <w:p w:rsidR="00B06AD0" w:rsidRPr="00D974AF" w:rsidRDefault="00B06AD0" w:rsidP="00B06AD0">
      <w:pPr>
        <w:rPr>
          <w:rFonts w:cs="Arial"/>
          <w:color w:val="000000" w:themeColor="text1"/>
          <w:lang w:val="es-ES" w:eastAsia="ja-JP"/>
        </w:rPr>
      </w:pPr>
    </w:p>
    <w:p w:rsidR="00B06AD0" w:rsidRPr="00D974AF" w:rsidRDefault="00B06AD0" w:rsidP="00B06AD0">
      <w:pPr>
        <w:rPr>
          <w:rFonts w:cs="Arial"/>
          <w:color w:val="000000" w:themeColor="text1"/>
          <w:lang w:val="es-ES" w:eastAsia="ja-JP"/>
        </w:rPr>
      </w:pPr>
      <w:r w:rsidRPr="00535A0A">
        <w:rPr>
          <w:rFonts w:cs="Arial"/>
          <w:color w:val="000000" w:themeColor="text1"/>
          <w:lang w:eastAsia="ja-JP"/>
        </w:rPr>
        <w:t>El Japón suscribió con otros cuatro Estados miembros de la UPOV (el Canadá</w:t>
      </w:r>
      <w:r>
        <w:rPr>
          <w:rFonts w:cs="Arial"/>
          <w:color w:val="000000" w:themeColor="text1"/>
          <w:lang w:eastAsia="ja-JP"/>
        </w:rPr>
        <w:t xml:space="preserve">, </w:t>
      </w:r>
      <w:r w:rsidRPr="00535A0A">
        <w:rPr>
          <w:rFonts w:cs="Arial"/>
          <w:color w:val="000000" w:themeColor="text1"/>
          <w:lang w:eastAsia="ja-JP"/>
        </w:rPr>
        <w:t>los Países Bajos</w:t>
      </w:r>
      <w:r>
        <w:rPr>
          <w:rFonts w:cs="Arial"/>
          <w:color w:val="000000" w:themeColor="text1"/>
          <w:lang w:eastAsia="ja-JP"/>
        </w:rPr>
        <w:t xml:space="preserve">, </w:t>
      </w:r>
      <w:r w:rsidRPr="00535A0A">
        <w:rPr>
          <w:rFonts w:cs="Arial"/>
          <w:color w:val="000000" w:themeColor="text1"/>
          <w:lang w:eastAsia="ja-JP"/>
        </w:rPr>
        <w:t>el Perú</w:t>
      </w:r>
      <w:r>
        <w:rPr>
          <w:rFonts w:cs="Arial"/>
          <w:color w:val="000000" w:themeColor="text1"/>
          <w:lang w:eastAsia="ja-JP"/>
        </w:rPr>
        <w:t xml:space="preserve">, </w:t>
      </w:r>
      <w:r w:rsidRPr="00535A0A">
        <w:rPr>
          <w:rFonts w:cs="Arial"/>
          <w:color w:val="000000" w:themeColor="text1"/>
          <w:lang w:eastAsia="ja-JP"/>
        </w:rPr>
        <w:t>Turquía y Singapur) un memorando de cooperación internacional en materia de examen para el registro de títulos de obtentor en 2017-2018.</w:t>
      </w:r>
      <w:r w:rsidRPr="00D974AF">
        <w:rPr>
          <w:rFonts w:cs="Arial"/>
          <w:color w:val="000000" w:themeColor="text1"/>
          <w:lang w:val="es-ES" w:eastAsia="ja-JP"/>
        </w:rPr>
        <w:t xml:space="preserve"> </w:t>
      </w:r>
      <w:r w:rsidRPr="005A5B5D">
        <w:rPr>
          <w:rFonts w:cs="Arial"/>
          <w:color w:val="000000" w:themeColor="text1"/>
          <w:lang w:eastAsia="ja-JP"/>
        </w:rPr>
        <w:t>Al 1 de octubre de 2018, se han suscrito un total de quince memorandos de cooperación.</w:t>
      </w:r>
    </w:p>
    <w:p w:rsidR="00B06AD0" w:rsidRPr="00D974AF" w:rsidRDefault="00B06AD0" w:rsidP="00B06AD0">
      <w:pPr>
        <w:rPr>
          <w:rFonts w:cs="Arial"/>
          <w:lang w:val="es-ES" w:eastAsia="ja-JP"/>
        </w:rPr>
      </w:pPr>
    </w:p>
    <w:p w:rsidR="00B06AD0" w:rsidRPr="00D974AF" w:rsidRDefault="00B06AD0" w:rsidP="00B06AD0">
      <w:pPr>
        <w:rPr>
          <w:rFonts w:cs="Arial"/>
          <w:lang w:val="es-ES" w:eastAsia="ja-JP"/>
        </w:rPr>
      </w:pPr>
    </w:p>
    <w:p w:rsidR="00B06AD0" w:rsidRPr="00D974AF" w:rsidRDefault="00B06AD0" w:rsidP="00B06AD0">
      <w:pPr>
        <w:rPr>
          <w:rFonts w:cs="Arial"/>
          <w:u w:val="single"/>
          <w:lang w:val="es-ES"/>
        </w:rPr>
      </w:pPr>
      <w:r w:rsidRPr="00D974AF">
        <w:rPr>
          <w:rFonts w:cs="Arial"/>
          <w:lang w:val="es-ES"/>
        </w:rPr>
        <w:t>3.</w:t>
      </w:r>
      <w:r w:rsidRPr="00D974AF">
        <w:rPr>
          <w:rFonts w:cs="Arial"/>
          <w:lang w:val="es-ES"/>
        </w:rPr>
        <w:tab/>
      </w:r>
      <w:r w:rsidRPr="005A5B5D">
        <w:rPr>
          <w:rFonts w:cs="Arial"/>
          <w:u w:val="single"/>
        </w:rPr>
        <w:t>Situación en el campo administrativo</w:t>
      </w:r>
    </w:p>
    <w:p w:rsidR="00B06AD0" w:rsidRPr="00D974AF" w:rsidRDefault="00B06AD0" w:rsidP="00B06AD0">
      <w:pPr>
        <w:rPr>
          <w:rFonts w:cs="Arial"/>
          <w:lang w:val="es-ES" w:eastAsia="ja-JP"/>
        </w:rPr>
      </w:pPr>
    </w:p>
    <w:p w:rsidR="00B06AD0" w:rsidRPr="00D974AF" w:rsidRDefault="00B06AD0" w:rsidP="00B06AD0">
      <w:pPr>
        <w:rPr>
          <w:rFonts w:cs="Arial"/>
          <w:lang w:val="es-ES" w:eastAsia="ja-JP"/>
        </w:rPr>
      </w:pPr>
      <w:r w:rsidRPr="00D974AF">
        <w:rPr>
          <w:rFonts w:cs="Arial"/>
          <w:lang w:val="es-ES" w:eastAsia="ja-JP"/>
        </w:rPr>
        <w:t>3.1</w:t>
      </w:r>
      <w:r w:rsidRPr="00D974AF">
        <w:rPr>
          <w:rFonts w:cs="Arial"/>
          <w:lang w:val="es-ES" w:eastAsia="ja-JP"/>
        </w:rPr>
        <w:tab/>
      </w:r>
      <w:r w:rsidRPr="005A5B5D">
        <w:rPr>
          <w:rFonts w:cs="Arial"/>
          <w:lang w:eastAsia="ja-JP"/>
        </w:rPr>
        <w:t>Sistema de presentación electrónica de solicitudes</w:t>
      </w:r>
      <w:r w:rsidRPr="00D974AF">
        <w:rPr>
          <w:rFonts w:cs="Arial"/>
          <w:lang w:val="es-ES" w:eastAsia="ja-JP"/>
        </w:rPr>
        <w:t xml:space="preserve"> </w:t>
      </w:r>
    </w:p>
    <w:p w:rsidR="00B06AD0" w:rsidRPr="00D974AF" w:rsidRDefault="00B06AD0" w:rsidP="00B06AD0">
      <w:pPr>
        <w:rPr>
          <w:rFonts w:cs="Arial"/>
          <w:lang w:val="es-ES" w:eastAsia="ja-JP"/>
        </w:rPr>
      </w:pPr>
    </w:p>
    <w:p w:rsidR="00B06AD0" w:rsidRPr="00D974AF" w:rsidRDefault="00B06AD0" w:rsidP="00B06AD0">
      <w:pPr>
        <w:rPr>
          <w:rFonts w:cs="Arial"/>
          <w:lang w:val="es-ES" w:eastAsia="ja-JP"/>
        </w:rPr>
      </w:pPr>
      <w:r w:rsidRPr="005A5B5D">
        <w:rPr>
          <w:rFonts w:cs="Arial"/>
          <w:lang w:eastAsia="ja-JP"/>
        </w:rPr>
        <w:t>El 26 de marzo de 2018, el MAFF puso en funcionamiento un sistema nacional de presentación electrónica de solicitudes de protección de las obtenciones vegetales para mayor comodidad de los solicitantes y los titulares de derechos de obtentor en el sistema japonés de protección de las obtenciones vegetales.</w:t>
      </w:r>
      <w:r w:rsidRPr="00D974AF">
        <w:rPr>
          <w:rFonts w:cs="Arial"/>
          <w:lang w:val="es-ES" w:eastAsia="ja-JP"/>
        </w:rPr>
        <w:t xml:space="preserve"> </w:t>
      </w:r>
      <w:r w:rsidRPr="005A5B5D">
        <w:rPr>
          <w:rFonts w:cs="Arial"/>
          <w:lang w:eastAsia="ja-JP"/>
        </w:rPr>
        <w:t>Mediante este sistema, los solicitantes pueden presentar el formulario de solicitud y efectuar el pago de las tasas de solicitud y registro por vía electrónica, en el sitio web.</w:t>
      </w:r>
      <w:r w:rsidRPr="00D974AF">
        <w:rPr>
          <w:rFonts w:cs="Arial"/>
          <w:lang w:val="es-ES" w:eastAsia="ja-JP"/>
        </w:rPr>
        <w:t xml:space="preserve"> </w:t>
      </w:r>
      <w:r w:rsidRPr="005A5B5D">
        <w:rPr>
          <w:rFonts w:cs="Arial"/>
          <w:lang w:eastAsia="ja-JP"/>
        </w:rPr>
        <w:t>En cuanto a las actividades relacionadas con UPOV PRISMA, el Japón ha contribuido a la puesta en funcionamiento del sistema de navegación en japonés.</w:t>
      </w:r>
      <w:r w:rsidRPr="00D974AF">
        <w:rPr>
          <w:rFonts w:cs="Arial"/>
          <w:lang w:val="es-ES" w:eastAsia="ja-JP"/>
        </w:rPr>
        <w:t xml:space="preserve"> </w:t>
      </w:r>
      <w:r w:rsidRPr="005A5B5D">
        <w:rPr>
          <w:rFonts w:cs="Arial"/>
          <w:lang w:eastAsia="ja-JP"/>
        </w:rPr>
        <w:t>El MAFF continúa intercambiando información técnica con la Oficina de la UPOV.</w:t>
      </w:r>
    </w:p>
    <w:p w:rsidR="00B06AD0" w:rsidRPr="00D974AF" w:rsidRDefault="00B06AD0" w:rsidP="00B06AD0">
      <w:pPr>
        <w:rPr>
          <w:rFonts w:cs="Arial"/>
          <w:lang w:val="es-ES" w:eastAsia="ja-JP"/>
        </w:rPr>
      </w:pPr>
    </w:p>
    <w:p w:rsidR="00B06AD0" w:rsidRPr="00D974AF" w:rsidRDefault="00B06AD0" w:rsidP="00B06AD0">
      <w:pPr>
        <w:rPr>
          <w:rFonts w:cs="Arial"/>
          <w:lang w:val="es-ES" w:eastAsia="ja-JP"/>
        </w:rPr>
      </w:pPr>
    </w:p>
    <w:p w:rsidR="00B06AD0" w:rsidRPr="00D974AF" w:rsidRDefault="00B06AD0" w:rsidP="00B06AD0">
      <w:pPr>
        <w:rPr>
          <w:rFonts w:cs="Arial"/>
          <w:u w:val="single"/>
          <w:lang w:val="es-ES" w:eastAsia="ja-JP"/>
        </w:rPr>
      </w:pPr>
      <w:r w:rsidRPr="00D974AF">
        <w:rPr>
          <w:rFonts w:cs="Arial"/>
          <w:lang w:val="es-ES" w:eastAsia="ja-JP"/>
        </w:rPr>
        <w:t>4.</w:t>
      </w:r>
      <w:r w:rsidRPr="00D974AF">
        <w:rPr>
          <w:rFonts w:cs="Arial"/>
          <w:lang w:val="es-ES" w:eastAsia="ja-JP"/>
        </w:rPr>
        <w:tab/>
      </w:r>
      <w:r w:rsidRPr="005A5B5D">
        <w:rPr>
          <w:rFonts w:cs="Arial"/>
          <w:u w:val="single"/>
          <w:lang w:eastAsia="ja-JP"/>
        </w:rPr>
        <w:t>Situación en el campo técnico</w:t>
      </w:r>
    </w:p>
    <w:p w:rsidR="00B06AD0" w:rsidRPr="00D974AF" w:rsidRDefault="00B06AD0" w:rsidP="00B06AD0">
      <w:pPr>
        <w:rPr>
          <w:rFonts w:cs="Arial"/>
          <w:lang w:val="es-ES" w:eastAsia="ja-JP"/>
        </w:rPr>
      </w:pPr>
    </w:p>
    <w:p w:rsidR="00B06AD0" w:rsidRPr="00D974AF" w:rsidRDefault="00B06AD0" w:rsidP="00B06AD0">
      <w:pPr>
        <w:rPr>
          <w:rFonts w:cs="Arial"/>
          <w:lang w:val="es-ES" w:eastAsia="ja-JP"/>
        </w:rPr>
      </w:pPr>
      <w:r w:rsidRPr="005A5B5D">
        <w:rPr>
          <w:rFonts w:cs="Arial"/>
          <w:lang w:eastAsia="ja-JP"/>
        </w:rPr>
        <w:t>En 2017, se elaboraron nuevas directrices nacionales de examen correspondientes a quince géneros y especies.</w:t>
      </w:r>
      <w:r w:rsidRPr="00D974AF">
        <w:rPr>
          <w:rFonts w:cs="Arial"/>
          <w:lang w:val="es-ES" w:eastAsia="ja-JP"/>
        </w:rPr>
        <w:t xml:space="preserve"> </w:t>
      </w:r>
      <w:r w:rsidRPr="005A5B5D">
        <w:rPr>
          <w:rFonts w:cs="Arial"/>
          <w:lang w:eastAsia="ja-JP"/>
        </w:rPr>
        <w:t>Asimismo, se revisaron las directrices nacionales de examen existentes para cuatro géneros y especies a efectos de su armonización con las directrices de examen de la UPOV.</w:t>
      </w:r>
    </w:p>
    <w:p w:rsidR="00B06AD0" w:rsidRPr="00D974AF" w:rsidRDefault="00B06AD0" w:rsidP="00B06AD0">
      <w:pPr>
        <w:rPr>
          <w:rFonts w:cs="Arial"/>
          <w:lang w:val="es-ES" w:eastAsia="ja-JP"/>
        </w:rPr>
      </w:pPr>
    </w:p>
    <w:p w:rsidR="00B06AD0" w:rsidRPr="00D974AF" w:rsidRDefault="00B06AD0" w:rsidP="00B06AD0">
      <w:pPr>
        <w:rPr>
          <w:rFonts w:cs="Arial"/>
          <w:lang w:val="es-ES" w:eastAsia="ja-JP"/>
        </w:rPr>
      </w:pPr>
      <w:r w:rsidRPr="005A5B5D">
        <w:rPr>
          <w:rFonts w:cs="Arial"/>
          <w:lang w:eastAsia="ja-JP"/>
        </w:rPr>
        <w:t>El Naktuinbouw y el Centro Nacional de Semillas y Plántulas (NCSS) han establecido manuales de calibración para el examen DHE.</w:t>
      </w:r>
      <w:r w:rsidRPr="00D974AF">
        <w:rPr>
          <w:rFonts w:cs="Arial"/>
          <w:lang w:val="es-ES" w:eastAsia="ja-JP"/>
        </w:rPr>
        <w:t xml:space="preserve"> </w:t>
      </w:r>
      <w:r w:rsidRPr="005A5B5D">
        <w:rPr>
          <w:rFonts w:cs="Arial"/>
          <w:lang w:eastAsia="ja-JP"/>
        </w:rPr>
        <w:t>Los manuales de calibración, que incluyen una gran cantidad de fotografías para explicar cómo se observan y se miden los caracteres de las variedades, están concebidos como un material de referencia de fácil comprensión para los usuarios.</w:t>
      </w:r>
      <w:r w:rsidRPr="00D974AF">
        <w:rPr>
          <w:rFonts w:cs="Arial"/>
          <w:lang w:val="es-ES" w:eastAsia="ja-JP"/>
        </w:rPr>
        <w:t xml:space="preserve"> </w:t>
      </w:r>
      <w:r w:rsidRPr="005A5B5D">
        <w:rPr>
          <w:rFonts w:cs="Arial"/>
          <w:lang w:eastAsia="ja-JP"/>
        </w:rPr>
        <w:t xml:space="preserve">El resultado de esta actividad conjunta serán once manuales de calibración, para los siguientes cultivos: </w:t>
      </w:r>
      <w:r w:rsidRPr="005A5B5D">
        <w:rPr>
          <w:rFonts w:cs="Arial"/>
          <w:i/>
          <w:lang w:eastAsia="ja-JP"/>
        </w:rPr>
        <w:t>Anthurium</w:t>
      </w:r>
      <w:r w:rsidRPr="005A5B5D">
        <w:rPr>
          <w:rFonts w:cs="Arial"/>
          <w:lang w:eastAsia="ja-JP"/>
        </w:rPr>
        <w:t>, berenjena, crisantemo, gerbera, tomate, tulipán, pimiento, rosal, lechuga, clavel y sandía.</w:t>
      </w:r>
    </w:p>
    <w:p w:rsidR="00B06AD0" w:rsidRPr="00D974AF" w:rsidRDefault="00B06AD0" w:rsidP="00B06AD0">
      <w:pPr>
        <w:rPr>
          <w:rFonts w:cs="Arial"/>
          <w:lang w:val="es-ES" w:eastAsia="ja-JP"/>
        </w:rPr>
      </w:pPr>
    </w:p>
    <w:p w:rsidR="00B06AD0" w:rsidRPr="00D974AF" w:rsidRDefault="00B06AD0" w:rsidP="00B06AD0">
      <w:pPr>
        <w:rPr>
          <w:rFonts w:cs="Arial"/>
          <w:lang w:val="es-ES" w:eastAsia="ja-JP"/>
        </w:rPr>
      </w:pPr>
      <w:r w:rsidRPr="009F3923">
        <w:rPr>
          <w:rFonts w:cs="Arial"/>
          <w:lang w:eastAsia="ja-JP"/>
        </w:rPr>
        <w:t>Ya se han elaborado cuatro manuales (para el rosal (flor cortada), el clavel, la lechuga y la sandía), que están disponibles en el sitio web del NCSS (y en el del Naktuinbouw):</w:t>
      </w:r>
      <w:r w:rsidRPr="00D974AF">
        <w:rPr>
          <w:rFonts w:cs="Arial"/>
          <w:lang w:val="es-ES" w:eastAsia="ja-JP"/>
        </w:rPr>
        <w:t xml:space="preserve"> </w:t>
      </w:r>
      <w:hyperlink r:id="rId15" w:history="1">
        <w:r w:rsidRPr="00B06AD0">
          <w:rPr>
            <w:rStyle w:val="Hyperlink"/>
            <w:rFonts w:cs="Arial"/>
            <w:sz w:val="18"/>
            <w:lang w:val="es-ES" w:eastAsia="ja-JP"/>
          </w:rPr>
          <w:t>http://www.naro.affrc.go.jp/english/ncss/index.html</w:t>
        </w:r>
      </w:hyperlink>
      <w:r w:rsidRPr="00D974AF">
        <w:rPr>
          <w:rFonts w:cs="Arial"/>
          <w:lang w:val="es-ES" w:eastAsia="ja-JP"/>
        </w:rPr>
        <w:t xml:space="preserve"> </w:t>
      </w:r>
    </w:p>
    <w:p w:rsidR="00B06AD0" w:rsidRPr="00D974AF" w:rsidRDefault="00B06AD0" w:rsidP="00B06AD0">
      <w:pPr>
        <w:rPr>
          <w:rFonts w:cs="Arial"/>
          <w:lang w:val="es-ES" w:eastAsia="ja-JP"/>
        </w:rPr>
      </w:pPr>
    </w:p>
    <w:p w:rsidR="00B06AD0" w:rsidRPr="00D974AF" w:rsidRDefault="00B06AD0" w:rsidP="00B06AD0">
      <w:pPr>
        <w:rPr>
          <w:rFonts w:cs="Arial"/>
          <w:lang w:val="es-ES" w:eastAsia="ja-JP"/>
        </w:rPr>
      </w:pPr>
    </w:p>
    <w:p w:rsidR="00B06AD0" w:rsidRPr="00D974AF" w:rsidRDefault="00B06AD0" w:rsidP="00B06AD0">
      <w:pPr>
        <w:keepNext/>
        <w:jc w:val="left"/>
        <w:rPr>
          <w:rFonts w:cs="Arial"/>
          <w:u w:val="single"/>
          <w:lang w:val="es-ES"/>
        </w:rPr>
      </w:pPr>
      <w:r w:rsidRPr="00D974AF">
        <w:rPr>
          <w:rFonts w:cs="Arial"/>
          <w:lang w:val="es-ES"/>
        </w:rPr>
        <w:t>5.</w:t>
      </w:r>
      <w:r w:rsidRPr="00D974AF">
        <w:rPr>
          <w:rFonts w:cs="Arial"/>
          <w:lang w:val="es-ES"/>
        </w:rPr>
        <w:tab/>
      </w:r>
      <w:r w:rsidRPr="009F3923">
        <w:rPr>
          <w:rFonts w:cs="Arial"/>
          <w:u w:val="single"/>
        </w:rPr>
        <w:t>Actividades para la promoción de la protección de las obtenciones vegetales</w:t>
      </w:r>
    </w:p>
    <w:p w:rsidR="00B06AD0" w:rsidRPr="00D974AF" w:rsidRDefault="00B06AD0" w:rsidP="00B06AD0">
      <w:pPr>
        <w:keepNext/>
        <w:rPr>
          <w:rFonts w:cs="Arial"/>
          <w:lang w:val="es-ES" w:eastAsia="ja-JP"/>
        </w:rPr>
      </w:pPr>
    </w:p>
    <w:p w:rsidR="00B06AD0" w:rsidRPr="00D974AF" w:rsidRDefault="00B06AD0" w:rsidP="00B06AD0">
      <w:pPr>
        <w:keepNext/>
        <w:rPr>
          <w:rFonts w:cs="Arial"/>
          <w:lang w:val="es-ES" w:eastAsia="ja-JP"/>
        </w:rPr>
      </w:pPr>
      <w:r w:rsidRPr="00D974AF">
        <w:rPr>
          <w:rFonts w:cs="Arial"/>
          <w:lang w:val="es-ES" w:eastAsia="ja-JP"/>
        </w:rPr>
        <w:t>5.1</w:t>
      </w:r>
      <w:r w:rsidRPr="00D974AF">
        <w:rPr>
          <w:rFonts w:cs="Arial"/>
          <w:lang w:val="es-ES" w:eastAsia="ja-JP"/>
        </w:rPr>
        <w:tab/>
      </w:r>
      <w:r w:rsidRPr="009F3923">
        <w:rPr>
          <w:rFonts w:cs="Arial"/>
          <w:lang w:eastAsia="ja-JP"/>
        </w:rPr>
        <w:t>Foro de Asia Oriental para la Protección de las Obtenciones Vegetales (Foro EAPVP)</w:t>
      </w:r>
    </w:p>
    <w:p w:rsidR="00B06AD0" w:rsidRPr="00D974AF" w:rsidRDefault="00B06AD0" w:rsidP="00B06AD0">
      <w:pPr>
        <w:keepNext/>
        <w:rPr>
          <w:rFonts w:cs="Arial"/>
          <w:lang w:val="es-ES" w:eastAsia="ja-JP"/>
        </w:rPr>
      </w:pPr>
    </w:p>
    <w:p w:rsidR="00B06AD0" w:rsidRPr="00D974AF" w:rsidRDefault="00B06AD0" w:rsidP="00B06AD0">
      <w:pPr>
        <w:keepNext/>
        <w:rPr>
          <w:rFonts w:cs="Arial"/>
          <w:lang w:val="es-ES" w:eastAsia="ja-JP"/>
        </w:rPr>
      </w:pPr>
      <w:r w:rsidRPr="00D974AF">
        <w:rPr>
          <w:rFonts w:cs="Arial"/>
          <w:lang w:val="es-ES" w:eastAsia="ja-JP"/>
        </w:rPr>
        <w:t>5.1.1</w:t>
      </w:r>
      <w:r w:rsidRPr="00D974AF">
        <w:rPr>
          <w:rFonts w:cs="Arial"/>
          <w:lang w:val="es-ES" w:eastAsia="ja-JP"/>
        </w:rPr>
        <w:tab/>
      </w:r>
      <w:r w:rsidRPr="009F3923">
        <w:rPr>
          <w:rFonts w:cs="Arial"/>
          <w:lang w:eastAsia="ja-JP"/>
        </w:rPr>
        <w:t>Aprobación del plan estratégico para los diez próximos años y del reglamento interno del Foro EAPVP</w:t>
      </w:r>
    </w:p>
    <w:p w:rsidR="00B06AD0" w:rsidRPr="00D974AF" w:rsidRDefault="00B06AD0" w:rsidP="00B06AD0">
      <w:pPr>
        <w:keepNext/>
        <w:rPr>
          <w:rFonts w:cs="Arial"/>
          <w:lang w:val="es-ES" w:eastAsia="ja-JP"/>
        </w:rPr>
      </w:pPr>
    </w:p>
    <w:p w:rsidR="00B06AD0" w:rsidRPr="00D974AF" w:rsidRDefault="00B06AD0" w:rsidP="00B06AD0">
      <w:pPr>
        <w:rPr>
          <w:rFonts w:cs="Arial"/>
          <w:lang w:val="es-ES" w:eastAsia="ja-JP"/>
        </w:rPr>
      </w:pPr>
      <w:r w:rsidRPr="00457CFD">
        <w:rPr>
          <w:rFonts w:cs="Arial"/>
          <w:lang w:eastAsia="ja-JP"/>
        </w:rPr>
        <w:t>La décima reunión del Foro EAPVP se celebró en Nay Pyi Taw el 11 de septiembre de 2017 para debatir y elaborar el plan estratégico del Foro para los diez próximos años.</w:t>
      </w:r>
      <w:r w:rsidRPr="00D974AF">
        <w:rPr>
          <w:rFonts w:cs="Arial"/>
          <w:lang w:val="es-ES" w:eastAsia="ja-JP"/>
        </w:rPr>
        <w:t xml:space="preserve"> </w:t>
      </w:r>
      <w:r w:rsidRPr="00457CFD">
        <w:rPr>
          <w:rFonts w:cs="Arial"/>
          <w:lang w:eastAsia="ja-JP"/>
        </w:rPr>
        <w:t xml:space="preserve">Posteriormente, el Foro creó un sitio web de debate y se examinaron el proyecto de plan estratégico para los diez próximos años y el proyecto de </w:t>
      </w:r>
      <w:r w:rsidRPr="00457CFD">
        <w:rPr>
          <w:rFonts w:cs="Arial"/>
          <w:lang w:eastAsia="ja-JP"/>
        </w:rPr>
        <w:lastRenderedPageBreak/>
        <w:t>reglamento interno.</w:t>
      </w:r>
      <w:r w:rsidRPr="00D974AF">
        <w:rPr>
          <w:rFonts w:cs="Arial"/>
          <w:lang w:val="es-ES" w:eastAsia="ja-JP"/>
        </w:rPr>
        <w:t xml:space="preserve"> </w:t>
      </w:r>
      <w:r w:rsidRPr="00457CFD">
        <w:rPr>
          <w:rFonts w:cs="Arial"/>
          <w:lang w:eastAsia="ja-JP"/>
        </w:rPr>
        <w:t>El Foro aprobó la orientación común del “Plan estratégico del Foro EAPVP para los diez próximos años (2018-2027)” y el “Reglamento interno del Foro EAPVP” en su undécima reunión anual, celebrada en Muntinlupa (Filipinas) el 1 de agosto de 2018.</w:t>
      </w:r>
      <w:r w:rsidRPr="00746819">
        <w:rPr>
          <w:rStyle w:val="FootnoteReference"/>
          <w:rFonts w:cs="Arial"/>
          <w:lang w:eastAsia="ja-JP"/>
        </w:rPr>
        <w:footnoteReference w:id="2"/>
      </w:r>
      <w:r w:rsidRPr="00D974AF">
        <w:rPr>
          <w:rFonts w:cs="Arial"/>
          <w:lang w:val="es-ES" w:eastAsia="ja-JP"/>
        </w:rPr>
        <w:t xml:space="preserve"> </w:t>
      </w:r>
      <w:r w:rsidRPr="00457CFD">
        <w:rPr>
          <w:rFonts w:cs="Arial"/>
          <w:lang w:eastAsia="ja-JP"/>
        </w:rPr>
        <w:t>Los documentos aprobados en la reunión, entre ellos el informe de la reunión, pueden consultarse en la siguiente dirección del sitio web oficial del Foro EAPVP:</w:t>
      </w:r>
      <w:r w:rsidRPr="00D974AF">
        <w:rPr>
          <w:rFonts w:cs="Arial"/>
          <w:lang w:val="es-ES" w:eastAsia="ja-JP"/>
        </w:rPr>
        <w:t xml:space="preserve"> </w:t>
      </w:r>
      <w:hyperlink r:id="rId16" w:history="1">
        <w:r w:rsidRPr="00D974AF">
          <w:rPr>
            <w:rStyle w:val="Hyperlink"/>
            <w:rFonts w:cs="Arial"/>
            <w:lang w:val="es-ES" w:eastAsia="ja-JP"/>
          </w:rPr>
          <w:t>https://plant-online.org/11th-eapvp-forum-meeting/</w:t>
        </w:r>
      </w:hyperlink>
      <w:r w:rsidRPr="00D974AF">
        <w:rPr>
          <w:rFonts w:cs="Arial"/>
          <w:lang w:val="es-ES" w:eastAsia="ja-JP"/>
        </w:rPr>
        <w:t xml:space="preserve">. </w:t>
      </w:r>
      <w:r w:rsidRPr="00457CFD">
        <w:rPr>
          <w:rFonts w:cs="Arial"/>
          <w:lang w:eastAsia="ja-JP"/>
        </w:rPr>
        <w:t>Las actividades de cooperación que se lleven a cabo en el marco del Foro han de estar en consonancia con la orientación común del plan estratégico para los diez próximos años, de modo que resulten más eficaces.</w:t>
      </w:r>
      <w:r w:rsidRPr="00D974AF">
        <w:rPr>
          <w:rFonts w:cs="Arial"/>
          <w:lang w:val="es-ES" w:eastAsia="ja-JP"/>
        </w:rPr>
        <w:t xml:space="preserve"> </w:t>
      </w:r>
    </w:p>
    <w:p w:rsidR="00B06AD0" w:rsidRPr="00D974AF" w:rsidRDefault="00B06AD0" w:rsidP="00B06AD0">
      <w:pPr>
        <w:rPr>
          <w:rFonts w:cs="Arial"/>
          <w:lang w:val="es-ES" w:eastAsia="ja-JP"/>
        </w:rPr>
      </w:pPr>
    </w:p>
    <w:p w:rsidR="00B06AD0" w:rsidRPr="00D974AF" w:rsidRDefault="00B06AD0" w:rsidP="00B06AD0">
      <w:pPr>
        <w:rPr>
          <w:rFonts w:cs="Arial"/>
          <w:lang w:val="es-ES" w:eastAsia="ja-JP"/>
        </w:rPr>
      </w:pPr>
      <w:r w:rsidRPr="00457CFD">
        <w:rPr>
          <w:rFonts w:cs="Arial"/>
          <w:lang w:eastAsia="ja-JP"/>
        </w:rPr>
        <w:t>El plan estratégico para los diez próximos años consta de una “orientación común” y de una “estrategia individual de ejecución”.</w:t>
      </w:r>
    </w:p>
    <w:p w:rsidR="00B06AD0" w:rsidRPr="00D974AF" w:rsidRDefault="00B06AD0" w:rsidP="00B06AD0">
      <w:pPr>
        <w:rPr>
          <w:rFonts w:cs="Arial"/>
          <w:lang w:val="es-ES" w:eastAsia="ja-JP"/>
        </w:rPr>
      </w:pPr>
    </w:p>
    <w:p w:rsidR="00B06AD0" w:rsidRPr="00D974AF" w:rsidRDefault="00B06AD0" w:rsidP="00B06AD0">
      <w:pPr>
        <w:rPr>
          <w:rFonts w:cs="Arial"/>
          <w:lang w:val="es-ES" w:eastAsia="ja-JP"/>
        </w:rPr>
      </w:pPr>
      <w:r w:rsidRPr="00457CFD">
        <w:rPr>
          <w:rFonts w:cs="Arial"/>
          <w:lang w:eastAsia="ja-JP"/>
        </w:rPr>
        <w:t>a)</w:t>
      </w:r>
      <w:r w:rsidRPr="00D974AF">
        <w:rPr>
          <w:rFonts w:cs="Arial"/>
          <w:lang w:val="es-ES" w:eastAsia="ja-JP"/>
        </w:rPr>
        <w:tab/>
      </w:r>
      <w:r w:rsidRPr="00457CFD">
        <w:rPr>
          <w:rFonts w:cs="Arial"/>
          <w:lang w:eastAsia="ja-JP"/>
        </w:rPr>
        <w:t>Orientación común</w:t>
      </w:r>
    </w:p>
    <w:p w:rsidR="00B06AD0" w:rsidRPr="00D974AF" w:rsidRDefault="00B06AD0" w:rsidP="00B06AD0">
      <w:pPr>
        <w:rPr>
          <w:rFonts w:cs="Arial"/>
          <w:lang w:val="es-ES" w:eastAsia="ja-JP"/>
        </w:rPr>
      </w:pPr>
      <w:r w:rsidRPr="00D974AF">
        <w:rPr>
          <w:rFonts w:cs="Arial"/>
          <w:lang w:val="es-ES" w:eastAsia="ja-JP"/>
        </w:rPr>
        <w:tab/>
      </w:r>
      <w:r w:rsidRPr="00457CFD">
        <w:rPr>
          <w:rFonts w:cs="Arial"/>
          <w:lang w:eastAsia="ja-JP"/>
        </w:rPr>
        <w:t>Se trata de una “orientación a largo plazo” definida en los siguientes términos:</w:t>
      </w:r>
    </w:p>
    <w:p w:rsidR="00B06AD0" w:rsidRPr="00D974AF" w:rsidRDefault="00B06AD0" w:rsidP="00B06AD0">
      <w:pPr>
        <w:ind w:left="567"/>
        <w:rPr>
          <w:rFonts w:cs="Arial"/>
          <w:i/>
          <w:lang w:val="es-ES" w:eastAsia="ja-JP"/>
        </w:rPr>
      </w:pPr>
      <w:r w:rsidRPr="00457CFD">
        <w:rPr>
          <w:rFonts w:cs="Arial"/>
          <w:i/>
          <w:lang w:eastAsia="ja-JP"/>
        </w:rPr>
        <w:t>Establecer sistemas eficaces de protección de las obtenciones vegetales en consonancia con el Acta de 1991 del Convenio de la UPOV entre los miembros del Foro, a fin de lograr que todos ellos ingresen en la UPOV como base para la creación de un mecanismo regional de protección de las obtenciones vegetales, eficiente y cooperativo, que impulse la producción de nuevas variedades vegetales en la región de Asia Oriental como contribución al desarrollo de la agricultura sostenible y la consecución de la seguridad alimentaria.</w:t>
      </w:r>
    </w:p>
    <w:p w:rsidR="00B06AD0" w:rsidRPr="00D974AF" w:rsidRDefault="00B06AD0" w:rsidP="00B06AD0">
      <w:pPr>
        <w:rPr>
          <w:rFonts w:cs="Arial"/>
          <w:lang w:val="es-ES" w:eastAsia="ja-JP"/>
        </w:rPr>
      </w:pPr>
    </w:p>
    <w:p w:rsidR="00B06AD0" w:rsidRPr="00D974AF" w:rsidRDefault="00B06AD0" w:rsidP="00B06AD0">
      <w:pPr>
        <w:rPr>
          <w:rFonts w:cs="Arial"/>
          <w:lang w:val="es-ES" w:eastAsia="ja-JP"/>
        </w:rPr>
      </w:pPr>
      <w:r w:rsidRPr="00457CFD">
        <w:rPr>
          <w:rFonts w:cs="Arial"/>
          <w:lang w:eastAsia="ja-JP"/>
        </w:rPr>
        <w:t>b)</w:t>
      </w:r>
      <w:r w:rsidRPr="00D974AF">
        <w:rPr>
          <w:rFonts w:cs="Arial"/>
          <w:lang w:val="es-ES" w:eastAsia="ja-JP"/>
        </w:rPr>
        <w:tab/>
      </w:r>
      <w:r w:rsidRPr="00457CFD">
        <w:rPr>
          <w:rFonts w:cs="Arial"/>
          <w:lang w:eastAsia="ja-JP"/>
        </w:rPr>
        <w:t>Estrategia individual de ejecución</w:t>
      </w:r>
    </w:p>
    <w:p w:rsidR="00B06AD0" w:rsidRPr="00D974AF" w:rsidRDefault="00B06AD0" w:rsidP="00B06AD0">
      <w:pPr>
        <w:ind w:left="567"/>
        <w:rPr>
          <w:rFonts w:cs="Arial"/>
          <w:i/>
          <w:lang w:val="es-ES" w:eastAsia="ja-JP"/>
        </w:rPr>
      </w:pPr>
      <w:r w:rsidRPr="00457CFD">
        <w:rPr>
          <w:rFonts w:cs="Arial"/>
          <w:i/>
          <w:lang w:eastAsia="ja-JP"/>
        </w:rPr>
        <w:t>El plan estratégico individual de ejecución es una estrategia a nivel nacional, elaborada por cada miembro del Foro con arreglo a la orientación común y a los objetivos.</w:t>
      </w:r>
      <w:r w:rsidRPr="00D974AF">
        <w:rPr>
          <w:rFonts w:cs="Arial"/>
          <w:i/>
          <w:lang w:val="es-ES" w:eastAsia="ja-JP"/>
        </w:rPr>
        <w:t xml:space="preserve"> </w:t>
      </w:r>
      <w:r w:rsidRPr="00457CFD">
        <w:rPr>
          <w:rFonts w:cs="Arial"/>
          <w:i/>
          <w:lang w:eastAsia="ja-JP"/>
        </w:rPr>
        <w:t>Los miembros del Foro podrán actualizar periódicamente su estrategia individual de ejecución por acuerdo y deberán comunicar oportunamente al Foro cada actualización.</w:t>
      </w:r>
    </w:p>
    <w:p w:rsidR="00B06AD0" w:rsidRPr="00D974AF" w:rsidRDefault="00B06AD0" w:rsidP="00B06AD0">
      <w:pPr>
        <w:rPr>
          <w:rFonts w:cs="Arial"/>
          <w:lang w:val="es-ES" w:eastAsia="ja-JP"/>
        </w:rPr>
      </w:pPr>
    </w:p>
    <w:p w:rsidR="00B06AD0" w:rsidRPr="00D974AF" w:rsidRDefault="00B06AD0" w:rsidP="00B06AD0">
      <w:pPr>
        <w:rPr>
          <w:rFonts w:cs="Arial"/>
          <w:lang w:val="es-ES" w:eastAsia="ja-JP"/>
        </w:rPr>
      </w:pPr>
      <w:r w:rsidRPr="00457CFD">
        <w:rPr>
          <w:rFonts w:cs="Arial"/>
          <w:lang w:eastAsia="ja-JP"/>
        </w:rPr>
        <w:t>En la undécima reunión anual del Foro se aprobó asimismo el reglamento interno del Foro EAPVP, en el que se establecen los procedimientos administrativos para el funcionamiento del Foro.</w:t>
      </w:r>
      <w:r w:rsidRPr="00D974AF">
        <w:rPr>
          <w:rFonts w:cs="Arial"/>
          <w:lang w:val="es-ES" w:eastAsia="ja-JP"/>
        </w:rPr>
        <w:t xml:space="preserve"> </w:t>
      </w:r>
      <w:r w:rsidRPr="00457CFD">
        <w:rPr>
          <w:rFonts w:cs="Arial"/>
          <w:lang w:eastAsia="ja-JP"/>
        </w:rPr>
        <w:t>Conforme al reglamento interno aprobado, los países miembros del Foro han de planificar y llevar a cabo actividades de cooperación sobre la base de su estrategia individual de ejecución, dando prioridad a aquellas actividades que estén en consonancia con la orientación común del plan estratégico para los diez próximos años.</w:t>
      </w:r>
      <w:r w:rsidRPr="00D974AF">
        <w:rPr>
          <w:rFonts w:cs="Arial"/>
          <w:lang w:val="es-ES" w:eastAsia="ja-JP"/>
        </w:rPr>
        <w:t xml:space="preserve"> </w:t>
      </w:r>
    </w:p>
    <w:p w:rsidR="00B06AD0" w:rsidRPr="00D974AF" w:rsidRDefault="00B06AD0" w:rsidP="00B06AD0">
      <w:pPr>
        <w:rPr>
          <w:rFonts w:cs="Arial"/>
          <w:lang w:val="es-ES" w:eastAsia="ja-JP"/>
        </w:rPr>
      </w:pPr>
    </w:p>
    <w:p w:rsidR="00B06AD0" w:rsidRPr="00D974AF" w:rsidRDefault="00B06AD0" w:rsidP="00B06AD0">
      <w:pPr>
        <w:rPr>
          <w:rFonts w:cs="Arial"/>
          <w:lang w:val="es-ES" w:eastAsia="ja-JP"/>
        </w:rPr>
      </w:pPr>
      <w:r w:rsidRPr="00D974AF">
        <w:rPr>
          <w:rFonts w:cs="Arial"/>
          <w:lang w:val="es-ES" w:eastAsia="ja-JP"/>
        </w:rPr>
        <w:t>5.1.2</w:t>
      </w:r>
      <w:r w:rsidRPr="00D974AF">
        <w:rPr>
          <w:rFonts w:cs="Arial"/>
          <w:lang w:val="es-ES" w:eastAsia="ja-JP"/>
        </w:rPr>
        <w:tab/>
      </w:r>
      <w:r w:rsidRPr="00457CFD">
        <w:rPr>
          <w:rFonts w:cs="Arial"/>
          <w:lang w:eastAsia="ja-JP"/>
        </w:rPr>
        <w:t>Aprobación de la lista de actividades de cooperación</w:t>
      </w:r>
    </w:p>
    <w:p w:rsidR="00B06AD0" w:rsidRPr="00D974AF" w:rsidRDefault="00B06AD0" w:rsidP="00B06AD0">
      <w:pPr>
        <w:rPr>
          <w:rFonts w:cs="Arial"/>
          <w:lang w:val="es-ES" w:eastAsia="ja-JP"/>
        </w:rPr>
      </w:pPr>
    </w:p>
    <w:p w:rsidR="00B06AD0" w:rsidRPr="00D974AF" w:rsidRDefault="00B06AD0" w:rsidP="00B06AD0">
      <w:pPr>
        <w:rPr>
          <w:rFonts w:cs="Arial"/>
          <w:lang w:val="es-ES" w:eastAsia="ja-JP"/>
        </w:rPr>
      </w:pPr>
      <w:r w:rsidRPr="00457CFD">
        <w:rPr>
          <w:rFonts w:cs="Arial"/>
          <w:lang w:eastAsia="ja-JP"/>
        </w:rPr>
        <w:t>En la undécima reunión anual del Foro EAPVP, de conformidad con su reglamento interno, se examinaron las actividades de cooperación teniendo en cuenta su consonancia con la orientación común del plan estratégico para los diez próximos años, y se aprobó la siguiente lista de actividades de cooperación para 2018:</w:t>
      </w:r>
    </w:p>
    <w:p w:rsidR="00B06AD0" w:rsidRPr="00D974AF" w:rsidRDefault="00B06AD0" w:rsidP="00B06AD0">
      <w:pPr>
        <w:rPr>
          <w:rFonts w:cs="Arial"/>
          <w:lang w:val="es-ES" w:eastAsia="ja-JP"/>
        </w:rPr>
      </w:pPr>
    </w:p>
    <w:p w:rsidR="00B06AD0" w:rsidRPr="00D974AF" w:rsidRDefault="00B06AD0" w:rsidP="00B06AD0">
      <w:pPr>
        <w:rPr>
          <w:rFonts w:cs="Arial"/>
          <w:lang w:val="es-ES" w:eastAsia="ja-JP"/>
        </w:rPr>
      </w:pPr>
      <w:r w:rsidRPr="00457CFD">
        <w:rPr>
          <w:rFonts w:cs="Arial"/>
          <w:lang w:eastAsia="ja-JP"/>
        </w:rPr>
        <w:t>a)</w:t>
      </w:r>
      <w:r w:rsidRPr="00D974AF">
        <w:rPr>
          <w:rFonts w:cs="Arial"/>
          <w:lang w:val="es-ES" w:eastAsia="ja-JP"/>
        </w:rPr>
        <w:tab/>
      </w:r>
      <w:r w:rsidRPr="00457CFD">
        <w:rPr>
          <w:rFonts w:cs="Arial"/>
          <w:lang w:eastAsia="ja-JP"/>
        </w:rPr>
        <w:t>Actividades específicas para cada país a fin de lograr el primer objetivo</w:t>
      </w:r>
    </w:p>
    <w:p w:rsidR="00B06AD0" w:rsidRPr="00D974AF" w:rsidRDefault="00B06AD0" w:rsidP="00B06AD0">
      <w:pPr>
        <w:rPr>
          <w:rFonts w:cs="Arial"/>
          <w:lang w:val="es-ES" w:eastAsia="ja-JP"/>
        </w:rPr>
      </w:pPr>
    </w:p>
    <w:p w:rsidR="00B06AD0" w:rsidRPr="00D974AF" w:rsidRDefault="00B06AD0" w:rsidP="00B06AD0">
      <w:pPr>
        <w:ind w:left="567" w:hanging="283"/>
        <w:rPr>
          <w:rFonts w:cs="Arial"/>
          <w:lang w:val="es-ES" w:eastAsia="ja-JP"/>
        </w:rPr>
      </w:pPr>
      <w:r w:rsidRPr="00457CFD">
        <w:rPr>
          <w:rFonts w:cs="Arial"/>
          <w:lang w:eastAsia="ja-JP"/>
        </w:rPr>
        <w:t>i.</w:t>
      </w:r>
      <w:r w:rsidRPr="00D974AF">
        <w:rPr>
          <w:rFonts w:cs="Arial"/>
          <w:lang w:val="es-ES" w:eastAsia="ja-JP"/>
        </w:rPr>
        <w:tab/>
      </w:r>
      <w:r w:rsidRPr="00457CFD">
        <w:rPr>
          <w:rFonts w:cs="Arial"/>
          <w:lang w:eastAsia="ja-JP"/>
        </w:rPr>
        <w:t>Elaborar, con la asistencia de la Oficina de la UPOV, leyes y reglamentos nacionales de protección de las obtenciones vegetales:</w:t>
      </w:r>
    </w:p>
    <w:p w:rsidR="00B06AD0" w:rsidRPr="00D974AF" w:rsidRDefault="00B06AD0" w:rsidP="00B06AD0">
      <w:pPr>
        <w:ind w:left="567"/>
        <w:rPr>
          <w:rFonts w:cs="Arial"/>
          <w:i/>
          <w:lang w:val="es-ES" w:eastAsia="ja-JP"/>
        </w:rPr>
      </w:pPr>
      <w:r w:rsidRPr="00457CFD">
        <w:rPr>
          <w:rFonts w:cs="Arial"/>
          <w:i/>
          <w:lang w:eastAsia="ja-JP"/>
        </w:rPr>
        <w:t>Consulta jurídica sobre la armonización de la protección de las obtenciones vegetales con arreglo al Acta de 1991 del Convenio de la UPOV (Malasia)</w:t>
      </w:r>
    </w:p>
    <w:p w:rsidR="00B06AD0" w:rsidRPr="00D974AF" w:rsidRDefault="00B06AD0" w:rsidP="00B06AD0">
      <w:pPr>
        <w:ind w:left="567" w:hanging="283"/>
        <w:rPr>
          <w:rFonts w:cs="Arial"/>
          <w:lang w:val="es-ES" w:eastAsia="ja-JP"/>
        </w:rPr>
      </w:pPr>
      <w:r w:rsidRPr="00457CFD">
        <w:rPr>
          <w:rFonts w:cs="Arial"/>
          <w:lang w:eastAsia="ja-JP"/>
        </w:rPr>
        <w:t>ii.</w:t>
      </w:r>
      <w:r w:rsidRPr="00D974AF">
        <w:rPr>
          <w:rFonts w:cs="Arial"/>
          <w:lang w:val="es-ES" w:eastAsia="ja-JP"/>
        </w:rPr>
        <w:tab/>
      </w:r>
      <w:r w:rsidRPr="00457CFD">
        <w:rPr>
          <w:rFonts w:cs="Arial"/>
          <w:lang w:eastAsia="ja-JP"/>
        </w:rPr>
        <w:t>Establecer o reforzar los procedimientos administrativos nacionales necesarios para la aplicación del sistema de protección de las obtenciones vegetales, desde la presentación de la solicitud hasta la concesión del derecho:</w:t>
      </w:r>
    </w:p>
    <w:p w:rsidR="00B06AD0" w:rsidRPr="00D974AF" w:rsidRDefault="00B06AD0" w:rsidP="00B06AD0">
      <w:pPr>
        <w:ind w:left="567"/>
        <w:rPr>
          <w:rFonts w:cs="Arial"/>
          <w:i/>
          <w:lang w:val="es-ES" w:eastAsia="ja-JP"/>
        </w:rPr>
      </w:pPr>
      <w:r w:rsidRPr="00457CFD">
        <w:rPr>
          <w:rFonts w:cs="Arial"/>
          <w:i/>
          <w:lang w:eastAsia="ja-JP"/>
        </w:rPr>
        <w:t>Taller para la elaboración de la base de datos de variedades de referencia de los principales cultivos (arroz, maíz y frijol negro) y la evaluación DHE (Myanmar)</w:t>
      </w:r>
    </w:p>
    <w:p w:rsidR="00B06AD0" w:rsidRPr="00D974AF" w:rsidRDefault="00B06AD0" w:rsidP="00B06AD0">
      <w:pPr>
        <w:ind w:left="567" w:hanging="283"/>
        <w:rPr>
          <w:rFonts w:cs="Arial"/>
          <w:lang w:val="es-ES" w:eastAsia="ja-JP"/>
        </w:rPr>
      </w:pPr>
      <w:r w:rsidRPr="00457CFD">
        <w:rPr>
          <w:rFonts w:cs="Arial"/>
          <w:lang w:eastAsia="ja-JP"/>
        </w:rPr>
        <w:t>iii.</w:t>
      </w:r>
      <w:r w:rsidRPr="00D974AF">
        <w:rPr>
          <w:rFonts w:cs="Arial"/>
          <w:lang w:val="es-ES" w:eastAsia="ja-JP"/>
        </w:rPr>
        <w:tab/>
      </w:r>
      <w:r w:rsidRPr="00457CFD">
        <w:rPr>
          <w:rFonts w:cs="Arial"/>
          <w:lang w:eastAsia="ja-JP"/>
        </w:rPr>
        <w:t>Reforzar la capacidad de examen de las solicitudes:</w:t>
      </w:r>
    </w:p>
    <w:p w:rsidR="00B06AD0" w:rsidRPr="00D974AF" w:rsidRDefault="00B06AD0" w:rsidP="00B06AD0">
      <w:pPr>
        <w:ind w:left="567"/>
        <w:rPr>
          <w:rFonts w:cs="Arial"/>
          <w:i/>
          <w:lang w:val="es-ES" w:eastAsia="ja-JP"/>
        </w:rPr>
      </w:pPr>
      <w:r w:rsidRPr="00457CFD">
        <w:rPr>
          <w:rFonts w:cs="Arial"/>
          <w:i/>
          <w:lang w:eastAsia="ja-JP"/>
        </w:rPr>
        <w:t>Continuación del seminario internacional sobre las ventajas de la protección de las obtenciones vegetales en virtud del sistema de la UPOV y formación técnica acerca de la evaluación DHE y la documentación fotográfica (Filipinas)</w:t>
      </w:r>
      <w:r w:rsidRPr="00D974AF">
        <w:rPr>
          <w:rFonts w:cs="Arial"/>
          <w:i/>
          <w:lang w:val="es-ES" w:eastAsia="ja-JP"/>
        </w:rPr>
        <w:t xml:space="preserve"> </w:t>
      </w:r>
    </w:p>
    <w:p w:rsidR="00B06AD0" w:rsidRPr="00D974AF" w:rsidRDefault="00B06AD0" w:rsidP="00B06AD0">
      <w:pPr>
        <w:ind w:left="567" w:hanging="283"/>
        <w:rPr>
          <w:rFonts w:cs="Arial"/>
          <w:lang w:val="es-ES" w:eastAsia="ja-JP"/>
        </w:rPr>
      </w:pPr>
      <w:r w:rsidRPr="00457CFD">
        <w:rPr>
          <w:rFonts w:cs="Arial"/>
          <w:lang w:eastAsia="ja-JP"/>
        </w:rPr>
        <w:t>iv.</w:t>
      </w:r>
      <w:r w:rsidRPr="00D974AF">
        <w:rPr>
          <w:rFonts w:cs="Arial"/>
          <w:lang w:val="es-ES" w:eastAsia="ja-JP"/>
        </w:rPr>
        <w:tab/>
      </w:r>
      <w:r w:rsidRPr="00457CFD">
        <w:rPr>
          <w:rFonts w:cs="Arial"/>
          <w:lang w:eastAsia="ja-JP"/>
        </w:rPr>
        <w:t>Aumentar la concienciación respecto del sistema de la UPOV entre los funcionarios competentes, los responsables de la elaboración de políticas y las partes interesadas (mejor comprensión del sistema de la UPOV y de sus ventajas, etcétera):</w:t>
      </w:r>
    </w:p>
    <w:p w:rsidR="00B06AD0" w:rsidRPr="00D974AF" w:rsidRDefault="00B06AD0" w:rsidP="00B06AD0">
      <w:pPr>
        <w:ind w:left="567"/>
        <w:rPr>
          <w:rFonts w:cs="Arial"/>
          <w:i/>
          <w:lang w:val="es-ES" w:eastAsia="ja-JP"/>
        </w:rPr>
      </w:pPr>
      <w:r w:rsidRPr="00457CFD">
        <w:rPr>
          <w:rFonts w:cs="Arial"/>
          <w:i/>
          <w:lang w:eastAsia="ja-JP"/>
        </w:rPr>
        <w:t>Taller de sensibilización sobre la protección de las obtenciones vegetales con arreglo al Convenio de la UPOV (República Democrática Popular Lao)</w:t>
      </w:r>
    </w:p>
    <w:p w:rsidR="00B06AD0" w:rsidRPr="00D974AF" w:rsidRDefault="00B06AD0" w:rsidP="00B06AD0">
      <w:pPr>
        <w:rPr>
          <w:rFonts w:cs="Arial"/>
          <w:lang w:val="es-ES" w:eastAsia="ja-JP"/>
        </w:rPr>
      </w:pPr>
    </w:p>
    <w:p w:rsidR="00B06AD0" w:rsidRPr="00D974AF" w:rsidRDefault="00B06AD0" w:rsidP="00B06AD0">
      <w:pPr>
        <w:rPr>
          <w:rFonts w:cs="Arial"/>
          <w:lang w:val="es-ES" w:eastAsia="ja-JP"/>
        </w:rPr>
      </w:pPr>
      <w:r w:rsidRPr="00457CFD">
        <w:rPr>
          <w:rFonts w:cs="Arial"/>
          <w:lang w:eastAsia="ja-JP"/>
        </w:rPr>
        <w:lastRenderedPageBreak/>
        <w:t>b)</w:t>
      </w:r>
      <w:r w:rsidRPr="00D974AF">
        <w:rPr>
          <w:rFonts w:cs="Arial"/>
          <w:lang w:val="es-ES" w:eastAsia="ja-JP"/>
        </w:rPr>
        <w:tab/>
      </w:r>
      <w:r w:rsidRPr="00457CFD">
        <w:rPr>
          <w:rFonts w:cs="Arial"/>
          <w:lang w:eastAsia="ja-JP"/>
        </w:rPr>
        <w:t>Actividades de cooperación regional a fin de lograr el segundo objetivo</w:t>
      </w:r>
    </w:p>
    <w:p w:rsidR="00B06AD0" w:rsidRPr="00D974AF" w:rsidRDefault="00B06AD0" w:rsidP="00B06AD0">
      <w:pPr>
        <w:rPr>
          <w:rFonts w:cs="Arial"/>
          <w:lang w:val="es-ES" w:eastAsia="ja-JP"/>
        </w:rPr>
      </w:pPr>
    </w:p>
    <w:p w:rsidR="00B06AD0" w:rsidRPr="00D974AF" w:rsidRDefault="00B06AD0" w:rsidP="00B06AD0">
      <w:pPr>
        <w:ind w:left="567"/>
        <w:rPr>
          <w:rFonts w:cs="Arial"/>
          <w:lang w:val="es-ES" w:eastAsia="ja-JP"/>
        </w:rPr>
      </w:pPr>
      <w:r w:rsidRPr="00457CFD">
        <w:rPr>
          <w:rFonts w:cs="Arial"/>
          <w:lang w:eastAsia="ja-JP"/>
        </w:rPr>
        <w:t>Proyecto piloto para la creación de un mecanismo regional armonizado de protección de las obtenciones vegetales (propuesto por Viet Nam y el Japón):</w:t>
      </w:r>
    </w:p>
    <w:p w:rsidR="00B06AD0" w:rsidRPr="00D974AF" w:rsidRDefault="00B06AD0" w:rsidP="00B06AD0">
      <w:pPr>
        <w:ind w:left="567"/>
        <w:rPr>
          <w:rFonts w:cs="Arial"/>
          <w:lang w:val="es-ES" w:eastAsia="ja-JP"/>
        </w:rPr>
      </w:pPr>
    </w:p>
    <w:p w:rsidR="00B06AD0" w:rsidRPr="00D974AF" w:rsidRDefault="00B06AD0" w:rsidP="00B06AD0">
      <w:pPr>
        <w:ind w:left="567"/>
        <w:rPr>
          <w:rFonts w:cs="Arial"/>
          <w:lang w:val="es-ES" w:eastAsia="ja-JP"/>
        </w:rPr>
      </w:pPr>
      <w:r w:rsidRPr="00457CFD">
        <w:rPr>
          <w:rFonts w:cs="Arial"/>
          <w:lang w:eastAsia="ja-JP"/>
        </w:rPr>
        <w:t>El objetivo del proyecto, en su primera fase (2018-2021), es la elaboración de un procedimiento tipo que abarque desde la presentación de la solicitud hasta la concesión del derecho de obtentor y constituya la base de un mecanismo regional armonizado en consonancia con el Convenio de la UPOV.</w:t>
      </w:r>
      <w:r w:rsidRPr="00D974AF">
        <w:rPr>
          <w:rFonts w:cs="Arial"/>
          <w:lang w:val="es-ES" w:eastAsia="ja-JP"/>
        </w:rPr>
        <w:t xml:space="preserve"> </w:t>
      </w:r>
      <w:r w:rsidRPr="00457CFD">
        <w:rPr>
          <w:rFonts w:cs="Arial"/>
          <w:color w:val="000000" w:themeColor="text1"/>
          <w:lang w:eastAsia="ja-JP"/>
        </w:rPr>
        <w:t>En la actualidad, los países participantes son Viet Nam y el Japón.</w:t>
      </w:r>
      <w:r w:rsidRPr="00D974AF">
        <w:rPr>
          <w:rFonts w:cs="Arial"/>
          <w:color w:val="000000" w:themeColor="text1"/>
          <w:lang w:val="es-ES" w:eastAsia="ja-JP"/>
        </w:rPr>
        <w:t xml:space="preserve"> </w:t>
      </w:r>
      <w:r w:rsidRPr="00457CFD">
        <w:rPr>
          <w:rFonts w:cs="Arial"/>
          <w:color w:val="000000" w:themeColor="text1"/>
          <w:lang w:eastAsia="ja-JP"/>
        </w:rPr>
        <w:t>Brunei Darussalam, Malasia y Myanmar son participantes provisionales, y la Oficina de la UPOV y las oficinas de protección de las obtenciones vegetales de otros miembros de la UPOV aportan recursos al proyecto.</w:t>
      </w:r>
      <w:r w:rsidRPr="00D974AF">
        <w:rPr>
          <w:rFonts w:cs="Arial"/>
          <w:color w:val="000000" w:themeColor="text1"/>
          <w:lang w:val="es-ES" w:eastAsia="ja-JP"/>
        </w:rPr>
        <w:t xml:space="preserve"> </w:t>
      </w:r>
      <w:r w:rsidRPr="0066652C">
        <w:rPr>
          <w:rFonts w:cs="Arial"/>
          <w:color w:val="000000" w:themeColor="text1"/>
          <w:lang w:eastAsia="ja-JP"/>
        </w:rPr>
        <w:t>Asimismo, podrán participar en el proyecto todos aquellos miembros del Foro EAPVP que pertenecen a la UPOV.</w:t>
      </w:r>
      <w:r w:rsidRPr="00D974AF">
        <w:rPr>
          <w:rFonts w:cs="Arial"/>
          <w:color w:val="000000" w:themeColor="text1"/>
          <w:lang w:val="es-ES" w:eastAsia="ja-JP"/>
        </w:rPr>
        <w:t xml:space="preserve"> </w:t>
      </w:r>
      <w:r w:rsidRPr="0066652C">
        <w:rPr>
          <w:rFonts w:cs="Arial"/>
          <w:lang w:eastAsia="ja-JP"/>
        </w:rPr>
        <w:t>La primera reunión del proyecto piloto, organizada por Viet Nam y el Japón, tuvo lugar en Hanói (Viet Nam) el 11 de octubre de 2018.</w:t>
      </w:r>
    </w:p>
    <w:p w:rsidR="00B06AD0" w:rsidRPr="00D974AF" w:rsidRDefault="00B06AD0" w:rsidP="00B06AD0">
      <w:pPr>
        <w:rPr>
          <w:rFonts w:cs="Arial"/>
          <w:lang w:val="es-ES" w:eastAsia="ja-JP"/>
        </w:rPr>
      </w:pPr>
    </w:p>
    <w:p w:rsidR="00B06AD0" w:rsidRPr="00D974AF" w:rsidRDefault="00B06AD0" w:rsidP="00B06AD0">
      <w:pPr>
        <w:jc w:val="left"/>
        <w:rPr>
          <w:rFonts w:cs="Arial"/>
          <w:lang w:val="es-ES" w:eastAsia="ja-JP"/>
        </w:rPr>
      </w:pPr>
    </w:p>
    <w:p w:rsidR="00B06AD0" w:rsidRPr="00D974AF" w:rsidRDefault="00B06AD0" w:rsidP="00B06AD0">
      <w:pPr>
        <w:rPr>
          <w:rFonts w:cs="Arial"/>
          <w:lang w:val="es-ES" w:eastAsia="ja-JP"/>
        </w:rPr>
      </w:pPr>
      <w:r w:rsidRPr="00D974AF">
        <w:rPr>
          <w:rFonts w:cs="Arial"/>
          <w:lang w:val="es-ES" w:eastAsia="ja-JP"/>
        </w:rPr>
        <w:t>5.2</w:t>
      </w:r>
      <w:r w:rsidRPr="00D974AF">
        <w:rPr>
          <w:rFonts w:cs="Arial"/>
          <w:lang w:val="es-ES" w:eastAsia="ja-JP"/>
        </w:rPr>
        <w:tab/>
      </w:r>
      <w:r w:rsidRPr="0066652C">
        <w:rPr>
          <w:rFonts w:cs="Arial"/>
          <w:lang w:eastAsia="ja-JP"/>
        </w:rPr>
        <w:t>Actividades de cooperación del Foro EAPVP (de septiembre de 2017 a enero de 2018)</w:t>
      </w:r>
    </w:p>
    <w:p w:rsidR="00B06AD0" w:rsidRPr="00D974AF" w:rsidRDefault="00B06AD0" w:rsidP="00B06AD0">
      <w:pPr>
        <w:rPr>
          <w:rFonts w:cs="Arial"/>
          <w:lang w:val="es-ES" w:eastAsia="ja-JP"/>
        </w:rPr>
      </w:pPr>
    </w:p>
    <w:tbl>
      <w:tblPr>
        <w:tblStyle w:val="TableGrid"/>
        <w:tblW w:w="9781" w:type="dxa"/>
        <w:tblInd w:w="-5" w:type="dxa"/>
        <w:tblLayout w:type="fixed"/>
        <w:tblCellMar>
          <w:top w:w="28" w:type="dxa"/>
          <w:left w:w="28" w:type="dxa"/>
          <w:bottom w:w="28" w:type="dxa"/>
          <w:right w:w="28" w:type="dxa"/>
        </w:tblCellMar>
        <w:tblLook w:val="04A0" w:firstRow="1" w:lastRow="0" w:firstColumn="1" w:lastColumn="0" w:noHBand="0" w:noVBand="1"/>
      </w:tblPr>
      <w:tblGrid>
        <w:gridCol w:w="2381"/>
        <w:gridCol w:w="993"/>
        <w:gridCol w:w="1304"/>
        <w:gridCol w:w="2693"/>
        <w:gridCol w:w="2410"/>
      </w:tblGrid>
      <w:tr w:rsidR="00B06AD0" w:rsidRPr="00D974AF" w:rsidTr="002D69F6">
        <w:tc>
          <w:tcPr>
            <w:tcW w:w="2381" w:type="dxa"/>
          </w:tcPr>
          <w:p w:rsidR="00B06AD0" w:rsidRPr="00746819" w:rsidRDefault="00B06AD0" w:rsidP="002D69F6">
            <w:pPr>
              <w:keepNext/>
              <w:jc w:val="left"/>
              <w:rPr>
                <w:rFonts w:cs="Arial"/>
                <w:sz w:val="18"/>
              </w:rPr>
            </w:pPr>
            <w:r w:rsidRPr="0066652C">
              <w:rPr>
                <w:rFonts w:cs="Arial"/>
                <w:sz w:val="18"/>
              </w:rPr>
              <w:t>Título de la actividad</w:t>
            </w:r>
          </w:p>
        </w:tc>
        <w:tc>
          <w:tcPr>
            <w:tcW w:w="993" w:type="dxa"/>
          </w:tcPr>
          <w:p w:rsidR="00B06AD0" w:rsidRPr="00746819" w:rsidRDefault="00B06AD0" w:rsidP="002D69F6">
            <w:pPr>
              <w:keepNext/>
              <w:jc w:val="left"/>
              <w:rPr>
                <w:rFonts w:cs="Arial"/>
                <w:sz w:val="18"/>
              </w:rPr>
            </w:pPr>
            <w:r w:rsidRPr="0066652C">
              <w:rPr>
                <w:rFonts w:cs="Arial"/>
                <w:sz w:val="18"/>
              </w:rPr>
              <w:t>Fecha</w:t>
            </w:r>
          </w:p>
        </w:tc>
        <w:tc>
          <w:tcPr>
            <w:tcW w:w="1304" w:type="dxa"/>
          </w:tcPr>
          <w:p w:rsidR="00B06AD0" w:rsidRPr="00746819" w:rsidRDefault="00B06AD0" w:rsidP="002D69F6">
            <w:pPr>
              <w:keepNext/>
              <w:jc w:val="left"/>
              <w:rPr>
                <w:rFonts w:cs="Arial"/>
                <w:sz w:val="18"/>
                <w:lang w:eastAsia="ja-JP"/>
              </w:rPr>
            </w:pPr>
            <w:r w:rsidRPr="0066652C">
              <w:rPr>
                <w:rFonts w:cs="Arial"/>
                <w:sz w:val="18"/>
                <w:lang w:eastAsia="ja-JP"/>
              </w:rPr>
              <w:t>Lugar</w:t>
            </w:r>
          </w:p>
        </w:tc>
        <w:tc>
          <w:tcPr>
            <w:tcW w:w="2693" w:type="dxa"/>
          </w:tcPr>
          <w:p w:rsidR="00B06AD0" w:rsidRPr="00746819" w:rsidRDefault="00B06AD0" w:rsidP="002D69F6">
            <w:pPr>
              <w:keepNext/>
              <w:jc w:val="left"/>
              <w:rPr>
                <w:rFonts w:cs="Arial"/>
                <w:sz w:val="18"/>
              </w:rPr>
            </w:pPr>
            <w:r w:rsidRPr="0066652C">
              <w:rPr>
                <w:rFonts w:cs="Arial"/>
                <w:sz w:val="18"/>
              </w:rPr>
              <w:t>Finalidad de la actividad</w:t>
            </w:r>
          </w:p>
        </w:tc>
        <w:tc>
          <w:tcPr>
            <w:tcW w:w="2410" w:type="dxa"/>
          </w:tcPr>
          <w:p w:rsidR="00B06AD0" w:rsidRPr="00D974AF" w:rsidRDefault="00B06AD0" w:rsidP="002D69F6">
            <w:pPr>
              <w:keepNext/>
              <w:jc w:val="left"/>
              <w:rPr>
                <w:rFonts w:cs="Arial"/>
                <w:sz w:val="18"/>
                <w:lang w:val="es-ES"/>
              </w:rPr>
            </w:pPr>
            <w:r w:rsidRPr="0066652C">
              <w:rPr>
                <w:rFonts w:cs="Arial"/>
                <w:sz w:val="18"/>
              </w:rPr>
              <w:t>Países/organizaciones participantes (número de participantes)</w:t>
            </w:r>
          </w:p>
        </w:tc>
      </w:tr>
      <w:tr w:rsidR="00B06AD0" w:rsidRPr="00D974AF" w:rsidTr="002D69F6">
        <w:tc>
          <w:tcPr>
            <w:tcW w:w="2381" w:type="dxa"/>
          </w:tcPr>
          <w:p w:rsidR="00B06AD0" w:rsidRPr="00D974AF" w:rsidRDefault="00B06AD0" w:rsidP="002D69F6">
            <w:pPr>
              <w:keepNext/>
              <w:jc w:val="left"/>
              <w:rPr>
                <w:rFonts w:cs="Arial"/>
                <w:sz w:val="18"/>
                <w:lang w:val="es-ES" w:eastAsia="ja-JP"/>
              </w:rPr>
            </w:pPr>
            <w:r w:rsidRPr="00D974AF">
              <w:rPr>
                <w:rFonts w:cs="Arial"/>
                <w:sz w:val="18"/>
                <w:lang w:val="es-ES" w:eastAsia="ja-JP"/>
              </w:rPr>
              <w:t xml:space="preserve">1. </w:t>
            </w:r>
            <w:r w:rsidRPr="0066652C">
              <w:rPr>
                <w:rFonts w:cs="Arial"/>
                <w:sz w:val="18"/>
                <w:lang w:eastAsia="ja-JP"/>
              </w:rPr>
              <w:t>Seminario nacional de sensibilización sobre el sistema de protección de las obtenciones vegetales</w:t>
            </w:r>
          </w:p>
        </w:tc>
        <w:tc>
          <w:tcPr>
            <w:tcW w:w="993" w:type="dxa"/>
          </w:tcPr>
          <w:p w:rsidR="00B06AD0" w:rsidRPr="00746819" w:rsidRDefault="00B06AD0" w:rsidP="002D69F6">
            <w:pPr>
              <w:keepNext/>
              <w:jc w:val="left"/>
              <w:rPr>
                <w:rFonts w:cs="Arial"/>
                <w:sz w:val="18"/>
                <w:lang w:eastAsia="ja-JP"/>
              </w:rPr>
            </w:pPr>
            <w:r w:rsidRPr="0066652C">
              <w:rPr>
                <w:rFonts w:cs="Arial"/>
                <w:sz w:val="18"/>
                <w:lang w:eastAsia="ja-JP"/>
              </w:rPr>
              <w:t>12 de septiembre de 2017</w:t>
            </w:r>
          </w:p>
        </w:tc>
        <w:tc>
          <w:tcPr>
            <w:tcW w:w="1304" w:type="dxa"/>
          </w:tcPr>
          <w:p w:rsidR="00B06AD0" w:rsidRPr="00746819" w:rsidRDefault="00B06AD0" w:rsidP="002D69F6">
            <w:pPr>
              <w:keepNext/>
              <w:jc w:val="left"/>
              <w:rPr>
                <w:rFonts w:cs="Arial"/>
                <w:sz w:val="18"/>
                <w:lang w:eastAsia="ja-JP"/>
              </w:rPr>
            </w:pPr>
            <w:r w:rsidRPr="0066652C">
              <w:rPr>
                <w:rFonts w:cs="Arial"/>
                <w:sz w:val="18"/>
                <w:lang w:eastAsia="ja-JP"/>
              </w:rPr>
              <w:t>Nay Pyi Taw (Myanmar)</w:t>
            </w:r>
          </w:p>
        </w:tc>
        <w:tc>
          <w:tcPr>
            <w:tcW w:w="2693" w:type="dxa"/>
          </w:tcPr>
          <w:p w:rsidR="00B06AD0" w:rsidRPr="00D974AF" w:rsidRDefault="00B06AD0" w:rsidP="002D69F6">
            <w:pPr>
              <w:keepNext/>
              <w:jc w:val="left"/>
              <w:rPr>
                <w:rFonts w:cs="Arial"/>
                <w:sz w:val="18"/>
                <w:lang w:val="es-ES" w:eastAsia="ja-JP"/>
              </w:rPr>
            </w:pPr>
            <w:r w:rsidRPr="0066652C">
              <w:rPr>
                <w:rFonts w:cs="Arial"/>
                <w:sz w:val="18"/>
                <w:lang w:eastAsia="ja-JP"/>
              </w:rPr>
              <w:t>Fomento de la sensibilización sobre el sistema de protección de las obtenciones vegetales con arreglo al Convenio de la UPOV</w:t>
            </w:r>
          </w:p>
        </w:tc>
        <w:tc>
          <w:tcPr>
            <w:tcW w:w="2410" w:type="dxa"/>
          </w:tcPr>
          <w:p w:rsidR="00B06AD0" w:rsidRPr="00D974AF" w:rsidRDefault="00B06AD0" w:rsidP="00B06AD0">
            <w:pPr>
              <w:keepNext/>
              <w:jc w:val="left"/>
              <w:rPr>
                <w:rFonts w:cs="Arial"/>
                <w:sz w:val="18"/>
                <w:lang w:val="es-ES" w:eastAsia="ja-JP"/>
              </w:rPr>
            </w:pPr>
            <w:r w:rsidRPr="0066652C">
              <w:rPr>
                <w:rFonts w:cs="Arial"/>
                <w:sz w:val="18"/>
                <w:lang w:eastAsia="ja-JP"/>
              </w:rPr>
              <w:t xml:space="preserve">Myanmar (115), China (3), República de Corea (4), Viet Nam (3), Oficina de la UPOV (2), OCVV (1), </w:t>
            </w:r>
            <w:r>
              <w:rPr>
                <w:rFonts w:cs="Arial"/>
                <w:sz w:val="18"/>
                <w:lang w:eastAsia="ja-JP"/>
              </w:rPr>
              <w:t>GNIS </w:t>
            </w:r>
            <w:r w:rsidRPr="0066652C">
              <w:rPr>
                <w:rFonts w:cs="Arial"/>
                <w:sz w:val="18"/>
                <w:lang w:eastAsia="ja-JP"/>
              </w:rPr>
              <w:t>(1), Naktuinbouw (1), Japón</w:t>
            </w:r>
            <w:r>
              <w:rPr>
                <w:rFonts w:cs="Arial"/>
                <w:sz w:val="18"/>
                <w:lang w:eastAsia="ja-JP"/>
              </w:rPr>
              <w:t> </w:t>
            </w:r>
            <w:r w:rsidRPr="0066652C">
              <w:rPr>
                <w:rFonts w:cs="Arial"/>
                <w:sz w:val="18"/>
                <w:lang w:eastAsia="ja-JP"/>
              </w:rPr>
              <w:t>(7)</w:t>
            </w:r>
          </w:p>
        </w:tc>
      </w:tr>
      <w:tr w:rsidR="00B06AD0" w:rsidRPr="00746819" w:rsidTr="002D69F6">
        <w:trPr>
          <w:trHeight w:val="1194"/>
        </w:trPr>
        <w:tc>
          <w:tcPr>
            <w:tcW w:w="2381" w:type="dxa"/>
          </w:tcPr>
          <w:p w:rsidR="00B06AD0" w:rsidRPr="00D974AF" w:rsidRDefault="00B06AD0" w:rsidP="002D69F6">
            <w:pPr>
              <w:keepNext/>
              <w:jc w:val="left"/>
              <w:rPr>
                <w:rFonts w:cs="Arial"/>
                <w:sz w:val="18"/>
                <w:lang w:val="es-ES" w:eastAsia="ja-JP"/>
              </w:rPr>
            </w:pPr>
            <w:r w:rsidRPr="00D974AF">
              <w:rPr>
                <w:rFonts w:cs="Arial"/>
                <w:sz w:val="18"/>
                <w:lang w:val="es-ES" w:eastAsia="ja-JP"/>
              </w:rPr>
              <w:t xml:space="preserve">2. </w:t>
            </w:r>
            <w:r w:rsidRPr="0066652C">
              <w:rPr>
                <w:rFonts w:cs="Arial"/>
                <w:sz w:val="18"/>
                <w:lang w:eastAsia="ja-JP"/>
              </w:rPr>
              <w:t>Orientaciones sobre el examen DHE del tomate</w:t>
            </w:r>
          </w:p>
        </w:tc>
        <w:tc>
          <w:tcPr>
            <w:tcW w:w="993" w:type="dxa"/>
          </w:tcPr>
          <w:p w:rsidR="00B06AD0" w:rsidRPr="00746819" w:rsidRDefault="00B06AD0" w:rsidP="002D69F6">
            <w:pPr>
              <w:keepNext/>
              <w:jc w:val="left"/>
              <w:rPr>
                <w:rFonts w:cs="Arial"/>
                <w:sz w:val="18"/>
                <w:lang w:eastAsia="ja-JP"/>
              </w:rPr>
            </w:pPr>
            <w:r w:rsidRPr="0066652C">
              <w:rPr>
                <w:rFonts w:cs="Arial"/>
                <w:sz w:val="18"/>
                <w:lang w:eastAsia="ja-JP"/>
              </w:rPr>
              <w:t>16-18 de octubre de 2017</w:t>
            </w:r>
          </w:p>
        </w:tc>
        <w:tc>
          <w:tcPr>
            <w:tcW w:w="1304" w:type="dxa"/>
          </w:tcPr>
          <w:p w:rsidR="00B06AD0" w:rsidRPr="00746819" w:rsidRDefault="00B06AD0" w:rsidP="002D69F6">
            <w:pPr>
              <w:keepNext/>
              <w:jc w:val="left"/>
              <w:rPr>
                <w:rFonts w:cs="Arial"/>
                <w:sz w:val="18"/>
                <w:lang w:eastAsia="ja-JP"/>
              </w:rPr>
            </w:pPr>
            <w:r w:rsidRPr="0066652C">
              <w:rPr>
                <w:rFonts w:cs="Arial"/>
                <w:sz w:val="18"/>
                <w:lang w:eastAsia="ja-JP"/>
              </w:rPr>
              <w:t>Phnom Penh (Camboya)</w:t>
            </w:r>
          </w:p>
        </w:tc>
        <w:tc>
          <w:tcPr>
            <w:tcW w:w="2693" w:type="dxa"/>
          </w:tcPr>
          <w:p w:rsidR="00B06AD0" w:rsidRPr="00D974AF" w:rsidRDefault="00B06AD0" w:rsidP="002D69F6">
            <w:pPr>
              <w:keepNext/>
              <w:jc w:val="left"/>
              <w:rPr>
                <w:rFonts w:cs="Arial"/>
                <w:sz w:val="18"/>
                <w:lang w:val="es-ES" w:eastAsia="ja-JP"/>
              </w:rPr>
            </w:pPr>
            <w:r w:rsidRPr="0066652C">
              <w:rPr>
                <w:rFonts w:cs="Arial"/>
                <w:sz w:val="18"/>
                <w:lang w:eastAsia="ja-JP"/>
              </w:rPr>
              <w:t>Formación sobre el examen DHE del tomate</w:t>
            </w:r>
          </w:p>
        </w:tc>
        <w:tc>
          <w:tcPr>
            <w:tcW w:w="2410" w:type="dxa"/>
          </w:tcPr>
          <w:p w:rsidR="00B06AD0" w:rsidRPr="00746819" w:rsidRDefault="00B06AD0" w:rsidP="002D69F6">
            <w:pPr>
              <w:keepNext/>
              <w:jc w:val="left"/>
              <w:rPr>
                <w:rFonts w:cs="Arial"/>
                <w:sz w:val="18"/>
                <w:lang w:eastAsia="ja-JP"/>
              </w:rPr>
            </w:pPr>
            <w:r w:rsidRPr="0066652C">
              <w:rPr>
                <w:rFonts w:cs="Arial"/>
                <w:sz w:val="18"/>
                <w:lang w:eastAsia="ja-JP"/>
              </w:rPr>
              <w:t>Camboya (9), Viet Nam (1), Japón (1)</w:t>
            </w:r>
          </w:p>
        </w:tc>
      </w:tr>
      <w:tr w:rsidR="00B06AD0" w:rsidRPr="00746819" w:rsidTr="002D69F6">
        <w:tc>
          <w:tcPr>
            <w:tcW w:w="2381" w:type="dxa"/>
          </w:tcPr>
          <w:p w:rsidR="00B06AD0" w:rsidRPr="00D974AF" w:rsidRDefault="00B06AD0" w:rsidP="002D69F6">
            <w:pPr>
              <w:keepNext/>
              <w:jc w:val="left"/>
              <w:rPr>
                <w:rFonts w:cs="Arial"/>
                <w:sz w:val="18"/>
                <w:lang w:val="es-ES" w:eastAsia="ja-JP"/>
              </w:rPr>
            </w:pPr>
            <w:r w:rsidRPr="00D974AF">
              <w:rPr>
                <w:rFonts w:cs="Arial"/>
                <w:sz w:val="18"/>
                <w:lang w:val="es-ES" w:eastAsia="ja-JP"/>
              </w:rPr>
              <w:t xml:space="preserve">3. </w:t>
            </w:r>
            <w:r w:rsidRPr="0066652C">
              <w:rPr>
                <w:rFonts w:cs="Arial"/>
                <w:sz w:val="18"/>
                <w:lang w:eastAsia="ja-JP"/>
              </w:rPr>
              <w:t>Visita de estudio de delegados de Myanmar sobre la protección de las obtenciones vegetales</w:t>
            </w:r>
          </w:p>
        </w:tc>
        <w:tc>
          <w:tcPr>
            <w:tcW w:w="993" w:type="dxa"/>
          </w:tcPr>
          <w:p w:rsidR="00B06AD0" w:rsidRPr="00746819" w:rsidRDefault="00B06AD0" w:rsidP="002D69F6">
            <w:pPr>
              <w:keepNext/>
              <w:jc w:val="left"/>
              <w:rPr>
                <w:rFonts w:cs="Arial"/>
                <w:sz w:val="18"/>
                <w:lang w:eastAsia="ja-JP"/>
              </w:rPr>
            </w:pPr>
            <w:r w:rsidRPr="0066652C">
              <w:rPr>
                <w:rFonts w:cs="Arial"/>
                <w:sz w:val="18"/>
                <w:lang w:eastAsia="ja-JP"/>
              </w:rPr>
              <w:t>7-10 de noviembre de 2017</w:t>
            </w:r>
          </w:p>
        </w:tc>
        <w:tc>
          <w:tcPr>
            <w:tcW w:w="1304" w:type="dxa"/>
          </w:tcPr>
          <w:p w:rsidR="00B06AD0" w:rsidRPr="00746819" w:rsidRDefault="00B06AD0" w:rsidP="002D69F6">
            <w:pPr>
              <w:keepNext/>
              <w:jc w:val="left"/>
              <w:rPr>
                <w:rFonts w:cs="Arial"/>
                <w:sz w:val="18"/>
                <w:lang w:eastAsia="ja-JP"/>
              </w:rPr>
            </w:pPr>
            <w:r w:rsidRPr="0066652C">
              <w:rPr>
                <w:rFonts w:cs="Arial"/>
                <w:sz w:val="18"/>
                <w:lang w:eastAsia="ja-JP"/>
              </w:rPr>
              <w:t>Hanói (Viet Nam)</w:t>
            </w:r>
          </w:p>
        </w:tc>
        <w:tc>
          <w:tcPr>
            <w:tcW w:w="2693" w:type="dxa"/>
          </w:tcPr>
          <w:p w:rsidR="00B06AD0" w:rsidRPr="00D974AF" w:rsidRDefault="00B06AD0" w:rsidP="002D69F6">
            <w:pPr>
              <w:keepNext/>
              <w:jc w:val="left"/>
              <w:rPr>
                <w:rFonts w:cs="Arial"/>
                <w:sz w:val="18"/>
                <w:lang w:val="es-ES" w:eastAsia="ja-JP"/>
              </w:rPr>
            </w:pPr>
            <w:r w:rsidRPr="0066652C">
              <w:rPr>
                <w:rFonts w:cs="Arial"/>
                <w:sz w:val="18"/>
                <w:lang w:eastAsia="ja-JP"/>
              </w:rPr>
              <w:t>Fomento de la sensibilización sobre el sistema de protección de las obtenciones vegetales con arreglo al Convenio de la UPOV</w:t>
            </w:r>
          </w:p>
        </w:tc>
        <w:tc>
          <w:tcPr>
            <w:tcW w:w="2410" w:type="dxa"/>
          </w:tcPr>
          <w:p w:rsidR="00B06AD0" w:rsidRPr="00746819" w:rsidRDefault="00B06AD0" w:rsidP="002D69F6">
            <w:pPr>
              <w:keepNext/>
              <w:jc w:val="left"/>
              <w:rPr>
                <w:rFonts w:cs="Arial"/>
                <w:sz w:val="18"/>
                <w:lang w:eastAsia="ja-JP"/>
              </w:rPr>
            </w:pPr>
            <w:r w:rsidRPr="0066652C">
              <w:rPr>
                <w:rFonts w:cs="Arial"/>
                <w:sz w:val="18"/>
                <w:lang w:eastAsia="ja-JP"/>
              </w:rPr>
              <w:t>Myanmar (2), Viet Nam (2)</w:t>
            </w:r>
          </w:p>
        </w:tc>
      </w:tr>
      <w:tr w:rsidR="00B06AD0" w:rsidRPr="00746819" w:rsidTr="002D69F6">
        <w:tc>
          <w:tcPr>
            <w:tcW w:w="2381" w:type="dxa"/>
          </w:tcPr>
          <w:p w:rsidR="00B06AD0" w:rsidRPr="00D974AF" w:rsidRDefault="00B06AD0" w:rsidP="002D69F6">
            <w:pPr>
              <w:keepNext/>
              <w:jc w:val="left"/>
              <w:rPr>
                <w:rFonts w:cs="Arial"/>
                <w:sz w:val="18"/>
                <w:lang w:val="es-ES"/>
              </w:rPr>
            </w:pPr>
            <w:r w:rsidRPr="00D974AF">
              <w:rPr>
                <w:rFonts w:cs="Arial"/>
                <w:sz w:val="18"/>
                <w:lang w:val="es-ES" w:eastAsia="ja-JP"/>
              </w:rPr>
              <w:t xml:space="preserve">4. </w:t>
            </w:r>
            <w:r w:rsidRPr="0066652C">
              <w:rPr>
                <w:rFonts w:cs="Arial"/>
                <w:sz w:val="18"/>
                <w:lang w:eastAsia="ja-JP"/>
              </w:rPr>
              <w:t>La protección de las obtenciones vegetales y sus repercusiones socioeconómicas</w:t>
            </w:r>
          </w:p>
        </w:tc>
        <w:tc>
          <w:tcPr>
            <w:tcW w:w="993" w:type="dxa"/>
          </w:tcPr>
          <w:p w:rsidR="00B06AD0" w:rsidRPr="00746819" w:rsidRDefault="00B06AD0" w:rsidP="002D69F6">
            <w:pPr>
              <w:keepNext/>
              <w:jc w:val="left"/>
              <w:rPr>
                <w:rFonts w:cs="Arial"/>
                <w:sz w:val="18"/>
              </w:rPr>
            </w:pPr>
            <w:r w:rsidRPr="0066652C">
              <w:rPr>
                <w:rFonts w:cs="Arial"/>
                <w:sz w:val="18"/>
                <w:lang w:eastAsia="ja-JP"/>
              </w:rPr>
              <w:t>20 de noviembre de 2017</w:t>
            </w:r>
          </w:p>
        </w:tc>
        <w:tc>
          <w:tcPr>
            <w:tcW w:w="1304" w:type="dxa"/>
          </w:tcPr>
          <w:p w:rsidR="00B06AD0" w:rsidRPr="00746819" w:rsidRDefault="00B06AD0" w:rsidP="002D69F6">
            <w:pPr>
              <w:keepNext/>
              <w:jc w:val="left"/>
              <w:rPr>
                <w:rFonts w:cs="Arial"/>
                <w:sz w:val="18"/>
              </w:rPr>
            </w:pPr>
            <w:r w:rsidRPr="0066652C">
              <w:rPr>
                <w:rFonts w:cs="Arial"/>
                <w:sz w:val="18"/>
                <w:lang w:eastAsia="ja-JP"/>
              </w:rPr>
              <w:t>Ciudad Thai Nguyen (Viet Nam)</w:t>
            </w:r>
          </w:p>
        </w:tc>
        <w:tc>
          <w:tcPr>
            <w:tcW w:w="2693" w:type="dxa"/>
          </w:tcPr>
          <w:p w:rsidR="00B06AD0" w:rsidRPr="00D974AF" w:rsidRDefault="00B06AD0" w:rsidP="002D69F6">
            <w:pPr>
              <w:keepNext/>
              <w:jc w:val="left"/>
              <w:rPr>
                <w:rFonts w:cs="Arial"/>
                <w:sz w:val="18"/>
                <w:lang w:val="es-ES" w:eastAsia="ja-JP"/>
              </w:rPr>
            </w:pPr>
            <w:r w:rsidRPr="0066652C">
              <w:rPr>
                <w:rFonts w:cs="Arial"/>
                <w:sz w:val="18"/>
                <w:lang w:eastAsia="ja-JP"/>
              </w:rPr>
              <w:t>Fortalecimiento de la capacidad del sistema nacional de protección de las obtenciones vegetales con arreglo al Convenio de la UPOV</w:t>
            </w:r>
          </w:p>
        </w:tc>
        <w:tc>
          <w:tcPr>
            <w:tcW w:w="2410" w:type="dxa"/>
          </w:tcPr>
          <w:p w:rsidR="00B06AD0" w:rsidRPr="00746819" w:rsidRDefault="00B06AD0" w:rsidP="002D69F6">
            <w:pPr>
              <w:keepNext/>
              <w:jc w:val="left"/>
              <w:rPr>
                <w:rFonts w:cs="Arial"/>
                <w:sz w:val="18"/>
                <w:lang w:eastAsia="ja-JP"/>
              </w:rPr>
            </w:pPr>
            <w:r w:rsidRPr="0066652C">
              <w:rPr>
                <w:rFonts w:cs="Arial"/>
                <w:sz w:val="18"/>
                <w:lang w:eastAsia="ja-JP"/>
              </w:rPr>
              <w:t>Viet Nam (149), GNIS (1), Japón (1)</w:t>
            </w:r>
          </w:p>
        </w:tc>
      </w:tr>
      <w:tr w:rsidR="00B06AD0" w:rsidRPr="00D974AF" w:rsidTr="002D69F6">
        <w:tc>
          <w:tcPr>
            <w:tcW w:w="2381" w:type="dxa"/>
          </w:tcPr>
          <w:p w:rsidR="00B06AD0" w:rsidRPr="00D974AF" w:rsidRDefault="00B06AD0" w:rsidP="002D69F6">
            <w:pPr>
              <w:keepNext/>
              <w:jc w:val="left"/>
              <w:rPr>
                <w:rFonts w:cs="Arial"/>
                <w:sz w:val="18"/>
                <w:lang w:val="es-ES" w:eastAsia="ja-JP"/>
              </w:rPr>
            </w:pPr>
            <w:r w:rsidRPr="00D974AF">
              <w:rPr>
                <w:rFonts w:cs="Arial"/>
                <w:sz w:val="18"/>
                <w:lang w:val="es-ES" w:eastAsia="ja-JP"/>
              </w:rPr>
              <w:t xml:space="preserve">5. </w:t>
            </w:r>
            <w:r w:rsidRPr="0066652C">
              <w:rPr>
                <w:rFonts w:cs="Arial"/>
                <w:sz w:val="18"/>
                <w:lang w:eastAsia="ja-JP"/>
              </w:rPr>
              <w:t>Seminario de 2018 sobre la protección de las obtenciones vegetales</w:t>
            </w:r>
            <w:r w:rsidRPr="00D974AF">
              <w:rPr>
                <w:rFonts w:cs="Arial"/>
                <w:sz w:val="18"/>
                <w:lang w:val="es-ES" w:eastAsia="ja-JP"/>
              </w:rPr>
              <w:t xml:space="preserve"> </w:t>
            </w:r>
          </w:p>
        </w:tc>
        <w:tc>
          <w:tcPr>
            <w:tcW w:w="993" w:type="dxa"/>
          </w:tcPr>
          <w:p w:rsidR="00B06AD0" w:rsidRPr="00746819" w:rsidRDefault="00B06AD0" w:rsidP="002D69F6">
            <w:pPr>
              <w:keepNext/>
              <w:jc w:val="left"/>
              <w:rPr>
                <w:rFonts w:cs="Arial"/>
                <w:sz w:val="18"/>
                <w:lang w:eastAsia="ja-JP"/>
              </w:rPr>
            </w:pPr>
            <w:r w:rsidRPr="0066652C">
              <w:rPr>
                <w:rFonts w:cs="Arial"/>
                <w:sz w:val="18"/>
                <w:lang w:eastAsia="ja-JP"/>
              </w:rPr>
              <w:t>8-10 de enero de 201</w:t>
            </w:r>
            <w:r>
              <w:rPr>
                <w:rFonts w:cs="Arial"/>
                <w:sz w:val="18"/>
                <w:lang w:eastAsia="ja-JP"/>
              </w:rPr>
              <w:t>8</w:t>
            </w:r>
          </w:p>
        </w:tc>
        <w:tc>
          <w:tcPr>
            <w:tcW w:w="1304" w:type="dxa"/>
          </w:tcPr>
          <w:p w:rsidR="00B06AD0" w:rsidRPr="00746819" w:rsidRDefault="00B06AD0" w:rsidP="002D69F6">
            <w:pPr>
              <w:keepNext/>
              <w:jc w:val="left"/>
              <w:rPr>
                <w:rFonts w:cs="Arial"/>
                <w:sz w:val="18"/>
                <w:lang w:eastAsia="ja-JP"/>
              </w:rPr>
            </w:pPr>
            <w:r w:rsidRPr="0066652C">
              <w:rPr>
                <w:rFonts w:cs="Arial"/>
                <w:sz w:val="18"/>
              </w:rPr>
              <w:t>Hangzhou</w:t>
            </w:r>
            <w:r w:rsidRPr="0066652C">
              <w:rPr>
                <w:rFonts w:cs="Arial"/>
                <w:sz w:val="18"/>
                <w:lang w:eastAsia="ja-JP"/>
              </w:rPr>
              <w:t xml:space="preserve"> (China)</w:t>
            </w:r>
          </w:p>
        </w:tc>
        <w:tc>
          <w:tcPr>
            <w:tcW w:w="2693" w:type="dxa"/>
          </w:tcPr>
          <w:p w:rsidR="00B06AD0" w:rsidRPr="00D974AF" w:rsidRDefault="00B06AD0" w:rsidP="002D69F6">
            <w:pPr>
              <w:keepNext/>
              <w:jc w:val="left"/>
              <w:rPr>
                <w:rFonts w:cs="Arial"/>
                <w:sz w:val="18"/>
                <w:lang w:val="es-ES"/>
              </w:rPr>
            </w:pPr>
            <w:r w:rsidRPr="0066652C">
              <w:rPr>
                <w:rFonts w:cs="Arial"/>
                <w:sz w:val="18"/>
                <w:lang w:eastAsia="ja-JP"/>
              </w:rPr>
              <w:t>Fortalecimiento de la capacidad del sistema nacional de protección de las obtenciones vegetales con arreglo al Convenio de la UPOV</w:t>
            </w:r>
          </w:p>
        </w:tc>
        <w:tc>
          <w:tcPr>
            <w:tcW w:w="2410" w:type="dxa"/>
          </w:tcPr>
          <w:p w:rsidR="00B06AD0" w:rsidRPr="00D974AF" w:rsidRDefault="00B06AD0" w:rsidP="002D69F6">
            <w:pPr>
              <w:keepNext/>
              <w:jc w:val="left"/>
              <w:rPr>
                <w:rFonts w:cs="Arial"/>
                <w:sz w:val="18"/>
                <w:lang w:val="es-ES" w:eastAsia="ja-JP"/>
              </w:rPr>
            </w:pPr>
            <w:r w:rsidRPr="0066652C">
              <w:rPr>
                <w:rFonts w:cs="Arial"/>
                <w:sz w:val="18"/>
                <w:lang w:eastAsia="ja-JP"/>
              </w:rPr>
              <w:t>China (150), India (1), Viet Nam (1), Oficina de la UPOV (1), USPTO (1) y Japón (3)</w:t>
            </w:r>
          </w:p>
        </w:tc>
      </w:tr>
      <w:tr w:rsidR="00B06AD0" w:rsidRPr="00746819" w:rsidTr="002D69F6">
        <w:tc>
          <w:tcPr>
            <w:tcW w:w="2381" w:type="dxa"/>
          </w:tcPr>
          <w:p w:rsidR="00B06AD0" w:rsidRPr="00D974AF" w:rsidRDefault="00B06AD0" w:rsidP="002D69F6">
            <w:pPr>
              <w:keepNext/>
              <w:jc w:val="left"/>
              <w:rPr>
                <w:rFonts w:cs="Arial"/>
                <w:sz w:val="18"/>
                <w:lang w:val="es-ES" w:eastAsia="ja-JP"/>
              </w:rPr>
            </w:pPr>
            <w:r w:rsidRPr="00D974AF">
              <w:rPr>
                <w:rFonts w:cs="Arial"/>
                <w:sz w:val="18"/>
                <w:lang w:val="es-ES" w:eastAsia="ja-JP"/>
              </w:rPr>
              <w:t xml:space="preserve">6. </w:t>
            </w:r>
            <w:r w:rsidRPr="0066652C">
              <w:rPr>
                <w:rFonts w:cs="Arial"/>
                <w:sz w:val="18"/>
                <w:lang w:eastAsia="ja-JP"/>
              </w:rPr>
              <w:t>Curso de formación en el país sobre las directrices de examen del maíz</w:t>
            </w:r>
          </w:p>
        </w:tc>
        <w:tc>
          <w:tcPr>
            <w:tcW w:w="993" w:type="dxa"/>
          </w:tcPr>
          <w:p w:rsidR="00B06AD0" w:rsidRPr="00746819" w:rsidRDefault="00B06AD0" w:rsidP="002D69F6">
            <w:pPr>
              <w:keepNext/>
              <w:jc w:val="left"/>
              <w:rPr>
                <w:rFonts w:cs="Arial"/>
                <w:sz w:val="18"/>
                <w:lang w:eastAsia="ja-JP"/>
              </w:rPr>
            </w:pPr>
            <w:r w:rsidRPr="0066652C">
              <w:rPr>
                <w:rFonts w:cs="Arial"/>
                <w:sz w:val="18"/>
                <w:lang w:eastAsia="ja-JP"/>
              </w:rPr>
              <w:t>22-26 de enero de 2018</w:t>
            </w:r>
          </w:p>
        </w:tc>
        <w:tc>
          <w:tcPr>
            <w:tcW w:w="1304" w:type="dxa"/>
          </w:tcPr>
          <w:p w:rsidR="00B06AD0" w:rsidRPr="00746819" w:rsidRDefault="00B06AD0" w:rsidP="002D69F6">
            <w:pPr>
              <w:keepNext/>
              <w:jc w:val="left"/>
              <w:rPr>
                <w:rFonts w:cs="Arial"/>
                <w:sz w:val="18"/>
              </w:rPr>
            </w:pPr>
            <w:r w:rsidRPr="0066652C">
              <w:rPr>
                <w:rFonts w:cs="Arial"/>
                <w:sz w:val="18"/>
                <w:lang w:eastAsia="ja-JP"/>
              </w:rPr>
              <w:t>Nay Pyi Taw (Myanmar)</w:t>
            </w:r>
          </w:p>
        </w:tc>
        <w:tc>
          <w:tcPr>
            <w:tcW w:w="2693" w:type="dxa"/>
          </w:tcPr>
          <w:p w:rsidR="00B06AD0" w:rsidRPr="00D974AF" w:rsidRDefault="00B06AD0" w:rsidP="002D69F6">
            <w:pPr>
              <w:keepNext/>
              <w:jc w:val="left"/>
              <w:rPr>
                <w:rFonts w:cs="Arial"/>
                <w:sz w:val="18"/>
                <w:lang w:val="es-ES"/>
              </w:rPr>
            </w:pPr>
            <w:r w:rsidRPr="0066652C">
              <w:rPr>
                <w:rFonts w:cs="Arial"/>
                <w:sz w:val="18"/>
                <w:lang w:eastAsia="ja-JP"/>
              </w:rPr>
              <w:t>Formación sobre el examen DHE del maíz</w:t>
            </w:r>
          </w:p>
        </w:tc>
        <w:tc>
          <w:tcPr>
            <w:tcW w:w="2410" w:type="dxa"/>
          </w:tcPr>
          <w:p w:rsidR="00B06AD0" w:rsidRPr="00746819" w:rsidRDefault="00B06AD0" w:rsidP="002D69F6">
            <w:pPr>
              <w:keepNext/>
              <w:jc w:val="left"/>
              <w:rPr>
                <w:rFonts w:cs="Arial"/>
                <w:sz w:val="18"/>
                <w:lang w:eastAsia="ja-JP"/>
              </w:rPr>
            </w:pPr>
            <w:r w:rsidRPr="0066652C">
              <w:rPr>
                <w:rFonts w:cs="Arial"/>
                <w:sz w:val="18"/>
                <w:lang w:eastAsia="ja-JP"/>
              </w:rPr>
              <w:t>Myanmar (30), Viet Nam (1), Japón (2)</w:t>
            </w:r>
          </w:p>
        </w:tc>
      </w:tr>
    </w:tbl>
    <w:p w:rsidR="00B06AD0" w:rsidRPr="00746819" w:rsidRDefault="00B06AD0" w:rsidP="00B06AD0">
      <w:pPr>
        <w:rPr>
          <w:rFonts w:cs="Arial"/>
          <w:lang w:eastAsia="ja-JP"/>
        </w:rPr>
      </w:pPr>
    </w:p>
    <w:p w:rsidR="00B06AD0" w:rsidRPr="00746819" w:rsidRDefault="00B06AD0" w:rsidP="00B06AD0">
      <w:pPr>
        <w:rPr>
          <w:rFonts w:cs="Arial"/>
          <w:lang w:eastAsia="ja-JP"/>
        </w:rPr>
      </w:pPr>
    </w:p>
    <w:p w:rsidR="00B06AD0" w:rsidRPr="00D974AF" w:rsidRDefault="00B06AD0" w:rsidP="00D65C99">
      <w:pPr>
        <w:ind w:left="567" w:hanging="567"/>
        <w:rPr>
          <w:rFonts w:cs="Arial"/>
          <w:lang w:val="es-ES" w:eastAsia="ja-JP"/>
        </w:rPr>
      </w:pPr>
      <w:r w:rsidRPr="00D974AF">
        <w:rPr>
          <w:rFonts w:cs="Arial"/>
          <w:lang w:val="es-ES" w:eastAsia="ja-JP"/>
        </w:rPr>
        <w:t>5.3</w:t>
      </w:r>
      <w:r w:rsidRPr="00D974AF">
        <w:rPr>
          <w:rFonts w:cs="Arial"/>
          <w:lang w:val="es-ES" w:eastAsia="ja-JP"/>
        </w:rPr>
        <w:tab/>
      </w:r>
      <w:r w:rsidRPr="0066652C">
        <w:rPr>
          <w:rFonts w:cs="Arial"/>
          <w:lang w:eastAsia="ja-JP"/>
        </w:rPr>
        <w:t>Curso internacional de formación organizado por la Agencia Japonesa de Cooperación Internacional (JICA)</w:t>
      </w:r>
      <w:bookmarkStart w:id="3" w:name="_GoBack"/>
      <w:bookmarkEnd w:id="3"/>
    </w:p>
    <w:p w:rsidR="00B06AD0" w:rsidRPr="00D974AF" w:rsidRDefault="00B06AD0" w:rsidP="00B06AD0">
      <w:pPr>
        <w:rPr>
          <w:rFonts w:cs="Arial"/>
          <w:lang w:val="es-ES" w:eastAsia="ja-JP"/>
        </w:rPr>
      </w:pPr>
    </w:p>
    <w:p w:rsidR="00B06AD0" w:rsidRPr="00D974AF" w:rsidRDefault="00B06AD0" w:rsidP="00B06AD0">
      <w:pPr>
        <w:rPr>
          <w:rFonts w:cs="Arial"/>
          <w:lang w:val="es-ES" w:eastAsia="ja-JP"/>
        </w:rPr>
      </w:pPr>
      <w:r w:rsidRPr="0066652C">
        <w:rPr>
          <w:rFonts w:cs="Arial"/>
          <w:lang w:eastAsia="ja-JP"/>
        </w:rPr>
        <w:t>Tras el curso similar de formación celebrado en 2016, la JICA, en cooperación con la secretaría de la Oficina de la UPOV, organizó un curso internacional de formación de tres meses de duración, titulado “La protección de las obtenciones vegetales y el sistema de control de la calidad de las semillas para facilitar la distribución de semillas de alta calidad”, que tuvo lugar del 18 de junio al 21 de septiembre de 2018 en el Japón y Viet Nam, y en el que participaron tres alumnos de la Argentina, Myanmar y Viet Nam.</w:t>
      </w:r>
    </w:p>
    <w:p w:rsidR="00B06AD0" w:rsidRPr="00D974AF" w:rsidRDefault="00B06AD0" w:rsidP="00B06AD0">
      <w:pPr>
        <w:rPr>
          <w:rFonts w:cs="Arial"/>
          <w:lang w:val="es-ES"/>
        </w:rPr>
      </w:pPr>
    </w:p>
    <w:p w:rsidR="0047359E" w:rsidRDefault="0047359E" w:rsidP="0047359E">
      <w:pPr>
        <w:jc w:val="left"/>
      </w:pPr>
    </w:p>
    <w:p w:rsidR="00B06AD0" w:rsidRDefault="00B06AD0" w:rsidP="0047359E">
      <w:pPr>
        <w:jc w:val="left"/>
      </w:pPr>
    </w:p>
    <w:p w:rsidR="00050E16" w:rsidRPr="00C5280D" w:rsidRDefault="0047359E" w:rsidP="00B06AD0">
      <w:pPr>
        <w:jc w:val="right"/>
      </w:pPr>
      <w:r>
        <w:t>[</w:t>
      </w:r>
      <w:r w:rsidR="006176B7">
        <w:t xml:space="preserve">Fin del </w:t>
      </w:r>
      <w:r>
        <w:t xml:space="preserve">Anexo </w:t>
      </w:r>
      <w:r w:rsidR="008C14F7">
        <w:t>I</w:t>
      </w:r>
      <w:r>
        <w:t xml:space="preserve">V </w:t>
      </w:r>
      <w:r w:rsidR="006176B7">
        <w:t xml:space="preserve">y del </w:t>
      </w:r>
      <w:r>
        <w:t>document</w:t>
      </w:r>
      <w:r w:rsidR="006176B7">
        <w:t>o</w:t>
      </w:r>
      <w:r>
        <w:t>]</w:t>
      </w:r>
    </w:p>
    <w:sectPr w:rsidR="00050E16" w:rsidRPr="00C5280D" w:rsidSect="00701798">
      <w:headerReference w:type="default" r:id="rId17"/>
      <w:pgSz w:w="11907" w:h="16840" w:code="9"/>
      <w:pgMar w:top="510" w:right="1134" w:bottom="851"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B72" w:rsidRDefault="00FD7B72" w:rsidP="006655D3">
      <w:r>
        <w:separator/>
      </w:r>
    </w:p>
    <w:p w:rsidR="00FD7B72" w:rsidRDefault="00FD7B72" w:rsidP="006655D3"/>
    <w:p w:rsidR="00FD7B72" w:rsidRDefault="00FD7B72" w:rsidP="006655D3"/>
  </w:endnote>
  <w:endnote w:type="continuationSeparator" w:id="0">
    <w:p w:rsidR="00FD7B72" w:rsidRDefault="00FD7B72" w:rsidP="006655D3">
      <w:r>
        <w:separator/>
      </w:r>
    </w:p>
    <w:p w:rsidR="00FD7B72" w:rsidRPr="00294751" w:rsidRDefault="00FD7B72">
      <w:pPr>
        <w:pStyle w:val="Footer"/>
        <w:spacing w:after="60"/>
        <w:rPr>
          <w:sz w:val="18"/>
          <w:lang w:val="fr-FR"/>
        </w:rPr>
      </w:pPr>
      <w:r w:rsidRPr="00294751">
        <w:rPr>
          <w:sz w:val="18"/>
          <w:lang w:val="fr-FR"/>
        </w:rPr>
        <w:t>[Suite de la note de la page précédente]</w:t>
      </w:r>
    </w:p>
    <w:p w:rsidR="00FD7B72" w:rsidRPr="00294751" w:rsidRDefault="00FD7B72" w:rsidP="006655D3">
      <w:pPr>
        <w:rPr>
          <w:lang w:val="fr-FR"/>
        </w:rPr>
      </w:pPr>
    </w:p>
    <w:p w:rsidR="00FD7B72" w:rsidRPr="00294751" w:rsidRDefault="00FD7B72" w:rsidP="006655D3">
      <w:pPr>
        <w:rPr>
          <w:lang w:val="fr-FR"/>
        </w:rPr>
      </w:pPr>
    </w:p>
  </w:endnote>
  <w:endnote w:type="continuationNotice" w:id="1">
    <w:p w:rsidR="00FD7B72" w:rsidRPr="00294751" w:rsidRDefault="00FD7B72" w:rsidP="006655D3">
      <w:pPr>
        <w:rPr>
          <w:lang w:val="fr-FR"/>
        </w:rPr>
      </w:pPr>
      <w:r w:rsidRPr="00294751">
        <w:rPr>
          <w:lang w:val="fr-FR"/>
        </w:rPr>
        <w:t>[Suite de la note page suivante]</w:t>
      </w:r>
    </w:p>
    <w:p w:rsidR="00FD7B72" w:rsidRPr="00294751" w:rsidRDefault="00FD7B72" w:rsidP="006655D3">
      <w:pPr>
        <w:rPr>
          <w:lang w:val="fr-FR"/>
        </w:rPr>
      </w:pPr>
    </w:p>
    <w:p w:rsidR="00FD7B72" w:rsidRPr="00294751" w:rsidRDefault="00FD7B7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B72" w:rsidRDefault="00FD7B72" w:rsidP="006655D3">
      <w:r>
        <w:separator/>
      </w:r>
    </w:p>
  </w:footnote>
  <w:footnote w:type="continuationSeparator" w:id="0">
    <w:p w:rsidR="00FD7B72" w:rsidRDefault="00FD7B72" w:rsidP="006655D3">
      <w:r>
        <w:separator/>
      </w:r>
    </w:p>
  </w:footnote>
  <w:footnote w:type="continuationNotice" w:id="1">
    <w:p w:rsidR="00FD7B72" w:rsidRPr="00AB530F" w:rsidRDefault="00FD7B72" w:rsidP="00AB530F">
      <w:pPr>
        <w:pStyle w:val="Footer"/>
      </w:pPr>
    </w:p>
  </w:footnote>
  <w:footnote w:id="2">
    <w:p w:rsidR="00B06AD0" w:rsidRPr="00D974AF" w:rsidRDefault="00B06AD0" w:rsidP="00B06AD0">
      <w:pPr>
        <w:pStyle w:val="FootnoteText"/>
        <w:rPr>
          <w:lang w:val="es-ES" w:eastAsia="ja-JP"/>
        </w:rPr>
      </w:pPr>
      <w:r>
        <w:rPr>
          <w:rStyle w:val="FootnoteReference"/>
        </w:rPr>
        <w:footnoteRef/>
      </w:r>
      <w:r w:rsidRPr="00D974AF">
        <w:rPr>
          <w:lang w:val="es-ES"/>
        </w:rPr>
        <w:tab/>
      </w:r>
      <w:r w:rsidRPr="002362F5">
        <w:t>Los documentos fueron aprobados a reserva de las nuevas observaciones que puedan formular China y la República de Corea en el plazo de seis meses.</w:t>
      </w:r>
      <w:r w:rsidRPr="00D974AF">
        <w:rPr>
          <w:lang w:val="es-ES"/>
        </w:rPr>
        <w:t xml:space="preserve"> </w:t>
      </w:r>
      <w:r w:rsidRPr="002362F5">
        <w:t>En el caso de que se proponga alguna enmienda, los documentos se distribuirán a todos los miembros del Foro y se examinarán con la intención de modificarlos por consenso.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0A23DC" w:rsidRDefault="000A014B" w:rsidP="000A23DC">
    <w:pPr>
      <w:pStyle w:val="Header"/>
      <w:rPr>
        <w:rStyle w:val="PageNumber"/>
      </w:rPr>
    </w:pPr>
    <w:r>
      <w:rPr>
        <w:rStyle w:val="PageNumber"/>
      </w:rPr>
      <w:t>C/52</w:t>
    </w:r>
    <w:r w:rsidR="00667404" w:rsidRPr="000A23DC">
      <w:rPr>
        <w:rStyle w:val="PageNumber"/>
      </w:rPr>
      <w:t>/</w:t>
    </w:r>
  </w:p>
  <w:p w:rsidR="00182B99" w:rsidRPr="00202E38" w:rsidRDefault="008B3D8D" w:rsidP="008B3D8D">
    <w:pPr>
      <w:pStyle w:val="Header"/>
      <w:rPr>
        <w:lang w:val="de-DE"/>
      </w:rPr>
    </w:pPr>
    <w:r w:rsidRPr="008B3D8D">
      <w:t>página</w:t>
    </w:r>
    <w:r w:rsidR="00182B99" w:rsidRPr="00202E38">
      <w:rPr>
        <w:lang w:val="de-DE"/>
      </w:rPr>
      <w:t xml:space="preserve"> </w:t>
    </w:r>
    <w:r w:rsidR="00182B99" w:rsidRPr="00202E38">
      <w:rPr>
        <w:rStyle w:val="PageNumber"/>
        <w:lang w:val="de-DE"/>
      </w:rPr>
      <w:fldChar w:fldCharType="begin"/>
    </w:r>
    <w:r w:rsidR="00182B99" w:rsidRPr="00202E38">
      <w:rPr>
        <w:rStyle w:val="PageNumber"/>
        <w:lang w:val="de-DE"/>
      </w:rPr>
      <w:instrText xml:space="preserve"> PAGE </w:instrText>
    </w:r>
    <w:r w:rsidR="00182B99" w:rsidRPr="00202E38">
      <w:rPr>
        <w:rStyle w:val="PageNumber"/>
        <w:lang w:val="de-DE"/>
      </w:rPr>
      <w:fldChar w:fldCharType="separate"/>
    </w:r>
    <w:r w:rsidR="003D5DCC">
      <w:rPr>
        <w:rStyle w:val="PageNumber"/>
        <w:noProof/>
        <w:lang w:val="de-DE"/>
      </w:rPr>
      <w:t>2</w:t>
    </w:r>
    <w:r w:rsidR="00182B99" w:rsidRPr="00202E38">
      <w:rPr>
        <w:rStyle w:val="PageNumber"/>
        <w:lang w:val="de-DE"/>
      </w:rPr>
      <w:fldChar w:fldCharType="end"/>
    </w:r>
  </w:p>
  <w:p w:rsidR="00182B99" w:rsidRPr="00202E38" w:rsidRDefault="00182B99" w:rsidP="006655D3">
    <w:pP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59E" w:rsidRPr="00C5280D" w:rsidRDefault="00C97EE1" w:rsidP="00EB048E">
    <w:pPr>
      <w:pStyle w:val="Header"/>
      <w:rPr>
        <w:rStyle w:val="PageNumber"/>
        <w:lang w:val="en-US"/>
      </w:rPr>
    </w:pPr>
    <w:r>
      <w:rPr>
        <w:rStyle w:val="PageNumber"/>
        <w:lang w:val="en-US"/>
      </w:rPr>
      <w:t>C/52/15 Add.</w:t>
    </w:r>
  </w:p>
  <w:p w:rsidR="0047359E" w:rsidRPr="00C5280D" w:rsidRDefault="0047359E" w:rsidP="00EB048E">
    <w:pPr>
      <w:pStyle w:val="Header"/>
      <w:rPr>
        <w:lang w:val="en-US"/>
      </w:rPr>
    </w:pPr>
    <w:r>
      <w:rPr>
        <w:lang w:val="en-US"/>
      </w:rPr>
      <w:t>Anexo I, página</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C14F7">
      <w:rPr>
        <w:rStyle w:val="PageNumber"/>
        <w:noProof/>
        <w:lang w:val="en-US"/>
      </w:rPr>
      <w:t>2</w:t>
    </w:r>
    <w:r w:rsidRPr="00C5280D">
      <w:rPr>
        <w:rStyle w:val="PageNumber"/>
        <w:lang w:val="en-US"/>
      </w:rPr>
      <w:fldChar w:fldCharType="end"/>
    </w:r>
  </w:p>
  <w:p w:rsidR="0047359E" w:rsidRPr="00C5280D" w:rsidRDefault="0047359E"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59E" w:rsidRPr="00C5280D" w:rsidRDefault="00C97EE1" w:rsidP="00EB048E">
    <w:pPr>
      <w:pStyle w:val="Header"/>
      <w:rPr>
        <w:rStyle w:val="PageNumber"/>
        <w:lang w:val="en-US"/>
      </w:rPr>
    </w:pPr>
    <w:r>
      <w:rPr>
        <w:rStyle w:val="PageNumber"/>
        <w:lang w:val="en-US"/>
      </w:rPr>
      <w:t>C/52/15 Add.</w:t>
    </w:r>
  </w:p>
  <w:p w:rsidR="0047359E" w:rsidRPr="00C5280D" w:rsidRDefault="0047359E" w:rsidP="00EB048E">
    <w:pPr>
      <w:pStyle w:val="Header"/>
      <w:rPr>
        <w:lang w:val="en-US"/>
      </w:rPr>
    </w:pPr>
    <w:r>
      <w:rPr>
        <w:lang w:val="en-US"/>
      </w:rPr>
      <w:t>Anexo II, página</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60AC7">
      <w:rPr>
        <w:rStyle w:val="PageNumber"/>
        <w:noProof/>
        <w:lang w:val="en-US"/>
      </w:rPr>
      <w:t>2</w:t>
    </w:r>
    <w:r w:rsidRPr="00C5280D">
      <w:rPr>
        <w:rStyle w:val="PageNumber"/>
        <w:lang w:val="en-US"/>
      </w:rPr>
      <w:fldChar w:fldCharType="end"/>
    </w:r>
  </w:p>
  <w:p w:rsidR="0047359E" w:rsidRPr="00C5280D" w:rsidRDefault="0047359E" w:rsidP="006655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59E" w:rsidRPr="00C5280D" w:rsidRDefault="00C97EE1" w:rsidP="00EB048E">
    <w:pPr>
      <w:pStyle w:val="Header"/>
      <w:rPr>
        <w:rStyle w:val="PageNumber"/>
        <w:lang w:val="en-US"/>
      </w:rPr>
    </w:pPr>
    <w:r>
      <w:rPr>
        <w:rStyle w:val="PageNumber"/>
        <w:lang w:val="en-US"/>
      </w:rPr>
      <w:t>C/52/15 Add.</w:t>
    </w:r>
  </w:p>
  <w:p w:rsidR="0047359E" w:rsidRPr="00C5280D" w:rsidRDefault="0047359E" w:rsidP="00EB048E">
    <w:pPr>
      <w:pStyle w:val="Header"/>
      <w:rPr>
        <w:lang w:val="en-US"/>
      </w:rPr>
    </w:pPr>
    <w:r>
      <w:rPr>
        <w:lang w:val="en-US"/>
      </w:rPr>
      <w:t>Anexo III, página</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65C99">
      <w:rPr>
        <w:rStyle w:val="PageNumber"/>
        <w:noProof/>
        <w:lang w:val="en-US"/>
      </w:rPr>
      <w:t>2</w:t>
    </w:r>
    <w:r w:rsidRPr="00C5280D">
      <w:rPr>
        <w:rStyle w:val="PageNumber"/>
        <w:lang w:val="en-US"/>
      </w:rPr>
      <w:fldChar w:fldCharType="end"/>
    </w:r>
  </w:p>
  <w:p w:rsidR="0047359E" w:rsidRPr="00C5280D" w:rsidRDefault="0047359E"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8C6" w:rsidRPr="00C5280D" w:rsidRDefault="00C97EE1" w:rsidP="00EB048E">
    <w:pPr>
      <w:pStyle w:val="Header"/>
      <w:rPr>
        <w:rStyle w:val="PageNumber"/>
        <w:lang w:val="en-US"/>
      </w:rPr>
    </w:pPr>
    <w:r>
      <w:rPr>
        <w:rStyle w:val="PageNumber"/>
        <w:lang w:val="en-US"/>
      </w:rPr>
      <w:t>C/52/15 Add.</w:t>
    </w:r>
  </w:p>
  <w:p w:rsidR="00C158C6" w:rsidRPr="00C5280D" w:rsidRDefault="0047359E" w:rsidP="00EB048E">
    <w:pPr>
      <w:pStyle w:val="Header"/>
      <w:rPr>
        <w:lang w:val="en-US"/>
      </w:rPr>
    </w:pPr>
    <w:r>
      <w:rPr>
        <w:lang w:val="en-US"/>
      </w:rPr>
      <w:t>Anexo</w:t>
    </w:r>
    <w:r w:rsidR="00407A2C">
      <w:rPr>
        <w:lang w:val="en-US"/>
      </w:rPr>
      <w:t xml:space="preserve"> </w:t>
    </w:r>
    <w:r w:rsidR="00B06AD0">
      <w:rPr>
        <w:lang w:val="en-US"/>
      </w:rPr>
      <w:t>I</w:t>
    </w:r>
    <w:r w:rsidR="00407A2C">
      <w:rPr>
        <w:lang w:val="en-US"/>
      </w:rPr>
      <w:t xml:space="preserve">V, </w:t>
    </w:r>
    <w:r>
      <w:rPr>
        <w:lang w:val="en-US"/>
      </w:rPr>
      <w:t>página</w:t>
    </w:r>
    <w:r w:rsidR="00407A2C" w:rsidRPr="00C5280D">
      <w:rPr>
        <w:lang w:val="en-US"/>
      </w:rPr>
      <w:t xml:space="preserve"> </w:t>
    </w:r>
    <w:r w:rsidR="00407A2C" w:rsidRPr="00C5280D">
      <w:rPr>
        <w:rStyle w:val="PageNumber"/>
        <w:lang w:val="en-US"/>
      </w:rPr>
      <w:fldChar w:fldCharType="begin"/>
    </w:r>
    <w:r w:rsidR="00407A2C" w:rsidRPr="00C5280D">
      <w:rPr>
        <w:rStyle w:val="PageNumber"/>
        <w:lang w:val="en-US"/>
      </w:rPr>
      <w:instrText xml:space="preserve"> PAGE </w:instrText>
    </w:r>
    <w:r w:rsidR="00407A2C" w:rsidRPr="00C5280D">
      <w:rPr>
        <w:rStyle w:val="PageNumber"/>
        <w:lang w:val="en-US"/>
      </w:rPr>
      <w:fldChar w:fldCharType="separate"/>
    </w:r>
    <w:r w:rsidR="00D65C99">
      <w:rPr>
        <w:rStyle w:val="PageNumber"/>
        <w:noProof/>
        <w:lang w:val="en-US"/>
      </w:rPr>
      <w:t>2</w:t>
    </w:r>
    <w:r w:rsidR="00407A2C" w:rsidRPr="00C5280D">
      <w:rPr>
        <w:rStyle w:val="PageNumber"/>
        <w:lang w:val="en-US"/>
      </w:rPr>
      <w:fldChar w:fldCharType="end"/>
    </w:r>
  </w:p>
  <w:p w:rsidR="00C158C6" w:rsidRPr="00C5280D" w:rsidRDefault="00D65C99"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87F4D"/>
    <w:multiLevelType w:val="hybridMultilevel"/>
    <w:tmpl w:val="ECC4D038"/>
    <w:lvl w:ilvl="0" w:tplc="8E1AE5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5A00F8"/>
    <w:multiLevelType w:val="hybridMultilevel"/>
    <w:tmpl w:val="D19AB7EA"/>
    <w:lvl w:ilvl="0" w:tplc="080A0001">
      <w:start w:val="1"/>
      <w:numFmt w:val="bullet"/>
      <w:lvlText w:val=""/>
      <w:lvlJc w:val="left"/>
      <w:pPr>
        <w:ind w:left="3240" w:hanging="360"/>
      </w:pPr>
      <w:rPr>
        <w:rFonts w:ascii="Symbol" w:hAnsi="Symbol" w:hint="default"/>
      </w:rPr>
    </w:lvl>
    <w:lvl w:ilvl="1" w:tplc="080A0003" w:tentative="1">
      <w:start w:val="1"/>
      <w:numFmt w:val="bullet"/>
      <w:lvlText w:val="o"/>
      <w:lvlJc w:val="left"/>
      <w:pPr>
        <w:ind w:left="3960" w:hanging="360"/>
      </w:pPr>
      <w:rPr>
        <w:rFonts w:ascii="Courier New" w:hAnsi="Courier New" w:cs="Courier New" w:hint="default"/>
      </w:rPr>
    </w:lvl>
    <w:lvl w:ilvl="2" w:tplc="080A0005" w:tentative="1">
      <w:start w:val="1"/>
      <w:numFmt w:val="bullet"/>
      <w:lvlText w:val=""/>
      <w:lvlJc w:val="left"/>
      <w:pPr>
        <w:ind w:left="4680" w:hanging="360"/>
      </w:pPr>
      <w:rPr>
        <w:rFonts w:ascii="Wingdings" w:hAnsi="Wingdings" w:hint="default"/>
      </w:rPr>
    </w:lvl>
    <w:lvl w:ilvl="3" w:tplc="080A0001" w:tentative="1">
      <w:start w:val="1"/>
      <w:numFmt w:val="bullet"/>
      <w:lvlText w:val=""/>
      <w:lvlJc w:val="left"/>
      <w:pPr>
        <w:ind w:left="5400" w:hanging="360"/>
      </w:pPr>
      <w:rPr>
        <w:rFonts w:ascii="Symbol" w:hAnsi="Symbol" w:hint="default"/>
      </w:rPr>
    </w:lvl>
    <w:lvl w:ilvl="4" w:tplc="080A0003" w:tentative="1">
      <w:start w:val="1"/>
      <w:numFmt w:val="bullet"/>
      <w:lvlText w:val="o"/>
      <w:lvlJc w:val="left"/>
      <w:pPr>
        <w:ind w:left="6120" w:hanging="360"/>
      </w:pPr>
      <w:rPr>
        <w:rFonts w:ascii="Courier New" w:hAnsi="Courier New" w:cs="Courier New" w:hint="default"/>
      </w:rPr>
    </w:lvl>
    <w:lvl w:ilvl="5" w:tplc="080A0005" w:tentative="1">
      <w:start w:val="1"/>
      <w:numFmt w:val="bullet"/>
      <w:lvlText w:val=""/>
      <w:lvlJc w:val="left"/>
      <w:pPr>
        <w:ind w:left="6840" w:hanging="360"/>
      </w:pPr>
      <w:rPr>
        <w:rFonts w:ascii="Wingdings" w:hAnsi="Wingdings" w:hint="default"/>
      </w:rPr>
    </w:lvl>
    <w:lvl w:ilvl="6" w:tplc="080A0001" w:tentative="1">
      <w:start w:val="1"/>
      <w:numFmt w:val="bullet"/>
      <w:lvlText w:val=""/>
      <w:lvlJc w:val="left"/>
      <w:pPr>
        <w:ind w:left="7560" w:hanging="360"/>
      </w:pPr>
      <w:rPr>
        <w:rFonts w:ascii="Symbol" w:hAnsi="Symbol" w:hint="default"/>
      </w:rPr>
    </w:lvl>
    <w:lvl w:ilvl="7" w:tplc="080A0003" w:tentative="1">
      <w:start w:val="1"/>
      <w:numFmt w:val="bullet"/>
      <w:lvlText w:val="o"/>
      <w:lvlJc w:val="left"/>
      <w:pPr>
        <w:ind w:left="8280" w:hanging="360"/>
      </w:pPr>
      <w:rPr>
        <w:rFonts w:ascii="Courier New" w:hAnsi="Courier New" w:cs="Courier New" w:hint="default"/>
      </w:rPr>
    </w:lvl>
    <w:lvl w:ilvl="8" w:tplc="080A0005" w:tentative="1">
      <w:start w:val="1"/>
      <w:numFmt w:val="bullet"/>
      <w:lvlText w:val=""/>
      <w:lvlJc w:val="left"/>
      <w:pPr>
        <w:ind w:left="9000" w:hanging="360"/>
      </w:pPr>
      <w:rPr>
        <w:rFonts w:ascii="Wingdings" w:hAnsi="Wingdings" w:hint="default"/>
      </w:rPr>
    </w:lvl>
  </w:abstractNum>
  <w:abstractNum w:abstractNumId="2" w15:restartNumberingAfterBreak="0">
    <w:nsid w:val="2F13315F"/>
    <w:multiLevelType w:val="hybridMultilevel"/>
    <w:tmpl w:val="68BA1C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C16581"/>
    <w:multiLevelType w:val="hybridMultilevel"/>
    <w:tmpl w:val="86063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A07AA2"/>
    <w:multiLevelType w:val="hybridMultilevel"/>
    <w:tmpl w:val="47D4F660"/>
    <w:lvl w:ilvl="0" w:tplc="4F9C7DA2">
      <w:numFmt w:val="bullet"/>
      <w:lvlText w:val="•"/>
      <w:lvlJc w:val="left"/>
      <w:pPr>
        <w:ind w:left="930" w:hanging="57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8C08D8"/>
    <w:multiLevelType w:val="hybridMultilevel"/>
    <w:tmpl w:val="E2580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A90C71"/>
    <w:multiLevelType w:val="hybridMultilevel"/>
    <w:tmpl w:val="F148F746"/>
    <w:lvl w:ilvl="0" w:tplc="8E1AE5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8D5AF7"/>
    <w:multiLevelType w:val="hybridMultilevel"/>
    <w:tmpl w:val="5C1E749E"/>
    <w:lvl w:ilvl="0" w:tplc="6A98DB36">
      <w:start w:val="1"/>
      <w:numFmt w:val="lowerLetter"/>
      <w:lvlText w:val="(%1)"/>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8" w15:restartNumberingAfterBreak="0">
    <w:nsid w:val="6AE10F30"/>
    <w:multiLevelType w:val="hybridMultilevel"/>
    <w:tmpl w:val="9BE2A318"/>
    <w:lvl w:ilvl="0" w:tplc="04160001">
      <w:start w:val="1"/>
      <w:numFmt w:val="bullet"/>
      <w:lvlText w:val=""/>
      <w:lvlJc w:val="left"/>
      <w:pPr>
        <w:ind w:left="927" w:hanging="360"/>
      </w:pPr>
      <w:rPr>
        <w:rFonts w:ascii="Symbol" w:hAnsi="Symbol" w:hint="default"/>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7"/>
  </w:num>
  <w:num w:numId="6">
    <w:abstractNumId w:val="6"/>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B72"/>
    <w:rsid w:val="00010450"/>
    <w:rsid w:val="00010CF3"/>
    <w:rsid w:val="00011E27"/>
    <w:rsid w:val="000148BC"/>
    <w:rsid w:val="00024AB8"/>
    <w:rsid w:val="00030854"/>
    <w:rsid w:val="00036028"/>
    <w:rsid w:val="00044642"/>
    <w:rsid w:val="000446B9"/>
    <w:rsid w:val="00047E21"/>
    <w:rsid w:val="00050E16"/>
    <w:rsid w:val="000638A9"/>
    <w:rsid w:val="00085505"/>
    <w:rsid w:val="000A014B"/>
    <w:rsid w:val="000A23DC"/>
    <w:rsid w:val="000C4E25"/>
    <w:rsid w:val="000C7021"/>
    <w:rsid w:val="000D6BBC"/>
    <w:rsid w:val="000D7780"/>
    <w:rsid w:val="000E525F"/>
    <w:rsid w:val="000E636A"/>
    <w:rsid w:val="000F2F11"/>
    <w:rsid w:val="00105929"/>
    <w:rsid w:val="00110C36"/>
    <w:rsid w:val="001131D5"/>
    <w:rsid w:val="00121096"/>
    <w:rsid w:val="00141DB8"/>
    <w:rsid w:val="00172084"/>
    <w:rsid w:val="0017474A"/>
    <w:rsid w:val="001758C6"/>
    <w:rsid w:val="00182B99"/>
    <w:rsid w:val="001D019F"/>
    <w:rsid w:val="001F528B"/>
    <w:rsid w:val="001F64BF"/>
    <w:rsid w:val="00202E38"/>
    <w:rsid w:val="0021332C"/>
    <w:rsid w:val="00213982"/>
    <w:rsid w:val="0024416D"/>
    <w:rsid w:val="002464A3"/>
    <w:rsid w:val="00253385"/>
    <w:rsid w:val="00271911"/>
    <w:rsid w:val="002800A0"/>
    <w:rsid w:val="002801B3"/>
    <w:rsid w:val="00281060"/>
    <w:rsid w:val="002940E8"/>
    <w:rsid w:val="00294751"/>
    <w:rsid w:val="002A6E50"/>
    <w:rsid w:val="002B4298"/>
    <w:rsid w:val="002C256A"/>
    <w:rsid w:val="002E5944"/>
    <w:rsid w:val="00305A7F"/>
    <w:rsid w:val="003152FE"/>
    <w:rsid w:val="00327436"/>
    <w:rsid w:val="00344BD6"/>
    <w:rsid w:val="0035528D"/>
    <w:rsid w:val="00361821"/>
    <w:rsid w:val="00361E9E"/>
    <w:rsid w:val="003B031A"/>
    <w:rsid w:val="003C7FBE"/>
    <w:rsid w:val="003D227C"/>
    <w:rsid w:val="003D2B4D"/>
    <w:rsid w:val="003D5DCC"/>
    <w:rsid w:val="00401DDB"/>
    <w:rsid w:val="0040557F"/>
    <w:rsid w:val="00407A2C"/>
    <w:rsid w:val="00427BA3"/>
    <w:rsid w:val="00444A88"/>
    <w:rsid w:val="0047359E"/>
    <w:rsid w:val="00474DA4"/>
    <w:rsid w:val="00476B4D"/>
    <w:rsid w:val="004805FA"/>
    <w:rsid w:val="004935D2"/>
    <w:rsid w:val="004B1215"/>
    <w:rsid w:val="004D047D"/>
    <w:rsid w:val="004F1E9E"/>
    <w:rsid w:val="004F305A"/>
    <w:rsid w:val="00512164"/>
    <w:rsid w:val="00520297"/>
    <w:rsid w:val="005338F9"/>
    <w:rsid w:val="0054281C"/>
    <w:rsid w:val="00544581"/>
    <w:rsid w:val="00545E42"/>
    <w:rsid w:val="0055268D"/>
    <w:rsid w:val="00576BE4"/>
    <w:rsid w:val="005A400A"/>
    <w:rsid w:val="005F7B92"/>
    <w:rsid w:val="00612379"/>
    <w:rsid w:val="006153B6"/>
    <w:rsid w:val="0061555F"/>
    <w:rsid w:val="006176B7"/>
    <w:rsid w:val="00636CA6"/>
    <w:rsid w:val="00637EDD"/>
    <w:rsid w:val="00641200"/>
    <w:rsid w:val="00645CA8"/>
    <w:rsid w:val="006655D3"/>
    <w:rsid w:val="00667404"/>
    <w:rsid w:val="00687EB4"/>
    <w:rsid w:val="00695C56"/>
    <w:rsid w:val="006A32E5"/>
    <w:rsid w:val="006A5CDE"/>
    <w:rsid w:val="006A644A"/>
    <w:rsid w:val="006B17D2"/>
    <w:rsid w:val="006C224E"/>
    <w:rsid w:val="006D780A"/>
    <w:rsid w:val="00701798"/>
    <w:rsid w:val="0071271E"/>
    <w:rsid w:val="00732DEC"/>
    <w:rsid w:val="00735BD5"/>
    <w:rsid w:val="00751613"/>
    <w:rsid w:val="007556F6"/>
    <w:rsid w:val="00760EEF"/>
    <w:rsid w:val="00777EE5"/>
    <w:rsid w:val="00783722"/>
    <w:rsid w:val="00784836"/>
    <w:rsid w:val="0079023E"/>
    <w:rsid w:val="007975FB"/>
    <w:rsid w:val="007A2854"/>
    <w:rsid w:val="007C1D92"/>
    <w:rsid w:val="007C4CB9"/>
    <w:rsid w:val="007D0B9D"/>
    <w:rsid w:val="007D19B0"/>
    <w:rsid w:val="007F498F"/>
    <w:rsid w:val="0080679D"/>
    <w:rsid w:val="008108B0"/>
    <w:rsid w:val="00811B20"/>
    <w:rsid w:val="008211B5"/>
    <w:rsid w:val="0082296E"/>
    <w:rsid w:val="00824099"/>
    <w:rsid w:val="00846D7C"/>
    <w:rsid w:val="008574A4"/>
    <w:rsid w:val="00864C55"/>
    <w:rsid w:val="00867AC1"/>
    <w:rsid w:val="00890DF8"/>
    <w:rsid w:val="008A743F"/>
    <w:rsid w:val="008B3D8D"/>
    <w:rsid w:val="008C0970"/>
    <w:rsid w:val="008C14F7"/>
    <w:rsid w:val="008D0BC5"/>
    <w:rsid w:val="008D2CF7"/>
    <w:rsid w:val="00900C26"/>
    <w:rsid w:val="0090197F"/>
    <w:rsid w:val="00903384"/>
    <w:rsid w:val="00906DDC"/>
    <w:rsid w:val="00934E09"/>
    <w:rsid w:val="00936253"/>
    <w:rsid w:val="00940D46"/>
    <w:rsid w:val="00952DD4"/>
    <w:rsid w:val="00960AC7"/>
    <w:rsid w:val="0096175D"/>
    <w:rsid w:val="00965AE7"/>
    <w:rsid w:val="00970FED"/>
    <w:rsid w:val="00992D82"/>
    <w:rsid w:val="00997029"/>
    <w:rsid w:val="009A7339"/>
    <w:rsid w:val="009B440E"/>
    <w:rsid w:val="009C4D14"/>
    <w:rsid w:val="009D690D"/>
    <w:rsid w:val="009E65B6"/>
    <w:rsid w:val="00A20FB2"/>
    <w:rsid w:val="00A24C10"/>
    <w:rsid w:val="00A42AC3"/>
    <w:rsid w:val="00A430CF"/>
    <w:rsid w:val="00A50F02"/>
    <w:rsid w:val="00A54309"/>
    <w:rsid w:val="00A60E41"/>
    <w:rsid w:val="00A706D3"/>
    <w:rsid w:val="00AB2B93"/>
    <w:rsid w:val="00AB530F"/>
    <w:rsid w:val="00AB7E5B"/>
    <w:rsid w:val="00AC2883"/>
    <w:rsid w:val="00AE0EF1"/>
    <w:rsid w:val="00AE1CD4"/>
    <w:rsid w:val="00AE2937"/>
    <w:rsid w:val="00B06AD0"/>
    <w:rsid w:val="00B07301"/>
    <w:rsid w:val="00B11F3E"/>
    <w:rsid w:val="00B224DE"/>
    <w:rsid w:val="00B324D4"/>
    <w:rsid w:val="00B46575"/>
    <w:rsid w:val="00B61777"/>
    <w:rsid w:val="00B84BBD"/>
    <w:rsid w:val="00BA43FB"/>
    <w:rsid w:val="00BC0BD4"/>
    <w:rsid w:val="00BC127D"/>
    <w:rsid w:val="00BC1FE6"/>
    <w:rsid w:val="00C061B6"/>
    <w:rsid w:val="00C2446C"/>
    <w:rsid w:val="00C31695"/>
    <w:rsid w:val="00C36AE5"/>
    <w:rsid w:val="00C41F17"/>
    <w:rsid w:val="00C527FA"/>
    <w:rsid w:val="00C5280D"/>
    <w:rsid w:val="00C53EB3"/>
    <w:rsid w:val="00C5791C"/>
    <w:rsid w:val="00C66290"/>
    <w:rsid w:val="00C72B7A"/>
    <w:rsid w:val="00C973F2"/>
    <w:rsid w:val="00C97EE1"/>
    <w:rsid w:val="00CA304C"/>
    <w:rsid w:val="00CA774A"/>
    <w:rsid w:val="00CC11B0"/>
    <w:rsid w:val="00CC2841"/>
    <w:rsid w:val="00CF1330"/>
    <w:rsid w:val="00CF7E36"/>
    <w:rsid w:val="00D3708D"/>
    <w:rsid w:val="00D40426"/>
    <w:rsid w:val="00D57C96"/>
    <w:rsid w:val="00D57D18"/>
    <w:rsid w:val="00D65C99"/>
    <w:rsid w:val="00D91203"/>
    <w:rsid w:val="00D95174"/>
    <w:rsid w:val="00DA4973"/>
    <w:rsid w:val="00DA6F36"/>
    <w:rsid w:val="00DB596E"/>
    <w:rsid w:val="00DB7773"/>
    <w:rsid w:val="00DC00EA"/>
    <w:rsid w:val="00DC3802"/>
    <w:rsid w:val="00E07D87"/>
    <w:rsid w:val="00E32F7E"/>
    <w:rsid w:val="00E5267B"/>
    <w:rsid w:val="00E63C0E"/>
    <w:rsid w:val="00E72D49"/>
    <w:rsid w:val="00E7593C"/>
    <w:rsid w:val="00E7678A"/>
    <w:rsid w:val="00E935F1"/>
    <w:rsid w:val="00E94A81"/>
    <w:rsid w:val="00EA1FFB"/>
    <w:rsid w:val="00EA65D2"/>
    <w:rsid w:val="00EB048E"/>
    <w:rsid w:val="00EB1D41"/>
    <w:rsid w:val="00EB4E9C"/>
    <w:rsid w:val="00EB7224"/>
    <w:rsid w:val="00EC2265"/>
    <w:rsid w:val="00EE34DF"/>
    <w:rsid w:val="00EF2F89"/>
    <w:rsid w:val="00F03155"/>
    <w:rsid w:val="00F03E98"/>
    <w:rsid w:val="00F1237A"/>
    <w:rsid w:val="00F22CBD"/>
    <w:rsid w:val="00F272F1"/>
    <w:rsid w:val="00F45372"/>
    <w:rsid w:val="00F560F7"/>
    <w:rsid w:val="00F6334D"/>
    <w:rsid w:val="00FA49AB"/>
    <w:rsid w:val="00FD3F87"/>
    <w:rsid w:val="00FD7B72"/>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5A9AD3"/>
  <w15:docId w15:val="{CB944EE8-85B5-4782-BDC8-838ED9BBE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lang w:val="es-ES_tradn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lang w:val="es-ES_tradnl"/>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01DDB"/>
    <w:pPr>
      <w:tabs>
        <w:tab w:val="left" w:pos="5387"/>
        <w:tab w:val="left" w:pos="5954"/>
      </w:tabs>
      <w:ind w:left="4820"/>
    </w:pPr>
    <w:rPr>
      <w:i/>
    </w:rPr>
  </w:style>
  <w:style w:type="paragraph" w:styleId="FootnoteText">
    <w:name w:val="footnote text"/>
    <w:link w:val="FootnoteTextChar"/>
    <w:autoRedefine/>
    <w:rsid w:val="00B06AD0"/>
    <w:pPr>
      <w:spacing w:before="60"/>
      <w:ind w:left="284" w:hanging="284"/>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401DD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401DD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401DD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401DDB"/>
    <w:pPr>
      <w:tabs>
        <w:tab w:val="right" w:leader="dot" w:pos="9639"/>
      </w:tabs>
      <w:spacing w:after="120"/>
      <w:jc w:val="center"/>
    </w:pPr>
    <w:rPr>
      <w:rFonts w:ascii="Arial" w:hAnsi="Arial"/>
      <w:caps/>
    </w:rPr>
  </w:style>
  <w:style w:type="paragraph" w:styleId="TOC5">
    <w:name w:val="toc 5"/>
    <w:next w:val="Normal"/>
    <w:autoRedefine/>
    <w:rsid w:val="00401DD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47359E"/>
    <w:pPr>
      <w:ind w:left="1134" w:hanging="567"/>
      <w:jc w:val="left"/>
    </w:pPr>
    <w:rPr>
      <w:szCs w:val="22"/>
      <w:lang w:val="en-US"/>
    </w:rPr>
  </w:style>
  <w:style w:type="character" w:customStyle="1" w:styleId="FootnoteTextChar">
    <w:name w:val="Footnote Text Char"/>
    <w:link w:val="FootnoteText"/>
    <w:rsid w:val="00B06AD0"/>
    <w:rPr>
      <w:rFonts w:ascii="Arial" w:hAnsi="Arial"/>
      <w:sz w:val="16"/>
      <w:lang w:val="es-ES_tradnl"/>
    </w:rPr>
  </w:style>
  <w:style w:type="table" w:styleId="TableGrid">
    <w:name w:val="Table Grid"/>
    <w:basedOn w:val="TableNormal"/>
    <w:rsid w:val="00473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doc_path_name Char"/>
    <w:basedOn w:val="DefaultParagraphFont"/>
    <w:link w:val="Footer"/>
    <w:rsid w:val="0047359E"/>
    <w:rPr>
      <w:rFonts w:ascii="Arial" w:hAnsi="Arial"/>
      <w:sz w:val="14"/>
    </w:rPr>
  </w:style>
  <w:style w:type="paragraph" w:styleId="BodyTextIndent2">
    <w:name w:val="Body Text Indent 2"/>
    <w:basedOn w:val="Normal"/>
    <w:link w:val="BodyTextIndent2Char"/>
    <w:rsid w:val="0047359E"/>
    <w:pPr>
      <w:spacing w:after="120" w:line="480" w:lineRule="auto"/>
      <w:ind w:left="283"/>
    </w:pPr>
    <w:rPr>
      <w:lang w:val="en-US"/>
    </w:rPr>
  </w:style>
  <w:style w:type="character" w:customStyle="1" w:styleId="BodyTextIndent2Char">
    <w:name w:val="Body Text Indent 2 Char"/>
    <w:basedOn w:val="DefaultParagraphFont"/>
    <w:link w:val="BodyTextIndent2"/>
    <w:rsid w:val="0047359E"/>
    <w:rPr>
      <w:rFonts w:ascii="Arial" w:hAnsi="Arial"/>
    </w:rPr>
  </w:style>
  <w:style w:type="character" w:styleId="Strong">
    <w:name w:val="Strong"/>
    <w:uiPriority w:val="22"/>
    <w:qFormat/>
    <w:rsid w:val="0047359E"/>
    <w:rPr>
      <w:b/>
      <w:bCs/>
    </w:rPr>
  </w:style>
  <w:style w:type="character" w:styleId="Emphasis">
    <w:name w:val="Emphasis"/>
    <w:uiPriority w:val="99"/>
    <w:qFormat/>
    <w:rsid w:val="0047359E"/>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s://plant-online.org/11th-eapvp-forum-meet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naro.affrc.go.jp/english/ncss/index.html"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egislation.gov.au/Details/C2018C00361"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2\templates\c_52_ES.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es-CO" sz="1800" b="1" i="0" baseline="0">
                <a:effectLst/>
              </a:rPr>
              <a:t>Solicitudes Recibidas por Especie Octubre de 2017 - Septiembre de 2018</a:t>
            </a:r>
            <a:endParaRPr lang="es-CO">
              <a:effectLst/>
            </a:endParaRPr>
          </a:p>
        </c:rich>
      </c:tx>
      <c:layout/>
      <c:overlay val="0"/>
    </c:title>
    <c:autoTitleDeleted val="0"/>
    <c:plotArea>
      <c:layout/>
      <c:barChart>
        <c:barDir val="col"/>
        <c:grouping val="clustered"/>
        <c:varyColors val="1"/>
        <c:ser>
          <c:idx val="0"/>
          <c:order val="0"/>
          <c:tx>
            <c:strRef>
              <c:f>Hoja1!$C$2:$C$3</c:f>
              <c:strCache>
                <c:ptCount val="1"/>
                <c:pt idx="0">
                  <c:v>SOLICITUDES X ESPECIE 2017-10 al 2018-09 Total</c:v>
                </c:pt>
              </c:strCache>
            </c:strRef>
          </c:tx>
          <c:invertIfNegative val="0"/>
          <c:dPt>
            <c:idx val="7"/>
            <c:invertIfNegative val="0"/>
            <c:bubble3D val="0"/>
            <c:spPr>
              <a:solidFill>
                <a:srgbClr val="00B050"/>
              </a:solidFill>
            </c:spPr>
            <c:extLst>
              <c:ext xmlns:c16="http://schemas.microsoft.com/office/drawing/2014/chart" uri="{C3380CC4-5D6E-409C-BE32-E72D297353CC}">
                <c16:uniqueId val="{00000001-4161-4AEB-9982-8FCFE684E356}"/>
              </c:ext>
            </c:extLst>
          </c:dPt>
          <c:dPt>
            <c:idx val="16"/>
            <c:invertIfNegative val="0"/>
            <c:bubble3D val="0"/>
            <c:spPr>
              <a:solidFill>
                <a:srgbClr val="FF0000"/>
              </a:solidFill>
            </c:spPr>
            <c:extLst>
              <c:ext xmlns:c16="http://schemas.microsoft.com/office/drawing/2014/chart" uri="{C3380CC4-5D6E-409C-BE32-E72D297353CC}">
                <c16:uniqueId val="{00000003-4161-4AEB-9982-8FCFE684E356}"/>
              </c:ext>
            </c:extLst>
          </c:dPt>
          <c:dPt>
            <c:idx val="18"/>
            <c:invertIfNegative val="0"/>
            <c:bubble3D val="0"/>
            <c:spPr>
              <a:solidFill>
                <a:schemeClr val="accent6">
                  <a:lumMod val="75000"/>
                </a:schemeClr>
              </a:solidFill>
            </c:spPr>
            <c:extLst>
              <c:ext xmlns:c16="http://schemas.microsoft.com/office/drawing/2014/chart" uri="{C3380CC4-5D6E-409C-BE32-E72D297353CC}">
                <c16:uniqueId val="{00000005-4161-4AEB-9982-8FCFE684E356}"/>
              </c:ext>
            </c:extLst>
          </c:dPt>
          <c:dLbls>
            <c:dLbl>
              <c:idx val="1"/>
              <c:layout>
                <c:manualLayout>
                  <c:x val="-1.8716816281315762E-17"/>
                  <c:y val="1.034928708080300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4161-4AEB-9982-8FCFE684E356}"/>
                </c:ext>
              </c:extLst>
            </c:dLbl>
            <c:dLbl>
              <c:idx val="3"/>
              <c:layout>
                <c:manualLayout>
                  <c:x val="0"/>
                  <c:y val="-1.034928708080294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4161-4AEB-9982-8FCFE684E356}"/>
                </c:ext>
              </c:extLst>
            </c:dLbl>
            <c:dLbl>
              <c:idx val="7"/>
              <c:layout>
                <c:manualLayout>
                  <c:x val="-7.4867265125263047E-17"/>
                  <c:y val="1.034928708080294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4161-4AEB-9982-8FCFE684E35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Hoja1!$B$4:$B$22</c:f>
              <c:strCache>
                <c:ptCount val="19"/>
                <c:pt idx="0">
                  <c:v>AGUACATE</c:v>
                </c:pt>
                <c:pt idx="1">
                  <c:v>ALSTROEMERIA</c:v>
                </c:pt>
                <c:pt idx="2">
                  <c:v>ARANDANO</c:v>
                </c:pt>
                <c:pt idx="3">
                  <c:v>ARROZ</c:v>
                </c:pt>
                <c:pt idx="4">
                  <c:v>CAFÉ</c:v>
                </c:pt>
                <c:pt idx="5">
                  <c:v>CAÑA DE AZÚCAR </c:v>
                </c:pt>
                <c:pt idx="6">
                  <c:v>CLAVEL</c:v>
                </c:pt>
                <c:pt idx="7">
                  <c:v>CRISANTEMO </c:v>
                </c:pt>
                <c:pt idx="8">
                  <c:v>DELPHINIUM</c:v>
                </c:pt>
                <c:pt idx="9">
                  <c:v>ERYNGIUM</c:v>
                </c:pt>
                <c:pt idx="10">
                  <c:v>FRAMBUESA</c:v>
                </c:pt>
                <c:pt idx="11">
                  <c:v>HABICHUELA</c:v>
                </c:pt>
                <c:pt idx="12">
                  <c:v>MORA</c:v>
                </c:pt>
                <c:pt idx="13">
                  <c:v>PASTO</c:v>
                </c:pt>
                <c:pt idx="14">
                  <c:v>PIÑA</c:v>
                </c:pt>
                <c:pt idx="15">
                  <c:v>RANUNCULO</c:v>
                </c:pt>
                <c:pt idx="16">
                  <c:v>ROSA</c:v>
                </c:pt>
                <c:pt idx="17">
                  <c:v>SANDÍA</c:v>
                </c:pt>
                <c:pt idx="18">
                  <c:v>STATICE, LIMONIUM</c:v>
                </c:pt>
              </c:strCache>
            </c:strRef>
          </c:cat>
          <c:val>
            <c:numRef>
              <c:f>Hoja1!$C$4:$C$22</c:f>
              <c:numCache>
                <c:formatCode>General</c:formatCode>
                <c:ptCount val="19"/>
                <c:pt idx="0">
                  <c:v>1</c:v>
                </c:pt>
                <c:pt idx="1">
                  <c:v>11</c:v>
                </c:pt>
                <c:pt idx="2">
                  <c:v>3</c:v>
                </c:pt>
                <c:pt idx="3">
                  <c:v>3</c:v>
                </c:pt>
                <c:pt idx="4">
                  <c:v>2</c:v>
                </c:pt>
                <c:pt idx="5">
                  <c:v>10</c:v>
                </c:pt>
                <c:pt idx="6">
                  <c:v>6</c:v>
                </c:pt>
                <c:pt idx="7">
                  <c:v>47</c:v>
                </c:pt>
                <c:pt idx="8">
                  <c:v>1</c:v>
                </c:pt>
                <c:pt idx="9">
                  <c:v>1</c:v>
                </c:pt>
                <c:pt idx="10">
                  <c:v>1</c:v>
                </c:pt>
                <c:pt idx="11">
                  <c:v>2</c:v>
                </c:pt>
                <c:pt idx="12">
                  <c:v>1</c:v>
                </c:pt>
                <c:pt idx="13">
                  <c:v>2</c:v>
                </c:pt>
                <c:pt idx="14">
                  <c:v>1</c:v>
                </c:pt>
                <c:pt idx="15">
                  <c:v>12</c:v>
                </c:pt>
                <c:pt idx="16">
                  <c:v>30</c:v>
                </c:pt>
                <c:pt idx="17">
                  <c:v>1</c:v>
                </c:pt>
                <c:pt idx="18">
                  <c:v>3</c:v>
                </c:pt>
              </c:numCache>
            </c:numRef>
          </c:val>
          <c:extLst>
            <c:ext xmlns:c16="http://schemas.microsoft.com/office/drawing/2014/chart" uri="{C3380CC4-5D6E-409C-BE32-E72D297353CC}">
              <c16:uniqueId val="{00000008-4161-4AEB-9982-8FCFE684E356}"/>
            </c:ext>
          </c:extLst>
        </c:ser>
        <c:dLbls>
          <c:showLegendKey val="0"/>
          <c:showVal val="0"/>
          <c:showCatName val="0"/>
          <c:showSerName val="0"/>
          <c:showPercent val="0"/>
          <c:showBubbleSize val="0"/>
        </c:dLbls>
        <c:gapWidth val="150"/>
        <c:axId val="58409472"/>
        <c:axId val="149272768"/>
      </c:barChart>
      <c:catAx>
        <c:axId val="58409472"/>
        <c:scaling>
          <c:orientation val="minMax"/>
        </c:scaling>
        <c:delete val="0"/>
        <c:axPos val="b"/>
        <c:numFmt formatCode="General" sourceLinked="0"/>
        <c:majorTickMark val="out"/>
        <c:minorTickMark val="none"/>
        <c:tickLblPos val="nextTo"/>
        <c:txPr>
          <a:bodyPr rot="-5400000" vert="horz"/>
          <a:lstStyle/>
          <a:p>
            <a:pPr>
              <a:defRPr/>
            </a:pPr>
            <a:endParaRPr lang="en-US"/>
          </a:p>
        </c:txPr>
        <c:crossAx val="149272768"/>
        <c:crosses val="autoZero"/>
        <c:auto val="0"/>
        <c:lblAlgn val="ctr"/>
        <c:lblOffset val="100"/>
        <c:noMultiLvlLbl val="0"/>
      </c:catAx>
      <c:valAx>
        <c:axId val="149272768"/>
        <c:scaling>
          <c:orientation val="minMax"/>
        </c:scaling>
        <c:delete val="0"/>
        <c:axPos val="l"/>
        <c:majorGridlines/>
        <c:numFmt formatCode="General" sourceLinked="1"/>
        <c:majorTickMark val="out"/>
        <c:minorTickMark val="none"/>
        <c:tickLblPos val="nextTo"/>
        <c:crossAx val="58409472"/>
        <c:crossesAt val="1"/>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s-CO" sz="1800" b="1">
                <a:effectLst/>
              </a:rPr>
              <a:t>Certificados Entregados Octubre de 2017 - Septiembre de 2018 por Nacionalidad</a:t>
            </a:r>
            <a:endParaRPr lang="es-CO" sz="1800">
              <a:effectLst/>
            </a:endParaRPr>
          </a:p>
        </c:rich>
      </c:tx>
      <c:layout>
        <c:manualLayout>
          <c:xMode val="edge"/>
          <c:yMode val="edge"/>
          <c:x val="9.6486772486772482E-2"/>
          <c:y val="0"/>
        </c:manualLayout>
      </c:layout>
      <c:overlay val="0"/>
    </c:title>
    <c:autoTitleDeleted val="0"/>
    <c:view3D>
      <c:rotX val="75"/>
      <c:rotY val="0"/>
      <c:rAngAx val="0"/>
    </c:view3D>
    <c:floor>
      <c:thickness val="0"/>
    </c:floor>
    <c:sideWall>
      <c:thickness val="0"/>
    </c:sideWall>
    <c:backWall>
      <c:thickness val="0"/>
    </c:backWall>
    <c:plotArea>
      <c:layout>
        <c:manualLayout>
          <c:layoutTarget val="inner"/>
          <c:xMode val="edge"/>
          <c:yMode val="edge"/>
          <c:x val="0.14906220055826352"/>
          <c:y val="0.1781122708757637"/>
          <c:w val="0.48123034620672417"/>
          <c:h val="0.82050087967340701"/>
        </c:manualLayout>
      </c:layout>
      <c:pie3DChart>
        <c:varyColors val="1"/>
        <c:ser>
          <c:idx val="0"/>
          <c:order val="0"/>
          <c:tx>
            <c:strRef>
              <c:f>Hoja2!$C$3</c:f>
              <c:strCache>
                <c:ptCount val="1"/>
                <c:pt idx="0">
                  <c:v>Total</c:v>
                </c:pt>
              </c:strCache>
            </c:strRef>
          </c:tx>
          <c:explosion val="24"/>
          <c:dPt>
            <c:idx val="1"/>
            <c:bubble3D val="0"/>
            <c:spPr>
              <a:solidFill>
                <a:srgbClr val="FF0000"/>
              </a:solidFill>
            </c:spPr>
            <c:extLst>
              <c:ext xmlns:c16="http://schemas.microsoft.com/office/drawing/2014/chart" uri="{C3380CC4-5D6E-409C-BE32-E72D297353CC}">
                <c16:uniqueId val="{00000001-8BA9-425E-B1E1-CE8E8C3E8EBF}"/>
              </c:ext>
            </c:extLst>
          </c:dPt>
          <c:dPt>
            <c:idx val="2"/>
            <c:bubble3D val="0"/>
            <c:spPr>
              <a:solidFill>
                <a:schemeClr val="bg2">
                  <a:lumMod val="50000"/>
                </a:schemeClr>
              </a:solidFill>
            </c:spPr>
            <c:extLst>
              <c:ext xmlns:c16="http://schemas.microsoft.com/office/drawing/2014/chart" uri="{C3380CC4-5D6E-409C-BE32-E72D297353CC}">
                <c16:uniqueId val="{00000003-8BA9-425E-B1E1-CE8E8C3E8EBF}"/>
              </c:ext>
            </c:extLst>
          </c:dPt>
          <c:dPt>
            <c:idx val="3"/>
            <c:bubble3D val="0"/>
            <c:spPr>
              <a:solidFill>
                <a:schemeClr val="tx2">
                  <a:lumMod val="60000"/>
                  <a:lumOff val="40000"/>
                </a:schemeClr>
              </a:solidFill>
            </c:spPr>
            <c:extLst>
              <c:ext xmlns:c16="http://schemas.microsoft.com/office/drawing/2014/chart" uri="{C3380CC4-5D6E-409C-BE32-E72D297353CC}">
                <c16:uniqueId val="{00000005-8BA9-425E-B1E1-CE8E8C3E8EBF}"/>
              </c:ext>
            </c:extLst>
          </c:dPt>
          <c:dPt>
            <c:idx val="6"/>
            <c:bubble3D val="0"/>
            <c:spPr>
              <a:solidFill>
                <a:srgbClr val="92D050"/>
              </a:solidFill>
            </c:spPr>
            <c:extLst>
              <c:ext xmlns:c16="http://schemas.microsoft.com/office/drawing/2014/chart" uri="{C3380CC4-5D6E-409C-BE32-E72D297353CC}">
                <c16:uniqueId val="{00000007-8BA9-425E-B1E1-CE8E8C3E8EBF}"/>
              </c:ext>
            </c:extLst>
          </c:dPt>
          <c:dPt>
            <c:idx val="8"/>
            <c:bubble3D val="0"/>
            <c:spPr>
              <a:solidFill>
                <a:srgbClr val="FFFF00"/>
              </a:solidFill>
            </c:spPr>
            <c:extLst>
              <c:ext xmlns:c16="http://schemas.microsoft.com/office/drawing/2014/chart" uri="{C3380CC4-5D6E-409C-BE32-E72D297353CC}">
                <c16:uniqueId val="{00000009-8BA9-425E-B1E1-CE8E8C3E8EBF}"/>
              </c:ext>
            </c:extLst>
          </c:dPt>
          <c:dLbls>
            <c:dLbl>
              <c:idx val="11"/>
              <c:layout>
                <c:manualLayout>
                  <c:x val="2.9642279814360954E-3"/>
                  <c:y val="4.3575079430860615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8BA9-425E-B1E1-CE8E8C3E8EB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ext>
            </c:extLst>
          </c:dLbls>
          <c:cat>
            <c:strRef>
              <c:f>Hoja2!$B$4:$B$15</c:f>
              <c:strCache>
                <c:ptCount val="12"/>
                <c:pt idx="0">
                  <c:v>ALEMANA</c:v>
                </c:pt>
                <c:pt idx="1">
                  <c:v>COLOMBIANA</c:v>
                </c:pt>
                <c:pt idx="2">
                  <c:v>ECUATORIANA</c:v>
                </c:pt>
                <c:pt idx="3">
                  <c:v>ESPAÑOLA</c:v>
                </c:pt>
                <c:pt idx="4">
                  <c:v>ESTADOUNIDENSE</c:v>
                </c:pt>
                <c:pt idx="5">
                  <c:v>FRANCESA</c:v>
                </c:pt>
                <c:pt idx="6">
                  <c:v>HOLANDESA</c:v>
                </c:pt>
                <c:pt idx="7">
                  <c:v>INGLESA</c:v>
                </c:pt>
                <c:pt idx="8">
                  <c:v>ISRAELÍ</c:v>
                </c:pt>
                <c:pt idx="9">
                  <c:v>ITALIANA</c:v>
                </c:pt>
                <c:pt idx="10">
                  <c:v>JAPONESA</c:v>
                </c:pt>
                <c:pt idx="11">
                  <c:v>SUDAFRICANA</c:v>
                </c:pt>
              </c:strCache>
            </c:strRef>
          </c:cat>
          <c:val>
            <c:numRef>
              <c:f>Hoja2!$C$4:$C$15</c:f>
              <c:numCache>
                <c:formatCode>General</c:formatCode>
                <c:ptCount val="12"/>
                <c:pt idx="0">
                  <c:v>5</c:v>
                </c:pt>
                <c:pt idx="1">
                  <c:v>20</c:v>
                </c:pt>
                <c:pt idx="2">
                  <c:v>2</c:v>
                </c:pt>
                <c:pt idx="3">
                  <c:v>4</c:v>
                </c:pt>
                <c:pt idx="4">
                  <c:v>11</c:v>
                </c:pt>
                <c:pt idx="5">
                  <c:v>2</c:v>
                </c:pt>
                <c:pt idx="6">
                  <c:v>37</c:v>
                </c:pt>
                <c:pt idx="7">
                  <c:v>9</c:v>
                </c:pt>
                <c:pt idx="8">
                  <c:v>3</c:v>
                </c:pt>
                <c:pt idx="9">
                  <c:v>2</c:v>
                </c:pt>
                <c:pt idx="10">
                  <c:v>1</c:v>
                </c:pt>
                <c:pt idx="11">
                  <c:v>1</c:v>
                </c:pt>
              </c:numCache>
            </c:numRef>
          </c:val>
          <c:extLst>
            <c:ext xmlns:c16="http://schemas.microsoft.com/office/drawing/2014/chart" uri="{C3380CC4-5D6E-409C-BE32-E72D297353CC}">
              <c16:uniqueId val="{0000000A-8BA9-425E-B1E1-CE8E8C3E8EBF}"/>
            </c:ext>
          </c:extLst>
        </c:ser>
        <c:dLbls>
          <c:showLegendKey val="0"/>
          <c:showVal val="0"/>
          <c:showCatName val="0"/>
          <c:showSerName val="0"/>
          <c:showPercent val="0"/>
          <c:showBubbleSize val="0"/>
          <c:showLeaderLines val="0"/>
        </c:dLbls>
      </c:pie3DChart>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c_52_ES.dotx</Template>
  <TotalTime>8</TotalTime>
  <Pages>9</Pages>
  <Words>3373</Words>
  <Characters>18689</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C/52/15</vt:lpstr>
    </vt:vector>
  </TitlesOfParts>
  <Company>UPOV</Company>
  <LinksUpToDate>false</LinksUpToDate>
  <CharactersWithSpaces>22018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C/52/15 Add.</dc:title>
  <dc:creator>SANCHEZ VIZCAINO GOMEZ Rosa Maria</dc:creator>
  <cp:lastModifiedBy>SANCHEZ VIZCAINO GOMEZ Rosa Maria</cp:lastModifiedBy>
  <cp:revision>8</cp:revision>
  <cp:lastPrinted>2016-11-22T15:41:00Z</cp:lastPrinted>
  <dcterms:created xsi:type="dcterms:W3CDTF">2019-01-09T17:44:00Z</dcterms:created>
  <dcterms:modified xsi:type="dcterms:W3CDTF">2019-01-09T17:52:00Z</dcterms:modified>
</cp:coreProperties>
</file>