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A65D2" w:rsidP="00AC2883">
            <w:pPr>
              <w:pStyle w:val="Sessiontc"/>
              <w:spacing w:line="240" w:lineRule="auto"/>
            </w:pPr>
            <w:r>
              <w:t>Consejo</w:t>
            </w:r>
          </w:p>
          <w:p w:rsidR="00EB4E9C" w:rsidRPr="00DC3802" w:rsidRDefault="00EA65D2" w:rsidP="000A014B">
            <w:pPr>
              <w:pStyle w:val="Sessiontcplacedate"/>
              <w:rPr>
                <w:sz w:val="22"/>
              </w:rPr>
            </w:pPr>
            <w:r>
              <w:t>Quincuagésima segunda sesión ordinaria</w:t>
            </w:r>
            <w:r>
              <w:br/>
              <w:t>Ginebra, 2 de noviembre de 2018</w:t>
            </w:r>
          </w:p>
        </w:tc>
        <w:tc>
          <w:tcPr>
            <w:tcW w:w="3127" w:type="dxa"/>
          </w:tcPr>
          <w:p w:rsidR="00EB4E9C" w:rsidRPr="00FC11A1" w:rsidRDefault="000A014B" w:rsidP="003C7FBE">
            <w:pPr>
              <w:pStyle w:val="Doccode"/>
            </w:pPr>
            <w:r>
              <w:t>C/52/14</w:t>
            </w:r>
          </w:p>
          <w:p w:rsidR="00EB4E9C" w:rsidRPr="003C7FBE" w:rsidRDefault="00EB4E9C" w:rsidP="003C7FBE">
            <w:pPr>
              <w:pStyle w:val="Docoriginal"/>
            </w:pPr>
            <w:r>
              <w:t>Original:</w:t>
            </w:r>
            <w:r w:rsidR="00D3623E">
              <w:rPr>
                <w:b w:val="0"/>
                <w:spacing w:val="0"/>
              </w:rPr>
              <w:t xml:space="preserve"> </w:t>
            </w:r>
            <w:r>
              <w:rPr>
                <w:b w:val="0"/>
                <w:spacing w:val="0"/>
              </w:rPr>
              <w:t>Inglés</w:t>
            </w:r>
          </w:p>
          <w:p w:rsidR="00EB4E9C" w:rsidRPr="007C1D92" w:rsidRDefault="002E5944" w:rsidP="00FB5193">
            <w:pPr>
              <w:pStyle w:val="Docoriginal"/>
            </w:pPr>
            <w:r>
              <w:t>Fecha:</w:t>
            </w:r>
            <w:r w:rsidR="00D3623E">
              <w:rPr>
                <w:b w:val="0"/>
                <w:spacing w:val="0"/>
              </w:rPr>
              <w:t xml:space="preserve"> </w:t>
            </w:r>
            <w:r w:rsidR="00C85EC2" w:rsidRPr="00C85EC2">
              <w:rPr>
                <w:b w:val="0"/>
                <w:spacing w:val="0"/>
              </w:rPr>
              <w:t>16</w:t>
            </w:r>
            <w:r w:rsidR="00FB5193" w:rsidRPr="00C85EC2">
              <w:rPr>
                <w:b w:val="0"/>
                <w:spacing w:val="0"/>
              </w:rPr>
              <w:t xml:space="preserve"> de agosto</w:t>
            </w:r>
            <w:r w:rsidRPr="00C85EC2">
              <w:rPr>
                <w:b w:val="0"/>
                <w:spacing w:val="0"/>
              </w:rPr>
              <w:t xml:space="preserve"> de 2018</w:t>
            </w:r>
          </w:p>
        </w:tc>
      </w:tr>
    </w:tbl>
    <w:p w:rsidR="000D7780" w:rsidRPr="006A644A" w:rsidRDefault="001B3BFE" w:rsidP="006A644A">
      <w:pPr>
        <w:pStyle w:val="Titleofdoc0"/>
      </w:pPr>
      <w:bookmarkStart w:id="0" w:name="TitleOfDoc"/>
      <w:bookmarkEnd w:id="0"/>
      <w:r>
        <w:t>Aprobación de documentos</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1B3BFE" w:rsidRPr="001B3BFE" w:rsidRDefault="00E33037" w:rsidP="001B3BFE">
      <w:pPr>
        <w:rPr>
          <w:spacing w:val="-2"/>
        </w:rPr>
      </w:pPr>
      <w:r>
        <w:fldChar w:fldCharType="begin"/>
      </w:r>
      <w:r>
        <w:instrText xml:space="preserve"> AUTONUM  </w:instrText>
      </w:r>
      <w:r>
        <w:fldChar w:fldCharType="end"/>
      </w:r>
      <w:r>
        <w:tab/>
      </w:r>
      <w:r w:rsidR="001B3BFE">
        <w:t>En el presente documento se ofrece información sobre los siguientes documentos, que se someterán a la aprobación del Consejo en su quincuagésima segunda sesión ordinaria:</w:t>
      </w:r>
    </w:p>
    <w:p w:rsidR="001B3BFE" w:rsidRPr="001B3BFE" w:rsidRDefault="001B3BFE" w:rsidP="001B3BFE">
      <w:pPr>
        <w:keepNext/>
        <w:ind w:left="2268" w:hanging="1701"/>
        <w:rPr>
          <w:bCs/>
          <w:snapToGrid w:val="0"/>
          <w:szCs w:val="24"/>
        </w:rPr>
      </w:pPr>
    </w:p>
    <w:p w:rsidR="001B3BFE" w:rsidRPr="001B3BFE" w:rsidRDefault="001B3BFE" w:rsidP="001B3BFE">
      <w:pPr>
        <w:ind w:left="567"/>
        <w:rPr>
          <w:bCs/>
          <w:snapToGrid w:val="0"/>
          <w:szCs w:val="24"/>
        </w:rPr>
      </w:pPr>
      <w:r>
        <w:rPr>
          <w:snapToGrid w:val="0"/>
          <w:u w:val="single"/>
        </w:rPr>
        <w:t>Documentos TGP</w:t>
      </w:r>
      <w:r>
        <w:t>:</w:t>
      </w:r>
    </w:p>
    <w:p w:rsidR="001B3BFE" w:rsidRPr="001B3BFE" w:rsidRDefault="001B3BFE" w:rsidP="001B3BFE">
      <w:pPr>
        <w:ind w:left="2268" w:hanging="1701"/>
        <w:rPr>
          <w:bCs/>
          <w:snapToGrid w:val="0"/>
          <w:szCs w:val="24"/>
        </w:rPr>
      </w:pPr>
    </w:p>
    <w:p w:rsidR="001B3BFE" w:rsidRPr="001B3BFE" w:rsidRDefault="001B3BFE" w:rsidP="001B3BFE">
      <w:pPr>
        <w:ind w:left="1985" w:hanging="851"/>
        <w:rPr>
          <w:bCs/>
          <w:snapToGrid w:val="0"/>
          <w:spacing w:val="-2"/>
          <w:szCs w:val="24"/>
        </w:rPr>
      </w:pPr>
      <w:r>
        <w:t>TGP/5</w:t>
      </w:r>
      <w:r>
        <w:tab/>
        <w:t xml:space="preserve">Experiencia y cooperación en el examen DHE </w:t>
      </w:r>
    </w:p>
    <w:p w:rsidR="001B3BFE" w:rsidRPr="001B3BFE" w:rsidRDefault="001B3BFE" w:rsidP="001B3BFE">
      <w:pPr>
        <w:ind w:left="1985" w:hanging="851"/>
        <w:rPr>
          <w:bCs/>
          <w:snapToGrid w:val="0"/>
          <w:spacing w:val="-2"/>
          <w:szCs w:val="24"/>
        </w:rPr>
      </w:pPr>
    </w:p>
    <w:p w:rsidR="001B3BFE" w:rsidRPr="001B3BFE" w:rsidRDefault="001B3BFE" w:rsidP="001B3BFE">
      <w:pPr>
        <w:ind w:left="1985" w:hanging="851"/>
        <w:rPr>
          <w:bCs/>
          <w:snapToGrid w:val="0"/>
          <w:spacing w:val="-2"/>
          <w:szCs w:val="24"/>
        </w:rPr>
      </w:pPr>
      <w:r>
        <w:tab/>
        <w:t>Sección 1/2 (revisión):</w:t>
      </w:r>
      <w:r w:rsidR="00D3623E">
        <w:t xml:space="preserve"> </w:t>
      </w:r>
      <w:r>
        <w:t>Acuerdo administrativo tipo de cooperación internacional en el examen de las obtenciones vegetales (Documento TGP/5: Section 1/3 Draft 2)</w:t>
      </w:r>
    </w:p>
    <w:p w:rsidR="001B3BFE" w:rsidRPr="001B3BFE" w:rsidRDefault="001B3BFE" w:rsidP="001B3BFE">
      <w:pPr>
        <w:ind w:left="2552" w:hanging="851"/>
        <w:rPr>
          <w:bCs/>
          <w:snapToGrid w:val="0"/>
          <w:szCs w:val="24"/>
        </w:rPr>
      </w:pPr>
    </w:p>
    <w:p w:rsidR="001B3BFE" w:rsidRPr="001B3BFE" w:rsidRDefault="001B3BFE" w:rsidP="001B3BFE">
      <w:pPr>
        <w:ind w:left="1985" w:hanging="851"/>
        <w:rPr>
          <w:bCs/>
          <w:snapToGrid w:val="0"/>
          <w:szCs w:val="24"/>
        </w:rPr>
      </w:pPr>
      <w:r>
        <w:t>TGP/7</w:t>
      </w:r>
      <w:r>
        <w:tab/>
        <w:t>Elaboración de las directrices de examen (revisión) (documento TGP/7/6 Draft 2)</w:t>
      </w:r>
    </w:p>
    <w:p w:rsidR="001B3BFE" w:rsidRPr="001B3BFE" w:rsidRDefault="001B3BFE" w:rsidP="001B3BFE">
      <w:pPr>
        <w:ind w:left="2552" w:hanging="851"/>
        <w:rPr>
          <w:bCs/>
          <w:snapToGrid w:val="0"/>
          <w:szCs w:val="24"/>
        </w:rPr>
      </w:pPr>
    </w:p>
    <w:p w:rsidR="001B3BFE" w:rsidRPr="001B3BFE" w:rsidRDefault="001B3BFE" w:rsidP="001B3BFE">
      <w:pPr>
        <w:ind w:left="1985" w:hanging="851"/>
        <w:rPr>
          <w:bCs/>
          <w:snapToGrid w:val="0"/>
          <w:szCs w:val="24"/>
        </w:rPr>
      </w:pPr>
      <w:r>
        <w:t>TGP/0</w:t>
      </w:r>
      <w:r>
        <w:tab/>
        <w:t>Lista de documentos TGP y fechas de última publicación (revisión) (documento TGP/0/10 Draft 1)</w:t>
      </w:r>
    </w:p>
    <w:p w:rsidR="001B3BFE" w:rsidRPr="001B3BFE" w:rsidRDefault="001B3BFE" w:rsidP="001B3BFE">
      <w:pPr>
        <w:ind w:left="2268" w:hanging="1701"/>
        <w:rPr>
          <w:bCs/>
          <w:snapToGrid w:val="0"/>
          <w:szCs w:val="24"/>
        </w:rPr>
      </w:pPr>
    </w:p>
    <w:p w:rsidR="001B3BFE" w:rsidRPr="001B3BFE" w:rsidRDefault="001B3BFE" w:rsidP="001B3BFE">
      <w:pPr>
        <w:keepNext/>
        <w:ind w:left="567"/>
        <w:rPr>
          <w:bCs/>
          <w:snapToGrid w:val="0"/>
          <w:szCs w:val="24"/>
        </w:rPr>
      </w:pPr>
      <w:r>
        <w:rPr>
          <w:snapToGrid w:val="0"/>
          <w:u w:val="single"/>
        </w:rPr>
        <w:t>Documentos de información</w:t>
      </w:r>
      <w:r>
        <w:t>:</w:t>
      </w:r>
    </w:p>
    <w:p w:rsidR="001B3BFE" w:rsidRPr="001B3BFE" w:rsidRDefault="001B3BFE" w:rsidP="001B3BFE">
      <w:pPr>
        <w:keepNext/>
        <w:ind w:left="567"/>
        <w:rPr>
          <w:bCs/>
          <w:snapToGrid w:val="0"/>
          <w:szCs w:val="24"/>
        </w:rPr>
      </w:pPr>
    </w:p>
    <w:p w:rsidR="001B3BFE" w:rsidRPr="001B3BFE" w:rsidRDefault="001B3BFE" w:rsidP="001B3BFE">
      <w:pPr>
        <w:ind w:left="2835" w:hanging="1701"/>
        <w:jc w:val="left"/>
        <w:rPr>
          <w:bCs/>
          <w:snapToGrid w:val="0"/>
          <w:szCs w:val="24"/>
        </w:rPr>
      </w:pPr>
      <w:r>
        <w:t>UPOV/INF/4</w:t>
      </w:r>
      <w:r>
        <w:tab/>
      </w:r>
      <w:r w:rsidR="0052436A">
        <w:t>Reglamento Financiero y Reglamentación Financiera</w:t>
      </w:r>
      <w:r>
        <w:t xml:space="preserve"> de la UPOV (revisión) (documento UPOV/INF/4/5 Draft 1)</w:t>
      </w:r>
    </w:p>
    <w:p w:rsidR="001B3BFE" w:rsidRPr="001B3BFE" w:rsidRDefault="001B3BFE" w:rsidP="001B3BFE">
      <w:pPr>
        <w:ind w:left="3402" w:hanging="1701"/>
        <w:jc w:val="left"/>
        <w:rPr>
          <w:bCs/>
          <w:snapToGrid w:val="0"/>
          <w:szCs w:val="24"/>
        </w:rPr>
      </w:pPr>
    </w:p>
    <w:p w:rsidR="001B3BFE" w:rsidRPr="001B3BFE" w:rsidRDefault="001B3BFE" w:rsidP="001B3BFE">
      <w:pPr>
        <w:ind w:left="2835" w:hanging="1701"/>
        <w:jc w:val="left"/>
        <w:rPr>
          <w:kern w:val="28"/>
        </w:rPr>
      </w:pPr>
      <w:r>
        <w:t>UPOV/INF/16</w:t>
      </w:r>
      <w:r>
        <w:tab/>
        <w:t xml:space="preserve">Programas informáticos para intercambio (revisión) (documento UPOV/INF/16/8 Draft 1) </w:t>
      </w:r>
    </w:p>
    <w:p w:rsidR="001B3BFE" w:rsidRPr="001B3BFE" w:rsidRDefault="001B3BFE" w:rsidP="001B3BFE">
      <w:pPr>
        <w:ind w:left="3402" w:hanging="1701"/>
        <w:jc w:val="left"/>
        <w:rPr>
          <w:bCs/>
          <w:snapToGrid w:val="0"/>
          <w:szCs w:val="24"/>
        </w:rPr>
      </w:pPr>
    </w:p>
    <w:p w:rsidR="001B3BFE" w:rsidRPr="001B3BFE" w:rsidRDefault="001B3BFE" w:rsidP="001B3BFE">
      <w:pPr>
        <w:ind w:left="2835" w:hanging="1701"/>
        <w:jc w:val="left"/>
        <w:rPr>
          <w:bCs/>
          <w:snapToGrid w:val="0"/>
          <w:spacing w:val="-4"/>
          <w:szCs w:val="24"/>
        </w:rPr>
      </w:pPr>
      <w:r>
        <w:t>UPOV/INF/22</w:t>
      </w:r>
      <w:r>
        <w:tab/>
        <w:t>Programas informáticos y equipos utilizados por los m</w:t>
      </w:r>
      <w:r w:rsidR="006D388D">
        <w:t xml:space="preserve">iembros de la Unión (revisión) </w:t>
      </w:r>
      <w:r>
        <w:t>(documento UPOV/INF/22/5 Draft 1)</w:t>
      </w:r>
    </w:p>
    <w:p w:rsidR="001B3BFE" w:rsidRPr="001B3BFE" w:rsidRDefault="001B3BFE" w:rsidP="001B3BFE">
      <w:pPr>
        <w:ind w:left="3402" w:hanging="1701"/>
        <w:jc w:val="left"/>
        <w:rPr>
          <w:bCs/>
          <w:snapToGrid w:val="0"/>
          <w:spacing w:val="-4"/>
          <w:szCs w:val="24"/>
        </w:rPr>
      </w:pPr>
    </w:p>
    <w:p w:rsidR="001B3BFE" w:rsidRPr="001B3BFE" w:rsidRDefault="001B3BFE" w:rsidP="001B3BFE">
      <w:pPr>
        <w:ind w:left="2835" w:hanging="1701"/>
        <w:jc w:val="left"/>
      </w:pPr>
      <w:r>
        <w:t>UPOV/INF-EXN</w:t>
      </w:r>
      <w:r>
        <w:tab/>
        <w:t>Lista de documentos UPOV/INF-EXN y fechas d</w:t>
      </w:r>
      <w:r w:rsidR="006D388D">
        <w:t xml:space="preserve">e última publicación (revisión) </w:t>
      </w:r>
      <w:r>
        <w:t>(documento UPOV/INF-EXN/12 Draft 1)</w:t>
      </w:r>
    </w:p>
    <w:p w:rsidR="001B3BFE" w:rsidRPr="001B3BFE" w:rsidRDefault="001B3BFE" w:rsidP="001B3BFE"/>
    <w:p w:rsidR="001B3BFE" w:rsidRPr="001B3BFE" w:rsidRDefault="00124354" w:rsidP="001B3BFE">
      <w:pPr>
        <w:rPr>
          <w:color w:val="000000"/>
        </w:rPr>
      </w:pPr>
      <w:r w:rsidRPr="00294914">
        <w:fldChar w:fldCharType="begin"/>
      </w:r>
      <w:r w:rsidR="001B3BFE" w:rsidRPr="001B3BFE">
        <w:instrText xml:space="preserve"> AUTONUM  </w:instrText>
      </w:r>
      <w:r w:rsidRPr="00294914">
        <w:fldChar w:fldCharType="end"/>
      </w:r>
      <w:r w:rsidR="002A6F0C">
        <w:tab/>
        <w:t>En el presente documento se utilizan las siguientes abreviaturas:</w:t>
      </w:r>
    </w:p>
    <w:p w:rsidR="001B3BFE" w:rsidRPr="001B3BFE" w:rsidRDefault="001B3BFE" w:rsidP="001B3BFE">
      <w:pPr>
        <w:ind w:left="1692" w:hanging="1125"/>
        <w:jc w:val="left"/>
        <w:rPr>
          <w:color w:val="000000"/>
        </w:rPr>
      </w:pPr>
    </w:p>
    <w:p w:rsidR="001B3BFE" w:rsidRPr="001B3BFE" w:rsidRDefault="001B3BFE" w:rsidP="001B3BFE">
      <w:pPr>
        <w:tabs>
          <w:tab w:val="left" w:pos="567"/>
          <w:tab w:val="left" w:pos="1701"/>
        </w:tabs>
      </w:pPr>
      <w:r>
        <w:tab/>
        <w:t>CAJ:</w:t>
      </w:r>
      <w:r>
        <w:tab/>
        <w:t>Comité Administrativo y Jurídico</w:t>
      </w:r>
    </w:p>
    <w:p w:rsidR="001B3BFE" w:rsidRPr="001B3BFE" w:rsidRDefault="001B3BFE" w:rsidP="001B3BFE">
      <w:pPr>
        <w:tabs>
          <w:tab w:val="left" w:pos="567"/>
          <w:tab w:val="left" w:pos="1701"/>
        </w:tabs>
      </w:pPr>
      <w:r>
        <w:tab/>
        <w:t>TC:</w:t>
      </w:r>
      <w:r>
        <w:tab/>
        <w:t>Comité Técnico</w:t>
      </w:r>
    </w:p>
    <w:p w:rsidR="001B3BFE" w:rsidRPr="001B3BFE" w:rsidRDefault="001B3BFE" w:rsidP="001B3BFE">
      <w:pPr>
        <w:tabs>
          <w:tab w:val="left" w:pos="567"/>
          <w:tab w:val="left" w:pos="1701"/>
        </w:tabs>
      </w:pPr>
      <w:r>
        <w:tab/>
        <w:t>TWA</w:t>
      </w:r>
      <w:r>
        <w:tab/>
        <w:t xml:space="preserve">Grupo de Trabajo Técnico sobre Plantas Agrícolas </w:t>
      </w:r>
    </w:p>
    <w:p w:rsidR="001B3BFE" w:rsidRPr="001B3BFE" w:rsidRDefault="001B3BFE" w:rsidP="001B3BFE">
      <w:pPr>
        <w:tabs>
          <w:tab w:val="left" w:pos="567"/>
          <w:tab w:val="left" w:pos="1701"/>
        </w:tabs>
      </w:pPr>
      <w:r>
        <w:tab/>
        <w:t>TWC:</w:t>
      </w:r>
      <w:r>
        <w:tab/>
        <w:t xml:space="preserve">Grupo de Trabajo Técnico sobre Automatización y Programas Informáticos </w:t>
      </w:r>
    </w:p>
    <w:p w:rsidR="001B3BFE" w:rsidRPr="001B3BFE" w:rsidRDefault="001B3BFE" w:rsidP="001B3BFE">
      <w:pPr>
        <w:tabs>
          <w:tab w:val="left" w:pos="567"/>
          <w:tab w:val="left" w:pos="1701"/>
        </w:tabs>
      </w:pPr>
      <w:r>
        <w:tab/>
        <w:t>TWF:</w:t>
      </w:r>
      <w:r>
        <w:tab/>
        <w:t xml:space="preserve">Grupo de Trabajo Técnico sobre Plantas Frutales </w:t>
      </w:r>
    </w:p>
    <w:p w:rsidR="001B3BFE" w:rsidRPr="001B3BFE" w:rsidRDefault="001B3BFE" w:rsidP="001B3BFE">
      <w:pPr>
        <w:tabs>
          <w:tab w:val="left" w:pos="567"/>
          <w:tab w:val="left" w:pos="1701"/>
        </w:tabs>
      </w:pPr>
      <w:r>
        <w:tab/>
        <w:t>TWO:</w:t>
      </w:r>
      <w:r>
        <w:tab/>
        <w:t xml:space="preserve">Grupo de Trabajo Técnico sobre Plantas Ornamentales y Árboles Forestales </w:t>
      </w:r>
    </w:p>
    <w:p w:rsidR="001B3BFE" w:rsidRPr="001B3BFE" w:rsidRDefault="001B3BFE" w:rsidP="001B3BFE">
      <w:pPr>
        <w:tabs>
          <w:tab w:val="left" w:pos="567"/>
          <w:tab w:val="left" w:pos="1701"/>
        </w:tabs>
      </w:pPr>
      <w:r>
        <w:tab/>
        <w:t>TWP:</w:t>
      </w:r>
      <w:r>
        <w:tab/>
        <w:t xml:space="preserve">Grupos de Trabajo Técnico </w:t>
      </w:r>
    </w:p>
    <w:p w:rsidR="001B3BFE" w:rsidRPr="001B3BFE" w:rsidRDefault="001B3BFE" w:rsidP="001B3BFE">
      <w:pPr>
        <w:tabs>
          <w:tab w:val="left" w:pos="567"/>
          <w:tab w:val="left" w:pos="1701"/>
        </w:tabs>
      </w:pPr>
      <w:r>
        <w:tab/>
        <w:t>TWV:</w:t>
      </w:r>
      <w:r>
        <w:tab/>
        <w:t xml:space="preserve">Grupo de Trabajo Técnico sobre Hortalizas </w:t>
      </w:r>
    </w:p>
    <w:p w:rsidR="001B3BFE" w:rsidRPr="001B3BFE" w:rsidRDefault="001B3BFE" w:rsidP="001B3BFE">
      <w:pPr>
        <w:tabs>
          <w:tab w:val="left" w:pos="567"/>
          <w:tab w:val="left" w:pos="1701"/>
        </w:tabs>
      </w:pPr>
    </w:p>
    <w:p w:rsidR="001B3BFE" w:rsidRPr="001B3BFE" w:rsidRDefault="001B3BFE" w:rsidP="001B3BFE">
      <w:pPr>
        <w:tabs>
          <w:tab w:val="left" w:pos="567"/>
          <w:tab w:val="left" w:pos="1701"/>
        </w:tabs>
      </w:pPr>
    </w:p>
    <w:p w:rsidR="001B3BFE" w:rsidRPr="001B3BFE" w:rsidRDefault="001B3BFE" w:rsidP="001B3BFE">
      <w:pPr>
        <w:jc w:val="left"/>
      </w:pPr>
      <w:r>
        <w:br w:type="page"/>
      </w:r>
    </w:p>
    <w:p w:rsidR="001B3BFE" w:rsidRPr="00CC0BB2" w:rsidRDefault="001B3BFE" w:rsidP="001B3BFE">
      <w:pPr>
        <w:pStyle w:val="Heading1"/>
        <w:rPr>
          <w:snapToGrid w:val="0"/>
        </w:rPr>
      </w:pPr>
      <w:r>
        <w:lastRenderedPageBreak/>
        <w:t>Documentos TGP</w:t>
      </w:r>
    </w:p>
    <w:p w:rsidR="001B3BFE" w:rsidRPr="001B3BFE" w:rsidRDefault="001B3BFE" w:rsidP="001B3BFE">
      <w:pPr>
        <w:jc w:val="left"/>
        <w:rPr>
          <w:bCs/>
          <w:snapToGrid w:val="0"/>
          <w:szCs w:val="24"/>
          <w:u w:val="single"/>
        </w:rPr>
      </w:pPr>
    </w:p>
    <w:p w:rsidR="001B3BFE" w:rsidRPr="001B3BFE" w:rsidRDefault="001B3BFE" w:rsidP="001B3BFE">
      <w:pPr>
        <w:rPr>
          <w:bCs/>
          <w:snapToGrid w:val="0"/>
          <w:szCs w:val="24"/>
          <w:u w:val="single"/>
        </w:rPr>
      </w:pPr>
      <w:r>
        <w:rPr>
          <w:snapToGrid w:val="0"/>
          <w:u w:val="single"/>
        </w:rPr>
        <w:t>TGP/5:</w:t>
      </w:r>
      <w:r w:rsidR="00D3623E">
        <w:rPr>
          <w:snapToGrid w:val="0"/>
          <w:u w:val="single"/>
        </w:rPr>
        <w:t xml:space="preserve"> </w:t>
      </w:r>
      <w:r>
        <w:rPr>
          <w:snapToGrid w:val="0"/>
          <w:u w:val="single"/>
        </w:rPr>
        <w:t>Experiencia y cooperación en el examen DHE (revisión) (</w:t>
      </w:r>
      <w:r w:rsidR="006C595B">
        <w:rPr>
          <w:snapToGrid w:val="0"/>
          <w:u w:val="single"/>
        </w:rPr>
        <w:t>d</w:t>
      </w:r>
      <w:r>
        <w:rPr>
          <w:snapToGrid w:val="0"/>
          <w:u w:val="single"/>
        </w:rPr>
        <w:t>ocumento TGP/5: Sec</w:t>
      </w:r>
      <w:r w:rsidR="006C595B">
        <w:rPr>
          <w:snapToGrid w:val="0"/>
          <w:u w:val="single"/>
        </w:rPr>
        <w:t>tio</w:t>
      </w:r>
      <w:r>
        <w:rPr>
          <w:snapToGrid w:val="0"/>
          <w:u w:val="single"/>
        </w:rPr>
        <w:t>n 1/3 Draft 2)</w:t>
      </w:r>
    </w:p>
    <w:p w:rsidR="001B3BFE" w:rsidRPr="001B3BFE" w:rsidRDefault="001B3BFE" w:rsidP="001B3BFE">
      <w:pPr>
        <w:keepNext/>
        <w:rPr>
          <w:bCs/>
          <w:snapToGrid w:val="0"/>
          <w:szCs w:val="24"/>
          <w:u w:val="single"/>
        </w:rPr>
      </w:pPr>
    </w:p>
    <w:p w:rsidR="001B3BFE" w:rsidRPr="001B3BFE" w:rsidRDefault="00124354" w:rsidP="001B3BFE">
      <w:pPr>
        <w:rPr>
          <w:snapToGrid w:val="0"/>
        </w:rPr>
      </w:pPr>
      <w:r w:rsidRPr="00A32BED">
        <w:rPr>
          <w:snapToGrid w:val="0"/>
        </w:rPr>
        <w:fldChar w:fldCharType="begin"/>
      </w:r>
      <w:r w:rsidR="001B3BFE" w:rsidRPr="001B3BFE">
        <w:rPr>
          <w:snapToGrid w:val="0"/>
        </w:rPr>
        <w:instrText xml:space="preserve"> AUTONUM  </w:instrText>
      </w:r>
      <w:r w:rsidRPr="00A32BED">
        <w:rPr>
          <w:snapToGrid w:val="0"/>
        </w:rPr>
        <w:fldChar w:fldCharType="end"/>
      </w:r>
      <w:r w:rsidR="002A6F0C">
        <w:tab/>
        <w:t xml:space="preserve">En su quincuagésima tercera sesión celebrada en Ginebra del 3 al 5 de abril de 2017, el </w:t>
      </w:r>
      <w:r w:rsidR="006C595B">
        <w:t>Comité Técnico (</w:t>
      </w:r>
      <w:r w:rsidR="002A6F0C">
        <w:t>TC</w:t>
      </w:r>
      <w:r w:rsidR="006C595B">
        <w:t>)</w:t>
      </w:r>
      <w:r w:rsidR="002A6F0C">
        <w:t xml:space="preserve"> convino en que la orientación sobre el material vegetal, que se ofrece en la sección 1 “Acuerdo administrativo tipo de cooperación internacional en el examen de las obten</w:t>
      </w:r>
      <w:r w:rsidR="000F7735">
        <w:t>ciones vegetales” del documento </w:t>
      </w:r>
      <w:r w:rsidR="002A6F0C">
        <w:t>TGP/5 “Experiencia y cooperación en el examen DHE”, puede constituir una base adecuada también para los datos moleculares y solicitó a la Oficina de la Unión que proponga una orientación sobre la confidencialidad de la información molecular con el objeto de incluirla en dicha sección del documento TGP/5, sobre esa base (véase el párrafo 182 del documento TC/53/31 “Informe”</w:t>
      </w:r>
      <w:r w:rsidR="008F69FC">
        <w:t>)</w:t>
      </w:r>
      <w:r w:rsidR="002A6F0C">
        <w:t>.</w:t>
      </w:r>
    </w:p>
    <w:p w:rsidR="001B3BFE" w:rsidRPr="001B3BFE" w:rsidRDefault="001B3BFE" w:rsidP="001B3BFE">
      <w:pPr>
        <w:rPr>
          <w:snapToGrid w:val="0"/>
        </w:rPr>
      </w:pPr>
    </w:p>
    <w:p w:rsidR="001B3BFE" w:rsidRPr="001B3BFE" w:rsidRDefault="00124354" w:rsidP="001B3BFE">
      <w:r w:rsidRPr="00A32BED">
        <w:rPr>
          <w:snapToGrid w:val="0"/>
        </w:rPr>
        <w:fldChar w:fldCharType="begin"/>
      </w:r>
      <w:r w:rsidR="001B3BFE" w:rsidRPr="001B3BFE">
        <w:rPr>
          <w:snapToGrid w:val="0"/>
        </w:rPr>
        <w:instrText xml:space="preserve"> AUTONUM  </w:instrText>
      </w:r>
      <w:r w:rsidRPr="00A32BED">
        <w:rPr>
          <w:snapToGrid w:val="0"/>
        </w:rPr>
        <w:fldChar w:fldCharType="end"/>
      </w:r>
      <w:r w:rsidR="002A6F0C">
        <w:tab/>
        <w:t>El TWA, el TWV, el TWO, el TWF y el TWC examinaron el documento TWP/1/9 “</w:t>
      </w:r>
      <w:r w:rsidR="002A6F0C">
        <w:rPr>
          <w:i/>
        </w:rPr>
        <w:t>Confidentiality of molecular information</w:t>
      </w:r>
      <w:r w:rsidR="002A6F0C">
        <w:t>” (Confidencialidad de la información molecular) y convinieron en proponer que se modifiquen los artículos 4 y 6 de la sección 1 del documento TGP/5, a fin de que su texto sea el siguiente (véanse los documentos TWA/46/10 “</w:t>
      </w:r>
      <w:r w:rsidR="002A6F0C">
        <w:rPr>
          <w:i/>
        </w:rPr>
        <w:t>Report</w:t>
      </w:r>
      <w:r w:rsidR="002A6F0C">
        <w:t>”, párrafos 18 y 19; TWV/51/16, “</w:t>
      </w:r>
      <w:r w:rsidR="002A6F0C">
        <w:rPr>
          <w:i/>
        </w:rPr>
        <w:t>Report</w:t>
      </w:r>
      <w:r w:rsidR="002A6F0C">
        <w:t>” párrafos 22 a 25; TWO/50/14 “</w:t>
      </w:r>
      <w:r w:rsidR="002A6F0C">
        <w:rPr>
          <w:i/>
        </w:rPr>
        <w:t>Report</w:t>
      </w:r>
      <w:r w:rsidR="002A6F0C">
        <w:t>”, párrafos 19 a 21; TWF/48/13 “</w:t>
      </w:r>
      <w:r w:rsidR="002A6F0C">
        <w:rPr>
          <w:i/>
        </w:rPr>
        <w:t>Report</w:t>
      </w:r>
      <w:r w:rsidR="002A6F0C">
        <w:t>”, párrafos 22 a 25; y TWC/35/21 “</w:t>
      </w:r>
      <w:r w:rsidR="002A6F0C">
        <w:rPr>
          <w:i/>
        </w:rPr>
        <w:t>Report</w:t>
      </w:r>
      <w:r w:rsidR="002A6F0C">
        <w:t xml:space="preserve">”, párrafos 32 a 35) (el texto que se propone insertar se indica </w:t>
      </w:r>
      <w:r w:rsidR="002A6F0C" w:rsidRPr="006D388D">
        <w:rPr>
          <w:highlight w:val="lightGray"/>
          <w:u w:val="single"/>
        </w:rPr>
        <w:t>sombreado y subrayado</w:t>
      </w:r>
      <w:r w:rsidR="002A6F0C">
        <w:t>):</w:t>
      </w:r>
    </w:p>
    <w:p w:rsidR="001B3BFE" w:rsidRPr="001B3BFE" w:rsidRDefault="001B3BFE" w:rsidP="001B3BFE"/>
    <w:p w:rsidR="001B3BFE" w:rsidRPr="0016371C" w:rsidRDefault="001B3BFE" w:rsidP="001B3BFE">
      <w:pPr>
        <w:keepNext/>
        <w:ind w:left="567" w:right="567"/>
        <w:rPr>
          <w:sz w:val="18"/>
          <w:szCs w:val="18"/>
        </w:rPr>
      </w:pPr>
      <w:r w:rsidRPr="0016371C">
        <w:rPr>
          <w:sz w:val="18"/>
          <w:szCs w:val="18"/>
          <w:u w:val="single"/>
        </w:rPr>
        <w:t>“Artículo 4</w:t>
      </w:r>
    </w:p>
    <w:p w:rsidR="001B3BFE" w:rsidRPr="0016371C" w:rsidRDefault="001B3BFE" w:rsidP="001B3BFE">
      <w:pPr>
        <w:keepNext/>
        <w:ind w:left="567" w:right="567"/>
        <w:rPr>
          <w:sz w:val="18"/>
          <w:szCs w:val="18"/>
        </w:rPr>
      </w:pPr>
    </w:p>
    <w:p w:rsidR="001B3BFE" w:rsidRPr="0016371C" w:rsidRDefault="001B3BFE" w:rsidP="001B3BFE">
      <w:pPr>
        <w:keepNext/>
        <w:ind w:left="567" w:right="567"/>
        <w:rPr>
          <w:sz w:val="18"/>
          <w:szCs w:val="18"/>
        </w:rPr>
      </w:pPr>
      <w:r w:rsidRPr="0016371C">
        <w:rPr>
          <w:sz w:val="18"/>
          <w:szCs w:val="18"/>
        </w:rPr>
        <w:t>“1)</w:t>
      </w:r>
      <w:r w:rsidRPr="0016371C">
        <w:rPr>
          <w:sz w:val="18"/>
          <w:szCs w:val="18"/>
        </w:rPr>
        <w:tab/>
        <w:t>Las autoridades deberán adoptar todas las medidas necesarias para salvaguardar los derechos del solicitante.</w:t>
      </w:r>
    </w:p>
    <w:p w:rsidR="001B3BFE" w:rsidRPr="0016371C" w:rsidRDefault="001B3BFE" w:rsidP="001B3BFE">
      <w:pPr>
        <w:keepNext/>
        <w:ind w:left="567" w:right="567"/>
        <w:rPr>
          <w:sz w:val="18"/>
          <w:szCs w:val="18"/>
        </w:rPr>
      </w:pPr>
    </w:p>
    <w:p w:rsidR="001B3BFE" w:rsidRPr="0016371C" w:rsidRDefault="001B3BFE" w:rsidP="001B3BFE">
      <w:pPr>
        <w:keepNext/>
        <w:ind w:left="567" w:right="567"/>
        <w:rPr>
          <w:sz w:val="18"/>
          <w:szCs w:val="18"/>
        </w:rPr>
      </w:pPr>
      <w:r w:rsidRPr="0016371C">
        <w:rPr>
          <w:sz w:val="18"/>
          <w:szCs w:val="18"/>
        </w:rPr>
        <w:t>“2)</w:t>
      </w:r>
      <w:r w:rsidRPr="0016371C">
        <w:rPr>
          <w:sz w:val="18"/>
          <w:szCs w:val="18"/>
        </w:rPr>
        <w:tab/>
        <w:t>Salvo autorización expresa de la autoridad receptora y del solicitante, la autoridad prestataria se abstendrá de transmitir a terceros cualquier material</w:t>
      </w:r>
      <w:r w:rsidRPr="0016371C">
        <w:rPr>
          <w:sz w:val="18"/>
          <w:szCs w:val="18"/>
          <w:highlight w:val="lightGray"/>
          <w:u w:val="single"/>
        </w:rPr>
        <w:t>, incluido el ADN o información molecular</w:t>
      </w:r>
      <w:r w:rsidRPr="0016371C">
        <w:rPr>
          <w:sz w:val="18"/>
          <w:szCs w:val="18"/>
        </w:rPr>
        <w:t>, relacionado con variedades vegetales cuyo examen se haya solicitado.”</w:t>
      </w:r>
    </w:p>
    <w:p w:rsidR="001B3BFE" w:rsidRPr="0016371C" w:rsidRDefault="001B3BFE" w:rsidP="001B3BFE">
      <w:pPr>
        <w:ind w:left="567" w:right="567"/>
        <w:rPr>
          <w:sz w:val="18"/>
          <w:szCs w:val="18"/>
        </w:rPr>
      </w:pPr>
    </w:p>
    <w:p w:rsidR="001B3BFE" w:rsidRPr="0016371C" w:rsidRDefault="001B3BFE" w:rsidP="001B3BFE">
      <w:pPr>
        <w:ind w:left="567" w:right="567"/>
        <w:rPr>
          <w:sz w:val="18"/>
          <w:szCs w:val="18"/>
        </w:rPr>
      </w:pPr>
      <w:r w:rsidRPr="0016371C">
        <w:rPr>
          <w:sz w:val="18"/>
          <w:szCs w:val="18"/>
        </w:rPr>
        <w:t xml:space="preserve">[…] </w:t>
      </w:r>
    </w:p>
    <w:p w:rsidR="001B3BFE" w:rsidRPr="0016371C" w:rsidRDefault="001B3BFE" w:rsidP="001B3BFE">
      <w:pPr>
        <w:ind w:left="567" w:right="567"/>
        <w:rPr>
          <w:sz w:val="18"/>
          <w:szCs w:val="18"/>
        </w:rPr>
      </w:pPr>
    </w:p>
    <w:p w:rsidR="001B3BFE" w:rsidRPr="0016371C" w:rsidRDefault="001B3BFE" w:rsidP="001B3BFE">
      <w:pPr>
        <w:keepNext/>
        <w:keepLines/>
        <w:ind w:left="567" w:right="567"/>
        <w:rPr>
          <w:sz w:val="18"/>
          <w:szCs w:val="18"/>
        </w:rPr>
      </w:pPr>
      <w:r w:rsidRPr="0016371C">
        <w:rPr>
          <w:sz w:val="18"/>
          <w:szCs w:val="18"/>
          <w:u w:val="single"/>
        </w:rPr>
        <w:t>“Artículo 6</w:t>
      </w:r>
    </w:p>
    <w:p w:rsidR="001B3BFE" w:rsidRPr="0016371C" w:rsidRDefault="001B3BFE" w:rsidP="001B3BFE">
      <w:pPr>
        <w:keepNext/>
        <w:keepLines/>
        <w:ind w:left="567" w:right="567"/>
        <w:rPr>
          <w:sz w:val="18"/>
          <w:szCs w:val="18"/>
        </w:rPr>
      </w:pPr>
    </w:p>
    <w:p w:rsidR="001B3BFE" w:rsidRPr="0016371C" w:rsidRDefault="001B3BFE" w:rsidP="001B3BFE">
      <w:pPr>
        <w:keepNext/>
        <w:keepLines/>
        <w:ind w:left="567" w:right="567"/>
        <w:rPr>
          <w:sz w:val="18"/>
          <w:szCs w:val="18"/>
        </w:rPr>
      </w:pPr>
      <w:r w:rsidRPr="0016371C">
        <w:rPr>
          <w:sz w:val="18"/>
          <w:szCs w:val="18"/>
        </w:rPr>
        <w:tab/>
        <w:t xml:space="preserve">“Los detalles prácticos resultantes del presente Acuerdo —en particular respecto de las disposiciones relativas a tasas, formularios de solicitud, cuestionarios técnicos y requisitos en cuanto al material de reproducción o de multiplicación, métodos de prueba, intercambio de muestras de referencia, </w:t>
      </w:r>
      <w:r w:rsidRPr="0016371C">
        <w:rPr>
          <w:sz w:val="18"/>
          <w:szCs w:val="18"/>
          <w:highlight w:val="lightGray"/>
          <w:u w:val="single"/>
        </w:rPr>
        <w:t>intercambio de información molecular,</w:t>
      </w:r>
      <w:r w:rsidRPr="0016371C">
        <w:rPr>
          <w:sz w:val="18"/>
          <w:szCs w:val="18"/>
        </w:rPr>
        <w:t xml:space="preserve"> mantenimiento de colecciones de referencia y presentación de los resultados— se especificarán en el presente Acuerdo o los fijarán las autoridades interesadas por correspondencia.”</w:t>
      </w:r>
    </w:p>
    <w:p w:rsidR="001B3BFE" w:rsidRPr="001B3BFE" w:rsidRDefault="001B3BFE" w:rsidP="001B3BFE"/>
    <w:p w:rsidR="001B3BFE" w:rsidRPr="001B3BFE" w:rsidRDefault="00124354" w:rsidP="001B3BFE">
      <w:r w:rsidRPr="0016371C">
        <w:rPr>
          <w:spacing w:val="-4"/>
        </w:rPr>
        <w:fldChar w:fldCharType="begin"/>
      </w:r>
      <w:r w:rsidR="001B3BFE" w:rsidRPr="0016371C">
        <w:rPr>
          <w:spacing w:val="-4"/>
        </w:rPr>
        <w:instrText xml:space="preserve"> AUTONUM  </w:instrText>
      </w:r>
      <w:r w:rsidRPr="0016371C">
        <w:rPr>
          <w:spacing w:val="-4"/>
        </w:rPr>
        <w:fldChar w:fldCharType="end"/>
      </w:r>
      <w:r w:rsidR="002A6F0C" w:rsidRPr="0016371C">
        <w:rPr>
          <w:spacing w:val="-4"/>
        </w:rPr>
        <w:tab/>
        <w:t xml:space="preserve">Se invitará al TC, en su quincuagésima cuarta sesión </w:t>
      </w:r>
      <w:r w:rsidR="001645E8" w:rsidRPr="0016371C">
        <w:rPr>
          <w:spacing w:val="-4"/>
        </w:rPr>
        <w:t>que se celebrará</w:t>
      </w:r>
      <w:r w:rsidR="0016371C" w:rsidRPr="0016371C">
        <w:rPr>
          <w:spacing w:val="-4"/>
        </w:rPr>
        <w:t xml:space="preserve"> en Ginebra el 29 y el 30 de </w:t>
      </w:r>
      <w:r w:rsidR="002A6F0C" w:rsidRPr="0016371C">
        <w:rPr>
          <w:spacing w:val="-4"/>
        </w:rPr>
        <w:t>octubre</w:t>
      </w:r>
      <w:r w:rsidR="002A6F0C">
        <w:t xml:space="preserve"> de 2018, y al Comité Administrativo y Jurídico (CAJ), en su septuagésima qui</w:t>
      </w:r>
      <w:r w:rsidR="0016371C">
        <w:t>nta sesión, que se celebrará en </w:t>
      </w:r>
      <w:r w:rsidR="002A6F0C">
        <w:t xml:space="preserve">Ginebra el 31 de octubre de 2018, a aprobar esta propuesta de revisión </w:t>
      </w:r>
      <w:r w:rsidR="006C595B">
        <w:t xml:space="preserve">de </w:t>
      </w:r>
      <w:r w:rsidR="002A6F0C">
        <w:t xml:space="preserve">la sección 1 “Acuerdo administrativo tipo de cooperación internacional en el examen de las obtenciones vegetales” del documento TGP/5 “Experiencia y cooperación en el examen DHE” (tal como se expone en el párrafo 4, </w:t>
      </w:r>
      <w:r w:rsidR="002A6F0C">
        <w:rPr>
          <w:i/>
        </w:rPr>
        <w:t>supra</w:t>
      </w:r>
      <w:r w:rsidR="002A6F0C">
        <w:t>).</w:t>
      </w:r>
    </w:p>
    <w:p w:rsidR="001B3BFE" w:rsidRPr="001B3BFE" w:rsidRDefault="001B3BFE" w:rsidP="001B3BFE"/>
    <w:p w:rsidR="001B3BFE" w:rsidRPr="001B3BFE" w:rsidRDefault="00124354" w:rsidP="001B3BFE">
      <w:r w:rsidRPr="00A32BED">
        <w:fldChar w:fldCharType="begin"/>
      </w:r>
      <w:r w:rsidR="001B3BFE" w:rsidRPr="001B3BFE">
        <w:instrText xml:space="preserve"> AUTONUM  </w:instrText>
      </w:r>
      <w:r w:rsidRPr="00A32BED">
        <w:fldChar w:fldCharType="end"/>
      </w:r>
      <w:r w:rsidR="002A6F0C">
        <w:tab/>
        <w:t xml:space="preserve">Se ha previsto presentar al Consejo, en su quincuagésima segunda sesión ordinaria, un informe sobre las conclusiones del TC, en su quincuagésima cuarta sesión, y sobre las conclusiones del CAJ en septuagésima quinta sesión, relativas a las propuestas de revisión de la sección 1/2 del documento TGP/5 (véanse los documentos TC/54/[31] “Informe” y CAJ/75/[14] “Informe”). </w:t>
      </w:r>
    </w:p>
    <w:p w:rsidR="001B3BFE" w:rsidRPr="001B3BFE" w:rsidRDefault="001B3BFE" w:rsidP="001B3BFE"/>
    <w:p w:rsidR="001B3BFE" w:rsidRPr="001B3BFE" w:rsidRDefault="00124354" w:rsidP="001B3BFE">
      <w:r w:rsidRPr="00A32BED">
        <w:fldChar w:fldCharType="begin"/>
      </w:r>
      <w:r w:rsidR="001B3BFE" w:rsidRPr="001B3BFE">
        <w:instrText xml:space="preserve"> AUTONUM  </w:instrText>
      </w:r>
      <w:r w:rsidRPr="00A32BED">
        <w:fldChar w:fldCharType="end"/>
      </w:r>
      <w:r w:rsidR="002A6F0C">
        <w:tab/>
        <w:t>Las propuestas de revisión de la sección 1 “Acuerdo administrativo tipo de cooperación internacional en el examen de las obtenciones vegetales” del documento TGP/5 se exponen en el documento TGP/5: Section 1/3 Draft 2 y en el anexo I del presente documento (con marcas de revisión).</w:t>
      </w:r>
    </w:p>
    <w:p w:rsidR="001B3BFE" w:rsidRPr="001B3BFE" w:rsidRDefault="001B3BFE" w:rsidP="001B3BFE"/>
    <w:p w:rsidR="001B3BFE" w:rsidRPr="001B3BFE" w:rsidRDefault="00124354" w:rsidP="001B3BFE">
      <w:pPr>
        <w:pStyle w:val="DecisionParagraphs"/>
        <w:keepLines/>
      </w:pPr>
      <w:r w:rsidRPr="0015114A">
        <w:lastRenderedPageBreak/>
        <w:fldChar w:fldCharType="begin"/>
      </w:r>
      <w:r w:rsidR="001B3BFE" w:rsidRPr="001B3BFE">
        <w:instrText xml:space="preserve"> AUTONUM  </w:instrText>
      </w:r>
      <w:r w:rsidRPr="0015114A">
        <w:fldChar w:fldCharType="end"/>
      </w:r>
      <w:r w:rsidR="002A6F0C">
        <w:tab/>
        <w:t>Se invita al Consejo a aprobar la revisión de la sección 1/2 “Acuerdo administrativo tipo de cooperación internacional en el examen de las obtenciones vegetales” del documento TGP/5 “Experiencia y cooperación en el examen DHE” (sección 1/3 del documento TGP/5), sobre la base del documento TGP/5: Section 1/3 Draft 2, teniendo en cuenta las conclusiones del TC en su quincuagésima</w:t>
      </w:r>
      <w:r w:rsidR="000F7735">
        <w:t> </w:t>
      </w:r>
      <w:r w:rsidR="002A6F0C">
        <w:t>cuarta sesión y las conclusiones del CAJ en su septuagésima quinta sesión.</w:t>
      </w:r>
    </w:p>
    <w:p w:rsidR="001B3BFE" w:rsidRPr="001B3BFE" w:rsidRDefault="001B3BFE" w:rsidP="001B3BFE">
      <w:pPr>
        <w:rPr>
          <w:bCs/>
          <w:snapToGrid w:val="0"/>
          <w:szCs w:val="24"/>
        </w:rPr>
      </w:pPr>
    </w:p>
    <w:p w:rsidR="001B3BFE" w:rsidRPr="001B3BFE" w:rsidRDefault="001B3BFE" w:rsidP="001B3BFE">
      <w:pPr>
        <w:rPr>
          <w:bCs/>
          <w:snapToGrid w:val="0"/>
          <w:szCs w:val="24"/>
        </w:rPr>
      </w:pPr>
    </w:p>
    <w:p w:rsidR="001B3BFE" w:rsidRPr="001B3BFE" w:rsidRDefault="001B3BFE" w:rsidP="001B3BFE">
      <w:pPr>
        <w:keepNext/>
        <w:rPr>
          <w:bCs/>
          <w:snapToGrid w:val="0"/>
          <w:szCs w:val="24"/>
          <w:u w:val="single"/>
        </w:rPr>
      </w:pPr>
      <w:r>
        <w:rPr>
          <w:snapToGrid w:val="0"/>
          <w:u w:val="single"/>
        </w:rPr>
        <w:t>TGP/7:</w:t>
      </w:r>
      <w:r w:rsidR="00D3623E">
        <w:rPr>
          <w:snapToGrid w:val="0"/>
          <w:u w:val="single"/>
        </w:rPr>
        <w:t xml:space="preserve"> </w:t>
      </w:r>
      <w:r>
        <w:rPr>
          <w:snapToGrid w:val="0"/>
          <w:u w:val="single"/>
        </w:rPr>
        <w:t>Elaboración de las directrices de examen (revisión) (documento TGP/7/6 Draft 2)</w:t>
      </w:r>
    </w:p>
    <w:p w:rsidR="001B3BFE" w:rsidRPr="001B3BFE" w:rsidRDefault="001B3BFE" w:rsidP="001B3BFE">
      <w:pPr>
        <w:keepNext/>
        <w:rPr>
          <w:bCs/>
          <w:snapToGrid w:val="0"/>
          <w:szCs w:val="24"/>
        </w:rPr>
      </w:pPr>
    </w:p>
    <w:p w:rsidR="001B3BFE" w:rsidRPr="001B3BFE" w:rsidRDefault="00124354" w:rsidP="001B3BFE">
      <w:r w:rsidRPr="00294914">
        <w:fldChar w:fldCharType="begin"/>
      </w:r>
      <w:r w:rsidR="001B3BFE" w:rsidRPr="001B3BFE">
        <w:instrText xml:space="preserve"> AUTONUM  </w:instrText>
      </w:r>
      <w:r w:rsidRPr="00294914">
        <w:fldChar w:fldCharType="end"/>
      </w:r>
      <w:r w:rsidR="002A6F0C">
        <w:tab/>
        <w:t>En su quincuagésima tercera sesión, celebrada en Ginebra del 3 al 5 de abril de 2017, el TC convino en que las propuestas de revisión del documento TGP/7 “Elaboración de las directrices de examen” incluyan la introducción de la plantilla en Internet de los documentos TG, según consta en los párrafos 7 a 11 del documento TC/53/15, y convino en que, sobre esa base, se someta a la aprobación del Consejo una versión revisada del documento TGP/7 en 2018, a reserva de la aprobación del CAJ en su septuagésima quinta sesión (véase el párrafo 108 del documento TC/53/31 “Informe”</w:t>
      </w:r>
      <w:r w:rsidR="0016371C">
        <w:t>)</w:t>
      </w:r>
      <w:r w:rsidR="002A6F0C">
        <w:t>.</w:t>
      </w:r>
    </w:p>
    <w:p w:rsidR="001B3BFE" w:rsidRPr="001B3BFE" w:rsidRDefault="001B3BFE" w:rsidP="001B3BFE"/>
    <w:p w:rsidR="001B3BFE" w:rsidRPr="001B3BFE" w:rsidRDefault="00124354" w:rsidP="001B3BFE">
      <w:r w:rsidRPr="00A32BED">
        <w:fldChar w:fldCharType="begin"/>
      </w:r>
      <w:r w:rsidR="001B3BFE" w:rsidRPr="001B3BFE">
        <w:instrText xml:space="preserve"> AUTONUM  </w:instrText>
      </w:r>
      <w:r w:rsidRPr="00A32BED">
        <w:fldChar w:fldCharType="end"/>
      </w:r>
      <w:r w:rsidR="002A6F0C">
        <w:tab/>
      </w:r>
      <w:r w:rsidR="001645E8" w:rsidRPr="001645E8">
        <w:t xml:space="preserve">Se </w:t>
      </w:r>
      <w:r w:rsidR="003F4372">
        <w:t>ha previsto</w:t>
      </w:r>
      <w:r w:rsidR="001645E8" w:rsidRPr="001645E8">
        <w:t xml:space="preserve"> presentar al Consejo en su quincuagésima segunda sesión ordinaria un informe sobre las conclusiones del CAJ, en su septuagésima quinta sesión, relativas a las propuestas de revisión del documento TGP/7/5 (véase el documento CAJ/75/[14] “Informe”)</w:t>
      </w:r>
      <w:r w:rsidR="002A6F0C">
        <w:t>.</w:t>
      </w:r>
    </w:p>
    <w:p w:rsidR="001B3BFE" w:rsidRPr="001B3BFE" w:rsidRDefault="001B3BFE" w:rsidP="001B3BFE"/>
    <w:p w:rsidR="001B3BFE" w:rsidRPr="001B3BFE" w:rsidRDefault="00124354" w:rsidP="001B3BFE">
      <w:r>
        <w:fldChar w:fldCharType="begin"/>
      </w:r>
      <w:r w:rsidR="001B3BFE" w:rsidRPr="001B3BFE">
        <w:instrText xml:space="preserve"> AUTONUM  </w:instrText>
      </w:r>
      <w:r>
        <w:fldChar w:fldCharType="end"/>
      </w:r>
      <w:r w:rsidR="002A6F0C">
        <w:tab/>
        <w:t>Las propuestas de revisión del documento TGP/7 “Elaboración de las directrices de examen” se exponen en el documento TGP/7/6 Draft 2 y en el anexo II del presente documento) (con marcas de revisión).</w:t>
      </w:r>
    </w:p>
    <w:p w:rsidR="001B3BFE" w:rsidRPr="001B3BFE" w:rsidRDefault="001B3BFE" w:rsidP="001B3BFE"/>
    <w:p w:rsidR="001B3BFE" w:rsidRPr="001B3BFE" w:rsidRDefault="00124354" w:rsidP="001B3BFE">
      <w:pPr>
        <w:pStyle w:val="DecisionParagraphs"/>
      </w:pPr>
      <w:r w:rsidRPr="00254FA7">
        <w:fldChar w:fldCharType="begin"/>
      </w:r>
      <w:r w:rsidR="001B3BFE" w:rsidRPr="001B3BFE">
        <w:instrText xml:space="preserve"> AUTONUM  </w:instrText>
      </w:r>
      <w:r w:rsidRPr="00254FA7">
        <w:fldChar w:fldCharType="end"/>
      </w:r>
      <w:r w:rsidR="002A6F0C">
        <w:tab/>
        <w:t>Se invita al Consejo a aprobar la revisión del documento TGP/7/5 “Elaboración de las directrices de examen” (documento TGP/7/6), sobre la base del documento TGP/7/6 Draft 2, teniendo en cuenta las conclusiones del CAJ en su septuagésima quinta sesión.</w:t>
      </w:r>
    </w:p>
    <w:p w:rsidR="001B3BFE" w:rsidRPr="001B3BFE" w:rsidRDefault="001B3BFE" w:rsidP="001B3BFE">
      <w:pPr>
        <w:rPr>
          <w:bCs/>
          <w:snapToGrid w:val="0"/>
          <w:szCs w:val="24"/>
        </w:rPr>
      </w:pPr>
    </w:p>
    <w:p w:rsidR="001B3BFE" w:rsidRPr="001B3BFE" w:rsidRDefault="001B3BFE" w:rsidP="001B3BFE">
      <w:pPr>
        <w:rPr>
          <w:bCs/>
          <w:snapToGrid w:val="0"/>
          <w:szCs w:val="24"/>
        </w:rPr>
      </w:pPr>
    </w:p>
    <w:p w:rsidR="001B3BFE" w:rsidRPr="001B3BFE" w:rsidRDefault="001B3BFE" w:rsidP="001B3BFE">
      <w:pPr>
        <w:keepNext/>
        <w:rPr>
          <w:bCs/>
          <w:snapToGrid w:val="0"/>
          <w:szCs w:val="24"/>
          <w:u w:val="single"/>
        </w:rPr>
      </w:pPr>
      <w:r>
        <w:rPr>
          <w:snapToGrid w:val="0"/>
          <w:u w:val="single"/>
        </w:rPr>
        <w:t>TGP/0:</w:t>
      </w:r>
      <w:r w:rsidR="00D3623E">
        <w:rPr>
          <w:snapToGrid w:val="0"/>
          <w:u w:val="single"/>
        </w:rPr>
        <w:t xml:space="preserve"> </w:t>
      </w:r>
      <w:r>
        <w:rPr>
          <w:snapToGrid w:val="0"/>
          <w:u w:val="single"/>
        </w:rPr>
        <w:t>Lista de documentos TGP y fechas de última publicación (revisión) (documento TGP/0/10 Draft 1)</w:t>
      </w:r>
    </w:p>
    <w:p w:rsidR="001B3BFE" w:rsidRPr="001B3BFE" w:rsidRDefault="001B3BFE" w:rsidP="001B3BFE">
      <w:pPr>
        <w:keepNext/>
      </w:pPr>
    </w:p>
    <w:p w:rsidR="001B3BFE" w:rsidRPr="001B3BFE" w:rsidRDefault="00124354" w:rsidP="001B3BFE">
      <w:pPr>
        <w:keepNext/>
        <w:rPr>
          <w:rFonts w:cs="Arial"/>
        </w:rPr>
      </w:pPr>
      <w:r w:rsidRPr="0015114A">
        <w:fldChar w:fldCharType="begin"/>
      </w:r>
      <w:r w:rsidR="001B3BFE" w:rsidRPr="001B3BFE">
        <w:instrText xml:space="preserve"> AUTONUM  </w:instrText>
      </w:r>
      <w:r w:rsidRPr="0015114A">
        <w:fldChar w:fldCharType="end"/>
      </w:r>
      <w:r w:rsidR="002A6F0C">
        <w:tab/>
        <w:t>Junto con la aprobación de los documentos TGP revisados en la quincuagésima segunda sesión ordinaria del Consejo, se propone aprobar la revisión del documento TGP/0/9 “Lista de documentos TGP y fechas de última publicación” (documento TGP/0/10) sobre la base del documento TGP/0/10 Draft 1.</w:t>
      </w:r>
    </w:p>
    <w:p w:rsidR="001B3BFE" w:rsidRPr="001B3BFE" w:rsidRDefault="001B3BFE" w:rsidP="001B3BFE"/>
    <w:p w:rsidR="001B3BFE" w:rsidRPr="001B3BFE" w:rsidRDefault="00124354" w:rsidP="001B3BFE">
      <w:pPr>
        <w:tabs>
          <w:tab w:val="left" w:pos="5387"/>
          <w:tab w:val="left" w:pos="5954"/>
        </w:tabs>
        <w:ind w:left="4820"/>
      </w:pPr>
      <w:r w:rsidRPr="0015114A">
        <w:rPr>
          <w:i/>
        </w:rPr>
        <w:fldChar w:fldCharType="begin"/>
      </w:r>
      <w:r w:rsidR="001B3BFE" w:rsidRPr="001B3BFE">
        <w:rPr>
          <w:i/>
        </w:rPr>
        <w:instrText xml:space="preserve"> AUTONUM  </w:instrText>
      </w:r>
      <w:r w:rsidRPr="0015114A">
        <w:rPr>
          <w:i/>
        </w:rPr>
        <w:fldChar w:fldCharType="end"/>
      </w:r>
      <w:r w:rsidR="002A6F0C">
        <w:tab/>
      </w:r>
      <w:r w:rsidR="002A6F0C">
        <w:rPr>
          <w:i/>
        </w:rPr>
        <w:t>Se invita al Consejo a aprobar la revisión del documento TGP/0 “Lista de documentos TGP y fechas de última publicación” (documento TGP/0/10) sobre la base del documento TGP/0/10 Draft 1.</w:t>
      </w:r>
      <w:r w:rsidR="002A6F0C">
        <w:t xml:space="preserve"> </w:t>
      </w:r>
    </w:p>
    <w:p w:rsidR="001B3BFE" w:rsidRPr="001B3BFE" w:rsidRDefault="001B3BFE" w:rsidP="001B3BFE">
      <w:pPr>
        <w:rPr>
          <w:snapToGrid w:val="0"/>
        </w:rPr>
      </w:pPr>
    </w:p>
    <w:p w:rsidR="001B3BFE" w:rsidRPr="001B3BFE" w:rsidRDefault="001B3BFE" w:rsidP="001B3BFE">
      <w:pPr>
        <w:rPr>
          <w:snapToGrid w:val="0"/>
        </w:rPr>
      </w:pPr>
    </w:p>
    <w:p w:rsidR="001B3BFE" w:rsidRPr="00F158AB" w:rsidRDefault="001B3BFE" w:rsidP="001B3BFE">
      <w:pPr>
        <w:pStyle w:val="Heading1"/>
        <w:rPr>
          <w:snapToGrid w:val="0"/>
        </w:rPr>
      </w:pPr>
      <w:r>
        <w:t>Documentos de información</w:t>
      </w:r>
    </w:p>
    <w:p w:rsidR="001B3BFE" w:rsidRPr="001B3BFE" w:rsidRDefault="001B3BFE" w:rsidP="001B3BFE">
      <w:pPr>
        <w:rPr>
          <w:snapToGrid w:val="0"/>
        </w:rPr>
      </w:pPr>
    </w:p>
    <w:p w:rsidR="001B3BFE" w:rsidRPr="001B3BFE" w:rsidRDefault="001B3BFE" w:rsidP="001B3BFE">
      <w:pPr>
        <w:jc w:val="left"/>
        <w:rPr>
          <w:bCs/>
          <w:snapToGrid w:val="0"/>
          <w:szCs w:val="24"/>
          <w:u w:val="single"/>
        </w:rPr>
      </w:pPr>
      <w:r>
        <w:rPr>
          <w:snapToGrid w:val="0"/>
          <w:u w:val="single"/>
        </w:rPr>
        <w:t>UPOV/INF/4:</w:t>
      </w:r>
      <w:r w:rsidR="00D3623E">
        <w:rPr>
          <w:snapToGrid w:val="0"/>
          <w:u w:val="single"/>
        </w:rPr>
        <w:t xml:space="preserve"> </w:t>
      </w:r>
      <w:r w:rsidR="0030224A">
        <w:rPr>
          <w:snapToGrid w:val="0"/>
          <w:u w:val="single"/>
        </w:rPr>
        <w:t xml:space="preserve"> </w:t>
      </w:r>
      <w:r w:rsidR="0052436A">
        <w:rPr>
          <w:snapToGrid w:val="0"/>
          <w:u w:val="single"/>
        </w:rPr>
        <w:t>Reglamento Financiero y Reglamentación Financiera</w:t>
      </w:r>
      <w:r w:rsidR="008C1EB0">
        <w:rPr>
          <w:snapToGrid w:val="0"/>
          <w:u w:val="single"/>
        </w:rPr>
        <w:t xml:space="preserve"> de la UPOV (revisión) (</w:t>
      </w:r>
      <w:r>
        <w:rPr>
          <w:snapToGrid w:val="0"/>
          <w:u w:val="single"/>
        </w:rPr>
        <w:t>documento UPOV/INF/4/5 Draft 1)</w:t>
      </w:r>
      <w:r w:rsidR="00D3623E">
        <w:rPr>
          <w:snapToGrid w:val="0"/>
          <w:u w:val="single"/>
        </w:rPr>
        <w:t xml:space="preserve"> </w:t>
      </w:r>
    </w:p>
    <w:p w:rsidR="001B3BFE" w:rsidRPr="0030224A" w:rsidRDefault="001B3BFE" w:rsidP="001B3BFE">
      <w:pPr>
        <w:jc w:val="left"/>
        <w:rPr>
          <w:rFonts w:cs="Arial"/>
          <w:bCs/>
          <w:snapToGrid w:val="0"/>
        </w:rPr>
      </w:pPr>
    </w:p>
    <w:p w:rsidR="001B3BFE" w:rsidRPr="0030224A" w:rsidRDefault="00124354" w:rsidP="001B3BFE">
      <w:pPr>
        <w:rPr>
          <w:rFonts w:cs="Arial"/>
        </w:rPr>
      </w:pPr>
      <w:r w:rsidRPr="0030224A">
        <w:rPr>
          <w:rFonts w:cs="Arial"/>
        </w:rPr>
        <w:fldChar w:fldCharType="begin"/>
      </w:r>
      <w:r w:rsidR="001B3BFE" w:rsidRPr="0030224A">
        <w:rPr>
          <w:rFonts w:cs="Arial"/>
        </w:rPr>
        <w:instrText xml:space="preserve"> AUTONUM  </w:instrText>
      </w:r>
      <w:r w:rsidRPr="0030224A">
        <w:rPr>
          <w:rFonts w:cs="Arial"/>
        </w:rPr>
        <w:fldChar w:fldCharType="end"/>
      </w:r>
      <w:r w:rsidR="002A6F0C" w:rsidRPr="0030224A">
        <w:rPr>
          <w:rFonts w:cs="Arial"/>
        </w:rPr>
        <w:tab/>
        <w:t>El 21 de octubre de 2010, el Consejo aprobó el “</w:t>
      </w:r>
      <w:r w:rsidR="0052436A" w:rsidRPr="0030224A">
        <w:rPr>
          <w:rFonts w:cs="Arial"/>
        </w:rPr>
        <w:t>Reglamento Financiero y Reglamentación Financiera</w:t>
      </w:r>
      <w:r w:rsidR="002A6F0C" w:rsidRPr="0030224A">
        <w:rPr>
          <w:rFonts w:cs="Arial"/>
        </w:rPr>
        <w:t xml:space="preserve"> de la UPOV” (documento UPOV/INF/4/1), que se revisó posteriormente el 30 de marzo de 2012 (documento</w:t>
      </w:r>
      <w:r w:rsidR="00C34BD8" w:rsidRPr="0030224A">
        <w:rPr>
          <w:rFonts w:cs="Arial"/>
        </w:rPr>
        <w:t> </w:t>
      </w:r>
      <w:r w:rsidR="002A6F0C" w:rsidRPr="0030224A">
        <w:rPr>
          <w:rFonts w:cs="Arial"/>
        </w:rPr>
        <w:t>UPOV/INF/4/2), el 22 de marzo de 2013 (documento UPOV/INF/4/3) y el 27 de marzo de 2015 (documento UPOV/INF/4/4).</w:t>
      </w:r>
      <w:r w:rsidR="00D3623E" w:rsidRPr="0030224A">
        <w:rPr>
          <w:rFonts w:cs="Arial"/>
        </w:rPr>
        <w:t xml:space="preserve"> </w:t>
      </w:r>
      <w:r w:rsidR="002A6F0C" w:rsidRPr="0030224A">
        <w:rPr>
          <w:rFonts w:cs="Arial"/>
        </w:rPr>
        <w:t>En el párrafo 2 del documento UPOV/INF/4/4, se expone que:</w:t>
      </w:r>
    </w:p>
    <w:p w:rsidR="001B3BFE" w:rsidRPr="001B3BFE" w:rsidRDefault="001B3BFE" w:rsidP="001B3BFE"/>
    <w:p w:rsidR="001B3BFE" w:rsidRPr="001B3BFE" w:rsidRDefault="001B3BFE" w:rsidP="001B3BFE">
      <w:pPr>
        <w:ind w:left="567" w:right="567"/>
        <w:rPr>
          <w:sz w:val="18"/>
        </w:rPr>
      </w:pPr>
      <w:r>
        <w:rPr>
          <w:sz w:val="18"/>
        </w:rPr>
        <w:t>“A reserva de lo dispuesto en el Convenio Internacional para la Protección de las Obtenciones Vegetales, que fue adoptado el 2 de diciembre de 1961 y revisado el 10 de noviembre de 1972, el 23 de octubre de</w:t>
      </w:r>
      <w:r w:rsidR="00C34BD8">
        <w:rPr>
          <w:sz w:val="18"/>
        </w:rPr>
        <w:t> </w:t>
      </w:r>
      <w:r>
        <w:rPr>
          <w:sz w:val="18"/>
        </w:rPr>
        <w:t>1978 y el 19 de marzo de 1991, y en el Acuerdo OMPI/UPOV, en el p</w:t>
      </w:r>
      <w:r w:rsidR="000F7735">
        <w:rPr>
          <w:sz w:val="18"/>
        </w:rPr>
        <w:t>resente documento se recogen el </w:t>
      </w:r>
      <w:r>
        <w:rPr>
          <w:sz w:val="18"/>
        </w:rPr>
        <w:t xml:space="preserve">Reglamento Financiero y la Reglamentación Financiera de la UPOV, elaborados sobre la base del </w:t>
      </w:r>
      <w:r>
        <w:rPr>
          <w:sz w:val="18"/>
        </w:rPr>
        <w:lastRenderedPageBreak/>
        <w:t>“Reglamento Financiero y Reglamentación Financiera de la Organización Mundial de la Propiedad Intelectual (OMPI)”, aprobados por las Asambleas de los Estados miembros de la OMPI en su cuadragésima tercera serie de reuniones, celebrada en Ginebra del 24 de septiembre al 3 de octubre de 2007 (documento A/43/13, párrafos 256 a 261), en vigor desde el 1 de</w:t>
      </w:r>
      <w:r w:rsidR="00C34BD8">
        <w:rPr>
          <w:sz w:val="18"/>
        </w:rPr>
        <w:t xml:space="preserve"> enero de 2008 y modificados el </w:t>
      </w:r>
      <w:r>
        <w:rPr>
          <w:sz w:val="18"/>
        </w:rPr>
        <w:t>1 de octubre de 2009, el 1 de enero de 2010, el 1 de octubre de 2010, el 5</w:t>
      </w:r>
      <w:r w:rsidR="0030224A">
        <w:rPr>
          <w:sz w:val="18"/>
        </w:rPr>
        <w:t xml:space="preserve"> de octubre de 2011, el 9 de </w:t>
      </w:r>
      <w:r>
        <w:rPr>
          <w:sz w:val="18"/>
        </w:rPr>
        <w:t>octubre de 2012, el 26 de agosto de 201</w:t>
      </w:r>
      <w:r w:rsidR="0030224A">
        <w:rPr>
          <w:sz w:val="18"/>
        </w:rPr>
        <w:t>4, el 30 de septiembre de 2014</w:t>
      </w:r>
      <w:r>
        <w:rPr>
          <w:sz w:val="18"/>
        </w:rPr>
        <w:t>, y que aquí se modifican conforme a lo siguiente:</w:t>
      </w:r>
    </w:p>
    <w:p w:rsidR="001B3BFE" w:rsidRPr="001B3BFE" w:rsidRDefault="001B3BFE" w:rsidP="001B3BFE">
      <w:pPr>
        <w:ind w:left="567" w:right="567"/>
        <w:rPr>
          <w:sz w:val="18"/>
        </w:rPr>
      </w:pPr>
    </w:p>
    <w:p w:rsidR="001B3BFE" w:rsidRPr="001B3BFE" w:rsidRDefault="001B3BFE" w:rsidP="001B3BFE">
      <w:pPr>
        <w:ind w:left="567" w:right="567" w:firstLine="567"/>
        <w:rPr>
          <w:sz w:val="18"/>
        </w:rPr>
      </w:pPr>
      <w:r>
        <w:t>a)</w:t>
      </w:r>
      <w:r>
        <w:tab/>
        <w:t xml:space="preserve">la aplicación del principio de </w:t>
      </w:r>
      <w:r>
        <w:rPr>
          <w:i/>
          <w:sz w:val="18"/>
        </w:rPr>
        <w:t>“mutatis mutandis”</w:t>
      </w:r>
      <w:r>
        <w:rPr>
          <w:sz w:val="18"/>
        </w:rPr>
        <w:t>; y</w:t>
      </w:r>
      <w:r w:rsidR="00D3623E">
        <w:rPr>
          <w:sz w:val="18"/>
        </w:rPr>
        <w:t xml:space="preserve"> </w:t>
      </w:r>
    </w:p>
    <w:p w:rsidR="001B3BFE" w:rsidRPr="001B3BFE" w:rsidRDefault="001B3BFE" w:rsidP="001B3BFE">
      <w:pPr>
        <w:ind w:left="567" w:right="567"/>
        <w:rPr>
          <w:sz w:val="18"/>
        </w:rPr>
      </w:pPr>
    </w:p>
    <w:p w:rsidR="001B3BFE" w:rsidRPr="000F7735" w:rsidRDefault="001B3BFE" w:rsidP="001B3BFE">
      <w:pPr>
        <w:ind w:left="567" w:right="567" w:firstLine="567"/>
        <w:rPr>
          <w:sz w:val="18"/>
          <w:szCs w:val="18"/>
        </w:rPr>
      </w:pPr>
      <w:r w:rsidRPr="000F7735">
        <w:rPr>
          <w:sz w:val="18"/>
          <w:szCs w:val="18"/>
        </w:rPr>
        <w:t>b)</w:t>
      </w:r>
      <w:r w:rsidRPr="000F7735">
        <w:rPr>
          <w:sz w:val="18"/>
          <w:szCs w:val="18"/>
        </w:rPr>
        <w:tab/>
        <w:t>las excepciones y añadidos acordados por el Consejo de la UPOV con el Director General de la OMPI.</w:t>
      </w:r>
    </w:p>
    <w:p w:rsidR="001B3BFE" w:rsidRPr="001B3BFE" w:rsidRDefault="001B3BFE" w:rsidP="001B3BFE">
      <w:pPr>
        <w:ind w:left="567" w:right="567" w:firstLine="567"/>
        <w:rPr>
          <w:rFonts w:cs="Arial"/>
          <w:sz w:val="18"/>
          <w:u w:val="single"/>
        </w:rPr>
      </w:pPr>
    </w:p>
    <w:p w:rsidR="001B3BFE" w:rsidRPr="001B3BFE" w:rsidRDefault="001B3BFE" w:rsidP="001B3BFE">
      <w:pPr>
        <w:ind w:left="567" w:right="567" w:firstLine="567"/>
        <w:rPr>
          <w:rFonts w:cs="Arial"/>
          <w:sz w:val="18"/>
        </w:rPr>
      </w:pPr>
      <w:r>
        <w:rPr>
          <w:sz w:val="18"/>
        </w:rPr>
        <w:t>El texto que figura destacado en el presente documento indica las enmiendas introducidas en relación con el texto del Reglamento Financiero y Reglamentación Financiera de la OMPI con arreglo a los apartados a) y b) anteriores.”</w:t>
      </w:r>
    </w:p>
    <w:p w:rsidR="001B3BFE" w:rsidRPr="001B3BFE" w:rsidRDefault="001B3BFE" w:rsidP="001B3BFE">
      <w:pPr>
        <w:ind w:left="567"/>
      </w:pPr>
    </w:p>
    <w:p w:rsidR="001B3BFE" w:rsidRPr="001B3BFE" w:rsidRDefault="00124354" w:rsidP="001B3BFE">
      <w:r w:rsidRPr="002E2CE1">
        <w:fldChar w:fldCharType="begin"/>
      </w:r>
      <w:r w:rsidR="001B3BFE" w:rsidRPr="001B3BFE">
        <w:instrText xml:space="preserve"> AUTONUM  </w:instrText>
      </w:r>
      <w:r w:rsidRPr="002E2CE1">
        <w:fldChar w:fldCharType="end"/>
      </w:r>
      <w:r w:rsidR="002A6F0C">
        <w:tab/>
        <w:t>Como consecuencia de las modificaciones introducidas en el Reglamento Financiero y Reglamentación Financiera de la OMPI (</w:t>
      </w:r>
      <w:hyperlink r:id="rId8">
        <w:r w:rsidR="002A6F0C">
          <w:rPr>
            <w:rStyle w:val="Hyperlink"/>
          </w:rPr>
          <w:t>http://www.wipo.int/about-wipo/es/pdf/wipo_financial_regulations.pdf</w:t>
        </w:r>
      </w:hyperlink>
      <w:r w:rsidR="002A6F0C">
        <w:t>) aprobado en Ginebra el 11 d</w:t>
      </w:r>
      <w:r w:rsidR="000F7735">
        <w:t>e octubre de 2017, se invita al </w:t>
      </w:r>
      <w:r w:rsidR="002A6F0C">
        <w:t>Consejo a examinar las modificaciones propuestas para la revisión del documento UPOV/INF/4/4 “</w:t>
      </w:r>
      <w:r w:rsidR="0052436A">
        <w:t>Reglamento Financiero y Reglamentación Financiera</w:t>
      </w:r>
      <w:r w:rsidR="002A6F0C">
        <w:t xml:space="preserve"> de la UPOV” (documento UPOV/INF/4/5), tal como se expone en el documento UPOV/INF/4/5 Draft 1.</w:t>
      </w:r>
      <w:r w:rsidR="00D3623E">
        <w:t xml:space="preserve"> </w:t>
      </w:r>
      <w:r w:rsidR="002008AA">
        <w:t xml:space="preserve"> </w:t>
      </w:r>
      <w:r w:rsidR="002A6F0C">
        <w:t>Los antecedentes de las mo</w:t>
      </w:r>
      <w:r w:rsidR="000F7735">
        <w:t>dificaciones introducidas en el </w:t>
      </w:r>
      <w:r w:rsidR="002A6F0C">
        <w:t xml:space="preserve">Reglamento Financiero y Reglamentación Financiera de la Organización Mundial de la Propiedad Intelectual (OMPI) se facilitan en el documento WO/PBC/26/5 “Modificaciones propuestas al Reglamento Financiero y Reglamentación Financiera de la OMPI” y el documento WO/PBC/27/11 “Modificaciones propuestas al Reglamento Financiero y Reglamentación Financiera de la OMPI” (que pueden consultarse en la dirección </w:t>
      </w:r>
      <w:hyperlink r:id="rId9">
        <w:r w:rsidR="002A6F0C">
          <w:rPr>
            <w:rStyle w:val="Hyperlink"/>
          </w:rPr>
          <w:t>http://www.wipo.int/meetings/es/topic_bodies.jsp?group_id=101</w:t>
        </w:r>
      </w:hyperlink>
      <w:r w:rsidR="002A6F0C">
        <w:t>).</w:t>
      </w:r>
    </w:p>
    <w:p w:rsidR="001B3BFE" w:rsidRPr="001B3BFE" w:rsidRDefault="001B3BFE" w:rsidP="001B3BFE"/>
    <w:p w:rsidR="001B3BFE" w:rsidRPr="001B3BFE" w:rsidRDefault="00124354" w:rsidP="001B3BFE">
      <w:pPr>
        <w:pStyle w:val="DecisionParagraphs"/>
      </w:pPr>
      <w:r w:rsidRPr="002E2CE1">
        <w:fldChar w:fldCharType="begin"/>
      </w:r>
      <w:r w:rsidR="001B3BFE" w:rsidRPr="001B3BFE">
        <w:instrText xml:space="preserve"> AUTONUM  </w:instrText>
      </w:r>
      <w:r w:rsidRPr="002E2CE1">
        <w:fldChar w:fldCharType="end"/>
      </w:r>
      <w:r w:rsidR="002A6F0C">
        <w:tab/>
        <w:t>Se invita al Consejo a aprobar la revisión del documento UPOV/INF/4 “</w:t>
      </w:r>
      <w:r w:rsidR="0052436A">
        <w:t>Reglamento Financiero y Reglamentación Financiera</w:t>
      </w:r>
      <w:r w:rsidR="002A6F0C">
        <w:t xml:space="preserve"> de la UPOV” (documento</w:t>
      </w:r>
      <w:r w:rsidR="00967673">
        <w:t> </w:t>
      </w:r>
      <w:r w:rsidR="002A6F0C">
        <w:t>UPOV/INF/4/4) sobre la base de las modificaciones introducidas en el documento</w:t>
      </w:r>
      <w:r w:rsidR="000F7735">
        <w:t> </w:t>
      </w:r>
      <w:r w:rsidR="002A6F0C">
        <w:t>UPOV/INF/4/5, según se expone en el documento UPOV/INF/4/5 Draft 1.</w:t>
      </w:r>
    </w:p>
    <w:p w:rsidR="001B3BFE" w:rsidRPr="001B3BFE" w:rsidRDefault="001B3BFE" w:rsidP="001B3BFE">
      <w:pPr>
        <w:jc w:val="left"/>
        <w:rPr>
          <w:bCs/>
          <w:snapToGrid w:val="0"/>
          <w:szCs w:val="24"/>
        </w:rPr>
      </w:pPr>
    </w:p>
    <w:p w:rsidR="001B3BFE" w:rsidRPr="001B3BFE" w:rsidRDefault="001B3BFE" w:rsidP="001B3BFE">
      <w:pPr>
        <w:jc w:val="left"/>
        <w:rPr>
          <w:bCs/>
          <w:snapToGrid w:val="0"/>
          <w:szCs w:val="24"/>
        </w:rPr>
      </w:pPr>
    </w:p>
    <w:p w:rsidR="001B3BFE" w:rsidRPr="001B3BFE" w:rsidRDefault="001B3BFE" w:rsidP="001B3BFE">
      <w:pPr>
        <w:keepNext/>
        <w:jc w:val="left"/>
        <w:rPr>
          <w:kern w:val="28"/>
          <w:u w:val="single"/>
        </w:rPr>
      </w:pPr>
      <w:r>
        <w:rPr>
          <w:snapToGrid w:val="0"/>
          <w:u w:val="single"/>
        </w:rPr>
        <w:t>UPOV/INF/16:</w:t>
      </w:r>
      <w:r w:rsidR="00D3623E">
        <w:rPr>
          <w:snapToGrid w:val="0"/>
          <w:u w:val="single"/>
        </w:rPr>
        <w:t xml:space="preserve"> </w:t>
      </w:r>
      <w:r>
        <w:rPr>
          <w:snapToGrid w:val="0"/>
          <w:u w:val="single"/>
        </w:rPr>
        <w:t>Programas informáticos para intercambio (revisión) (documento UPOV/INF/16/8 Draft 1)</w:t>
      </w:r>
    </w:p>
    <w:p w:rsidR="001B3BFE" w:rsidRPr="001B3BFE" w:rsidRDefault="001B3BFE" w:rsidP="001B3BFE">
      <w:pPr>
        <w:keepNext/>
        <w:jc w:val="left"/>
        <w:rPr>
          <w:bCs/>
          <w:snapToGrid w:val="0"/>
          <w:szCs w:val="24"/>
        </w:rPr>
      </w:pPr>
    </w:p>
    <w:p w:rsidR="001B3BFE" w:rsidRPr="001B3BFE" w:rsidRDefault="00124354" w:rsidP="001B3BFE">
      <w:pPr>
        <w:keepNext/>
      </w:pPr>
      <w:r w:rsidRPr="002E2CE1">
        <w:fldChar w:fldCharType="begin"/>
      </w:r>
      <w:r w:rsidR="001B3BFE" w:rsidRPr="001B3BFE">
        <w:instrText xml:space="preserve"> AUTONUM  </w:instrText>
      </w:r>
      <w:r w:rsidRPr="002E2CE1">
        <w:fldChar w:fldCharType="end"/>
      </w:r>
      <w:r w:rsidR="002A6F0C">
        <w:tab/>
        <w:t>Se invitará al TC, en su quincuagésima cuarta sesión que se celebrará en Ginebra el 29 y el 30 de octubre de 2018, y al CAJ, en su septuagésima quinta sesión que se celebrará en Ginebra el 31 de octubre de 2018, a aprobar las propuestas de revisión del documento UPOV/INF/16/7 “Programas informáticos para intercambio”, acerca del uso de programas informáticos por los miembros de la Unión, tal como se expone en el documento UPOV/INF/16/8 Draft 1.</w:t>
      </w:r>
    </w:p>
    <w:p w:rsidR="001B3BFE" w:rsidRPr="001B3BFE" w:rsidRDefault="001B3BFE" w:rsidP="001B3BFE"/>
    <w:p w:rsidR="001B3BFE" w:rsidRPr="001B3BFE" w:rsidRDefault="00124354" w:rsidP="001B3BFE">
      <w:r w:rsidRPr="00A32BED">
        <w:fldChar w:fldCharType="begin"/>
      </w:r>
      <w:r w:rsidR="001B3BFE" w:rsidRPr="001B3BFE">
        <w:instrText xml:space="preserve"> AUTONUM  </w:instrText>
      </w:r>
      <w:r w:rsidRPr="00A32BED">
        <w:fldChar w:fldCharType="end"/>
      </w:r>
      <w:r w:rsidR="002A6F0C">
        <w:tab/>
        <w:t>Se ha previsto presentar al Consejo, en su quincuagésima segunda sesión ordinaria, un informe sobre las conclusiones del TC, en su quincuagésima cuarta sesión, y sobre las conclusiones del CAJ en septuagésima quinta sesión, relativas a las propuestas de revisión del documento UPOV/INF/16/7 (véanse los documentos TC/54/[31] “Informe” y CAJ/75/[14] “Informe”).</w:t>
      </w:r>
    </w:p>
    <w:p w:rsidR="001B3BFE" w:rsidRPr="001B3BFE" w:rsidRDefault="001B3BFE" w:rsidP="001B3BFE"/>
    <w:p w:rsidR="001B3BFE" w:rsidRPr="001B3BFE" w:rsidRDefault="00124354" w:rsidP="001B3BFE">
      <w:pPr>
        <w:pStyle w:val="DecisionParagraphs"/>
      </w:pPr>
      <w:r w:rsidRPr="002E2CE1">
        <w:fldChar w:fldCharType="begin"/>
      </w:r>
      <w:r w:rsidR="001B3BFE" w:rsidRPr="001B3BFE">
        <w:instrText xml:space="preserve"> AUTONUM  </w:instrText>
      </w:r>
      <w:r w:rsidRPr="002E2CE1">
        <w:fldChar w:fldCharType="end"/>
      </w:r>
      <w:r w:rsidR="002A6F0C">
        <w:tab/>
        <w:t>Se invita al Consejo a aprobar la revisión del documento UPOV/INF/16/7 “Programas informáticos para intercambio” (documento UPOV/INF/16/8), sobre la base del documento UPOV/INF/16/8 Draft 1, teniendo en cuenta las conclusiones del TC en su quincuagésima cuarta sesión y las conclusiones del</w:t>
      </w:r>
      <w:r w:rsidR="003D08C1">
        <w:t> </w:t>
      </w:r>
      <w:r w:rsidR="002A6F0C">
        <w:t>CAJ en su septuagésima quinta sesión.</w:t>
      </w:r>
    </w:p>
    <w:p w:rsidR="001B3BFE" w:rsidRPr="001B3BFE" w:rsidRDefault="001B3BFE" w:rsidP="001B3BFE">
      <w:pPr>
        <w:jc w:val="left"/>
        <w:rPr>
          <w:bCs/>
          <w:snapToGrid w:val="0"/>
          <w:szCs w:val="24"/>
        </w:rPr>
      </w:pPr>
    </w:p>
    <w:p w:rsidR="001B3BFE" w:rsidRPr="001B3BFE" w:rsidRDefault="001B3BFE" w:rsidP="001B3BFE">
      <w:pPr>
        <w:jc w:val="left"/>
        <w:rPr>
          <w:bCs/>
          <w:snapToGrid w:val="0"/>
          <w:szCs w:val="24"/>
        </w:rPr>
      </w:pPr>
    </w:p>
    <w:p w:rsidR="001B3BFE" w:rsidRPr="001B3BFE" w:rsidRDefault="001B3BFE" w:rsidP="001B3BFE">
      <w:pPr>
        <w:keepNext/>
        <w:ind w:left="1418" w:hanging="1418"/>
        <w:jc w:val="left"/>
        <w:rPr>
          <w:bCs/>
          <w:snapToGrid w:val="0"/>
          <w:spacing w:val="-4"/>
          <w:szCs w:val="24"/>
          <w:u w:val="single"/>
        </w:rPr>
      </w:pPr>
      <w:r>
        <w:rPr>
          <w:snapToGrid w:val="0"/>
          <w:u w:val="single"/>
        </w:rPr>
        <w:lastRenderedPageBreak/>
        <w:t>UPOV/INF/22:</w:t>
      </w:r>
      <w:r w:rsidR="00D3623E">
        <w:rPr>
          <w:snapToGrid w:val="0"/>
          <w:u w:val="single"/>
        </w:rPr>
        <w:t xml:space="preserve"> </w:t>
      </w:r>
      <w:r>
        <w:rPr>
          <w:snapToGrid w:val="0"/>
          <w:u w:val="single"/>
        </w:rPr>
        <w:t xml:space="preserve">Programas informáticos y equipos utilizados por los miembros de la Unión (revisión) </w:t>
      </w:r>
    </w:p>
    <w:p w:rsidR="001B3BFE" w:rsidRPr="001B3BFE" w:rsidRDefault="001B3BFE" w:rsidP="001B3BFE">
      <w:pPr>
        <w:keepNext/>
        <w:ind w:left="1418" w:hanging="1418"/>
        <w:jc w:val="left"/>
        <w:rPr>
          <w:bCs/>
          <w:snapToGrid w:val="0"/>
          <w:spacing w:val="-4"/>
          <w:szCs w:val="24"/>
          <w:u w:val="single"/>
        </w:rPr>
      </w:pPr>
      <w:r>
        <w:rPr>
          <w:snapToGrid w:val="0"/>
          <w:spacing w:val="-4"/>
          <w:u w:val="single"/>
        </w:rPr>
        <w:t>(documento UPOV/INF/22/5 Draft 1)</w:t>
      </w:r>
    </w:p>
    <w:p w:rsidR="001B3BFE" w:rsidRPr="001B3BFE" w:rsidRDefault="001B3BFE" w:rsidP="001B3BFE">
      <w:pPr>
        <w:keepNext/>
        <w:jc w:val="left"/>
        <w:rPr>
          <w:bCs/>
          <w:snapToGrid w:val="0"/>
          <w:spacing w:val="-4"/>
          <w:szCs w:val="24"/>
          <w:u w:val="single"/>
        </w:rPr>
      </w:pPr>
    </w:p>
    <w:p w:rsidR="001B3BFE" w:rsidRPr="001B3BFE" w:rsidRDefault="00124354" w:rsidP="001B3BFE">
      <w:pPr>
        <w:keepNext/>
      </w:pPr>
      <w:r w:rsidRPr="002E2CE1">
        <w:fldChar w:fldCharType="begin"/>
      </w:r>
      <w:r w:rsidR="001B3BFE" w:rsidRPr="001B3BFE">
        <w:instrText xml:space="preserve"> AUTONUM  </w:instrText>
      </w:r>
      <w:r w:rsidRPr="002E2CE1">
        <w:fldChar w:fldCharType="end"/>
      </w:r>
      <w:r w:rsidR="002A6F0C">
        <w:tab/>
        <w:t>Se invitará al TC, en su quincuagésima cuarta sesión, que se celebrará en Ginebra el 29 y el 30 de octubre de 2018, y al CAJ, en su septuagésima quinta sesión, que se celebrará en Ginebra el 31 de octubre de 2018, a aprobar las propuestas de revisión del documento UPOV/INF/22/4 “Programas informáticos y equipos utilizados por los miembros de la Unión”, tal como se exponen en el documento UPOV/INF/22/5</w:t>
      </w:r>
      <w:r w:rsidR="000F7735">
        <w:t> </w:t>
      </w:r>
      <w:r w:rsidR="002A6F0C">
        <w:t>Draft 1.</w:t>
      </w:r>
    </w:p>
    <w:p w:rsidR="001B3BFE" w:rsidRPr="001B3BFE" w:rsidRDefault="001B3BFE" w:rsidP="001B3BFE"/>
    <w:p w:rsidR="001B3BFE" w:rsidRPr="001B3BFE" w:rsidRDefault="00124354" w:rsidP="001B3BFE">
      <w:r w:rsidRPr="00A32BED">
        <w:fldChar w:fldCharType="begin"/>
      </w:r>
      <w:r w:rsidR="001B3BFE" w:rsidRPr="001B3BFE">
        <w:instrText xml:space="preserve"> AUTONUM  </w:instrText>
      </w:r>
      <w:r w:rsidRPr="00A32BED">
        <w:fldChar w:fldCharType="end"/>
      </w:r>
      <w:r w:rsidR="002A6F0C">
        <w:tab/>
        <w:t>Se ha previsto presentar al Consejo, en su quincuagésima segunda sesión ordinaria, un informe sobre las conclusiones del TC, en su quincuagésima cuarta sesión, y sobre las conclusiones del CAJ en septuagésima quinta sesión, relativas a las propuestas de revisión del documento UPOV/INF/22/4 (véanse los documentos TC/54/[31] “Informe” y CAJ/75/[14] “Informe”).</w:t>
      </w:r>
    </w:p>
    <w:p w:rsidR="001B3BFE" w:rsidRPr="001B3BFE" w:rsidRDefault="001B3BFE" w:rsidP="001B3BFE"/>
    <w:p w:rsidR="001B3BFE" w:rsidRPr="001B3BFE" w:rsidRDefault="00124354" w:rsidP="001B3BFE">
      <w:pPr>
        <w:pStyle w:val="DecisionParagraphs"/>
        <w:rPr>
          <w:spacing w:val="-2"/>
        </w:rPr>
      </w:pPr>
      <w:r w:rsidRPr="002E2CE1">
        <w:fldChar w:fldCharType="begin"/>
      </w:r>
      <w:r w:rsidR="001B3BFE" w:rsidRPr="001B3BFE">
        <w:instrText xml:space="preserve"> AUTONUM  </w:instrText>
      </w:r>
      <w:r w:rsidRPr="002E2CE1">
        <w:fldChar w:fldCharType="end"/>
      </w:r>
      <w:r w:rsidR="002A6F0C">
        <w:tab/>
        <w:t>Se invita al Consejo a aprobar la revisión del documento UPOV/INF/22/4 “Programas informáticos y equipos utilizados por los miembros de la Unión” (documento UPOV/INF/22/5), sobre la base del documento UPOV/INF/22/5 Draft 1, teniendo en cuenta las conclusiones del TC en su quincuagésima</w:t>
      </w:r>
      <w:r w:rsidR="000F7735">
        <w:t> </w:t>
      </w:r>
      <w:r w:rsidR="002A6F0C">
        <w:t>cuarta sesión y las conclusiones del CAJ en su septuagésima quinta sesión.</w:t>
      </w:r>
    </w:p>
    <w:p w:rsidR="001B3BFE" w:rsidRPr="001B3BFE" w:rsidRDefault="001B3BFE" w:rsidP="001B3BFE">
      <w:pPr>
        <w:pStyle w:val="DecisionParagraphs"/>
        <w:ind w:left="0"/>
        <w:rPr>
          <w:bCs/>
          <w:i w:val="0"/>
          <w:snapToGrid w:val="0"/>
          <w:spacing w:val="-4"/>
          <w:szCs w:val="24"/>
          <w:u w:val="single"/>
        </w:rPr>
      </w:pPr>
    </w:p>
    <w:p w:rsidR="001B3BFE" w:rsidRPr="001B3BFE" w:rsidRDefault="001B3BFE" w:rsidP="001B3BFE">
      <w:pPr>
        <w:jc w:val="left"/>
        <w:rPr>
          <w:bCs/>
          <w:snapToGrid w:val="0"/>
          <w:spacing w:val="-4"/>
          <w:szCs w:val="24"/>
          <w:u w:val="single"/>
        </w:rPr>
      </w:pPr>
    </w:p>
    <w:p w:rsidR="001B3BFE" w:rsidRPr="001B3BFE" w:rsidRDefault="001B3BFE" w:rsidP="001B3BFE">
      <w:pPr>
        <w:keepNext/>
        <w:ind w:left="1560" w:hanging="1560"/>
        <w:jc w:val="left"/>
        <w:rPr>
          <w:u w:val="single"/>
        </w:rPr>
      </w:pPr>
      <w:r>
        <w:rPr>
          <w:u w:val="single"/>
        </w:rPr>
        <w:t>UPOV/INF-EXN:</w:t>
      </w:r>
      <w:r w:rsidR="002008AA">
        <w:rPr>
          <w:u w:val="single"/>
        </w:rPr>
        <w:t xml:space="preserve"> </w:t>
      </w:r>
      <w:r w:rsidR="00D3623E">
        <w:rPr>
          <w:u w:val="single"/>
        </w:rPr>
        <w:t xml:space="preserve"> </w:t>
      </w:r>
      <w:r>
        <w:rPr>
          <w:u w:val="single"/>
        </w:rPr>
        <w:t>Lista de documentos UPOV/INF</w:t>
      </w:r>
      <w:r w:rsidRPr="00D3623E">
        <w:rPr>
          <w:u w:val="single"/>
        </w:rPr>
        <w:noBreakHyphen/>
      </w:r>
      <w:r>
        <w:rPr>
          <w:u w:val="single"/>
        </w:rPr>
        <w:t xml:space="preserve">EXN y fechas de última publicación (revisión) </w:t>
      </w:r>
    </w:p>
    <w:p w:rsidR="001B3BFE" w:rsidRPr="00F82F8A" w:rsidRDefault="001B3BFE" w:rsidP="001B3BFE">
      <w:pPr>
        <w:keepNext/>
        <w:ind w:left="1560" w:hanging="1560"/>
        <w:jc w:val="left"/>
        <w:rPr>
          <w:u w:val="single"/>
          <w:lang w:val="en-US"/>
        </w:rPr>
      </w:pPr>
      <w:r w:rsidRPr="00F82F8A">
        <w:rPr>
          <w:u w:val="single"/>
          <w:lang w:val="en-US"/>
        </w:rPr>
        <w:t>(documento UPOV/INF-EXN/12 Draft 1)</w:t>
      </w:r>
    </w:p>
    <w:p w:rsidR="001B3BFE" w:rsidRPr="00F82F8A" w:rsidRDefault="001B3BFE" w:rsidP="001B3BFE">
      <w:pPr>
        <w:keepNext/>
        <w:rPr>
          <w:lang w:val="en-US"/>
        </w:rPr>
      </w:pPr>
    </w:p>
    <w:p w:rsidR="001B3BFE" w:rsidRPr="001B3BFE" w:rsidRDefault="00124354" w:rsidP="001B3BFE">
      <w:pPr>
        <w:keepNext/>
      </w:pPr>
      <w:r w:rsidRPr="002E2CE1">
        <w:fldChar w:fldCharType="begin"/>
      </w:r>
      <w:r w:rsidR="001B3BFE" w:rsidRPr="001B3BFE">
        <w:instrText xml:space="preserve"> AUTONUM  </w:instrText>
      </w:r>
      <w:r w:rsidRPr="002E2CE1">
        <w:fldChar w:fldCharType="end"/>
      </w:r>
      <w:r w:rsidR="002A6F0C">
        <w:tab/>
        <w:t>Junto con los documentos de información que se someterán a la aprobación del Consejo en su quincuagésima segunda sesión ordinaria, se propone aprobar la revisión del documento UPOV/INF</w:t>
      </w:r>
      <w:r w:rsidR="002A6F0C">
        <w:noBreakHyphen/>
        <w:t>EXN/11 “Lista de documentos UPOV/INF</w:t>
      </w:r>
      <w:r w:rsidR="002A6F0C">
        <w:noBreakHyphen/>
        <w:t>EXN y fechas de última publicación” sobre la base del documento UPOV/INF</w:t>
      </w:r>
      <w:r w:rsidR="002A6F0C">
        <w:noBreakHyphen/>
        <w:t>EXN/12 Draft 1.</w:t>
      </w:r>
    </w:p>
    <w:p w:rsidR="001B3BFE" w:rsidRPr="001B3BFE" w:rsidRDefault="001B3BFE" w:rsidP="001B3BFE"/>
    <w:p w:rsidR="001B3BFE" w:rsidRPr="001B3BFE" w:rsidRDefault="00124354" w:rsidP="001B3BFE">
      <w:pPr>
        <w:pStyle w:val="DecisionParagraphs"/>
      </w:pPr>
      <w:r w:rsidRPr="002E2CE1">
        <w:fldChar w:fldCharType="begin"/>
      </w:r>
      <w:r w:rsidR="001B3BFE" w:rsidRPr="001B3BFE">
        <w:instrText xml:space="preserve"> AUTONUM  </w:instrText>
      </w:r>
      <w:r w:rsidRPr="002E2CE1">
        <w:fldChar w:fldCharType="end"/>
      </w:r>
      <w:r w:rsidR="002A6F0C">
        <w:tab/>
        <w:t>Se invita al Consejo a aprobar la revisión del documento UPOV/INF-EXN/11 “Lista de documentos</w:t>
      </w:r>
      <w:r w:rsidR="005F5DE3">
        <w:t> </w:t>
      </w:r>
      <w:r w:rsidR="002A6F0C">
        <w:t>UPOV/INF</w:t>
      </w:r>
      <w:r w:rsidR="002A6F0C">
        <w:noBreakHyphen/>
        <w:t>EXN y fechas de última publicación” (documento UPOV/INF-EXN/12) sobre la base del documento UPOV/INF-EXN/12 Draft 1.</w:t>
      </w:r>
    </w:p>
    <w:p w:rsidR="001B3BFE" w:rsidRPr="001B3BFE" w:rsidRDefault="001B3BFE" w:rsidP="001B3BFE"/>
    <w:p w:rsidR="001B3BFE" w:rsidRPr="001B3BFE" w:rsidRDefault="001B3BFE" w:rsidP="001B3BFE"/>
    <w:p w:rsidR="001B3BFE" w:rsidRPr="001B3BFE" w:rsidRDefault="001B3BFE" w:rsidP="001B3BFE">
      <w:pPr>
        <w:jc w:val="right"/>
      </w:pPr>
      <w:r>
        <w:t>[Siguen los anexos]</w:t>
      </w:r>
    </w:p>
    <w:p w:rsidR="001B3BFE" w:rsidRPr="001B3BFE" w:rsidRDefault="001B3BFE" w:rsidP="001B3BFE">
      <w:pPr>
        <w:jc w:val="right"/>
      </w:pPr>
    </w:p>
    <w:p w:rsidR="001B3BFE" w:rsidRPr="001B3BFE" w:rsidRDefault="001B3BFE" w:rsidP="001B3BFE">
      <w:pPr>
        <w:jc w:val="center"/>
      </w:pPr>
    </w:p>
    <w:p w:rsidR="001B3BFE" w:rsidRPr="001B3BFE" w:rsidRDefault="001B3BFE" w:rsidP="001B3BFE">
      <w:pPr>
        <w:jc w:val="right"/>
        <w:sectPr w:rsidR="001B3BFE" w:rsidRPr="001B3BFE" w:rsidSect="00906DDC">
          <w:headerReference w:type="default" r:id="rId10"/>
          <w:pgSz w:w="11907" w:h="16840" w:code="9"/>
          <w:pgMar w:top="510" w:right="1134" w:bottom="1134" w:left="1134" w:header="510" w:footer="680" w:gutter="0"/>
          <w:cols w:space="720"/>
          <w:titlePg/>
        </w:sectPr>
      </w:pPr>
    </w:p>
    <w:p w:rsidR="001B3BFE" w:rsidRDefault="00431FC0" w:rsidP="001B3BFE">
      <w:pPr>
        <w:pStyle w:val="Heading1"/>
        <w:jc w:val="center"/>
        <w:rPr>
          <w:spacing w:val="-2"/>
        </w:rPr>
      </w:pPr>
      <w:bookmarkStart w:id="2" w:name="_Toc512250114"/>
      <w:r>
        <w:lastRenderedPageBreak/>
        <w:t>Revisiones de la sección 1 “Acuerdo administrativo tipo de cooperación internacional en el examen de las obtenciones vegetales” del documento TGP/5</w:t>
      </w:r>
      <w:bookmarkEnd w:id="2"/>
    </w:p>
    <w:p w:rsidR="001B3BFE" w:rsidRPr="001B3BFE" w:rsidRDefault="001B3BFE" w:rsidP="001B3BFE"/>
    <w:p w:rsidR="001B3BFE" w:rsidRPr="001B3BFE" w:rsidRDefault="001B3BFE" w:rsidP="001B3BFE">
      <w:pPr>
        <w:keepNext/>
        <w:jc w:val="center"/>
      </w:pPr>
      <w:r>
        <w:t>Extracto del documento TC/54/5 “Documentos TGP” (párrafos 15 a 19)</w:t>
      </w:r>
    </w:p>
    <w:p w:rsidR="001B3BFE" w:rsidRPr="001B3BFE" w:rsidRDefault="001B3BFE" w:rsidP="001B3BFE"/>
    <w:p w:rsidR="00431FC0" w:rsidRPr="003179A5" w:rsidRDefault="00431FC0" w:rsidP="00431FC0">
      <w:pPr>
        <w:jc w:val="center"/>
      </w:pPr>
    </w:p>
    <w:p w:rsidR="00431FC0" w:rsidRPr="003179A5" w:rsidRDefault="00F82F8A" w:rsidP="00431FC0">
      <w:r>
        <w:rPr>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993140</wp:posOffset>
                </wp:positionH>
                <wp:positionV relativeFrom="paragraph">
                  <wp:posOffset>9525</wp:posOffset>
                </wp:positionV>
                <wp:extent cx="4655820" cy="40005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400050"/>
                        </a:xfrm>
                        <a:prstGeom prst="rect">
                          <a:avLst/>
                        </a:prstGeom>
                        <a:solidFill>
                          <a:srgbClr val="FFFFFF"/>
                        </a:solidFill>
                        <a:ln w="9525">
                          <a:solidFill>
                            <a:srgbClr val="000000"/>
                          </a:solidFill>
                          <a:miter lim="800000"/>
                          <a:headEnd/>
                          <a:tailEnd/>
                        </a:ln>
                      </wps:spPr>
                      <wps:txbx>
                        <w:txbxContent>
                          <w:p w:rsidR="008C1EB0" w:rsidRPr="003179A5" w:rsidRDefault="008C1EB0" w:rsidP="00431FC0">
                            <w:pPr>
                              <w:spacing w:before="120" w:after="120"/>
                              <w:ind w:left="57" w:right="57"/>
                              <w:jc w:val="center"/>
                            </w:pPr>
                            <w:r>
                              <w:t xml:space="preserve">Se indica con </w:t>
                            </w:r>
                            <w:r>
                              <w:rPr>
                                <w:highlight w:val="lightGray"/>
                                <w:u w:val="single"/>
                              </w:rPr>
                              <w:t>subrayado</w:t>
                            </w:r>
                            <w:r>
                              <w:rPr>
                                <w:highlight w:val="lightGray"/>
                              </w:rPr>
                              <w:t xml:space="preserve"> y sombreado</w:t>
                            </w:r>
                            <w:r>
                              <w:t xml:space="preserve"> el texto que se propone añadir.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2pt;margin-top:.75pt;width:366.6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">
                <v:textbox>
                  <w:txbxContent>
                    <w:p w:rsidR="008C1EB0" w:rsidRPr="003179A5" w:rsidRDefault="008C1EB0" w:rsidP="00431FC0">
                      <w:pPr>
                        <w:spacing w:before="120" w:after="120"/>
                        <w:ind w:left="57" w:right="57"/>
                        <w:jc w:val="center"/>
                      </w:pPr>
                      <w:r>
                        <w:t xml:space="preserve">Se indica con </w:t>
                      </w:r>
                      <w:r>
                        <w:rPr>
                          <w:highlight w:val="lightGray"/>
                          <w:u w:val="single"/>
                        </w:rPr>
                        <w:t>subrayado</w:t>
                      </w:r>
                      <w:r>
                        <w:rPr>
                          <w:highlight w:val="lightGray"/>
                        </w:rPr>
                        <w:t xml:space="preserve"> y sombreado</w:t>
                      </w:r>
                      <w:r>
                        <w:t xml:space="preserve"> el texto que se propone añadir.</w:t>
                      </w:r>
                    </w:p>
                  </w:txbxContent>
                </v:textbox>
              </v:shape>
            </w:pict>
          </mc:Fallback>
        </mc:AlternateContent>
      </w:r>
    </w:p>
    <w:p w:rsidR="00431FC0" w:rsidRPr="003179A5" w:rsidRDefault="00431FC0" w:rsidP="00431FC0"/>
    <w:p w:rsidR="00431FC0" w:rsidRPr="003179A5" w:rsidRDefault="00431FC0" w:rsidP="00431FC0"/>
    <w:p w:rsidR="00431FC0" w:rsidRPr="003179A5" w:rsidRDefault="00431FC0" w:rsidP="00431FC0"/>
    <w:p w:rsidR="00431FC0" w:rsidRPr="003179A5" w:rsidRDefault="00431FC0" w:rsidP="00431FC0">
      <w:pPr>
        <w:keepNext/>
        <w:ind w:left="567" w:right="567"/>
        <w:rPr>
          <w:sz w:val="18"/>
        </w:rPr>
      </w:pPr>
      <w:r>
        <w:rPr>
          <w:sz w:val="18"/>
          <w:u w:val="single"/>
        </w:rPr>
        <w:t>“Artículo 4</w:t>
      </w:r>
    </w:p>
    <w:p w:rsidR="00431FC0" w:rsidRPr="003179A5" w:rsidRDefault="00431FC0" w:rsidP="00431FC0">
      <w:pPr>
        <w:keepNext/>
        <w:ind w:left="567" w:right="567"/>
        <w:rPr>
          <w:sz w:val="18"/>
        </w:rPr>
      </w:pPr>
    </w:p>
    <w:p w:rsidR="00431FC0" w:rsidRPr="003179A5" w:rsidRDefault="00431FC0" w:rsidP="00431FC0">
      <w:pPr>
        <w:keepNext/>
        <w:ind w:left="567" w:right="567"/>
        <w:rPr>
          <w:sz w:val="18"/>
        </w:rPr>
      </w:pPr>
      <w:r>
        <w:rPr>
          <w:sz w:val="18"/>
        </w:rPr>
        <w:t>“1)</w:t>
      </w:r>
      <w:r>
        <w:tab/>
        <w:t>Las autoridades deberán adoptar todas las medidas necesarias para salvaguardar los derechos del solicitante.</w:t>
      </w:r>
    </w:p>
    <w:p w:rsidR="00431FC0" w:rsidRPr="003179A5" w:rsidRDefault="00431FC0" w:rsidP="00431FC0">
      <w:pPr>
        <w:keepNext/>
        <w:ind w:left="567" w:right="567"/>
        <w:rPr>
          <w:sz w:val="18"/>
        </w:rPr>
      </w:pPr>
    </w:p>
    <w:p w:rsidR="00431FC0" w:rsidRPr="003179A5" w:rsidRDefault="00431FC0" w:rsidP="00431FC0">
      <w:pPr>
        <w:keepNext/>
        <w:ind w:left="567" w:right="567"/>
        <w:rPr>
          <w:sz w:val="18"/>
        </w:rPr>
      </w:pPr>
      <w:r>
        <w:rPr>
          <w:sz w:val="18"/>
        </w:rPr>
        <w:t>“2)</w:t>
      </w:r>
      <w:r>
        <w:tab/>
        <w:t>Salvo autorización expresa de la autoridad receptora y del solicitante, la autoridad prestataria se abstendrá de transmitir a terceros cualquier material</w:t>
      </w:r>
      <w:r>
        <w:rPr>
          <w:sz w:val="18"/>
          <w:highlight w:val="lightGray"/>
          <w:u w:val="single"/>
        </w:rPr>
        <w:t>, incluido el ADN o información molecular</w:t>
      </w:r>
      <w:r>
        <w:t>, relacionado con variedades vegetales cuyo examen se haya solicitado.”</w:t>
      </w:r>
    </w:p>
    <w:p w:rsidR="00431FC0" w:rsidRPr="003179A5" w:rsidRDefault="00431FC0" w:rsidP="00431FC0">
      <w:pPr>
        <w:ind w:left="567" w:right="567"/>
        <w:rPr>
          <w:sz w:val="18"/>
        </w:rPr>
      </w:pPr>
    </w:p>
    <w:p w:rsidR="00431FC0" w:rsidRPr="003179A5" w:rsidRDefault="00431FC0" w:rsidP="00431FC0">
      <w:pPr>
        <w:ind w:left="567" w:right="567"/>
        <w:rPr>
          <w:sz w:val="18"/>
        </w:rPr>
      </w:pPr>
      <w:r>
        <w:rPr>
          <w:sz w:val="18"/>
        </w:rPr>
        <w:t xml:space="preserve">[…] </w:t>
      </w:r>
    </w:p>
    <w:p w:rsidR="00431FC0" w:rsidRPr="003179A5" w:rsidRDefault="00431FC0" w:rsidP="00431FC0">
      <w:pPr>
        <w:ind w:left="567" w:right="567"/>
        <w:rPr>
          <w:sz w:val="18"/>
        </w:rPr>
      </w:pPr>
    </w:p>
    <w:p w:rsidR="00431FC0" w:rsidRPr="003179A5" w:rsidRDefault="00431FC0" w:rsidP="00431FC0">
      <w:pPr>
        <w:keepNext/>
        <w:keepLines/>
        <w:ind w:left="567" w:right="567"/>
        <w:rPr>
          <w:sz w:val="18"/>
        </w:rPr>
      </w:pPr>
      <w:r>
        <w:rPr>
          <w:sz w:val="18"/>
          <w:u w:val="single"/>
        </w:rPr>
        <w:t>“Artículo 6</w:t>
      </w:r>
    </w:p>
    <w:p w:rsidR="00431FC0" w:rsidRPr="003179A5" w:rsidRDefault="00431FC0" w:rsidP="00431FC0">
      <w:pPr>
        <w:keepNext/>
        <w:keepLines/>
        <w:ind w:left="567" w:right="567"/>
        <w:rPr>
          <w:sz w:val="18"/>
        </w:rPr>
      </w:pPr>
    </w:p>
    <w:p w:rsidR="00431FC0" w:rsidRPr="003179A5" w:rsidRDefault="00431FC0" w:rsidP="00431FC0">
      <w:pPr>
        <w:keepNext/>
        <w:keepLines/>
        <w:ind w:left="567" w:right="567"/>
        <w:rPr>
          <w:sz w:val="18"/>
        </w:rPr>
      </w:pPr>
      <w:r>
        <w:tab/>
      </w:r>
      <w:r>
        <w:rPr>
          <w:sz w:val="18"/>
        </w:rPr>
        <w:t xml:space="preserve">“Los detalles prácticos resultantes del presente Acuerdo </w:t>
      </w:r>
      <w:r>
        <w:rPr>
          <w:rFonts w:cs="Arial"/>
          <w:sz w:val="18"/>
        </w:rPr>
        <w:t>—</w:t>
      </w:r>
      <w:r>
        <w:rPr>
          <w:sz w:val="18"/>
        </w:rPr>
        <w:t xml:space="preserve">en particular respecto de las disposiciones relativas a tasas, formularios de solicitud, cuestionarios técnicos y requisitos en cuanto al material de reproducción o de multiplicación, métodos de prueba, intercambio de muestras de referencia, </w:t>
      </w:r>
      <w:r>
        <w:rPr>
          <w:sz w:val="18"/>
          <w:highlight w:val="lightGray"/>
          <w:u w:val="single"/>
        </w:rPr>
        <w:t>intercambio de información molecular,</w:t>
      </w:r>
      <w:r>
        <w:rPr>
          <w:sz w:val="18"/>
        </w:rPr>
        <w:t xml:space="preserve"> mantenimiento de colecciones de referencia y presentación de los resultados</w:t>
      </w:r>
      <w:r>
        <w:rPr>
          <w:rFonts w:cs="Arial"/>
          <w:sz w:val="18"/>
        </w:rPr>
        <w:t>—</w:t>
      </w:r>
      <w:r>
        <w:rPr>
          <w:sz w:val="18"/>
        </w:rPr>
        <w:t xml:space="preserve"> se especificarán en el presente Acuerdo o los fijarán las autoridades interesadas por correspondencia.”</w:t>
      </w:r>
    </w:p>
    <w:p w:rsidR="001B3BFE" w:rsidRPr="001B3BFE" w:rsidRDefault="001B3BFE" w:rsidP="001B3BFE"/>
    <w:p w:rsidR="001B3BFE" w:rsidRPr="001B3BFE" w:rsidRDefault="001B3BFE" w:rsidP="001B3BFE"/>
    <w:p w:rsidR="001B3BFE" w:rsidRPr="001B3BFE" w:rsidRDefault="001B3BFE" w:rsidP="001B3BFE"/>
    <w:p w:rsidR="001B3BFE" w:rsidRPr="001B3BFE" w:rsidRDefault="001B3BFE" w:rsidP="001B3BFE">
      <w:pPr>
        <w:ind w:left="567" w:hanging="567"/>
        <w:jc w:val="right"/>
      </w:pPr>
      <w:r>
        <w:t>[Sigue el anexo II]</w:t>
      </w:r>
    </w:p>
    <w:p w:rsidR="001B3BFE" w:rsidRPr="001B3BFE" w:rsidRDefault="001B3BFE" w:rsidP="001B3BFE"/>
    <w:p w:rsidR="001B3BFE" w:rsidRPr="001B3BFE" w:rsidRDefault="001B3BFE" w:rsidP="001B3BFE"/>
    <w:p w:rsidR="001B3BFE" w:rsidRPr="001B3BFE" w:rsidRDefault="001B3BFE" w:rsidP="001B3BFE">
      <w:pPr>
        <w:sectPr w:rsidR="001B3BFE" w:rsidRPr="001B3BFE" w:rsidSect="00906DDC">
          <w:headerReference w:type="first" r:id="rId11"/>
          <w:pgSz w:w="11907" w:h="16840" w:code="9"/>
          <w:pgMar w:top="510" w:right="1134" w:bottom="1134" w:left="1134" w:header="510" w:footer="680" w:gutter="0"/>
          <w:cols w:space="720"/>
          <w:titlePg/>
        </w:sectPr>
      </w:pPr>
    </w:p>
    <w:p w:rsidR="002008AA" w:rsidRPr="003179A5" w:rsidRDefault="002008AA" w:rsidP="002008AA">
      <w:pPr>
        <w:jc w:val="center"/>
        <w:rPr>
          <w:caps/>
        </w:rPr>
      </w:pPr>
      <w:r>
        <w:rPr>
          <w:caps/>
        </w:rPr>
        <w:lastRenderedPageBreak/>
        <w:t xml:space="preserve">Revisiones del documento TGP/7 “Elaboración de las directrices de examen” </w:t>
      </w:r>
    </w:p>
    <w:p w:rsidR="002008AA" w:rsidRPr="003179A5" w:rsidRDefault="002008AA" w:rsidP="002008AA">
      <w:pPr>
        <w:jc w:val="center"/>
        <w:rPr>
          <w:caps/>
        </w:rPr>
      </w:pPr>
      <w:r>
        <w:rPr>
          <w:caps/>
        </w:rPr>
        <w:t>convenidas con anterioridad por el TC</w:t>
      </w:r>
    </w:p>
    <w:p w:rsidR="002008AA" w:rsidRPr="003179A5" w:rsidRDefault="002008AA" w:rsidP="002008AA">
      <w:pPr>
        <w:jc w:val="center"/>
      </w:pPr>
    </w:p>
    <w:p w:rsidR="002008AA" w:rsidRPr="003179A5" w:rsidRDefault="002008AA" w:rsidP="002008AA">
      <w:pPr>
        <w:keepNext/>
        <w:jc w:val="center"/>
      </w:pPr>
      <w:r>
        <w:t>Extracto del documento TC/54/5 “Documentos TGP”, Anexo I</w:t>
      </w:r>
    </w:p>
    <w:p w:rsidR="002008AA" w:rsidRPr="003179A5" w:rsidRDefault="002008AA" w:rsidP="002008AA">
      <w:pPr>
        <w:jc w:val="center"/>
      </w:pPr>
    </w:p>
    <w:p w:rsidR="002008AA" w:rsidRPr="003179A5" w:rsidRDefault="002008AA" w:rsidP="002008AA">
      <w:pPr>
        <w:jc w:val="center"/>
      </w:pPr>
    </w:p>
    <w:p w:rsidR="002008AA" w:rsidRPr="003179A5" w:rsidRDefault="002008AA" w:rsidP="002008AA">
      <w:r>
        <w:rPr>
          <w:noProof/>
          <w:lang w:val="en-US" w:eastAsia="en-US" w:bidi="ar-SA"/>
        </w:rPr>
        <mc:AlternateContent>
          <mc:Choice Requires="wps">
            <w:drawing>
              <wp:anchor distT="0" distB="0" distL="114300" distR="114300" simplePos="0" relativeHeight="251658240" behindDoc="0" locked="0" layoutInCell="1" allowOverlap="1" wp14:anchorId="3F7A366D" wp14:editId="4E86BC5A">
                <wp:simplePos x="0" y="0"/>
                <wp:positionH relativeFrom="column">
                  <wp:align>center</wp:align>
                </wp:positionH>
                <wp:positionV relativeFrom="paragraph">
                  <wp:posOffset>0</wp:posOffset>
                </wp:positionV>
                <wp:extent cx="4119880" cy="402590"/>
                <wp:effectExtent l="0" t="0" r="1397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402590"/>
                        </a:xfrm>
                        <a:prstGeom prst="rect">
                          <a:avLst/>
                        </a:prstGeom>
                        <a:solidFill>
                          <a:srgbClr val="FFFFFF"/>
                        </a:solidFill>
                        <a:ln w="9525">
                          <a:solidFill>
                            <a:srgbClr val="000000"/>
                          </a:solidFill>
                          <a:miter lim="800000"/>
                          <a:headEnd/>
                          <a:tailEnd/>
                        </a:ln>
                      </wps:spPr>
                      <wps:txbx>
                        <w:txbxContent>
                          <w:p w:rsidR="002008AA" w:rsidRPr="003179A5" w:rsidRDefault="002008AA" w:rsidP="002008AA">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2008AA" w:rsidRPr="003179A5" w:rsidRDefault="002008AA" w:rsidP="00200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A366D" id="_x0000_s1027" type="#_x0000_t202" style="position:absolute;left:0;text-align:left;margin-left:0;margin-top:0;width:324.4pt;height:3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">
                <v:textbox>
                  <w:txbxContent>
                    <w:p w:rsidR="002008AA" w:rsidRPr="003179A5" w:rsidRDefault="002008AA" w:rsidP="002008AA">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2008AA" w:rsidRPr="003179A5" w:rsidRDefault="002008AA" w:rsidP="002008AA"/>
                  </w:txbxContent>
                </v:textbox>
              </v:shape>
            </w:pict>
          </mc:Fallback>
        </mc:AlternateContent>
      </w:r>
    </w:p>
    <w:p w:rsidR="002008AA" w:rsidRPr="003179A5" w:rsidRDefault="002008AA" w:rsidP="002008AA"/>
    <w:p w:rsidR="002008AA" w:rsidRPr="003179A5" w:rsidRDefault="002008AA" w:rsidP="002008AA"/>
    <w:p w:rsidR="002008AA" w:rsidRPr="003179A5" w:rsidRDefault="002008AA" w:rsidP="002008AA"/>
    <w:p w:rsidR="002008AA" w:rsidRDefault="002008AA" w:rsidP="002008AA"/>
    <w:p w:rsidR="002008AA" w:rsidRPr="001375EC" w:rsidRDefault="002008AA" w:rsidP="002008AA">
      <w:pPr>
        <w:rPr>
          <w:u w:val="single"/>
        </w:rPr>
      </w:pPr>
      <w:bookmarkStart w:id="3" w:name="_Toc477517489"/>
      <w:r w:rsidRPr="001375EC">
        <w:rPr>
          <w:u w:val="single"/>
        </w:rPr>
        <w:t>Capítulo 1: Introducción</w:t>
      </w:r>
      <w:bookmarkEnd w:id="3"/>
      <w:r w:rsidRPr="001375EC">
        <w:rPr>
          <w:u w:val="single"/>
        </w:rPr>
        <w:t xml:space="preserve"> </w:t>
      </w:r>
    </w:p>
    <w:p w:rsidR="002008AA" w:rsidRPr="001375EC" w:rsidRDefault="002008AA" w:rsidP="002008AA">
      <w:pPr>
        <w:pStyle w:val="Heading2"/>
      </w:pPr>
    </w:p>
    <w:p w:rsidR="002008AA" w:rsidRDefault="002008AA" w:rsidP="002008AA">
      <w:pPr>
        <w:ind w:left="567"/>
        <w:rPr>
          <w:sz w:val="18"/>
          <w:lang w:val="es-ES_tradnl"/>
        </w:rPr>
      </w:pPr>
      <w:bookmarkStart w:id="4" w:name="_Toc477517490"/>
      <w:r w:rsidRPr="001375EC">
        <w:rPr>
          <w:sz w:val="18"/>
        </w:rPr>
        <w:t xml:space="preserve">1.3 </w:t>
      </w:r>
      <w:r w:rsidRPr="001375EC">
        <w:rPr>
          <w:sz w:val="18"/>
          <w:lang w:val="es-ES_tradnl"/>
        </w:rPr>
        <w:t>Estructura del documento TGP/7</w:t>
      </w:r>
      <w:bookmarkEnd w:id="4"/>
    </w:p>
    <w:p w:rsidR="002008AA" w:rsidRPr="001375EC" w:rsidRDefault="002008AA" w:rsidP="002008AA">
      <w:pPr>
        <w:ind w:left="567"/>
        <w:rPr>
          <w:sz w:val="18"/>
        </w:rPr>
      </w:pPr>
    </w:p>
    <w:p w:rsidR="002008AA" w:rsidRDefault="002008AA" w:rsidP="002008AA">
      <w:pPr>
        <w:ind w:left="567"/>
        <w:rPr>
          <w:sz w:val="18"/>
        </w:rPr>
      </w:pPr>
      <w:r w:rsidRPr="001375EC">
        <w:rPr>
          <w:sz w:val="18"/>
        </w:rPr>
        <w:t>[…]</w:t>
      </w:r>
    </w:p>
    <w:p w:rsidR="002008AA" w:rsidRPr="001375EC" w:rsidRDefault="002008AA" w:rsidP="002008AA">
      <w:pPr>
        <w:ind w:left="567"/>
        <w:rPr>
          <w:sz w:val="18"/>
        </w:rPr>
      </w:pPr>
    </w:p>
    <w:p w:rsidR="002008AA" w:rsidRPr="001375EC" w:rsidRDefault="002008AA" w:rsidP="002008AA">
      <w:pPr>
        <w:ind w:left="567"/>
        <w:rPr>
          <w:sz w:val="18"/>
          <w:u w:val="single"/>
        </w:rPr>
      </w:pPr>
      <w:r w:rsidRPr="001375EC">
        <w:rPr>
          <w:sz w:val="18"/>
          <w:u w:val="single"/>
        </w:rPr>
        <w:t>3.1</w:t>
      </w:r>
      <w:r w:rsidRPr="001375EC">
        <w:rPr>
          <w:sz w:val="18"/>
          <w:u w:val="single"/>
        </w:rPr>
        <w:tab/>
      </w:r>
      <w:r w:rsidRPr="001375EC">
        <w:rPr>
          <w:sz w:val="18"/>
          <w:u w:val="single"/>
          <w:lang w:val="es-ES_tradnl"/>
        </w:rPr>
        <w:t xml:space="preserve">La </w:t>
      </w:r>
      <w:r w:rsidRPr="001375EC">
        <w:rPr>
          <w:strike/>
          <w:sz w:val="18"/>
          <w:highlight w:val="lightGray"/>
          <w:u w:val="single"/>
          <w:lang w:val="es-ES_tradnl"/>
        </w:rPr>
        <w:t>plantilla</w:t>
      </w:r>
      <w:r w:rsidRPr="001375EC">
        <w:rPr>
          <w:sz w:val="18"/>
          <w:highlight w:val="lightGray"/>
          <w:u w:val="single"/>
          <w:lang w:val="es-ES_tradnl"/>
        </w:rPr>
        <w:t xml:space="preserve"> estructura y el texto estándar universal </w:t>
      </w:r>
      <w:r w:rsidRPr="001375EC">
        <w:rPr>
          <w:sz w:val="18"/>
          <w:u w:val="single"/>
          <w:lang w:val="es-ES_tradnl"/>
        </w:rPr>
        <w:t>de los documentos TG</w:t>
      </w:r>
    </w:p>
    <w:p w:rsidR="002008AA" w:rsidRPr="001375EC" w:rsidRDefault="002008AA" w:rsidP="002008AA">
      <w:pPr>
        <w:ind w:left="567"/>
        <w:rPr>
          <w:sz w:val="18"/>
        </w:rPr>
      </w:pPr>
    </w:p>
    <w:p w:rsidR="002008AA" w:rsidRPr="001375EC" w:rsidRDefault="002008AA" w:rsidP="009149F1">
      <w:pPr>
        <w:ind w:left="567" w:right="567"/>
        <w:rPr>
          <w:sz w:val="18"/>
          <w:u w:val="single"/>
        </w:rPr>
      </w:pPr>
      <w:r w:rsidRPr="001375EC">
        <w:rPr>
          <w:sz w:val="18"/>
        </w:rPr>
        <w:t xml:space="preserve">“En este capítulo se presenta la </w:t>
      </w:r>
      <w:r w:rsidRPr="001375EC">
        <w:rPr>
          <w:strike/>
          <w:sz w:val="18"/>
          <w:highlight w:val="lightGray"/>
        </w:rPr>
        <w:t>“plantilla de los documentos TG” que contiene la</w:t>
      </w:r>
      <w:r w:rsidRPr="001375EC">
        <w:rPr>
          <w:sz w:val="18"/>
        </w:rPr>
        <w:t xml:space="preserve"> estructura </w:t>
      </w:r>
      <w:r w:rsidRPr="001375EC">
        <w:rPr>
          <w:strike/>
          <w:sz w:val="18"/>
          <w:highlight w:val="lightGray"/>
        </w:rPr>
        <w:t>básica</w:t>
      </w:r>
      <w:r w:rsidRPr="001375EC">
        <w:rPr>
          <w:sz w:val="18"/>
        </w:rPr>
        <w:t xml:space="preserve"> para las directrices de examen</w:t>
      </w:r>
      <w:r w:rsidRPr="001375EC">
        <w:rPr>
          <w:sz w:val="18"/>
          <w:highlight w:val="lightGray"/>
        </w:rPr>
        <w:t xml:space="preserve">, así como </w:t>
      </w:r>
      <w:r w:rsidRPr="001375EC">
        <w:rPr>
          <w:sz w:val="18"/>
        </w:rPr>
        <w:t>el texto estándar universal</w:t>
      </w:r>
      <w:r w:rsidRPr="001375EC">
        <w:rPr>
          <w:strike/>
          <w:sz w:val="18"/>
          <w:highlight w:val="lightGray"/>
        </w:rPr>
        <w:t>,</w:t>
      </w:r>
      <w:r w:rsidRPr="001375EC">
        <w:rPr>
          <w:sz w:val="18"/>
        </w:rPr>
        <w:t xml:space="preserve"> apropiado para todas las directrices de examen</w:t>
      </w:r>
      <w:r w:rsidRPr="001375EC">
        <w:rPr>
          <w:strike/>
          <w:sz w:val="18"/>
          <w:highlight w:val="lightGray"/>
        </w:rPr>
        <w:t>.</w:t>
      </w:r>
      <w:r w:rsidRPr="001375EC">
        <w:rPr>
          <w:sz w:val="18"/>
          <w:highlight w:val="lightGray"/>
          <w:u w:val="single"/>
        </w:rPr>
        <w:t>, que</w:t>
      </w:r>
      <w:r w:rsidRPr="001375EC">
        <w:rPr>
          <w:sz w:val="18"/>
          <w:highlight w:val="lightGray"/>
        </w:rPr>
        <w:t xml:space="preserve"> </w:t>
      </w:r>
      <w:r w:rsidRPr="001375EC">
        <w:rPr>
          <w:strike/>
          <w:sz w:val="18"/>
          <w:highlight w:val="lightGray"/>
        </w:rPr>
        <w:t>La plantilla de los documentos TG</w:t>
      </w:r>
      <w:r w:rsidRPr="001375EC">
        <w:rPr>
          <w:sz w:val="18"/>
        </w:rPr>
        <w:t xml:space="preserve"> figura como Anexo 1 del presente documento.”</w:t>
      </w:r>
      <w:r w:rsidRPr="001375EC">
        <w:rPr>
          <w:sz w:val="18"/>
          <w:u w:val="single"/>
        </w:rPr>
        <w:t xml:space="preserve"> </w:t>
      </w:r>
    </w:p>
    <w:p w:rsidR="002008AA" w:rsidRDefault="002008AA" w:rsidP="009149F1">
      <w:pPr>
        <w:ind w:left="567" w:right="567"/>
        <w:rPr>
          <w:sz w:val="18"/>
        </w:rPr>
      </w:pPr>
    </w:p>
    <w:p w:rsidR="002008AA" w:rsidRPr="001375EC" w:rsidRDefault="002008AA" w:rsidP="009149F1">
      <w:pPr>
        <w:ind w:left="567" w:right="567"/>
        <w:rPr>
          <w:sz w:val="18"/>
          <w:u w:val="single"/>
        </w:rPr>
      </w:pPr>
      <w:r w:rsidRPr="001375EC">
        <w:rPr>
          <w:sz w:val="18"/>
          <w:u w:val="single"/>
        </w:rPr>
        <w:t>3.2</w:t>
      </w:r>
      <w:r w:rsidRPr="001375EC">
        <w:rPr>
          <w:sz w:val="18"/>
          <w:u w:val="single"/>
        </w:rPr>
        <w:tab/>
      </w:r>
      <w:r w:rsidRPr="001375EC">
        <w:rPr>
          <w:sz w:val="18"/>
          <w:u w:val="single"/>
          <w:lang w:val="es-ES_tradnl"/>
        </w:rPr>
        <w:t>Texto estándar adicional (ASW)</w:t>
      </w:r>
      <w:r w:rsidRPr="001375EC">
        <w:rPr>
          <w:sz w:val="18"/>
          <w:u w:val="single"/>
        </w:rPr>
        <w:t xml:space="preserve"> </w:t>
      </w:r>
    </w:p>
    <w:p w:rsidR="002008AA" w:rsidRPr="001375EC" w:rsidRDefault="002008AA" w:rsidP="009149F1">
      <w:pPr>
        <w:ind w:left="567" w:right="567"/>
        <w:rPr>
          <w:sz w:val="18"/>
        </w:rPr>
      </w:pPr>
    </w:p>
    <w:p w:rsidR="002008AA" w:rsidRPr="001375EC" w:rsidRDefault="002008AA" w:rsidP="009149F1">
      <w:pPr>
        <w:ind w:left="567" w:right="567"/>
        <w:rPr>
          <w:sz w:val="18"/>
        </w:rPr>
      </w:pPr>
      <w:r w:rsidRPr="001375EC">
        <w:rPr>
          <w:sz w:val="18"/>
        </w:rPr>
        <w:t>“</w:t>
      </w:r>
      <w:r w:rsidRPr="001375EC">
        <w:rPr>
          <w:strike/>
          <w:sz w:val="18"/>
          <w:highlight w:val="lightGray"/>
        </w:rPr>
        <w:t>La “plantilla de los documentos TG”</w:t>
      </w:r>
      <w:r w:rsidRPr="001375EC">
        <w:rPr>
          <w:sz w:val="18"/>
        </w:rPr>
        <w:t xml:space="preserve"> </w:t>
      </w:r>
      <w:r w:rsidRPr="001375EC">
        <w:rPr>
          <w:sz w:val="18"/>
          <w:highlight w:val="lightGray"/>
          <w:u w:val="single"/>
        </w:rPr>
        <w:t>El Anexo I</w:t>
      </w:r>
      <w:r w:rsidRPr="001375EC">
        <w:rPr>
          <w:sz w:val="18"/>
        </w:rPr>
        <w:t xml:space="preserve"> contiene el texto estándar universal</w:t>
      </w:r>
      <w:r w:rsidRPr="001375EC">
        <w:rPr>
          <w:strike/>
          <w:sz w:val="18"/>
          <w:highlight w:val="lightGray"/>
        </w:rPr>
        <w:t xml:space="preserve">, </w:t>
      </w:r>
      <w:r w:rsidRPr="001375EC">
        <w:rPr>
          <w:sz w:val="18"/>
        </w:rPr>
        <w:t>aplicable a todas las directrices de examen. No obstante, en esta sección se explica que la UPOV ha elaborado un texto estándar adicional que deberá utilizarse, cuando proceda, para las directrices de examen pertinentes. El texto estándar adicional figura como Anexo 2 del presente documento.”</w:t>
      </w:r>
    </w:p>
    <w:p w:rsidR="002008AA" w:rsidRDefault="002008AA" w:rsidP="009149F1">
      <w:pPr>
        <w:ind w:left="567" w:right="567"/>
        <w:rPr>
          <w:sz w:val="18"/>
        </w:rPr>
      </w:pPr>
    </w:p>
    <w:p w:rsidR="002008AA" w:rsidRPr="001375EC" w:rsidRDefault="002008AA" w:rsidP="009149F1">
      <w:pPr>
        <w:ind w:left="567" w:right="567"/>
        <w:rPr>
          <w:sz w:val="18"/>
          <w:u w:val="single"/>
        </w:rPr>
      </w:pPr>
      <w:r w:rsidRPr="001375EC">
        <w:rPr>
          <w:sz w:val="18"/>
          <w:u w:val="single"/>
        </w:rPr>
        <w:t>3.3</w:t>
      </w:r>
      <w:r w:rsidRPr="001375EC">
        <w:rPr>
          <w:sz w:val="18"/>
          <w:u w:val="single"/>
        </w:rPr>
        <w:tab/>
      </w:r>
      <w:r w:rsidRPr="001375EC">
        <w:rPr>
          <w:sz w:val="18"/>
          <w:u w:val="single"/>
          <w:lang w:val="es-ES_tradnl"/>
        </w:rPr>
        <w:t xml:space="preserve">Notas orientativas (GN) </w:t>
      </w:r>
      <w:r w:rsidRPr="001375EC">
        <w:rPr>
          <w:strike/>
          <w:sz w:val="18"/>
          <w:highlight w:val="lightGray"/>
          <w:u w:val="single"/>
          <w:lang w:val="es-ES_tradnl"/>
        </w:rPr>
        <w:t>sobre la plantilla de los documentos TG</w:t>
      </w:r>
      <w:r w:rsidRPr="001375EC">
        <w:rPr>
          <w:strike/>
          <w:sz w:val="18"/>
          <w:highlight w:val="lightGray"/>
          <w:u w:val="single"/>
        </w:rPr>
        <w:t xml:space="preserve"> </w:t>
      </w:r>
    </w:p>
    <w:p w:rsidR="002008AA" w:rsidRPr="001375EC" w:rsidRDefault="002008AA" w:rsidP="009149F1">
      <w:pPr>
        <w:ind w:left="567" w:right="567"/>
        <w:rPr>
          <w:sz w:val="18"/>
        </w:rPr>
      </w:pPr>
    </w:p>
    <w:p w:rsidR="002008AA" w:rsidRPr="001375EC" w:rsidRDefault="002008AA" w:rsidP="009149F1">
      <w:pPr>
        <w:ind w:left="567" w:right="567"/>
        <w:rPr>
          <w:sz w:val="18"/>
        </w:rPr>
      </w:pPr>
      <w:r w:rsidRPr="001375EC">
        <w:rPr>
          <w:sz w:val="18"/>
        </w:rPr>
        <w:t xml:space="preserve">“En relación con numerosos aspectos de las directrices de examen se requiere la experiencia y los conocimientos de los redactores para elaborar las directrices de examen. Entre ellos se encuentran por ejemplo, la selección del texto estándar adicional (ASW) apropiado, el diseño del ensayo, la identificación de caracteres y las variedades ejemplo. Esta sección tiene por objeto ofrecer notas orientativas acerca de cómo proceder de manera armonizada en relación con dichos aspectos. Las notas orientativas figuran como Anexo 3 del presente documento y dan las pautas para utilizar </w:t>
      </w:r>
      <w:r w:rsidRPr="001375EC">
        <w:rPr>
          <w:strike/>
          <w:sz w:val="18"/>
          <w:highlight w:val="lightGray"/>
        </w:rPr>
        <w:t>la colección de</w:t>
      </w:r>
      <w:r w:rsidRPr="001375EC">
        <w:rPr>
          <w:sz w:val="18"/>
          <w:highlight w:val="lightGray"/>
        </w:rPr>
        <w:t xml:space="preserve"> </w:t>
      </w:r>
      <w:r w:rsidRPr="001375EC">
        <w:rPr>
          <w:sz w:val="18"/>
          <w:highlight w:val="lightGray"/>
          <w:u w:val="single"/>
        </w:rPr>
        <w:t>los</w:t>
      </w:r>
      <w:r w:rsidRPr="001375EC">
        <w:rPr>
          <w:sz w:val="18"/>
        </w:rPr>
        <w:t xml:space="preserve"> caracteres </w:t>
      </w:r>
      <w:r w:rsidRPr="001375EC">
        <w:rPr>
          <w:strike/>
          <w:sz w:val="18"/>
          <w:highlight w:val="lightGray"/>
        </w:rPr>
        <w:t>aprobados</w:t>
      </w:r>
      <w:r w:rsidRPr="001375EC">
        <w:rPr>
          <w:sz w:val="18"/>
        </w:rPr>
        <w:t xml:space="preserve"> que </w:t>
      </w:r>
      <w:r w:rsidRPr="001375EC">
        <w:rPr>
          <w:sz w:val="18"/>
          <w:highlight w:val="lightGray"/>
          <w:u w:val="single"/>
        </w:rPr>
        <w:t>han sido incluidos en las directrices de examen aprobadas [con posterioridad a la aprobación del documento TGP/7] (en adelante, los “caracteres aprobados”)</w:t>
      </w:r>
      <w:r w:rsidRPr="001375EC">
        <w:rPr>
          <w:sz w:val="18"/>
          <w:highlight w:val="lightGray"/>
        </w:rPr>
        <w:t xml:space="preserve"> </w:t>
      </w:r>
      <w:r w:rsidRPr="001375EC">
        <w:rPr>
          <w:strike/>
          <w:sz w:val="18"/>
          <w:highlight w:val="lightGray"/>
        </w:rPr>
        <w:t>figuran en el Anexo 4</w:t>
      </w:r>
      <w:r w:rsidRPr="001375EC">
        <w:rPr>
          <w:sz w:val="18"/>
        </w:rPr>
        <w:t xml:space="preserve"> (véase la GN 17).” </w:t>
      </w:r>
    </w:p>
    <w:p w:rsidR="002008AA" w:rsidRDefault="002008AA" w:rsidP="002008AA">
      <w:pPr>
        <w:ind w:left="567"/>
        <w:rPr>
          <w:sz w:val="18"/>
        </w:rPr>
      </w:pPr>
    </w:p>
    <w:p w:rsidR="002008AA" w:rsidRPr="001375EC" w:rsidRDefault="002008AA" w:rsidP="002008AA">
      <w:pPr>
        <w:ind w:left="567"/>
        <w:rPr>
          <w:sz w:val="18"/>
        </w:rPr>
      </w:pPr>
      <w:r w:rsidRPr="001375EC">
        <w:rPr>
          <w:sz w:val="18"/>
        </w:rPr>
        <w:t>[…]</w:t>
      </w:r>
    </w:p>
    <w:p w:rsidR="002008AA" w:rsidRPr="004619FA" w:rsidRDefault="002008AA" w:rsidP="002008AA">
      <w:pPr>
        <w:pStyle w:val="ListParagraph"/>
        <w:ind w:left="0"/>
      </w:pPr>
    </w:p>
    <w:p w:rsidR="002008AA" w:rsidRPr="001375EC" w:rsidRDefault="002008AA" w:rsidP="002008AA">
      <w:pPr>
        <w:rPr>
          <w:u w:val="single"/>
        </w:rPr>
      </w:pPr>
      <w:bookmarkStart w:id="5" w:name="_Toc477517491"/>
      <w:r w:rsidRPr="001375EC">
        <w:rPr>
          <w:u w:val="single"/>
        </w:rPr>
        <w:t>Capítulo 2: Procedimiento para introducir y revisar directrices de examen de la UPOV</w:t>
      </w:r>
      <w:bookmarkEnd w:id="5"/>
    </w:p>
    <w:p w:rsidR="002008AA" w:rsidRPr="001375EC" w:rsidRDefault="002008AA" w:rsidP="002008AA">
      <w:pPr>
        <w:rPr>
          <w:sz w:val="18"/>
          <w:szCs w:val="18"/>
        </w:rPr>
      </w:pPr>
    </w:p>
    <w:p w:rsidR="002008AA" w:rsidRPr="001375EC" w:rsidRDefault="002008AA" w:rsidP="002008AA">
      <w:pPr>
        <w:ind w:left="567"/>
        <w:rPr>
          <w:sz w:val="18"/>
          <w:szCs w:val="18"/>
        </w:rPr>
      </w:pPr>
      <w:bookmarkStart w:id="6" w:name="_Toc477517492"/>
      <w:r w:rsidRPr="001375EC">
        <w:rPr>
          <w:sz w:val="18"/>
          <w:szCs w:val="18"/>
        </w:rPr>
        <w:t>[…]</w:t>
      </w:r>
    </w:p>
    <w:p w:rsidR="002008AA" w:rsidRPr="009149F1" w:rsidRDefault="002008AA" w:rsidP="002008AA">
      <w:pPr>
        <w:ind w:left="567"/>
        <w:rPr>
          <w:i/>
          <w:sz w:val="18"/>
          <w:szCs w:val="18"/>
        </w:rPr>
      </w:pPr>
    </w:p>
    <w:p w:rsidR="002008AA" w:rsidRPr="009149F1" w:rsidRDefault="002008AA" w:rsidP="002008AA">
      <w:pPr>
        <w:ind w:left="567"/>
        <w:rPr>
          <w:i/>
          <w:sz w:val="18"/>
          <w:szCs w:val="18"/>
        </w:rPr>
      </w:pPr>
      <w:r w:rsidRPr="009149F1">
        <w:rPr>
          <w:i/>
          <w:sz w:val="18"/>
          <w:szCs w:val="18"/>
        </w:rPr>
        <w:t xml:space="preserve">2.2.4.4 </w:t>
      </w:r>
      <w:r w:rsidRPr="009149F1">
        <w:rPr>
          <w:i/>
          <w:sz w:val="18"/>
          <w:szCs w:val="18"/>
          <w:lang w:val="es-ES_tradnl"/>
        </w:rPr>
        <w:t>Preparación del proyecto o proyectos por parte del experto principal con el Subgrupo</w:t>
      </w:r>
      <w:bookmarkEnd w:id="6"/>
    </w:p>
    <w:p w:rsidR="002008AA" w:rsidRPr="001375EC" w:rsidRDefault="002008AA" w:rsidP="002008AA">
      <w:pPr>
        <w:ind w:left="567"/>
        <w:rPr>
          <w:sz w:val="18"/>
          <w:szCs w:val="18"/>
          <w:highlight w:val="lightGray"/>
          <w:u w:val="single"/>
        </w:rPr>
      </w:pPr>
    </w:p>
    <w:p w:rsidR="002008AA" w:rsidRPr="001375EC" w:rsidRDefault="002008AA" w:rsidP="009149F1">
      <w:pPr>
        <w:ind w:left="567" w:right="567"/>
        <w:rPr>
          <w:sz w:val="18"/>
          <w:szCs w:val="18"/>
          <w:u w:val="single"/>
        </w:rPr>
      </w:pPr>
      <w:r w:rsidRPr="001375EC">
        <w:rPr>
          <w:sz w:val="18"/>
          <w:szCs w:val="18"/>
          <w:highlight w:val="lightGray"/>
          <w:u w:val="single"/>
        </w:rPr>
        <w:t>Para preparar el proyecto de directrices de examen de la UPOV deberá utilizarse la plantilla en Internet de los documentos TG (véase: https://www3.wipo.int/upovtg/).</w:t>
      </w:r>
    </w:p>
    <w:p w:rsidR="002008AA" w:rsidRPr="001375EC" w:rsidRDefault="002008AA" w:rsidP="009149F1">
      <w:pPr>
        <w:ind w:left="567" w:right="567"/>
        <w:rPr>
          <w:sz w:val="18"/>
          <w:szCs w:val="18"/>
        </w:rPr>
      </w:pPr>
    </w:p>
    <w:p w:rsidR="002008AA" w:rsidRPr="001375EC" w:rsidRDefault="002008AA" w:rsidP="009149F1">
      <w:pPr>
        <w:ind w:left="567" w:right="567"/>
        <w:rPr>
          <w:color w:val="0D0D0D"/>
          <w:sz w:val="18"/>
          <w:szCs w:val="18"/>
        </w:rPr>
      </w:pPr>
      <w:r w:rsidRPr="001375EC">
        <w:rPr>
          <w:sz w:val="18"/>
          <w:szCs w:val="18"/>
        </w:rPr>
        <w:t>“Previamente a la reunión del TWP, el experto principal preparará</w:t>
      </w:r>
      <w:r w:rsidRPr="001375EC">
        <w:rPr>
          <w:sz w:val="18"/>
          <w:szCs w:val="18"/>
          <w:highlight w:val="lightGray"/>
          <w:u w:val="single"/>
        </w:rPr>
        <w:t xml:space="preserve">, utilizando la plantilla en Internet de los documentos TG, </w:t>
      </w:r>
      <w:r w:rsidRPr="001375EC">
        <w:rPr>
          <w:sz w:val="18"/>
          <w:szCs w:val="18"/>
        </w:rPr>
        <w:t xml:space="preserve">un anteproyecto de directrices de examen (en adelante “el proyecto destinado al Subgrupo”) para estudio y comentario por el Subgrupo. </w:t>
      </w:r>
      <w:r w:rsidRPr="001375EC">
        <w:rPr>
          <w:strike/>
          <w:sz w:val="18"/>
          <w:szCs w:val="18"/>
          <w:highlight w:val="lightGray"/>
        </w:rPr>
        <w:t>En el caso de las directrices de examen elaboradas por más de un TWP, el proyecto destinado al Subgrupo se distribuirá al mismo tiempo a los expertos de todos los TWP pertinentes.</w:t>
      </w:r>
      <w:r w:rsidRPr="001375EC">
        <w:rPr>
          <w:strike/>
          <w:color w:val="0D0D0D"/>
          <w:sz w:val="18"/>
          <w:szCs w:val="18"/>
        </w:rPr>
        <w:t xml:space="preserve"> </w:t>
      </w:r>
    </w:p>
    <w:p w:rsidR="002008AA" w:rsidRPr="001375EC" w:rsidRDefault="002008AA" w:rsidP="009149F1">
      <w:pPr>
        <w:ind w:left="567" w:right="567"/>
        <w:rPr>
          <w:color w:val="0D0D0D"/>
          <w:sz w:val="18"/>
          <w:szCs w:val="18"/>
        </w:rPr>
      </w:pPr>
    </w:p>
    <w:p w:rsidR="002008AA" w:rsidRPr="001375EC" w:rsidRDefault="002008AA" w:rsidP="009149F1">
      <w:pPr>
        <w:ind w:left="567" w:right="567"/>
        <w:rPr>
          <w:color w:val="0D0D0D"/>
          <w:sz w:val="18"/>
          <w:szCs w:val="18"/>
        </w:rPr>
      </w:pPr>
      <w:r w:rsidRPr="001375EC">
        <w:rPr>
          <w:color w:val="0D0D0D"/>
          <w:sz w:val="18"/>
          <w:szCs w:val="18"/>
          <w:highlight w:val="lightGray"/>
          <w:u w:val="single"/>
        </w:rPr>
        <w:t>Se invitará al Subgrupo de expertos interesados que participe en la redacción de las directrices de examen a formular observaciones al experto principal mediante la plantilla en Internet de los documentos TG</w:t>
      </w:r>
      <w:r w:rsidRPr="001375EC">
        <w:rPr>
          <w:color w:val="0D0D0D"/>
          <w:sz w:val="18"/>
          <w:szCs w:val="18"/>
          <w:highlight w:val="lightGray"/>
        </w:rPr>
        <w:t>.</w:t>
      </w:r>
    </w:p>
    <w:p w:rsidR="002008AA" w:rsidRPr="001375EC" w:rsidRDefault="002008AA" w:rsidP="009149F1">
      <w:pPr>
        <w:ind w:left="567" w:right="567"/>
        <w:rPr>
          <w:color w:val="0D0D0D"/>
          <w:sz w:val="18"/>
          <w:szCs w:val="18"/>
        </w:rPr>
      </w:pPr>
    </w:p>
    <w:p w:rsidR="002008AA" w:rsidRPr="001375EC" w:rsidRDefault="002008AA" w:rsidP="009149F1">
      <w:pPr>
        <w:ind w:left="567" w:right="567"/>
        <w:rPr>
          <w:sz w:val="18"/>
          <w:szCs w:val="18"/>
        </w:rPr>
      </w:pPr>
      <w:r w:rsidRPr="001375EC">
        <w:rPr>
          <w:color w:val="0D0D0D"/>
          <w:sz w:val="18"/>
          <w:szCs w:val="18"/>
        </w:rPr>
        <w:t>Sobre la base de las observaciones recibidas de los miembros del Subgrupo, el experto principal establecerá un primer proyecto destinado al (a los) TWP.</w:t>
      </w:r>
      <w:r w:rsidRPr="001375EC">
        <w:rPr>
          <w:sz w:val="18"/>
          <w:szCs w:val="18"/>
        </w:rPr>
        <w:t xml:space="preserve"> Ese proyecto se </w:t>
      </w:r>
      <w:r w:rsidRPr="001375EC">
        <w:rPr>
          <w:strike/>
          <w:sz w:val="18"/>
          <w:szCs w:val="18"/>
          <w:highlight w:val="lightGray"/>
        </w:rPr>
        <w:t>enviará</w:t>
      </w:r>
      <w:r w:rsidRPr="001375EC">
        <w:rPr>
          <w:sz w:val="18"/>
          <w:szCs w:val="18"/>
        </w:rPr>
        <w:t xml:space="preserve"> </w:t>
      </w:r>
      <w:r w:rsidRPr="001375EC">
        <w:rPr>
          <w:sz w:val="18"/>
          <w:szCs w:val="18"/>
          <w:highlight w:val="lightGray"/>
          <w:u w:val="single"/>
        </w:rPr>
        <w:t>presentará</w:t>
      </w:r>
      <w:r w:rsidRPr="001375EC">
        <w:rPr>
          <w:sz w:val="18"/>
          <w:szCs w:val="18"/>
        </w:rPr>
        <w:t xml:space="preserve"> a la Oficina</w:t>
      </w:r>
      <w:r w:rsidRPr="001375EC">
        <w:rPr>
          <w:sz w:val="18"/>
          <w:szCs w:val="18"/>
          <w:highlight w:val="lightGray"/>
          <w:u w:val="single"/>
        </w:rPr>
        <w:t xml:space="preserve">, </w:t>
      </w:r>
      <w:r w:rsidRPr="001375EC">
        <w:rPr>
          <w:sz w:val="18"/>
          <w:szCs w:val="18"/>
        </w:rPr>
        <w:t xml:space="preserve">que elaborará un documento destinado a los miembros del (de los) TWP pertinente(s) para que lo </w:t>
      </w:r>
      <w:r w:rsidRPr="001375EC">
        <w:rPr>
          <w:sz w:val="18"/>
          <w:szCs w:val="18"/>
        </w:rPr>
        <w:lastRenderedPageBreak/>
        <w:t xml:space="preserve">examinen en sus sesiones. Antes de que se celebre la sesión del TWP, la Oficina constatará, de manera preliminar, que el proyecto se ha elaborado conforme </w:t>
      </w:r>
      <w:r w:rsidRPr="001375EC">
        <w:rPr>
          <w:strike/>
          <w:sz w:val="18"/>
          <w:szCs w:val="18"/>
          <w:highlight w:val="lightGray"/>
        </w:rPr>
        <w:t>al</w:t>
      </w:r>
      <w:r w:rsidRPr="001375EC">
        <w:rPr>
          <w:sz w:val="18"/>
          <w:szCs w:val="18"/>
        </w:rPr>
        <w:t xml:space="preserve"> </w:t>
      </w:r>
      <w:r w:rsidRPr="001375EC">
        <w:rPr>
          <w:sz w:val="18"/>
          <w:szCs w:val="18"/>
          <w:highlight w:val="lightGray"/>
          <w:u w:val="single"/>
        </w:rPr>
        <w:t>a la orientación proporcionada en el</w:t>
      </w:r>
      <w:r w:rsidRPr="001375EC">
        <w:rPr>
          <w:sz w:val="18"/>
          <w:szCs w:val="18"/>
        </w:rPr>
        <w:t xml:space="preserve"> documento TGP/7</w:t>
      </w:r>
      <w:r w:rsidRPr="001375EC">
        <w:rPr>
          <w:strike/>
          <w:sz w:val="18"/>
          <w:szCs w:val="18"/>
        </w:rPr>
        <w:t xml:space="preserve"> </w:t>
      </w:r>
      <w:r w:rsidRPr="001375EC">
        <w:rPr>
          <w:strike/>
          <w:sz w:val="18"/>
          <w:szCs w:val="18"/>
          <w:highlight w:val="lightGray"/>
        </w:rPr>
        <w:t>y, en particular, que se ajusta a la plantilla de los documentos TG (Anexo 1)</w:t>
      </w:r>
      <w:r w:rsidRPr="001375EC">
        <w:rPr>
          <w:sz w:val="18"/>
          <w:szCs w:val="18"/>
        </w:rPr>
        <w:t xml:space="preserve">. El resultado de dicha constatación se enviará al experto principal con al menos una semana de antelación a la celebración de la sesión. </w:t>
      </w:r>
    </w:p>
    <w:p w:rsidR="002008AA" w:rsidRPr="001375EC" w:rsidRDefault="002008AA" w:rsidP="002008AA">
      <w:pPr>
        <w:ind w:left="567"/>
        <w:rPr>
          <w:sz w:val="18"/>
          <w:szCs w:val="18"/>
        </w:rPr>
      </w:pPr>
    </w:p>
    <w:p w:rsidR="002008AA" w:rsidRPr="001375EC" w:rsidRDefault="002008AA" w:rsidP="002008AA">
      <w:pPr>
        <w:ind w:left="567"/>
        <w:rPr>
          <w:sz w:val="18"/>
          <w:szCs w:val="18"/>
        </w:rPr>
      </w:pPr>
      <w:r w:rsidRPr="001375EC">
        <w:rPr>
          <w:sz w:val="18"/>
          <w:szCs w:val="18"/>
        </w:rPr>
        <w:t xml:space="preserve">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 </w:t>
      </w:r>
      <w:r w:rsidRPr="001375EC">
        <w:rPr>
          <w:strike/>
          <w:sz w:val="18"/>
          <w:szCs w:val="18"/>
          <w:highlight w:val="lightGray"/>
        </w:rPr>
        <w:t>En una zona de acceso restringido del sitio Web de la UPOV destinada a los expertos principales de las directrices de examen</w:t>
      </w:r>
      <w:r w:rsidRPr="001375EC">
        <w:rPr>
          <w:sz w:val="18"/>
          <w:szCs w:val="18"/>
        </w:rPr>
        <w:t xml:space="preserve"> </w:t>
      </w:r>
      <w:r w:rsidRPr="001375EC">
        <w:rPr>
          <w:sz w:val="18"/>
          <w:szCs w:val="18"/>
          <w:highlight w:val="lightGray"/>
          <w:u w:val="single"/>
        </w:rPr>
        <w:t xml:space="preserve">Para prestar asistencia a los redactores a la hora de elaborar los proyectos de directrices de examen, </w:t>
      </w:r>
      <w:r w:rsidRPr="001375EC">
        <w:rPr>
          <w:sz w:val="18"/>
          <w:szCs w:val="18"/>
        </w:rPr>
        <w:t xml:space="preserve">se ofrece </w:t>
      </w:r>
      <w:r w:rsidRPr="001375EC">
        <w:rPr>
          <w:sz w:val="18"/>
          <w:szCs w:val="18"/>
          <w:highlight w:val="lightGray"/>
          <w:u w:val="single"/>
        </w:rPr>
        <w:t>la siguiente</w:t>
      </w:r>
      <w:r w:rsidRPr="001375EC">
        <w:rPr>
          <w:sz w:val="18"/>
          <w:szCs w:val="18"/>
        </w:rPr>
        <w:t xml:space="preserve"> información y una carpeta de material </w:t>
      </w:r>
      <w:r w:rsidRPr="001375EC">
        <w:rPr>
          <w:sz w:val="18"/>
          <w:szCs w:val="18"/>
          <w:highlight w:val="lightGray"/>
          <w:u w:val="single"/>
        </w:rPr>
        <w:t>en el sitio web de la UPOV (véase: http://www.upov.int/resource/es/dus_guidance.html).</w:t>
      </w:r>
      <w:r w:rsidRPr="001375EC">
        <w:rPr>
          <w:sz w:val="18"/>
          <w:szCs w:val="18"/>
        </w:rPr>
        <w:t xml:space="preserve"> </w:t>
      </w:r>
      <w:r w:rsidRPr="001375EC">
        <w:rPr>
          <w:strike/>
          <w:sz w:val="18"/>
          <w:szCs w:val="18"/>
          <w:highlight w:val="lightGray"/>
        </w:rPr>
        <w:t>destinada a prestar asistencia a los redactores a la hora de elaborar los proyectos de directrices de examen (página Web destinada a los redactores de las directrices de examen (</w:t>
      </w:r>
      <w:r w:rsidRPr="001375EC">
        <w:rPr>
          <w:i/>
          <w:iCs/>
          <w:strike/>
          <w:sz w:val="18"/>
          <w:szCs w:val="18"/>
          <w:highlight w:val="lightGray"/>
        </w:rPr>
        <w:t>TG Drafters’ Webpage</w:t>
      </w:r>
      <w:r w:rsidRPr="001375EC">
        <w:rPr>
          <w:strike/>
          <w:sz w:val="18"/>
          <w:szCs w:val="18"/>
          <w:highlight w:val="lightGray"/>
        </w:rPr>
        <w:t>)). Esa página Web contiene las siguientes informaciones, de las cuales algunas se incluyen en las “Carpeta de material para los redactores de directrices de examen” (véase la sección 4.3):</w:t>
      </w:r>
    </w:p>
    <w:p w:rsidR="002008AA" w:rsidRPr="001375EC" w:rsidRDefault="002008AA" w:rsidP="002008AA">
      <w:pPr>
        <w:ind w:left="567"/>
        <w:rPr>
          <w:sz w:val="18"/>
          <w:szCs w:val="18"/>
        </w:rPr>
      </w:pPr>
    </w:p>
    <w:p w:rsidR="002008AA" w:rsidRPr="001375EC" w:rsidRDefault="002008AA" w:rsidP="002008AA">
      <w:pPr>
        <w:ind w:left="567"/>
        <w:rPr>
          <w:strike/>
          <w:sz w:val="18"/>
          <w:szCs w:val="18"/>
        </w:rPr>
      </w:pPr>
      <w:r w:rsidRPr="001375EC">
        <w:rPr>
          <w:strike/>
          <w:sz w:val="18"/>
          <w:szCs w:val="18"/>
        </w:rPr>
        <w:tab/>
        <w:t>“</w:t>
      </w:r>
      <w:r w:rsidRPr="001375EC">
        <w:rPr>
          <w:strike/>
          <w:sz w:val="18"/>
          <w:szCs w:val="18"/>
          <w:highlight w:val="lightGray"/>
        </w:rPr>
        <w:t>a)</w:t>
      </w:r>
      <w:r w:rsidRPr="001375EC">
        <w:rPr>
          <w:strike/>
          <w:sz w:val="18"/>
          <w:szCs w:val="18"/>
        </w:rPr>
        <w:tab/>
      </w:r>
      <w:r w:rsidRPr="001375EC">
        <w:rPr>
          <w:strike/>
          <w:sz w:val="18"/>
          <w:szCs w:val="18"/>
          <w:highlight w:val="lightGray"/>
        </w:rPr>
        <w:t>Información general:</w:t>
      </w:r>
    </w:p>
    <w:p w:rsidR="002008AA" w:rsidRPr="001375EC" w:rsidRDefault="002008AA" w:rsidP="002008AA">
      <w:pPr>
        <w:ind w:left="567"/>
        <w:rPr>
          <w:sz w:val="18"/>
          <w:szCs w:val="18"/>
        </w:rPr>
      </w:pPr>
    </w:p>
    <w:p w:rsidR="002008AA" w:rsidRPr="001375EC" w:rsidRDefault="002008AA" w:rsidP="002008AA">
      <w:pPr>
        <w:ind w:left="2268" w:hanging="567"/>
        <w:rPr>
          <w:sz w:val="18"/>
          <w:szCs w:val="18"/>
        </w:rPr>
      </w:pPr>
      <w:r w:rsidRPr="001375EC">
        <w:rPr>
          <w:sz w:val="18"/>
          <w:szCs w:val="18"/>
        </w:rPr>
        <w:t>“i)</w:t>
      </w:r>
      <w:r w:rsidRPr="001375EC">
        <w:rPr>
          <w:sz w:val="18"/>
          <w:szCs w:val="18"/>
        </w:rPr>
        <w:tab/>
      </w:r>
      <w:r w:rsidRPr="001375EC">
        <w:rPr>
          <w:strike/>
          <w:sz w:val="18"/>
          <w:szCs w:val="18"/>
          <w:highlight w:val="lightGray"/>
        </w:rPr>
        <w:t>Guía Práctica para redactores de directrices de examen de la UPOV (“la Guía Práctica”)</w:t>
      </w:r>
      <w:r w:rsidRPr="001375EC">
        <w:rPr>
          <w:sz w:val="18"/>
          <w:szCs w:val="18"/>
        </w:rPr>
        <w:t xml:space="preserve"> </w:t>
      </w:r>
      <w:r w:rsidRPr="001375EC">
        <w:rPr>
          <w:sz w:val="18"/>
          <w:szCs w:val="18"/>
          <w:highlight w:val="lightGray"/>
          <w:u w:val="single"/>
        </w:rPr>
        <w:t>Introducción general al examen DHE</w:t>
      </w:r>
      <w:r w:rsidRPr="001375EC">
        <w:rPr>
          <w:sz w:val="18"/>
          <w:szCs w:val="18"/>
        </w:rPr>
        <w:t>;</w:t>
      </w:r>
    </w:p>
    <w:p w:rsidR="002008AA" w:rsidRPr="001375EC" w:rsidRDefault="002008AA" w:rsidP="002008AA">
      <w:pPr>
        <w:ind w:left="2268" w:hanging="567"/>
        <w:rPr>
          <w:sz w:val="18"/>
          <w:szCs w:val="18"/>
        </w:rPr>
      </w:pPr>
      <w:r w:rsidRPr="001375EC">
        <w:rPr>
          <w:sz w:val="18"/>
          <w:szCs w:val="18"/>
        </w:rPr>
        <w:t>“ii)</w:t>
      </w:r>
      <w:r w:rsidRPr="001375EC">
        <w:rPr>
          <w:sz w:val="18"/>
          <w:szCs w:val="18"/>
        </w:rPr>
        <w:tab/>
      </w:r>
      <w:r w:rsidRPr="001375EC">
        <w:rPr>
          <w:strike/>
          <w:sz w:val="18"/>
          <w:szCs w:val="18"/>
          <w:highlight w:val="lightGray"/>
        </w:rPr>
        <w:t>Plantilla electrónica para los documentos TG (TGP/7: Anexo 1)</w:t>
      </w:r>
      <w:r w:rsidRPr="001375EC">
        <w:rPr>
          <w:sz w:val="18"/>
          <w:szCs w:val="18"/>
        </w:rPr>
        <w:t xml:space="preserve"> </w:t>
      </w:r>
      <w:r w:rsidRPr="001375EC">
        <w:rPr>
          <w:sz w:val="18"/>
          <w:szCs w:val="18"/>
          <w:highlight w:val="lightGray"/>
          <w:u w:val="single"/>
        </w:rPr>
        <w:t>Documentos TGP</w:t>
      </w:r>
      <w:r w:rsidRPr="001375EC">
        <w:rPr>
          <w:sz w:val="18"/>
          <w:szCs w:val="18"/>
        </w:rPr>
        <w:t xml:space="preserve">; </w:t>
      </w:r>
    </w:p>
    <w:p w:rsidR="002008AA" w:rsidRPr="001375EC" w:rsidRDefault="002008AA" w:rsidP="002008AA">
      <w:pPr>
        <w:ind w:left="2268" w:hanging="567"/>
        <w:rPr>
          <w:sz w:val="18"/>
          <w:szCs w:val="18"/>
        </w:rPr>
      </w:pPr>
      <w:r w:rsidRPr="001375EC">
        <w:rPr>
          <w:sz w:val="18"/>
          <w:szCs w:val="18"/>
        </w:rPr>
        <w:t>“iii)</w:t>
      </w:r>
      <w:r w:rsidRPr="001375EC">
        <w:rPr>
          <w:sz w:val="18"/>
          <w:szCs w:val="18"/>
        </w:rPr>
        <w:tab/>
      </w:r>
      <w:r w:rsidRPr="001375EC">
        <w:rPr>
          <w:strike/>
          <w:sz w:val="18"/>
          <w:szCs w:val="18"/>
          <w:highlight w:val="lightGray"/>
        </w:rPr>
        <w:t>Colección de caracteres aprobados (TGP/7: Anexo 4)</w:t>
      </w:r>
      <w:r w:rsidRPr="001375EC">
        <w:rPr>
          <w:sz w:val="18"/>
          <w:szCs w:val="18"/>
        </w:rPr>
        <w:t xml:space="preserve"> </w:t>
      </w:r>
      <w:r w:rsidRPr="001375EC">
        <w:rPr>
          <w:sz w:val="18"/>
          <w:szCs w:val="18"/>
          <w:highlight w:val="lightGray"/>
          <w:u w:val="single"/>
        </w:rPr>
        <w:t>Directrices de examen</w:t>
      </w:r>
      <w:r w:rsidRPr="001375EC">
        <w:rPr>
          <w:sz w:val="18"/>
          <w:szCs w:val="18"/>
        </w:rPr>
        <w:t>;</w:t>
      </w:r>
    </w:p>
    <w:p w:rsidR="002008AA" w:rsidRPr="001375EC" w:rsidRDefault="002008AA" w:rsidP="002008AA">
      <w:pPr>
        <w:ind w:left="2268" w:hanging="567"/>
        <w:rPr>
          <w:sz w:val="18"/>
          <w:szCs w:val="18"/>
        </w:rPr>
      </w:pPr>
      <w:r w:rsidRPr="001375EC">
        <w:rPr>
          <w:sz w:val="18"/>
          <w:szCs w:val="18"/>
        </w:rPr>
        <w:t>iv)</w:t>
      </w:r>
      <w:r w:rsidRPr="001375EC">
        <w:rPr>
          <w:sz w:val="18"/>
          <w:szCs w:val="18"/>
        </w:rPr>
        <w:tab/>
      </w:r>
      <w:r w:rsidRPr="001375EC">
        <w:rPr>
          <w:strike/>
          <w:sz w:val="18"/>
          <w:szCs w:val="18"/>
          <w:highlight w:val="lightGray"/>
        </w:rPr>
        <w:t>Directrices de examen aprobadas en formato Word</w:t>
      </w:r>
      <w:r w:rsidRPr="001375EC">
        <w:rPr>
          <w:sz w:val="18"/>
          <w:szCs w:val="18"/>
        </w:rPr>
        <w:t xml:space="preserve"> </w:t>
      </w:r>
      <w:r w:rsidRPr="001375EC">
        <w:rPr>
          <w:sz w:val="18"/>
          <w:szCs w:val="18"/>
          <w:highlight w:val="lightGray"/>
          <w:u w:val="single"/>
        </w:rPr>
        <w:t>Conocimiento técnico</w:t>
      </w:r>
      <w:r w:rsidRPr="001375EC">
        <w:rPr>
          <w:sz w:val="18"/>
          <w:szCs w:val="18"/>
        </w:rPr>
        <w:t>;</w:t>
      </w:r>
    </w:p>
    <w:p w:rsidR="002008AA" w:rsidRPr="001375EC" w:rsidRDefault="002008AA" w:rsidP="002008AA">
      <w:pPr>
        <w:ind w:left="2268" w:hanging="567"/>
        <w:rPr>
          <w:sz w:val="18"/>
          <w:szCs w:val="18"/>
        </w:rPr>
      </w:pPr>
      <w:r w:rsidRPr="001375EC">
        <w:rPr>
          <w:sz w:val="18"/>
          <w:szCs w:val="18"/>
        </w:rPr>
        <w:t>“v)</w:t>
      </w:r>
      <w:r w:rsidRPr="001375EC">
        <w:rPr>
          <w:sz w:val="18"/>
          <w:szCs w:val="18"/>
        </w:rPr>
        <w:tab/>
      </w:r>
      <w:r w:rsidRPr="001375EC">
        <w:rPr>
          <w:strike/>
          <w:sz w:val="18"/>
          <w:szCs w:val="18"/>
          <w:highlight w:val="lightGray"/>
        </w:rPr>
        <w:t>TGP/14 “Glosario de términos utilizados en los documentos de la UPOV”</w:t>
      </w:r>
      <w:r w:rsidRPr="001375EC">
        <w:rPr>
          <w:sz w:val="18"/>
          <w:szCs w:val="18"/>
        </w:rPr>
        <w:t xml:space="preserve"> </w:t>
      </w:r>
      <w:r w:rsidRPr="001375EC">
        <w:rPr>
          <w:sz w:val="18"/>
          <w:szCs w:val="18"/>
          <w:highlight w:val="lightGray"/>
          <w:u w:val="single"/>
        </w:rPr>
        <w:t>Cooperación en materia de examen</w:t>
      </w:r>
      <w:r w:rsidRPr="001375EC">
        <w:rPr>
          <w:sz w:val="18"/>
          <w:szCs w:val="18"/>
        </w:rPr>
        <w:t>;</w:t>
      </w:r>
    </w:p>
    <w:p w:rsidR="002008AA" w:rsidRPr="001375EC" w:rsidRDefault="002008AA" w:rsidP="002008AA">
      <w:pPr>
        <w:ind w:left="567"/>
        <w:rPr>
          <w:sz w:val="18"/>
          <w:szCs w:val="18"/>
        </w:rPr>
      </w:pPr>
    </w:p>
    <w:p w:rsidR="002008AA" w:rsidRPr="001375EC" w:rsidRDefault="002008AA" w:rsidP="002008AA">
      <w:pPr>
        <w:ind w:left="567"/>
        <w:rPr>
          <w:strike/>
          <w:sz w:val="18"/>
          <w:szCs w:val="18"/>
        </w:rPr>
      </w:pPr>
      <w:r w:rsidRPr="001375EC">
        <w:rPr>
          <w:strike/>
          <w:sz w:val="18"/>
          <w:szCs w:val="18"/>
        </w:rPr>
        <w:tab/>
        <w:t>“</w:t>
      </w:r>
      <w:r w:rsidRPr="001375EC">
        <w:rPr>
          <w:strike/>
          <w:sz w:val="18"/>
          <w:szCs w:val="18"/>
          <w:highlight w:val="lightGray"/>
        </w:rPr>
        <w:t>b)</w:t>
      </w:r>
      <w:r w:rsidRPr="001375EC">
        <w:rPr>
          <w:strike/>
          <w:sz w:val="18"/>
          <w:szCs w:val="18"/>
        </w:rPr>
        <w:tab/>
      </w:r>
      <w:r w:rsidRPr="001375EC">
        <w:rPr>
          <w:strike/>
          <w:sz w:val="18"/>
          <w:szCs w:val="18"/>
          <w:highlight w:val="lightGray"/>
        </w:rPr>
        <w:t>Informaciones específicas al TWP pertinente:</w:t>
      </w:r>
      <w:r w:rsidRPr="001375EC">
        <w:rPr>
          <w:strike/>
          <w:sz w:val="18"/>
          <w:szCs w:val="18"/>
        </w:rPr>
        <w:t xml:space="preserve"> </w:t>
      </w:r>
    </w:p>
    <w:p w:rsidR="002008AA" w:rsidRPr="001375EC" w:rsidRDefault="002008AA" w:rsidP="002008AA">
      <w:pPr>
        <w:ind w:left="567"/>
        <w:rPr>
          <w:sz w:val="18"/>
          <w:szCs w:val="18"/>
        </w:rPr>
      </w:pPr>
    </w:p>
    <w:p w:rsidR="002008AA" w:rsidRPr="001375EC" w:rsidRDefault="002008AA" w:rsidP="002008AA">
      <w:pPr>
        <w:ind w:left="2268" w:hanging="567"/>
        <w:rPr>
          <w:sz w:val="18"/>
          <w:szCs w:val="18"/>
        </w:rPr>
      </w:pPr>
      <w:r w:rsidRPr="001375EC">
        <w:rPr>
          <w:sz w:val="18"/>
          <w:szCs w:val="18"/>
        </w:rPr>
        <w:t>“</w:t>
      </w:r>
      <w:r w:rsidRPr="001375EC">
        <w:rPr>
          <w:sz w:val="18"/>
          <w:szCs w:val="18"/>
          <w:highlight w:val="lightGray"/>
          <w:u w:val="single"/>
        </w:rPr>
        <w:t>v</w:t>
      </w:r>
      <w:r w:rsidRPr="001375EC">
        <w:rPr>
          <w:sz w:val="18"/>
          <w:szCs w:val="18"/>
        </w:rPr>
        <w:t>i)</w:t>
      </w:r>
      <w:r w:rsidRPr="001375EC">
        <w:rPr>
          <w:sz w:val="18"/>
          <w:szCs w:val="18"/>
        </w:rPr>
        <w:tab/>
      </w:r>
      <w:r w:rsidRPr="001375EC">
        <w:rPr>
          <w:strike/>
          <w:sz w:val="18"/>
          <w:szCs w:val="18"/>
          <w:highlight w:val="lightGray"/>
        </w:rPr>
        <w:t>Experto principal y calendario para la elaboración del proyecto de directrices de examen</w:t>
      </w:r>
      <w:r w:rsidRPr="001375EC">
        <w:rPr>
          <w:sz w:val="18"/>
          <w:szCs w:val="18"/>
        </w:rPr>
        <w:t xml:space="preserve"> </w:t>
      </w:r>
      <w:r w:rsidRPr="001375EC">
        <w:rPr>
          <w:sz w:val="18"/>
          <w:szCs w:val="18"/>
          <w:highlight w:val="lightGray"/>
          <w:u w:val="single"/>
        </w:rPr>
        <w:t>Plantilla en Internet de los documentos TG</w:t>
      </w:r>
      <w:r w:rsidRPr="001375EC">
        <w:rPr>
          <w:sz w:val="18"/>
          <w:szCs w:val="18"/>
        </w:rPr>
        <w:t xml:space="preserve">; </w:t>
      </w:r>
    </w:p>
    <w:p w:rsidR="002008AA" w:rsidRPr="001375EC" w:rsidRDefault="002008AA" w:rsidP="002008AA">
      <w:pPr>
        <w:ind w:left="2268" w:hanging="567"/>
        <w:rPr>
          <w:sz w:val="18"/>
          <w:szCs w:val="18"/>
        </w:rPr>
      </w:pPr>
      <w:r w:rsidRPr="001375EC">
        <w:rPr>
          <w:sz w:val="18"/>
          <w:szCs w:val="18"/>
        </w:rPr>
        <w:t>“</w:t>
      </w:r>
      <w:r w:rsidRPr="001375EC">
        <w:rPr>
          <w:sz w:val="18"/>
          <w:szCs w:val="18"/>
          <w:highlight w:val="lightGray"/>
          <w:u w:val="single"/>
        </w:rPr>
        <w:t>v</w:t>
      </w:r>
      <w:r w:rsidRPr="001375EC">
        <w:rPr>
          <w:sz w:val="18"/>
          <w:szCs w:val="18"/>
        </w:rPr>
        <w:t>ii)</w:t>
      </w:r>
      <w:r w:rsidRPr="001375EC">
        <w:rPr>
          <w:sz w:val="18"/>
          <w:szCs w:val="18"/>
        </w:rPr>
        <w:tab/>
      </w:r>
      <w:r w:rsidRPr="001375EC">
        <w:rPr>
          <w:strike/>
          <w:sz w:val="18"/>
          <w:szCs w:val="18"/>
          <w:highlight w:val="lightGray"/>
        </w:rPr>
        <w:t>Direcciones de correo-e de los expertos interesados miembros del Subgrupo</w:t>
      </w:r>
      <w:r w:rsidRPr="001375EC">
        <w:rPr>
          <w:sz w:val="18"/>
          <w:szCs w:val="18"/>
        </w:rPr>
        <w:t xml:space="preserve"> </w:t>
      </w:r>
      <w:r w:rsidRPr="001375EC">
        <w:rPr>
          <w:sz w:val="18"/>
          <w:szCs w:val="18"/>
          <w:highlight w:val="lightGray"/>
          <w:u w:val="single"/>
        </w:rPr>
        <w:t>Caracteres adicionales</w:t>
      </w:r>
      <w:r w:rsidRPr="001375EC">
        <w:rPr>
          <w:sz w:val="18"/>
          <w:szCs w:val="18"/>
        </w:rPr>
        <w:t>;</w:t>
      </w:r>
    </w:p>
    <w:p w:rsidR="002008AA" w:rsidRPr="001375EC" w:rsidRDefault="002008AA" w:rsidP="002008AA">
      <w:pPr>
        <w:ind w:left="2268" w:hanging="567"/>
        <w:rPr>
          <w:sz w:val="18"/>
          <w:szCs w:val="18"/>
        </w:rPr>
      </w:pPr>
      <w:r w:rsidRPr="001375EC">
        <w:rPr>
          <w:sz w:val="18"/>
          <w:szCs w:val="18"/>
        </w:rPr>
        <w:t>“</w:t>
      </w:r>
      <w:r w:rsidRPr="001375EC">
        <w:rPr>
          <w:sz w:val="18"/>
          <w:szCs w:val="18"/>
          <w:highlight w:val="lightGray"/>
          <w:u w:val="single"/>
        </w:rPr>
        <w:t>v</w:t>
      </w:r>
      <w:r w:rsidRPr="001375EC">
        <w:rPr>
          <w:sz w:val="18"/>
          <w:szCs w:val="18"/>
        </w:rPr>
        <w:t>iii)</w:t>
      </w:r>
      <w:r w:rsidRPr="001375EC">
        <w:rPr>
          <w:sz w:val="18"/>
          <w:szCs w:val="18"/>
        </w:rPr>
        <w:tab/>
      </w:r>
      <w:r w:rsidRPr="001375EC">
        <w:rPr>
          <w:strike/>
          <w:sz w:val="18"/>
          <w:szCs w:val="18"/>
          <w:highlight w:val="lightGray"/>
        </w:rPr>
        <w:t>Versiones Word del proyecto de directrices de examen presentado en la reunión anterior del TWP (cuando proceda)</w:t>
      </w:r>
      <w:r w:rsidRPr="001375EC">
        <w:rPr>
          <w:sz w:val="18"/>
          <w:szCs w:val="18"/>
        </w:rPr>
        <w:t xml:space="preserve"> </w:t>
      </w:r>
      <w:r w:rsidRPr="001375EC">
        <w:rPr>
          <w:sz w:val="18"/>
          <w:szCs w:val="18"/>
          <w:highlight w:val="lightGray"/>
          <w:u w:val="single"/>
        </w:rPr>
        <w:t>Directrices de examen en proceso de elaboración (TC/xx/2)</w:t>
      </w:r>
      <w:r w:rsidRPr="001375EC">
        <w:rPr>
          <w:sz w:val="18"/>
          <w:szCs w:val="18"/>
        </w:rPr>
        <w:t xml:space="preserve">; </w:t>
      </w:r>
      <w:r w:rsidRPr="001375EC">
        <w:rPr>
          <w:strike/>
          <w:sz w:val="18"/>
          <w:szCs w:val="18"/>
          <w:highlight w:val="lightGray"/>
        </w:rPr>
        <w:t>y</w:t>
      </w:r>
    </w:p>
    <w:p w:rsidR="002008AA" w:rsidRPr="001375EC" w:rsidRDefault="002008AA" w:rsidP="002008AA">
      <w:pPr>
        <w:ind w:left="2268" w:hanging="567"/>
        <w:rPr>
          <w:sz w:val="18"/>
          <w:szCs w:val="18"/>
        </w:rPr>
      </w:pPr>
      <w:r w:rsidRPr="001375EC">
        <w:rPr>
          <w:sz w:val="18"/>
          <w:szCs w:val="18"/>
        </w:rPr>
        <w:t>“i</w:t>
      </w:r>
      <w:r w:rsidRPr="001375EC">
        <w:rPr>
          <w:strike/>
          <w:sz w:val="18"/>
          <w:szCs w:val="18"/>
          <w:highlight w:val="lightGray"/>
        </w:rPr>
        <w:t>v</w:t>
      </w:r>
      <w:r w:rsidRPr="001375EC">
        <w:rPr>
          <w:sz w:val="18"/>
          <w:szCs w:val="18"/>
          <w:highlight w:val="lightGray"/>
          <w:u w:val="single"/>
        </w:rPr>
        <w:t>x</w:t>
      </w:r>
      <w:r w:rsidRPr="001375EC">
        <w:rPr>
          <w:sz w:val="18"/>
          <w:szCs w:val="18"/>
        </w:rPr>
        <w:t>)</w:t>
      </w:r>
      <w:r w:rsidRPr="001375EC">
        <w:rPr>
          <w:sz w:val="18"/>
          <w:szCs w:val="18"/>
        </w:rPr>
        <w:tab/>
      </w:r>
      <w:r w:rsidRPr="001375EC">
        <w:rPr>
          <w:strike/>
          <w:sz w:val="18"/>
          <w:szCs w:val="18"/>
          <w:highlight w:val="lightGray"/>
        </w:rPr>
        <w:t>Observaciones del TWP (sacadas del informe sobre los trabajos del TWP) relativas al proyecto de directrices de examen presentado en la reunión anterior del TWP (llegado el caso).</w:t>
      </w:r>
      <w:r w:rsidRPr="001375EC">
        <w:rPr>
          <w:sz w:val="18"/>
          <w:szCs w:val="18"/>
        </w:rPr>
        <w:t xml:space="preserve"> </w:t>
      </w:r>
      <w:r w:rsidRPr="001375EC">
        <w:rPr>
          <w:sz w:val="18"/>
          <w:szCs w:val="18"/>
          <w:highlight w:val="lightGray"/>
          <w:u w:val="single"/>
        </w:rPr>
        <w:t>Resumen de la información sobre la cantidad de material vegetal necesario que figura en las directrices de examen aprobadas;</w:t>
      </w:r>
      <w:r w:rsidRPr="001375EC">
        <w:rPr>
          <w:sz w:val="18"/>
          <w:szCs w:val="18"/>
        </w:rPr>
        <w:t xml:space="preserve"> </w:t>
      </w:r>
      <w:r w:rsidRPr="001375EC">
        <w:rPr>
          <w:sz w:val="18"/>
          <w:szCs w:val="18"/>
          <w:highlight w:val="lightGray"/>
          <w:u w:val="single"/>
        </w:rPr>
        <w:t>y</w:t>
      </w:r>
      <w:r w:rsidRPr="001375EC">
        <w:rPr>
          <w:sz w:val="18"/>
          <w:szCs w:val="18"/>
          <w:u w:val="single"/>
        </w:rPr>
        <w:t xml:space="preserve"> </w:t>
      </w:r>
    </w:p>
    <w:p w:rsidR="002008AA" w:rsidRPr="001375EC" w:rsidRDefault="002008AA" w:rsidP="002008AA">
      <w:pPr>
        <w:ind w:left="2268" w:hanging="567"/>
        <w:rPr>
          <w:sz w:val="18"/>
          <w:szCs w:val="18"/>
          <w:u w:val="single"/>
        </w:rPr>
      </w:pPr>
      <w:r w:rsidRPr="001375EC">
        <w:rPr>
          <w:sz w:val="18"/>
          <w:szCs w:val="18"/>
        </w:rPr>
        <w:t>“</w:t>
      </w:r>
      <w:r w:rsidRPr="001375EC">
        <w:rPr>
          <w:sz w:val="18"/>
          <w:szCs w:val="18"/>
          <w:highlight w:val="lightGray"/>
          <w:u w:val="single"/>
        </w:rPr>
        <w:t>x)</w:t>
      </w:r>
      <w:r w:rsidRPr="001375EC">
        <w:rPr>
          <w:sz w:val="18"/>
          <w:szCs w:val="18"/>
          <w:highlight w:val="lightGray"/>
          <w:u w:val="single"/>
        </w:rPr>
        <w:tab/>
        <w:t>TGP/14 “Glosario de términos utilizados en los documentos de la UPOV”</w:t>
      </w:r>
    </w:p>
    <w:p w:rsidR="002008AA" w:rsidRPr="001375EC" w:rsidRDefault="002008AA" w:rsidP="002008AA">
      <w:pPr>
        <w:ind w:left="567"/>
        <w:rPr>
          <w:sz w:val="18"/>
          <w:szCs w:val="18"/>
        </w:rPr>
      </w:pPr>
    </w:p>
    <w:p w:rsidR="002008AA" w:rsidRPr="001375EC" w:rsidRDefault="002008AA" w:rsidP="002008AA">
      <w:pPr>
        <w:ind w:left="567"/>
        <w:rPr>
          <w:sz w:val="18"/>
          <w:szCs w:val="18"/>
        </w:rPr>
      </w:pPr>
      <w:r w:rsidRPr="001375EC">
        <w:rPr>
          <w:sz w:val="18"/>
          <w:szCs w:val="18"/>
        </w:rPr>
        <w:t>[…]</w:t>
      </w:r>
    </w:p>
    <w:p w:rsidR="002008AA" w:rsidRPr="001375EC" w:rsidRDefault="002008AA" w:rsidP="002008AA">
      <w:pPr>
        <w:ind w:left="567"/>
        <w:rPr>
          <w:sz w:val="18"/>
          <w:szCs w:val="18"/>
        </w:rPr>
      </w:pPr>
    </w:p>
    <w:p w:rsidR="002008AA" w:rsidRPr="009149F1" w:rsidRDefault="002008AA" w:rsidP="002008AA">
      <w:pPr>
        <w:ind w:left="567"/>
        <w:rPr>
          <w:i/>
          <w:sz w:val="18"/>
          <w:szCs w:val="18"/>
        </w:rPr>
      </w:pPr>
      <w:bookmarkStart w:id="7" w:name="_Toc477517493"/>
      <w:r w:rsidRPr="009149F1">
        <w:rPr>
          <w:i/>
          <w:sz w:val="18"/>
          <w:szCs w:val="18"/>
        </w:rPr>
        <w:t xml:space="preserve">2.2.5.3 </w:t>
      </w:r>
      <w:r w:rsidRPr="009149F1">
        <w:rPr>
          <w:i/>
          <w:sz w:val="18"/>
          <w:szCs w:val="18"/>
          <w:lang w:val="es-ES_tradnl"/>
        </w:rPr>
        <w:t>Requisitos del proyecto de directrices de examen sometido a la consideración de los Grupos de Trabajo Técnico</w:t>
      </w:r>
      <w:bookmarkEnd w:id="7"/>
    </w:p>
    <w:p w:rsidR="002008AA" w:rsidRPr="001375EC" w:rsidRDefault="002008AA" w:rsidP="002008AA">
      <w:pPr>
        <w:ind w:left="567"/>
        <w:rPr>
          <w:sz w:val="18"/>
          <w:szCs w:val="18"/>
        </w:rPr>
      </w:pPr>
    </w:p>
    <w:p w:rsidR="002008AA" w:rsidRPr="001375EC" w:rsidRDefault="002008AA" w:rsidP="009149F1">
      <w:pPr>
        <w:ind w:left="567" w:right="567"/>
        <w:rPr>
          <w:sz w:val="18"/>
          <w:szCs w:val="18"/>
        </w:rPr>
      </w:pPr>
      <w:r w:rsidRPr="001375EC">
        <w:rPr>
          <w:sz w:val="18"/>
          <w:szCs w:val="18"/>
        </w:rPr>
        <w:t>“Salvo que se decida otra cosa en la reunión del TWP, o de allí en adelante, a iniciativa del Presidente del TWP de que se trate, el calendario del examen de los proyectos de directrices de examen por los Grupos de Trabajo Técnico es el siguiente:</w:t>
      </w:r>
    </w:p>
    <w:p w:rsidR="002008AA" w:rsidRPr="001375EC" w:rsidRDefault="002008AA" w:rsidP="002008AA">
      <w:pPr>
        <w:ind w:left="567"/>
        <w:rPr>
          <w:sz w:val="18"/>
          <w:szCs w:val="18"/>
        </w:rPr>
      </w:pPr>
    </w:p>
    <w:tbl>
      <w:tblPr>
        <w:tblW w:w="8930" w:type="dxa"/>
        <w:tblInd w:w="7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58"/>
        <w:gridCol w:w="3172"/>
      </w:tblGrid>
      <w:tr w:rsidR="002008AA" w:rsidRPr="00F1554A" w:rsidTr="008A29E5">
        <w:tc>
          <w:tcPr>
            <w:tcW w:w="5758" w:type="dxa"/>
          </w:tcPr>
          <w:p w:rsidR="002008AA" w:rsidRPr="00F1554A" w:rsidRDefault="002008AA" w:rsidP="008A29E5">
            <w:pPr>
              <w:keepNext/>
              <w:keepLines/>
              <w:jc w:val="center"/>
              <w:rPr>
                <w:sz w:val="18"/>
                <w:szCs w:val="18"/>
              </w:rPr>
            </w:pPr>
            <w:r w:rsidRPr="00F1554A">
              <w:rPr>
                <w:sz w:val="18"/>
                <w:szCs w:val="18"/>
              </w:rPr>
              <w:t>Medidas a tomar</w:t>
            </w:r>
          </w:p>
        </w:tc>
        <w:tc>
          <w:tcPr>
            <w:tcW w:w="3172" w:type="dxa"/>
          </w:tcPr>
          <w:p w:rsidR="002008AA" w:rsidRPr="00F1554A" w:rsidRDefault="002008AA" w:rsidP="008A29E5">
            <w:pPr>
              <w:keepNext/>
              <w:keepLines/>
              <w:jc w:val="center"/>
              <w:rPr>
                <w:sz w:val="18"/>
                <w:szCs w:val="18"/>
              </w:rPr>
            </w:pPr>
            <w:r w:rsidRPr="00F1554A">
              <w:rPr>
                <w:sz w:val="18"/>
                <w:szCs w:val="18"/>
              </w:rPr>
              <w:t xml:space="preserve">Plazo máximo </w:t>
            </w:r>
            <w:r w:rsidRPr="00F1554A">
              <w:rPr>
                <w:sz w:val="18"/>
                <w:szCs w:val="18"/>
              </w:rPr>
              <w:br/>
              <w:t>antes de la reunión del TWP</w:t>
            </w:r>
          </w:p>
        </w:tc>
      </w:tr>
      <w:tr w:rsidR="002008AA" w:rsidRPr="00F1554A" w:rsidTr="008A29E5">
        <w:tc>
          <w:tcPr>
            <w:tcW w:w="5758" w:type="dxa"/>
          </w:tcPr>
          <w:p w:rsidR="002008AA" w:rsidRPr="00F1554A" w:rsidRDefault="002008AA" w:rsidP="008A29E5">
            <w:pPr>
              <w:keepNext/>
              <w:keepLines/>
              <w:rPr>
                <w:sz w:val="18"/>
                <w:szCs w:val="18"/>
              </w:rPr>
            </w:pPr>
            <w:r w:rsidRPr="00F1554A">
              <w:rPr>
                <w:sz w:val="18"/>
                <w:szCs w:val="18"/>
              </w:rPr>
              <w:t>Difusión del proyecto destinado al Subgrupo por el experto principal:</w:t>
            </w:r>
          </w:p>
        </w:tc>
        <w:tc>
          <w:tcPr>
            <w:tcW w:w="3172" w:type="dxa"/>
          </w:tcPr>
          <w:p w:rsidR="002008AA" w:rsidRPr="00F1554A" w:rsidRDefault="002008AA" w:rsidP="008A29E5">
            <w:pPr>
              <w:keepNext/>
              <w:keepLines/>
              <w:jc w:val="center"/>
              <w:rPr>
                <w:sz w:val="18"/>
                <w:szCs w:val="18"/>
              </w:rPr>
            </w:pPr>
            <w:r w:rsidRPr="00F1554A">
              <w:rPr>
                <w:sz w:val="18"/>
                <w:szCs w:val="18"/>
              </w:rPr>
              <w:t>14 semanas</w:t>
            </w:r>
          </w:p>
        </w:tc>
      </w:tr>
      <w:tr w:rsidR="002008AA" w:rsidRPr="00F1554A" w:rsidTr="008A29E5">
        <w:tc>
          <w:tcPr>
            <w:tcW w:w="5758" w:type="dxa"/>
          </w:tcPr>
          <w:p w:rsidR="002008AA" w:rsidRPr="00F1554A" w:rsidRDefault="002008AA" w:rsidP="008A29E5">
            <w:pPr>
              <w:keepNext/>
              <w:keepLines/>
              <w:rPr>
                <w:sz w:val="18"/>
                <w:szCs w:val="18"/>
              </w:rPr>
            </w:pPr>
            <w:r w:rsidRPr="00F1554A">
              <w:rPr>
                <w:sz w:val="18"/>
                <w:szCs w:val="18"/>
              </w:rPr>
              <w:t>Envío de las observaciones del Subgrupo:</w:t>
            </w:r>
          </w:p>
        </w:tc>
        <w:tc>
          <w:tcPr>
            <w:tcW w:w="3172" w:type="dxa"/>
          </w:tcPr>
          <w:p w:rsidR="002008AA" w:rsidRPr="00F1554A" w:rsidRDefault="002008AA" w:rsidP="008A29E5">
            <w:pPr>
              <w:keepNext/>
              <w:keepLines/>
              <w:jc w:val="center"/>
              <w:rPr>
                <w:sz w:val="18"/>
                <w:szCs w:val="18"/>
              </w:rPr>
            </w:pPr>
            <w:r w:rsidRPr="00F1554A">
              <w:rPr>
                <w:sz w:val="18"/>
                <w:szCs w:val="18"/>
              </w:rPr>
              <w:t>10 semanas</w:t>
            </w:r>
          </w:p>
        </w:tc>
      </w:tr>
      <w:tr w:rsidR="002008AA" w:rsidRPr="00F1554A" w:rsidTr="008A29E5">
        <w:tc>
          <w:tcPr>
            <w:tcW w:w="5758" w:type="dxa"/>
          </w:tcPr>
          <w:p w:rsidR="002008AA" w:rsidRPr="00F1554A" w:rsidRDefault="002008AA" w:rsidP="008A29E5">
            <w:pPr>
              <w:keepNext/>
              <w:keepLines/>
              <w:rPr>
                <w:sz w:val="18"/>
                <w:szCs w:val="18"/>
              </w:rPr>
            </w:pPr>
            <w:r w:rsidRPr="00F1554A">
              <w:rPr>
                <w:strike/>
                <w:sz w:val="18"/>
                <w:szCs w:val="18"/>
                <w:highlight w:val="lightGray"/>
              </w:rPr>
              <w:t>Envío</w:t>
            </w:r>
            <w:r w:rsidRPr="00F1554A">
              <w:rPr>
                <w:sz w:val="18"/>
                <w:szCs w:val="18"/>
              </w:rPr>
              <w:t xml:space="preserve"> </w:t>
            </w:r>
            <w:r w:rsidRPr="00F1554A">
              <w:rPr>
                <w:sz w:val="18"/>
                <w:szCs w:val="18"/>
                <w:highlight w:val="lightGray"/>
                <w:u w:val="single"/>
              </w:rPr>
              <w:t>Presentación</w:t>
            </w:r>
            <w:r w:rsidRPr="00F1554A">
              <w:rPr>
                <w:sz w:val="18"/>
                <w:szCs w:val="18"/>
              </w:rPr>
              <w:t xml:space="preserve"> del proyecto a la Oficina por el experto principal:</w:t>
            </w:r>
          </w:p>
        </w:tc>
        <w:tc>
          <w:tcPr>
            <w:tcW w:w="3172" w:type="dxa"/>
          </w:tcPr>
          <w:p w:rsidR="002008AA" w:rsidRPr="00F1554A" w:rsidRDefault="002008AA" w:rsidP="008A29E5">
            <w:pPr>
              <w:keepNext/>
              <w:keepLines/>
              <w:jc w:val="center"/>
              <w:rPr>
                <w:sz w:val="18"/>
                <w:szCs w:val="18"/>
              </w:rPr>
            </w:pPr>
            <w:r w:rsidRPr="00F1554A">
              <w:rPr>
                <w:sz w:val="18"/>
                <w:szCs w:val="18"/>
              </w:rPr>
              <w:t>6 semanas</w:t>
            </w:r>
          </w:p>
        </w:tc>
      </w:tr>
      <w:tr w:rsidR="002008AA" w:rsidRPr="00F1554A" w:rsidTr="008A29E5">
        <w:tc>
          <w:tcPr>
            <w:tcW w:w="5758" w:type="dxa"/>
          </w:tcPr>
          <w:p w:rsidR="002008AA" w:rsidRPr="00F1554A" w:rsidRDefault="002008AA" w:rsidP="008A29E5">
            <w:pPr>
              <w:keepNext/>
              <w:keepLines/>
              <w:rPr>
                <w:sz w:val="18"/>
                <w:szCs w:val="18"/>
              </w:rPr>
            </w:pPr>
            <w:r w:rsidRPr="00F1554A">
              <w:rPr>
                <w:sz w:val="18"/>
                <w:szCs w:val="18"/>
              </w:rPr>
              <w:t>Publicación del proyecto de documento en el sitio Web por la Oficina:</w:t>
            </w:r>
          </w:p>
        </w:tc>
        <w:tc>
          <w:tcPr>
            <w:tcW w:w="3172" w:type="dxa"/>
          </w:tcPr>
          <w:p w:rsidR="002008AA" w:rsidRPr="00F1554A" w:rsidRDefault="002008AA" w:rsidP="008A29E5">
            <w:pPr>
              <w:keepNext/>
              <w:keepLines/>
              <w:jc w:val="center"/>
              <w:rPr>
                <w:sz w:val="18"/>
                <w:szCs w:val="18"/>
              </w:rPr>
            </w:pPr>
            <w:r w:rsidRPr="00F1554A">
              <w:rPr>
                <w:sz w:val="18"/>
                <w:szCs w:val="18"/>
              </w:rPr>
              <w:t>4 semanas</w:t>
            </w:r>
          </w:p>
        </w:tc>
      </w:tr>
    </w:tbl>
    <w:p w:rsidR="002008AA" w:rsidRPr="00F1554A" w:rsidRDefault="002008AA" w:rsidP="002008AA">
      <w:pPr>
        <w:rPr>
          <w:sz w:val="18"/>
          <w:szCs w:val="18"/>
        </w:rPr>
      </w:pPr>
    </w:p>
    <w:p w:rsidR="002008AA" w:rsidRPr="00F1554A" w:rsidRDefault="002008AA" w:rsidP="009149F1">
      <w:pPr>
        <w:ind w:left="567" w:right="567"/>
        <w:rPr>
          <w:sz w:val="18"/>
          <w:szCs w:val="18"/>
        </w:rPr>
      </w:pPr>
      <w:r w:rsidRPr="000279A4">
        <w:rPr>
          <w:sz w:val="18"/>
        </w:rPr>
        <w:t>“</w:t>
      </w:r>
      <w:r w:rsidRPr="00F1554A">
        <w:rPr>
          <w:sz w:val="18"/>
          <w:szCs w:val="18"/>
        </w:rPr>
        <w:t xml:space="preserve">En el caso en el que el plazo fijado, sea para la difusión del proyecto destinado al Subgrupo sea para </w:t>
      </w:r>
      <w:r w:rsidRPr="00F1554A">
        <w:rPr>
          <w:strike/>
          <w:sz w:val="18"/>
          <w:szCs w:val="18"/>
          <w:highlight w:val="lightGray"/>
        </w:rPr>
        <w:t>el envío</w:t>
      </w:r>
      <w:r w:rsidRPr="00F1554A">
        <w:rPr>
          <w:sz w:val="18"/>
          <w:szCs w:val="18"/>
        </w:rPr>
        <w:t xml:space="preserve"> </w:t>
      </w:r>
      <w:r>
        <w:rPr>
          <w:sz w:val="18"/>
          <w:szCs w:val="18"/>
          <w:highlight w:val="lightGray"/>
          <w:u w:val="single"/>
        </w:rPr>
        <w:t>la </w:t>
      </w:r>
      <w:r w:rsidRPr="00F1554A">
        <w:rPr>
          <w:sz w:val="18"/>
          <w:szCs w:val="18"/>
          <w:highlight w:val="lightGray"/>
          <w:u w:val="single"/>
        </w:rPr>
        <w:t>presentación</w:t>
      </w:r>
      <w:r w:rsidRPr="00F1554A">
        <w:rPr>
          <w:sz w:val="18"/>
          <w:szCs w:val="18"/>
        </w:rPr>
        <w:t xml:space="preserve"> del proyecto a la Oficina por el experto principal, no se respete, se retirarán las directrices de examen del orden del día del TWP y la Oficina informará al respecto al TWP lo</w:t>
      </w:r>
      <w:r>
        <w:rPr>
          <w:sz w:val="18"/>
          <w:szCs w:val="18"/>
        </w:rPr>
        <w:t xml:space="preserve"> antes posible (al menos cuatro </w:t>
      </w:r>
      <w:r w:rsidRPr="00F1554A">
        <w:rPr>
          <w:sz w:val="18"/>
          <w:szCs w:val="18"/>
        </w:rPr>
        <w:t>semanas antes de su reunión).</w:t>
      </w:r>
      <w:r>
        <w:rPr>
          <w:sz w:val="18"/>
          <w:szCs w:val="18"/>
        </w:rPr>
        <w:t xml:space="preserve"> </w:t>
      </w:r>
      <w:r w:rsidRPr="00F1554A">
        <w:rPr>
          <w:sz w:val="18"/>
          <w:szCs w:val="18"/>
        </w:rPr>
        <w:t>En el caso en que se retire un proyecto de directrices de examen del orden del día del TWP debido a que el experto principal no ha cumplido con el plazo fijado, será posible examinar algunas cuestiones específicas relativas a esas directrices de examen en la reunión del TWP.</w:t>
      </w:r>
      <w:r>
        <w:rPr>
          <w:sz w:val="18"/>
          <w:szCs w:val="18"/>
        </w:rPr>
        <w:t xml:space="preserve"> </w:t>
      </w:r>
      <w:r w:rsidRPr="00F1554A">
        <w:rPr>
          <w:sz w:val="18"/>
          <w:szCs w:val="18"/>
        </w:rPr>
        <w:t>Sin embargo, a fin de considerar cuestiones específicas, sería necesario remitir a la Oficina un docu</w:t>
      </w:r>
      <w:r>
        <w:rPr>
          <w:sz w:val="18"/>
          <w:szCs w:val="18"/>
        </w:rPr>
        <w:t>mento al respecto al menos seis </w:t>
      </w:r>
      <w:r w:rsidRPr="00F1554A">
        <w:rPr>
          <w:sz w:val="18"/>
          <w:szCs w:val="18"/>
        </w:rPr>
        <w:t>semanas antes de la reunión del TWP.”</w:t>
      </w:r>
    </w:p>
    <w:p w:rsidR="002008AA" w:rsidRPr="00F1554A" w:rsidRDefault="002008AA" w:rsidP="002008AA">
      <w:pPr>
        <w:ind w:left="567"/>
        <w:rPr>
          <w:sz w:val="18"/>
          <w:szCs w:val="18"/>
        </w:rPr>
      </w:pPr>
      <w:r w:rsidRPr="00F1554A">
        <w:rPr>
          <w:sz w:val="18"/>
          <w:szCs w:val="18"/>
        </w:rPr>
        <w:t>[…]</w:t>
      </w:r>
      <w:r>
        <w:rPr>
          <w:sz w:val="18"/>
          <w:szCs w:val="18"/>
        </w:rPr>
        <w:t xml:space="preserve"> </w:t>
      </w:r>
    </w:p>
    <w:p w:rsidR="002008AA" w:rsidRPr="00F1554A" w:rsidRDefault="002008AA" w:rsidP="002008AA">
      <w:pPr>
        <w:rPr>
          <w:sz w:val="18"/>
          <w:szCs w:val="18"/>
        </w:rPr>
      </w:pPr>
    </w:p>
    <w:p w:rsidR="002008AA" w:rsidRDefault="002008AA" w:rsidP="002008AA">
      <w:pPr>
        <w:jc w:val="left"/>
        <w:rPr>
          <w:u w:val="single"/>
        </w:rPr>
      </w:pPr>
      <w:bookmarkStart w:id="8" w:name="_Toc477517494"/>
      <w:r>
        <w:rPr>
          <w:u w:val="single"/>
        </w:rPr>
        <w:br w:type="page"/>
      </w:r>
    </w:p>
    <w:p w:rsidR="002008AA" w:rsidRPr="001375EC" w:rsidRDefault="002008AA" w:rsidP="002008AA">
      <w:pPr>
        <w:keepNext/>
        <w:rPr>
          <w:u w:val="single"/>
        </w:rPr>
      </w:pPr>
      <w:r w:rsidRPr="001375EC">
        <w:rPr>
          <w:u w:val="single"/>
        </w:rPr>
        <w:lastRenderedPageBreak/>
        <w:t>Capítulo 3: Orientaciones para elaborar directrices de examen</w:t>
      </w:r>
      <w:bookmarkEnd w:id="8"/>
    </w:p>
    <w:p w:rsidR="002008AA" w:rsidRPr="00F1554A" w:rsidRDefault="002008AA" w:rsidP="002008AA">
      <w:pPr>
        <w:rPr>
          <w:sz w:val="18"/>
          <w:szCs w:val="18"/>
        </w:rPr>
      </w:pPr>
    </w:p>
    <w:p w:rsidR="002008AA" w:rsidRPr="001375EC" w:rsidRDefault="002008AA" w:rsidP="002008AA">
      <w:pPr>
        <w:ind w:left="567"/>
        <w:rPr>
          <w:sz w:val="18"/>
        </w:rPr>
      </w:pPr>
      <w:bookmarkStart w:id="9" w:name="_Toc399418831"/>
      <w:bookmarkStart w:id="10" w:name="_Toc477517495"/>
      <w:r w:rsidRPr="001375EC">
        <w:rPr>
          <w:sz w:val="18"/>
        </w:rPr>
        <w:t>3.1</w:t>
      </w:r>
      <w:r w:rsidRPr="001375EC">
        <w:rPr>
          <w:sz w:val="18"/>
        </w:rPr>
        <w:tab/>
      </w:r>
      <w:bookmarkEnd w:id="9"/>
      <w:r w:rsidRPr="001375EC">
        <w:rPr>
          <w:sz w:val="18"/>
          <w:lang w:val="es-ES_tradnl"/>
        </w:rPr>
        <w:t xml:space="preserve">La </w:t>
      </w:r>
      <w:r w:rsidRPr="001375EC">
        <w:rPr>
          <w:strike/>
          <w:sz w:val="18"/>
          <w:highlight w:val="lightGray"/>
          <w:lang w:val="es-ES_tradnl"/>
        </w:rPr>
        <w:t>plantilla</w:t>
      </w:r>
      <w:r w:rsidRPr="001375EC">
        <w:rPr>
          <w:sz w:val="18"/>
          <w:highlight w:val="lightGray"/>
          <w:lang w:val="es-ES_tradnl"/>
        </w:rPr>
        <w:t xml:space="preserve"> </w:t>
      </w:r>
      <w:r w:rsidRPr="001375EC">
        <w:rPr>
          <w:sz w:val="18"/>
          <w:highlight w:val="lightGray"/>
          <w:u w:val="single"/>
          <w:lang w:val="es-ES_tradnl"/>
        </w:rPr>
        <w:t>estructura y el texto estándar universal</w:t>
      </w:r>
      <w:r w:rsidRPr="001375EC">
        <w:rPr>
          <w:sz w:val="18"/>
          <w:lang w:val="es-ES_tradnl"/>
        </w:rPr>
        <w:t xml:space="preserve"> de los documentos TG</w:t>
      </w:r>
      <w:bookmarkEnd w:id="10"/>
      <w:r w:rsidRPr="001375EC">
        <w:rPr>
          <w:sz w:val="18"/>
        </w:rPr>
        <w:t xml:space="preserve"> </w:t>
      </w:r>
    </w:p>
    <w:p w:rsidR="002008AA" w:rsidRPr="00F1554A" w:rsidRDefault="002008AA" w:rsidP="002008AA">
      <w:pPr>
        <w:ind w:left="567"/>
        <w:rPr>
          <w:sz w:val="18"/>
          <w:szCs w:val="18"/>
        </w:rPr>
      </w:pPr>
    </w:p>
    <w:p w:rsidR="002008AA" w:rsidRPr="00F1554A" w:rsidRDefault="002008AA" w:rsidP="009149F1">
      <w:pPr>
        <w:tabs>
          <w:tab w:val="left" w:pos="567"/>
        </w:tabs>
        <w:ind w:left="567" w:right="567"/>
        <w:rPr>
          <w:sz w:val="18"/>
          <w:szCs w:val="18"/>
        </w:rPr>
      </w:pPr>
      <w:r w:rsidRPr="00F1554A">
        <w:rPr>
          <w:sz w:val="18"/>
          <w:szCs w:val="18"/>
        </w:rPr>
        <w:t>“3.1.1</w:t>
      </w:r>
      <w:r w:rsidRPr="00F1554A">
        <w:rPr>
          <w:sz w:val="18"/>
          <w:szCs w:val="18"/>
        </w:rPr>
        <w:tab/>
        <w:t xml:space="preserve">La UPOV ha elaborado una </w:t>
      </w:r>
      <w:r w:rsidRPr="00F1554A">
        <w:rPr>
          <w:strike/>
          <w:sz w:val="18"/>
          <w:szCs w:val="18"/>
          <w:highlight w:val="lightGray"/>
        </w:rPr>
        <w:t>plantilla (la “plantilla de los documentos TG”) que contiene</w:t>
      </w:r>
      <w:r w:rsidRPr="00F1554A">
        <w:rPr>
          <w:sz w:val="18"/>
          <w:szCs w:val="18"/>
        </w:rPr>
        <w:t xml:space="preserve"> </w:t>
      </w:r>
      <w:r w:rsidRPr="00F1554A">
        <w:rPr>
          <w:sz w:val="18"/>
          <w:szCs w:val="18"/>
          <w:highlight w:val="lightGray"/>
          <w:u w:val="single"/>
        </w:rPr>
        <w:t>estructura estándar y</w:t>
      </w:r>
      <w:r w:rsidRPr="00F1554A">
        <w:rPr>
          <w:sz w:val="18"/>
          <w:szCs w:val="18"/>
        </w:rPr>
        <w:t xml:space="preserve"> el texto estándar universal apropiado para todas las directrices de examen de la UPOV (“directrices de examen”)</w:t>
      </w:r>
      <w:r w:rsidRPr="00F1554A">
        <w:rPr>
          <w:strike/>
          <w:sz w:val="18"/>
          <w:szCs w:val="18"/>
        </w:rPr>
        <w:t xml:space="preserve"> </w:t>
      </w:r>
      <w:r w:rsidRPr="00F1554A">
        <w:rPr>
          <w:strike/>
          <w:sz w:val="18"/>
          <w:szCs w:val="18"/>
          <w:highlight w:val="lightGray"/>
        </w:rPr>
        <w:t>que se elaboran siguiendo el formato apropiado.</w:t>
      </w:r>
      <w:r w:rsidRPr="00F1554A">
        <w:rPr>
          <w:sz w:val="18"/>
          <w:szCs w:val="18"/>
          <w:highlight w:val="lightGray"/>
          <w:u w:val="single"/>
        </w:rPr>
        <w:t>,</w:t>
      </w:r>
      <w:r w:rsidRPr="00F1554A">
        <w:rPr>
          <w:sz w:val="18"/>
          <w:szCs w:val="18"/>
        </w:rPr>
        <w:t xml:space="preserve"> </w:t>
      </w:r>
      <w:r w:rsidRPr="00F1554A">
        <w:rPr>
          <w:strike/>
          <w:sz w:val="18"/>
          <w:szCs w:val="18"/>
          <w:highlight w:val="lightGray"/>
        </w:rPr>
        <w:t>La plantilla de los documentos TG</w:t>
      </w:r>
      <w:r w:rsidRPr="00F1554A">
        <w:rPr>
          <w:sz w:val="18"/>
          <w:szCs w:val="18"/>
        </w:rPr>
        <w:t xml:space="preserve"> </w:t>
      </w:r>
      <w:r w:rsidRPr="00F1554A">
        <w:rPr>
          <w:sz w:val="18"/>
          <w:szCs w:val="18"/>
          <w:highlight w:val="lightGray"/>
          <w:u w:val="single"/>
        </w:rPr>
        <w:t>el cual</w:t>
      </w:r>
      <w:r w:rsidRPr="00F1554A">
        <w:rPr>
          <w:sz w:val="18"/>
          <w:szCs w:val="18"/>
        </w:rPr>
        <w:t xml:space="preserve"> figura como Anexo 1 </w:t>
      </w:r>
      <w:r w:rsidRPr="00F1554A">
        <w:rPr>
          <w:strike/>
          <w:sz w:val="18"/>
          <w:szCs w:val="18"/>
          <w:highlight w:val="lightGray"/>
        </w:rPr>
        <w:t>y debe utilizarse como punto de partida para elaborar o revisar todas las directrices de examen</w:t>
      </w:r>
      <w:r w:rsidRPr="00F1554A">
        <w:rPr>
          <w:sz w:val="18"/>
          <w:szCs w:val="18"/>
        </w:rPr>
        <w:t>.</w:t>
      </w:r>
    </w:p>
    <w:p w:rsidR="002008AA" w:rsidRPr="00F1554A" w:rsidRDefault="002008AA" w:rsidP="009149F1">
      <w:pPr>
        <w:ind w:left="567" w:right="567"/>
        <w:rPr>
          <w:sz w:val="18"/>
          <w:szCs w:val="18"/>
        </w:rPr>
      </w:pPr>
    </w:p>
    <w:p w:rsidR="002008AA" w:rsidRPr="00F1554A" w:rsidRDefault="002008AA" w:rsidP="009149F1">
      <w:pPr>
        <w:ind w:left="567" w:right="567"/>
        <w:rPr>
          <w:sz w:val="18"/>
          <w:szCs w:val="18"/>
        </w:rPr>
      </w:pPr>
      <w:r w:rsidRPr="000279A4">
        <w:rPr>
          <w:sz w:val="18"/>
        </w:rPr>
        <w:t>“</w:t>
      </w:r>
      <w:r w:rsidRPr="00F1554A">
        <w:rPr>
          <w:sz w:val="18"/>
          <w:szCs w:val="18"/>
        </w:rPr>
        <w:t>3.1.2</w:t>
      </w:r>
      <w:r w:rsidRPr="00F1554A">
        <w:rPr>
          <w:sz w:val="18"/>
          <w:szCs w:val="18"/>
        </w:rPr>
        <w:tab/>
      </w:r>
      <w:r w:rsidRPr="00F1554A">
        <w:rPr>
          <w:strike/>
          <w:sz w:val="18"/>
          <w:szCs w:val="18"/>
          <w:highlight w:val="lightGray"/>
        </w:rPr>
        <w:t>Además de la plantilla de los documentos TG, s</w:t>
      </w:r>
      <w:r w:rsidRPr="00F1554A">
        <w:rPr>
          <w:sz w:val="18"/>
          <w:szCs w:val="18"/>
          <w:highlight w:val="lightGray"/>
          <w:u w:val="single"/>
        </w:rPr>
        <w:t>S</w:t>
      </w:r>
      <w:r w:rsidRPr="00F1554A">
        <w:rPr>
          <w:sz w:val="18"/>
          <w:szCs w:val="18"/>
        </w:rPr>
        <w:t xml:space="preserve">e ofrecen orientaciones adicionales </w:t>
      </w:r>
      <w:r w:rsidRPr="00F1554A">
        <w:rPr>
          <w:strike/>
          <w:sz w:val="18"/>
          <w:szCs w:val="18"/>
          <w:highlight w:val="lightGray"/>
        </w:rPr>
        <w:t>acerca del modo de elaborar directrices de examen individuales a partir de la plantilla de los documentos TG.</w:t>
      </w:r>
      <w:r>
        <w:rPr>
          <w:strike/>
          <w:sz w:val="18"/>
          <w:szCs w:val="18"/>
          <w:highlight w:val="lightGray"/>
        </w:rPr>
        <w:t xml:space="preserve"> </w:t>
      </w:r>
      <w:r w:rsidRPr="00F1554A">
        <w:rPr>
          <w:strike/>
          <w:sz w:val="18"/>
          <w:szCs w:val="18"/>
          <w:highlight w:val="lightGray"/>
        </w:rPr>
        <w:t>Para ello se utiliza</w:t>
      </w:r>
      <w:r w:rsidRPr="00F1554A">
        <w:rPr>
          <w:sz w:val="18"/>
          <w:szCs w:val="18"/>
        </w:rPr>
        <w:t xml:space="preserve"> </w:t>
      </w:r>
      <w:r w:rsidRPr="00F1554A">
        <w:rPr>
          <w:sz w:val="18"/>
          <w:szCs w:val="18"/>
          <w:highlight w:val="lightGray"/>
          <w:u w:val="single"/>
        </w:rPr>
        <w:t>mediante</w:t>
      </w:r>
      <w:r w:rsidRPr="00F1554A">
        <w:rPr>
          <w:sz w:val="18"/>
          <w:szCs w:val="18"/>
        </w:rPr>
        <w:t xml:space="preserve"> el texto estándar adicional (ASW) y las notas orientativas</w:t>
      </w:r>
      <w:r w:rsidRPr="00F1554A">
        <w:rPr>
          <w:strike/>
          <w:sz w:val="18"/>
          <w:szCs w:val="18"/>
          <w:highlight w:val="lightGray"/>
        </w:rPr>
        <w:t>,</w:t>
      </w:r>
      <w:r w:rsidRPr="00F1554A">
        <w:rPr>
          <w:sz w:val="18"/>
          <w:szCs w:val="18"/>
          <w:highlight w:val="lightGray"/>
          <w:u w:val="single"/>
        </w:rPr>
        <w:t>.</w:t>
      </w:r>
      <w:r w:rsidRPr="00F1554A">
        <w:rPr>
          <w:sz w:val="18"/>
          <w:szCs w:val="18"/>
        </w:rPr>
        <w:t xml:space="preserve"> </w:t>
      </w:r>
      <w:r w:rsidRPr="00F1554A">
        <w:rPr>
          <w:strike/>
          <w:sz w:val="18"/>
          <w:szCs w:val="18"/>
          <w:highlight w:val="lightGray"/>
        </w:rPr>
        <w:t>y</w:t>
      </w:r>
      <w:r w:rsidRPr="00F1554A">
        <w:rPr>
          <w:sz w:val="18"/>
          <w:szCs w:val="18"/>
        </w:rPr>
        <w:t xml:space="preserve"> </w:t>
      </w:r>
      <w:r w:rsidRPr="00F1554A">
        <w:rPr>
          <w:strike/>
          <w:sz w:val="18"/>
          <w:szCs w:val="18"/>
          <w:highlight w:val="lightGray"/>
        </w:rPr>
        <w:t>s</w:t>
      </w:r>
      <w:r w:rsidRPr="00F1554A">
        <w:rPr>
          <w:sz w:val="18"/>
          <w:szCs w:val="18"/>
          <w:highlight w:val="lightGray"/>
          <w:u w:val="single"/>
        </w:rPr>
        <w:t>S</w:t>
      </w:r>
      <w:r w:rsidRPr="00F1554A">
        <w:rPr>
          <w:sz w:val="18"/>
          <w:szCs w:val="18"/>
        </w:rPr>
        <w:t xml:space="preserve">e indica </w:t>
      </w:r>
      <w:r w:rsidRPr="00F1554A">
        <w:rPr>
          <w:strike/>
          <w:sz w:val="18"/>
          <w:szCs w:val="18"/>
          <w:highlight w:val="lightGray"/>
        </w:rPr>
        <w:t>en la plantilla de los documentos TG</w:t>
      </w:r>
      <w:r w:rsidRPr="00F1554A">
        <w:rPr>
          <w:sz w:val="18"/>
          <w:szCs w:val="18"/>
        </w:rPr>
        <w:t xml:space="preserve"> </w:t>
      </w:r>
      <w:r w:rsidRPr="00F1554A">
        <w:rPr>
          <w:sz w:val="18"/>
          <w:szCs w:val="18"/>
          <w:highlight w:val="lightGray"/>
          <w:u w:val="single"/>
        </w:rPr>
        <w:t>en el Anexo I</w:t>
      </w:r>
      <w:r w:rsidRPr="00F1554A">
        <w:rPr>
          <w:sz w:val="18"/>
          <w:szCs w:val="18"/>
        </w:rPr>
        <w:t xml:space="preserve"> si se dispone de orientaciones adicionales (véanse las secciones 3.2 y 3.3).</w:t>
      </w:r>
    </w:p>
    <w:p w:rsidR="002008AA" w:rsidRPr="00F1554A" w:rsidRDefault="002008AA" w:rsidP="002008AA">
      <w:pPr>
        <w:ind w:left="567"/>
        <w:rPr>
          <w:sz w:val="18"/>
          <w:szCs w:val="18"/>
        </w:rPr>
      </w:pPr>
    </w:p>
    <w:p w:rsidR="002008AA" w:rsidRPr="001375EC" w:rsidRDefault="002008AA" w:rsidP="002008AA">
      <w:pPr>
        <w:ind w:left="567"/>
        <w:rPr>
          <w:strike/>
          <w:sz w:val="18"/>
        </w:rPr>
      </w:pPr>
      <w:bookmarkStart w:id="11" w:name="_Toc463342884"/>
      <w:bookmarkStart w:id="12" w:name="_Toc477517496"/>
      <w:r w:rsidRPr="001375EC">
        <w:rPr>
          <w:sz w:val="18"/>
        </w:rPr>
        <w:t>3.2</w:t>
      </w:r>
      <w:r w:rsidRPr="001375EC">
        <w:rPr>
          <w:sz w:val="18"/>
        </w:rPr>
        <w:tab/>
      </w:r>
      <w:bookmarkEnd w:id="11"/>
      <w:r w:rsidRPr="001375EC">
        <w:rPr>
          <w:sz w:val="18"/>
          <w:lang w:val="es-ES_tradnl"/>
        </w:rPr>
        <w:t xml:space="preserve">Texto estándar adicional (ASW) </w:t>
      </w:r>
      <w:r w:rsidRPr="001375EC">
        <w:rPr>
          <w:strike/>
          <w:sz w:val="18"/>
          <w:highlight w:val="lightGray"/>
          <w:lang w:val="es-ES_tradnl"/>
        </w:rPr>
        <w:t>para la plantilla de los documentos TG</w:t>
      </w:r>
      <w:bookmarkEnd w:id="12"/>
    </w:p>
    <w:p w:rsidR="002008AA" w:rsidRPr="00F1554A" w:rsidRDefault="002008AA" w:rsidP="002008AA">
      <w:pPr>
        <w:ind w:left="567"/>
        <w:rPr>
          <w:sz w:val="18"/>
          <w:szCs w:val="18"/>
        </w:rPr>
      </w:pPr>
    </w:p>
    <w:p w:rsidR="002008AA" w:rsidRPr="00F1554A" w:rsidRDefault="002008AA" w:rsidP="009149F1">
      <w:pPr>
        <w:ind w:left="567" w:right="567"/>
        <w:rPr>
          <w:sz w:val="18"/>
          <w:szCs w:val="18"/>
        </w:rPr>
      </w:pPr>
      <w:r w:rsidRPr="000279A4">
        <w:rPr>
          <w:sz w:val="18"/>
        </w:rPr>
        <w:t>“</w:t>
      </w:r>
      <w:r w:rsidRPr="00F1554A">
        <w:rPr>
          <w:sz w:val="18"/>
          <w:szCs w:val="18"/>
        </w:rPr>
        <w:t>3.2.1</w:t>
      </w:r>
      <w:r w:rsidRPr="00F1554A">
        <w:rPr>
          <w:sz w:val="18"/>
          <w:szCs w:val="18"/>
        </w:rPr>
        <w:tab/>
      </w:r>
      <w:r w:rsidRPr="00F1554A">
        <w:rPr>
          <w:strike/>
          <w:sz w:val="18"/>
          <w:szCs w:val="18"/>
          <w:highlight w:val="lightGray"/>
        </w:rPr>
        <w:t>Tal como se explicó anteriormente, la plantilla de los documentos TG contiene el texto estándar universal apropiado para todas las directrices de examen.</w:t>
      </w:r>
      <w:r>
        <w:rPr>
          <w:strike/>
          <w:sz w:val="18"/>
          <w:szCs w:val="18"/>
          <w:highlight w:val="lightGray"/>
        </w:rPr>
        <w:t xml:space="preserve"> </w:t>
      </w:r>
      <w:r w:rsidRPr="00F1554A">
        <w:rPr>
          <w:strike/>
          <w:sz w:val="18"/>
          <w:szCs w:val="18"/>
          <w:highlight w:val="lightGray"/>
        </w:rPr>
        <w:t>No obstante,</w:t>
      </w:r>
      <w:r w:rsidRPr="00F1554A">
        <w:rPr>
          <w:sz w:val="18"/>
          <w:szCs w:val="18"/>
        </w:rPr>
        <w:t xml:space="preserve"> </w:t>
      </w:r>
      <w:r w:rsidRPr="00F1554A">
        <w:rPr>
          <w:sz w:val="18"/>
          <w:szCs w:val="18"/>
          <w:highlight w:val="lightGray"/>
          <w:u w:val="single"/>
        </w:rPr>
        <w:t>Además del texto estándar universal,</w:t>
      </w:r>
      <w:r w:rsidRPr="00F1554A">
        <w:rPr>
          <w:sz w:val="18"/>
          <w:szCs w:val="18"/>
        </w:rPr>
        <w:t xml:space="preserve"> la UPOV ha elaborado un texto estándar adicional que debería utilizarse, cuando proceda, en las directrices de examen.</w:t>
      </w:r>
      <w:r>
        <w:rPr>
          <w:sz w:val="18"/>
          <w:szCs w:val="18"/>
        </w:rPr>
        <w:t xml:space="preserve"> </w:t>
      </w:r>
      <w:r w:rsidRPr="00F1554A">
        <w:rPr>
          <w:sz w:val="18"/>
          <w:szCs w:val="18"/>
        </w:rPr>
        <w:t>Por ejemplo, para las directrices de examen en las que se presenta material en forma de semillas existe un texto estándar relativo a la calidad de las semillas que deberán presentarse.</w:t>
      </w:r>
      <w:r>
        <w:rPr>
          <w:sz w:val="18"/>
          <w:szCs w:val="18"/>
        </w:rPr>
        <w:t xml:space="preserve"> </w:t>
      </w:r>
      <w:r w:rsidRPr="00F1554A">
        <w:rPr>
          <w:sz w:val="18"/>
          <w:szCs w:val="18"/>
        </w:rPr>
        <w:t xml:space="preserve">Es obvio que este texto estándar para las semillas no se incluirá en las directrices de examen en las que, por ejemplo, el material deba suministrarse en forma de tubérculos y, por ello, dicho texto estándar adicional no se incluye </w:t>
      </w:r>
      <w:r w:rsidRPr="00F1554A">
        <w:rPr>
          <w:strike/>
          <w:sz w:val="18"/>
          <w:szCs w:val="18"/>
          <w:highlight w:val="lightGray"/>
        </w:rPr>
        <w:t>en la plantilla de los documentos TG</w:t>
      </w:r>
      <w:r w:rsidRPr="00F1554A">
        <w:rPr>
          <w:sz w:val="18"/>
          <w:szCs w:val="18"/>
        </w:rPr>
        <w:t xml:space="preserve"> </w:t>
      </w:r>
      <w:r w:rsidRPr="00F1554A">
        <w:rPr>
          <w:sz w:val="18"/>
          <w:szCs w:val="18"/>
          <w:highlight w:val="lightGray"/>
          <w:u w:val="single"/>
        </w:rPr>
        <w:t>como texto estándar universal</w:t>
      </w:r>
      <w:r w:rsidRPr="00F1554A">
        <w:rPr>
          <w:sz w:val="18"/>
          <w:szCs w:val="18"/>
        </w:rPr>
        <w:t>.</w:t>
      </w:r>
      <w:r>
        <w:rPr>
          <w:sz w:val="18"/>
          <w:szCs w:val="18"/>
        </w:rPr>
        <w:t xml:space="preserve"> </w:t>
      </w:r>
      <w:r w:rsidRPr="00F1554A">
        <w:rPr>
          <w:sz w:val="18"/>
          <w:szCs w:val="18"/>
        </w:rPr>
        <w:t>El texto estándar adicional figura como Anexo 2 “Texto estándar adicional para la plantilla de los documentos TG”.</w:t>
      </w:r>
    </w:p>
    <w:p w:rsidR="002008AA" w:rsidRPr="00F1554A" w:rsidRDefault="002008AA" w:rsidP="002008AA">
      <w:pPr>
        <w:ind w:left="567"/>
        <w:rPr>
          <w:sz w:val="18"/>
          <w:szCs w:val="18"/>
        </w:rPr>
      </w:pPr>
    </w:p>
    <w:p w:rsidR="002008AA" w:rsidRPr="00F1554A" w:rsidRDefault="002008AA" w:rsidP="009149F1">
      <w:pPr>
        <w:ind w:left="567" w:right="567"/>
        <w:rPr>
          <w:sz w:val="18"/>
          <w:szCs w:val="18"/>
        </w:rPr>
      </w:pPr>
      <w:r w:rsidRPr="000279A4">
        <w:rPr>
          <w:sz w:val="18"/>
        </w:rPr>
        <w:t>“</w:t>
      </w:r>
      <w:r w:rsidRPr="00F1554A">
        <w:rPr>
          <w:sz w:val="18"/>
          <w:szCs w:val="18"/>
        </w:rPr>
        <w:t>3.2.2</w:t>
      </w:r>
      <w:r w:rsidRPr="00F1554A">
        <w:rPr>
          <w:sz w:val="18"/>
          <w:szCs w:val="18"/>
        </w:rPr>
        <w:tab/>
        <w:t xml:space="preserve">Cuando se disponga de dicho texto estándar adicional, se destacará en el lugar apropiado </w:t>
      </w:r>
      <w:r w:rsidRPr="00F1554A">
        <w:rPr>
          <w:strike/>
          <w:sz w:val="18"/>
          <w:szCs w:val="18"/>
          <w:highlight w:val="lightGray"/>
        </w:rPr>
        <w:t>de la plantilla de los documentos TG</w:t>
      </w:r>
      <w:r w:rsidRPr="00F1554A">
        <w:rPr>
          <w:sz w:val="18"/>
          <w:szCs w:val="18"/>
        </w:rPr>
        <w:t xml:space="preserve"> </w:t>
      </w:r>
      <w:r w:rsidRPr="00F1554A">
        <w:rPr>
          <w:sz w:val="18"/>
          <w:szCs w:val="18"/>
          <w:highlight w:val="lightGray"/>
          <w:u w:val="single"/>
        </w:rPr>
        <w:t>del Anexo I</w:t>
      </w:r>
      <w:r w:rsidRPr="00F1554A">
        <w:rPr>
          <w:sz w:val="18"/>
          <w:szCs w:val="18"/>
        </w:rPr>
        <w:t xml:space="preserve"> el texto insertado, por ejemplo:</w:t>
      </w:r>
    </w:p>
    <w:p w:rsidR="002008AA" w:rsidRPr="00F1554A" w:rsidRDefault="002008AA" w:rsidP="009149F1">
      <w:pPr>
        <w:ind w:right="567"/>
        <w:rPr>
          <w:sz w:val="18"/>
          <w:szCs w:val="18"/>
        </w:rPr>
      </w:pPr>
    </w:p>
    <w:p w:rsidR="002008AA" w:rsidRPr="00F1554A" w:rsidRDefault="002008AA" w:rsidP="009149F1">
      <w:pPr>
        <w:ind w:left="567" w:right="567"/>
        <w:rPr>
          <w:sz w:val="18"/>
          <w:szCs w:val="18"/>
        </w:rPr>
      </w:pPr>
      <w:r w:rsidRPr="000279A4">
        <w:rPr>
          <w:sz w:val="18"/>
        </w:rPr>
        <w:t>“</w:t>
      </w:r>
      <w:r w:rsidRPr="00F1554A">
        <w:rPr>
          <w:sz w:val="18"/>
          <w:szCs w:val="18"/>
        </w:rPr>
        <w:t>{</w:t>
      </w:r>
      <w:r w:rsidRPr="00F1554A">
        <w:rPr>
          <w:b/>
          <w:bCs/>
          <w:sz w:val="18"/>
          <w:szCs w:val="18"/>
          <w:bdr w:val="single" w:sz="12" w:space="0" w:color="auto"/>
          <w:shd w:val="pct12" w:color="auto" w:fill="auto"/>
        </w:rPr>
        <w:t xml:space="preserve"> ASW</w:t>
      </w:r>
      <w:r w:rsidRPr="00F1554A">
        <w:rPr>
          <w:b/>
          <w:bCs/>
          <w:sz w:val="18"/>
          <w:szCs w:val="18"/>
          <w:bdr w:val="single" w:sz="12" w:space="0" w:color="auto"/>
        </w:rPr>
        <w:t> 1</w:t>
      </w:r>
      <w:r w:rsidRPr="00F1554A">
        <w:rPr>
          <w:sz w:val="18"/>
          <w:szCs w:val="18"/>
        </w:rPr>
        <w:t xml:space="preserve"> (Plantilla de los documentos TG:</w:t>
      </w:r>
      <w:r>
        <w:rPr>
          <w:sz w:val="18"/>
          <w:szCs w:val="18"/>
        </w:rPr>
        <w:t xml:space="preserve"> </w:t>
      </w:r>
      <w:r w:rsidRPr="00F1554A">
        <w:rPr>
          <w:sz w:val="18"/>
          <w:szCs w:val="18"/>
        </w:rPr>
        <w:t>sección 2.3) – requisitos de calidad para las semillas}</w:t>
      </w:r>
    </w:p>
    <w:p w:rsidR="002008AA" w:rsidRPr="00F1554A" w:rsidRDefault="002008AA" w:rsidP="009149F1">
      <w:pPr>
        <w:ind w:left="567" w:right="567"/>
        <w:rPr>
          <w:sz w:val="18"/>
          <w:szCs w:val="18"/>
        </w:rPr>
      </w:pPr>
    </w:p>
    <w:p w:rsidR="002008AA" w:rsidRPr="001375EC" w:rsidRDefault="002008AA" w:rsidP="009149F1">
      <w:pPr>
        <w:ind w:left="567" w:right="567"/>
        <w:rPr>
          <w:sz w:val="18"/>
        </w:rPr>
      </w:pPr>
      <w:bookmarkStart w:id="13" w:name="_Toc463342885"/>
      <w:bookmarkStart w:id="14" w:name="_Toc477517497"/>
      <w:r w:rsidRPr="001375EC">
        <w:rPr>
          <w:sz w:val="18"/>
        </w:rPr>
        <w:t>3.3</w:t>
      </w:r>
      <w:r w:rsidRPr="001375EC">
        <w:rPr>
          <w:sz w:val="18"/>
        </w:rPr>
        <w:tab/>
      </w:r>
      <w:bookmarkEnd w:id="13"/>
      <w:r w:rsidRPr="001375EC">
        <w:rPr>
          <w:sz w:val="18"/>
          <w:lang w:val="es-ES_tradnl"/>
        </w:rPr>
        <w:t xml:space="preserve">Notas orientativas </w:t>
      </w:r>
      <w:r>
        <w:rPr>
          <w:sz w:val="18"/>
          <w:lang w:val="es-ES_tradnl"/>
        </w:rPr>
        <w:t xml:space="preserve">(GN) </w:t>
      </w:r>
      <w:r w:rsidRPr="001375EC">
        <w:rPr>
          <w:strike/>
          <w:sz w:val="18"/>
          <w:highlight w:val="lightGray"/>
          <w:lang w:val="es-ES_tradnl"/>
        </w:rPr>
        <w:t>sobre la plantilla de los documentos TG</w:t>
      </w:r>
      <w:bookmarkEnd w:id="14"/>
    </w:p>
    <w:p w:rsidR="002008AA" w:rsidRPr="00F1554A" w:rsidRDefault="002008AA" w:rsidP="009149F1">
      <w:pPr>
        <w:ind w:left="567" w:right="567"/>
        <w:rPr>
          <w:sz w:val="18"/>
          <w:szCs w:val="18"/>
        </w:rPr>
      </w:pPr>
    </w:p>
    <w:p w:rsidR="002008AA" w:rsidRPr="00F1554A" w:rsidRDefault="002008AA" w:rsidP="009149F1">
      <w:pPr>
        <w:ind w:left="567" w:right="567"/>
        <w:rPr>
          <w:sz w:val="18"/>
          <w:szCs w:val="18"/>
        </w:rPr>
      </w:pPr>
      <w:r w:rsidRPr="000279A4">
        <w:rPr>
          <w:sz w:val="18"/>
        </w:rPr>
        <w:t>“</w:t>
      </w:r>
      <w:r w:rsidRPr="00F1554A">
        <w:rPr>
          <w:sz w:val="18"/>
          <w:szCs w:val="18"/>
        </w:rPr>
        <w:t>3.3.1</w:t>
      </w:r>
      <w:r w:rsidRPr="00F1554A">
        <w:rPr>
          <w:sz w:val="18"/>
          <w:szCs w:val="18"/>
        </w:rPr>
        <w:tab/>
        <w:t>Existen numerosos aspectos de las directrices de examen acerca de los cuales la experiencia y los conocimientos del redactor son necesarios para elaborar las directrices de examen.</w:t>
      </w:r>
      <w:r>
        <w:rPr>
          <w:sz w:val="18"/>
          <w:szCs w:val="18"/>
        </w:rPr>
        <w:t xml:space="preserve"> </w:t>
      </w:r>
      <w:r w:rsidRPr="00F1554A">
        <w:rPr>
          <w:sz w:val="18"/>
          <w:szCs w:val="18"/>
        </w:rPr>
        <w:t>Entre ellos se encuentran la selección de los ASW apropiados, el diseño de ensayo, la identificación de caracteres y la selección de variedades ejemplo.</w:t>
      </w:r>
      <w:r>
        <w:rPr>
          <w:sz w:val="18"/>
          <w:szCs w:val="18"/>
        </w:rPr>
        <w:t xml:space="preserve"> </w:t>
      </w:r>
      <w:r w:rsidRPr="00F1554A">
        <w:rPr>
          <w:sz w:val="18"/>
          <w:szCs w:val="18"/>
        </w:rPr>
        <w:t xml:space="preserve">En dichas situaciones se suministran orientaciones generales acerca del modo de proceder de manera armonizada, de conformidad con la experiencia acumulada por la UPOV por medio de sus expertos en cultivos gracias a una serie de notas orientativas que figuran como Anexo 3 “Notas orientativas </w:t>
      </w:r>
      <w:r w:rsidRPr="00F1554A">
        <w:rPr>
          <w:strike/>
          <w:sz w:val="18"/>
          <w:szCs w:val="18"/>
          <w:highlight w:val="lightGray"/>
        </w:rPr>
        <w:t>sobre la plantilla de los documentos TG</w:t>
      </w:r>
      <w:r w:rsidRPr="00F1554A">
        <w:rPr>
          <w:sz w:val="18"/>
          <w:szCs w:val="18"/>
        </w:rPr>
        <w:t>”.</w:t>
      </w:r>
    </w:p>
    <w:p w:rsidR="002008AA" w:rsidRPr="00F1554A" w:rsidRDefault="002008AA" w:rsidP="002008AA">
      <w:pPr>
        <w:ind w:left="567"/>
        <w:rPr>
          <w:sz w:val="18"/>
          <w:szCs w:val="18"/>
        </w:rPr>
      </w:pPr>
    </w:p>
    <w:p w:rsidR="002008AA" w:rsidRPr="00F1554A" w:rsidRDefault="002008AA" w:rsidP="009149F1">
      <w:pPr>
        <w:ind w:left="567" w:right="567"/>
        <w:rPr>
          <w:sz w:val="18"/>
          <w:szCs w:val="18"/>
        </w:rPr>
      </w:pPr>
      <w:r w:rsidRPr="000279A4">
        <w:rPr>
          <w:sz w:val="18"/>
        </w:rPr>
        <w:t>“</w:t>
      </w:r>
      <w:r w:rsidRPr="00F1554A">
        <w:rPr>
          <w:sz w:val="18"/>
          <w:szCs w:val="18"/>
        </w:rPr>
        <w:t>3.3.2</w:t>
      </w:r>
      <w:r w:rsidRPr="00F1554A">
        <w:rPr>
          <w:sz w:val="18"/>
          <w:szCs w:val="18"/>
        </w:rPr>
        <w:tab/>
        <w:t xml:space="preserve">Cuando se disponga de dicha orientación para los redactores, se destacará en el lugar apropiado </w:t>
      </w:r>
      <w:r w:rsidRPr="00F1554A">
        <w:rPr>
          <w:strike/>
          <w:sz w:val="18"/>
          <w:szCs w:val="18"/>
          <w:highlight w:val="lightGray"/>
        </w:rPr>
        <w:t>de la plantilla de los documentos TG</w:t>
      </w:r>
      <w:r w:rsidRPr="00F1554A">
        <w:rPr>
          <w:sz w:val="18"/>
          <w:szCs w:val="18"/>
        </w:rPr>
        <w:t xml:space="preserve"> </w:t>
      </w:r>
      <w:r w:rsidRPr="00F1554A">
        <w:rPr>
          <w:sz w:val="18"/>
          <w:szCs w:val="18"/>
          <w:highlight w:val="lightGray"/>
          <w:u w:val="single"/>
        </w:rPr>
        <w:t>del Anexo I</w:t>
      </w:r>
      <w:r w:rsidRPr="00F1554A">
        <w:rPr>
          <w:sz w:val="18"/>
          <w:szCs w:val="18"/>
        </w:rPr>
        <w:t xml:space="preserve"> el texto insertado, por ejemplo:</w:t>
      </w:r>
    </w:p>
    <w:p w:rsidR="002008AA" w:rsidRPr="00F1554A" w:rsidRDefault="002008AA" w:rsidP="009149F1">
      <w:pPr>
        <w:ind w:left="567" w:right="567"/>
        <w:rPr>
          <w:sz w:val="18"/>
          <w:szCs w:val="18"/>
        </w:rPr>
      </w:pPr>
    </w:p>
    <w:p w:rsidR="002008AA" w:rsidRPr="00F1554A" w:rsidRDefault="002008AA" w:rsidP="009149F1">
      <w:pPr>
        <w:ind w:left="567" w:right="567"/>
        <w:rPr>
          <w:sz w:val="18"/>
          <w:szCs w:val="18"/>
        </w:rPr>
      </w:pPr>
      <w:r w:rsidRPr="00F1554A">
        <w:rPr>
          <w:sz w:val="18"/>
          <w:szCs w:val="18"/>
        </w:rPr>
        <w:t>“{</w:t>
      </w:r>
      <w:r w:rsidRPr="00F1554A">
        <w:rPr>
          <w:sz w:val="18"/>
          <w:szCs w:val="18"/>
          <w:bdr w:val="single" w:sz="12" w:space="0" w:color="auto"/>
        </w:rPr>
        <w:t xml:space="preserve"> </w:t>
      </w:r>
      <w:r w:rsidRPr="00F1554A">
        <w:rPr>
          <w:sz w:val="18"/>
          <w:szCs w:val="18"/>
          <w:highlight w:val="lightGray"/>
          <w:bdr w:val="single" w:sz="12" w:space="0" w:color="auto"/>
        </w:rPr>
        <w:t>GN</w:t>
      </w:r>
      <w:r w:rsidRPr="00F1554A">
        <w:rPr>
          <w:sz w:val="18"/>
          <w:szCs w:val="18"/>
          <w:bdr w:val="single" w:sz="12" w:space="0" w:color="auto"/>
        </w:rPr>
        <w:t> 5</w:t>
      </w:r>
      <w:r w:rsidRPr="00F1554A">
        <w:rPr>
          <w:sz w:val="18"/>
          <w:szCs w:val="18"/>
        </w:rPr>
        <w:t xml:space="preserve"> (Plantilla de los documentos TG:</w:t>
      </w:r>
      <w:r>
        <w:rPr>
          <w:sz w:val="18"/>
          <w:szCs w:val="18"/>
        </w:rPr>
        <w:t xml:space="preserve"> </w:t>
      </w:r>
      <w:r w:rsidRPr="00F1554A">
        <w:rPr>
          <w:sz w:val="18"/>
          <w:szCs w:val="18"/>
        </w:rPr>
        <w:t>sección 1.1) – Objeto de las directrices de examen:</w:t>
      </w:r>
      <w:r>
        <w:rPr>
          <w:sz w:val="18"/>
          <w:szCs w:val="18"/>
        </w:rPr>
        <w:t xml:space="preserve"> </w:t>
      </w:r>
      <w:r w:rsidRPr="00F1554A">
        <w:rPr>
          <w:sz w:val="18"/>
          <w:szCs w:val="18"/>
        </w:rPr>
        <w:t>Nombre de la familia}”</w:t>
      </w:r>
    </w:p>
    <w:p w:rsidR="002008AA" w:rsidRPr="0025273B" w:rsidRDefault="002008AA" w:rsidP="002008AA">
      <w:pPr>
        <w:pStyle w:val="ListParagraph"/>
        <w:ind w:left="0"/>
        <w:rPr>
          <w:sz w:val="18"/>
          <w:szCs w:val="18"/>
        </w:rPr>
      </w:pPr>
    </w:p>
    <w:p w:rsidR="002008AA" w:rsidRPr="001375EC" w:rsidRDefault="002008AA" w:rsidP="002008AA">
      <w:pPr>
        <w:ind w:left="567"/>
        <w:rPr>
          <w:sz w:val="18"/>
          <w:u w:val="single"/>
        </w:rPr>
      </w:pPr>
      <w:bookmarkStart w:id="15" w:name="_Toc477517498"/>
      <w:r w:rsidRPr="001375EC">
        <w:rPr>
          <w:sz w:val="18"/>
          <w:highlight w:val="lightGray"/>
        </w:rPr>
        <w:t>3.4</w:t>
      </w:r>
      <w:r w:rsidRPr="001375EC">
        <w:rPr>
          <w:sz w:val="18"/>
          <w:highlight w:val="lightGray"/>
        </w:rPr>
        <w:tab/>
      </w:r>
      <w:r w:rsidRPr="001375EC">
        <w:rPr>
          <w:sz w:val="18"/>
          <w:highlight w:val="lightGray"/>
          <w:lang w:val="es-ES_tradnl"/>
        </w:rPr>
        <w:t>[Plantilla en Internet de los documentos TG]</w:t>
      </w:r>
      <w:bookmarkEnd w:id="15"/>
    </w:p>
    <w:p w:rsidR="002008AA" w:rsidRPr="0025273B" w:rsidRDefault="002008AA" w:rsidP="002008AA">
      <w:pPr>
        <w:pStyle w:val="ListParagraph"/>
        <w:ind w:left="0"/>
        <w:rPr>
          <w:sz w:val="18"/>
          <w:szCs w:val="18"/>
        </w:rPr>
      </w:pPr>
    </w:p>
    <w:p w:rsidR="002008AA" w:rsidRPr="0025273B" w:rsidRDefault="002008AA" w:rsidP="009149F1">
      <w:pPr>
        <w:pStyle w:val="ListParagraph"/>
        <w:ind w:left="567" w:right="567"/>
        <w:rPr>
          <w:sz w:val="18"/>
          <w:szCs w:val="18"/>
          <w:u w:val="single"/>
        </w:rPr>
      </w:pPr>
      <w:r w:rsidRPr="0025273B">
        <w:rPr>
          <w:sz w:val="18"/>
          <w:szCs w:val="18"/>
          <w:highlight w:val="lightGray"/>
          <w:u w:val="single"/>
        </w:rPr>
        <w:t>3.4.1</w:t>
      </w:r>
      <w:r w:rsidRPr="0025273B">
        <w:rPr>
          <w:sz w:val="18"/>
          <w:szCs w:val="18"/>
          <w:highlight w:val="lightGray"/>
          <w:u w:val="single"/>
        </w:rPr>
        <w:tab/>
      </w:r>
      <w:r w:rsidRPr="00F1554A">
        <w:rPr>
          <w:sz w:val="18"/>
          <w:szCs w:val="18"/>
          <w:highlight w:val="lightGray"/>
          <w:u w:val="single"/>
          <w:lang w:val="es-ES_tradnl"/>
        </w:rPr>
        <w:t>La UPOV ha desarrollado la plantilla en Internet de los documentos TG (véase:</w:t>
      </w:r>
      <w:r>
        <w:rPr>
          <w:sz w:val="18"/>
          <w:szCs w:val="18"/>
          <w:highlight w:val="lightGray"/>
          <w:u w:val="single"/>
          <w:lang w:val="es-ES_tradnl"/>
        </w:rPr>
        <w:t xml:space="preserve"> </w:t>
      </w:r>
      <w:r w:rsidRPr="00F1554A">
        <w:rPr>
          <w:sz w:val="18"/>
          <w:szCs w:val="18"/>
          <w:highlight w:val="lightGray"/>
          <w:u w:val="single"/>
          <w:lang w:val="es-ES_tradnl"/>
        </w:rPr>
        <w:t>https://www3.wipo.int/upovtg/) con el objeto de aplicar las orientaciones para elaborar directrices de examen que se ofrecen en el documento TGP/7.</w:t>
      </w:r>
      <w:r w:rsidRPr="0025273B">
        <w:rPr>
          <w:sz w:val="18"/>
          <w:szCs w:val="18"/>
          <w:u w:val="single"/>
        </w:rPr>
        <w:t xml:space="preserve"> </w:t>
      </w:r>
    </w:p>
    <w:p w:rsidR="002008AA" w:rsidRPr="0025273B" w:rsidRDefault="002008AA" w:rsidP="002008AA">
      <w:pPr>
        <w:pStyle w:val="ListParagraph"/>
        <w:ind w:left="0"/>
        <w:rPr>
          <w:sz w:val="18"/>
          <w:szCs w:val="18"/>
        </w:rPr>
      </w:pPr>
    </w:p>
    <w:p w:rsidR="002008AA" w:rsidRPr="0025273B" w:rsidRDefault="002008AA" w:rsidP="002008AA">
      <w:pPr>
        <w:pStyle w:val="ListParagraph"/>
        <w:ind w:left="0"/>
        <w:rPr>
          <w:sz w:val="18"/>
          <w:szCs w:val="18"/>
        </w:rPr>
      </w:pPr>
    </w:p>
    <w:p w:rsidR="002008AA" w:rsidRPr="00EC708A" w:rsidRDefault="002008AA" w:rsidP="002008AA">
      <w:pPr>
        <w:rPr>
          <w:u w:val="single"/>
        </w:rPr>
      </w:pPr>
      <w:bookmarkStart w:id="16" w:name="_Toc477517499"/>
      <w:r w:rsidRPr="00EC708A">
        <w:rPr>
          <w:u w:val="single"/>
        </w:rPr>
        <w:t>Capítulo 4: Elaboración de directrices de examen propias de cada autoridad</w:t>
      </w:r>
      <w:bookmarkEnd w:id="16"/>
    </w:p>
    <w:p w:rsidR="002008AA" w:rsidRPr="00EC708A" w:rsidRDefault="002008AA" w:rsidP="002008AA">
      <w:pPr>
        <w:ind w:left="567"/>
        <w:rPr>
          <w:sz w:val="18"/>
        </w:rPr>
      </w:pPr>
    </w:p>
    <w:p w:rsidR="002008AA" w:rsidRPr="00E04EB4" w:rsidRDefault="002008AA" w:rsidP="002008AA">
      <w:pPr>
        <w:ind w:left="567"/>
        <w:rPr>
          <w:sz w:val="18"/>
        </w:rPr>
      </w:pPr>
      <w:bookmarkStart w:id="17" w:name="_Toc477517500"/>
      <w:r w:rsidRPr="00E04EB4">
        <w:rPr>
          <w:sz w:val="18"/>
        </w:rPr>
        <w:t>[…]</w:t>
      </w:r>
    </w:p>
    <w:p w:rsidR="002008AA" w:rsidRPr="00E04EB4" w:rsidRDefault="002008AA" w:rsidP="002008AA">
      <w:pPr>
        <w:ind w:left="567"/>
        <w:rPr>
          <w:sz w:val="18"/>
        </w:rPr>
      </w:pPr>
    </w:p>
    <w:p w:rsidR="002008AA" w:rsidRPr="00E04EB4" w:rsidRDefault="002008AA" w:rsidP="009149F1">
      <w:pPr>
        <w:ind w:left="567" w:right="567"/>
        <w:rPr>
          <w:sz w:val="18"/>
        </w:rPr>
      </w:pPr>
      <w:r w:rsidRPr="00E04EB4">
        <w:rPr>
          <w:sz w:val="18"/>
        </w:rPr>
        <w:t xml:space="preserve">4.3 </w:t>
      </w:r>
      <w:r w:rsidRPr="00E04EB4">
        <w:rPr>
          <w:strike/>
          <w:sz w:val="18"/>
          <w:highlight w:val="lightGray"/>
          <w:lang w:val="es-ES_tradnl"/>
        </w:rPr>
        <w:t>Carpeta de material para los redactores de directrices de examen</w:t>
      </w:r>
      <w:r w:rsidRPr="00E04EB4">
        <w:rPr>
          <w:sz w:val="18"/>
          <w:lang w:val="es-ES_tradnl"/>
        </w:rPr>
        <w:t xml:space="preserve"> </w:t>
      </w:r>
      <w:r w:rsidRPr="00E04EB4">
        <w:rPr>
          <w:sz w:val="18"/>
          <w:highlight w:val="lightGray"/>
          <w:lang w:val="es-ES_tradnl"/>
        </w:rPr>
        <w:t>Orientaciones para los redactores de directrices de examen propias de cada autoridad</w:t>
      </w:r>
      <w:bookmarkEnd w:id="17"/>
    </w:p>
    <w:p w:rsidR="002008AA" w:rsidRPr="00E04EB4" w:rsidRDefault="002008AA" w:rsidP="009149F1">
      <w:pPr>
        <w:ind w:left="567" w:right="567"/>
        <w:rPr>
          <w:sz w:val="16"/>
          <w:szCs w:val="18"/>
        </w:rPr>
      </w:pPr>
    </w:p>
    <w:p w:rsidR="002008AA" w:rsidRDefault="002008AA" w:rsidP="009149F1">
      <w:pPr>
        <w:pStyle w:val="ListParagraph"/>
        <w:ind w:left="567" w:right="567"/>
        <w:rPr>
          <w:sz w:val="18"/>
          <w:szCs w:val="18"/>
        </w:rPr>
      </w:pPr>
      <w:r w:rsidRPr="0025273B">
        <w:rPr>
          <w:sz w:val="18"/>
          <w:szCs w:val="18"/>
        </w:rPr>
        <w:t>“</w:t>
      </w:r>
      <w:r w:rsidRPr="00F1554A">
        <w:rPr>
          <w:sz w:val="18"/>
          <w:szCs w:val="18"/>
          <w:lang w:val="es-ES_tradnl"/>
        </w:rPr>
        <w:t xml:space="preserve">Con objeto de prestar asistencia a las autoridades en la redacción de las respectivas directrices de examen, la UPOV ha previsto cierta información práctica en </w:t>
      </w:r>
      <w:r w:rsidRPr="00F1554A">
        <w:rPr>
          <w:strike/>
          <w:sz w:val="18"/>
          <w:szCs w:val="18"/>
          <w:highlight w:val="lightGray"/>
          <w:lang w:val="es-ES_tradnl"/>
        </w:rPr>
        <w:t>la zona de acceso restringido de</w:t>
      </w:r>
      <w:r w:rsidRPr="00F1554A">
        <w:rPr>
          <w:sz w:val="18"/>
          <w:szCs w:val="18"/>
          <w:lang w:val="es-ES_tradnl"/>
        </w:rPr>
        <w:t xml:space="preserve"> su sitio Web (</w:t>
      </w:r>
      <w:hyperlink r:id="rId12" w:history="1">
        <w:r w:rsidRPr="00F1554A">
          <w:rPr>
            <w:rStyle w:val="Hyperlink"/>
            <w:strike/>
            <w:sz w:val="18"/>
            <w:szCs w:val="18"/>
            <w:highlight w:val="lightGray"/>
            <w:lang w:val="es-ES_tradnl"/>
          </w:rPr>
          <w:t>http://www.upov.int/restricted_temporary/twptg/es/drafters_kit.html</w:t>
        </w:r>
      </w:hyperlink>
      <w:r w:rsidRPr="00F1554A">
        <w:rPr>
          <w:strike/>
          <w:sz w:val="18"/>
          <w:szCs w:val="18"/>
          <w:lang w:val="es-ES_tradnl"/>
        </w:rPr>
        <w:t xml:space="preserve"> </w:t>
      </w:r>
      <w:r w:rsidRPr="00F1554A">
        <w:rPr>
          <w:sz w:val="18"/>
          <w:szCs w:val="18"/>
          <w:highlight w:val="lightGray"/>
          <w:u w:val="single"/>
          <w:lang w:val="es-ES_tradnl"/>
        </w:rPr>
        <w:t>http://www.upov.int/resource/es/dus_guidance.html</w:t>
      </w:r>
      <w:r w:rsidRPr="00F1554A">
        <w:rPr>
          <w:sz w:val="18"/>
          <w:szCs w:val="18"/>
          <w:lang w:val="es-ES_tradnl"/>
        </w:rPr>
        <w:t xml:space="preserve">) </w:t>
      </w:r>
      <w:r w:rsidRPr="00F1554A">
        <w:rPr>
          <w:strike/>
          <w:sz w:val="18"/>
          <w:szCs w:val="18"/>
          <w:highlight w:val="lightGray"/>
          <w:lang w:val="es-ES_tradnl"/>
        </w:rPr>
        <w:t>en forma de una “Carpeta de material para los redactores de directrices de examen”.</w:t>
      </w:r>
      <w:r w:rsidRPr="0025273B">
        <w:rPr>
          <w:strike/>
          <w:sz w:val="18"/>
          <w:szCs w:val="18"/>
          <w:highlight w:val="lightGray"/>
        </w:rPr>
        <w:t xml:space="preserve"> </w:t>
      </w:r>
      <w:r w:rsidRPr="00F1554A">
        <w:rPr>
          <w:strike/>
          <w:sz w:val="18"/>
          <w:szCs w:val="18"/>
          <w:highlight w:val="lightGray"/>
          <w:lang w:val="es-ES_tradnl"/>
        </w:rPr>
        <w:t>Con objeto de prestar asistencia a las diferentes autoridades a convertir las directrices de examen en un formato adecuado para su utilización</w:t>
      </w:r>
      <w:r w:rsidRPr="00F1554A">
        <w:rPr>
          <w:sz w:val="18"/>
          <w:szCs w:val="18"/>
          <w:highlight w:val="lightGray"/>
          <w:lang w:val="es-ES_tradnl"/>
        </w:rPr>
        <w:t xml:space="preserve">, </w:t>
      </w:r>
      <w:r w:rsidRPr="00F1554A">
        <w:rPr>
          <w:sz w:val="18"/>
          <w:szCs w:val="18"/>
          <w:highlight w:val="lightGray"/>
          <w:u w:val="single"/>
          <w:lang w:val="es-ES_tradnl"/>
        </w:rPr>
        <w:t>incluidas</w:t>
      </w:r>
      <w:r w:rsidRPr="00F1554A">
        <w:rPr>
          <w:sz w:val="18"/>
          <w:szCs w:val="18"/>
          <w:lang w:val="es-ES_tradnl"/>
        </w:rPr>
        <w:t xml:space="preserve"> todas las </w:t>
      </w:r>
      <w:r w:rsidRPr="00F1554A">
        <w:rPr>
          <w:sz w:val="18"/>
          <w:szCs w:val="18"/>
          <w:lang w:val="es-ES_tradnl"/>
        </w:rPr>
        <w:lastRenderedPageBreak/>
        <w:t xml:space="preserve">Directrices de Examen aprobadas </w:t>
      </w:r>
      <w:r w:rsidRPr="00F1554A">
        <w:rPr>
          <w:strike/>
          <w:sz w:val="18"/>
          <w:szCs w:val="18"/>
          <w:highlight w:val="lightGray"/>
          <w:lang w:val="es-ES_tradnl"/>
        </w:rPr>
        <w:t>se han publicado</w:t>
      </w:r>
      <w:r w:rsidRPr="00F1554A">
        <w:rPr>
          <w:sz w:val="18"/>
          <w:szCs w:val="18"/>
          <w:lang w:val="es-ES_tradnl"/>
        </w:rPr>
        <w:t xml:space="preserve"> en formato Word.</w:t>
      </w:r>
      <w:r w:rsidRPr="0025273B">
        <w:rPr>
          <w:sz w:val="18"/>
          <w:szCs w:val="18"/>
        </w:rPr>
        <w:t xml:space="preserve"> </w:t>
      </w:r>
      <w:r w:rsidRPr="00F1554A">
        <w:rPr>
          <w:sz w:val="18"/>
          <w:szCs w:val="18"/>
          <w:highlight w:val="lightGray"/>
          <w:u w:val="single"/>
          <w:lang w:val="es-ES_tradnl"/>
        </w:rPr>
        <w:t>También se proporcionan los caracteres y niveles de expresión adicionales notificados a la Oficina de la Unión de conformidad con la Sección 10 “Notificación de caracteres y niveles de expresión adicionales” del documento TGP/5.</w:t>
      </w:r>
      <w:r w:rsidRPr="0025273B">
        <w:rPr>
          <w:sz w:val="18"/>
          <w:szCs w:val="18"/>
        </w:rPr>
        <w:t xml:space="preserve"> </w:t>
      </w:r>
      <w:r w:rsidRPr="00F1554A">
        <w:rPr>
          <w:strike/>
          <w:sz w:val="18"/>
          <w:szCs w:val="18"/>
          <w:highlight w:val="lightGray"/>
          <w:lang w:val="es-ES_tradnl"/>
        </w:rPr>
        <w:t>Para facilitar la elaboración de directrices de examen propias a cada autoridad en ausencia de directrices de examen de la UPOV, esa documentación contiene en particular una versión electrónica de la plantilla de los documentos TG (documento TGP/7, Anexo 1) y la “Colección de caracteres aprobados” (documento TGP/7, Anexo 4).</w:t>
      </w:r>
      <w:r w:rsidRPr="0025273B">
        <w:rPr>
          <w:sz w:val="18"/>
          <w:szCs w:val="18"/>
        </w:rPr>
        <w:t>”</w:t>
      </w:r>
    </w:p>
    <w:p w:rsidR="002008AA" w:rsidRPr="00EC708A" w:rsidRDefault="002008AA" w:rsidP="002008AA"/>
    <w:p w:rsidR="002008AA" w:rsidRPr="00EC708A" w:rsidRDefault="002008AA" w:rsidP="002008AA"/>
    <w:p w:rsidR="002008AA" w:rsidRPr="00EC708A" w:rsidRDefault="002008AA" w:rsidP="002008AA">
      <w:pPr>
        <w:keepNext/>
        <w:rPr>
          <w:u w:val="single"/>
        </w:rPr>
      </w:pPr>
      <w:bookmarkStart w:id="18" w:name="_Toc477517501"/>
      <w:r w:rsidRPr="00EC708A">
        <w:rPr>
          <w:u w:val="single"/>
        </w:rPr>
        <w:t xml:space="preserve">Anexo 1: La </w:t>
      </w:r>
      <w:r w:rsidRPr="00EC708A">
        <w:rPr>
          <w:strike/>
          <w:highlight w:val="lightGray"/>
          <w:u w:val="single"/>
        </w:rPr>
        <w:t>plantilla</w:t>
      </w:r>
      <w:r w:rsidRPr="00EC708A">
        <w:rPr>
          <w:u w:val="single"/>
        </w:rPr>
        <w:t xml:space="preserve"> </w:t>
      </w:r>
      <w:r w:rsidRPr="00EC708A">
        <w:rPr>
          <w:highlight w:val="lightGray"/>
          <w:u w:val="single"/>
        </w:rPr>
        <w:t>estructura y el texto estándar universal</w:t>
      </w:r>
      <w:r w:rsidRPr="00EC708A">
        <w:rPr>
          <w:u w:val="single"/>
        </w:rPr>
        <w:t xml:space="preserve"> de los documentos TG</w:t>
      </w:r>
      <w:bookmarkEnd w:id="18"/>
    </w:p>
    <w:p w:rsidR="002008AA" w:rsidRPr="00EC708A" w:rsidRDefault="002008AA" w:rsidP="002008AA">
      <w:pPr>
        <w:keepNext/>
        <w:rPr>
          <w:sz w:val="18"/>
          <w:szCs w:val="18"/>
        </w:rPr>
      </w:pPr>
    </w:p>
    <w:p w:rsidR="002008AA" w:rsidRPr="00EC708A" w:rsidRDefault="002008AA" w:rsidP="002008AA">
      <w:pPr>
        <w:keepNext/>
        <w:ind w:left="567"/>
        <w:rPr>
          <w:sz w:val="18"/>
          <w:szCs w:val="18"/>
        </w:rPr>
      </w:pPr>
      <w:r w:rsidRPr="00EC708A">
        <w:rPr>
          <w:sz w:val="18"/>
          <w:szCs w:val="18"/>
        </w:rPr>
        <w:t>[…]</w:t>
      </w:r>
    </w:p>
    <w:p w:rsidR="002008AA" w:rsidRPr="00EC708A" w:rsidRDefault="002008AA" w:rsidP="002008AA">
      <w:pPr>
        <w:keepNext/>
        <w:rPr>
          <w:sz w:val="18"/>
          <w:szCs w:val="18"/>
        </w:rPr>
      </w:pPr>
    </w:p>
    <w:p w:rsidR="002008AA" w:rsidRPr="00EC708A" w:rsidRDefault="002008AA" w:rsidP="002008AA">
      <w:pPr>
        <w:keepNext/>
        <w:tabs>
          <w:tab w:val="left" w:pos="567"/>
          <w:tab w:val="left" w:pos="1418"/>
        </w:tabs>
        <w:rPr>
          <w:sz w:val="18"/>
          <w:szCs w:val="18"/>
        </w:rPr>
      </w:pPr>
      <w:r w:rsidRPr="00EC708A">
        <w:rPr>
          <w:sz w:val="18"/>
          <w:szCs w:val="18"/>
        </w:rPr>
        <w:tab/>
        <w:t>4.1.5</w:t>
      </w:r>
      <w:r w:rsidRPr="00EC708A">
        <w:rPr>
          <w:sz w:val="18"/>
          <w:szCs w:val="18"/>
        </w:rPr>
        <w:tab/>
        <w:t xml:space="preserve">Método de observación </w:t>
      </w:r>
    </w:p>
    <w:p w:rsidR="002008AA" w:rsidRPr="00EC708A" w:rsidRDefault="002008AA" w:rsidP="002008AA">
      <w:pPr>
        <w:keepNext/>
        <w:rPr>
          <w:sz w:val="18"/>
          <w:szCs w:val="18"/>
        </w:rPr>
      </w:pPr>
    </w:p>
    <w:p w:rsidR="002008AA" w:rsidRPr="00EC708A" w:rsidRDefault="002008AA" w:rsidP="009149F1">
      <w:pPr>
        <w:ind w:left="567" w:right="567"/>
        <w:rPr>
          <w:sz w:val="18"/>
          <w:szCs w:val="18"/>
        </w:rPr>
      </w:pPr>
      <w:r w:rsidRPr="00EC708A">
        <w:rPr>
          <w:sz w:val="18"/>
          <w:szCs w:val="18"/>
        </w:rPr>
        <w:t xml:space="preserve">“El método recomendado para observar los caracteres a los fines del examen de la distinción se indica en </w:t>
      </w:r>
      <w:r w:rsidRPr="00EC708A">
        <w:rPr>
          <w:strike/>
          <w:sz w:val="18"/>
          <w:szCs w:val="18"/>
          <w:highlight w:val="lightGray"/>
        </w:rPr>
        <w:t>la segunda columna de</w:t>
      </w:r>
      <w:r w:rsidRPr="00EC708A">
        <w:rPr>
          <w:sz w:val="18"/>
          <w:szCs w:val="18"/>
        </w:rPr>
        <w:t xml:space="preserve"> la tabla de caracteres mediante la siguiente clave (véase el documento TGP/9 “Examen de la distinción”, sección 4 “Observación de los caracteres”):”</w:t>
      </w:r>
    </w:p>
    <w:p w:rsidR="002008AA" w:rsidRPr="00EC708A" w:rsidRDefault="002008AA" w:rsidP="002008AA">
      <w:pPr>
        <w:rPr>
          <w:sz w:val="18"/>
          <w:szCs w:val="18"/>
        </w:rPr>
      </w:pPr>
    </w:p>
    <w:p w:rsidR="002008AA" w:rsidRPr="00EC708A" w:rsidRDefault="002008AA" w:rsidP="002008AA">
      <w:pPr>
        <w:ind w:left="567"/>
        <w:rPr>
          <w:sz w:val="18"/>
          <w:szCs w:val="18"/>
        </w:rPr>
      </w:pPr>
      <w:r w:rsidRPr="00EC708A">
        <w:rPr>
          <w:sz w:val="18"/>
          <w:szCs w:val="18"/>
        </w:rPr>
        <w:t>[…]</w:t>
      </w:r>
    </w:p>
    <w:p w:rsidR="002008AA" w:rsidRPr="00EC708A" w:rsidRDefault="002008AA" w:rsidP="002008AA">
      <w:pPr>
        <w:rPr>
          <w:sz w:val="18"/>
          <w:szCs w:val="18"/>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2008AA" w:rsidRPr="006656DD" w:rsidTr="008A29E5">
        <w:trPr>
          <w:cantSplit/>
          <w:tblHeader/>
          <w:jc w:val="center"/>
        </w:trPr>
        <w:tc>
          <w:tcPr>
            <w:tcW w:w="1441" w:type="dxa"/>
            <w:tcBorders>
              <w:bottom w:val="single" w:sz="24" w:space="0" w:color="auto"/>
            </w:tcBorders>
          </w:tcPr>
          <w:p w:rsidR="002008AA" w:rsidRPr="006656DD" w:rsidRDefault="002008AA" w:rsidP="008A29E5">
            <w:pPr>
              <w:pStyle w:val="Normalt"/>
              <w:rPr>
                <w:rFonts w:ascii="Arial" w:hAnsi="Arial" w:cs="Arial"/>
                <w:strike/>
                <w:noProof/>
                <w:sz w:val="16"/>
                <w:szCs w:val="16"/>
              </w:rPr>
            </w:pPr>
            <w:r w:rsidRPr="006656DD">
              <w:rPr>
                <w:rFonts w:ascii="Arial" w:hAnsi="Arial" w:cs="Arial"/>
                <w:strike/>
                <w:noProof/>
                <w:sz w:val="16"/>
                <w:szCs w:val="16"/>
              </w:rPr>
              <w:br/>
              <w:t xml:space="preserve"> </w:t>
            </w:r>
          </w:p>
        </w:tc>
        <w:tc>
          <w:tcPr>
            <w:tcW w:w="1636" w:type="dxa"/>
            <w:tcBorders>
              <w:bottom w:val="single" w:sz="24" w:space="0" w:color="auto"/>
            </w:tcBorders>
          </w:tcPr>
          <w:p w:rsidR="002008AA" w:rsidRPr="006656DD" w:rsidRDefault="002008AA" w:rsidP="008A29E5">
            <w:pPr>
              <w:pStyle w:val="Normalt"/>
              <w:rPr>
                <w:rFonts w:ascii="Arial" w:hAnsi="Arial" w:cs="Arial"/>
                <w:i/>
                <w:iCs/>
                <w:strike/>
                <w:noProof/>
                <w:sz w:val="16"/>
                <w:szCs w:val="16"/>
              </w:rPr>
            </w:pPr>
            <w:r w:rsidRPr="006656DD">
              <w:rPr>
                <w:rFonts w:ascii="Arial" w:hAnsi="Arial" w:cs="Arial"/>
                <w:strike/>
                <w:noProof/>
                <w:sz w:val="16"/>
                <w:szCs w:val="16"/>
              </w:rPr>
              <w:br/>
            </w:r>
          </w:p>
        </w:tc>
        <w:tc>
          <w:tcPr>
            <w:tcW w:w="1322" w:type="dxa"/>
            <w:tcBorders>
              <w:bottom w:val="single" w:sz="24" w:space="0" w:color="auto"/>
            </w:tcBorders>
          </w:tcPr>
          <w:p w:rsidR="002008AA" w:rsidRPr="006656DD" w:rsidRDefault="002008AA" w:rsidP="008A29E5">
            <w:pPr>
              <w:pStyle w:val="Normalt"/>
              <w:rPr>
                <w:rFonts w:ascii="Arial" w:hAnsi="Arial" w:cs="Arial"/>
                <w:strike/>
                <w:noProof/>
                <w:sz w:val="16"/>
                <w:szCs w:val="16"/>
                <w:highlight w:val="lightGray"/>
              </w:rPr>
            </w:pPr>
            <w:r w:rsidRPr="006656DD">
              <w:rPr>
                <w:rFonts w:ascii="Arial" w:hAnsi="Arial" w:cs="Arial"/>
                <w:strike/>
                <w:noProof/>
                <w:sz w:val="16"/>
                <w:szCs w:val="16"/>
              </w:rPr>
              <w:br/>
            </w:r>
            <w:r w:rsidRPr="00A3629A">
              <w:rPr>
                <w:rFonts w:ascii="Arial" w:hAnsi="Arial" w:cs="Arial"/>
                <w:strike/>
                <w:noProof/>
                <w:sz w:val="16"/>
                <w:szCs w:val="16"/>
                <w:highlight w:val="lightGray"/>
              </w:rPr>
              <w:t>English</w:t>
            </w:r>
          </w:p>
        </w:tc>
        <w:tc>
          <w:tcPr>
            <w:tcW w:w="1402" w:type="dxa"/>
            <w:tcBorders>
              <w:bottom w:val="single" w:sz="24" w:space="0" w:color="auto"/>
            </w:tcBorders>
          </w:tcPr>
          <w:p w:rsidR="002008AA" w:rsidRPr="006656DD" w:rsidRDefault="002008AA" w:rsidP="008A29E5">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français</w:t>
            </w:r>
          </w:p>
        </w:tc>
        <w:tc>
          <w:tcPr>
            <w:tcW w:w="1402" w:type="dxa"/>
            <w:tcBorders>
              <w:bottom w:val="single" w:sz="24" w:space="0" w:color="auto"/>
            </w:tcBorders>
          </w:tcPr>
          <w:p w:rsidR="002008AA" w:rsidRPr="006656DD" w:rsidRDefault="002008AA" w:rsidP="008A29E5">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deutsch</w:t>
            </w:r>
          </w:p>
        </w:tc>
        <w:tc>
          <w:tcPr>
            <w:tcW w:w="1402" w:type="dxa"/>
            <w:tcBorders>
              <w:bottom w:val="single" w:sz="24" w:space="0" w:color="auto"/>
            </w:tcBorders>
          </w:tcPr>
          <w:p w:rsidR="002008AA" w:rsidRPr="006656DD" w:rsidRDefault="002008AA" w:rsidP="008A29E5">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español</w:t>
            </w:r>
          </w:p>
        </w:tc>
        <w:tc>
          <w:tcPr>
            <w:tcW w:w="1418" w:type="dxa"/>
            <w:tcBorders>
              <w:bottom w:val="single" w:sz="24" w:space="0" w:color="auto"/>
            </w:tcBorders>
          </w:tcPr>
          <w:p w:rsidR="002008AA" w:rsidRPr="006656DD" w:rsidRDefault="002008AA" w:rsidP="008A29E5">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t>Example Varieties/</w:t>
            </w:r>
            <w:r w:rsidRPr="006656DD">
              <w:rPr>
                <w:rFonts w:ascii="Arial" w:hAnsi="Arial" w:cs="Arial"/>
                <w:strike/>
                <w:noProof/>
                <w:sz w:val="16"/>
                <w:szCs w:val="16"/>
                <w:highlight w:val="lightGray"/>
              </w:rPr>
              <w:br/>
              <w:t>Exemples/</w:t>
            </w:r>
            <w:r w:rsidRPr="006656DD">
              <w:rPr>
                <w:rFonts w:ascii="Arial" w:hAnsi="Arial" w:cs="Arial"/>
                <w:strike/>
                <w:noProof/>
                <w:sz w:val="16"/>
                <w:szCs w:val="16"/>
                <w:highlight w:val="lightGray"/>
              </w:rPr>
              <w:br/>
              <w:t>Beispielssorten/</w:t>
            </w:r>
            <w:r w:rsidRPr="006656DD">
              <w:rPr>
                <w:rFonts w:ascii="Arial" w:hAnsi="Arial" w:cs="Arial"/>
                <w:strike/>
                <w:noProof/>
                <w:sz w:val="16"/>
                <w:szCs w:val="16"/>
                <w:highlight w:val="lightGray"/>
              </w:rPr>
              <w:br/>
              <w:t>Variedades ejemplo</w:t>
            </w:r>
          </w:p>
        </w:tc>
        <w:tc>
          <w:tcPr>
            <w:tcW w:w="664" w:type="dxa"/>
            <w:tcBorders>
              <w:bottom w:val="single" w:sz="24" w:space="0" w:color="auto"/>
            </w:tcBorders>
          </w:tcPr>
          <w:p w:rsidR="002008AA" w:rsidRPr="006656DD" w:rsidRDefault="002008AA" w:rsidP="008A29E5">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Note/</w:t>
            </w:r>
            <w:r w:rsidRPr="006656DD">
              <w:rPr>
                <w:rFonts w:ascii="Arial" w:hAnsi="Arial" w:cs="Arial"/>
                <w:strike/>
                <w:noProof/>
                <w:sz w:val="16"/>
                <w:szCs w:val="16"/>
                <w:highlight w:val="lightGray"/>
              </w:rPr>
              <w:br/>
              <w:t>Nota</w:t>
            </w:r>
          </w:p>
        </w:tc>
      </w:tr>
      <w:tr w:rsidR="002008AA" w:rsidRPr="006656DD" w:rsidTr="008A29E5">
        <w:trPr>
          <w:cantSplit/>
          <w:jc w:val="center"/>
        </w:trPr>
        <w:tc>
          <w:tcPr>
            <w:tcW w:w="1441" w:type="dxa"/>
            <w:tcBorders>
              <w:top w:val="single" w:sz="24" w:space="0" w:color="auto"/>
              <w:left w:val="single" w:sz="24" w:space="0" w:color="auto"/>
              <w:bottom w:val="nil"/>
              <w:right w:val="nil"/>
            </w:tcBorders>
          </w:tcPr>
          <w:p w:rsidR="002008AA" w:rsidRPr="006656DD" w:rsidRDefault="002008AA" w:rsidP="008A29E5">
            <w:pPr>
              <w:pStyle w:val="Normaltb"/>
              <w:rPr>
                <w:rFonts w:ascii="Arial" w:hAnsi="Arial" w:cs="Arial"/>
                <w:strike/>
                <w:sz w:val="16"/>
                <w:szCs w:val="16"/>
                <w:highlight w:val="lightGray"/>
              </w:rPr>
            </w:pPr>
            <w:r w:rsidRPr="00EF0565">
              <w:rPr>
                <w:rFonts w:ascii="Arial" w:hAnsi="Arial" w:cs="Arial"/>
                <w:strike/>
                <w:sz w:val="16"/>
                <w:szCs w:val="16"/>
                <w:highlight w:val="lightGray"/>
                <w:lang w:val="es-ES_tradnl"/>
              </w:rPr>
              <w:t>N.º del carácter</w:t>
            </w:r>
          </w:p>
        </w:tc>
        <w:tc>
          <w:tcPr>
            <w:tcW w:w="1636" w:type="dxa"/>
            <w:vMerge w:val="restart"/>
            <w:tcBorders>
              <w:top w:val="single" w:sz="24" w:space="0" w:color="auto"/>
              <w:left w:val="nil"/>
              <w:bottom w:val="nil"/>
              <w:right w:val="nil"/>
            </w:tcBorders>
          </w:tcPr>
          <w:p w:rsidR="002008AA" w:rsidRPr="006656DD" w:rsidRDefault="002008AA" w:rsidP="008A29E5">
            <w:pPr>
              <w:pStyle w:val="Normaltb"/>
              <w:rPr>
                <w:rFonts w:ascii="Arial" w:hAnsi="Arial" w:cs="Arial"/>
                <w:strike/>
                <w:sz w:val="16"/>
                <w:szCs w:val="16"/>
                <w:highlight w:val="lightGray"/>
              </w:rPr>
            </w:pPr>
            <w:r w:rsidRPr="00EF0565">
              <w:rPr>
                <w:rFonts w:ascii="Arial" w:hAnsi="Arial" w:cs="Arial"/>
                <w:strike/>
                <w:sz w:val="16"/>
                <w:szCs w:val="16"/>
                <w:highlight w:val="lightGray"/>
              </w:rPr>
              <w:t>{ GN</w:t>
            </w:r>
            <w:r>
              <w:rPr>
                <w:rFonts w:ascii="Arial" w:hAnsi="Arial" w:cs="Arial"/>
                <w:strike/>
                <w:sz w:val="16"/>
                <w:szCs w:val="16"/>
                <w:highlight w:val="lightGray"/>
              </w:rPr>
              <w:t> </w:t>
            </w:r>
            <w:r w:rsidRPr="00EF0565">
              <w:rPr>
                <w:rFonts w:ascii="Arial" w:hAnsi="Arial" w:cs="Arial"/>
                <w:strike/>
                <w:sz w:val="16"/>
                <w:szCs w:val="16"/>
                <w:highlight w:val="lightGray"/>
              </w:rPr>
              <w:t>24</w:t>
            </w:r>
            <w:r>
              <w:rPr>
                <w:rFonts w:ascii="Arial" w:hAnsi="Arial" w:cs="Arial"/>
                <w:strike/>
                <w:sz w:val="16"/>
                <w:szCs w:val="16"/>
                <w:highlight w:val="lightGray"/>
              </w:rPr>
              <w:t xml:space="preserve"> </w:t>
            </w:r>
            <w:r w:rsidRPr="0015497E">
              <w:rPr>
                <w:rFonts w:ascii="Arial" w:hAnsi="Arial" w:cs="Arial"/>
                <w:strike/>
                <w:sz w:val="16"/>
                <w:szCs w:val="16"/>
                <w:highlight w:val="lightGray"/>
                <w:lang w:val="es-ES_tradnl"/>
              </w:rPr>
              <w:t>Estado de desarrollo</w:t>
            </w:r>
            <w:r w:rsidRPr="00EF0565">
              <w:rPr>
                <w:rFonts w:ascii="Arial" w:hAnsi="Arial" w:cs="Arial"/>
                <w:strike/>
                <w:sz w:val="16"/>
                <w:szCs w:val="16"/>
                <w:highlight w:val="lightGray"/>
              </w:rPr>
              <w:t xml:space="preserve"> }</w:t>
            </w:r>
          </w:p>
        </w:tc>
        <w:tc>
          <w:tcPr>
            <w:tcW w:w="5528" w:type="dxa"/>
            <w:gridSpan w:val="4"/>
            <w:vMerge w:val="restart"/>
            <w:tcBorders>
              <w:top w:val="single" w:sz="24" w:space="0" w:color="auto"/>
              <w:left w:val="nil"/>
              <w:bottom w:val="nil"/>
              <w:right w:val="nil"/>
            </w:tcBorders>
          </w:tcPr>
          <w:p w:rsidR="002008AA" w:rsidRPr="000A3C80" w:rsidRDefault="002008AA" w:rsidP="008A29E5">
            <w:pPr>
              <w:pStyle w:val="Normaltb"/>
              <w:ind w:left="992" w:hanging="992"/>
              <w:rPr>
                <w:rFonts w:ascii="Arial" w:hAnsi="Arial" w:cs="Arial"/>
                <w:strike/>
                <w:sz w:val="16"/>
                <w:szCs w:val="16"/>
                <w:highlight w:val="lightGray"/>
                <w:lang w:val="es-ES"/>
              </w:rPr>
            </w:pPr>
            <w:r w:rsidRPr="000A3C80">
              <w:rPr>
                <w:rFonts w:ascii="Arial" w:hAnsi="Arial" w:cs="Arial"/>
                <w:strike/>
                <w:sz w:val="16"/>
                <w:szCs w:val="16"/>
                <w:highlight w:val="lightGray"/>
                <w:lang w:val="es-ES"/>
              </w:rPr>
              <w:t>{</w:t>
            </w:r>
            <w:bookmarkStart w:id="19" w:name="_Toc15713684"/>
            <w:r>
              <w:rPr>
                <w:rFonts w:ascii="Arial" w:hAnsi="Arial" w:cs="Arial"/>
                <w:strike/>
                <w:sz w:val="16"/>
                <w:szCs w:val="16"/>
                <w:highlight w:val="lightGray"/>
                <w:lang w:val="es-ES"/>
              </w:rPr>
              <w:t xml:space="preserve"> </w:t>
            </w:r>
            <w:r w:rsidRPr="000A3C80">
              <w:rPr>
                <w:rFonts w:ascii="Arial" w:hAnsi="Arial" w:cs="Arial"/>
                <w:strike/>
                <w:sz w:val="16"/>
                <w:szCs w:val="16"/>
                <w:highlight w:val="lightGray"/>
                <w:bdr w:val="single" w:sz="12" w:space="0" w:color="auto"/>
                <w:lang w:val="es-ES"/>
              </w:rPr>
              <w:t xml:space="preserve">GN 18 </w:t>
            </w:r>
            <w:r>
              <w:rPr>
                <w:rFonts w:ascii="Arial" w:hAnsi="Arial" w:cs="Arial"/>
                <w:strike/>
                <w:sz w:val="16"/>
                <w:szCs w:val="16"/>
                <w:highlight w:val="lightGray"/>
                <w:lang w:val="es-ES"/>
              </w:rPr>
              <w:t xml:space="preserve"> </w:t>
            </w:r>
            <w:r w:rsidRPr="00180C46">
              <w:rPr>
                <w:rFonts w:ascii="Arial" w:hAnsi="Arial" w:cs="Arial"/>
                <w:strike/>
                <w:sz w:val="16"/>
                <w:szCs w:val="16"/>
                <w:highlight w:val="lightGray"/>
                <w:lang w:val="es-ES_tradnl"/>
              </w:rPr>
              <w:t>Presentación de caracteres:</w:t>
            </w:r>
            <w:r>
              <w:rPr>
                <w:rFonts w:ascii="Arial" w:hAnsi="Arial" w:cs="Arial"/>
                <w:strike/>
                <w:sz w:val="16"/>
                <w:szCs w:val="16"/>
                <w:highlight w:val="lightGray"/>
                <w:lang w:val="es-ES"/>
              </w:rPr>
              <w:t xml:space="preserve"> </w:t>
            </w:r>
            <w:bookmarkEnd w:id="19"/>
            <w:r w:rsidRPr="00180C46">
              <w:rPr>
                <w:rFonts w:ascii="Arial" w:hAnsi="Arial" w:cs="Arial"/>
                <w:strike/>
                <w:sz w:val="16"/>
                <w:szCs w:val="16"/>
                <w:highlight w:val="lightGray"/>
                <w:lang w:val="es-ES_tradnl"/>
              </w:rPr>
              <w:t>título de un carácter</w:t>
            </w:r>
            <w:r w:rsidRPr="000A3C80">
              <w:rPr>
                <w:rFonts w:ascii="Arial" w:hAnsi="Arial" w:cs="Arial"/>
                <w:strike/>
                <w:sz w:val="16"/>
                <w:szCs w:val="16"/>
                <w:highlight w:val="lightGray"/>
                <w:lang w:val="es-ES"/>
              </w:rPr>
              <w:t>}</w:t>
            </w:r>
          </w:p>
        </w:tc>
        <w:tc>
          <w:tcPr>
            <w:tcW w:w="1418" w:type="dxa"/>
            <w:vMerge w:val="restart"/>
            <w:tcBorders>
              <w:top w:val="single" w:sz="24" w:space="0" w:color="auto"/>
              <w:left w:val="nil"/>
              <w:bottom w:val="nil"/>
              <w:right w:val="nil"/>
            </w:tcBorders>
          </w:tcPr>
          <w:p w:rsidR="002008AA" w:rsidRPr="000A3C80" w:rsidRDefault="002008AA" w:rsidP="008A29E5">
            <w:pPr>
              <w:pStyle w:val="Normaltb"/>
              <w:rPr>
                <w:rFonts w:ascii="Arial" w:hAnsi="Arial" w:cs="Arial"/>
                <w:strike/>
                <w:sz w:val="16"/>
                <w:szCs w:val="16"/>
                <w:highlight w:val="lightGray"/>
                <w:lang w:val="es-ES"/>
              </w:rPr>
            </w:pPr>
          </w:p>
        </w:tc>
        <w:tc>
          <w:tcPr>
            <w:tcW w:w="664" w:type="dxa"/>
            <w:vMerge w:val="restart"/>
            <w:tcBorders>
              <w:top w:val="single" w:sz="24" w:space="0" w:color="auto"/>
              <w:left w:val="nil"/>
              <w:bottom w:val="nil"/>
              <w:right w:val="single" w:sz="24" w:space="0" w:color="auto"/>
            </w:tcBorders>
          </w:tcPr>
          <w:p w:rsidR="002008AA" w:rsidRPr="000A3C80" w:rsidRDefault="002008AA" w:rsidP="008A29E5">
            <w:pPr>
              <w:pStyle w:val="Normaltb"/>
              <w:rPr>
                <w:rFonts w:ascii="Arial" w:hAnsi="Arial" w:cs="Arial"/>
                <w:strike/>
                <w:sz w:val="16"/>
                <w:szCs w:val="16"/>
                <w:highlight w:val="lightGray"/>
                <w:lang w:val="es-ES"/>
              </w:rPr>
            </w:pPr>
          </w:p>
        </w:tc>
      </w:tr>
      <w:tr w:rsidR="002008AA" w:rsidRPr="006656DD" w:rsidTr="008A29E5">
        <w:trPr>
          <w:cantSplit/>
          <w:trHeight w:val="304"/>
          <w:jc w:val="center"/>
        </w:trPr>
        <w:tc>
          <w:tcPr>
            <w:tcW w:w="1441" w:type="dxa"/>
            <w:vMerge w:val="restart"/>
            <w:tcBorders>
              <w:top w:val="nil"/>
              <w:left w:val="single" w:sz="24" w:space="0" w:color="auto"/>
              <w:bottom w:val="nil"/>
              <w:right w:val="nil"/>
            </w:tcBorders>
          </w:tcPr>
          <w:p w:rsidR="002008AA" w:rsidRPr="006656DD" w:rsidRDefault="002008AA" w:rsidP="008A29E5">
            <w:pPr>
              <w:pStyle w:val="Normalt"/>
              <w:rPr>
                <w:rFonts w:ascii="Arial" w:hAnsi="Arial" w:cs="Arial"/>
                <w:b/>
                <w:bCs/>
                <w:strike/>
                <w:sz w:val="16"/>
                <w:szCs w:val="16"/>
                <w:highlight w:val="lightGray"/>
              </w:rPr>
            </w:pPr>
            <w:r w:rsidRPr="006656DD">
              <w:rPr>
                <w:rFonts w:ascii="Arial" w:hAnsi="Arial" w:cs="Arial"/>
                <w:b/>
                <w:bCs/>
                <w:strike/>
                <w:sz w:val="16"/>
                <w:szCs w:val="16"/>
                <w:highlight w:val="lightGray"/>
              </w:rPr>
              <w:t>{</w:t>
            </w:r>
            <w:bookmarkStart w:id="20" w:name="_Toc15713679"/>
            <w:r w:rsidRPr="006656DD">
              <w:rPr>
                <w:rFonts w:ascii="Arial" w:hAnsi="Arial" w:cs="Arial"/>
                <w:b/>
                <w:bCs/>
                <w:strike/>
                <w:sz w:val="16"/>
                <w:szCs w:val="16"/>
                <w:highlight w:val="lightGray"/>
                <w:bdr w:val="single" w:sz="12" w:space="0" w:color="auto"/>
              </w:rPr>
              <w:t xml:space="preserve"> GN</w:t>
            </w:r>
            <w:r>
              <w:rPr>
                <w:rFonts w:ascii="Arial" w:hAnsi="Arial" w:cs="Arial"/>
                <w:b/>
                <w:bCs/>
                <w:strike/>
                <w:sz w:val="16"/>
                <w:szCs w:val="16"/>
                <w:highlight w:val="lightGray"/>
                <w:bdr w:val="single" w:sz="12" w:space="0" w:color="auto"/>
              </w:rPr>
              <w:t> </w:t>
            </w:r>
            <w:r w:rsidRPr="006656DD">
              <w:rPr>
                <w:rFonts w:ascii="Arial" w:hAnsi="Arial" w:cs="Arial"/>
                <w:b/>
                <w:bCs/>
                <w:strike/>
                <w:sz w:val="16"/>
                <w:szCs w:val="16"/>
                <w:highlight w:val="lightGray"/>
                <w:bdr w:val="single" w:sz="12" w:space="0" w:color="auto"/>
              </w:rPr>
              <w:t>13.1</w:t>
            </w:r>
            <w:r>
              <w:rPr>
                <w:rFonts w:ascii="Arial" w:hAnsi="Arial" w:cs="Arial"/>
                <w:b/>
                <w:bCs/>
                <w:strike/>
                <w:sz w:val="16"/>
                <w:szCs w:val="16"/>
                <w:highlight w:val="lightGray"/>
                <w:bdr w:val="single" w:sz="12" w:space="0" w:color="auto"/>
              </w:rPr>
              <w:t xml:space="preserve">, </w:t>
            </w:r>
            <w:r w:rsidRPr="006656DD">
              <w:rPr>
                <w:rFonts w:ascii="Arial" w:hAnsi="Arial" w:cs="Arial"/>
                <w:b/>
                <w:bCs/>
                <w:strike/>
                <w:sz w:val="16"/>
                <w:szCs w:val="16"/>
                <w:highlight w:val="lightGray"/>
                <w:bdr w:val="single" w:sz="12" w:space="0" w:color="auto"/>
              </w:rPr>
              <w:t xml:space="preserve">13.4 </w:t>
            </w:r>
            <w:bookmarkEnd w:id="20"/>
            <w:r w:rsidRPr="0076489D">
              <w:rPr>
                <w:rFonts w:ascii="Arial" w:hAnsi="Arial" w:cs="Arial"/>
                <w:b/>
                <w:bCs/>
                <w:strike/>
                <w:sz w:val="16"/>
                <w:szCs w:val="16"/>
                <w:highlight w:val="lightGray"/>
                <w:lang w:val="es-ES_tradnl"/>
              </w:rPr>
              <w:t>Caracteres con asterisco</w:t>
            </w:r>
            <w:r w:rsidRPr="006656DD">
              <w:rPr>
                <w:rFonts w:ascii="Arial" w:hAnsi="Arial" w:cs="Arial"/>
                <w:b/>
                <w:bCs/>
                <w:strike/>
                <w:sz w:val="16"/>
                <w:szCs w:val="16"/>
                <w:highlight w:val="lightGray"/>
              </w:rPr>
              <w:t>}</w:t>
            </w:r>
          </w:p>
        </w:tc>
        <w:tc>
          <w:tcPr>
            <w:tcW w:w="1636" w:type="dxa"/>
            <w:vMerge/>
            <w:tcBorders>
              <w:top w:val="nil"/>
              <w:left w:val="nil"/>
              <w:bottom w:val="nil"/>
              <w:right w:val="nil"/>
            </w:tcBorders>
          </w:tcPr>
          <w:p w:rsidR="002008AA" w:rsidRPr="006656DD" w:rsidRDefault="002008AA" w:rsidP="008A29E5">
            <w:pPr>
              <w:pStyle w:val="Normalt"/>
              <w:rPr>
                <w:rFonts w:ascii="Arial" w:hAnsi="Arial" w:cs="Arial"/>
                <w:b/>
                <w:bCs/>
                <w:strike/>
                <w:sz w:val="16"/>
                <w:szCs w:val="16"/>
                <w:highlight w:val="lightGray"/>
              </w:rPr>
            </w:pPr>
          </w:p>
        </w:tc>
        <w:tc>
          <w:tcPr>
            <w:tcW w:w="5528" w:type="dxa"/>
            <w:gridSpan w:val="4"/>
            <w:vMerge/>
            <w:tcBorders>
              <w:top w:val="nil"/>
              <w:left w:val="nil"/>
              <w:bottom w:val="nil"/>
              <w:right w:val="nil"/>
            </w:tcBorders>
          </w:tcPr>
          <w:p w:rsidR="002008AA" w:rsidRPr="006656DD" w:rsidRDefault="002008AA" w:rsidP="008A29E5">
            <w:pPr>
              <w:pStyle w:val="Normalt"/>
              <w:rPr>
                <w:rFonts w:ascii="Arial" w:hAnsi="Arial" w:cs="Arial"/>
                <w:b/>
                <w:bCs/>
                <w:strike/>
                <w:sz w:val="16"/>
                <w:szCs w:val="16"/>
                <w:highlight w:val="lightGray"/>
              </w:rPr>
            </w:pPr>
          </w:p>
        </w:tc>
        <w:tc>
          <w:tcPr>
            <w:tcW w:w="1418" w:type="dxa"/>
            <w:vMerge/>
            <w:tcBorders>
              <w:top w:val="nil"/>
              <w:left w:val="nil"/>
              <w:bottom w:val="nil"/>
              <w:right w:val="nil"/>
            </w:tcBorders>
          </w:tcPr>
          <w:p w:rsidR="002008AA" w:rsidRPr="006656DD" w:rsidRDefault="002008AA" w:rsidP="008A29E5">
            <w:pPr>
              <w:pStyle w:val="Normaltg"/>
              <w:spacing w:before="120" w:after="120"/>
              <w:jc w:val="left"/>
              <w:rPr>
                <w:b/>
                <w:bCs/>
                <w:strike/>
                <w:sz w:val="16"/>
                <w:szCs w:val="16"/>
                <w:highlight w:val="lightGray"/>
                <w:lang w:val="en-US"/>
              </w:rPr>
            </w:pPr>
          </w:p>
        </w:tc>
        <w:tc>
          <w:tcPr>
            <w:tcW w:w="664" w:type="dxa"/>
            <w:vMerge/>
            <w:tcBorders>
              <w:top w:val="nil"/>
              <w:left w:val="nil"/>
              <w:bottom w:val="nil"/>
              <w:right w:val="single" w:sz="24" w:space="0" w:color="auto"/>
            </w:tcBorders>
          </w:tcPr>
          <w:p w:rsidR="002008AA" w:rsidRPr="006656DD" w:rsidRDefault="002008AA" w:rsidP="008A29E5">
            <w:pPr>
              <w:pStyle w:val="Normalt"/>
              <w:rPr>
                <w:rFonts w:ascii="Arial" w:hAnsi="Arial" w:cs="Arial"/>
                <w:b/>
                <w:bCs/>
                <w:strike/>
                <w:sz w:val="16"/>
                <w:szCs w:val="16"/>
                <w:highlight w:val="lightGray"/>
              </w:rPr>
            </w:pPr>
          </w:p>
        </w:tc>
      </w:tr>
      <w:tr w:rsidR="002008AA" w:rsidRPr="006656DD" w:rsidTr="008A29E5">
        <w:trPr>
          <w:cantSplit/>
          <w:trHeight w:val="424"/>
          <w:jc w:val="center"/>
        </w:trPr>
        <w:tc>
          <w:tcPr>
            <w:tcW w:w="1441" w:type="dxa"/>
            <w:vMerge/>
            <w:tcBorders>
              <w:top w:val="nil"/>
              <w:left w:val="single" w:sz="24" w:space="0" w:color="auto"/>
              <w:bottom w:val="nil"/>
              <w:right w:val="nil"/>
            </w:tcBorders>
          </w:tcPr>
          <w:p w:rsidR="002008AA" w:rsidRPr="006656DD" w:rsidRDefault="002008AA" w:rsidP="008A29E5">
            <w:pPr>
              <w:pStyle w:val="Normalt"/>
              <w:rPr>
                <w:rFonts w:ascii="Arial" w:hAnsi="Arial" w:cs="Arial"/>
                <w:b/>
                <w:bCs/>
                <w:strike/>
                <w:sz w:val="16"/>
                <w:szCs w:val="16"/>
                <w:highlight w:val="lightGray"/>
              </w:rPr>
            </w:pPr>
          </w:p>
        </w:tc>
        <w:tc>
          <w:tcPr>
            <w:tcW w:w="1636" w:type="dxa"/>
            <w:vMerge w:val="restart"/>
            <w:tcBorders>
              <w:top w:val="nil"/>
              <w:left w:val="nil"/>
              <w:bottom w:val="nil"/>
              <w:right w:val="nil"/>
            </w:tcBorders>
          </w:tcPr>
          <w:p w:rsidR="002008AA" w:rsidRPr="0025273B" w:rsidRDefault="002008AA" w:rsidP="008A29E5">
            <w:pPr>
              <w:pStyle w:val="Normalt"/>
              <w:rPr>
                <w:rFonts w:ascii="Arial" w:hAnsi="Arial" w:cs="Arial"/>
                <w:b/>
                <w:bCs/>
                <w:strike/>
                <w:sz w:val="16"/>
                <w:szCs w:val="16"/>
                <w:highlight w:val="lightGray"/>
                <w:lang w:val="es-ES"/>
              </w:rPr>
            </w:pPr>
            <w:r w:rsidRPr="0025273B">
              <w:rPr>
                <w:rFonts w:ascii="Arial" w:hAnsi="Arial" w:cs="Arial"/>
                <w:b/>
                <w:bCs/>
                <w:strike/>
                <w:sz w:val="16"/>
                <w:szCs w:val="16"/>
                <w:highlight w:val="lightGray"/>
                <w:lang w:val="es-ES"/>
              </w:rPr>
              <w:t>{</w:t>
            </w:r>
            <w:bookmarkStart w:id="21" w:name="_Toc15713683"/>
            <w:r w:rsidRPr="0025273B">
              <w:rPr>
                <w:rFonts w:ascii="Arial" w:hAnsi="Arial" w:cs="Arial"/>
                <w:b/>
                <w:bCs/>
                <w:strike/>
                <w:sz w:val="16"/>
                <w:szCs w:val="16"/>
                <w:highlight w:val="lightGray"/>
                <w:bdr w:val="single" w:sz="12" w:space="0" w:color="auto"/>
                <w:lang w:val="es-ES"/>
              </w:rPr>
              <w:t xml:space="preserve"> GN 25 </w:t>
            </w:r>
            <w:bookmarkEnd w:id="21"/>
            <w:r w:rsidRPr="002034AA">
              <w:rPr>
                <w:rFonts w:ascii="Arial" w:hAnsi="Arial" w:cs="Arial"/>
                <w:b/>
                <w:bCs/>
                <w:strike/>
                <w:sz w:val="16"/>
                <w:szCs w:val="16"/>
                <w:highlight w:val="lightGray"/>
                <w:lang w:val="es-ES_tradnl"/>
              </w:rPr>
              <w:t>Recomendaciones para efectuar el examen</w:t>
            </w:r>
            <w:r w:rsidRPr="0025273B">
              <w:rPr>
                <w:rFonts w:ascii="Arial" w:hAnsi="Arial" w:cs="Arial"/>
                <w:b/>
                <w:bCs/>
                <w:strike/>
                <w:sz w:val="16"/>
                <w:szCs w:val="16"/>
                <w:highlight w:val="lightGray"/>
                <w:lang w:val="es-ES"/>
              </w:rPr>
              <w:t xml:space="preserve"> }</w:t>
            </w:r>
          </w:p>
        </w:tc>
        <w:tc>
          <w:tcPr>
            <w:tcW w:w="5528" w:type="dxa"/>
            <w:gridSpan w:val="4"/>
            <w:vMerge/>
            <w:tcBorders>
              <w:top w:val="nil"/>
              <w:left w:val="nil"/>
              <w:bottom w:val="nil"/>
              <w:right w:val="nil"/>
            </w:tcBorders>
          </w:tcPr>
          <w:p w:rsidR="002008AA" w:rsidRPr="0025273B" w:rsidRDefault="002008AA" w:rsidP="008A29E5">
            <w:pPr>
              <w:pStyle w:val="Normalt"/>
              <w:rPr>
                <w:rFonts w:ascii="Arial" w:hAnsi="Arial" w:cs="Arial"/>
                <w:b/>
                <w:bCs/>
                <w:strike/>
                <w:sz w:val="16"/>
                <w:szCs w:val="16"/>
                <w:highlight w:val="lightGray"/>
                <w:lang w:val="es-ES"/>
              </w:rPr>
            </w:pPr>
          </w:p>
        </w:tc>
        <w:tc>
          <w:tcPr>
            <w:tcW w:w="1418" w:type="dxa"/>
            <w:vMerge/>
            <w:tcBorders>
              <w:top w:val="nil"/>
              <w:left w:val="nil"/>
              <w:bottom w:val="nil"/>
              <w:right w:val="nil"/>
            </w:tcBorders>
          </w:tcPr>
          <w:p w:rsidR="002008AA" w:rsidRPr="000A3C80" w:rsidRDefault="002008AA" w:rsidP="008A29E5">
            <w:pPr>
              <w:pStyle w:val="Normaltg"/>
              <w:spacing w:before="120" w:after="120"/>
              <w:jc w:val="left"/>
              <w:rPr>
                <w:b/>
                <w:bCs/>
                <w:strike/>
                <w:sz w:val="16"/>
                <w:szCs w:val="16"/>
                <w:highlight w:val="lightGray"/>
                <w:lang w:val="es-ES"/>
              </w:rPr>
            </w:pPr>
          </w:p>
        </w:tc>
        <w:tc>
          <w:tcPr>
            <w:tcW w:w="664" w:type="dxa"/>
            <w:vMerge/>
            <w:tcBorders>
              <w:top w:val="nil"/>
              <w:left w:val="nil"/>
              <w:bottom w:val="nil"/>
              <w:right w:val="single" w:sz="24" w:space="0" w:color="auto"/>
            </w:tcBorders>
          </w:tcPr>
          <w:p w:rsidR="002008AA" w:rsidRPr="0025273B" w:rsidRDefault="002008AA" w:rsidP="008A29E5">
            <w:pPr>
              <w:pStyle w:val="Normalt"/>
              <w:rPr>
                <w:rFonts w:ascii="Arial" w:hAnsi="Arial" w:cs="Arial"/>
                <w:b/>
                <w:bCs/>
                <w:strike/>
                <w:sz w:val="16"/>
                <w:szCs w:val="16"/>
                <w:highlight w:val="lightGray"/>
                <w:lang w:val="es-ES"/>
              </w:rPr>
            </w:pPr>
          </w:p>
        </w:tc>
      </w:tr>
      <w:tr w:rsidR="002008AA" w:rsidRPr="006656DD" w:rsidTr="008A29E5">
        <w:trPr>
          <w:cantSplit/>
          <w:jc w:val="center"/>
        </w:trPr>
        <w:tc>
          <w:tcPr>
            <w:tcW w:w="1441" w:type="dxa"/>
            <w:tcBorders>
              <w:top w:val="nil"/>
              <w:left w:val="single" w:sz="24" w:space="0" w:color="auto"/>
              <w:bottom w:val="single" w:sz="24" w:space="0" w:color="auto"/>
              <w:right w:val="nil"/>
            </w:tcBorders>
          </w:tcPr>
          <w:p w:rsidR="002008AA" w:rsidRPr="0025273B" w:rsidRDefault="002008AA" w:rsidP="008A29E5">
            <w:pPr>
              <w:pStyle w:val="Normalt"/>
              <w:rPr>
                <w:rFonts w:ascii="Arial" w:hAnsi="Arial" w:cs="Arial"/>
                <w:b/>
                <w:bCs/>
                <w:strike/>
                <w:sz w:val="16"/>
                <w:szCs w:val="16"/>
                <w:highlight w:val="lightGray"/>
                <w:lang w:val="es-ES"/>
              </w:rPr>
            </w:pPr>
            <w:r w:rsidRPr="0025273B">
              <w:rPr>
                <w:rFonts w:ascii="Arial" w:hAnsi="Arial" w:cs="Arial"/>
                <w:b/>
                <w:bCs/>
                <w:strike/>
                <w:sz w:val="16"/>
                <w:szCs w:val="16"/>
                <w:highlight w:val="lightGray"/>
                <w:lang w:val="es-ES"/>
              </w:rPr>
              <w:t>{</w:t>
            </w:r>
            <w:bookmarkStart w:id="22" w:name="_Toc15713680"/>
            <w:r w:rsidRPr="0025273B">
              <w:rPr>
                <w:rFonts w:ascii="Arial" w:hAnsi="Arial" w:cs="Arial"/>
                <w:b/>
                <w:bCs/>
                <w:strike/>
                <w:sz w:val="16"/>
                <w:szCs w:val="16"/>
                <w:highlight w:val="lightGray"/>
                <w:bdr w:val="single" w:sz="12" w:space="0" w:color="auto"/>
                <w:lang w:val="es-ES"/>
              </w:rPr>
              <w:t xml:space="preserve"> GN 22 </w:t>
            </w:r>
            <w:bookmarkEnd w:id="22"/>
            <w:r w:rsidRPr="002034AA">
              <w:rPr>
                <w:rFonts w:ascii="Arial" w:hAnsi="Arial" w:cs="Arial"/>
                <w:b/>
                <w:bCs/>
                <w:strike/>
                <w:sz w:val="16"/>
                <w:szCs w:val="16"/>
                <w:highlight w:val="lightGray"/>
                <w:lang w:val="es-ES_tradnl"/>
              </w:rPr>
              <w:t>Explicaciones relativas a caracteres individuales</w:t>
            </w:r>
            <w:r w:rsidRPr="0025273B">
              <w:rPr>
                <w:rFonts w:ascii="Arial" w:hAnsi="Arial" w:cs="Arial"/>
                <w:b/>
                <w:bCs/>
                <w:strike/>
                <w:sz w:val="16"/>
                <w:szCs w:val="16"/>
                <w:highlight w:val="lightGray"/>
                <w:lang w:val="es-ES"/>
              </w:rPr>
              <w:t>}</w:t>
            </w:r>
          </w:p>
        </w:tc>
        <w:tc>
          <w:tcPr>
            <w:tcW w:w="1636" w:type="dxa"/>
            <w:vMerge/>
            <w:tcBorders>
              <w:top w:val="nil"/>
              <w:left w:val="nil"/>
              <w:bottom w:val="single" w:sz="24" w:space="0" w:color="auto"/>
              <w:right w:val="nil"/>
            </w:tcBorders>
          </w:tcPr>
          <w:p w:rsidR="002008AA" w:rsidRPr="0025273B" w:rsidRDefault="002008AA" w:rsidP="008A29E5">
            <w:pPr>
              <w:pStyle w:val="Normalt"/>
              <w:rPr>
                <w:rFonts w:ascii="Arial" w:hAnsi="Arial" w:cs="Arial"/>
                <w:b/>
                <w:bCs/>
                <w:strike/>
                <w:sz w:val="16"/>
                <w:szCs w:val="16"/>
                <w:highlight w:val="lightGray"/>
                <w:lang w:val="es-ES"/>
              </w:rPr>
            </w:pPr>
          </w:p>
        </w:tc>
        <w:tc>
          <w:tcPr>
            <w:tcW w:w="5528" w:type="dxa"/>
            <w:gridSpan w:val="4"/>
            <w:vMerge/>
            <w:tcBorders>
              <w:top w:val="nil"/>
              <w:left w:val="nil"/>
              <w:bottom w:val="single" w:sz="24" w:space="0" w:color="auto"/>
              <w:right w:val="nil"/>
            </w:tcBorders>
          </w:tcPr>
          <w:p w:rsidR="002008AA" w:rsidRPr="0025273B" w:rsidRDefault="002008AA" w:rsidP="008A29E5">
            <w:pPr>
              <w:pStyle w:val="Normalt"/>
              <w:rPr>
                <w:rFonts w:ascii="Arial" w:hAnsi="Arial" w:cs="Arial"/>
                <w:b/>
                <w:bCs/>
                <w:strike/>
                <w:sz w:val="16"/>
                <w:szCs w:val="16"/>
                <w:highlight w:val="lightGray"/>
                <w:lang w:val="es-ES"/>
              </w:rPr>
            </w:pPr>
          </w:p>
        </w:tc>
        <w:tc>
          <w:tcPr>
            <w:tcW w:w="1418" w:type="dxa"/>
            <w:vMerge/>
            <w:tcBorders>
              <w:top w:val="nil"/>
              <w:left w:val="nil"/>
              <w:bottom w:val="single" w:sz="24" w:space="0" w:color="auto"/>
              <w:right w:val="nil"/>
            </w:tcBorders>
          </w:tcPr>
          <w:p w:rsidR="002008AA" w:rsidRPr="000A3C80" w:rsidRDefault="002008AA" w:rsidP="008A29E5">
            <w:pPr>
              <w:pStyle w:val="Normaltg"/>
              <w:spacing w:before="120" w:after="120"/>
              <w:jc w:val="left"/>
              <w:rPr>
                <w:b/>
                <w:bCs/>
                <w:strike/>
                <w:sz w:val="16"/>
                <w:szCs w:val="16"/>
                <w:highlight w:val="lightGray"/>
                <w:lang w:val="es-ES"/>
              </w:rPr>
            </w:pPr>
          </w:p>
        </w:tc>
        <w:tc>
          <w:tcPr>
            <w:tcW w:w="664" w:type="dxa"/>
            <w:vMerge/>
            <w:tcBorders>
              <w:top w:val="nil"/>
              <w:left w:val="nil"/>
              <w:bottom w:val="single" w:sz="24" w:space="0" w:color="auto"/>
              <w:right w:val="single" w:sz="24" w:space="0" w:color="auto"/>
            </w:tcBorders>
          </w:tcPr>
          <w:p w:rsidR="002008AA" w:rsidRPr="0025273B" w:rsidRDefault="002008AA" w:rsidP="008A29E5">
            <w:pPr>
              <w:pStyle w:val="Normalt"/>
              <w:rPr>
                <w:rFonts w:ascii="Arial" w:hAnsi="Arial" w:cs="Arial"/>
                <w:b/>
                <w:bCs/>
                <w:strike/>
                <w:sz w:val="16"/>
                <w:szCs w:val="16"/>
                <w:highlight w:val="lightGray"/>
                <w:lang w:val="es-ES"/>
              </w:rPr>
            </w:pPr>
          </w:p>
        </w:tc>
      </w:tr>
      <w:tr w:rsidR="002008AA" w:rsidRPr="006656DD" w:rsidTr="008A29E5">
        <w:trPr>
          <w:cantSplit/>
          <w:jc w:val="center"/>
        </w:trPr>
        <w:tc>
          <w:tcPr>
            <w:tcW w:w="1441" w:type="dxa"/>
            <w:tcBorders>
              <w:top w:val="single" w:sz="24" w:space="0" w:color="auto"/>
            </w:tcBorders>
          </w:tcPr>
          <w:p w:rsidR="002008AA" w:rsidRPr="0025273B" w:rsidRDefault="002008AA" w:rsidP="008A29E5">
            <w:pPr>
              <w:pStyle w:val="Normalt"/>
              <w:rPr>
                <w:rFonts w:ascii="Arial" w:hAnsi="Arial" w:cs="Arial"/>
                <w:b/>
                <w:bCs/>
                <w:strike/>
                <w:sz w:val="16"/>
                <w:szCs w:val="16"/>
                <w:highlight w:val="lightGray"/>
                <w:lang w:val="es-ES"/>
              </w:rPr>
            </w:pPr>
            <w:r w:rsidRPr="0025273B">
              <w:rPr>
                <w:rFonts w:ascii="Arial" w:hAnsi="Arial" w:cs="Arial"/>
                <w:strike/>
                <w:sz w:val="16"/>
                <w:szCs w:val="16"/>
                <w:highlight w:val="lightGray"/>
                <w:lang w:val="es-ES"/>
              </w:rPr>
              <w:t>{</w:t>
            </w:r>
            <w:bookmarkStart w:id="23" w:name="_Toc15713681"/>
            <w:r w:rsidRPr="0025273B">
              <w:rPr>
                <w:rFonts w:ascii="Arial" w:hAnsi="Arial" w:cs="Arial"/>
                <w:strike/>
                <w:sz w:val="16"/>
                <w:szCs w:val="16"/>
                <w:highlight w:val="lightGray"/>
                <w:bdr w:val="single" w:sz="12" w:space="0" w:color="auto"/>
                <w:lang w:val="es-ES"/>
              </w:rPr>
              <w:t xml:space="preserve"> GN 21</w:t>
            </w:r>
            <w:r w:rsidRPr="0025273B">
              <w:rPr>
                <w:rFonts w:ascii="Arial" w:hAnsi="Arial" w:cs="Arial"/>
                <w:strike/>
                <w:sz w:val="16"/>
                <w:szCs w:val="16"/>
                <w:highlight w:val="lightGray"/>
                <w:lang w:val="es-ES"/>
              </w:rPr>
              <w:br/>
            </w:r>
            <w:bookmarkEnd w:id="23"/>
            <w:r w:rsidRPr="005A3A58">
              <w:rPr>
                <w:rFonts w:ascii="Arial" w:hAnsi="Arial" w:cs="Arial"/>
                <w:strike/>
                <w:sz w:val="16"/>
                <w:szCs w:val="16"/>
                <w:highlight w:val="lightGray"/>
                <w:lang w:val="es-ES_tradnl"/>
              </w:rPr>
              <w:t>Tipo de expresión del carácter</w:t>
            </w:r>
            <w:r w:rsidRPr="0025273B">
              <w:rPr>
                <w:rFonts w:ascii="Arial" w:hAnsi="Arial" w:cs="Arial"/>
                <w:strike/>
                <w:sz w:val="16"/>
                <w:szCs w:val="16"/>
                <w:highlight w:val="lightGray"/>
                <w:lang w:val="es-ES"/>
              </w:rPr>
              <w:t>}</w:t>
            </w:r>
          </w:p>
        </w:tc>
        <w:tc>
          <w:tcPr>
            <w:tcW w:w="1636" w:type="dxa"/>
            <w:tcBorders>
              <w:top w:val="single" w:sz="24" w:space="0" w:color="auto"/>
            </w:tcBorders>
          </w:tcPr>
          <w:p w:rsidR="002008AA" w:rsidRPr="0025273B" w:rsidRDefault="002008AA" w:rsidP="008A29E5">
            <w:pPr>
              <w:pStyle w:val="Normalt"/>
              <w:rPr>
                <w:rFonts w:ascii="Arial" w:hAnsi="Arial" w:cs="Arial"/>
                <w:b/>
                <w:bCs/>
                <w:strike/>
                <w:sz w:val="16"/>
                <w:szCs w:val="16"/>
                <w:highlight w:val="lightGray"/>
                <w:lang w:val="es-ES"/>
              </w:rPr>
            </w:pPr>
            <w:r w:rsidRPr="0025273B">
              <w:rPr>
                <w:rFonts w:ascii="Arial" w:hAnsi="Arial" w:cs="Arial"/>
                <w:strike/>
                <w:sz w:val="16"/>
                <w:szCs w:val="16"/>
                <w:highlight w:val="lightGray"/>
                <w:lang w:val="es-ES"/>
              </w:rPr>
              <w:t>{</w:t>
            </w:r>
            <w:r w:rsidRPr="0025273B">
              <w:rPr>
                <w:rFonts w:ascii="Arial" w:hAnsi="Arial" w:cs="Arial"/>
                <w:strike/>
                <w:sz w:val="16"/>
                <w:szCs w:val="16"/>
                <w:highlight w:val="lightGray"/>
                <w:bdr w:val="single" w:sz="12" w:space="0" w:color="auto"/>
                <w:lang w:val="es-ES"/>
              </w:rPr>
              <w:t xml:space="preserve"> GN 23</w:t>
            </w:r>
            <w:r w:rsidRPr="0025273B">
              <w:rPr>
                <w:rFonts w:ascii="Arial" w:hAnsi="Arial" w:cs="Arial"/>
                <w:strike/>
                <w:sz w:val="16"/>
                <w:szCs w:val="16"/>
                <w:highlight w:val="lightGray"/>
                <w:lang w:val="es-ES"/>
              </w:rPr>
              <w:br/>
            </w:r>
            <w:r w:rsidRPr="00E06F36">
              <w:rPr>
                <w:rFonts w:ascii="Arial" w:hAnsi="Arial" w:cs="Arial"/>
                <w:strike/>
                <w:sz w:val="16"/>
                <w:szCs w:val="16"/>
                <w:highlight w:val="lightGray"/>
                <w:lang w:val="es-ES_tradnl"/>
              </w:rPr>
              <w:t>Explicaciones relativas a varios caracteres</w:t>
            </w:r>
            <w:r w:rsidRPr="0025273B">
              <w:rPr>
                <w:rFonts w:ascii="Arial" w:hAnsi="Arial" w:cs="Arial"/>
                <w:strike/>
                <w:sz w:val="16"/>
                <w:szCs w:val="16"/>
                <w:highlight w:val="lightGray"/>
                <w:lang w:val="es-ES"/>
              </w:rPr>
              <w:t>}</w:t>
            </w:r>
          </w:p>
        </w:tc>
        <w:tc>
          <w:tcPr>
            <w:tcW w:w="5528" w:type="dxa"/>
            <w:gridSpan w:val="4"/>
            <w:tcBorders>
              <w:top w:val="single" w:sz="24" w:space="0" w:color="auto"/>
            </w:tcBorders>
          </w:tcPr>
          <w:p w:rsidR="002008AA" w:rsidRPr="0025273B" w:rsidRDefault="002008AA" w:rsidP="008A29E5">
            <w:pPr>
              <w:pStyle w:val="Normalt"/>
              <w:rPr>
                <w:rFonts w:ascii="Arial" w:hAnsi="Arial" w:cs="Arial"/>
                <w:strike/>
                <w:sz w:val="16"/>
                <w:szCs w:val="16"/>
                <w:highlight w:val="lightGray"/>
                <w:lang w:val="es-ES"/>
              </w:rPr>
            </w:pPr>
            <w:r w:rsidRPr="0025273B">
              <w:rPr>
                <w:rFonts w:ascii="Arial" w:hAnsi="Arial" w:cs="Arial"/>
                <w:strike/>
                <w:sz w:val="16"/>
                <w:szCs w:val="16"/>
                <w:highlight w:val="lightGray"/>
                <w:lang w:val="es-ES"/>
              </w:rPr>
              <w:t>{</w:t>
            </w:r>
            <w:r w:rsidRPr="0025273B">
              <w:rPr>
                <w:rFonts w:ascii="Arial" w:hAnsi="Arial" w:cs="Arial"/>
                <w:strike/>
                <w:sz w:val="16"/>
                <w:szCs w:val="16"/>
                <w:highlight w:val="lightGray"/>
                <w:bdr w:val="single" w:sz="12" w:space="0" w:color="auto"/>
                <w:lang w:val="es-ES"/>
              </w:rPr>
              <w:t xml:space="preserve"> GN 19</w:t>
            </w:r>
            <w:r w:rsidRPr="0025273B">
              <w:rPr>
                <w:rFonts w:ascii="Arial" w:hAnsi="Arial" w:cs="Arial"/>
                <w:strike/>
                <w:sz w:val="16"/>
                <w:szCs w:val="16"/>
                <w:highlight w:val="lightGray"/>
                <w:lang w:val="es-ES"/>
              </w:rPr>
              <w:t xml:space="preserve"> </w:t>
            </w:r>
            <w:r w:rsidRPr="00E06F36">
              <w:rPr>
                <w:rFonts w:ascii="Arial" w:hAnsi="Arial" w:cs="Arial"/>
                <w:strike/>
                <w:sz w:val="16"/>
                <w:szCs w:val="16"/>
                <w:highlight w:val="lightGray"/>
                <w:lang w:val="es-ES_tradnl"/>
              </w:rPr>
              <w:t>Presentación de caracteres:</w:t>
            </w:r>
            <w:r w:rsidRPr="0025273B">
              <w:rPr>
                <w:rFonts w:ascii="Arial" w:hAnsi="Arial" w:cs="Arial"/>
                <w:strike/>
                <w:sz w:val="16"/>
                <w:szCs w:val="16"/>
                <w:highlight w:val="lightGray"/>
                <w:lang w:val="es-ES"/>
              </w:rPr>
              <w:t xml:space="preserve"> </w:t>
            </w:r>
            <w:r w:rsidRPr="00E06F36">
              <w:rPr>
                <w:rFonts w:ascii="Arial" w:hAnsi="Arial" w:cs="Arial"/>
                <w:strike/>
                <w:sz w:val="16"/>
                <w:szCs w:val="16"/>
                <w:highlight w:val="lightGray"/>
                <w:lang w:val="es-ES_tradnl"/>
              </w:rPr>
              <w:t>presentación general de los niveles de expresión</w:t>
            </w:r>
            <w:r w:rsidRPr="0025273B">
              <w:rPr>
                <w:rFonts w:ascii="Arial" w:hAnsi="Arial" w:cs="Arial"/>
                <w:strike/>
                <w:sz w:val="16"/>
                <w:szCs w:val="16"/>
                <w:highlight w:val="lightGray"/>
                <w:lang w:val="es-ES"/>
              </w:rPr>
              <w:t xml:space="preserve">} </w:t>
            </w:r>
          </w:p>
          <w:p w:rsidR="002008AA" w:rsidRPr="0025273B" w:rsidRDefault="002008AA" w:rsidP="008A29E5">
            <w:pPr>
              <w:pStyle w:val="Normalt"/>
              <w:rPr>
                <w:rFonts w:ascii="Arial" w:hAnsi="Arial" w:cs="Arial"/>
                <w:b/>
                <w:bCs/>
                <w:strike/>
                <w:sz w:val="16"/>
                <w:szCs w:val="16"/>
                <w:highlight w:val="lightGray"/>
                <w:lang w:val="es-ES"/>
              </w:rPr>
            </w:pPr>
            <w:r w:rsidRPr="0025273B">
              <w:rPr>
                <w:rFonts w:ascii="Arial" w:hAnsi="Arial" w:cs="Arial"/>
                <w:strike/>
                <w:sz w:val="16"/>
                <w:szCs w:val="16"/>
                <w:highlight w:val="lightGray"/>
                <w:lang w:val="es-ES"/>
              </w:rPr>
              <w:t>{</w:t>
            </w:r>
            <w:r w:rsidRPr="0025273B">
              <w:rPr>
                <w:rFonts w:ascii="Arial" w:hAnsi="Arial" w:cs="Arial"/>
                <w:strike/>
                <w:sz w:val="16"/>
                <w:szCs w:val="16"/>
                <w:highlight w:val="lightGray"/>
                <w:bdr w:val="single" w:sz="12" w:space="0" w:color="auto"/>
                <w:lang w:val="es-ES"/>
              </w:rPr>
              <w:t xml:space="preserve"> GN 20</w:t>
            </w:r>
            <w:r w:rsidRPr="0025273B">
              <w:rPr>
                <w:rFonts w:ascii="Arial" w:hAnsi="Arial" w:cs="Arial"/>
                <w:strike/>
                <w:sz w:val="16"/>
                <w:szCs w:val="16"/>
                <w:highlight w:val="lightGray"/>
                <w:lang w:val="es-ES"/>
              </w:rPr>
              <w:t xml:space="preserve"> </w:t>
            </w:r>
            <w:r w:rsidRPr="00E06F36">
              <w:rPr>
                <w:rFonts w:ascii="Arial" w:hAnsi="Arial" w:cs="Arial"/>
                <w:strike/>
                <w:sz w:val="16"/>
                <w:szCs w:val="16"/>
                <w:highlight w:val="lightGray"/>
                <w:lang w:val="es-ES_tradnl"/>
              </w:rPr>
              <w:t>Presentación de caracteres:</w:t>
            </w:r>
            <w:r w:rsidRPr="0025273B">
              <w:rPr>
                <w:rFonts w:ascii="Arial" w:hAnsi="Arial" w:cs="Arial"/>
                <w:strike/>
                <w:sz w:val="16"/>
                <w:szCs w:val="16"/>
                <w:highlight w:val="lightGray"/>
                <w:lang w:val="es-ES"/>
              </w:rPr>
              <w:t xml:space="preserve"> </w:t>
            </w:r>
            <w:r w:rsidRPr="00E06F36">
              <w:rPr>
                <w:rFonts w:ascii="Arial" w:hAnsi="Arial" w:cs="Arial"/>
                <w:strike/>
                <w:sz w:val="16"/>
                <w:szCs w:val="16"/>
                <w:lang w:val="es-ES_tradnl"/>
              </w:rPr>
              <w:t>niveles de expresión conforme al tipo de expresión de un carácter</w:t>
            </w:r>
          </w:p>
        </w:tc>
        <w:tc>
          <w:tcPr>
            <w:tcW w:w="1418" w:type="dxa"/>
            <w:tcBorders>
              <w:top w:val="single" w:sz="24" w:space="0" w:color="auto"/>
            </w:tcBorders>
          </w:tcPr>
          <w:p w:rsidR="002008AA" w:rsidRPr="006656DD" w:rsidRDefault="002008AA" w:rsidP="008A29E5">
            <w:pPr>
              <w:pStyle w:val="Normaltg"/>
              <w:spacing w:before="120" w:after="120"/>
              <w:jc w:val="left"/>
              <w:rPr>
                <w:strike/>
                <w:sz w:val="16"/>
                <w:szCs w:val="16"/>
                <w:lang w:val="en-US"/>
              </w:rPr>
            </w:pPr>
            <w:r w:rsidRPr="006656DD">
              <w:rPr>
                <w:strike/>
                <w:sz w:val="16"/>
                <w:szCs w:val="16"/>
                <w:highlight w:val="lightGray"/>
                <w:lang w:val="en-US"/>
              </w:rPr>
              <w:t>{</w:t>
            </w:r>
            <w:r w:rsidRPr="006656DD">
              <w:rPr>
                <w:strike/>
                <w:sz w:val="16"/>
                <w:szCs w:val="16"/>
                <w:highlight w:val="lightGray"/>
                <w:bdr w:val="single" w:sz="12" w:space="0" w:color="auto"/>
                <w:lang w:val="en-US"/>
              </w:rPr>
              <w:t xml:space="preserve"> GN</w:t>
            </w:r>
            <w:r>
              <w:rPr>
                <w:strike/>
                <w:sz w:val="16"/>
                <w:szCs w:val="16"/>
                <w:highlight w:val="lightGray"/>
                <w:bdr w:val="single" w:sz="12" w:space="0" w:color="auto"/>
                <w:lang w:val="en-US"/>
              </w:rPr>
              <w:t> </w:t>
            </w:r>
            <w:r w:rsidRPr="006656DD">
              <w:rPr>
                <w:strike/>
                <w:sz w:val="16"/>
                <w:szCs w:val="16"/>
                <w:highlight w:val="lightGray"/>
                <w:bdr w:val="single" w:sz="12" w:space="0" w:color="auto"/>
                <w:lang w:val="en-US"/>
              </w:rPr>
              <w:t>28</w:t>
            </w:r>
            <w:r>
              <w:rPr>
                <w:strike/>
                <w:sz w:val="16"/>
                <w:szCs w:val="16"/>
                <w:highlight w:val="lightGray"/>
                <w:lang w:val="en-US"/>
              </w:rPr>
              <w:t xml:space="preserve"> </w:t>
            </w:r>
            <w:r w:rsidRPr="00E06F36">
              <w:rPr>
                <w:strike/>
                <w:sz w:val="16"/>
                <w:szCs w:val="16"/>
                <w:highlight w:val="lightGray"/>
                <w:lang w:val="es-ES_tradnl"/>
              </w:rPr>
              <w:t>Variedades ejemplo</w:t>
            </w:r>
            <w:r w:rsidRPr="006656DD">
              <w:rPr>
                <w:strike/>
                <w:sz w:val="16"/>
                <w:szCs w:val="16"/>
                <w:highlight w:val="lightGray"/>
                <w:lang w:val="en-US"/>
              </w:rPr>
              <w:t>}</w:t>
            </w:r>
          </w:p>
          <w:p w:rsidR="002008AA" w:rsidRPr="006656DD" w:rsidRDefault="002008AA" w:rsidP="008A29E5">
            <w:pPr>
              <w:pStyle w:val="Normaltg"/>
              <w:spacing w:before="120" w:after="120"/>
              <w:jc w:val="left"/>
              <w:rPr>
                <w:b/>
                <w:bCs/>
                <w:strike/>
                <w:sz w:val="16"/>
                <w:szCs w:val="16"/>
                <w:lang w:val="en-US"/>
              </w:rPr>
            </w:pPr>
          </w:p>
        </w:tc>
        <w:tc>
          <w:tcPr>
            <w:tcW w:w="664" w:type="dxa"/>
            <w:tcBorders>
              <w:top w:val="single" w:sz="24" w:space="0" w:color="auto"/>
            </w:tcBorders>
          </w:tcPr>
          <w:p w:rsidR="002008AA" w:rsidRPr="006656DD" w:rsidRDefault="002008AA" w:rsidP="008A29E5">
            <w:pPr>
              <w:pStyle w:val="Normalt"/>
              <w:rPr>
                <w:rFonts w:ascii="Arial" w:hAnsi="Arial" w:cs="Arial"/>
                <w:b/>
                <w:bCs/>
                <w:strike/>
                <w:sz w:val="16"/>
                <w:szCs w:val="16"/>
              </w:rPr>
            </w:pPr>
          </w:p>
        </w:tc>
      </w:tr>
    </w:tbl>
    <w:p w:rsidR="002008AA" w:rsidRDefault="002008AA" w:rsidP="002008AA"/>
    <w:tbl>
      <w:tblPr>
        <w:tblW w:w="10632" w:type="dxa"/>
        <w:tblInd w:w="2"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008AA" w:rsidRPr="000A61C3" w:rsidTr="008A29E5">
        <w:trPr>
          <w:cantSplit/>
          <w:tblHeader/>
        </w:trPr>
        <w:tc>
          <w:tcPr>
            <w:tcW w:w="709" w:type="dxa"/>
            <w:gridSpan w:val="2"/>
            <w:tcBorders>
              <w:top w:val="single" w:sz="4" w:space="0" w:color="auto"/>
              <w:bottom w:val="single" w:sz="4" w:space="0" w:color="auto"/>
            </w:tcBorders>
          </w:tcPr>
          <w:p w:rsidR="002008AA" w:rsidRPr="000A3C80" w:rsidRDefault="002008AA" w:rsidP="008A29E5">
            <w:pPr>
              <w:pStyle w:val="tgchartext"/>
              <w:keepNext/>
              <w:rPr>
                <w:dstrike/>
                <w:lang w:val="es-ES"/>
              </w:rPr>
            </w:pPr>
          </w:p>
        </w:tc>
        <w:tc>
          <w:tcPr>
            <w:tcW w:w="1790" w:type="dxa"/>
            <w:gridSpan w:val="2"/>
            <w:tcBorders>
              <w:top w:val="single" w:sz="4" w:space="0" w:color="auto"/>
              <w:bottom w:val="single" w:sz="4" w:space="0" w:color="auto"/>
            </w:tcBorders>
            <w:vAlign w:val="center"/>
          </w:tcPr>
          <w:p w:rsidR="002008AA" w:rsidRPr="0045241C" w:rsidRDefault="002008AA" w:rsidP="008A29E5">
            <w:pPr>
              <w:pStyle w:val="tgchartext"/>
              <w:keepNext/>
              <w:jc w:val="both"/>
              <w:rPr>
                <w:dstrike/>
                <w:noProof/>
              </w:rPr>
            </w:pPr>
            <w:r w:rsidRPr="007A3ABF">
              <w:rPr>
                <w:noProof/>
              </w:rPr>
              <w:t>English</w:t>
            </w:r>
          </w:p>
        </w:tc>
        <w:tc>
          <w:tcPr>
            <w:tcW w:w="1928" w:type="dxa"/>
            <w:gridSpan w:val="3"/>
            <w:tcBorders>
              <w:top w:val="single" w:sz="4" w:space="0" w:color="auto"/>
              <w:bottom w:val="single" w:sz="4" w:space="0" w:color="auto"/>
            </w:tcBorders>
            <w:vAlign w:val="center"/>
          </w:tcPr>
          <w:p w:rsidR="002008AA" w:rsidRPr="0045241C" w:rsidRDefault="002008AA" w:rsidP="008A29E5">
            <w:pPr>
              <w:pStyle w:val="tgchartext"/>
              <w:keepNext/>
              <w:rPr>
                <w:dstrike/>
                <w:noProof/>
              </w:rPr>
            </w:pPr>
            <w:r w:rsidRPr="007A3ABF">
              <w:rPr>
                <w:noProof/>
              </w:rPr>
              <w:t>français</w:t>
            </w:r>
          </w:p>
        </w:tc>
        <w:tc>
          <w:tcPr>
            <w:tcW w:w="1914" w:type="dxa"/>
            <w:gridSpan w:val="2"/>
            <w:tcBorders>
              <w:top w:val="single" w:sz="4" w:space="0" w:color="auto"/>
              <w:bottom w:val="single" w:sz="4" w:space="0" w:color="auto"/>
            </w:tcBorders>
            <w:vAlign w:val="center"/>
          </w:tcPr>
          <w:p w:rsidR="002008AA" w:rsidRPr="0045241C" w:rsidRDefault="002008AA" w:rsidP="008A29E5">
            <w:pPr>
              <w:pStyle w:val="tgchartext"/>
              <w:keepNext/>
              <w:rPr>
                <w:dstrike/>
                <w:noProof/>
              </w:rPr>
            </w:pPr>
            <w:r w:rsidRPr="007A3ABF">
              <w:rPr>
                <w:noProof/>
              </w:rPr>
              <w:t>deutsch</w:t>
            </w:r>
          </w:p>
        </w:tc>
        <w:tc>
          <w:tcPr>
            <w:tcW w:w="1914" w:type="dxa"/>
            <w:tcBorders>
              <w:top w:val="single" w:sz="4" w:space="0" w:color="auto"/>
              <w:bottom w:val="single" w:sz="4" w:space="0" w:color="auto"/>
            </w:tcBorders>
            <w:vAlign w:val="center"/>
          </w:tcPr>
          <w:p w:rsidR="002008AA" w:rsidRPr="0045241C" w:rsidRDefault="002008AA" w:rsidP="008A29E5">
            <w:pPr>
              <w:pStyle w:val="tgchartext"/>
              <w:keepNext/>
              <w:rPr>
                <w:dstrike/>
                <w:noProof/>
              </w:rPr>
            </w:pPr>
            <w:r w:rsidRPr="007A3ABF">
              <w:rPr>
                <w:noProof/>
              </w:rPr>
              <w:t>español</w:t>
            </w:r>
          </w:p>
        </w:tc>
        <w:tc>
          <w:tcPr>
            <w:tcW w:w="1810" w:type="dxa"/>
            <w:tcBorders>
              <w:top w:val="single" w:sz="4" w:space="0" w:color="auto"/>
              <w:bottom w:val="single" w:sz="4" w:space="0" w:color="auto"/>
            </w:tcBorders>
            <w:vAlign w:val="center"/>
          </w:tcPr>
          <w:p w:rsidR="002008AA" w:rsidRPr="0045241C" w:rsidRDefault="002008AA" w:rsidP="008A29E5">
            <w:pPr>
              <w:pStyle w:val="tgchartext"/>
              <w:keepNext/>
              <w:rPr>
                <w:dstrike/>
                <w:noProof/>
              </w:rPr>
            </w:pPr>
            <w:r w:rsidRPr="007A3ABF">
              <w:rPr>
                <w:noProof/>
              </w:rPr>
              <w:t>Example Varieties</w:t>
            </w:r>
            <w:r w:rsidRPr="007A3ABF">
              <w:rPr>
                <w:noProof/>
              </w:rPr>
              <w:br/>
              <w:t>Exemples</w:t>
            </w:r>
            <w:r w:rsidRPr="007A3ABF">
              <w:rPr>
                <w:noProof/>
              </w:rPr>
              <w:br/>
              <w:t>Beispielssorten</w:t>
            </w:r>
            <w:r w:rsidRPr="007A3ABF">
              <w:rPr>
                <w:noProof/>
              </w:rPr>
              <w:br/>
              <w:t>Variedades ejemplo</w:t>
            </w:r>
          </w:p>
        </w:tc>
        <w:tc>
          <w:tcPr>
            <w:tcW w:w="567" w:type="dxa"/>
            <w:tcBorders>
              <w:top w:val="single" w:sz="4" w:space="0" w:color="auto"/>
              <w:bottom w:val="single" w:sz="4" w:space="0" w:color="auto"/>
            </w:tcBorders>
            <w:vAlign w:val="center"/>
          </w:tcPr>
          <w:p w:rsidR="002008AA" w:rsidRPr="007A3ABF" w:rsidRDefault="002008AA" w:rsidP="008A29E5">
            <w:pPr>
              <w:pStyle w:val="tgchartextcentered"/>
              <w:keepNext/>
              <w:rPr>
                <w:b w:val="0"/>
                <w:bCs w:val="0"/>
                <w:noProof/>
              </w:rPr>
            </w:pPr>
            <w:r w:rsidRPr="007A3ABF">
              <w:rPr>
                <w:b w:val="0"/>
                <w:bCs w:val="0"/>
                <w:noProof/>
              </w:rPr>
              <w:t>Note/</w:t>
            </w:r>
            <w:r w:rsidRPr="007A3ABF">
              <w:rPr>
                <w:b w:val="0"/>
                <w:bCs w:val="0"/>
                <w:noProof/>
              </w:rPr>
              <w:br/>
              <w:t>Nota</w:t>
            </w:r>
          </w:p>
        </w:tc>
      </w:tr>
      <w:tr w:rsidR="002008AA" w:rsidRPr="00B265E0" w:rsidTr="008A29E5">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008AA" w:rsidRPr="00290A62" w:rsidRDefault="002008AA" w:rsidP="008A29E5">
            <w:pPr>
              <w:keepNext/>
              <w:spacing w:before="80" w:after="80"/>
              <w:jc w:val="center"/>
              <w:rPr>
                <w:b/>
                <w:bCs/>
                <w:sz w:val="16"/>
                <w:szCs w:val="16"/>
              </w:rPr>
            </w:pPr>
            <w:r>
              <w:rPr>
                <w:b/>
                <w:bCs/>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008AA" w:rsidRPr="00290A62" w:rsidRDefault="002008AA" w:rsidP="008A29E5">
            <w:pPr>
              <w:keepNext/>
              <w:spacing w:before="80" w:after="80"/>
              <w:jc w:val="center"/>
              <w:rPr>
                <w:b/>
                <w:bCs/>
                <w:sz w:val="16"/>
                <w:szCs w:val="16"/>
              </w:rPr>
            </w:pPr>
            <w:r>
              <w:rPr>
                <w:b/>
                <w:bCs/>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008AA" w:rsidRPr="00290A62" w:rsidRDefault="002008AA" w:rsidP="008A29E5">
            <w:pPr>
              <w:keepNext/>
              <w:spacing w:before="80" w:after="80"/>
              <w:jc w:val="left"/>
              <w:rPr>
                <w:b/>
                <w:bCs/>
              </w:rPr>
            </w:pPr>
            <w:r>
              <w:rPr>
                <w:b/>
                <w:bCs/>
                <w:sz w:val="16"/>
                <w:szCs w:val="16"/>
              </w:rPr>
              <w:t>3</w:t>
            </w:r>
            <w:r w:rsidRPr="00290A62">
              <w:rPr>
                <w:b/>
                <w:bCs/>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008AA" w:rsidRPr="00290A62" w:rsidRDefault="002008AA" w:rsidP="008A29E5">
            <w:pPr>
              <w:keepNext/>
              <w:spacing w:before="80" w:after="80"/>
              <w:jc w:val="left"/>
              <w:rPr>
                <w:b/>
                <w:bCs/>
              </w:rPr>
            </w:pPr>
            <w:r>
              <w:rPr>
                <w:b/>
                <w:bCs/>
                <w:sz w:val="16"/>
                <w:szCs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008AA" w:rsidRPr="00290A62" w:rsidRDefault="002008AA" w:rsidP="008A29E5">
            <w:pPr>
              <w:pStyle w:val="tgchartext"/>
              <w:keepNext/>
              <w:rPr>
                <w:b/>
                <w:bCs/>
              </w:rPr>
            </w:pPr>
            <w:r>
              <w:rPr>
                <w:b/>
                <w:bCs/>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008AA" w:rsidRPr="00290A62" w:rsidRDefault="002008AA" w:rsidP="008A29E5">
            <w:pPr>
              <w:pStyle w:val="tgchartext"/>
              <w:keepNext/>
              <w:rPr>
                <w:b/>
                <w:bCs/>
              </w:rPr>
            </w:pPr>
            <w:r>
              <w:rPr>
                <w:b/>
                <w:bCs/>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008AA" w:rsidRPr="00290A62" w:rsidRDefault="002008AA" w:rsidP="008A29E5">
            <w:pPr>
              <w:pStyle w:val="tgchartext"/>
              <w:keepNext/>
              <w:rPr>
                <w:b/>
                <w:bCs/>
              </w:rPr>
            </w:pPr>
            <w:r>
              <w:rPr>
                <w:b/>
                <w:bCs/>
                <w:lang w:val="fr-FR"/>
              </w:rPr>
              <w:t>7</w:t>
            </w:r>
          </w:p>
        </w:tc>
        <w:tc>
          <w:tcPr>
            <w:tcW w:w="1923" w:type="dxa"/>
            <w:gridSpan w:val="2"/>
            <w:tcBorders>
              <w:top w:val="single" w:sz="4" w:space="0" w:color="auto"/>
              <w:left w:val="nil"/>
              <w:bottom w:val="single" w:sz="4" w:space="0" w:color="auto"/>
              <w:right w:val="nil"/>
            </w:tcBorders>
            <w:shd w:val="clear" w:color="auto" w:fill="F0F0F0"/>
          </w:tcPr>
          <w:p w:rsidR="002008AA" w:rsidRPr="00B265E0" w:rsidRDefault="002008AA" w:rsidP="008A29E5">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2008AA" w:rsidRPr="00B265E0" w:rsidRDefault="002008AA" w:rsidP="008A29E5">
            <w:pPr>
              <w:pStyle w:val="tgchartext"/>
              <w:keepNext/>
            </w:pPr>
          </w:p>
        </w:tc>
        <w:tc>
          <w:tcPr>
            <w:tcW w:w="567" w:type="dxa"/>
            <w:tcBorders>
              <w:top w:val="single" w:sz="4" w:space="0" w:color="auto"/>
              <w:left w:val="nil"/>
              <w:bottom w:val="single" w:sz="4" w:space="0" w:color="auto"/>
            </w:tcBorders>
            <w:shd w:val="clear" w:color="auto" w:fill="F0F0F0"/>
          </w:tcPr>
          <w:p w:rsidR="002008AA" w:rsidRPr="00B265E0" w:rsidRDefault="002008AA" w:rsidP="008A29E5">
            <w:pPr>
              <w:pStyle w:val="tgchartextcentered"/>
              <w:keepNext/>
            </w:pPr>
          </w:p>
        </w:tc>
      </w:tr>
      <w:tr w:rsidR="002008AA" w:rsidRPr="00D148BE" w:rsidTr="008A29E5">
        <w:trPr>
          <w:cantSplit/>
        </w:trPr>
        <w:tc>
          <w:tcPr>
            <w:tcW w:w="709" w:type="dxa"/>
            <w:gridSpan w:val="2"/>
            <w:tcBorders>
              <w:top w:val="single" w:sz="4" w:space="0" w:color="auto"/>
            </w:tcBorders>
          </w:tcPr>
          <w:p w:rsidR="002008AA" w:rsidRDefault="002008AA" w:rsidP="008A29E5">
            <w:pPr>
              <w:keepNext/>
              <w:spacing w:before="80" w:after="80"/>
              <w:jc w:val="left"/>
              <w:rPr>
                <w:b/>
                <w:bCs/>
                <w:sz w:val="16"/>
                <w:szCs w:val="16"/>
              </w:rPr>
            </w:pPr>
          </w:p>
        </w:tc>
        <w:tc>
          <w:tcPr>
            <w:tcW w:w="1790" w:type="dxa"/>
            <w:gridSpan w:val="2"/>
            <w:tcBorders>
              <w:top w:val="single" w:sz="4" w:space="0" w:color="auto"/>
              <w:bottom w:val="dotted" w:sz="2" w:space="0" w:color="auto"/>
            </w:tcBorders>
          </w:tcPr>
          <w:p w:rsidR="002008AA" w:rsidRPr="000A3C80" w:rsidRDefault="002008AA" w:rsidP="008A29E5">
            <w:pPr>
              <w:keepNext/>
              <w:spacing w:before="80" w:after="80"/>
              <w:jc w:val="left"/>
              <w:rPr>
                <w:b/>
                <w:bCs/>
                <w:noProof/>
                <w:sz w:val="16"/>
                <w:szCs w:val="16"/>
              </w:rPr>
            </w:pPr>
            <w:r w:rsidRPr="000A3C80">
              <w:rPr>
                <w:b/>
                <w:bCs/>
                <w:noProof/>
                <w:sz w:val="16"/>
                <w:szCs w:val="16"/>
              </w:rPr>
              <w:t>Name of characteristics in English</w:t>
            </w:r>
          </w:p>
          <w:p w:rsidR="002008AA" w:rsidRDefault="002008AA" w:rsidP="008A29E5">
            <w:pPr>
              <w:keepNext/>
              <w:spacing w:before="80" w:after="80"/>
              <w:jc w:val="left"/>
            </w:pPr>
            <w:r w:rsidRPr="006B4F93">
              <w:rPr>
                <w:sz w:val="16"/>
                <w:szCs w:val="16"/>
              </w:rPr>
              <w:t xml:space="preserve">{ </w:t>
            </w:r>
            <w:r w:rsidRPr="006B4F93">
              <w:rPr>
                <w:sz w:val="16"/>
                <w:szCs w:val="16"/>
                <w:bdr w:val="single" w:sz="12" w:space="0" w:color="auto"/>
              </w:rPr>
              <w:t xml:space="preserve"> </w:t>
            </w:r>
            <w:r w:rsidRPr="006B4F93">
              <w:rPr>
                <w:sz w:val="16"/>
                <w:szCs w:val="16"/>
                <w:highlight w:val="lightGray"/>
                <w:bdr w:val="single" w:sz="12" w:space="0" w:color="auto"/>
              </w:rPr>
              <w:t>GN</w:t>
            </w:r>
            <w:r>
              <w:rPr>
                <w:sz w:val="16"/>
                <w:szCs w:val="16"/>
                <w:highlight w:val="lightGray"/>
                <w:bdr w:val="single" w:sz="12" w:space="0" w:color="auto"/>
              </w:rPr>
              <w:t> </w:t>
            </w:r>
            <w:r w:rsidRPr="006B4F93">
              <w:rPr>
                <w:sz w:val="16"/>
                <w:szCs w:val="16"/>
                <w:bdr w:val="single" w:sz="12" w:space="0" w:color="auto"/>
              </w:rPr>
              <w:t>18</w:t>
            </w:r>
            <w:r>
              <w:rPr>
                <w:sz w:val="16"/>
                <w:szCs w:val="16"/>
                <w:bdr w:val="single" w:sz="12" w:space="0" w:color="auto"/>
              </w:rPr>
              <w:t xml:space="preserve"> </w:t>
            </w:r>
            <w:r w:rsidRPr="006B4F93">
              <w:rPr>
                <w:sz w:val="16"/>
                <w:szCs w:val="16"/>
              </w:rPr>
              <w:t xml:space="preserve"> </w:t>
            </w:r>
            <w:r w:rsidRPr="00AD0EE5">
              <w:rPr>
                <w:sz w:val="16"/>
                <w:szCs w:val="16"/>
              </w:rPr>
              <w:t>Presentación de caracteres:</w:t>
            </w:r>
            <w:r>
              <w:rPr>
                <w:sz w:val="16"/>
                <w:szCs w:val="16"/>
              </w:rPr>
              <w:t xml:space="preserve"> </w:t>
            </w:r>
            <w:r w:rsidRPr="00AD0EE5">
              <w:rPr>
                <w:sz w:val="16"/>
                <w:szCs w:val="16"/>
              </w:rPr>
              <w:t>título de un carácter</w:t>
            </w:r>
            <w:r w:rsidRPr="006B4F93">
              <w:rPr>
                <w:sz w:val="16"/>
                <w:szCs w:val="16"/>
              </w:rPr>
              <w:t>}</w:t>
            </w:r>
          </w:p>
        </w:tc>
        <w:tc>
          <w:tcPr>
            <w:tcW w:w="1917" w:type="dxa"/>
            <w:gridSpan w:val="2"/>
            <w:tcBorders>
              <w:top w:val="single" w:sz="4" w:space="0" w:color="auto"/>
              <w:bottom w:val="dotted" w:sz="2" w:space="0" w:color="auto"/>
            </w:tcBorders>
          </w:tcPr>
          <w:p w:rsidR="002008AA" w:rsidRPr="000A3C80" w:rsidRDefault="002008AA" w:rsidP="008A29E5">
            <w:pPr>
              <w:keepNext/>
              <w:spacing w:before="80" w:after="80"/>
              <w:jc w:val="left"/>
              <w:rPr>
                <w:b/>
                <w:bCs/>
                <w:dstrike/>
                <w:noProof/>
                <w:sz w:val="16"/>
                <w:szCs w:val="16"/>
                <w:lang w:val="fr-FR"/>
              </w:rPr>
            </w:pPr>
            <w:r w:rsidRPr="000A3C80">
              <w:rPr>
                <w:b/>
                <w:bCs/>
                <w:noProof/>
                <w:sz w:val="16"/>
                <w:szCs w:val="16"/>
                <w:lang w:val="fr-FR"/>
              </w:rPr>
              <w:t>Nom du caractère en français</w:t>
            </w:r>
          </w:p>
        </w:tc>
        <w:tc>
          <w:tcPr>
            <w:tcW w:w="1916" w:type="dxa"/>
            <w:gridSpan w:val="2"/>
            <w:tcBorders>
              <w:top w:val="single" w:sz="4" w:space="0" w:color="auto"/>
              <w:bottom w:val="dotted" w:sz="2" w:space="0" w:color="auto"/>
            </w:tcBorders>
          </w:tcPr>
          <w:p w:rsidR="002008AA" w:rsidRPr="00F1554A" w:rsidRDefault="002008AA" w:rsidP="008A29E5">
            <w:pPr>
              <w:keepNext/>
              <w:spacing w:before="80" w:after="80"/>
              <w:jc w:val="left"/>
              <w:rPr>
                <w:b/>
                <w:bCs/>
                <w:dstrike/>
                <w:noProof/>
                <w:sz w:val="16"/>
                <w:szCs w:val="16"/>
                <w:lang w:val="de-DE"/>
              </w:rPr>
            </w:pPr>
            <w:r w:rsidRPr="00F1554A">
              <w:rPr>
                <w:b/>
                <w:bCs/>
                <w:noProof/>
                <w:sz w:val="16"/>
                <w:szCs w:val="16"/>
                <w:lang w:val="de-DE"/>
              </w:rPr>
              <w:t>Name des Merkmals auf Deutsch</w:t>
            </w:r>
          </w:p>
        </w:tc>
        <w:tc>
          <w:tcPr>
            <w:tcW w:w="1923" w:type="dxa"/>
            <w:gridSpan w:val="2"/>
            <w:tcBorders>
              <w:top w:val="single" w:sz="4" w:space="0" w:color="auto"/>
              <w:bottom w:val="dotted" w:sz="2" w:space="0" w:color="auto"/>
            </w:tcBorders>
          </w:tcPr>
          <w:p w:rsidR="002008AA" w:rsidRPr="007A3ABF" w:rsidRDefault="002008AA" w:rsidP="008A29E5">
            <w:pPr>
              <w:keepNext/>
              <w:spacing w:before="80" w:after="80"/>
              <w:jc w:val="left"/>
              <w:rPr>
                <w:b/>
                <w:bCs/>
                <w:sz w:val="16"/>
                <w:szCs w:val="16"/>
              </w:rPr>
            </w:pPr>
            <w:r w:rsidRPr="007A3ABF">
              <w:rPr>
                <w:b/>
                <w:bCs/>
                <w:sz w:val="16"/>
                <w:szCs w:val="16"/>
              </w:rPr>
              <w:t>Nombre del carácter en español</w:t>
            </w:r>
          </w:p>
        </w:tc>
        <w:tc>
          <w:tcPr>
            <w:tcW w:w="1810" w:type="dxa"/>
            <w:tcBorders>
              <w:top w:val="single" w:sz="4" w:space="0" w:color="auto"/>
              <w:bottom w:val="dotted" w:sz="2" w:space="0" w:color="auto"/>
            </w:tcBorders>
          </w:tcPr>
          <w:p w:rsidR="002008AA" w:rsidRPr="003949B3" w:rsidRDefault="002008AA" w:rsidP="008A29E5">
            <w:pPr>
              <w:keepNext/>
              <w:spacing w:before="80" w:after="80"/>
            </w:pPr>
          </w:p>
        </w:tc>
        <w:tc>
          <w:tcPr>
            <w:tcW w:w="567" w:type="dxa"/>
            <w:tcBorders>
              <w:top w:val="single" w:sz="4" w:space="0" w:color="auto"/>
              <w:bottom w:val="dotted" w:sz="2" w:space="0" w:color="auto"/>
            </w:tcBorders>
          </w:tcPr>
          <w:p w:rsidR="002008AA" w:rsidRPr="003949B3" w:rsidRDefault="002008AA" w:rsidP="008A29E5">
            <w:pPr>
              <w:keepNext/>
              <w:spacing w:before="80" w:after="80"/>
              <w:jc w:val="center"/>
            </w:pPr>
          </w:p>
        </w:tc>
      </w:tr>
      <w:tr w:rsidR="002008AA" w:rsidTr="008A29E5">
        <w:trPr>
          <w:cantSplit/>
        </w:trPr>
        <w:tc>
          <w:tcPr>
            <w:tcW w:w="709" w:type="dxa"/>
            <w:gridSpan w:val="2"/>
            <w:tcBorders>
              <w:bottom w:val="single" w:sz="4" w:space="0" w:color="auto"/>
            </w:tcBorders>
          </w:tcPr>
          <w:p w:rsidR="002008AA" w:rsidRPr="003949B3" w:rsidRDefault="002008AA" w:rsidP="008A29E5">
            <w:pPr>
              <w:keepNext/>
              <w:spacing w:before="80" w:after="80"/>
              <w:jc w:val="left"/>
              <w:rPr>
                <w:sz w:val="16"/>
                <w:szCs w:val="16"/>
              </w:rPr>
            </w:pPr>
          </w:p>
        </w:tc>
        <w:tc>
          <w:tcPr>
            <w:tcW w:w="1790" w:type="dxa"/>
            <w:gridSpan w:val="2"/>
            <w:tcBorders>
              <w:top w:val="dotted" w:sz="2" w:space="0" w:color="auto"/>
              <w:bottom w:val="single" w:sz="4" w:space="0" w:color="auto"/>
            </w:tcBorders>
          </w:tcPr>
          <w:p w:rsidR="002008AA" w:rsidRPr="000A3C80" w:rsidRDefault="002008AA" w:rsidP="008A29E5">
            <w:pPr>
              <w:keepNext/>
              <w:spacing w:before="80" w:after="80"/>
              <w:jc w:val="left"/>
              <w:rPr>
                <w:noProof/>
                <w:sz w:val="16"/>
                <w:szCs w:val="16"/>
              </w:rPr>
            </w:pPr>
            <w:r w:rsidRPr="000A3C80">
              <w:rPr>
                <w:noProof/>
                <w:sz w:val="16"/>
                <w:szCs w:val="16"/>
              </w:rPr>
              <w:t>states of expression</w:t>
            </w:r>
          </w:p>
          <w:p w:rsidR="002008AA" w:rsidRPr="0025273B" w:rsidRDefault="002008AA" w:rsidP="008A29E5">
            <w:pPr>
              <w:pStyle w:val="Normalt"/>
              <w:rPr>
                <w:rFonts w:ascii="Arial" w:hAnsi="Arial" w:cs="Arial"/>
                <w:sz w:val="16"/>
                <w:szCs w:val="16"/>
                <w:lang w:val="es-ES"/>
              </w:rPr>
            </w:pPr>
            <w:r w:rsidRPr="0025273B">
              <w:rPr>
                <w:rFonts w:ascii="Arial" w:hAnsi="Arial" w:cs="Arial"/>
                <w:sz w:val="16"/>
                <w:szCs w:val="16"/>
                <w:lang w:val="es-ES"/>
              </w:rPr>
              <w:t>{</w:t>
            </w:r>
            <w:r w:rsidRPr="0025273B">
              <w:rPr>
                <w:rFonts w:ascii="Arial" w:hAnsi="Arial" w:cs="Arial"/>
                <w:sz w:val="16"/>
                <w:szCs w:val="16"/>
                <w:bdr w:val="single" w:sz="12" w:space="0" w:color="auto"/>
                <w:lang w:val="es-ES"/>
              </w:rPr>
              <w:t xml:space="preserve"> </w:t>
            </w:r>
            <w:r w:rsidRPr="0025273B">
              <w:rPr>
                <w:rFonts w:ascii="Arial" w:hAnsi="Arial" w:cs="Arial"/>
                <w:sz w:val="16"/>
                <w:szCs w:val="16"/>
                <w:highlight w:val="lightGray"/>
                <w:bdr w:val="single" w:sz="12" w:space="0" w:color="auto"/>
                <w:lang w:val="es-ES"/>
              </w:rPr>
              <w:t>GN </w:t>
            </w:r>
            <w:r w:rsidRPr="0025273B">
              <w:rPr>
                <w:rFonts w:ascii="Arial" w:hAnsi="Arial" w:cs="Arial"/>
                <w:sz w:val="16"/>
                <w:szCs w:val="16"/>
                <w:bdr w:val="single" w:sz="12" w:space="0" w:color="auto"/>
                <w:lang w:val="es-ES"/>
              </w:rPr>
              <w:t>19</w:t>
            </w:r>
            <w:r w:rsidRPr="0025273B">
              <w:rPr>
                <w:rFonts w:ascii="Arial" w:hAnsi="Arial" w:cs="Arial"/>
                <w:sz w:val="16"/>
                <w:szCs w:val="16"/>
                <w:lang w:val="es-ES"/>
              </w:rPr>
              <w:t xml:space="preserve"> </w:t>
            </w:r>
            <w:r w:rsidRPr="00AD0EE5">
              <w:rPr>
                <w:rFonts w:ascii="Arial" w:hAnsi="Arial" w:cs="Arial"/>
                <w:sz w:val="16"/>
                <w:szCs w:val="16"/>
                <w:lang w:val="es-ES_tradnl"/>
              </w:rPr>
              <w:t>Presentación de caracteres:</w:t>
            </w:r>
            <w:r w:rsidRPr="0025273B">
              <w:rPr>
                <w:rFonts w:ascii="Arial" w:hAnsi="Arial" w:cs="Arial"/>
                <w:sz w:val="16"/>
                <w:szCs w:val="16"/>
                <w:lang w:val="es-ES"/>
              </w:rPr>
              <w:t xml:space="preserve"> </w:t>
            </w:r>
            <w:r w:rsidRPr="00AD0EE5">
              <w:rPr>
                <w:rFonts w:ascii="Arial" w:hAnsi="Arial" w:cs="Arial"/>
                <w:sz w:val="16"/>
                <w:szCs w:val="16"/>
                <w:lang w:val="es-ES_tradnl"/>
              </w:rPr>
              <w:t>presentación general de los niveles de expresión</w:t>
            </w:r>
            <w:r w:rsidRPr="0025273B">
              <w:rPr>
                <w:rFonts w:ascii="Arial" w:hAnsi="Arial" w:cs="Arial"/>
                <w:sz w:val="16"/>
                <w:szCs w:val="16"/>
                <w:lang w:val="es-ES"/>
              </w:rPr>
              <w:t xml:space="preserve">} </w:t>
            </w:r>
          </w:p>
          <w:p w:rsidR="002008AA" w:rsidRDefault="002008AA" w:rsidP="008A29E5">
            <w:pPr>
              <w:keepNext/>
              <w:spacing w:before="80" w:after="80"/>
              <w:jc w:val="left"/>
            </w:pPr>
            <w:r w:rsidRPr="006B4F93">
              <w:rPr>
                <w:sz w:val="16"/>
                <w:szCs w:val="16"/>
              </w:rPr>
              <w:t>{</w:t>
            </w:r>
            <w:r w:rsidRPr="006B4F93">
              <w:rPr>
                <w:sz w:val="16"/>
                <w:szCs w:val="16"/>
                <w:bdr w:val="single" w:sz="12" w:space="0" w:color="auto"/>
              </w:rPr>
              <w:t xml:space="preserve"> </w:t>
            </w:r>
            <w:r w:rsidRPr="006B4F93">
              <w:rPr>
                <w:sz w:val="16"/>
                <w:szCs w:val="16"/>
                <w:highlight w:val="lightGray"/>
                <w:bdr w:val="single" w:sz="12" w:space="0" w:color="auto"/>
              </w:rPr>
              <w:t>GN</w:t>
            </w:r>
            <w:r>
              <w:rPr>
                <w:sz w:val="16"/>
                <w:szCs w:val="16"/>
                <w:highlight w:val="lightGray"/>
                <w:bdr w:val="single" w:sz="12" w:space="0" w:color="auto"/>
              </w:rPr>
              <w:t> </w:t>
            </w:r>
            <w:r w:rsidRPr="006B4F93">
              <w:rPr>
                <w:sz w:val="16"/>
                <w:szCs w:val="16"/>
                <w:bdr w:val="single" w:sz="12" w:space="0" w:color="auto"/>
              </w:rPr>
              <w:t>20</w:t>
            </w:r>
            <w:r>
              <w:rPr>
                <w:sz w:val="16"/>
                <w:szCs w:val="16"/>
              </w:rPr>
              <w:t xml:space="preserve"> </w:t>
            </w:r>
            <w:r w:rsidRPr="00AD0EE5">
              <w:rPr>
                <w:sz w:val="16"/>
                <w:szCs w:val="16"/>
              </w:rPr>
              <w:t>Presentación de caracteres:</w:t>
            </w:r>
            <w:r>
              <w:rPr>
                <w:sz w:val="16"/>
                <w:szCs w:val="16"/>
              </w:rPr>
              <w:t xml:space="preserve"> </w:t>
            </w:r>
            <w:r w:rsidRPr="00AD0EE5">
              <w:rPr>
                <w:sz w:val="16"/>
                <w:szCs w:val="16"/>
              </w:rPr>
              <w:t>niveles de expresión conforme al tipo de expresión de un carácter</w:t>
            </w:r>
          </w:p>
        </w:tc>
        <w:tc>
          <w:tcPr>
            <w:tcW w:w="1917" w:type="dxa"/>
            <w:gridSpan w:val="2"/>
            <w:tcBorders>
              <w:top w:val="dotted" w:sz="2" w:space="0" w:color="auto"/>
              <w:bottom w:val="single" w:sz="4" w:space="0" w:color="auto"/>
            </w:tcBorders>
          </w:tcPr>
          <w:p w:rsidR="002008AA" w:rsidRPr="0045241C" w:rsidRDefault="002008AA" w:rsidP="008A29E5">
            <w:pPr>
              <w:keepNext/>
              <w:spacing w:before="80" w:after="80"/>
              <w:jc w:val="left"/>
              <w:rPr>
                <w:dstrike/>
                <w:noProof/>
                <w:sz w:val="16"/>
                <w:szCs w:val="16"/>
                <w:lang w:val="en-US"/>
              </w:rPr>
            </w:pPr>
            <w:r w:rsidRPr="007A3ABF">
              <w:rPr>
                <w:noProof/>
                <w:sz w:val="16"/>
                <w:szCs w:val="16"/>
                <w:lang w:val="en-US"/>
              </w:rPr>
              <w:t>types d’expression</w:t>
            </w:r>
          </w:p>
        </w:tc>
        <w:tc>
          <w:tcPr>
            <w:tcW w:w="1916" w:type="dxa"/>
            <w:gridSpan w:val="2"/>
            <w:tcBorders>
              <w:top w:val="dotted" w:sz="2" w:space="0" w:color="auto"/>
              <w:bottom w:val="single" w:sz="4" w:space="0" w:color="auto"/>
            </w:tcBorders>
          </w:tcPr>
          <w:p w:rsidR="002008AA" w:rsidRPr="0045241C" w:rsidRDefault="002008AA" w:rsidP="008A29E5">
            <w:pPr>
              <w:keepNext/>
              <w:spacing w:before="80" w:after="80"/>
              <w:jc w:val="left"/>
              <w:rPr>
                <w:dstrike/>
                <w:noProof/>
                <w:sz w:val="16"/>
                <w:szCs w:val="16"/>
                <w:lang w:val="en-US"/>
              </w:rPr>
            </w:pPr>
            <w:r w:rsidRPr="007A3ABF">
              <w:rPr>
                <w:noProof/>
                <w:sz w:val="16"/>
                <w:szCs w:val="16"/>
                <w:lang w:val="en-US"/>
              </w:rPr>
              <w:t>Ausprägungsstufen</w:t>
            </w:r>
          </w:p>
        </w:tc>
        <w:tc>
          <w:tcPr>
            <w:tcW w:w="1923" w:type="dxa"/>
            <w:gridSpan w:val="2"/>
            <w:tcBorders>
              <w:top w:val="dotted" w:sz="2" w:space="0" w:color="auto"/>
              <w:bottom w:val="single" w:sz="4" w:space="0" w:color="auto"/>
            </w:tcBorders>
          </w:tcPr>
          <w:p w:rsidR="002008AA" w:rsidRPr="007A3ABF" w:rsidRDefault="002008AA" w:rsidP="008A29E5">
            <w:pPr>
              <w:keepNext/>
              <w:spacing w:before="80" w:after="80"/>
              <w:jc w:val="left"/>
              <w:rPr>
                <w:sz w:val="16"/>
                <w:szCs w:val="16"/>
              </w:rPr>
            </w:pPr>
            <w:r w:rsidRPr="007A3ABF">
              <w:rPr>
                <w:sz w:val="16"/>
                <w:szCs w:val="16"/>
              </w:rPr>
              <w:t>tipos de expresión</w:t>
            </w:r>
          </w:p>
        </w:tc>
        <w:tc>
          <w:tcPr>
            <w:tcW w:w="1810" w:type="dxa"/>
            <w:tcBorders>
              <w:top w:val="dotted" w:sz="2" w:space="0" w:color="auto"/>
              <w:bottom w:val="single" w:sz="4" w:space="0" w:color="auto"/>
            </w:tcBorders>
          </w:tcPr>
          <w:p w:rsidR="002008AA" w:rsidRDefault="002008AA" w:rsidP="008A29E5">
            <w:pPr>
              <w:keepNext/>
              <w:spacing w:before="80" w:after="80"/>
              <w:jc w:val="left"/>
            </w:pPr>
            <w:r w:rsidRPr="006B4F93">
              <w:rPr>
                <w:sz w:val="16"/>
                <w:szCs w:val="16"/>
              </w:rPr>
              <w:t>{</w:t>
            </w:r>
            <w:r w:rsidRPr="006B4F93">
              <w:rPr>
                <w:sz w:val="16"/>
                <w:szCs w:val="16"/>
                <w:bdr w:val="single" w:sz="12" w:space="0" w:color="auto"/>
              </w:rPr>
              <w:t xml:space="preserve"> </w:t>
            </w:r>
            <w:r w:rsidRPr="006B4F93">
              <w:rPr>
                <w:sz w:val="16"/>
                <w:szCs w:val="16"/>
                <w:highlight w:val="lightGray"/>
                <w:bdr w:val="single" w:sz="12" w:space="0" w:color="auto"/>
              </w:rPr>
              <w:t>GN</w:t>
            </w:r>
            <w:r>
              <w:rPr>
                <w:sz w:val="16"/>
                <w:szCs w:val="16"/>
                <w:highlight w:val="lightGray"/>
                <w:bdr w:val="single" w:sz="12" w:space="0" w:color="auto"/>
              </w:rPr>
              <w:t> </w:t>
            </w:r>
            <w:r w:rsidRPr="006B4F93">
              <w:rPr>
                <w:sz w:val="16"/>
                <w:szCs w:val="16"/>
                <w:bdr w:val="single" w:sz="12" w:space="0" w:color="auto"/>
              </w:rPr>
              <w:t>28</w:t>
            </w:r>
            <w:r>
              <w:rPr>
                <w:sz w:val="16"/>
                <w:szCs w:val="16"/>
              </w:rPr>
              <w:t xml:space="preserve"> </w:t>
            </w:r>
            <w:r w:rsidRPr="00AD0EE5">
              <w:rPr>
                <w:sz w:val="16"/>
                <w:szCs w:val="16"/>
              </w:rPr>
              <w:t>Variedades ejemplo</w:t>
            </w:r>
            <w:r w:rsidRPr="006B4F93">
              <w:rPr>
                <w:sz w:val="16"/>
                <w:szCs w:val="16"/>
              </w:rPr>
              <w:t>}</w:t>
            </w:r>
          </w:p>
        </w:tc>
        <w:tc>
          <w:tcPr>
            <w:tcW w:w="567" w:type="dxa"/>
            <w:tcBorders>
              <w:top w:val="dotted" w:sz="2" w:space="0" w:color="auto"/>
              <w:bottom w:val="single" w:sz="4" w:space="0" w:color="auto"/>
            </w:tcBorders>
          </w:tcPr>
          <w:p w:rsidR="002008AA" w:rsidRDefault="002008AA" w:rsidP="008A29E5">
            <w:pPr>
              <w:keepNext/>
              <w:spacing w:before="80" w:after="80"/>
              <w:jc w:val="center"/>
            </w:pPr>
          </w:p>
        </w:tc>
      </w:tr>
    </w:tbl>
    <w:p w:rsidR="002008AA" w:rsidRPr="00EC708A" w:rsidRDefault="002008AA" w:rsidP="002008AA">
      <w:pPr>
        <w:keepNext/>
        <w:rPr>
          <w:sz w:val="18"/>
        </w:rPr>
      </w:pPr>
    </w:p>
    <w:p w:rsidR="002008AA" w:rsidRPr="00EC708A" w:rsidRDefault="002008AA" w:rsidP="002008AA">
      <w:pPr>
        <w:keepNext/>
        <w:rPr>
          <w:sz w:val="16"/>
          <w:szCs w:val="18"/>
        </w:rPr>
      </w:pPr>
      <w:r w:rsidRPr="00EC708A">
        <w:rPr>
          <w:sz w:val="16"/>
          <w:szCs w:val="18"/>
        </w:rPr>
        <w:t>Leyenda</w:t>
      </w:r>
    </w:p>
    <w:p w:rsidR="002008AA" w:rsidRPr="00EC708A" w:rsidRDefault="002008AA" w:rsidP="002008AA">
      <w:pPr>
        <w:keepNext/>
        <w:rPr>
          <w:sz w:val="16"/>
          <w:szCs w:val="18"/>
        </w:rPr>
      </w:pPr>
      <w:r w:rsidRPr="00EC708A">
        <w:rPr>
          <w:sz w:val="16"/>
          <w:szCs w:val="18"/>
        </w:rPr>
        <w:t>1</w:t>
      </w:r>
      <w:r w:rsidRPr="00EC708A">
        <w:rPr>
          <w:sz w:val="16"/>
          <w:szCs w:val="18"/>
        </w:rPr>
        <w:tab/>
        <w:t>Número de carácter</w:t>
      </w:r>
    </w:p>
    <w:p w:rsidR="002008AA" w:rsidRPr="00EC708A" w:rsidRDefault="002008AA" w:rsidP="002008AA">
      <w:pPr>
        <w:keepNext/>
        <w:rPr>
          <w:sz w:val="16"/>
          <w:szCs w:val="18"/>
        </w:rPr>
      </w:pPr>
      <w:r w:rsidRPr="00EC708A">
        <w:rPr>
          <w:sz w:val="16"/>
          <w:szCs w:val="18"/>
        </w:rPr>
        <w:t>2</w:t>
      </w:r>
      <w:r w:rsidRPr="00EC708A">
        <w:rPr>
          <w:sz w:val="16"/>
          <w:szCs w:val="18"/>
        </w:rPr>
        <w:tab/>
        <w:t>(*)</w:t>
      </w:r>
      <w:r w:rsidRPr="00EC708A">
        <w:rPr>
          <w:sz w:val="16"/>
          <w:szCs w:val="18"/>
        </w:rPr>
        <w:tab/>
        <w:t xml:space="preserve">Carácter con asterisco </w:t>
      </w:r>
      <w:r w:rsidRPr="00EC708A">
        <w:rPr>
          <w:sz w:val="16"/>
          <w:szCs w:val="18"/>
        </w:rPr>
        <w:tab/>
      </w:r>
      <w:r w:rsidRPr="00EC708A">
        <w:rPr>
          <w:sz w:val="16"/>
          <w:szCs w:val="18"/>
        </w:rPr>
        <w:tab/>
        <w:t xml:space="preserve">– véase el Capítulo 6.1.2 </w:t>
      </w:r>
    </w:p>
    <w:p w:rsidR="002008AA" w:rsidRPr="00EC708A" w:rsidRDefault="002008AA" w:rsidP="002008AA">
      <w:pPr>
        <w:keepNext/>
        <w:rPr>
          <w:sz w:val="16"/>
          <w:szCs w:val="18"/>
        </w:rPr>
      </w:pPr>
      <w:r w:rsidRPr="00EC708A">
        <w:rPr>
          <w:sz w:val="16"/>
          <w:szCs w:val="18"/>
        </w:rPr>
        <w:tab/>
        <w:t>{</w:t>
      </w:r>
      <w:r w:rsidRPr="00EC708A">
        <w:rPr>
          <w:sz w:val="16"/>
          <w:szCs w:val="18"/>
          <w:highlight w:val="lightGray"/>
          <w:bdr w:val="single" w:sz="12" w:space="0" w:color="auto"/>
        </w:rPr>
        <w:t>GN </w:t>
      </w:r>
      <w:r w:rsidRPr="00EC708A">
        <w:rPr>
          <w:sz w:val="16"/>
          <w:szCs w:val="18"/>
          <w:bdr w:val="single" w:sz="12" w:space="0" w:color="auto"/>
        </w:rPr>
        <w:t xml:space="preserve">13.1, 13.4 </w:t>
      </w:r>
      <w:r w:rsidRPr="00EC708A">
        <w:rPr>
          <w:sz w:val="16"/>
          <w:szCs w:val="18"/>
        </w:rPr>
        <w:t>Caracteres con asterisco}</w:t>
      </w:r>
    </w:p>
    <w:p w:rsidR="002008AA" w:rsidRPr="00EC708A" w:rsidRDefault="002008AA" w:rsidP="002008AA">
      <w:pPr>
        <w:keepNext/>
        <w:rPr>
          <w:sz w:val="16"/>
          <w:szCs w:val="18"/>
        </w:rPr>
      </w:pPr>
      <w:r w:rsidRPr="00EC708A">
        <w:rPr>
          <w:sz w:val="16"/>
          <w:szCs w:val="18"/>
        </w:rPr>
        <w:t>3</w:t>
      </w:r>
      <w:r w:rsidRPr="00EC708A">
        <w:rPr>
          <w:sz w:val="16"/>
          <w:szCs w:val="18"/>
        </w:rPr>
        <w:tab/>
        <w:t>Tipo de expresión</w:t>
      </w:r>
      <w:r w:rsidRPr="00EC708A">
        <w:rPr>
          <w:sz w:val="16"/>
          <w:szCs w:val="18"/>
        </w:rPr>
        <w:tab/>
        <w:t xml:space="preserve"> </w:t>
      </w:r>
    </w:p>
    <w:p w:rsidR="002008AA" w:rsidRPr="00EC708A" w:rsidRDefault="002008AA" w:rsidP="002008AA">
      <w:pPr>
        <w:keepNext/>
        <w:tabs>
          <w:tab w:val="left" w:pos="709"/>
          <w:tab w:val="left" w:pos="1276"/>
        </w:tabs>
        <w:ind w:left="567"/>
        <w:rPr>
          <w:sz w:val="16"/>
          <w:szCs w:val="18"/>
        </w:rPr>
      </w:pPr>
      <w:r w:rsidRPr="00EC708A">
        <w:rPr>
          <w:sz w:val="16"/>
          <w:szCs w:val="18"/>
        </w:rPr>
        <w:t>QL</w:t>
      </w:r>
      <w:r w:rsidRPr="00EC708A">
        <w:rPr>
          <w:sz w:val="16"/>
          <w:szCs w:val="18"/>
        </w:rPr>
        <w:tab/>
        <w:t xml:space="preserve">Carácter cualitativo </w:t>
      </w:r>
      <w:r w:rsidRPr="00EC708A">
        <w:rPr>
          <w:sz w:val="16"/>
          <w:szCs w:val="18"/>
        </w:rPr>
        <w:tab/>
      </w:r>
      <w:r w:rsidRPr="00EC708A">
        <w:rPr>
          <w:sz w:val="16"/>
          <w:szCs w:val="18"/>
        </w:rPr>
        <w:tab/>
        <w:t>– véase el Capítulo 6.3</w:t>
      </w:r>
    </w:p>
    <w:p w:rsidR="002008AA" w:rsidRPr="00EC708A" w:rsidRDefault="002008AA" w:rsidP="002008AA">
      <w:pPr>
        <w:keepNext/>
        <w:tabs>
          <w:tab w:val="left" w:pos="709"/>
          <w:tab w:val="left" w:pos="1276"/>
        </w:tabs>
        <w:ind w:left="567"/>
        <w:rPr>
          <w:sz w:val="16"/>
          <w:szCs w:val="18"/>
        </w:rPr>
      </w:pPr>
      <w:r w:rsidRPr="00EC708A">
        <w:rPr>
          <w:sz w:val="16"/>
          <w:szCs w:val="18"/>
        </w:rPr>
        <w:t>QN</w:t>
      </w:r>
      <w:r w:rsidRPr="00EC708A">
        <w:rPr>
          <w:sz w:val="16"/>
          <w:szCs w:val="18"/>
        </w:rPr>
        <w:tab/>
        <w:t xml:space="preserve">Carácter cuantitativo </w:t>
      </w:r>
      <w:r w:rsidRPr="00EC708A">
        <w:rPr>
          <w:sz w:val="16"/>
          <w:szCs w:val="18"/>
        </w:rPr>
        <w:tab/>
      </w:r>
      <w:r w:rsidRPr="00EC708A">
        <w:rPr>
          <w:sz w:val="16"/>
          <w:szCs w:val="18"/>
        </w:rPr>
        <w:tab/>
        <w:t>– véase el Capítulo 6.3</w:t>
      </w:r>
    </w:p>
    <w:p w:rsidR="002008AA" w:rsidRPr="00EC708A" w:rsidRDefault="002008AA" w:rsidP="002008AA">
      <w:pPr>
        <w:keepNext/>
        <w:tabs>
          <w:tab w:val="left" w:pos="709"/>
          <w:tab w:val="left" w:pos="1276"/>
        </w:tabs>
        <w:ind w:left="567"/>
        <w:rPr>
          <w:sz w:val="16"/>
          <w:szCs w:val="18"/>
        </w:rPr>
      </w:pPr>
      <w:r w:rsidRPr="00EC708A">
        <w:rPr>
          <w:sz w:val="16"/>
          <w:szCs w:val="18"/>
        </w:rPr>
        <w:t>PQ</w:t>
      </w:r>
      <w:r w:rsidRPr="00EC708A">
        <w:rPr>
          <w:sz w:val="16"/>
          <w:szCs w:val="18"/>
        </w:rPr>
        <w:tab/>
        <w:t xml:space="preserve">Carácter pseudocualitativo </w:t>
      </w:r>
      <w:r w:rsidRPr="00EC708A">
        <w:rPr>
          <w:sz w:val="16"/>
          <w:szCs w:val="18"/>
        </w:rPr>
        <w:tab/>
        <w:t>– véase el Capítulo 6.3</w:t>
      </w:r>
    </w:p>
    <w:p w:rsidR="002008AA" w:rsidRPr="00EC708A" w:rsidRDefault="002008AA" w:rsidP="002008AA">
      <w:pPr>
        <w:keepNext/>
        <w:tabs>
          <w:tab w:val="left" w:pos="709"/>
          <w:tab w:val="left" w:pos="1276"/>
        </w:tabs>
        <w:ind w:left="567"/>
        <w:rPr>
          <w:sz w:val="16"/>
          <w:szCs w:val="18"/>
        </w:rPr>
      </w:pPr>
      <w:r w:rsidRPr="00EC708A">
        <w:rPr>
          <w:sz w:val="16"/>
          <w:szCs w:val="18"/>
        </w:rPr>
        <w:t>{</w:t>
      </w:r>
      <w:r w:rsidRPr="00EC708A">
        <w:rPr>
          <w:sz w:val="16"/>
          <w:szCs w:val="18"/>
          <w:bdr w:val="single" w:sz="12" w:space="0" w:color="auto"/>
        </w:rPr>
        <w:t xml:space="preserve"> </w:t>
      </w:r>
      <w:r w:rsidRPr="00EC708A">
        <w:rPr>
          <w:sz w:val="16"/>
          <w:szCs w:val="18"/>
          <w:highlight w:val="lightGray"/>
          <w:bdr w:val="single" w:sz="12" w:space="0" w:color="auto"/>
        </w:rPr>
        <w:t>GN </w:t>
      </w:r>
      <w:r w:rsidRPr="00EC708A">
        <w:rPr>
          <w:sz w:val="16"/>
          <w:szCs w:val="18"/>
          <w:bdr w:val="single" w:sz="12" w:space="0" w:color="auto"/>
        </w:rPr>
        <w:t>21</w:t>
      </w:r>
      <w:r w:rsidRPr="00EC708A">
        <w:rPr>
          <w:sz w:val="16"/>
          <w:szCs w:val="18"/>
        </w:rPr>
        <w:t>Tipo de expresión del carácter}</w:t>
      </w:r>
    </w:p>
    <w:p w:rsidR="002008AA" w:rsidRPr="00EC708A" w:rsidRDefault="002008AA" w:rsidP="002008AA">
      <w:pPr>
        <w:keepNext/>
        <w:rPr>
          <w:rFonts w:eastAsia="MS Mincho"/>
          <w:sz w:val="16"/>
          <w:szCs w:val="18"/>
        </w:rPr>
      </w:pPr>
      <w:r w:rsidRPr="00EC708A">
        <w:rPr>
          <w:rFonts w:eastAsia="MS Mincho"/>
          <w:sz w:val="16"/>
          <w:szCs w:val="18"/>
        </w:rPr>
        <w:t>4</w:t>
      </w:r>
      <w:r w:rsidRPr="00EC708A">
        <w:rPr>
          <w:rFonts w:eastAsia="MS Mincho"/>
          <w:sz w:val="16"/>
          <w:szCs w:val="18"/>
        </w:rPr>
        <w:tab/>
        <w:t>Método de observación (y tipo de parcela, si procede)</w:t>
      </w:r>
    </w:p>
    <w:p w:rsidR="002008AA" w:rsidRPr="00EC708A" w:rsidRDefault="002008AA" w:rsidP="002008AA">
      <w:pPr>
        <w:keepNext/>
        <w:tabs>
          <w:tab w:val="left" w:pos="3402"/>
        </w:tabs>
        <w:ind w:left="567"/>
        <w:rPr>
          <w:rFonts w:eastAsia="MS Mincho"/>
          <w:sz w:val="16"/>
          <w:szCs w:val="18"/>
        </w:rPr>
      </w:pPr>
      <w:r w:rsidRPr="00EC708A">
        <w:rPr>
          <w:rFonts w:eastAsia="MS Mincho"/>
          <w:sz w:val="16"/>
          <w:szCs w:val="18"/>
        </w:rPr>
        <w:t xml:space="preserve">MG, MS, VG, VS </w:t>
      </w:r>
      <w:r w:rsidRPr="00EC708A">
        <w:rPr>
          <w:rFonts w:eastAsia="MS Mincho"/>
          <w:sz w:val="16"/>
          <w:szCs w:val="18"/>
        </w:rPr>
        <w:tab/>
      </w:r>
      <w:r w:rsidRPr="00EC708A">
        <w:rPr>
          <w:rFonts w:eastAsia="MS Mincho"/>
          <w:sz w:val="16"/>
          <w:szCs w:val="18"/>
        </w:rPr>
        <w:tab/>
      </w:r>
      <w:r w:rsidRPr="00EC708A">
        <w:rPr>
          <w:sz w:val="16"/>
          <w:szCs w:val="18"/>
        </w:rPr>
        <w:t xml:space="preserve">– </w:t>
      </w:r>
      <w:r w:rsidRPr="00EC708A">
        <w:rPr>
          <w:rFonts w:eastAsia="MS Mincho"/>
          <w:sz w:val="16"/>
          <w:szCs w:val="18"/>
        </w:rPr>
        <w:t>véase el Capítulo 4.1.5</w:t>
      </w:r>
    </w:p>
    <w:p w:rsidR="002008AA" w:rsidRPr="00EC708A" w:rsidRDefault="002008AA" w:rsidP="002008AA">
      <w:pPr>
        <w:keepNext/>
        <w:tabs>
          <w:tab w:val="left" w:pos="3969"/>
        </w:tabs>
        <w:ind w:left="567"/>
        <w:rPr>
          <w:rFonts w:eastAsia="MS Mincho"/>
          <w:sz w:val="16"/>
          <w:szCs w:val="18"/>
        </w:rPr>
      </w:pPr>
      <w:r w:rsidRPr="00EC708A">
        <w:rPr>
          <w:sz w:val="16"/>
          <w:szCs w:val="18"/>
        </w:rPr>
        <w:t>{</w:t>
      </w:r>
      <w:r w:rsidRPr="00EC708A">
        <w:rPr>
          <w:sz w:val="16"/>
          <w:szCs w:val="18"/>
          <w:bdr w:val="single" w:sz="12" w:space="0" w:color="auto"/>
        </w:rPr>
        <w:t xml:space="preserve"> </w:t>
      </w:r>
      <w:r w:rsidRPr="00EC708A">
        <w:rPr>
          <w:sz w:val="16"/>
          <w:szCs w:val="18"/>
          <w:highlight w:val="lightGray"/>
          <w:bdr w:val="single" w:sz="12" w:space="0" w:color="auto"/>
        </w:rPr>
        <w:t>GN </w:t>
      </w:r>
      <w:r w:rsidRPr="00EC708A">
        <w:rPr>
          <w:sz w:val="16"/>
          <w:szCs w:val="18"/>
          <w:bdr w:val="single" w:sz="12" w:space="0" w:color="auto"/>
        </w:rPr>
        <w:t xml:space="preserve">25  </w:t>
      </w:r>
      <w:r w:rsidRPr="00EC708A">
        <w:rPr>
          <w:sz w:val="16"/>
          <w:szCs w:val="18"/>
        </w:rPr>
        <w:t>Recomendaciones para efectuar el examen }</w:t>
      </w:r>
    </w:p>
    <w:p w:rsidR="002008AA" w:rsidRPr="00EC708A" w:rsidRDefault="002008AA" w:rsidP="002008AA">
      <w:pPr>
        <w:keepNext/>
        <w:tabs>
          <w:tab w:val="left" w:pos="567"/>
          <w:tab w:val="left" w:pos="1276"/>
        </w:tabs>
        <w:rPr>
          <w:sz w:val="16"/>
          <w:szCs w:val="18"/>
        </w:rPr>
      </w:pPr>
      <w:r w:rsidRPr="00EC708A">
        <w:rPr>
          <w:sz w:val="16"/>
          <w:szCs w:val="18"/>
        </w:rPr>
        <w:t>5</w:t>
      </w:r>
      <w:r w:rsidRPr="00EC708A">
        <w:rPr>
          <w:sz w:val="16"/>
          <w:szCs w:val="18"/>
        </w:rPr>
        <w:tab/>
        <w:t>(+)</w:t>
      </w:r>
      <w:r w:rsidRPr="00EC708A">
        <w:rPr>
          <w:sz w:val="16"/>
          <w:szCs w:val="18"/>
        </w:rPr>
        <w:tab/>
        <w:t>Véanse las explicaciones de la tabla de caracteres en el Capítulo 8.2</w:t>
      </w:r>
    </w:p>
    <w:p w:rsidR="002008AA" w:rsidRPr="00EC708A" w:rsidRDefault="002008AA" w:rsidP="002008AA">
      <w:pPr>
        <w:keepNext/>
        <w:tabs>
          <w:tab w:val="left" w:pos="567"/>
          <w:tab w:val="left" w:pos="1276"/>
        </w:tabs>
        <w:rPr>
          <w:sz w:val="16"/>
          <w:szCs w:val="18"/>
        </w:rPr>
      </w:pPr>
      <w:r w:rsidRPr="00EC708A">
        <w:rPr>
          <w:sz w:val="16"/>
          <w:szCs w:val="18"/>
        </w:rPr>
        <w:tab/>
        <w:t>{</w:t>
      </w:r>
      <w:r w:rsidRPr="00EC708A">
        <w:rPr>
          <w:sz w:val="16"/>
          <w:szCs w:val="18"/>
          <w:bdr w:val="single" w:sz="12" w:space="0" w:color="auto"/>
        </w:rPr>
        <w:t xml:space="preserve"> </w:t>
      </w:r>
      <w:r w:rsidRPr="00EC708A">
        <w:rPr>
          <w:sz w:val="16"/>
          <w:szCs w:val="18"/>
          <w:highlight w:val="lightGray"/>
          <w:bdr w:val="single" w:sz="12" w:space="0" w:color="auto"/>
        </w:rPr>
        <w:t>GN </w:t>
      </w:r>
      <w:r w:rsidRPr="00EC708A">
        <w:rPr>
          <w:sz w:val="16"/>
          <w:szCs w:val="18"/>
          <w:bdr w:val="single" w:sz="12" w:space="0" w:color="auto"/>
        </w:rPr>
        <w:t xml:space="preserve">22 </w:t>
      </w:r>
      <w:r w:rsidRPr="00EC708A">
        <w:rPr>
          <w:sz w:val="16"/>
          <w:szCs w:val="18"/>
        </w:rPr>
        <w:t>Explicaciones relativas a caracteres individuales}</w:t>
      </w:r>
    </w:p>
    <w:p w:rsidR="002008AA" w:rsidRPr="00EC708A" w:rsidRDefault="002008AA" w:rsidP="002008AA">
      <w:pPr>
        <w:keepNext/>
        <w:tabs>
          <w:tab w:val="left" w:pos="567"/>
          <w:tab w:val="left" w:pos="1276"/>
        </w:tabs>
        <w:rPr>
          <w:sz w:val="16"/>
          <w:szCs w:val="18"/>
        </w:rPr>
      </w:pPr>
      <w:r w:rsidRPr="00EC708A">
        <w:rPr>
          <w:sz w:val="16"/>
          <w:szCs w:val="18"/>
        </w:rPr>
        <w:t>6</w:t>
      </w:r>
      <w:r w:rsidRPr="00EC708A">
        <w:rPr>
          <w:sz w:val="16"/>
          <w:szCs w:val="18"/>
        </w:rPr>
        <w:tab/>
        <w:t>(a)-{x}</w:t>
      </w:r>
      <w:r w:rsidRPr="00EC708A">
        <w:rPr>
          <w:sz w:val="16"/>
          <w:szCs w:val="18"/>
        </w:rPr>
        <w:tab/>
        <w:t>Véanse las explicaciones de la tabla de caracteres en el Capítulo 8.1</w:t>
      </w:r>
    </w:p>
    <w:p w:rsidR="002008AA" w:rsidRPr="00EC708A" w:rsidRDefault="002008AA" w:rsidP="002008AA">
      <w:pPr>
        <w:keepNext/>
        <w:tabs>
          <w:tab w:val="left" w:pos="567"/>
          <w:tab w:val="left" w:pos="1276"/>
        </w:tabs>
        <w:jc w:val="left"/>
        <w:rPr>
          <w:sz w:val="16"/>
          <w:szCs w:val="18"/>
        </w:rPr>
      </w:pPr>
      <w:r w:rsidRPr="00EC708A">
        <w:rPr>
          <w:sz w:val="16"/>
          <w:szCs w:val="18"/>
        </w:rPr>
        <w:tab/>
        <w:t>{</w:t>
      </w:r>
      <w:r w:rsidRPr="00EC708A">
        <w:rPr>
          <w:sz w:val="16"/>
          <w:szCs w:val="18"/>
          <w:bdr w:val="single" w:sz="12" w:space="0" w:color="auto"/>
        </w:rPr>
        <w:t xml:space="preserve"> </w:t>
      </w:r>
      <w:r w:rsidRPr="00EC708A">
        <w:rPr>
          <w:sz w:val="16"/>
          <w:szCs w:val="18"/>
          <w:highlight w:val="lightGray"/>
          <w:bdr w:val="single" w:sz="12" w:space="0" w:color="auto"/>
        </w:rPr>
        <w:t>GN </w:t>
      </w:r>
      <w:r w:rsidRPr="00EC708A">
        <w:rPr>
          <w:sz w:val="16"/>
          <w:szCs w:val="18"/>
          <w:bdr w:val="single" w:sz="12" w:space="0" w:color="auto"/>
        </w:rPr>
        <w:t xml:space="preserve">23 </w:t>
      </w:r>
      <w:r w:rsidRPr="00EC708A">
        <w:rPr>
          <w:sz w:val="16"/>
          <w:szCs w:val="18"/>
        </w:rPr>
        <w:t>Explicaciones relativas a varios caracteres}</w:t>
      </w:r>
    </w:p>
    <w:p w:rsidR="002008AA" w:rsidRPr="00EC708A" w:rsidRDefault="002008AA" w:rsidP="002008AA">
      <w:pPr>
        <w:keepNext/>
        <w:rPr>
          <w:sz w:val="16"/>
          <w:szCs w:val="18"/>
        </w:rPr>
      </w:pPr>
      <w:r w:rsidRPr="00EC708A">
        <w:rPr>
          <w:sz w:val="16"/>
          <w:szCs w:val="18"/>
        </w:rPr>
        <w:t>7</w:t>
      </w:r>
      <w:r w:rsidRPr="00EC708A">
        <w:rPr>
          <w:sz w:val="16"/>
          <w:szCs w:val="18"/>
        </w:rPr>
        <w:tab/>
        <w:t>Clave del estado de desarrollo</w:t>
      </w:r>
    </w:p>
    <w:p w:rsidR="002008AA" w:rsidRPr="00EC708A" w:rsidRDefault="002008AA" w:rsidP="002008AA">
      <w:pPr>
        <w:rPr>
          <w:sz w:val="16"/>
          <w:szCs w:val="18"/>
        </w:rPr>
      </w:pPr>
      <w:r w:rsidRPr="00EC708A">
        <w:rPr>
          <w:sz w:val="16"/>
          <w:szCs w:val="18"/>
        </w:rPr>
        <w:tab/>
        <w:t>{</w:t>
      </w:r>
      <w:r w:rsidRPr="00EC708A">
        <w:rPr>
          <w:sz w:val="16"/>
          <w:szCs w:val="18"/>
          <w:bdr w:val="single" w:sz="12" w:space="0" w:color="auto"/>
        </w:rPr>
        <w:t xml:space="preserve"> </w:t>
      </w:r>
      <w:r w:rsidRPr="00EC708A">
        <w:rPr>
          <w:sz w:val="16"/>
          <w:szCs w:val="18"/>
          <w:highlight w:val="lightGray"/>
          <w:bdr w:val="single" w:sz="12" w:space="0" w:color="auto"/>
        </w:rPr>
        <w:t>GN </w:t>
      </w:r>
      <w:r w:rsidRPr="00EC708A">
        <w:rPr>
          <w:sz w:val="16"/>
          <w:szCs w:val="18"/>
          <w:bdr w:val="single" w:sz="12" w:space="0" w:color="auto"/>
        </w:rPr>
        <w:t xml:space="preserve">24 </w:t>
      </w:r>
      <w:r w:rsidRPr="00EC708A">
        <w:rPr>
          <w:sz w:val="16"/>
          <w:szCs w:val="18"/>
        </w:rPr>
        <w:t xml:space="preserve"> Estado de desarrollo }</w:t>
      </w:r>
    </w:p>
    <w:p w:rsidR="002008AA" w:rsidRDefault="002008AA" w:rsidP="002008AA"/>
    <w:p w:rsidR="002008AA" w:rsidRDefault="002008AA" w:rsidP="002008AA"/>
    <w:p w:rsidR="002008AA" w:rsidRPr="00EC708A" w:rsidRDefault="002008AA" w:rsidP="002008AA">
      <w:pPr>
        <w:rPr>
          <w:u w:val="single"/>
        </w:rPr>
      </w:pPr>
      <w:bookmarkStart w:id="24" w:name="_Toc477517502"/>
      <w:r w:rsidRPr="00EC708A">
        <w:rPr>
          <w:u w:val="single"/>
        </w:rPr>
        <w:t xml:space="preserve">Anexo 2: Texto estándar adicional (ASW) </w:t>
      </w:r>
      <w:r w:rsidRPr="00EC708A">
        <w:rPr>
          <w:strike/>
          <w:highlight w:val="lightGray"/>
          <w:u w:val="single"/>
        </w:rPr>
        <w:t>para la plantilla de los documentos TG</w:t>
      </w:r>
      <w:bookmarkEnd w:id="24"/>
    </w:p>
    <w:p w:rsidR="002008AA" w:rsidRDefault="002008AA" w:rsidP="002008AA"/>
    <w:p w:rsidR="002008AA" w:rsidRPr="00EA39A6" w:rsidRDefault="002008AA" w:rsidP="009149F1">
      <w:pPr>
        <w:ind w:left="567" w:right="567"/>
        <w:rPr>
          <w:sz w:val="18"/>
          <w:szCs w:val="18"/>
        </w:rPr>
      </w:pPr>
      <w:r w:rsidRPr="00EA39A6">
        <w:rPr>
          <w:sz w:val="18"/>
          <w:szCs w:val="18"/>
        </w:rPr>
        <w:t xml:space="preserve">“A continuación se expone el texto estándar adicional (ASW) que puede añadirse al texto estándar </w:t>
      </w:r>
      <w:r w:rsidRPr="00EA39A6">
        <w:rPr>
          <w:sz w:val="18"/>
          <w:szCs w:val="18"/>
          <w:highlight w:val="lightGray"/>
          <w:u w:val="single"/>
        </w:rPr>
        <w:t>universal</w:t>
      </w:r>
      <w:r w:rsidRPr="00EA39A6">
        <w:rPr>
          <w:sz w:val="18"/>
          <w:szCs w:val="18"/>
        </w:rPr>
        <w:t xml:space="preserve"> que figura en </w:t>
      </w:r>
      <w:r w:rsidRPr="00EA39A6">
        <w:rPr>
          <w:strike/>
          <w:sz w:val="18"/>
          <w:szCs w:val="18"/>
          <w:highlight w:val="lightGray"/>
        </w:rPr>
        <w:t>la plantilla de los documentos TG (</w:t>
      </w:r>
      <w:r w:rsidRPr="00EA39A6">
        <w:rPr>
          <w:sz w:val="18"/>
          <w:szCs w:val="18"/>
          <w:highlight w:val="lightGray"/>
          <w:u w:val="single"/>
        </w:rPr>
        <w:t>el</w:t>
      </w:r>
      <w:r w:rsidRPr="00EA39A6">
        <w:rPr>
          <w:sz w:val="18"/>
          <w:szCs w:val="18"/>
        </w:rPr>
        <w:t xml:space="preserve"> Anexo 1</w:t>
      </w:r>
      <w:r w:rsidRPr="00EA39A6">
        <w:rPr>
          <w:strike/>
          <w:sz w:val="18"/>
          <w:szCs w:val="18"/>
          <w:highlight w:val="lightGray"/>
        </w:rPr>
        <w:t>)</w:t>
      </w:r>
      <w:r w:rsidRPr="00EA39A6">
        <w:rPr>
          <w:sz w:val="18"/>
          <w:szCs w:val="18"/>
        </w:rPr>
        <w:t>.</w:t>
      </w:r>
      <w:r>
        <w:rPr>
          <w:sz w:val="18"/>
          <w:szCs w:val="18"/>
        </w:rPr>
        <w:t xml:space="preserve"> </w:t>
      </w:r>
      <w:r w:rsidRPr="00EA39A6">
        <w:rPr>
          <w:sz w:val="18"/>
          <w:szCs w:val="18"/>
        </w:rPr>
        <w:t xml:space="preserve">La numeración sigue la numeración utilizada en </w:t>
      </w:r>
      <w:r w:rsidRPr="00EA39A6">
        <w:rPr>
          <w:strike/>
          <w:sz w:val="18"/>
          <w:szCs w:val="18"/>
          <w:highlight w:val="lightGray"/>
        </w:rPr>
        <w:t>la plantilla de los documentos TG</w:t>
      </w:r>
      <w:r w:rsidRPr="00EA39A6">
        <w:rPr>
          <w:sz w:val="18"/>
          <w:szCs w:val="18"/>
          <w:highlight w:val="lightGray"/>
        </w:rPr>
        <w:t xml:space="preserve"> </w:t>
      </w:r>
      <w:r w:rsidRPr="00EA39A6">
        <w:rPr>
          <w:sz w:val="18"/>
          <w:szCs w:val="18"/>
          <w:highlight w:val="lightGray"/>
          <w:u w:val="single"/>
        </w:rPr>
        <w:t>el Anexo I</w:t>
      </w:r>
      <w:r w:rsidRPr="00EA39A6">
        <w:rPr>
          <w:sz w:val="18"/>
          <w:szCs w:val="18"/>
        </w:rPr>
        <w:t>.”</w:t>
      </w:r>
    </w:p>
    <w:p w:rsidR="002008AA" w:rsidRPr="00F1554A" w:rsidRDefault="002008AA" w:rsidP="009149F1">
      <w:pPr>
        <w:ind w:left="567" w:right="567"/>
        <w:rPr>
          <w:sz w:val="18"/>
        </w:rPr>
      </w:pPr>
    </w:p>
    <w:p w:rsidR="002008AA" w:rsidRPr="00C30292" w:rsidRDefault="002008AA" w:rsidP="009149F1">
      <w:pPr>
        <w:pStyle w:val="ListParagraph"/>
        <w:numPr>
          <w:ilvl w:val="0"/>
          <w:numId w:val="3"/>
        </w:numPr>
        <w:ind w:left="0" w:firstLine="0"/>
        <w:rPr>
          <w:lang w:val="es-ES_tradnl"/>
        </w:rPr>
      </w:pPr>
      <w:r w:rsidRPr="00C30292">
        <w:rPr>
          <w:lang w:val="es-ES_tradnl"/>
        </w:rPr>
        <w:t>Se debe modificar el título de todos los textos estándar adicionales de modo que se supriman las referencias a la “Plantilla de los documentos TG”, como se indica a continuación:</w:t>
      </w:r>
    </w:p>
    <w:p w:rsidR="002008AA" w:rsidRDefault="002008AA" w:rsidP="009149F1">
      <w:pPr>
        <w:ind w:right="567"/>
      </w:pPr>
    </w:p>
    <w:p w:rsidR="002008AA" w:rsidRDefault="002008AA" w:rsidP="009149F1">
      <w:pPr>
        <w:ind w:right="567"/>
      </w:pPr>
      <w:r w:rsidRPr="00777369">
        <w:t>Ejemplo:</w:t>
      </w:r>
    </w:p>
    <w:p w:rsidR="002008AA" w:rsidRDefault="002008AA" w:rsidP="009149F1">
      <w:pPr>
        <w:ind w:right="567"/>
      </w:pPr>
    </w:p>
    <w:p w:rsidR="002008AA" w:rsidRPr="009149F1" w:rsidRDefault="002008AA" w:rsidP="009149F1">
      <w:pPr>
        <w:ind w:left="567" w:right="567"/>
        <w:rPr>
          <w:sz w:val="18"/>
        </w:rPr>
      </w:pPr>
      <w:bookmarkStart w:id="25" w:name="_Toc463342915"/>
      <w:r w:rsidRPr="009149F1">
        <w:rPr>
          <w:sz w:val="18"/>
        </w:rPr>
        <w:t>“ASW 0 (</w:t>
      </w:r>
      <w:r w:rsidRPr="009149F1">
        <w:rPr>
          <w:strike/>
          <w:sz w:val="18"/>
          <w:highlight w:val="lightGray"/>
        </w:rPr>
        <w:t>Plantilla de los documentos TG:</w:t>
      </w:r>
      <w:r w:rsidRPr="009149F1">
        <w:rPr>
          <w:sz w:val="18"/>
        </w:rPr>
        <w:t xml:space="preserve"> </w:t>
      </w:r>
      <w:bookmarkEnd w:id="25"/>
      <w:r w:rsidRPr="009149F1">
        <w:rPr>
          <w:sz w:val="18"/>
        </w:rPr>
        <w:t>Capítulo 1.1) – Aplicación de las directrices de examen a los tipos de variedades”</w:t>
      </w:r>
    </w:p>
    <w:p w:rsidR="002008AA" w:rsidRPr="00E04EB4" w:rsidRDefault="002008AA" w:rsidP="009149F1">
      <w:pPr>
        <w:ind w:right="567" w:firstLine="567"/>
        <w:rPr>
          <w:sz w:val="18"/>
        </w:rPr>
      </w:pPr>
    </w:p>
    <w:p w:rsidR="002008AA" w:rsidRPr="00E04EB4" w:rsidRDefault="002008AA" w:rsidP="009149F1">
      <w:pPr>
        <w:ind w:right="567" w:firstLine="567"/>
        <w:rPr>
          <w:sz w:val="18"/>
        </w:rPr>
      </w:pPr>
    </w:p>
    <w:p w:rsidR="002008AA" w:rsidRPr="009149F1" w:rsidRDefault="002008AA" w:rsidP="009149F1">
      <w:pPr>
        <w:ind w:left="567" w:right="567"/>
        <w:rPr>
          <w:sz w:val="18"/>
        </w:rPr>
      </w:pPr>
      <w:bookmarkStart w:id="26" w:name="_Toc463342929"/>
      <w:bookmarkStart w:id="27" w:name="_Toc477517503"/>
      <w:r w:rsidRPr="009149F1">
        <w:rPr>
          <w:sz w:val="18"/>
        </w:rPr>
        <w:t>“</w:t>
      </w:r>
      <w:r w:rsidRPr="009149F1">
        <w:rPr>
          <w:sz w:val="18"/>
          <w:lang w:val="es-ES_tradnl"/>
        </w:rPr>
        <w:t>ASW 4 (</w:t>
      </w:r>
      <w:r w:rsidRPr="009149F1">
        <w:rPr>
          <w:strike/>
          <w:sz w:val="18"/>
          <w:highlight w:val="lightGray"/>
          <w:lang w:val="es-ES_tradnl"/>
        </w:rPr>
        <w:t>Plantilla de los documentos TG:</w:t>
      </w:r>
      <w:r w:rsidRPr="009149F1">
        <w:rPr>
          <w:strike/>
          <w:sz w:val="18"/>
        </w:rPr>
        <w:t xml:space="preserve"> </w:t>
      </w:r>
      <w:bookmarkEnd w:id="26"/>
      <w:r w:rsidRPr="009149F1">
        <w:rPr>
          <w:sz w:val="18"/>
          <w:lang w:val="es-ES_tradnl"/>
        </w:rPr>
        <w:t>Capítulo 3.3) – Condiciones para efectuar el examen</w:t>
      </w:r>
      <w:bookmarkEnd w:id="27"/>
    </w:p>
    <w:p w:rsidR="002008AA" w:rsidRPr="00162426" w:rsidRDefault="002008AA" w:rsidP="009149F1">
      <w:pPr>
        <w:keepNext/>
        <w:ind w:right="567"/>
      </w:pPr>
    </w:p>
    <w:p w:rsidR="002008AA" w:rsidRPr="009149F1" w:rsidRDefault="002008AA" w:rsidP="009149F1">
      <w:pPr>
        <w:pStyle w:val="Heading4"/>
        <w:ind w:right="567"/>
      </w:pPr>
      <w:bookmarkStart w:id="28" w:name="_Toc27819136"/>
      <w:bookmarkStart w:id="29" w:name="_Toc27819317"/>
      <w:bookmarkStart w:id="30" w:name="_Toc27819498"/>
      <w:r w:rsidRPr="009149F1">
        <w:t>“</w:t>
      </w:r>
      <w:r w:rsidRPr="009149F1">
        <w:rPr>
          <w:lang w:val="es-ES_tradnl"/>
        </w:rPr>
        <w:t>Información para realizar el examen de caracteres particulares</w:t>
      </w:r>
    </w:p>
    <w:p w:rsidR="002008AA" w:rsidRPr="00162426" w:rsidRDefault="002008AA" w:rsidP="002008AA"/>
    <w:p w:rsidR="002008AA" w:rsidRPr="00CB504D" w:rsidRDefault="002008AA" w:rsidP="002008AA">
      <w:pPr>
        <w:pStyle w:val="Heading5"/>
        <w:rPr>
          <w:sz w:val="18"/>
          <w:szCs w:val="18"/>
        </w:rPr>
      </w:pPr>
      <w:bookmarkStart w:id="31" w:name="_Toc463342931"/>
      <w:r w:rsidRPr="00CB504D">
        <w:rPr>
          <w:sz w:val="18"/>
          <w:szCs w:val="18"/>
        </w:rPr>
        <w:lastRenderedPageBreak/>
        <w:t>“a)</w:t>
      </w:r>
      <w:r w:rsidRPr="00CB504D">
        <w:rPr>
          <w:sz w:val="18"/>
          <w:szCs w:val="18"/>
        </w:rPr>
        <w:tab/>
      </w:r>
      <w:bookmarkEnd w:id="28"/>
      <w:bookmarkEnd w:id="29"/>
      <w:bookmarkEnd w:id="30"/>
      <w:bookmarkEnd w:id="31"/>
      <w:r w:rsidRPr="00CB504D">
        <w:rPr>
          <w:sz w:val="18"/>
          <w:szCs w:val="18"/>
          <w:lang w:val="es-ES_tradnl"/>
        </w:rPr>
        <w:t>Estado de desarrollo para la evaluación</w:t>
      </w:r>
    </w:p>
    <w:p w:rsidR="002008AA" w:rsidRPr="00CB504D" w:rsidRDefault="002008AA" w:rsidP="002008AA">
      <w:pPr>
        <w:keepNext/>
        <w:rPr>
          <w:sz w:val="18"/>
          <w:szCs w:val="18"/>
        </w:rPr>
      </w:pPr>
    </w:p>
    <w:p w:rsidR="002008AA" w:rsidRPr="00CB504D" w:rsidRDefault="002008AA" w:rsidP="009149F1">
      <w:pPr>
        <w:ind w:left="567" w:right="567"/>
        <w:rPr>
          <w:sz w:val="18"/>
          <w:szCs w:val="18"/>
        </w:rPr>
      </w:pPr>
      <w:r w:rsidRPr="00CB504D">
        <w:rPr>
          <w:sz w:val="18"/>
          <w:szCs w:val="18"/>
        </w:rPr>
        <w:t xml:space="preserve">“El estado óptimo de desarrollo para evaluar cada carácter se indica mediante una referencia en </w:t>
      </w:r>
      <w:r w:rsidRPr="00CB504D">
        <w:rPr>
          <w:strike/>
          <w:sz w:val="18"/>
          <w:szCs w:val="18"/>
          <w:highlight w:val="lightGray"/>
        </w:rPr>
        <w:t>la segunda columna de</w:t>
      </w:r>
      <w:r w:rsidRPr="00CB504D">
        <w:rPr>
          <w:sz w:val="18"/>
          <w:szCs w:val="18"/>
        </w:rPr>
        <w:t xml:space="preserve"> la tabla de caracteres.</w:t>
      </w:r>
      <w:r>
        <w:rPr>
          <w:sz w:val="18"/>
          <w:szCs w:val="18"/>
        </w:rPr>
        <w:t xml:space="preserve"> </w:t>
      </w:r>
      <w:r w:rsidRPr="00CB504D">
        <w:rPr>
          <w:sz w:val="18"/>
          <w:szCs w:val="18"/>
        </w:rPr>
        <w:t>Los estados de desarrollo indicados por cada referencia se describen en el Capítulo 8 [...].”</w:t>
      </w:r>
    </w:p>
    <w:p w:rsidR="002008AA" w:rsidRPr="00CB504D" w:rsidRDefault="002008AA" w:rsidP="009149F1">
      <w:pPr>
        <w:ind w:right="567"/>
        <w:rPr>
          <w:sz w:val="18"/>
          <w:szCs w:val="18"/>
        </w:rPr>
      </w:pPr>
    </w:p>
    <w:p w:rsidR="002008AA" w:rsidRPr="00CB504D" w:rsidRDefault="002008AA" w:rsidP="009149F1">
      <w:pPr>
        <w:pStyle w:val="Heading5"/>
        <w:ind w:right="567"/>
        <w:rPr>
          <w:sz w:val="18"/>
          <w:szCs w:val="18"/>
        </w:rPr>
      </w:pPr>
      <w:bookmarkStart w:id="32" w:name="_Toc27819138"/>
      <w:bookmarkStart w:id="33" w:name="_Toc27819319"/>
      <w:bookmarkStart w:id="34" w:name="_Toc27819500"/>
      <w:bookmarkStart w:id="35" w:name="_Toc463342932"/>
      <w:r w:rsidRPr="00CB504D">
        <w:rPr>
          <w:sz w:val="18"/>
          <w:szCs w:val="18"/>
        </w:rPr>
        <w:t>“b)</w:t>
      </w:r>
      <w:r w:rsidRPr="00CB504D">
        <w:rPr>
          <w:sz w:val="18"/>
          <w:szCs w:val="18"/>
        </w:rPr>
        <w:tab/>
      </w:r>
      <w:bookmarkEnd w:id="32"/>
      <w:bookmarkEnd w:id="33"/>
      <w:bookmarkEnd w:id="34"/>
      <w:bookmarkEnd w:id="35"/>
      <w:r w:rsidRPr="00CB504D">
        <w:rPr>
          <w:sz w:val="18"/>
          <w:szCs w:val="18"/>
          <w:lang w:val="es-ES_tradnl"/>
        </w:rPr>
        <w:t>Tipo de parcela para la observación</w:t>
      </w:r>
    </w:p>
    <w:p w:rsidR="002008AA" w:rsidRPr="00CB504D" w:rsidRDefault="002008AA" w:rsidP="009149F1">
      <w:pPr>
        <w:ind w:right="567"/>
        <w:rPr>
          <w:sz w:val="18"/>
          <w:szCs w:val="18"/>
        </w:rPr>
      </w:pPr>
    </w:p>
    <w:p w:rsidR="002008AA" w:rsidRPr="00CB504D" w:rsidRDefault="002008AA" w:rsidP="009149F1">
      <w:pPr>
        <w:ind w:right="567"/>
        <w:rPr>
          <w:color w:val="000000"/>
          <w:sz w:val="18"/>
          <w:szCs w:val="18"/>
        </w:rPr>
      </w:pPr>
      <w:r w:rsidRPr="00CB504D">
        <w:rPr>
          <w:sz w:val="18"/>
          <w:szCs w:val="18"/>
        </w:rPr>
        <w:tab/>
        <w:t>“Por ejemplo, se podrá incorporar el siguiente texto a las directrices de examen adecuadas:</w:t>
      </w:r>
      <w:r w:rsidRPr="00CB504D">
        <w:rPr>
          <w:color w:val="000000"/>
          <w:sz w:val="18"/>
          <w:szCs w:val="18"/>
        </w:rPr>
        <w:t xml:space="preserve"> </w:t>
      </w:r>
    </w:p>
    <w:p w:rsidR="002008AA" w:rsidRPr="00CB504D" w:rsidRDefault="002008AA" w:rsidP="009149F1">
      <w:pPr>
        <w:ind w:right="567"/>
        <w:rPr>
          <w:sz w:val="18"/>
          <w:szCs w:val="18"/>
        </w:rPr>
      </w:pPr>
    </w:p>
    <w:p w:rsidR="002008AA" w:rsidRPr="00CB504D" w:rsidRDefault="002008AA" w:rsidP="009149F1">
      <w:pPr>
        <w:pStyle w:val="BodyTextIndent"/>
        <w:ind w:left="1134" w:right="567"/>
        <w:jc w:val="left"/>
        <w:rPr>
          <w:sz w:val="18"/>
          <w:szCs w:val="18"/>
        </w:rPr>
      </w:pPr>
      <w:r w:rsidRPr="00CB504D">
        <w:rPr>
          <w:sz w:val="18"/>
          <w:szCs w:val="18"/>
        </w:rPr>
        <w:t>“</w:t>
      </w:r>
      <w:r w:rsidRPr="00CB504D">
        <w:rPr>
          <w:sz w:val="18"/>
          <w:szCs w:val="18"/>
          <w:lang w:val="es-ES_tradnl"/>
        </w:rPr>
        <w:t xml:space="preserve">El tipo recomendado de parcela para observar los caracteres se indica en la </w:t>
      </w:r>
      <w:r w:rsidRPr="00CB504D">
        <w:rPr>
          <w:strike/>
          <w:sz w:val="18"/>
          <w:szCs w:val="18"/>
          <w:highlight w:val="lightGray"/>
          <w:lang w:val="es-ES_tradnl"/>
        </w:rPr>
        <w:t>segunda columna de la</w:t>
      </w:r>
      <w:r w:rsidRPr="00CB504D">
        <w:rPr>
          <w:sz w:val="18"/>
          <w:szCs w:val="18"/>
          <w:lang w:val="es-ES_tradnl"/>
        </w:rPr>
        <w:t xml:space="preserve"> tabla de caracteres mediante la clave siguiente:</w:t>
      </w:r>
      <w:r w:rsidRPr="00CB504D">
        <w:rPr>
          <w:sz w:val="18"/>
          <w:szCs w:val="18"/>
        </w:rPr>
        <w:t xml:space="preserve"> </w:t>
      </w:r>
    </w:p>
    <w:p w:rsidR="002008AA" w:rsidRPr="00CB504D" w:rsidRDefault="002008AA" w:rsidP="002008AA">
      <w:pPr>
        <w:rPr>
          <w:sz w:val="18"/>
          <w:szCs w:val="18"/>
        </w:rPr>
      </w:pPr>
    </w:p>
    <w:p w:rsidR="002008AA" w:rsidRPr="00CB504D" w:rsidRDefault="002008AA" w:rsidP="009149F1">
      <w:pPr>
        <w:ind w:left="1701"/>
        <w:rPr>
          <w:sz w:val="18"/>
          <w:szCs w:val="18"/>
        </w:rPr>
      </w:pPr>
      <w:r w:rsidRPr="00CB504D">
        <w:rPr>
          <w:sz w:val="18"/>
          <w:szCs w:val="18"/>
        </w:rPr>
        <w:t>“A:</w:t>
      </w:r>
      <w:r w:rsidRPr="00CB504D">
        <w:rPr>
          <w:sz w:val="18"/>
          <w:szCs w:val="18"/>
        </w:rPr>
        <w:tab/>
        <w:t>plantas aisladas</w:t>
      </w:r>
    </w:p>
    <w:p w:rsidR="002008AA" w:rsidRPr="00CB504D" w:rsidRDefault="002008AA" w:rsidP="009149F1">
      <w:pPr>
        <w:ind w:left="1701"/>
        <w:rPr>
          <w:sz w:val="18"/>
          <w:szCs w:val="18"/>
        </w:rPr>
      </w:pPr>
      <w:r w:rsidRPr="00CB504D">
        <w:rPr>
          <w:sz w:val="18"/>
          <w:szCs w:val="18"/>
        </w:rPr>
        <w:t xml:space="preserve">“B: </w:t>
      </w:r>
      <w:r w:rsidRPr="00CB504D">
        <w:rPr>
          <w:sz w:val="18"/>
          <w:szCs w:val="18"/>
        </w:rPr>
        <w:tab/>
        <w:t>parcela en hilera</w:t>
      </w:r>
    </w:p>
    <w:p w:rsidR="002008AA" w:rsidRPr="00CB504D" w:rsidRDefault="002008AA" w:rsidP="009149F1">
      <w:pPr>
        <w:ind w:left="1701"/>
        <w:rPr>
          <w:sz w:val="18"/>
          <w:szCs w:val="18"/>
        </w:rPr>
      </w:pPr>
      <w:r w:rsidRPr="00CB504D">
        <w:rPr>
          <w:sz w:val="18"/>
          <w:szCs w:val="18"/>
        </w:rPr>
        <w:t>“C:</w:t>
      </w:r>
      <w:r w:rsidRPr="00CB504D">
        <w:rPr>
          <w:sz w:val="18"/>
          <w:szCs w:val="18"/>
        </w:rPr>
        <w:tab/>
        <w:t>ensayo especial”</w:t>
      </w:r>
    </w:p>
    <w:p w:rsidR="002008AA" w:rsidRPr="00CB504D" w:rsidRDefault="002008AA" w:rsidP="002008AA">
      <w:pPr>
        <w:rPr>
          <w:sz w:val="18"/>
          <w:szCs w:val="18"/>
        </w:rPr>
      </w:pPr>
    </w:p>
    <w:p w:rsidR="002008AA" w:rsidRPr="00CB504D" w:rsidRDefault="002008AA" w:rsidP="002008AA">
      <w:pPr>
        <w:ind w:left="567"/>
        <w:rPr>
          <w:sz w:val="18"/>
          <w:szCs w:val="18"/>
        </w:rPr>
      </w:pPr>
      <w:r w:rsidRPr="00CB504D">
        <w:rPr>
          <w:sz w:val="18"/>
          <w:szCs w:val="18"/>
        </w:rPr>
        <w:t>[…]</w:t>
      </w:r>
    </w:p>
    <w:p w:rsidR="002008AA" w:rsidRPr="00CB504D" w:rsidRDefault="002008AA" w:rsidP="002008AA">
      <w:pPr>
        <w:rPr>
          <w:sz w:val="18"/>
          <w:szCs w:val="18"/>
        </w:rPr>
      </w:pPr>
    </w:p>
    <w:p w:rsidR="002008AA" w:rsidRPr="009149F1" w:rsidRDefault="002008AA" w:rsidP="009149F1">
      <w:pPr>
        <w:ind w:left="567" w:right="567"/>
        <w:rPr>
          <w:sz w:val="18"/>
        </w:rPr>
      </w:pPr>
      <w:bookmarkStart w:id="36" w:name="_Toc226858737"/>
      <w:bookmarkStart w:id="37" w:name="_Toc463342958"/>
      <w:bookmarkStart w:id="38" w:name="_Toc477517504"/>
      <w:r w:rsidRPr="009149F1">
        <w:rPr>
          <w:sz w:val="18"/>
        </w:rPr>
        <w:t>ASW 12.1 (</w:t>
      </w:r>
      <w:r w:rsidRPr="009149F1">
        <w:rPr>
          <w:strike/>
          <w:sz w:val="18"/>
          <w:highlight w:val="lightGray"/>
        </w:rPr>
        <w:t>Plantilla de los documentos TG:</w:t>
      </w:r>
      <w:r w:rsidRPr="009149F1">
        <w:rPr>
          <w:sz w:val="18"/>
        </w:rPr>
        <w:t xml:space="preserve"> </w:t>
      </w:r>
      <w:bookmarkEnd w:id="36"/>
      <w:bookmarkEnd w:id="37"/>
      <w:r w:rsidRPr="009149F1">
        <w:rPr>
          <w:sz w:val="18"/>
        </w:rPr>
        <w:t>Capítulo 8) – Explicaciones relativas a varios caracteres</w:t>
      </w:r>
      <w:bookmarkEnd w:id="38"/>
      <w:r w:rsidRPr="009149F1">
        <w:rPr>
          <w:sz w:val="18"/>
        </w:rPr>
        <w:t xml:space="preserve"> </w:t>
      </w:r>
    </w:p>
    <w:p w:rsidR="002008AA" w:rsidRPr="00CB504D" w:rsidRDefault="002008AA" w:rsidP="002008AA">
      <w:pPr>
        <w:rPr>
          <w:sz w:val="18"/>
          <w:szCs w:val="18"/>
        </w:rPr>
      </w:pPr>
    </w:p>
    <w:p w:rsidR="002008AA" w:rsidRPr="00CB504D" w:rsidRDefault="002008AA" w:rsidP="002008AA">
      <w:pPr>
        <w:keepNext/>
        <w:ind w:left="567"/>
        <w:rPr>
          <w:sz w:val="18"/>
          <w:szCs w:val="18"/>
        </w:rPr>
      </w:pPr>
      <w:r w:rsidRPr="00CB504D">
        <w:rPr>
          <w:sz w:val="18"/>
          <w:szCs w:val="18"/>
        </w:rPr>
        <w:t>“8.1</w:t>
      </w:r>
      <w:r w:rsidRPr="00CB504D">
        <w:rPr>
          <w:sz w:val="18"/>
          <w:szCs w:val="18"/>
        </w:rPr>
        <w:tab/>
        <w:t>Explicaciones relativas a varios caracteres</w:t>
      </w:r>
    </w:p>
    <w:p w:rsidR="002008AA" w:rsidRPr="003E7E58" w:rsidRDefault="002008AA" w:rsidP="002008AA">
      <w:pPr>
        <w:keepNext/>
        <w:ind w:left="567"/>
      </w:pPr>
    </w:p>
    <w:p w:rsidR="002008AA" w:rsidRPr="00CB504D" w:rsidRDefault="002008AA" w:rsidP="009149F1">
      <w:pPr>
        <w:keepNext/>
        <w:ind w:left="567" w:right="567"/>
        <w:rPr>
          <w:sz w:val="18"/>
          <w:szCs w:val="18"/>
        </w:rPr>
      </w:pPr>
      <w:r w:rsidRPr="00CB504D">
        <w:rPr>
          <w:sz w:val="18"/>
          <w:szCs w:val="18"/>
        </w:rPr>
        <w:t xml:space="preserve">“Los caracteres que contengan la siguiente clave </w:t>
      </w:r>
      <w:r w:rsidRPr="00CB504D">
        <w:rPr>
          <w:strike/>
          <w:sz w:val="18"/>
          <w:szCs w:val="18"/>
          <w:highlight w:val="lightGray"/>
        </w:rPr>
        <w:t>en la segunda columna de la tabla de caracteres</w:t>
      </w:r>
      <w:r w:rsidRPr="00CB504D">
        <w:rPr>
          <w:sz w:val="18"/>
          <w:szCs w:val="18"/>
        </w:rPr>
        <w:t xml:space="preserve"> deberán examinarse como se indica a continuación: </w:t>
      </w:r>
    </w:p>
    <w:p w:rsidR="002008AA" w:rsidRPr="00CB504D" w:rsidRDefault="002008AA" w:rsidP="002008AA">
      <w:pPr>
        <w:keepNext/>
        <w:rPr>
          <w:sz w:val="18"/>
          <w:szCs w:val="18"/>
        </w:rPr>
      </w:pPr>
    </w:p>
    <w:p w:rsidR="002008AA" w:rsidRPr="00CB504D" w:rsidRDefault="002008AA" w:rsidP="002008AA">
      <w:pPr>
        <w:keepNext/>
        <w:ind w:firstLine="992"/>
        <w:rPr>
          <w:sz w:val="18"/>
          <w:szCs w:val="18"/>
        </w:rPr>
      </w:pPr>
      <w:r w:rsidRPr="00CB504D">
        <w:rPr>
          <w:sz w:val="18"/>
          <w:szCs w:val="18"/>
        </w:rPr>
        <w:t>a)</w:t>
      </w:r>
    </w:p>
    <w:p w:rsidR="002008AA" w:rsidRPr="00CB504D" w:rsidRDefault="002008AA" w:rsidP="002008AA">
      <w:pPr>
        <w:keepNext/>
        <w:ind w:firstLine="992"/>
        <w:rPr>
          <w:sz w:val="18"/>
          <w:szCs w:val="18"/>
        </w:rPr>
      </w:pPr>
      <w:r w:rsidRPr="00CB504D">
        <w:rPr>
          <w:sz w:val="18"/>
          <w:szCs w:val="18"/>
        </w:rPr>
        <w:t>b)</w:t>
      </w:r>
      <w:r w:rsidRPr="00CB504D">
        <w:rPr>
          <w:sz w:val="18"/>
          <w:szCs w:val="18"/>
        </w:rPr>
        <w:tab/>
        <w:t>etcétera.”</w:t>
      </w:r>
    </w:p>
    <w:p w:rsidR="002008AA" w:rsidRPr="00CB504D" w:rsidRDefault="002008AA" w:rsidP="002008AA">
      <w:pPr>
        <w:keepNext/>
        <w:rPr>
          <w:sz w:val="18"/>
          <w:szCs w:val="18"/>
        </w:rPr>
      </w:pPr>
    </w:p>
    <w:p w:rsidR="002008AA" w:rsidRPr="00CB504D" w:rsidRDefault="002008AA" w:rsidP="002008AA">
      <w:pPr>
        <w:ind w:left="567"/>
        <w:rPr>
          <w:sz w:val="18"/>
          <w:szCs w:val="18"/>
        </w:rPr>
      </w:pPr>
      <w:r w:rsidRPr="00CB504D">
        <w:rPr>
          <w:sz w:val="18"/>
          <w:szCs w:val="18"/>
        </w:rPr>
        <w:t>[…]</w:t>
      </w:r>
    </w:p>
    <w:p w:rsidR="002008AA" w:rsidRDefault="002008AA" w:rsidP="002008AA">
      <w:pPr>
        <w:ind w:firstLine="567"/>
        <w:rPr>
          <w:sz w:val="18"/>
          <w:szCs w:val="18"/>
        </w:rPr>
      </w:pPr>
    </w:p>
    <w:p w:rsidR="002008AA" w:rsidRPr="00CB504D" w:rsidRDefault="002008AA" w:rsidP="002008AA">
      <w:pPr>
        <w:ind w:firstLine="567"/>
        <w:rPr>
          <w:sz w:val="18"/>
          <w:szCs w:val="18"/>
        </w:rPr>
      </w:pPr>
    </w:p>
    <w:p w:rsidR="002008AA" w:rsidRPr="00EC708A" w:rsidRDefault="002008AA" w:rsidP="002008AA">
      <w:pPr>
        <w:rPr>
          <w:u w:val="single"/>
        </w:rPr>
      </w:pPr>
      <w:bookmarkStart w:id="39" w:name="_Toc477517505"/>
      <w:r w:rsidRPr="00EC708A">
        <w:rPr>
          <w:u w:val="single"/>
        </w:rPr>
        <w:t>Anexo 3: Notas orientativas</w:t>
      </w:r>
      <w:r>
        <w:rPr>
          <w:u w:val="single"/>
        </w:rPr>
        <w:t xml:space="preserve"> (GN)</w:t>
      </w:r>
      <w:r w:rsidRPr="00EC708A">
        <w:rPr>
          <w:u w:val="single"/>
        </w:rPr>
        <w:t xml:space="preserve"> </w:t>
      </w:r>
      <w:r w:rsidRPr="00EC708A">
        <w:rPr>
          <w:strike/>
          <w:highlight w:val="lightGray"/>
          <w:u w:val="single"/>
        </w:rPr>
        <w:t>sobre la plantilla de los documentos TG</w:t>
      </w:r>
      <w:bookmarkEnd w:id="39"/>
    </w:p>
    <w:p w:rsidR="002008AA" w:rsidRDefault="002008AA" w:rsidP="002008AA">
      <w:pPr>
        <w:ind w:firstLine="567"/>
      </w:pPr>
    </w:p>
    <w:p w:rsidR="002008AA" w:rsidRPr="00CB504D" w:rsidRDefault="002008AA" w:rsidP="009149F1">
      <w:pPr>
        <w:ind w:left="567" w:right="567"/>
        <w:rPr>
          <w:sz w:val="18"/>
          <w:szCs w:val="18"/>
        </w:rPr>
      </w:pPr>
      <w:r w:rsidRPr="00CB504D">
        <w:rPr>
          <w:sz w:val="18"/>
          <w:szCs w:val="18"/>
        </w:rPr>
        <w:t xml:space="preserve">“A continuación figuran notas orientativas a las que pueden remitirse los redactores al elaborar directrices de examen específicas </w:t>
      </w:r>
      <w:r w:rsidRPr="00CB504D">
        <w:rPr>
          <w:strike/>
          <w:sz w:val="18"/>
          <w:szCs w:val="18"/>
          <w:highlight w:val="lightGray"/>
        </w:rPr>
        <w:t>basadas en la plantilla de los documentos TG (Anexo 1)</w:t>
      </w:r>
      <w:r w:rsidRPr="00CB504D">
        <w:rPr>
          <w:sz w:val="18"/>
          <w:szCs w:val="18"/>
        </w:rPr>
        <w:t>.</w:t>
      </w:r>
      <w:r>
        <w:rPr>
          <w:sz w:val="18"/>
          <w:szCs w:val="18"/>
        </w:rPr>
        <w:t xml:space="preserve"> </w:t>
      </w:r>
      <w:r w:rsidRPr="00CB504D">
        <w:rPr>
          <w:sz w:val="18"/>
          <w:szCs w:val="18"/>
        </w:rPr>
        <w:t xml:space="preserve">La numeración se ajusta a la que se utiliza en </w:t>
      </w:r>
      <w:r w:rsidRPr="00CB504D">
        <w:rPr>
          <w:strike/>
          <w:sz w:val="18"/>
          <w:szCs w:val="18"/>
          <w:highlight w:val="lightGray"/>
        </w:rPr>
        <w:t>la plantilla de los documentos TG</w:t>
      </w:r>
      <w:r w:rsidRPr="00CB504D">
        <w:rPr>
          <w:sz w:val="18"/>
          <w:szCs w:val="18"/>
        </w:rPr>
        <w:t xml:space="preserve"> </w:t>
      </w:r>
      <w:r w:rsidRPr="00CB504D">
        <w:rPr>
          <w:sz w:val="18"/>
          <w:szCs w:val="18"/>
          <w:highlight w:val="lightGray"/>
          <w:u w:val="single"/>
        </w:rPr>
        <w:t>el Anexo I</w:t>
      </w:r>
      <w:r w:rsidRPr="00CB504D">
        <w:rPr>
          <w:sz w:val="18"/>
          <w:szCs w:val="18"/>
        </w:rPr>
        <w:t>.”</w:t>
      </w:r>
    </w:p>
    <w:p w:rsidR="002008AA" w:rsidRPr="003E7E58" w:rsidRDefault="002008AA" w:rsidP="002008AA"/>
    <w:p w:rsidR="002008AA" w:rsidRPr="00C30292" w:rsidRDefault="002008AA" w:rsidP="002008AA">
      <w:pPr>
        <w:pStyle w:val="ListParagraph"/>
        <w:numPr>
          <w:ilvl w:val="0"/>
          <w:numId w:val="3"/>
        </w:numPr>
        <w:ind w:left="0" w:firstLine="0"/>
      </w:pPr>
      <w:r w:rsidRPr="00C30292">
        <w:t>El título de todas las notas orientativas se debe modificar de modo que se supriman las referencias a la “Plantilla de los documentos TG”, como se indica a continuación:</w:t>
      </w:r>
    </w:p>
    <w:p w:rsidR="002008AA" w:rsidRPr="00E04EB4" w:rsidRDefault="002008AA" w:rsidP="002008AA">
      <w:pPr>
        <w:ind w:firstLine="567"/>
        <w:rPr>
          <w:sz w:val="18"/>
          <w:szCs w:val="18"/>
        </w:rPr>
      </w:pPr>
    </w:p>
    <w:p w:rsidR="002008AA" w:rsidRPr="009149F1" w:rsidRDefault="002008AA" w:rsidP="009149F1">
      <w:pPr>
        <w:rPr>
          <w:szCs w:val="18"/>
        </w:rPr>
      </w:pPr>
      <w:r w:rsidRPr="009149F1">
        <w:rPr>
          <w:szCs w:val="18"/>
        </w:rPr>
        <w:t>Ejemplo:</w:t>
      </w:r>
    </w:p>
    <w:p w:rsidR="002008AA" w:rsidRPr="00E04EB4" w:rsidRDefault="002008AA" w:rsidP="002008AA">
      <w:pPr>
        <w:ind w:firstLine="567"/>
        <w:rPr>
          <w:sz w:val="18"/>
          <w:szCs w:val="18"/>
        </w:rPr>
      </w:pPr>
    </w:p>
    <w:p w:rsidR="002008AA" w:rsidRPr="00E04EB4" w:rsidRDefault="002008AA" w:rsidP="009149F1">
      <w:pPr>
        <w:tabs>
          <w:tab w:val="left" w:pos="851"/>
        </w:tabs>
        <w:ind w:left="567" w:right="567"/>
        <w:rPr>
          <w:sz w:val="18"/>
          <w:szCs w:val="18"/>
        </w:rPr>
      </w:pPr>
      <w:r w:rsidRPr="00E04EB4">
        <w:rPr>
          <w:sz w:val="18"/>
          <w:szCs w:val="18"/>
        </w:rPr>
        <w:t>“GN 0 (</w:t>
      </w:r>
      <w:r w:rsidRPr="00E04EB4">
        <w:rPr>
          <w:strike/>
          <w:sz w:val="18"/>
          <w:szCs w:val="18"/>
          <w:highlight w:val="lightGray"/>
        </w:rPr>
        <w:t>Plantilla de los documentos TG:</w:t>
      </w:r>
      <w:r w:rsidRPr="00E04EB4">
        <w:rPr>
          <w:strike/>
          <w:sz w:val="18"/>
          <w:szCs w:val="18"/>
        </w:rPr>
        <w:t xml:space="preserve"> </w:t>
      </w:r>
      <w:r w:rsidRPr="00E04EB4">
        <w:rPr>
          <w:sz w:val="18"/>
          <w:szCs w:val="18"/>
        </w:rPr>
        <w:t>Portada; capítulo 8) – Uso en las directrices de examen de texto, fotografías e ilustraciones amparados por derechos de propiedad intelectual”</w:t>
      </w:r>
    </w:p>
    <w:p w:rsidR="002008AA" w:rsidRPr="00E04EB4" w:rsidRDefault="002008AA" w:rsidP="002008AA">
      <w:pPr>
        <w:jc w:val="left"/>
        <w:rPr>
          <w:sz w:val="18"/>
          <w:szCs w:val="18"/>
        </w:rPr>
      </w:pPr>
    </w:p>
    <w:p w:rsidR="002008AA" w:rsidRPr="00E04EB4" w:rsidRDefault="002008AA" w:rsidP="002008AA">
      <w:pPr>
        <w:ind w:firstLine="567"/>
        <w:rPr>
          <w:sz w:val="18"/>
          <w:szCs w:val="18"/>
        </w:rPr>
      </w:pPr>
      <w:r w:rsidRPr="00E04EB4">
        <w:rPr>
          <w:sz w:val="18"/>
          <w:szCs w:val="18"/>
        </w:rPr>
        <w:t>[…]</w:t>
      </w:r>
    </w:p>
    <w:p w:rsidR="002008AA" w:rsidRPr="00E04EB4" w:rsidRDefault="002008AA" w:rsidP="002008AA">
      <w:pPr>
        <w:ind w:firstLine="567"/>
        <w:rPr>
          <w:sz w:val="18"/>
          <w:szCs w:val="18"/>
        </w:rPr>
      </w:pPr>
    </w:p>
    <w:p w:rsidR="002008AA" w:rsidRPr="00E04EB4" w:rsidRDefault="002008AA" w:rsidP="002008AA">
      <w:pPr>
        <w:ind w:left="567"/>
        <w:rPr>
          <w:sz w:val="18"/>
          <w:szCs w:val="18"/>
        </w:rPr>
      </w:pPr>
      <w:bookmarkStart w:id="40" w:name="_Toc463342985"/>
      <w:bookmarkStart w:id="41" w:name="_Toc477517506"/>
      <w:r w:rsidRPr="00E04EB4">
        <w:rPr>
          <w:sz w:val="18"/>
          <w:szCs w:val="18"/>
        </w:rPr>
        <w:t>“GN 13</w:t>
      </w:r>
      <w:r w:rsidRPr="00E04EB4">
        <w:rPr>
          <w:sz w:val="18"/>
          <w:szCs w:val="18"/>
        </w:rPr>
        <w:tab/>
      </w:r>
      <w:bookmarkEnd w:id="40"/>
      <w:r w:rsidRPr="00E04EB4">
        <w:rPr>
          <w:sz w:val="18"/>
          <w:szCs w:val="18"/>
        </w:rPr>
        <w:t>Caracteres con funciones específicas</w:t>
      </w:r>
      <w:bookmarkEnd w:id="41"/>
      <w:r w:rsidRPr="00E04EB4">
        <w:rPr>
          <w:sz w:val="18"/>
          <w:szCs w:val="18"/>
        </w:rPr>
        <w:t>”</w:t>
      </w:r>
    </w:p>
    <w:p w:rsidR="002008AA" w:rsidRPr="00E04EB4" w:rsidRDefault="002008AA" w:rsidP="002008AA">
      <w:pPr>
        <w:rPr>
          <w:sz w:val="18"/>
          <w:szCs w:val="18"/>
        </w:rPr>
      </w:pPr>
    </w:p>
    <w:p w:rsidR="002008AA" w:rsidRPr="007E586D" w:rsidRDefault="002008AA" w:rsidP="009149F1">
      <w:pPr>
        <w:ind w:left="567" w:right="567"/>
        <w:rPr>
          <w:i/>
          <w:sz w:val="18"/>
          <w:szCs w:val="18"/>
        </w:rPr>
      </w:pPr>
      <w:bookmarkStart w:id="42" w:name="_Toc226858768"/>
      <w:bookmarkStart w:id="43" w:name="_Toc463342986"/>
      <w:r w:rsidRPr="007E586D">
        <w:rPr>
          <w:i/>
          <w:sz w:val="18"/>
          <w:szCs w:val="18"/>
        </w:rPr>
        <w:t xml:space="preserve">“1. </w:t>
      </w:r>
      <w:r w:rsidRPr="007E586D">
        <w:rPr>
          <w:i/>
          <w:sz w:val="18"/>
          <w:szCs w:val="18"/>
        </w:rPr>
        <w:tab/>
        <w:t>Caracteres señalados con asterisco (</w:t>
      </w:r>
      <w:r w:rsidRPr="007E586D">
        <w:rPr>
          <w:i/>
          <w:strike/>
          <w:sz w:val="18"/>
          <w:szCs w:val="18"/>
          <w:highlight w:val="lightGray"/>
        </w:rPr>
        <w:t>Plantilla de los documentos TG:</w:t>
      </w:r>
      <w:r w:rsidRPr="007E586D">
        <w:rPr>
          <w:i/>
          <w:sz w:val="18"/>
          <w:szCs w:val="18"/>
        </w:rPr>
        <w:t xml:space="preserve"> </w:t>
      </w:r>
      <w:bookmarkEnd w:id="42"/>
      <w:bookmarkEnd w:id="43"/>
      <w:r w:rsidRPr="007E586D">
        <w:rPr>
          <w:i/>
          <w:sz w:val="18"/>
          <w:szCs w:val="18"/>
        </w:rPr>
        <w:t>Capítulo 7</w:t>
      </w:r>
      <w:r w:rsidRPr="007E586D">
        <w:rPr>
          <w:i/>
          <w:strike/>
          <w:sz w:val="18"/>
          <w:szCs w:val="18"/>
          <w:highlight w:val="lightGray"/>
        </w:rPr>
        <w:t>: columna 1, hilera de encabezamiento 2</w:t>
      </w:r>
      <w:r w:rsidRPr="007E586D">
        <w:rPr>
          <w:i/>
          <w:sz w:val="18"/>
          <w:szCs w:val="18"/>
        </w:rPr>
        <w:t>)</w:t>
      </w:r>
    </w:p>
    <w:p w:rsidR="002008AA" w:rsidRPr="00E04EB4" w:rsidRDefault="002008AA" w:rsidP="009149F1">
      <w:pPr>
        <w:ind w:left="567" w:right="567"/>
        <w:rPr>
          <w:sz w:val="18"/>
          <w:szCs w:val="18"/>
        </w:rPr>
      </w:pPr>
    </w:p>
    <w:p w:rsidR="002008AA" w:rsidRPr="00E04EB4" w:rsidRDefault="002008AA" w:rsidP="009149F1">
      <w:pPr>
        <w:ind w:left="567" w:right="567"/>
        <w:rPr>
          <w:sz w:val="18"/>
          <w:szCs w:val="18"/>
        </w:rPr>
      </w:pPr>
      <w:r w:rsidRPr="00E04EB4">
        <w:rPr>
          <w:sz w:val="18"/>
          <w:szCs w:val="18"/>
        </w:rPr>
        <w:t>“1.1</w:t>
      </w:r>
      <w:r w:rsidRPr="00E04EB4">
        <w:rPr>
          <w:sz w:val="18"/>
          <w:szCs w:val="18"/>
        </w:rPr>
        <w:tab/>
        <w:t>En la Introducción General (Capítulo 4.8: Cuadro: Categorías funcionales de los caracteres) se establece que los caracteres señalados con asterisco son “caracteres que se consideran importantes para la armonización internacional de las descripciones de las variedades.” Los criterios para que un carácter pueda señalarse con un asterisco son los siguientes: […]”</w:t>
      </w:r>
    </w:p>
    <w:p w:rsidR="002008AA" w:rsidRPr="00E04EB4" w:rsidRDefault="002008AA" w:rsidP="009149F1">
      <w:pPr>
        <w:ind w:left="567" w:right="567"/>
        <w:rPr>
          <w:sz w:val="18"/>
          <w:szCs w:val="18"/>
        </w:rPr>
      </w:pPr>
    </w:p>
    <w:p w:rsidR="002008AA" w:rsidRPr="00E04EB4" w:rsidRDefault="002008AA" w:rsidP="009149F1">
      <w:pPr>
        <w:ind w:left="567" w:right="567"/>
        <w:rPr>
          <w:sz w:val="18"/>
          <w:szCs w:val="18"/>
        </w:rPr>
      </w:pPr>
      <w:bookmarkStart w:id="44" w:name="_Toc463342995"/>
      <w:bookmarkStart w:id="45" w:name="_Toc477517507"/>
      <w:bookmarkStart w:id="46" w:name="_Toc478118289"/>
      <w:r w:rsidRPr="00E04EB4">
        <w:rPr>
          <w:sz w:val="18"/>
          <w:szCs w:val="18"/>
        </w:rPr>
        <w:t>“GN 17</w:t>
      </w:r>
      <w:r w:rsidRPr="00E04EB4">
        <w:rPr>
          <w:sz w:val="18"/>
          <w:szCs w:val="18"/>
        </w:rPr>
        <w:tab/>
        <w:t>(</w:t>
      </w:r>
      <w:r w:rsidRPr="00E04EB4">
        <w:rPr>
          <w:strike/>
          <w:sz w:val="18"/>
          <w:szCs w:val="18"/>
          <w:highlight w:val="lightGray"/>
        </w:rPr>
        <w:t>Plantilla de los documentos TG:</w:t>
      </w:r>
      <w:r w:rsidRPr="00E04EB4">
        <w:rPr>
          <w:strike/>
          <w:sz w:val="18"/>
          <w:szCs w:val="18"/>
        </w:rPr>
        <w:t xml:space="preserve"> </w:t>
      </w:r>
      <w:r w:rsidRPr="00E04EB4">
        <w:rPr>
          <w:sz w:val="18"/>
          <w:szCs w:val="18"/>
        </w:rPr>
        <w:t xml:space="preserve">Capítulo 7) – Presentación de los caracteres: </w:t>
      </w:r>
      <w:bookmarkEnd w:id="44"/>
      <w:r w:rsidRPr="00E04EB4">
        <w:rPr>
          <w:sz w:val="18"/>
          <w:szCs w:val="18"/>
        </w:rPr>
        <w:t>caracteres aprobados</w:t>
      </w:r>
      <w:bookmarkEnd w:id="45"/>
      <w:r w:rsidRPr="00E04EB4">
        <w:rPr>
          <w:sz w:val="18"/>
          <w:szCs w:val="18"/>
        </w:rPr>
        <w:t>”</w:t>
      </w:r>
    </w:p>
    <w:p w:rsidR="002008AA" w:rsidRPr="00E04EB4" w:rsidRDefault="002008AA" w:rsidP="009149F1">
      <w:pPr>
        <w:ind w:left="567" w:right="567"/>
        <w:rPr>
          <w:sz w:val="18"/>
          <w:szCs w:val="18"/>
        </w:rPr>
      </w:pPr>
    </w:p>
    <w:p w:rsidR="002008AA" w:rsidRPr="00E04EB4" w:rsidRDefault="002008AA" w:rsidP="009149F1">
      <w:pPr>
        <w:ind w:left="567" w:right="567"/>
        <w:rPr>
          <w:sz w:val="18"/>
          <w:szCs w:val="18"/>
        </w:rPr>
      </w:pPr>
      <w:r w:rsidRPr="00E04EB4">
        <w:rPr>
          <w:sz w:val="18"/>
          <w:szCs w:val="18"/>
        </w:rPr>
        <w:t xml:space="preserve">“En </w:t>
      </w:r>
      <w:r w:rsidRPr="00E04EB4">
        <w:rPr>
          <w:strike/>
          <w:sz w:val="18"/>
          <w:szCs w:val="18"/>
          <w:highlight w:val="lightGray"/>
        </w:rPr>
        <w:t xml:space="preserve">el Anexo 4, “Colección de caracteres aprobados”, </w:t>
      </w:r>
      <w:r w:rsidRPr="00E04EB4">
        <w:rPr>
          <w:sz w:val="18"/>
          <w:szCs w:val="18"/>
          <w:highlight w:val="lightGray"/>
          <w:u w:val="single"/>
        </w:rPr>
        <w:t>la plantilla en Internet de los documentos TG</w:t>
      </w:r>
      <w:r w:rsidRPr="00E04EB4">
        <w:rPr>
          <w:sz w:val="18"/>
          <w:szCs w:val="18"/>
        </w:rPr>
        <w:t xml:space="preserve"> figura una colección de caracteres, con sus correspondientes niveles de expresión, que ya han sido aprobados para su inclusión en las directrices de examen vigentes </w:t>
      </w:r>
      <w:r w:rsidRPr="00E04EB4">
        <w:rPr>
          <w:sz w:val="18"/>
          <w:szCs w:val="18"/>
          <w:highlight w:val="lightGray"/>
          <w:u w:val="single"/>
        </w:rPr>
        <w:t>[con posterioridad a la aprobación del documento TGP/7] (los “caracteres aprobados”)</w:t>
      </w:r>
      <w:r w:rsidRPr="00E04EB4">
        <w:rPr>
          <w:sz w:val="18"/>
          <w:szCs w:val="18"/>
        </w:rPr>
        <w:t xml:space="preserve">. La elaboración de esta colección obedece a dos motivos principales: en primer lugar, contribuye a garantizar que los niveles de expresión utilizados para el mismo carácter o caracteres similares incluidos en las directrices de examen estén lo más armonizados posible; en segundo lugar, los caracteres presentados en la colección ya han sido traducidos a los idiomas de la UPOV. Así </w:t>
      </w:r>
      <w:r w:rsidRPr="00E04EB4">
        <w:rPr>
          <w:sz w:val="18"/>
          <w:szCs w:val="18"/>
        </w:rPr>
        <w:lastRenderedPageBreak/>
        <w:t xml:space="preserve">pues, las directrices de examen en las que se utilizan los caracteres </w:t>
      </w:r>
      <w:r w:rsidRPr="00E04EB4">
        <w:rPr>
          <w:sz w:val="18"/>
          <w:szCs w:val="18"/>
          <w:highlight w:val="lightGray"/>
          <w:u w:val="single"/>
        </w:rPr>
        <w:t>aprobados</w:t>
      </w:r>
      <w:r w:rsidRPr="00E04EB4">
        <w:rPr>
          <w:sz w:val="18"/>
          <w:szCs w:val="18"/>
        </w:rPr>
        <w:t xml:space="preserve"> </w:t>
      </w:r>
      <w:r w:rsidRPr="00E04EB4">
        <w:rPr>
          <w:strike/>
          <w:sz w:val="18"/>
          <w:szCs w:val="18"/>
          <w:highlight w:val="lightGray"/>
        </w:rPr>
        <w:t>del Anexo 4</w:t>
      </w:r>
      <w:r w:rsidRPr="00E04EB4">
        <w:rPr>
          <w:sz w:val="18"/>
          <w:szCs w:val="18"/>
        </w:rPr>
        <w:t xml:space="preserve"> supondrán un costo menor para la UPOV y es probable que la presentación para su adopción no sufra demoras.</w:t>
      </w:r>
      <w:r w:rsidRPr="00E04EB4">
        <w:rPr>
          <w:sz w:val="18"/>
          <w:szCs w:val="18"/>
          <w:vertAlign w:val="superscript"/>
        </w:rPr>
        <w:t xml:space="preserve"> </w:t>
      </w:r>
    </w:p>
    <w:p w:rsidR="002008AA" w:rsidRPr="00E04EB4" w:rsidRDefault="002008AA" w:rsidP="002008AA">
      <w:pPr>
        <w:ind w:left="567"/>
        <w:rPr>
          <w:sz w:val="18"/>
          <w:szCs w:val="18"/>
        </w:rPr>
      </w:pPr>
    </w:p>
    <w:p w:rsidR="002008AA" w:rsidRPr="00E04EB4" w:rsidRDefault="002008AA" w:rsidP="009149F1">
      <w:pPr>
        <w:ind w:left="567" w:right="567"/>
        <w:rPr>
          <w:sz w:val="18"/>
          <w:szCs w:val="18"/>
        </w:rPr>
      </w:pPr>
      <w:r w:rsidRPr="00E04EB4">
        <w:rPr>
          <w:sz w:val="18"/>
          <w:szCs w:val="18"/>
        </w:rPr>
        <w:t xml:space="preserve">“Se invita los redactores de directrices de examen a buscar </w:t>
      </w:r>
      <w:r w:rsidRPr="00E04EB4">
        <w:rPr>
          <w:strike/>
          <w:sz w:val="18"/>
          <w:szCs w:val="18"/>
          <w:highlight w:val="lightGray"/>
        </w:rPr>
        <w:t>en la colección</w:t>
      </w:r>
      <w:r w:rsidRPr="00E04EB4">
        <w:rPr>
          <w:sz w:val="18"/>
          <w:szCs w:val="18"/>
        </w:rPr>
        <w:t xml:space="preserve"> </w:t>
      </w:r>
      <w:r w:rsidRPr="00E04EB4">
        <w:rPr>
          <w:sz w:val="18"/>
          <w:szCs w:val="18"/>
          <w:highlight w:val="lightGray"/>
          <w:u w:val="single"/>
        </w:rPr>
        <w:t>entre</w:t>
      </w:r>
      <w:r w:rsidRPr="00E04EB4">
        <w:rPr>
          <w:sz w:val="18"/>
          <w:szCs w:val="18"/>
          <w:highlight w:val="lightGray"/>
        </w:rPr>
        <w:t xml:space="preserve"> los caracteres </w:t>
      </w:r>
      <w:r w:rsidRPr="00E04EB4">
        <w:rPr>
          <w:sz w:val="18"/>
          <w:szCs w:val="18"/>
          <w:highlight w:val="lightGray"/>
          <w:u w:val="single"/>
        </w:rPr>
        <w:t>aprobados el carácter</w:t>
      </w:r>
      <w:r w:rsidRPr="00E04EB4">
        <w:rPr>
          <w:sz w:val="18"/>
          <w:szCs w:val="18"/>
        </w:rPr>
        <w:t xml:space="preserve"> que desean utilizar. Si se encuentra el carácter adecuado, con sus correspondientes niveles de expresión, puede </w:t>
      </w:r>
      <w:r w:rsidRPr="00E04EB4">
        <w:rPr>
          <w:strike/>
          <w:sz w:val="18"/>
          <w:szCs w:val="18"/>
          <w:highlight w:val="lightGray"/>
        </w:rPr>
        <w:t>copiarse directamente en</w:t>
      </w:r>
      <w:r w:rsidRPr="00E04EB4">
        <w:rPr>
          <w:sz w:val="18"/>
          <w:szCs w:val="18"/>
        </w:rPr>
        <w:t xml:space="preserve"> </w:t>
      </w:r>
      <w:r w:rsidRPr="00E04EB4">
        <w:rPr>
          <w:sz w:val="18"/>
          <w:szCs w:val="18"/>
          <w:highlight w:val="lightGray"/>
          <w:u w:val="single"/>
        </w:rPr>
        <w:t>seleccionarse para</w:t>
      </w:r>
      <w:r w:rsidRPr="00E04EB4">
        <w:rPr>
          <w:sz w:val="18"/>
          <w:szCs w:val="18"/>
        </w:rPr>
        <w:t xml:space="preserve"> las nuevas directrices de examen.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2008AA" w:rsidRPr="00E04EB4" w:rsidRDefault="002008AA" w:rsidP="009149F1">
      <w:pPr>
        <w:ind w:left="567" w:right="567"/>
        <w:rPr>
          <w:sz w:val="18"/>
          <w:szCs w:val="18"/>
        </w:rPr>
      </w:pPr>
    </w:p>
    <w:p w:rsidR="002008AA" w:rsidRPr="00E04EB4" w:rsidRDefault="002008AA" w:rsidP="009149F1">
      <w:pPr>
        <w:ind w:left="567" w:right="567"/>
        <w:rPr>
          <w:sz w:val="18"/>
          <w:szCs w:val="18"/>
        </w:rPr>
      </w:pPr>
      <w:r w:rsidRPr="00E04EB4">
        <w:rPr>
          <w:sz w:val="18"/>
          <w:szCs w:val="18"/>
        </w:rPr>
        <w:t xml:space="preserve">“Para los casos en que el carácter necesario no </w:t>
      </w:r>
      <w:r w:rsidRPr="00E04EB4">
        <w:rPr>
          <w:strike/>
          <w:sz w:val="18"/>
          <w:szCs w:val="18"/>
          <w:highlight w:val="lightGray"/>
        </w:rPr>
        <w:t>está presente en la colección</w:t>
      </w:r>
      <w:r w:rsidRPr="00E04EB4">
        <w:rPr>
          <w:sz w:val="18"/>
          <w:szCs w:val="18"/>
        </w:rPr>
        <w:t xml:space="preserve"> </w:t>
      </w:r>
      <w:r w:rsidRPr="00E04EB4">
        <w:rPr>
          <w:sz w:val="18"/>
          <w:szCs w:val="18"/>
          <w:highlight w:val="lightGray"/>
          <w:u w:val="single"/>
        </w:rPr>
        <w:t>sea un carácter aprobado</w:t>
      </w:r>
      <w:r w:rsidRPr="00E04EB4">
        <w:rPr>
          <w:sz w:val="18"/>
          <w:szCs w:val="18"/>
        </w:rPr>
        <w:t>, se ofrece orientación en la GN 18, la GN 19 y la GN 20.”</w:t>
      </w:r>
    </w:p>
    <w:p w:rsidR="002008AA" w:rsidRPr="00E04EB4" w:rsidRDefault="002008AA" w:rsidP="009149F1">
      <w:pPr>
        <w:ind w:right="567"/>
        <w:rPr>
          <w:sz w:val="18"/>
          <w:szCs w:val="18"/>
        </w:rPr>
      </w:pPr>
    </w:p>
    <w:p w:rsidR="002008AA" w:rsidRPr="00E04EB4" w:rsidRDefault="002008AA" w:rsidP="009149F1">
      <w:pPr>
        <w:ind w:left="567" w:right="567"/>
        <w:rPr>
          <w:sz w:val="18"/>
          <w:szCs w:val="18"/>
        </w:rPr>
      </w:pPr>
      <w:bookmarkStart w:id="47" w:name="_Toc27819194"/>
      <w:bookmarkStart w:id="48" w:name="_Toc27819375"/>
      <w:bookmarkStart w:id="49" w:name="_Toc27819556"/>
      <w:bookmarkStart w:id="50" w:name="_Toc463342996"/>
      <w:bookmarkStart w:id="51" w:name="_Toc477517508"/>
      <w:r w:rsidRPr="00E04EB4">
        <w:rPr>
          <w:sz w:val="18"/>
          <w:szCs w:val="18"/>
        </w:rPr>
        <w:t>“GN 18</w:t>
      </w:r>
      <w:r w:rsidRPr="00E04EB4">
        <w:rPr>
          <w:sz w:val="18"/>
          <w:szCs w:val="18"/>
        </w:rPr>
        <w:tab/>
        <w:t>(</w:t>
      </w:r>
      <w:r w:rsidRPr="00E04EB4">
        <w:rPr>
          <w:strike/>
          <w:sz w:val="18"/>
          <w:szCs w:val="18"/>
          <w:highlight w:val="lightGray"/>
        </w:rPr>
        <w:t>Plantilla de los documentos TG:</w:t>
      </w:r>
      <w:r w:rsidRPr="00E04EB4">
        <w:rPr>
          <w:strike/>
          <w:sz w:val="18"/>
          <w:szCs w:val="18"/>
        </w:rPr>
        <w:t xml:space="preserve"> </w:t>
      </w:r>
      <w:bookmarkEnd w:id="47"/>
      <w:bookmarkEnd w:id="48"/>
      <w:bookmarkEnd w:id="49"/>
      <w:bookmarkEnd w:id="50"/>
      <w:r w:rsidRPr="00E04EB4">
        <w:rPr>
          <w:sz w:val="18"/>
          <w:szCs w:val="18"/>
        </w:rPr>
        <w:t>Capítulo 7</w:t>
      </w:r>
      <w:r w:rsidRPr="00E04EB4">
        <w:rPr>
          <w:strike/>
          <w:sz w:val="18"/>
          <w:szCs w:val="18"/>
          <w:highlight w:val="lightGray"/>
        </w:rPr>
        <w:t>: columna 3</w:t>
      </w:r>
      <w:r w:rsidRPr="00E04EB4">
        <w:rPr>
          <w:sz w:val="18"/>
          <w:szCs w:val="18"/>
        </w:rPr>
        <w:t>) – Presentación de los caracteres: título de un carácter”</w:t>
      </w:r>
      <w:bookmarkEnd w:id="51"/>
    </w:p>
    <w:p w:rsidR="002008AA" w:rsidRPr="00E04EB4" w:rsidRDefault="002008AA" w:rsidP="009149F1">
      <w:pPr>
        <w:ind w:right="567"/>
        <w:rPr>
          <w:sz w:val="18"/>
          <w:szCs w:val="18"/>
        </w:rPr>
      </w:pPr>
    </w:p>
    <w:p w:rsidR="002008AA" w:rsidRPr="00E04EB4" w:rsidRDefault="002008AA" w:rsidP="009149F1">
      <w:pPr>
        <w:ind w:left="567" w:right="567"/>
        <w:rPr>
          <w:sz w:val="18"/>
          <w:szCs w:val="18"/>
        </w:rPr>
      </w:pPr>
      <w:r w:rsidRPr="00E04EB4">
        <w:rPr>
          <w:sz w:val="18"/>
          <w:szCs w:val="18"/>
        </w:rPr>
        <w:t>[…]</w:t>
      </w:r>
    </w:p>
    <w:p w:rsidR="002008AA" w:rsidRPr="00E04EB4" w:rsidRDefault="002008AA" w:rsidP="009149F1">
      <w:pPr>
        <w:ind w:right="567"/>
        <w:rPr>
          <w:sz w:val="18"/>
          <w:szCs w:val="18"/>
        </w:rPr>
      </w:pPr>
    </w:p>
    <w:p w:rsidR="002008AA" w:rsidRPr="00E04EB4" w:rsidRDefault="002008AA" w:rsidP="009149F1">
      <w:pPr>
        <w:ind w:left="567" w:right="567"/>
        <w:rPr>
          <w:sz w:val="18"/>
          <w:szCs w:val="18"/>
        </w:rPr>
      </w:pPr>
      <w:bookmarkStart w:id="52" w:name="_Toc27819199"/>
      <w:bookmarkStart w:id="53" w:name="_Toc27819380"/>
      <w:bookmarkStart w:id="54" w:name="_Toc27819561"/>
      <w:bookmarkStart w:id="55" w:name="_Toc463343000"/>
      <w:bookmarkStart w:id="56" w:name="_Toc477517509"/>
      <w:r w:rsidRPr="00E04EB4">
        <w:rPr>
          <w:sz w:val="18"/>
          <w:szCs w:val="18"/>
        </w:rPr>
        <w:t>“GN 19</w:t>
      </w:r>
      <w:r w:rsidRPr="00E04EB4">
        <w:rPr>
          <w:sz w:val="18"/>
          <w:szCs w:val="18"/>
        </w:rPr>
        <w:tab/>
        <w:t>(</w:t>
      </w:r>
      <w:r w:rsidRPr="00E04EB4">
        <w:rPr>
          <w:strike/>
          <w:sz w:val="18"/>
          <w:szCs w:val="18"/>
          <w:highlight w:val="lightGray"/>
        </w:rPr>
        <w:t>Plantilla de los documentos TG:</w:t>
      </w:r>
      <w:r w:rsidRPr="00E04EB4">
        <w:rPr>
          <w:strike/>
          <w:sz w:val="18"/>
          <w:szCs w:val="18"/>
        </w:rPr>
        <w:t xml:space="preserve"> </w:t>
      </w:r>
      <w:bookmarkEnd w:id="52"/>
      <w:bookmarkEnd w:id="53"/>
      <w:bookmarkEnd w:id="54"/>
      <w:bookmarkEnd w:id="55"/>
      <w:r w:rsidRPr="00E04EB4">
        <w:rPr>
          <w:sz w:val="18"/>
          <w:szCs w:val="18"/>
        </w:rPr>
        <w:t>Capítulo 7</w:t>
      </w:r>
      <w:r w:rsidRPr="00E04EB4">
        <w:rPr>
          <w:strike/>
          <w:sz w:val="18"/>
          <w:szCs w:val="18"/>
          <w:highlight w:val="lightGray"/>
        </w:rPr>
        <w:t>: columna 3</w:t>
      </w:r>
      <w:r w:rsidRPr="00E04EB4">
        <w:rPr>
          <w:sz w:val="18"/>
          <w:szCs w:val="18"/>
        </w:rPr>
        <w:t>) – Presentación de los caracteres: presentación general de los niveles de expresión”</w:t>
      </w:r>
      <w:bookmarkEnd w:id="56"/>
    </w:p>
    <w:p w:rsidR="002008AA" w:rsidRPr="00E04EB4" w:rsidRDefault="002008AA" w:rsidP="009149F1">
      <w:pPr>
        <w:ind w:right="567"/>
        <w:rPr>
          <w:sz w:val="18"/>
          <w:szCs w:val="18"/>
        </w:rPr>
      </w:pPr>
    </w:p>
    <w:p w:rsidR="002008AA" w:rsidRPr="00E04EB4" w:rsidRDefault="002008AA" w:rsidP="009149F1">
      <w:pPr>
        <w:ind w:left="567" w:right="567"/>
        <w:rPr>
          <w:sz w:val="18"/>
        </w:rPr>
      </w:pPr>
      <w:bookmarkStart w:id="57" w:name="_Toc463343009"/>
      <w:bookmarkStart w:id="58" w:name="_Toc477517510"/>
      <w:r w:rsidRPr="00E04EB4">
        <w:rPr>
          <w:sz w:val="18"/>
        </w:rPr>
        <w:t>“GN 20</w:t>
      </w:r>
      <w:r w:rsidRPr="00E04EB4">
        <w:rPr>
          <w:sz w:val="18"/>
        </w:rPr>
        <w:tab/>
        <w:t>(</w:t>
      </w:r>
      <w:r w:rsidRPr="00E04EB4">
        <w:rPr>
          <w:strike/>
          <w:sz w:val="18"/>
          <w:highlight w:val="lightGray"/>
        </w:rPr>
        <w:t>Plantilla de los documentos TG:</w:t>
      </w:r>
      <w:r w:rsidRPr="00E04EB4">
        <w:rPr>
          <w:strike/>
          <w:sz w:val="18"/>
        </w:rPr>
        <w:t xml:space="preserve"> </w:t>
      </w:r>
      <w:bookmarkEnd w:id="57"/>
      <w:r w:rsidRPr="00E04EB4">
        <w:rPr>
          <w:sz w:val="18"/>
        </w:rPr>
        <w:t>Capítulo 7</w:t>
      </w:r>
      <w:r w:rsidRPr="00E04EB4">
        <w:rPr>
          <w:strike/>
          <w:sz w:val="18"/>
          <w:highlight w:val="lightGray"/>
        </w:rPr>
        <w:t>: columna 3</w:t>
      </w:r>
      <w:r w:rsidRPr="00E04EB4">
        <w:rPr>
          <w:sz w:val="18"/>
        </w:rPr>
        <w:t>) – Presentación de los caracteres: niveles de expresión de conformidad con el tipo de expresión de un carácter”</w:t>
      </w:r>
      <w:bookmarkEnd w:id="58"/>
    </w:p>
    <w:p w:rsidR="002008AA" w:rsidRPr="00E04EB4" w:rsidRDefault="002008AA" w:rsidP="009149F1">
      <w:pPr>
        <w:ind w:right="567"/>
        <w:rPr>
          <w:sz w:val="18"/>
          <w:szCs w:val="18"/>
        </w:rPr>
      </w:pPr>
    </w:p>
    <w:p w:rsidR="002008AA" w:rsidRPr="00E04EB4" w:rsidRDefault="002008AA" w:rsidP="009149F1">
      <w:pPr>
        <w:ind w:left="567" w:right="567"/>
        <w:rPr>
          <w:sz w:val="18"/>
        </w:rPr>
      </w:pPr>
      <w:bookmarkStart w:id="59" w:name="_Toc27819191"/>
      <w:bookmarkStart w:id="60" w:name="_Toc27819372"/>
      <w:bookmarkStart w:id="61" w:name="_Toc27819553"/>
      <w:bookmarkStart w:id="62" w:name="_Toc226858814"/>
      <w:bookmarkStart w:id="63" w:name="_Toc463343031"/>
      <w:bookmarkStart w:id="64" w:name="_Toc477517511"/>
      <w:r w:rsidRPr="00E04EB4">
        <w:rPr>
          <w:sz w:val="18"/>
        </w:rPr>
        <w:t>“GN 21</w:t>
      </w:r>
      <w:r w:rsidRPr="00E04EB4">
        <w:rPr>
          <w:sz w:val="18"/>
        </w:rPr>
        <w:tab/>
        <w:t>(</w:t>
      </w:r>
      <w:r w:rsidRPr="00E04EB4">
        <w:rPr>
          <w:sz w:val="18"/>
          <w:highlight w:val="lightGray"/>
        </w:rPr>
        <w:t>Plantilla de los documentos TG:</w:t>
      </w:r>
      <w:r w:rsidRPr="00E04EB4">
        <w:rPr>
          <w:sz w:val="18"/>
        </w:rPr>
        <w:t xml:space="preserve"> </w:t>
      </w:r>
      <w:bookmarkEnd w:id="59"/>
      <w:bookmarkEnd w:id="60"/>
      <w:bookmarkEnd w:id="61"/>
      <w:bookmarkEnd w:id="62"/>
      <w:bookmarkEnd w:id="63"/>
      <w:r w:rsidRPr="00E04EB4">
        <w:rPr>
          <w:sz w:val="18"/>
        </w:rPr>
        <w:t>Capítulo 7</w:t>
      </w:r>
      <w:r w:rsidRPr="00E04EB4">
        <w:rPr>
          <w:sz w:val="18"/>
          <w:highlight w:val="lightGray"/>
        </w:rPr>
        <w:t>: columna 1, hilera de niveles de expresión 1</w:t>
      </w:r>
      <w:r w:rsidRPr="00E04EB4">
        <w:rPr>
          <w:sz w:val="18"/>
        </w:rPr>
        <w:t>) – Tipo de expresión del carácter”</w:t>
      </w:r>
      <w:bookmarkEnd w:id="64"/>
    </w:p>
    <w:p w:rsidR="002008AA" w:rsidRPr="00E04EB4" w:rsidRDefault="002008AA" w:rsidP="009149F1">
      <w:pPr>
        <w:ind w:right="567"/>
        <w:rPr>
          <w:sz w:val="18"/>
          <w:szCs w:val="18"/>
        </w:rPr>
      </w:pPr>
    </w:p>
    <w:p w:rsidR="002008AA" w:rsidRPr="00E04EB4" w:rsidRDefault="002008AA" w:rsidP="009149F1">
      <w:pPr>
        <w:ind w:left="567" w:right="567"/>
        <w:rPr>
          <w:sz w:val="18"/>
        </w:rPr>
      </w:pPr>
      <w:bookmarkStart w:id="65" w:name="_Toc226858815"/>
      <w:bookmarkStart w:id="66" w:name="_Toc463343032"/>
      <w:bookmarkStart w:id="67" w:name="_Toc477517512"/>
      <w:r w:rsidRPr="00E04EB4">
        <w:rPr>
          <w:sz w:val="18"/>
        </w:rPr>
        <w:t xml:space="preserve">“GN 22 </w:t>
      </w:r>
      <w:r w:rsidRPr="00E04EB4">
        <w:rPr>
          <w:sz w:val="18"/>
        </w:rPr>
        <w:tab/>
        <w:t>(</w:t>
      </w:r>
      <w:r w:rsidRPr="00E04EB4">
        <w:rPr>
          <w:strike/>
          <w:sz w:val="18"/>
          <w:highlight w:val="lightGray"/>
        </w:rPr>
        <w:t>Plantilla de los documentos TG:</w:t>
      </w:r>
      <w:r w:rsidRPr="00E04EB4">
        <w:rPr>
          <w:strike/>
          <w:sz w:val="18"/>
        </w:rPr>
        <w:t xml:space="preserve"> </w:t>
      </w:r>
      <w:bookmarkEnd w:id="65"/>
      <w:bookmarkEnd w:id="66"/>
      <w:r w:rsidRPr="00E04EB4">
        <w:rPr>
          <w:sz w:val="18"/>
        </w:rPr>
        <w:t>Capítulo 7</w:t>
      </w:r>
      <w:r w:rsidRPr="00E04EB4">
        <w:rPr>
          <w:strike/>
          <w:sz w:val="18"/>
          <w:highlight w:val="lightGray"/>
        </w:rPr>
        <w:t>: columna 1, hilera de encabezamiento 3</w:t>
      </w:r>
      <w:r w:rsidRPr="00E04EB4">
        <w:rPr>
          <w:sz w:val="18"/>
        </w:rPr>
        <w:t>) – Explicaciones relativas a caracteres individuales”</w:t>
      </w:r>
      <w:bookmarkEnd w:id="67"/>
    </w:p>
    <w:p w:rsidR="002008AA" w:rsidRPr="00E04EB4" w:rsidRDefault="002008AA" w:rsidP="009149F1">
      <w:pPr>
        <w:ind w:right="567"/>
        <w:rPr>
          <w:sz w:val="18"/>
          <w:szCs w:val="18"/>
        </w:rPr>
      </w:pPr>
    </w:p>
    <w:p w:rsidR="002008AA" w:rsidRPr="00E04EB4" w:rsidRDefault="002008AA" w:rsidP="009149F1">
      <w:pPr>
        <w:ind w:left="567" w:right="567"/>
        <w:rPr>
          <w:sz w:val="18"/>
        </w:rPr>
      </w:pPr>
      <w:bookmarkStart w:id="68" w:name="_Toc226858816"/>
      <w:bookmarkStart w:id="69" w:name="_Toc463343033"/>
      <w:bookmarkStart w:id="70" w:name="_Toc477517513"/>
      <w:r w:rsidRPr="00E04EB4">
        <w:rPr>
          <w:sz w:val="18"/>
        </w:rPr>
        <w:t>“GN 23</w:t>
      </w:r>
      <w:r w:rsidRPr="00E04EB4">
        <w:rPr>
          <w:sz w:val="18"/>
        </w:rPr>
        <w:tab/>
        <w:t>(</w:t>
      </w:r>
      <w:r w:rsidRPr="00E04EB4">
        <w:rPr>
          <w:strike/>
          <w:sz w:val="18"/>
          <w:highlight w:val="lightGray"/>
        </w:rPr>
        <w:t>Plantilla de los documentos TG:</w:t>
      </w:r>
      <w:r w:rsidRPr="00E04EB4">
        <w:rPr>
          <w:strike/>
          <w:sz w:val="18"/>
        </w:rPr>
        <w:t xml:space="preserve"> </w:t>
      </w:r>
      <w:bookmarkEnd w:id="68"/>
      <w:bookmarkEnd w:id="69"/>
      <w:r w:rsidRPr="00E04EB4">
        <w:rPr>
          <w:sz w:val="18"/>
        </w:rPr>
        <w:t>Capítulo 7: columna 2, hilera de niveles de expresión 1) – Explicaciones relativas a varios caracteres</w:t>
      </w:r>
      <w:bookmarkEnd w:id="70"/>
      <w:r w:rsidRPr="00E04EB4">
        <w:rPr>
          <w:sz w:val="18"/>
        </w:rPr>
        <w:t xml:space="preserve"> </w:t>
      </w:r>
    </w:p>
    <w:p w:rsidR="002008AA" w:rsidRPr="00E04EB4" w:rsidRDefault="002008AA" w:rsidP="002008AA">
      <w:pPr>
        <w:rPr>
          <w:sz w:val="18"/>
          <w:szCs w:val="18"/>
        </w:rPr>
      </w:pPr>
    </w:p>
    <w:p w:rsidR="002008AA" w:rsidRPr="00E04EB4" w:rsidRDefault="002008AA" w:rsidP="009149F1">
      <w:pPr>
        <w:ind w:left="567" w:right="567"/>
        <w:rPr>
          <w:sz w:val="18"/>
          <w:szCs w:val="18"/>
        </w:rPr>
      </w:pPr>
      <w:r w:rsidRPr="00E04EB4">
        <w:rPr>
          <w:sz w:val="18"/>
          <w:szCs w:val="18"/>
        </w:rPr>
        <w:t xml:space="preserve">“En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se coloca una nota </w:t>
      </w:r>
      <w:r w:rsidRPr="00E04EB4">
        <w:rPr>
          <w:strike/>
          <w:sz w:val="18"/>
          <w:szCs w:val="18"/>
          <w:highlight w:val="lightGray"/>
        </w:rPr>
        <w:t>en la columna 2</w:t>
      </w:r>
      <w:r w:rsidRPr="00E04EB4">
        <w:rPr>
          <w:sz w:val="18"/>
          <w:szCs w:val="18"/>
        </w:rPr>
        <w:t xml:space="preserve"> </w:t>
      </w:r>
      <w:r w:rsidRPr="00E04EB4">
        <w:rPr>
          <w:sz w:val="18"/>
          <w:szCs w:val="18"/>
          <w:highlight w:val="lightGray"/>
          <w:u w:val="single"/>
        </w:rPr>
        <w:t>encima del título del carácter</w:t>
      </w:r>
      <w:r w:rsidRPr="00E04EB4">
        <w:rPr>
          <w:sz w:val="18"/>
          <w:szCs w:val="18"/>
        </w:rPr>
        <w:t xml:space="preserve"> y se ofrecen explicaciones en el Capítulo 8.1, de conformidad con el ASW 11. Por lo que respecta a las indicaciones sobre la fase de observación, deberán ser conformes con la nota orientativa GN 24 “Estado de desarrollo”.”</w:t>
      </w:r>
    </w:p>
    <w:p w:rsidR="002008AA" w:rsidRPr="00E04EB4" w:rsidRDefault="002008AA" w:rsidP="009149F1">
      <w:pPr>
        <w:ind w:right="567"/>
        <w:rPr>
          <w:sz w:val="18"/>
          <w:szCs w:val="18"/>
        </w:rPr>
      </w:pPr>
    </w:p>
    <w:p w:rsidR="002008AA" w:rsidRPr="00E04EB4" w:rsidRDefault="002008AA" w:rsidP="009149F1">
      <w:pPr>
        <w:ind w:left="567" w:right="567"/>
        <w:rPr>
          <w:sz w:val="18"/>
        </w:rPr>
      </w:pPr>
      <w:bookmarkStart w:id="71" w:name="_Toc27819192"/>
      <w:bookmarkStart w:id="72" w:name="_Toc27819373"/>
      <w:bookmarkStart w:id="73" w:name="_Toc27819554"/>
      <w:bookmarkStart w:id="74" w:name="_Toc226858817"/>
      <w:bookmarkStart w:id="75" w:name="_Toc463343034"/>
      <w:bookmarkStart w:id="76" w:name="_Toc477517514"/>
      <w:r w:rsidRPr="00E04EB4">
        <w:rPr>
          <w:sz w:val="18"/>
        </w:rPr>
        <w:t>“GN 24</w:t>
      </w:r>
      <w:r w:rsidRPr="00E04EB4">
        <w:rPr>
          <w:sz w:val="18"/>
        </w:rPr>
        <w:tab/>
        <w:t>(</w:t>
      </w:r>
      <w:r w:rsidRPr="00E04EB4">
        <w:rPr>
          <w:strike/>
          <w:sz w:val="18"/>
          <w:highlight w:val="lightGray"/>
        </w:rPr>
        <w:t>Plantilla de los documentos TG:</w:t>
      </w:r>
      <w:r w:rsidRPr="00E04EB4">
        <w:rPr>
          <w:sz w:val="18"/>
        </w:rPr>
        <w:t xml:space="preserve"> </w:t>
      </w:r>
      <w:bookmarkEnd w:id="71"/>
      <w:bookmarkEnd w:id="72"/>
      <w:bookmarkEnd w:id="73"/>
      <w:bookmarkEnd w:id="74"/>
      <w:bookmarkEnd w:id="75"/>
      <w:r w:rsidRPr="00E04EB4">
        <w:rPr>
          <w:sz w:val="18"/>
        </w:rPr>
        <w:t>Capítulo 7</w:t>
      </w:r>
      <w:r w:rsidRPr="00E04EB4">
        <w:rPr>
          <w:strike/>
          <w:sz w:val="18"/>
          <w:highlight w:val="lightGray"/>
        </w:rPr>
        <w:t>: columna 2, hilera de encabezamiento 1</w:t>
      </w:r>
      <w:r w:rsidRPr="00E04EB4">
        <w:rPr>
          <w:sz w:val="18"/>
        </w:rPr>
        <w:t>) – Estado de desarrollo”</w:t>
      </w:r>
      <w:bookmarkEnd w:id="76"/>
    </w:p>
    <w:p w:rsidR="002008AA" w:rsidRPr="00E04EB4" w:rsidRDefault="002008AA" w:rsidP="009149F1">
      <w:pPr>
        <w:ind w:right="567"/>
        <w:rPr>
          <w:sz w:val="18"/>
          <w:szCs w:val="18"/>
        </w:rPr>
      </w:pPr>
    </w:p>
    <w:p w:rsidR="002008AA" w:rsidRPr="00E04EB4" w:rsidRDefault="002008AA" w:rsidP="009149F1">
      <w:pPr>
        <w:ind w:left="567" w:right="567"/>
        <w:rPr>
          <w:sz w:val="18"/>
        </w:rPr>
      </w:pPr>
      <w:bookmarkStart w:id="77" w:name="_Toc226858818"/>
      <w:bookmarkStart w:id="78" w:name="_Toc463343035"/>
      <w:bookmarkStart w:id="79" w:name="_Toc27819193"/>
      <w:bookmarkStart w:id="80" w:name="_Toc27819374"/>
      <w:bookmarkStart w:id="81" w:name="_Toc27819555"/>
      <w:bookmarkStart w:id="82" w:name="_Toc477517515"/>
      <w:r w:rsidRPr="00E04EB4">
        <w:rPr>
          <w:sz w:val="18"/>
        </w:rPr>
        <w:t>“GN 25</w:t>
      </w:r>
      <w:r w:rsidRPr="00E04EB4">
        <w:rPr>
          <w:sz w:val="18"/>
        </w:rPr>
        <w:tab/>
        <w:t>(</w:t>
      </w:r>
      <w:r w:rsidRPr="00E04EB4">
        <w:rPr>
          <w:strike/>
          <w:sz w:val="18"/>
          <w:highlight w:val="lightGray"/>
        </w:rPr>
        <w:t>Plantilla de los documentos TG:</w:t>
      </w:r>
      <w:r w:rsidRPr="00E04EB4">
        <w:rPr>
          <w:sz w:val="18"/>
        </w:rPr>
        <w:t xml:space="preserve"> </w:t>
      </w:r>
      <w:bookmarkEnd w:id="77"/>
      <w:bookmarkEnd w:id="78"/>
      <w:bookmarkEnd w:id="79"/>
      <w:bookmarkEnd w:id="80"/>
      <w:bookmarkEnd w:id="81"/>
      <w:r w:rsidRPr="00E04EB4">
        <w:rPr>
          <w:sz w:val="18"/>
        </w:rPr>
        <w:t>Capítulo 7</w:t>
      </w:r>
      <w:r w:rsidRPr="00E04EB4">
        <w:rPr>
          <w:strike/>
          <w:sz w:val="18"/>
          <w:highlight w:val="lightGray"/>
        </w:rPr>
        <w:t>: columna 2, hilera de encabezamiento 1 ó 2</w:t>
      </w:r>
      <w:r w:rsidRPr="00E04EB4">
        <w:rPr>
          <w:sz w:val="18"/>
        </w:rPr>
        <w:t>) – Recomendaciones para efectuar el examen”</w:t>
      </w:r>
      <w:bookmarkEnd w:id="82"/>
    </w:p>
    <w:p w:rsidR="002008AA" w:rsidRPr="00E04EB4" w:rsidRDefault="002008AA" w:rsidP="009149F1">
      <w:pPr>
        <w:ind w:right="567"/>
        <w:rPr>
          <w:sz w:val="18"/>
          <w:szCs w:val="18"/>
        </w:rPr>
      </w:pPr>
    </w:p>
    <w:p w:rsidR="002008AA" w:rsidRPr="00E04EB4" w:rsidRDefault="002008AA" w:rsidP="009149F1">
      <w:pPr>
        <w:ind w:left="567" w:right="567"/>
        <w:rPr>
          <w:sz w:val="18"/>
          <w:szCs w:val="18"/>
        </w:rPr>
      </w:pPr>
      <w:r w:rsidRPr="00E04EB4">
        <w:rPr>
          <w:sz w:val="18"/>
          <w:szCs w:val="18"/>
          <w:lang w:val="es-ES_tradnl"/>
        </w:rPr>
        <w:t>“En este recuadro se ofrece la clave de la orientación sobre la realización del examen.</w:t>
      </w:r>
      <w:r w:rsidRPr="00E04EB4">
        <w:rPr>
          <w:rFonts w:cs="Arial"/>
          <w:sz w:val="18"/>
          <w:szCs w:val="18"/>
        </w:rPr>
        <w:t xml:space="preserve"> </w:t>
      </w:r>
      <w:r w:rsidRPr="00E04EB4">
        <w:rPr>
          <w:sz w:val="18"/>
          <w:szCs w:val="18"/>
          <w:lang w:val="es-ES_tradnl"/>
        </w:rPr>
        <w:t xml:space="preserve">Por ejemplo, podrán figurar recomendaciones sobre el método de observación (por ejemplo: evaluación visual o medición; observación de plantas en forma individual o en grupos) </w:t>
      </w:r>
      <w:r w:rsidRPr="00E04EB4">
        <w:rPr>
          <w:rFonts w:cs="Arial"/>
          <w:strike/>
          <w:sz w:val="18"/>
          <w:szCs w:val="18"/>
          <w:highlight w:val="lightGray"/>
        </w:rPr>
        <w:t>o</w:t>
      </w:r>
      <w:r w:rsidRPr="00E04EB4">
        <w:rPr>
          <w:sz w:val="18"/>
          <w:szCs w:val="18"/>
          <w:lang w:val="es-ES_tradnl"/>
        </w:rPr>
        <w:t xml:space="preserve"> el tipo de parcela (por ejemplo, plantas aisladas; parcelas en hilera, parcelas sembradas a chorrillo, ensayo especial). En el ASW 4b) se ofrece un posible texto estándar.”</w:t>
      </w:r>
    </w:p>
    <w:p w:rsidR="002008AA" w:rsidRPr="00E04EB4" w:rsidRDefault="002008AA" w:rsidP="009149F1">
      <w:pPr>
        <w:ind w:right="567"/>
        <w:rPr>
          <w:sz w:val="18"/>
          <w:szCs w:val="18"/>
        </w:rPr>
      </w:pPr>
    </w:p>
    <w:p w:rsidR="002008AA" w:rsidRPr="00E04EB4" w:rsidRDefault="002008AA" w:rsidP="009149F1">
      <w:pPr>
        <w:ind w:left="567" w:right="567"/>
        <w:rPr>
          <w:sz w:val="18"/>
          <w:szCs w:val="18"/>
        </w:rPr>
      </w:pPr>
      <w:bookmarkStart w:id="83" w:name="_Toc27819188"/>
      <w:bookmarkStart w:id="84" w:name="_Toc27819369"/>
      <w:bookmarkStart w:id="85" w:name="_Toc27819550"/>
      <w:bookmarkStart w:id="86" w:name="_Toc463343036"/>
      <w:bookmarkStart w:id="87" w:name="_Toc477517516"/>
      <w:r w:rsidRPr="00E04EB4">
        <w:rPr>
          <w:sz w:val="18"/>
          <w:szCs w:val="18"/>
        </w:rPr>
        <w:t>“GN 26</w:t>
      </w:r>
      <w:r w:rsidRPr="00E04EB4">
        <w:rPr>
          <w:sz w:val="18"/>
          <w:szCs w:val="18"/>
        </w:rPr>
        <w:tab/>
      </w:r>
      <w:r w:rsidRPr="00E04EB4">
        <w:rPr>
          <w:sz w:val="18"/>
          <w:szCs w:val="18"/>
          <w:lang w:val="es-ES_tradnl"/>
        </w:rPr>
        <w:t>(</w:t>
      </w:r>
      <w:r w:rsidRPr="00E04EB4">
        <w:rPr>
          <w:strike/>
          <w:sz w:val="18"/>
          <w:szCs w:val="18"/>
          <w:highlight w:val="lightGray"/>
          <w:lang w:val="es-ES_tradnl"/>
        </w:rPr>
        <w:t>Plantilla de los documentos TG:</w:t>
      </w:r>
      <w:r w:rsidRPr="00E04EB4">
        <w:rPr>
          <w:strike/>
          <w:sz w:val="18"/>
          <w:szCs w:val="18"/>
        </w:rPr>
        <w:t xml:space="preserve"> </w:t>
      </w:r>
      <w:bookmarkEnd w:id="83"/>
      <w:bookmarkEnd w:id="84"/>
      <w:bookmarkEnd w:id="85"/>
      <w:bookmarkEnd w:id="86"/>
      <w:r w:rsidRPr="00E04EB4">
        <w:rPr>
          <w:sz w:val="18"/>
          <w:szCs w:val="18"/>
          <w:lang w:val="es-ES_tradnl"/>
        </w:rPr>
        <w:t>Capítulo 7</w:t>
      </w:r>
      <w:r w:rsidRPr="00E04EB4">
        <w:rPr>
          <w:strike/>
          <w:sz w:val="18"/>
          <w:szCs w:val="18"/>
          <w:highlight w:val="lightGray"/>
          <w:lang w:val="es-ES_tradnl"/>
        </w:rPr>
        <w:t>: columna 1</w:t>
      </w:r>
      <w:r w:rsidRPr="00E04EB4">
        <w:rPr>
          <w:sz w:val="18"/>
          <w:szCs w:val="18"/>
          <w:lang w:val="es-ES_tradnl"/>
        </w:rPr>
        <w:t>) – Orden de los caracteres en la tabla de caracteres</w:t>
      </w:r>
      <w:bookmarkEnd w:id="87"/>
      <w:r w:rsidRPr="00E04EB4">
        <w:rPr>
          <w:sz w:val="18"/>
          <w:szCs w:val="18"/>
        </w:rPr>
        <w:t>”</w:t>
      </w:r>
      <w:bookmarkEnd w:id="46"/>
      <w:r w:rsidRPr="00E04EB4">
        <w:rPr>
          <w:sz w:val="18"/>
          <w:szCs w:val="18"/>
        </w:rPr>
        <w:t xml:space="preserve"> </w:t>
      </w:r>
    </w:p>
    <w:p w:rsidR="002008AA" w:rsidRPr="00E04EB4" w:rsidRDefault="002008AA" w:rsidP="009149F1">
      <w:pPr>
        <w:ind w:right="567"/>
        <w:rPr>
          <w:sz w:val="18"/>
          <w:szCs w:val="18"/>
        </w:rPr>
      </w:pPr>
    </w:p>
    <w:p w:rsidR="002008AA" w:rsidRPr="00E04EB4" w:rsidRDefault="002008AA" w:rsidP="009149F1">
      <w:pPr>
        <w:ind w:left="567" w:right="567"/>
        <w:rPr>
          <w:sz w:val="18"/>
          <w:szCs w:val="18"/>
        </w:rPr>
      </w:pPr>
      <w:r w:rsidRPr="00E04EB4">
        <w:rPr>
          <w:sz w:val="18"/>
          <w:szCs w:val="18"/>
        </w:rPr>
        <w:t xml:space="preserve">“GN 28 </w:t>
      </w:r>
      <w:r>
        <w:rPr>
          <w:sz w:val="18"/>
          <w:szCs w:val="18"/>
        </w:rPr>
        <w:tab/>
      </w:r>
      <w:r w:rsidRPr="00E04EB4">
        <w:rPr>
          <w:sz w:val="18"/>
          <w:szCs w:val="18"/>
        </w:rPr>
        <w:t>(</w:t>
      </w:r>
      <w:r w:rsidRPr="007B7BC5">
        <w:rPr>
          <w:strike/>
          <w:sz w:val="18"/>
          <w:szCs w:val="18"/>
          <w:highlight w:val="lightGray"/>
        </w:rPr>
        <w:t>Plantilla de los documentos TG:</w:t>
      </w:r>
      <w:r w:rsidRPr="00E04EB4">
        <w:rPr>
          <w:sz w:val="18"/>
          <w:szCs w:val="18"/>
        </w:rPr>
        <w:t xml:space="preserve"> Capítulo 6.4) – Variedades ejemplo</w:t>
      </w:r>
    </w:p>
    <w:p w:rsidR="002008AA" w:rsidRPr="00E04EB4" w:rsidRDefault="002008AA" w:rsidP="009149F1">
      <w:pPr>
        <w:ind w:left="567" w:right="567"/>
        <w:rPr>
          <w:sz w:val="18"/>
          <w:szCs w:val="18"/>
        </w:rPr>
      </w:pPr>
    </w:p>
    <w:p w:rsidR="002008AA" w:rsidRPr="00E04EB4" w:rsidRDefault="002008AA" w:rsidP="009149F1">
      <w:pPr>
        <w:keepNext/>
        <w:tabs>
          <w:tab w:val="left" w:pos="1418"/>
        </w:tabs>
        <w:ind w:left="567" w:right="567"/>
        <w:outlineLvl w:val="4"/>
        <w:rPr>
          <w:i/>
          <w:sz w:val="18"/>
          <w:szCs w:val="18"/>
        </w:rPr>
      </w:pPr>
      <w:r w:rsidRPr="00E04EB4">
        <w:rPr>
          <w:i/>
          <w:sz w:val="18"/>
          <w:szCs w:val="18"/>
        </w:rPr>
        <w:t>“3.2</w:t>
      </w:r>
      <w:r w:rsidRPr="00E04EB4">
        <w:rPr>
          <w:i/>
          <w:sz w:val="18"/>
          <w:szCs w:val="18"/>
        </w:rPr>
        <w:tab/>
        <w:t>Distintos tipos de variedad</w:t>
      </w:r>
    </w:p>
    <w:p w:rsidR="002008AA" w:rsidRPr="00E04EB4" w:rsidRDefault="002008AA" w:rsidP="009149F1">
      <w:pPr>
        <w:tabs>
          <w:tab w:val="left" w:pos="1418"/>
        </w:tabs>
        <w:ind w:left="567" w:right="567"/>
        <w:rPr>
          <w:sz w:val="18"/>
          <w:szCs w:val="18"/>
        </w:rPr>
      </w:pPr>
    </w:p>
    <w:p w:rsidR="002008AA" w:rsidRPr="00E04EB4" w:rsidRDefault="002008AA" w:rsidP="009149F1">
      <w:pPr>
        <w:keepLines/>
        <w:tabs>
          <w:tab w:val="left" w:pos="1418"/>
        </w:tabs>
        <w:ind w:left="567" w:right="567"/>
        <w:rPr>
          <w:sz w:val="18"/>
          <w:szCs w:val="18"/>
        </w:rPr>
      </w:pPr>
      <w:r w:rsidRPr="00E04EB4">
        <w:rPr>
          <w:sz w:val="18"/>
          <w:szCs w:val="18"/>
        </w:rPr>
        <w:t>“3.2.2</w:t>
      </w:r>
      <w:r w:rsidRPr="00E04EB4">
        <w:rPr>
          <w:sz w:val="18"/>
          <w:szCs w:val="18"/>
        </w:rPr>
        <w:tab/>
        <w:t xml:space="preserve">Si se proporcionan distintos conjuntos de variedades ejemplo para los distintos tipos de variedades que abarcan las mismas directrices de examen, esos conjuntos se colocarán en la columna habitual de la tabla de caracteres. Los conjuntos de variedades ejemplo (por ejemplo, de invierno y de primavera) </w:t>
      </w:r>
      <w:r w:rsidRPr="00E04EB4">
        <w:rPr>
          <w:strike/>
          <w:sz w:val="18"/>
          <w:szCs w:val="18"/>
          <w:highlight w:val="lightGray"/>
        </w:rPr>
        <w:t>se separarán mediante un punto y coma, y</w:t>
      </w:r>
      <w:r w:rsidRPr="00E04EB4">
        <w:rPr>
          <w:sz w:val="18"/>
          <w:szCs w:val="18"/>
        </w:rPr>
        <w:t xml:space="preserve"> figurará una clave que se indican para cada conjunto y se incluirá una explicación para la opción elegida en la leyenda del Capítulo 6 de las directrices de examen.</w:t>
      </w:r>
    </w:p>
    <w:p w:rsidR="002008AA" w:rsidRPr="00E04EB4" w:rsidRDefault="002008AA" w:rsidP="002008AA">
      <w:pPr>
        <w:keepLines/>
        <w:tabs>
          <w:tab w:val="left" w:pos="1418"/>
        </w:tabs>
        <w:ind w:left="567" w:right="567"/>
        <w:rPr>
          <w:sz w:val="18"/>
          <w:szCs w:val="18"/>
        </w:rPr>
      </w:pPr>
    </w:p>
    <w:p w:rsidR="002008AA" w:rsidRDefault="002008AA" w:rsidP="002008AA">
      <w:pPr>
        <w:tabs>
          <w:tab w:val="left" w:pos="1418"/>
        </w:tabs>
        <w:ind w:left="567" w:right="567"/>
        <w:rPr>
          <w:sz w:val="18"/>
        </w:rPr>
      </w:pPr>
      <w:r>
        <w:rPr>
          <w:sz w:val="18"/>
        </w:rPr>
        <w:lastRenderedPageBreak/>
        <w:t xml:space="preserve">“Ejemplo: Para ciertos caracteres, se indican distintas variedades ejemplo según se trate de variedades del tipo de verano o de primavera. </w:t>
      </w:r>
      <w:r>
        <w:rPr>
          <w:strike/>
          <w:sz w:val="18"/>
          <w:highlight w:val="lightGray"/>
        </w:rPr>
        <w:t>Esos tipos están</w:t>
      </w:r>
      <w:r>
        <w:rPr>
          <w:sz w:val="18"/>
          <w:highlight w:val="lightGray"/>
        </w:rPr>
        <w:t xml:space="preserve"> separados por un punto y coma, los tipos de invierno se colocarán antes del punto y coma,</w:t>
      </w:r>
      <w:r>
        <w:rPr>
          <w:sz w:val="18"/>
        </w:rPr>
        <w:t xml:space="preserve"> </w:t>
      </w:r>
      <w:r>
        <w:rPr>
          <w:sz w:val="18"/>
          <w:highlight w:val="lightGray"/>
          <w:u w:val="single"/>
        </w:rPr>
        <w:t>Los tipos de invierno irán</w:t>
      </w:r>
      <w:r>
        <w:rPr>
          <w:sz w:val="18"/>
        </w:rPr>
        <w:t xml:space="preserve"> acompañados por el prefijo “(w)” y los tipos de primavera </w:t>
      </w:r>
      <w:r>
        <w:rPr>
          <w:strike/>
          <w:sz w:val="18"/>
          <w:highlight w:val="lightGray"/>
        </w:rPr>
        <w:t>se colocarán después del punto y coma</w:t>
      </w:r>
      <w:r>
        <w:rPr>
          <w:sz w:val="18"/>
        </w:rPr>
        <w:t xml:space="preserve"> irán acompañados por el prefijo “(s)”.</w:t>
      </w:r>
    </w:p>
    <w:p w:rsidR="002008AA" w:rsidRPr="00072694" w:rsidRDefault="002008AA" w:rsidP="002008AA">
      <w:pPr>
        <w:tabs>
          <w:tab w:val="left" w:pos="1418"/>
        </w:tabs>
        <w:ind w:left="567" w:right="567"/>
        <w:rPr>
          <w:sz w:val="18"/>
        </w:rPr>
      </w:pPr>
    </w:p>
    <w:p w:rsidR="002008AA" w:rsidRPr="00072694" w:rsidRDefault="002008AA" w:rsidP="002008AA"/>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2008AA" w:rsidRPr="000279A4" w:rsidTr="008A29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008AA" w:rsidRPr="000279A4" w:rsidRDefault="002008AA" w:rsidP="008A29E5">
            <w:pPr>
              <w:jc w:val="center"/>
              <w:rPr>
                <w:rFonts w:eastAsia="Arial" w:cs="Arial"/>
                <w:b/>
                <w:bCs/>
                <w:color w:val="000000"/>
                <w:sz w:val="16"/>
                <w:szCs w:val="16"/>
              </w:rPr>
            </w:pPr>
            <w:r>
              <w:rPr>
                <w:b/>
                <w:color w:val="000000"/>
                <w:sz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008AA" w:rsidRPr="000279A4" w:rsidRDefault="002008AA" w:rsidP="008A29E5">
            <w:pPr>
              <w:jc w:val="center"/>
              <w:rPr>
                <w:rFonts w:eastAsia="Arial" w:cs="Arial"/>
                <w:b/>
                <w:bCs/>
                <w:color w:val="000000"/>
                <w:sz w:val="16"/>
                <w:szCs w:val="16"/>
              </w:rPr>
            </w:pPr>
            <w:r>
              <w:rPr>
                <w:b/>
                <w:color w:val="000000"/>
                <w:sz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008AA" w:rsidRPr="000279A4" w:rsidRDefault="002008AA" w:rsidP="008A29E5">
            <w:pPr>
              <w:jc w:val="left"/>
              <w:rPr>
                <w:rFonts w:eastAsia="Arial" w:cs="Arial"/>
                <w:b/>
                <w:bCs/>
                <w:color w:val="000000"/>
                <w:sz w:val="16"/>
                <w:szCs w:val="16"/>
              </w:rPr>
            </w:pPr>
            <w:r>
              <w:rPr>
                <w:b/>
                <w:color w:val="000000"/>
                <w:sz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008AA" w:rsidRPr="000279A4" w:rsidRDefault="002008AA" w:rsidP="008A29E5">
            <w:pPr>
              <w:jc w:val="left"/>
              <w:rPr>
                <w:rFonts w:eastAsia="Arial" w:cs="Arial"/>
                <w:b/>
                <w:bCs/>
                <w:color w:val="000000"/>
                <w:sz w:val="16"/>
                <w:szCs w:val="16"/>
              </w:rPr>
            </w:pPr>
            <w:r>
              <w:rPr>
                <w:b/>
                <w:color w:val="000000"/>
                <w:sz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008AA" w:rsidRPr="000279A4" w:rsidRDefault="002008AA" w:rsidP="008A29E5">
            <w:pPr>
              <w:jc w:val="left"/>
              <w:rPr>
                <w:rFonts w:eastAsia="Arial" w:cs="Arial"/>
                <w:b/>
                <w:bCs/>
                <w:color w:val="000000"/>
                <w:sz w:val="16"/>
                <w:szCs w:val="16"/>
              </w:rPr>
            </w:pPr>
            <w:r>
              <w:rPr>
                <w:b/>
                <w:color w:val="000000"/>
                <w:sz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008AA" w:rsidRPr="000279A4" w:rsidRDefault="002008AA" w:rsidP="008A29E5">
            <w:pPr>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008AA" w:rsidRPr="000279A4" w:rsidRDefault="002008AA" w:rsidP="008A29E5">
            <w:pPr>
              <w:jc w:val="left"/>
              <w:rPr>
                <w:rFonts w:eastAsia="Arial" w:cs="Arial"/>
                <w:b/>
                <w:bCs/>
                <w:color w:val="000000"/>
                <w:sz w:val="16"/>
                <w:szCs w:val="16"/>
              </w:rPr>
            </w:pPr>
            <w:r>
              <w:rPr>
                <w:b/>
                <w:color w:val="000000"/>
                <w:sz w:val="16"/>
              </w:rPr>
              <w:t>75-92</w:t>
            </w:r>
          </w:p>
        </w:tc>
      </w:tr>
      <w:tr w:rsidR="002008AA" w:rsidRPr="000279A4" w:rsidTr="008A29E5">
        <w:tc>
          <w:tcPr>
            <w:tcW w:w="311" w:type="dxa"/>
            <w:tcBorders>
              <w:left w:val="single" w:sz="6" w:space="0" w:color="000000"/>
            </w:tcBorders>
            <w:tcMar>
              <w:top w:w="80" w:type="dxa"/>
              <w:left w:w="40" w:type="dxa"/>
              <w:bottom w:w="80" w:type="dxa"/>
              <w:right w:w="40" w:type="dxa"/>
            </w:tcMar>
          </w:tcPr>
          <w:p w:rsidR="002008AA" w:rsidRPr="000279A4" w:rsidRDefault="002008AA" w:rsidP="008A29E5">
            <w:pPr>
              <w:spacing w:line="1" w:lineRule="auto"/>
              <w:jc w:val="left"/>
              <w:rPr>
                <w:color w:val="000000"/>
              </w:rPr>
            </w:pPr>
          </w:p>
        </w:tc>
        <w:tc>
          <w:tcPr>
            <w:tcW w:w="283" w:type="dxa"/>
            <w:tcMar>
              <w:top w:w="80" w:type="dxa"/>
              <w:left w:w="40" w:type="dxa"/>
              <w:bottom w:w="80" w:type="dxa"/>
              <w:right w:w="40" w:type="dxa"/>
            </w:tcMar>
          </w:tcPr>
          <w:p w:rsidR="002008AA" w:rsidRPr="000279A4" w:rsidRDefault="002008AA" w:rsidP="008A29E5">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008AA" w:rsidRPr="000279A4" w:rsidTr="008A29E5">
              <w:tc>
                <w:tcPr>
                  <w:tcW w:w="1749" w:type="dxa"/>
                  <w:tcMar>
                    <w:top w:w="0" w:type="dxa"/>
                    <w:left w:w="0" w:type="dxa"/>
                    <w:bottom w:w="0" w:type="dxa"/>
                    <w:right w:w="0" w:type="dxa"/>
                  </w:tcMar>
                </w:tcPr>
                <w:p w:rsidR="002008AA" w:rsidRPr="000279A4" w:rsidRDefault="002008AA" w:rsidP="008A29E5">
                  <w:pPr>
                    <w:jc w:val="left"/>
                    <w:rPr>
                      <w:color w:val="000000"/>
                    </w:rPr>
                  </w:pPr>
                  <w:r>
                    <w:rPr>
                      <w:b/>
                      <w:color w:val="000000"/>
                      <w:sz w:val="16"/>
                    </w:rPr>
                    <w:t>Plant: length</w:t>
                  </w:r>
                </w:p>
              </w:tc>
            </w:tr>
          </w:tbl>
          <w:p w:rsidR="002008AA" w:rsidRPr="000279A4" w:rsidRDefault="002008AA" w:rsidP="008A29E5">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008AA" w:rsidRPr="000279A4" w:rsidTr="008A29E5">
              <w:tc>
                <w:tcPr>
                  <w:tcW w:w="1749" w:type="dxa"/>
                  <w:tcMar>
                    <w:top w:w="0" w:type="dxa"/>
                    <w:left w:w="0" w:type="dxa"/>
                    <w:bottom w:w="0" w:type="dxa"/>
                    <w:right w:w="0" w:type="dxa"/>
                  </w:tcMar>
                </w:tcPr>
                <w:p w:rsidR="002008AA" w:rsidRPr="000279A4" w:rsidRDefault="002008AA" w:rsidP="008A29E5">
                  <w:pPr>
                    <w:jc w:val="left"/>
                    <w:rPr>
                      <w:color w:val="000000"/>
                    </w:rPr>
                  </w:pPr>
                  <w:r>
                    <w:rPr>
                      <w:b/>
                      <w:color w:val="000000"/>
                      <w:sz w:val="16"/>
                    </w:rPr>
                    <w:t>Plante : longueur</w:t>
                  </w:r>
                </w:p>
              </w:tc>
            </w:tr>
          </w:tbl>
          <w:p w:rsidR="002008AA" w:rsidRPr="000279A4" w:rsidRDefault="002008AA" w:rsidP="008A29E5">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008AA" w:rsidRPr="000279A4" w:rsidTr="008A29E5">
              <w:tc>
                <w:tcPr>
                  <w:tcW w:w="1750" w:type="dxa"/>
                  <w:tcMar>
                    <w:top w:w="0" w:type="dxa"/>
                    <w:left w:w="0" w:type="dxa"/>
                    <w:bottom w:w="0" w:type="dxa"/>
                    <w:right w:w="0" w:type="dxa"/>
                  </w:tcMar>
                </w:tcPr>
                <w:p w:rsidR="002008AA" w:rsidRPr="000279A4" w:rsidRDefault="002008AA" w:rsidP="008A29E5">
                  <w:pPr>
                    <w:jc w:val="left"/>
                    <w:rPr>
                      <w:color w:val="000000"/>
                    </w:rPr>
                  </w:pPr>
                  <w:r>
                    <w:rPr>
                      <w:b/>
                      <w:color w:val="000000"/>
                      <w:sz w:val="16"/>
                    </w:rPr>
                    <w:t>Pflanze: Länge</w:t>
                  </w:r>
                </w:p>
              </w:tc>
            </w:tr>
          </w:tbl>
          <w:p w:rsidR="002008AA" w:rsidRPr="000279A4" w:rsidRDefault="002008AA" w:rsidP="008A29E5">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008AA" w:rsidRPr="000279A4" w:rsidTr="008A29E5">
              <w:tc>
                <w:tcPr>
                  <w:tcW w:w="1750" w:type="dxa"/>
                  <w:tcMar>
                    <w:top w:w="0" w:type="dxa"/>
                    <w:left w:w="0" w:type="dxa"/>
                    <w:bottom w:w="0" w:type="dxa"/>
                    <w:right w:w="0" w:type="dxa"/>
                  </w:tcMar>
                </w:tcPr>
                <w:p w:rsidR="002008AA" w:rsidRPr="000279A4" w:rsidRDefault="002008AA" w:rsidP="008A29E5">
                  <w:pPr>
                    <w:jc w:val="left"/>
                    <w:rPr>
                      <w:color w:val="000000"/>
                    </w:rPr>
                  </w:pPr>
                  <w:r>
                    <w:rPr>
                      <w:b/>
                      <w:color w:val="000000"/>
                      <w:sz w:val="16"/>
                    </w:rPr>
                    <w:t>Planta: longitud</w:t>
                  </w:r>
                </w:p>
              </w:tc>
            </w:tr>
          </w:tbl>
          <w:p w:rsidR="002008AA" w:rsidRPr="000279A4" w:rsidRDefault="002008AA" w:rsidP="008A29E5">
            <w:pPr>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2008AA" w:rsidRPr="000279A4" w:rsidRDefault="002008AA" w:rsidP="008A29E5">
            <w:pPr>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2008AA" w:rsidRPr="000279A4" w:rsidRDefault="002008AA" w:rsidP="008A29E5">
            <w:pPr>
              <w:spacing w:line="1" w:lineRule="auto"/>
              <w:jc w:val="left"/>
              <w:rPr>
                <w:color w:val="000000"/>
              </w:rPr>
            </w:pPr>
          </w:p>
        </w:tc>
      </w:tr>
      <w:tr w:rsidR="002008AA" w:rsidRPr="000279A4" w:rsidTr="008A29E5">
        <w:tc>
          <w:tcPr>
            <w:tcW w:w="311" w:type="dxa"/>
            <w:tcBorders>
              <w:left w:val="single" w:sz="6" w:space="0" w:color="000000"/>
            </w:tcBorders>
            <w:tcMar>
              <w:top w:w="0" w:type="dxa"/>
              <w:left w:w="0" w:type="dxa"/>
              <w:bottom w:w="0" w:type="dxa"/>
              <w:right w:w="0" w:type="dxa"/>
            </w:tcMar>
          </w:tcPr>
          <w:p w:rsidR="002008AA" w:rsidRPr="000279A4" w:rsidRDefault="002008AA" w:rsidP="008A29E5">
            <w:pPr>
              <w:spacing w:line="1" w:lineRule="auto"/>
              <w:jc w:val="left"/>
              <w:rPr>
                <w:color w:val="000000"/>
              </w:rPr>
            </w:pPr>
          </w:p>
        </w:tc>
        <w:tc>
          <w:tcPr>
            <w:tcW w:w="283" w:type="dxa"/>
            <w:tcMar>
              <w:top w:w="0" w:type="dxa"/>
              <w:left w:w="0" w:type="dxa"/>
              <w:bottom w:w="0" w:type="dxa"/>
              <w:right w:w="0" w:type="dxa"/>
            </w:tcMar>
          </w:tcPr>
          <w:p w:rsidR="002008AA" w:rsidRPr="000279A4" w:rsidRDefault="002008AA" w:rsidP="008A29E5">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2008AA" w:rsidRPr="000058E4" w:rsidRDefault="002008AA" w:rsidP="008A29E5">
            <w:pPr>
              <w:jc w:val="left"/>
              <w:rPr>
                <w:rFonts w:eastAsia="Arial" w:cs="Arial"/>
                <w:color w:val="000000"/>
                <w:sz w:val="16"/>
                <w:szCs w:val="16"/>
                <w:lang w:val="en-US"/>
              </w:rPr>
            </w:pPr>
            <w:r w:rsidRPr="000058E4">
              <w:rPr>
                <w:color w:val="000000"/>
                <w:sz w:val="16"/>
                <w:lang w:val="en-US"/>
              </w:rPr>
              <w:t>(w) Varie</w:t>
            </w:r>
            <w:r>
              <w:rPr>
                <w:color w:val="000000"/>
                <w:sz w:val="16"/>
                <w:lang w:val="en-US"/>
              </w:rPr>
              <w:t>dad</w:t>
            </w:r>
            <w:r w:rsidRPr="000058E4">
              <w:rPr>
                <w:color w:val="000000"/>
                <w:sz w:val="16"/>
                <w:lang w:val="en-US"/>
              </w:rPr>
              <w:t xml:space="preserve"> A, (w) Varie</w:t>
            </w:r>
            <w:r>
              <w:rPr>
                <w:color w:val="000000"/>
                <w:sz w:val="16"/>
                <w:lang w:val="en-US"/>
              </w:rPr>
              <w:t>dad</w:t>
            </w:r>
            <w:r w:rsidRPr="000058E4">
              <w:rPr>
                <w:color w:val="000000"/>
                <w:sz w:val="16"/>
                <w:lang w:val="en-US"/>
              </w:rPr>
              <w:t xml:space="preserve"> B, (s) Al</w:t>
            </w:r>
            <w:r>
              <w:rPr>
                <w:color w:val="000000"/>
                <w:sz w:val="16"/>
                <w:lang w:val="en-US"/>
              </w:rPr>
              <w:t>f</w:t>
            </w:r>
            <w:r w:rsidRPr="000058E4">
              <w:rPr>
                <w:color w:val="000000"/>
                <w:sz w:val="16"/>
                <w:lang w:val="en-US"/>
              </w:rPr>
              <w: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2008AA" w:rsidRPr="000279A4" w:rsidRDefault="002008AA" w:rsidP="008A29E5">
            <w:pPr>
              <w:jc w:val="center"/>
              <w:rPr>
                <w:rFonts w:eastAsia="Arial" w:cs="Arial"/>
                <w:color w:val="000000"/>
                <w:sz w:val="16"/>
                <w:szCs w:val="16"/>
              </w:rPr>
            </w:pPr>
            <w:r>
              <w:rPr>
                <w:color w:val="000000"/>
                <w:sz w:val="16"/>
              </w:rPr>
              <w:t>3</w:t>
            </w:r>
          </w:p>
        </w:tc>
      </w:tr>
      <w:tr w:rsidR="002008AA" w:rsidRPr="000279A4" w:rsidTr="008A29E5">
        <w:tc>
          <w:tcPr>
            <w:tcW w:w="311" w:type="dxa"/>
            <w:tcBorders>
              <w:left w:val="single" w:sz="6" w:space="0" w:color="000000"/>
            </w:tcBorders>
            <w:tcMar>
              <w:top w:w="0" w:type="dxa"/>
              <w:left w:w="0" w:type="dxa"/>
              <w:bottom w:w="0" w:type="dxa"/>
              <w:right w:w="0" w:type="dxa"/>
            </w:tcMar>
          </w:tcPr>
          <w:p w:rsidR="002008AA" w:rsidRPr="000279A4" w:rsidRDefault="002008AA" w:rsidP="008A29E5">
            <w:pPr>
              <w:spacing w:line="1" w:lineRule="auto"/>
              <w:jc w:val="left"/>
              <w:rPr>
                <w:color w:val="000000"/>
              </w:rPr>
            </w:pPr>
          </w:p>
        </w:tc>
        <w:tc>
          <w:tcPr>
            <w:tcW w:w="283" w:type="dxa"/>
            <w:tcMar>
              <w:top w:w="0" w:type="dxa"/>
              <w:left w:w="0" w:type="dxa"/>
              <w:bottom w:w="0" w:type="dxa"/>
              <w:right w:w="0" w:type="dxa"/>
            </w:tcMar>
          </w:tcPr>
          <w:p w:rsidR="002008AA" w:rsidRPr="000279A4" w:rsidRDefault="002008AA" w:rsidP="008A29E5">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2008AA" w:rsidRPr="000058E4" w:rsidRDefault="002008AA" w:rsidP="008A29E5">
            <w:pPr>
              <w:jc w:val="left"/>
              <w:rPr>
                <w:rFonts w:eastAsia="Arial" w:cs="Arial"/>
                <w:color w:val="000000"/>
                <w:sz w:val="16"/>
                <w:szCs w:val="16"/>
                <w:lang w:val="en-US"/>
              </w:rPr>
            </w:pPr>
            <w:r w:rsidRPr="000058E4">
              <w:rPr>
                <w:color w:val="000000"/>
                <w:sz w:val="16"/>
                <w:lang w:val="en-US"/>
              </w:rPr>
              <w:t>(w) Varie</w:t>
            </w:r>
            <w:r>
              <w:rPr>
                <w:color w:val="000000"/>
                <w:sz w:val="16"/>
                <w:lang w:val="en-US"/>
              </w:rPr>
              <w:t>dad</w:t>
            </w:r>
            <w:r w:rsidRPr="000058E4">
              <w:rPr>
                <w:color w:val="000000"/>
                <w:sz w:val="16"/>
                <w:lang w:val="en-US"/>
              </w:rPr>
              <w:t xml:space="preserve">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2008AA" w:rsidRPr="000279A4" w:rsidRDefault="002008AA" w:rsidP="008A29E5">
            <w:pPr>
              <w:jc w:val="center"/>
              <w:rPr>
                <w:rFonts w:eastAsia="Arial" w:cs="Arial"/>
                <w:color w:val="000000"/>
                <w:sz w:val="16"/>
                <w:szCs w:val="16"/>
              </w:rPr>
            </w:pPr>
            <w:r>
              <w:rPr>
                <w:color w:val="000000"/>
                <w:sz w:val="16"/>
              </w:rPr>
              <w:t>5</w:t>
            </w:r>
          </w:p>
        </w:tc>
      </w:tr>
      <w:tr w:rsidR="002008AA" w:rsidRPr="000279A4" w:rsidTr="008A29E5">
        <w:tc>
          <w:tcPr>
            <w:tcW w:w="311" w:type="dxa"/>
            <w:tcBorders>
              <w:left w:val="single" w:sz="6" w:space="0" w:color="000000"/>
              <w:bottom w:val="single" w:sz="4" w:space="0" w:color="auto"/>
            </w:tcBorders>
            <w:tcMar>
              <w:top w:w="0" w:type="dxa"/>
              <w:left w:w="0" w:type="dxa"/>
              <w:bottom w:w="0" w:type="dxa"/>
              <w:right w:w="0" w:type="dxa"/>
            </w:tcMar>
          </w:tcPr>
          <w:p w:rsidR="002008AA" w:rsidRPr="000279A4" w:rsidRDefault="002008AA" w:rsidP="008A29E5">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2008AA" w:rsidRPr="000279A4" w:rsidRDefault="002008AA" w:rsidP="008A29E5">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2008AA" w:rsidRPr="000279A4" w:rsidRDefault="002008AA" w:rsidP="008A29E5">
            <w:pPr>
              <w:jc w:val="left"/>
              <w:rPr>
                <w:rFonts w:eastAsia="Arial" w:cs="Arial"/>
                <w:color w:val="000000"/>
                <w:sz w:val="16"/>
                <w:szCs w:val="16"/>
              </w:rPr>
            </w:pPr>
            <w:r>
              <w:rPr>
                <w:color w:val="000000"/>
                <w:sz w:val="16"/>
              </w:rPr>
              <w:t xml:space="preserve">(w) </w:t>
            </w:r>
            <w:r w:rsidRPr="000058E4">
              <w:rPr>
                <w:color w:val="000000"/>
                <w:sz w:val="16"/>
                <w:lang w:val="en-US"/>
              </w:rPr>
              <w:t>Varie</w:t>
            </w:r>
            <w:r>
              <w:rPr>
                <w:color w:val="000000"/>
                <w:sz w:val="16"/>
                <w:lang w:val="en-US"/>
              </w:rPr>
              <w:t>dad</w:t>
            </w:r>
            <w:r w:rsidRPr="000058E4">
              <w:rPr>
                <w:color w:val="000000"/>
                <w:sz w:val="16"/>
                <w:lang w:val="en-US"/>
              </w:rPr>
              <w:t xml:space="preserve"> </w:t>
            </w:r>
            <w:r>
              <w:rPr>
                <w:color w:val="000000"/>
                <w:sz w:val="16"/>
              </w:rPr>
              <w:t>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008AA" w:rsidRPr="000279A4" w:rsidRDefault="002008AA" w:rsidP="008A29E5">
            <w:pPr>
              <w:jc w:val="center"/>
              <w:rPr>
                <w:rFonts w:eastAsia="Arial" w:cs="Arial"/>
                <w:color w:val="000000"/>
                <w:sz w:val="16"/>
                <w:szCs w:val="16"/>
              </w:rPr>
            </w:pPr>
            <w:r>
              <w:rPr>
                <w:color w:val="000000"/>
                <w:sz w:val="16"/>
              </w:rPr>
              <w:t>7</w:t>
            </w:r>
          </w:p>
        </w:tc>
      </w:tr>
    </w:tbl>
    <w:p w:rsidR="002008AA" w:rsidRPr="000279A4" w:rsidRDefault="002008AA" w:rsidP="002008AA"/>
    <w:p w:rsidR="002008AA" w:rsidRPr="000279A4" w:rsidRDefault="002008AA" w:rsidP="002008AA"/>
    <w:p w:rsidR="002008AA" w:rsidRPr="0025366B" w:rsidRDefault="002008AA" w:rsidP="002008AA">
      <w:pPr>
        <w:pStyle w:val="ListParagraph"/>
        <w:numPr>
          <w:ilvl w:val="0"/>
          <w:numId w:val="3"/>
        </w:numPr>
        <w:ind w:left="0" w:firstLine="0"/>
        <w:rPr>
          <w:lang w:val="es-ES_tradnl"/>
        </w:rPr>
      </w:pPr>
      <w:r w:rsidRPr="0025366B">
        <w:rPr>
          <w:lang w:val="es-ES_tradnl"/>
        </w:rPr>
        <w:t>Se debe suprimir el anexo 4 del documento TGP/7 “Colección de caracteres aprobados”, dado que la base de datos de caracteres incluidos en las directrices de examen de la UPOV ya figura en la plantilla en línea de los TG.</w:t>
      </w:r>
    </w:p>
    <w:p w:rsidR="002008AA" w:rsidRPr="00072694" w:rsidRDefault="002008AA" w:rsidP="002008AA"/>
    <w:p w:rsidR="002008AA" w:rsidRPr="007B7BC5" w:rsidRDefault="002008AA" w:rsidP="002008AA">
      <w:pPr>
        <w:ind w:left="567"/>
        <w:rPr>
          <w:strike/>
          <w:sz w:val="18"/>
          <w:u w:val="single"/>
        </w:rPr>
      </w:pPr>
      <w:bookmarkStart w:id="88" w:name="_Toc477517517"/>
      <w:r w:rsidRPr="007B7BC5">
        <w:rPr>
          <w:strike/>
          <w:sz w:val="18"/>
          <w:highlight w:val="lightGray"/>
          <w:u w:val="single"/>
        </w:rPr>
        <w:t>Anexo 4: Colección de caracteres aprobados</w:t>
      </w:r>
      <w:bookmarkEnd w:id="88"/>
      <w:r w:rsidRPr="007B7BC5">
        <w:rPr>
          <w:strike/>
          <w:sz w:val="18"/>
          <w:u w:val="single"/>
        </w:rPr>
        <w:t xml:space="preserve"> </w:t>
      </w:r>
    </w:p>
    <w:p w:rsidR="002008AA" w:rsidRPr="00C61234" w:rsidRDefault="002008AA" w:rsidP="002008AA">
      <w:pPr>
        <w:ind w:left="567" w:right="567"/>
        <w:jc w:val="left"/>
        <w:rPr>
          <w:sz w:val="18"/>
        </w:rPr>
      </w:pPr>
    </w:p>
    <w:p w:rsidR="002008AA" w:rsidRPr="00C61234" w:rsidRDefault="002008AA" w:rsidP="002008AA">
      <w:pPr>
        <w:ind w:left="567" w:right="567"/>
        <w:rPr>
          <w:strike/>
          <w:sz w:val="18"/>
          <w:szCs w:val="18"/>
          <w:highlight w:val="lightGray"/>
        </w:rPr>
      </w:pPr>
      <w:r w:rsidRPr="00C61234">
        <w:rPr>
          <w:strike/>
          <w:sz w:val="18"/>
          <w:szCs w:val="18"/>
          <w:highlight w:val="lightGray"/>
        </w:rPr>
        <w:t>“1.</w:t>
      </w:r>
      <w:r w:rsidRPr="00C61234">
        <w:rPr>
          <w:sz w:val="18"/>
          <w:szCs w:val="18"/>
        </w:rPr>
        <w:tab/>
      </w:r>
      <w:r w:rsidRPr="00C61234">
        <w:rPr>
          <w:strike/>
          <w:sz w:val="18"/>
          <w:szCs w:val="18"/>
          <w:highlight w:val="lightGray"/>
        </w:rPr>
        <w:t>La Colección de caracteres aprobados (la Colección) presenta caracteres, con sus correspondientes niveles de expresión, que ya han sido aprobados para su inclusión en las directrices de examen vigentes.</w:t>
      </w:r>
      <w:r>
        <w:rPr>
          <w:strike/>
          <w:sz w:val="18"/>
          <w:szCs w:val="18"/>
          <w:highlight w:val="lightGray"/>
        </w:rPr>
        <w:t xml:space="preserve"> </w:t>
      </w:r>
      <w:r w:rsidRPr="00C61234">
        <w:rPr>
          <w:strike/>
          <w:sz w:val="18"/>
          <w:szCs w:val="18"/>
          <w:highlight w:val="lightGray"/>
        </w:rPr>
        <w:t>Se invita a los redactores a buscar en esta colección el carácter que desean utilizar.</w:t>
      </w:r>
      <w:r>
        <w:rPr>
          <w:strike/>
          <w:sz w:val="18"/>
          <w:szCs w:val="18"/>
          <w:highlight w:val="lightGray"/>
        </w:rPr>
        <w:t xml:space="preserve"> </w:t>
      </w:r>
      <w:r w:rsidRPr="00C61234">
        <w:rPr>
          <w:strike/>
          <w:sz w:val="18"/>
          <w:szCs w:val="18"/>
          <w:highlight w:val="lightGray"/>
        </w:rPr>
        <w:t>Si se encuentra el carácter adecuado, y sus correspondientes niveles de expresión, podrá copiarse directamente en las nuevas directrices de examen.</w:t>
      </w:r>
      <w:r>
        <w:rPr>
          <w:strike/>
          <w:sz w:val="18"/>
          <w:szCs w:val="18"/>
          <w:highlight w:val="lightGray"/>
        </w:rPr>
        <w:t xml:space="preserve"> </w:t>
      </w:r>
      <w:r w:rsidRPr="00C61234">
        <w:rPr>
          <w:strike/>
          <w:sz w:val="18"/>
          <w:szCs w:val="18"/>
          <w:highlight w:val="lightGray"/>
        </w:rPr>
        <w:t>Sin embargo, cabe recordar que lo que puede parecer un carácter muy similar en distintos tipos de plantas, o distintos órganos de la misma planta, puede de hecho ser producto de distintos tipos de control genético.</w:t>
      </w:r>
      <w:r>
        <w:rPr>
          <w:strike/>
          <w:sz w:val="18"/>
          <w:szCs w:val="18"/>
          <w:highlight w:val="lightGray"/>
        </w:rPr>
        <w:t xml:space="preserve"> </w:t>
      </w:r>
      <w:r w:rsidRPr="00C61234">
        <w:rPr>
          <w:strike/>
          <w:sz w:val="18"/>
          <w:szCs w:val="18"/>
          <w:highlight w:val="lightGray"/>
        </w:rPr>
        <w:t>Así pues, por ejemplo, en un tipo de planta, o un órgano, el carácter “perfil” podrá ser un carácter cualitativo, por ejemplo, recta (1), curvada (2), pero en otro tipo de planta u órgano podría ser un carácter cuantitativo, por ejemplo, recta o ligeramente curvada (1), medianamente curvada (2), fuertemente curvada (3).</w:t>
      </w:r>
    </w:p>
    <w:p w:rsidR="002008AA" w:rsidRPr="00C61234" w:rsidRDefault="002008AA" w:rsidP="002008AA">
      <w:pPr>
        <w:ind w:left="567" w:right="567"/>
        <w:rPr>
          <w:strike/>
          <w:sz w:val="18"/>
          <w:highlight w:val="lightGray"/>
        </w:rPr>
      </w:pPr>
    </w:p>
    <w:p w:rsidR="002008AA" w:rsidRPr="00C61234" w:rsidRDefault="002008AA" w:rsidP="002008AA">
      <w:pPr>
        <w:ind w:left="567" w:right="567"/>
        <w:rPr>
          <w:strike/>
          <w:sz w:val="18"/>
          <w:highlight w:val="lightGray"/>
        </w:rPr>
      </w:pPr>
      <w:r w:rsidRPr="00C61234">
        <w:rPr>
          <w:strike/>
          <w:sz w:val="18"/>
          <w:highlight w:val="lightGray"/>
        </w:rPr>
        <w:t>“2.</w:t>
      </w:r>
      <w:r w:rsidRPr="00C61234">
        <w:tab/>
      </w:r>
      <w:r w:rsidRPr="00C61234">
        <w:rPr>
          <w:strike/>
          <w:sz w:val="18"/>
          <w:szCs w:val="18"/>
          <w:highlight w:val="lightGray"/>
        </w:rPr>
        <w:t>En la Colección se presentan los caracteres tal como están incluidos en las directrices de examen pertinentes.</w:t>
      </w:r>
      <w:r>
        <w:rPr>
          <w:strike/>
          <w:sz w:val="18"/>
          <w:szCs w:val="18"/>
          <w:highlight w:val="lightGray"/>
        </w:rPr>
        <w:t xml:space="preserve"> </w:t>
      </w:r>
      <w:r w:rsidRPr="00C61234">
        <w:rPr>
          <w:strike/>
          <w:sz w:val="18"/>
          <w:szCs w:val="18"/>
          <w:highlight w:val="lightGray"/>
        </w:rPr>
        <w:t>Además, en relación con algunos caracteres, se ofrece información sobre las directrices de examen de las que proceden.</w:t>
      </w:r>
      <w:r>
        <w:rPr>
          <w:strike/>
          <w:sz w:val="18"/>
          <w:szCs w:val="18"/>
          <w:highlight w:val="lightGray"/>
        </w:rPr>
        <w:t xml:space="preserve"> </w:t>
      </w:r>
      <w:r w:rsidRPr="00C61234">
        <w:rPr>
          <w:strike/>
          <w:sz w:val="18"/>
          <w:szCs w:val="18"/>
          <w:highlight w:val="lightGray"/>
        </w:rPr>
        <w:t>Esta información se coloca en el espacio en blanco del “encabezamiento” en la columna de las variedades ejemplo, puesto que el redactor “borrará” toda esta columna después de pegar su nuevo proyecto, porque las variedades ejemplo no serán pertinentes.</w:t>
      </w:r>
    </w:p>
    <w:p w:rsidR="002008AA" w:rsidRPr="00C61234" w:rsidRDefault="002008AA" w:rsidP="002008AA">
      <w:pPr>
        <w:ind w:left="567" w:right="567"/>
        <w:rPr>
          <w:strike/>
          <w:sz w:val="18"/>
          <w:highlight w:val="lightGray"/>
        </w:rPr>
      </w:pPr>
    </w:p>
    <w:p w:rsidR="002008AA" w:rsidRPr="00C61234" w:rsidRDefault="002008AA" w:rsidP="002008AA">
      <w:pPr>
        <w:ind w:left="567" w:right="567"/>
        <w:rPr>
          <w:strike/>
          <w:sz w:val="18"/>
          <w:highlight w:val="lightGray"/>
        </w:rPr>
      </w:pPr>
      <w:r w:rsidRPr="00C61234">
        <w:rPr>
          <w:strike/>
          <w:sz w:val="18"/>
          <w:highlight w:val="lightGray"/>
        </w:rPr>
        <w:t>“3.</w:t>
      </w:r>
      <w:r w:rsidRPr="00C61234">
        <w:tab/>
      </w:r>
      <w:r w:rsidRPr="00C61234">
        <w:rPr>
          <w:strike/>
          <w:sz w:val="18"/>
          <w:highlight w:val="lightGray"/>
        </w:rPr>
        <w:t>Algunos caracteres que figuran en las directrices de examen de la UPOV aprobadas podrán suprimirse de la Colección cuando el Comité Técnico lo considere conveniente, de conformidad con las recomendaciones del Comit</w:t>
      </w:r>
      <w:r>
        <w:rPr>
          <w:strike/>
          <w:sz w:val="18"/>
          <w:highlight w:val="lightGray"/>
        </w:rPr>
        <w:t>é de Redacción Ampliado (TC</w:t>
      </w:r>
      <w:r>
        <w:rPr>
          <w:strike/>
          <w:sz w:val="18"/>
          <w:highlight w:val="lightGray"/>
        </w:rPr>
        <w:noBreakHyphen/>
        <w:t>EDC</w:t>
      </w:r>
      <w:r w:rsidRPr="00C61234">
        <w:rPr>
          <w:strike/>
          <w:sz w:val="18"/>
          <w:highlight w:val="lightGray"/>
        </w:rPr>
        <w:t>).</w:t>
      </w:r>
    </w:p>
    <w:p w:rsidR="002008AA" w:rsidRPr="00C61234" w:rsidRDefault="002008AA" w:rsidP="002008AA">
      <w:pPr>
        <w:ind w:left="567" w:right="567"/>
        <w:jc w:val="left"/>
        <w:rPr>
          <w:strike/>
          <w:sz w:val="18"/>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2008AA" w:rsidRPr="00C61234" w:rsidTr="008A29E5">
        <w:trPr>
          <w:jc w:val="center"/>
        </w:trPr>
        <w:tc>
          <w:tcPr>
            <w:tcW w:w="8558" w:type="dxa"/>
          </w:tcPr>
          <w:p w:rsidR="002008AA" w:rsidRPr="00C61234" w:rsidRDefault="002008AA" w:rsidP="008A29E5">
            <w:pPr>
              <w:ind w:left="567" w:right="567"/>
              <w:jc w:val="left"/>
              <w:rPr>
                <w:b/>
                <w:strike/>
                <w:sz w:val="18"/>
                <w:highlight w:val="lightGray"/>
              </w:rPr>
            </w:pPr>
          </w:p>
          <w:p w:rsidR="002008AA" w:rsidRPr="00C61234" w:rsidRDefault="002008AA" w:rsidP="008A29E5">
            <w:pPr>
              <w:ind w:left="567" w:right="567"/>
              <w:jc w:val="center"/>
              <w:rPr>
                <w:b/>
                <w:strike/>
                <w:sz w:val="18"/>
                <w:szCs w:val="18"/>
              </w:rPr>
            </w:pPr>
            <w:r w:rsidRPr="00C61234">
              <w:rPr>
                <w:b/>
                <w:strike/>
                <w:sz w:val="18"/>
                <w:szCs w:val="18"/>
                <w:highlight w:val="lightGray"/>
              </w:rPr>
              <w:t>“</w:t>
            </w:r>
            <w:r w:rsidRPr="00C61234">
              <w:rPr>
                <w:b/>
                <w:bCs/>
                <w:strike/>
                <w:sz w:val="18"/>
                <w:szCs w:val="18"/>
                <w:highlight w:val="lightGray"/>
              </w:rPr>
              <w:t xml:space="preserve">La colección de caracteres aprobados está publicada en el sitio Web: </w:t>
            </w:r>
            <w:r w:rsidRPr="00C61234">
              <w:rPr>
                <w:b/>
                <w:bCs/>
                <w:strike/>
                <w:sz w:val="18"/>
                <w:szCs w:val="18"/>
                <w:highlight w:val="lightGray"/>
              </w:rPr>
              <w:br/>
            </w:r>
            <w:r w:rsidRPr="00C61234">
              <w:rPr>
                <w:rStyle w:val="Hyperlink"/>
                <w:strike/>
                <w:sz w:val="18"/>
                <w:szCs w:val="18"/>
                <w:highlight w:val="lightGray"/>
              </w:rPr>
              <w:t>http://www.upov.int/restricted_temporary/twptg/es/drafters_kit.html</w:t>
            </w:r>
            <w:r w:rsidRPr="00C61234">
              <w:rPr>
                <w:strike/>
                <w:color w:val="0000FF"/>
                <w:sz w:val="18"/>
                <w:szCs w:val="18"/>
                <w:u w:val="single"/>
              </w:rPr>
              <w:t>”</w:t>
            </w:r>
          </w:p>
          <w:p w:rsidR="002008AA" w:rsidRPr="00C61234" w:rsidRDefault="002008AA" w:rsidP="008A29E5">
            <w:pPr>
              <w:ind w:left="567" w:right="567"/>
              <w:jc w:val="left"/>
              <w:rPr>
                <w:b/>
                <w:strike/>
                <w:sz w:val="18"/>
              </w:rPr>
            </w:pPr>
          </w:p>
        </w:tc>
      </w:tr>
    </w:tbl>
    <w:p w:rsidR="002008AA" w:rsidRPr="00C61234" w:rsidRDefault="002008AA" w:rsidP="002008AA">
      <w:pPr>
        <w:jc w:val="left"/>
      </w:pPr>
    </w:p>
    <w:p w:rsidR="001B3BFE" w:rsidRPr="001B3BFE" w:rsidRDefault="001B3BFE" w:rsidP="001B3BFE">
      <w:bookmarkStart w:id="89" w:name="_GoBack"/>
      <w:bookmarkEnd w:id="89"/>
    </w:p>
    <w:p w:rsidR="00050E16" w:rsidRPr="001B3BFE" w:rsidRDefault="001B3BFE" w:rsidP="001B3BFE">
      <w:pPr>
        <w:jc w:val="right"/>
      </w:pPr>
      <w:r>
        <w:t>[Fin del Anexo II y del documento]</w:t>
      </w:r>
    </w:p>
    <w:sectPr w:rsidR="00050E16" w:rsidRPr="001B3BFE" w:rsidSect="001B3BFE">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B0" w:rsidRDefault="008C1EB0" w:rsidP="006655D3">
      <w:r>
        <w:separator/>
      </w:r>
    </w:p>
    <w:p w:rsidR="008C1EB0" w:rsidRDefault="008C1EB0" w:rsidP="006655D3"/>
    <w:p w:rsidR="008C1EB0" w:rsidRDefault="008C1EB0" w:rsidP="006655D3"/>
  </w:endnote>
  <w:endnote w:type="continuationSeparator" w:id="0">
    <w:p w:rsidR="008C1EB0" w:rsidRDefault="008C1EB0" w:rsidP="006655D3">
      <w:r>
        <w:separator/>
      </w:r>
    </w:p>
    <w:p w:rsidR="008C1EB0" w:rsidRPr="00294751" w:rsidRDefault="008C1EB0">
      <w:pPr>
        <w:pStyle w:val="Footer"/>
        <w:spacing w:after="60"/>
        <w:rPr>
          <w:sz w:val="18"/>
          <w:lang w:val="fr-FR"/>
        </w:rPr>
      </w:pPr>
      <w:r w:rsidRPr="00294751">
        <w:rPr>
          <w:sz w:val="18"/>
          <w:lang w:val="fr-FR"/>
        </w:rPr>
        <w:t>[Suite de la note de la page précédente]</w:t>
      </w:r>
    </w:p>
    <w:p w:rsidR="008C1EB0" w:rsidRPr="00294751" w:rsidRDefault="008C1EB0" w:rsidP="006655D3">
      <w:pPr>
        <w:rPr>
          <w:lang w:val="fr-FR"/>
        </w:rPr>
      </w:pPr>
    </w:p>
    <w:p w:rsidR="008C1EB0" w:rsidRPr="00294751" w:rsidRDefault="008C1EB0" w:rsidP="006655D3">
      <w:pPr>
        <w:rPr>
          <w:lang w:val="fr-FR"/>
        </w:rPr>
      </w:pPr>
    </w:p>
  </w:endnote>
  <w:endnote w:type="continuationNotice" w:id="1">
    <w:p w:rsidR="008C1EB0" w:rsidRPr="00294751" w:rsidRDefault="008C1EB0" w:rsidP="006655D3">
      <w:pPr>
        <w:rPr>
          <w:lang w:val="fr-FR"/>
        </w:rPr>
      </w:pPr>
      <w:r w:rsidRPr="00294751">
        <w:rPr>
          <w:lang w:val="fr-FR"/>
        </w:rPr>
        <w:t>[Suite de la note page suivante]</w:t>
      </w:r>
    </w:p>
    <w:p w:rsidR="008C1EB0" w:rsidRPr="00294751" w:rsidRDefault="008C1EB0" w:rsidP="006655D3">
      <w:pPr>
        <w:rPr>
          <w:lang w:val="fr-FR"/>
        </w:rPr>
      </w:pPr>
    </w:p>
    <w:p w:rsidR="008C1EB0" w:rsidRPr="00294751" w:rsidRDefault="008C1EB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B0" w:rsidRDefault="008C1EB0" w:rsidP="006655D3">
      <w:r>
        <w:separator/>
      </w:r>
    </w:p>
  </w:footnote>
  <w:footnote w:type="continuationSeparator" w:id="0">
    <w:p w:rsidR="008C1EB0" w:rsidRDefault="008C1EB0" w:rsidP="006655D3">
      <w:r>
        <w:separator/>
      </w:r>
    </w:p>
  </w:footnote>
  <w:footnote w:type="continuationNotice" w:id="1">
    <w:p w:rsidR="008C1EB0" w:rsidRPr="00AB530F" w:rsidRDefault="008C1EB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B0" w:rsidRPr="00C5280D" w:rsidRDefault="008C1EB0" w:rsidP="001B3BFE">
    <w:pPr>
      <w:pStyle w:val="Header"/>
      <w:rPr>
        <w:rStyle w:val="PageNumber"/>
      </w:rPr>
    </w:pPr>
    <w:r>
      <w:rPr>
        <w:rStyle w:val="PageNumber"/>
      </w:rPr>
      <w:t>C/52/14</w:t>
    </w:r>
  </w:p>
  <w:p w:rsidR="008C1EB0" w:rsidRPr="00C5280D" w:rsidRDefault="008C1EB0" w:rsidP="001B3BF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745E2">
      <w:rPr>
        <w:rStyle w:val="PageNumber"/>
        <w:noProof/>
      </w:rPr>
      <w:t>5</w:t>
    </w:r>
    <w:r w:rsidRPr="00C5280D">
      <w:rPr>
        <w:rStyle w:val="PageNumber"/>
      </w:rPr>
      <w:fldChar w:fldCharType="end"/>
    </w:r>
  </w:p>
  <w:p w:rsidR="008C1EB0" w:rsidRPr="00C5280D" w:rsidRDefault="008C1EB0" w:rsidP="001B3BFE">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B0" w:rsidRDefault="008C1EB0" w:rsidP="00C34BD8">
    <w:pPr>
      <w:pStyle w:val="Header"/>
    </w:pPr>
    <w:r>
      <w:t>C/52/14</w:t>
    </w:r>
  </w:p>
  <w:p w:rsidR="008C1EB0" w:rsidRDefault="008C1EB0" w:rsidP="00C34BD8">
    <w:pPr>
      <w:pStyle w:val="Header"/>
    </w:pPr>
  </w:p>
  <w:p w:rsidR="008C1EB0" w:rsidRDefault="008C1EB0" w:rsidP="00C34BD8">
    <w:pPr>
      <w:pStyle w:val="Header"/>
    </w:pPr>
    <w:r>
      <w:t>ANEXO I</w:t>
    </w:r>
  </w:p>
  <w:p w:rsidR="008C1EB0" w:rsidRDefault="008C1EB0" w:rsidP="00C34BD8">
    <w:pPr>
      <w:pStyle w:val="Header"/>
    </w:pPr>
  </w:p>
  <w:p w:rsidR="008C1EB0" w:rsidRDefault="008C1EB0" w:rsidP="00C34BD8">
    <w:pPr>
      <w:pStyle w:val="Header"/>
    </w:pPr>
  </w:p>
  <w:p w:rsidR="008C1EB0" w:rsidRDefault="008C1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B0" w:rsidRPr="001B3BFE" w:rsidRDefault="008C1EB0" w:rsidP="001B3BFE">
    <w:pPr>
      <w:pStyle w:val="Header"/>
      <w:rPr>
        <w:rStyle w:val="PageNumber"/>
      </w:rPr>
    </w:pPr>
    <w:r>
      <w:rPr>
        <w:rStyle w:val="PageNumber"/>
      </w:rPr>
      <w:t>C/52/14</w:t>
    </w:r>
  </w:p>
  <w:p w:rsidR="008C1EB0" w:rsidRPr="001B3BFE" w:rsidRDefault="008C1EB0" w:rsidP="001B3BFE">
    <w:pPr>
      <w:pStyle w:val="Header"/>
    </w:pPr>
    <w:r>
      <w:t xml:space="preserve">Anexo II, página </w:t>
    </w:r>
    <w:r w:rsidRPr="001B3BFE">
      <w:rPr>
        <w:rStyle w:val="PageNumber"/>
      </w:rPr>
      <w:fldChar w:fldCharType="begin"/>
    </w:r>
    <w:r w:rsidRPr="001B3BFE">
      <w:rPr>
        <w:rStyle w:val="PageNumber"/>
      </w:rPr>
      <w:instrText xml:space="preserve"> PAGE </w:instrText>
    </w:r>
    <w:r w:rsidRPr="001B3BFE">
      <w:rPr>
        <w:rStyle w:val="PageNumber"/>
      </w:rPr>
      <w:fldChar w:fldCharType="separate"/>
    </w:r>
    <w:r w:rsidR="009745E2">
      <w:rPr>
        <w:rStyle w:val="PageNumber"/>
        <w:noProof/>
      </w:rPr>
      <w:t>2</w:t>
    </w:r>
    <w:r w:rsidRPr="001B3BFE">
      <w:rPr>
        <w:rStyle w:val="PageNumber"/>
      </w:rPr>
      <w:fldChar w:fldCharType="end"/>
    </w:r>
  </w:p>
  <w:p w:rsidR="008C1EB0" w:rsidRPr="001B3BFE" w:rsidRDefault="008C1EB0" w:rsidP="001B3BFE">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B0" w:rsidRDefault="008C1EB0" w:rsidP="00C34BD8">
    <w:pPr>
      <w:pStyle w:val="Header"/>
    </w:pPr>
    <w:r>
      <w:t>C/52/14</w:t>
    </w:r>
  </w:p>
  <w:p w:rsidR="008C1EB0" w:rsidRDefault="008C1EB0" w:rsidP="00C34BD8">
    <w:pPr>
      <w:pStyle w:val="Header"/>
    </w:pPr>
  </w:p>
  <w:p w:rsidR="008C1EB0" w:rsidRDefault="008C1EB0" w:rsidP="00C34BD8">
    <w:pPr>
      <w:pStyle w:val="Header"/>
    </w:pPr>
    <w:r>
      <w:t>ANEXO II</w:t>
    </w:r>
  </w:p>
  <w:p w:rsidR="008C1EB0" w:rsidRDefault="008C1EB0" w:rsidP="00C34BD8">
    <w:pPr>
      <w:pStyle w:val="Header"/>
    </w:pPr>
  </w:p>
  <w:p w:rsidR="008C1EB0" w:rsidRDefault="008C1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302D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9F04A6"/>
    <w:multiLevelType w:val="hybridMultilevel"/>
    <w:tmpl w:val="0B60CECC"/>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F564E"/>
    <w:multiLevelType w:val="hybridMultilevel"/>
    <w:tmpl w:val="582E4E12"/>
    <w:lvl w:ilvl="0" w:tplc="32A696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A1"/>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C4E25"/>
    <w:rsid w:val="000C7021"/>
    <w:rsid w:val="000D6BBC"/>
    <w:rsid w:val="000D7780"/>
    <w:rsid w:val="000E636A"/>
    <w:rsid w:val="000F2F11"/>
    <w:rsid w:val="000F7735"/>
    <w:rsid w:val="00105929"/>
    <w:rsid w:val="00110C36"/>
    <w:rsid w:val="001131D5"/>
    <w:rsid w:val="00124354"/>
    <w:rsid w:val="00141DB8"/>
    <w:rsid w:val="00144583"/>
    <w:rsid w:val="00146909"/>
    <w:rsid w:val="0016371C"/>
    <w:rsid w:val="001645E8"/>
    <w:rsid w:val="00172084"/>
    <w:rsid w:val="0017474A"/>
    <w:rsid w:val="001758C6"/>
    <w:rsid w:val="00182B99"/>
    <w:rsid w:val="001B3BFE"/>
    <w:rsid w:val="001B77B5"/>
    <w:rsid w:val="001F64BF"/>
    <w:rsid w:val="002008AA"/>
    <w:rsid w:val="00202E38"/>
    <w:rsid w:val="0021332C"/>
    <w:rsid w:val="00213982"/>
    <w:rsid w:val="00233B39"/>
    <w:rsid w:val="0024386E"/>
    <w:rsid w:val="0024416D"/>
    <w:rsid w:val="002464A3"/>
    <w:rsid w:val="00271911"/>
    <w:rsid w:val="002800A0"/>
    <w:rsid w:val="002801B3"/>
    <w:rsid w:val="00281060"/>
    <w:rsid w:val="002940E8"/>
    <w:rsid w:val="00294751"/>
    <w:rsid w:val="002A6E50"/>
    <w:rsid w:val="002A6F0C"/>
    <w:rsid w:val="002B4298"/>
    <w:rsid w:val="002C256A"/>
    <w:rsid w:val="002E5944"/>
    <w:rsid w:val="0030224A"/>
    <w:rsid w:val="00305A7F"/>
    <w:rsid w:val="003124E7"/>
    <w:rsid w:val="003152FE"/>
    <w:rsid w:val="00327436"/>
    <w:rsid w:val="00344BD6"/>
    <w:rsid w:val="0035528D"/>
    <w:rsid w:val="00361821"/>
    <w:rsid w:val="00361E9E"/>
    <w:rsid w:val="003954B4"/>
    <w:rsid w:val="003A41EB"/>
    <w:rsid w:val="003B031A"/>
    <w:rsid w:val="003B1070"/>
    <w:rsid w:val="003C7FBE"/>
    <w:rsid w:val="003D08C1"/>
    <w:rsid w:val="003D227C"/>
    <w:rsid w:val="003D2B4D"/>
    <w:rsid w:val="003D5DCC"/>
    <w:rsid w:val="003F4372"/>
    <w:rsid w:val="00401DDB"/>
    <w:rsid w:val="0040557F"/>
    <w:rsid w:val="00431FC0"/>
    <w:rsid w:val="00444A88"/>
    <w:rsid w:val="00474DA4"/>
    <w:rsid w:val="00476B4D"/>
    <w:rsid w:val="004805FA"/>
    <w:rsid w:val="004837AA"/>
    <w:rsid w:val="00484E81"/>
    <w:rsid w:val="004935D2"/>
    <w:rsid w:val="004B1215"/>
    <w:rsid w:val="004C698E"/>
    <w:rsid w:val="004D047D"/>
    <w:rsid w:val="004F1E9E"/>
    <w:rsid w:val="004F305A"/>
    <w:rsid w:val="00512164"/>
    <w:rsid w:val="00520297"/>
    <w:rsid w:val="0052436A"/>
    <w:rsid w:val="005338F9"/>
    <w:rsid w:val="0054281C"/>
    <w:rsid w:val="00544581"/>
    <w:rsid w:val="00545E42"/>
    <w:rsid w:val="0055268D"/>
    <w:rsid w:val="00553B23"/>
    <w:rsid w:val="00576BE4"/>
    <w:rsid w:val="005A400A"/>
    <w:rsid w:val="005F5DE3"/>
    <w:rsid w:val="005F7B92"/>
    <w:rsid w:val="00612379"/>
    <w:rsid w:val="006153B6"/>
    <w:rsid w:val="0061555F"/>
    <w:rsid w:val="00636CA6"/>
    <w:rsid w:val="00637EDD"/>
    <w:rsid w:val="00641200"/>
    <w:rsid w:val="00645CA8"/>
    <w:rsid w:val="006655D3"/>
    <w:rsid w:val="00667404"/>
    <w:rsid w:val="00672DF3"/>
    <w:rsid w:val="00687EB4"/>
    <w:rsid w:val="00695C56"/>
    <w:rsid w:val="006A32E5"/>
    <w:rsid w:val="006A5CDE"/>
    <w:rsid w:val="006A644A"/>
    <w:rsid w:val="006B17D2"/>
    <w:rsid w:val="006C224E"/>
    <w:rsid w:val="006C595B"/>
    <w:rsid w:val="006D388D"/>
    <w:rsid w:val="006D780A"/>
    <w:rsid w:val="0071271E"/>
    <w:rsid w:val="00732DEC"/>
    <w:rsid w:val="00735BD5"/>
    <w:rsid w:val="00751613"/>
    <w:rsid w:val="007556F6"/>
    <w:rsid w:val="00760EEF"/>
    <w:rsid w:val="00777EE5"/>
    <w:rsid w:val="00783722"/>
    <w:rsid w:val="00784836"/>
    <w:rsid w:val="0079023E"/>
    <w:rsid w:val="007A2854"/>
    <w:rsid w:val="007A5E3E"/>
    <w:rsid w:val="007C1D92"/>
    <w:rsid w:val="007C4CB9"/>
    <w:rsid w:val="007D0B9D"/>
    <w:rsid w:val="007D19B0"/>
    <w:rsid w:val="007E586D"/>
    <w:rsid w:val="007F498F"/>
    <w:rsid w:val="0080679D"/>
    <w:rsid w:val="008108B0"/>
    <w:rsid w:val="00811B20"/>
    <w:rsid w:val="00815D00"/>
    <w:rsid w:val="008211B5"/>
    <w:rsid w:val="0082296E"/>
    <w:rsid w:val="00824099"/>
    <w:rsid w:val="0083534F"/>
    <w:rsid w:val="00846D7C"/>
    <w:rsid w:val="008574A4"/>
    <w:rsid w:val="00864C55"/>
    <w:rsid w:val="00867AC1"/>
    <w:rsid w:val="00890DF8"/>
    <w:rsid w:val="008A743F"/>
    <w:rsid w:val="008B3D8D"/>
    <w:rsid w:val="008C0970"/>
    <w:rsid w:val="008C1EB0"/>
    <w:rsid w:val="008D0BC5"/>
    <w:rsid w:val="008D2CF7"/>
    <w:rsid w:val="008F4B94"/>
    <w:rsid w:val="008F69FC"/>
    <w:rsid w:val="00900C26"/>
    <w:rsid w:val="0090197F"/>
    <w:rsid w:val="00906DDC"/>
    <w:rsid w:val="009149F1"/>
    <w:rsid w:val="00934E09"/>
    <w:rsid w:val="00936253"/>
    <w:rsid w:val="00940D46"/>
    <w:rsid w:val="00952DD4"/>
    <w:rsid w:val="0096175D"/>
    <w:rsid w:val="00965AE7"/>
    <w:rsid w:val="00967673"/>
    <w:rsid w:val="00970FED"/>
    <w:rsid w:val="009745E2"/>
    <w:rsid w:val="00992D82"/>
    <w:rsid w:val="00997029"/>
    <w:rsid w:val="009A7339"/>
    <w:rsid w:val="009B440E"/>
    <w:rsid w:val="009D690D"/>
    <w:rsid w:val="009E65B6"/>
    <w:rsid w:val="00A20FB2"/>
    <w:rsid w:val="00A24C10"/>
    <w:rsid w:val="00A42AC3"/>
    <w:rsid w:val="00A430CF"/>
    <w:rsid w:val="00A54309"/>
    <w:rsid w:val="00A706D3"/>
    <w:rsid w:val="00AB2B93"/>
    <w:rsid w:val="00AB530F"/>
    <w:rsid w:val="00AB7E5B"/>
    <w:rsid w:val="00AC2883"/>
    <w:rsid w:val="00AE0EF1"/>
    <w:rsid w:val="00AE2937"/>
    <w:rsid w:val="00B07301"/>
    <w:rsid w:val="00B11F3E"/>
    <w:rsid w:val="00B14449"/>
    <w:rsid w:val="00B1741E"/>
    <w:rsid w:val="00B224DE"/>
    <w:rsid w:val="00B324D4"/>
    <w:rsid w:val="00B46575"/>
    <w:rsid w:val="00B61777"/>
    <w:rsid w:val="00B84BBD"/>
    <w:rsid w:val="00BA43FB"/>
    <w:rsid w:val="00BB05D0"/>
    <w:rsid w:val="00BB2701"/>
    <w:rsid w:val="00BC0BD4"/>
    <w:rsid w:val="00BC127D"/>
    <w:rsid w:val="00BC1FE6"/>
    <w:rsid w:val="00C061B6"/>
    <w:rsid w:val="00C2446C"/>
    <w:rsid w:val="00C34BD8"/>
    <w:rsid w:val="00C36AE5"/>
    <w:rsid w:val="00C41F17"/>
    <w:rsid w:val="00C527FA"/>
    <w:rsid w:val="00C5280D"/>
    <w:rsid w:val="00C53EB3"/>
    <w:rsid w:val="00C5791C"/>
    <w:rsid w:val="00C66290"/>
    <w:rsid w:val="00C72B7A"/>
    <w:rsid w:val="00C85EC2"/>
    <w:rsid w:val="00C973F2"/>
    <w:rsid w:val="00CA304C"/>
    <w:rsid w:val="00CA774A"/>
    <w:rsid w:val="00CC11B0"/>
    <w:rsid w:val="00CC2841"/>
    <w:rsid w:val="00CF1330"/>
    <w:rsid w:val="00CF7E36"/>
    <w:rsid w:val="00D13217"/>
    <w:rsid w:val="00D3623E"/>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33037"/>
    <w:rsid w:val="00E5267B"/>
    <w:rsid w:val="00E63775"/>
    <w:rsid w:val="00E63C0E"/>
    <w:rsid w:val="00E72D49"/>
    <w:rsid w:val="00E7593C"/>
    <w:rsid w:val="00E7678A"/>
    <w:rsid w:val="00E935F1"/>
    <w:rsid w:val="00E94A81"/>
    <w:rsid w:val="00EA1FFB"/>
    <w:rsid w:val="00EA65D2"/>
    <w:rsid w:val="00EB048E"/>
    <w:rsid w:val="00EB2B3C"/>
    <w:rsid w:val="00EB4E9C"/>
    <w:rsid w:val="00EB7224"/>
    <w:rsid w:val="00EC2265"/>
    <w:rsid w:val="00EE34DF"/>
    <w:rsid w:val="00EF2F89"/>
    <w:rsid w:val="00F03E98"/>
    <w:rsid w:val="00F1237A"/>
    <w:rsid w:val="00F22CBD"/>
    <w:rsid w:val="00F272F1"/>
    <w:rsid w:val="00F45372"/>
    <w:rsid w:val="00F560F7"/>
    <w:rsid w:val="00F6334D"/>
    <w:rsid w:val="00F82F8A"/>
    <w:rsid w:val="00FA49AB"/>
    <w:rsid w:val="00FB5193"/>
    <w:rsid w:val="00FC11A1"/>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A2F02D"/>
  <w15:docId w15:val="{DA62E78D-815D-44B6-BA30-199D6A8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8F4B94"/>
    <w:pPr>
      <w:keepNext/>
      <w:ind w:left="567"/>
      <w:jc w:val="both"/>
      <w:outlineLvl w:val="2"/>
    </w:pPr>
    <w:rPr>
      <w:rFonts w:ascii="Arial" w:hAnsi="Arial"/>
      <w:sz w:val="18"/>
      <w:szCs w:val="18"/>
    </w:rPr>
  </w:style>
  <w:style w:type="paragraph" w:styleId="Heading4">
    <w:name w:val="heading 4"/>
    <w:next w:val="Normal"/>
    <w:link w:val="Heading4Char"/>
    <w:autoRedefine/>
    <w:qFormat/>
    <w:rsid w:val="009149F1"/>
    <w:pPr>
      <w:keepNext/>
      <w:ind w:left="567"/>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99"/>
    <w:qFormat/>
    <w:rsid w:val="001B3BFE"/>
    <w:pPr>
      <w:ind w:left="720"/>
      <w:contextualSpacing/>
    </w:pPr>
  </w:style>
  <w:style w:type="character" w:customStyle="1" w:styleId="DecisionParagraphsChar">
    <w:name w:val="DecisionParagraphs Char"/>
    <w:basedOn w:val="DefaultParagraphFont"/>
    <w:link w:val="DecisionParagraphs"/>
    <w:rsid w:val="001B3BFE"/>
    <w:rPr>
      <w:rFonts w:ascii="Arial" w:hAnsi="Arial"/>
      <w:i/>
      <w:lang w:val="es-ES"/>
    </w:rPr>
  </w:style>
  <w:style w:type="character" w:customStyle="1" w:styleId="HeaderChar">
    <w:name w:val="Header Char"/>
    <w:link w:val="Header"/>
    <w:uiPriority w:val="99"/>
    <w:rsid w:val="001B3BFE"/>
    <w:rPr>
      <w:rFonts w:ascii="Arial" w:hAnsi="Arial"/>
      <w:lang w:val="es-ES"/>
    </w:rPr>
  </w:style>
  <w:style w:type="table" w:styleId="TableGrid">
    <w:name w:val="Table Grid"/>
    <w:basedOn w:val="TableNormal"/>
    <w:rsid w:val="001B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1B3BFE"/>
    <w:pPr>
      <w:numPr>
        <w:numId w:val="2"/>
      </w:numPr>
      <w:contextualSpacing/>
    </w:pPr>
  </w:style>
  <w:style w:type="character" w:styleId="FollowedHyperlink">
    <w:name w:val="FollowedHyperlink"/>
    <w:basedOn w:val="DefaultParagraphFont"/>
    <w:rsid w:val="001B3BFE"/>
    <w:rPr>
      <w:color w:val="800080" w:themeColor="followedHyperlink"/>
      <w:u w:val="single"/>
    </w:rPr>
  </w:style>
  <w:style w:type="paragraph" w:styleId="BodyTextIndent">
    <w:name w:val="Body Text Indent"/>
    <w:basedOn w:val="Normal"/>
    <w:link w:val="BodyTextIndentChar"/>
    <w:rsid w:val="00431FC0"/>
    <w:pPr>
      <w:spacing w:after="120"/>
      <w:ind w:left="283"/>
    </w:pPr>
  </w:style>
  <w:style w:type="character" w:customStyle="1" w:styleId="BodyTextIndentChar">
    <w:name w:val="Body Text Indent Char"/>
    <w:basedOn w:val="DefaultParagraphFont"/>
    <w:link w:val="BodyTextIndent"/>
    <w:rsid w:val="00431FC0"/>
    <w:rPr>
      <w:rFonts w:ascii="Arial" w:hAnsi="Arial"/>
    </w:rPr>
  </w:style>
  <w:style w:type="paragraph" w:customStyle="1" w:styleId="tgchartextcentered">
    <w:name w:val="tg_char_text_centered"/>
    <w:basedOn w:val="Normal"/>
    <w:uiPriority w:val="99"/>
    <w:rsid w:val="00431FC0"/>
    <w:pPr>
      <w:spacing w:before="80" w:after="80"/>
      <w:jc w:val="center"/>
    </w:pPr>
    <w:rPr>
      <w:rFonts w:cs="Arial"/>
      <w:b/>
      <w:bCs/>
      <w:sz w:val="16"/>
      <w:szCs w:val="16"/>
      <w:lang w:val="en-US" w:eastAsia="en-US" w:bidi="ar-SA"/>
    </w:rPr>
  </w:style>
  <w:style w:type="paragraph" w:customStyle="1" w:styleId="tgchartext">
    <w:name w:val="tg_char_text"/>
    <w:basedOn w:val="Normal"/>
    <w:uiPriority w:val="99"/>
    <w:rsid w:val="00431FC0"/>
    <w:pPr>
      <w:spacing w:before="80" w:after="80"/>
      <w:jc w:val="left"/>
    </w:pPr>
    <w:rPr>
      <w:rFonts w:cs="Arial"/>
      <w:sz w:val="16"/>
      <w:szCs w:val="16"/>
      <w:lang w:val="en-US" w:eastAsia="en-US" w:bidi="ar-SA"/>
    </w:rPr>
  </w:style>
  <w:style w:type="paragraph" w:customStyle="1" w:styleId="Normaltg">
    <w:name w:val="Normaltg"/>
    <w:basedOn w:val="Normal"/>
    <w:uiPriority w:val="99"/>
    <w:rsid w:val="00431FC0"/>
    <w:pPr>
      <w:tabs>
        <w:tab w:val="left" w:pos="709"/>
        <w:tab w:val="left" w:pos="1418"/>
      </w:tabs>
    </w:pPr>
    <w:rPr>
      <w:rFonts w:cs="Arial"/>
      <w:lang w:val="fr-FR" w:eastAsia="en-US" w:bidi="ar-SA"/>
    </w:rPr>
  </w:style>
  <w:style w:type="paragraph" w:customStyle="1" w:styleId="Normalt">
    <w:name w:val="Normalt"/>
    <w:basedOn w:val="Normal"/>
    <w:uiPriority w:val="99"/>
    <w:rsid w:val="00431FC0"/>
    <w:pPr>
      <w:spacing w:before="120" w:after="120"/>
      <w:jc w:val="left"/>
    </w:pPr>
    <w:rPr>
      <w:rFonts w:ascii="Times New Roman" w:hAnsi="Times New Roman"/>
      <w:lang w:val="en-US" w:eastAsia="ja-JP" w:bidi="ar-SA"/>
    </w:rPr>
  </w:style>
  <w:style w:type="paragraph" w:customStyle="1" w:styleId="Normaltb">
    <w:name w:val="Normaltb"/>
    <w:basedOn w:val="Normalt"/>
    <w:uiPriority w:val="99"/>
    <w:rsid w:val="00431FC0"/>
    <w:pPr>
      <w:keepNext/>
    </w:pPr>
    <w:rPr>
      <w:b/>
      <w:bCs/>
    </w:rPr>
  </w:style>
  <w:style w:type="character" w:customStyle="1" w:styleId="Heading2Char">
    <w:name w:val="Heading 2 Char"/>
    <w:aliases w:val="VARIETY Char,variety Char"/>
    <w:link w:val="Heading2"/>
    <w:locked/>
    <w:rsid w:val="00431FC0"/>
    <w:rPr>
      <w:rFonts w:ascii="Arial" w:hAnsi="Arial"/>
      <w:u w:val="single"/>
    </w:rPr>
  </w:style>
  <w:style w:type="character" w:customStyle="1" w:styleId="Heading4Char">
    <w:name w:val="Heading 4 Char"/>
    <w:link w:val="Heading4"/>
    <w:rsid w:val="009149F1"/>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ipo.int/about-wipo/es/pdf/wipo_financial_regulation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pov.int/restricted_temporary/twptg/es/drafters_ki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po.int/meetings/es/topic_bodies.jsp?group_id=101"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6313</Words>
  <Characters>35986</Characters>
  <Application>Microsoft Office Word</Application>
  <DocSecurity>0</DocSecurity>
  <Lines>299</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C/52/14</vt:lpstr>
      <vt:lpstr>C/52</vt:lpstr>
    </vt:vector>
  </TitlesOfParts>
  <Company>UPOV</Company>
  <LinksUpToDate>false</LinksUpToDate>
  <CharactersWithSpaces>42215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C/52/14</dc:title>
  <dc:creator>BOU LLORET Amparo</dc:creator>
  <cp:lastModifiedBy>SANTOS Carla Marina</cp:lastModifiedBy>
  <cp:revision>18</cp:revision>
  <cp:lastPrinted>2016-11-22T15:41:00Z</cp:lastPrinted>
  <dcterms:created xsi:type="dcterms:W3CDTF">2018-08-22T12:20:00Z</dcterms:created>
  <dcterms:modified xsi:type="dcterms:W3CDTF">2018-09-04T13:26:00Z</dcterms:modified>
</cp:coreProperties>
</file>