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15F26" w:rsidTr="00EB4E9C">
        <w:tc>
          <w:tcPr>
            <w:tcW w:w="6522" w:type="dxa"/>
          </w:tcPr>
          <w:p w:rsidR="00DC3802" w:rsidRPr="00915F26" w:rsidRDefault="00DC3802" w:rsidP="00AC2883">
            <w:pPr>
              <w:rPr>
                <w:dstrike/>
                <w:lang w:val="es-ES"/>
              </w:rPr>
            </w:pPr>
            <w:r w:rsidRPr="004829DF">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4829DF" w:rsidRDefault="002E5944" w:rsidP="00AC2883">
            <w:pPr>
              <w:pStyle w:val="Lettrine"/>
              <w:rPr>
                <w:lang w:val="es-ES"/>
              </w:rPr>
            </w:pPr>
            <w:r w:rsidRPr="004829DF">
              <w:rPr>
                <w:lang w:val="es-ES"/>
              </w:rPr>
              <w:t>S</w:t>
            </w:r>
          </w:p>
        </w:tc>
      </w:tr>
      <w:tr w:rsidR="00DC3802" w:rsidRPr="00915F26" w:rsidTr="00645CA8">
        <w:trPr>
          <w:trHeight w:val="219"/>
        </w:trPr>
        <w:tc>
          <w:tcPr>
            <w:tcW w:w="6522" w:type="dxa"/>
          </w:tcPr>
          <w:p w:rsidR="00DC3802" w:rsidRPr="00915F26" w:rsidRDefault="002E5944" w:rsidP="00BC0BD4">
            <w:pPr>
              <w:pStyle w:val="upove"/>
              <w:rPr>
                <w:dstrike/>
                <w:lang w:val="es-ES"/>
              </w:rPr>
            </w:pPr>
            <w:r w:rsidRPr="004829DF">
              <w:rPr>
                <w:lang w:val="es-ES"/>
              </w:rPr>
              <w:t>Unión Internacional para la Protección de las Obtenciones Vegetales</w:t>
            </w:r>
          </w:p>
        </w:tc>
        <w:tc>
          <w:tcPr>
            <w:tcW w:w="3117" w:type="dxa"/>
          </w:tcPr>
          <w:p w:rsidR="00DC3802" w:rsidRPr="004829DF" w:rsidRDefault="00DC3802" w:rsidP="00DA4973">
            <w:pPr>
              <w:rPr>
                <w:lang w:val="es-ES"/>
              </w:rPr>
            </w:pPr>
          </w:p>
        </w:tc>
      </w:tr>
    </w:tbl>
    <w:p w:rsidR="00DC3802" w:rsidRPr="004829DF" w:rsidRDefault="00DC3802" w:rsidP="00DC3802">
      <w:pPr>
        <w:rPr>
          <w:lang w:val="es-ES"/>
        </w:rPr>
      </w:pPr>
    </w:p>
    <w:p w:rsidR="00DA4973" w:rsidRPr="004829DF"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15F26" w:rsidTr="00EB4E9C">
        <w:tc>
          <w:tcPr>
            <w:tcW w:w="6512" w:type="dxa"/>
          </w:tcPr>
          <w:p w:rsidR="00EB4E9C" w:rsidRPr="004829DF" w:rsidRDefault="00EA65D2" w:rsidP="00AC2883">
            <w:pPr>
              <w:pStyle w:val="Sessiontc"/>
              <w:spacing w:line="240" w:lineRule="auto"/>
              <w:rPr>
                <w:lang w:val="es-ES"/>
              </w:rPr>
            </w:pPr>
            <w:r w:rsidRPr="004829DF">
              <w:rPr>
                <w:lang w:val="es-ES"/>
              </w:rPr>
              <w:t>Consejo</w:t>
            </w:r>
          </w:p>
          <w:p w:rsidR="00EB4E9C" w:rsidRPr="00915F26" w:rsidRDefault="00EA65D2" w:rsidP="00EA65D2">
            <w:pPr>
              <w:pStyle w:val="Sessiontcplacedate"/>
              <w:rPr>
                <w:dstrike/>
                <w:sz w:val="22"/>
                <w:lang w:val="es-ES"/>
              </w:rPr>
            </w:pPr>
            <w:r w:rsidRPr="004829DF">
              <w:rPr>
                <w:lang w:val="es-ES"/>
              </w:rPr>
              <w:t xml:space="preserve">Quincuagésima primera </w:t>
            </w:r>
            <w:r w:rsidR="002E5944" w:rsidRPr="004829DF">
              <w:rPr>
                <w:lang w:val="es-ES"/>
              </w:rPr>
              <w:t>sesión</w:t>
            </w:r>
            <w:r w:rsidRPr="004829DF">
              <w:rPr>
                <w:lang w:val="es-ES"/>
              </w:rPr>
              <w:t xml:space="preserve"> ordinaria</w:t>
            </w:r>
            <w:r w:rsidR="00EB4E9C" w:rsidRPr="004829DF">
              <w:rPr>
                <w:lang w:val="es-ES"/>
              </w:rPr>
              <w:br/>
            </w:r>
            <w:r w:rsidR="002E5944" w:rsidRPr="004829DF">
              <w:rPr>
                <w:lang w:val="es-ES"/>
              </w:rPr>
              <w:t>Ginebra</w:t>
            </w:r>
            <w:r w:rsidR="007829E4" w:rsidRPr="004829DF">
              <w:rPr>
                <w:lang w:val="es-ES"/>
              </w:rPr>
              <w:t>, 2</w:t>
            </w:r>
            <w:r w:rsidRPr="004829DF">
              <w:rPr>
                <w:lang w:val="es-ES"/>
              </w:rPr>
              <w:t>6</w:t>
            </w:r>
            <w:r w:rsidR="00A706D3" w:rsidRPr="004829DF">
              <w:rPr>
                <w:lang w:val="es-ES"/>
              </w:rPr>
              <w:t xml:space="preserve"> </w:t>
            </w:r>
            <w:r w:rsidR="002E5944" w:rsidRPr="004829DF">
              <w:rPr>
                <w:lang w:val="es-ES"/>
              </w:rPr>
              <w:t xml:space="preserve">de </w:t>
            </w:r>
            <w:r w:rsidR="00A20FB2" w:rsidRPr="004829DF">
              <w:rPr>
                <w:lang w:val="es-ES"/>
              </w:rPr>
              <w:t xml:space="preserve">octubre </w:t>
            </w:r>
            <w:r w:rsidR="002E5944" w:rsidRPr="004829DF">
              <w:rPr>
                <w:lang w:val="es-ES"/>
              </w:rPr>
              <w:t>de</w:t>
            </w:r>
            <w:r w:rsidR="007829E4" w:rsidRPr="004829DF">
              <w:rPr>
                <w:lang w:val="es-ES"/>
              </w:rPr>
              <w:t> 2</w:t>
            </w:r>
            <w:r w:rsidR="00EB4E9C" w:rsidRPr="004829DF">
              <w:rPr>
                <w:lang w:val="es-ES"/>
              </w:rPr>
              <w:t>017</w:t>
            </w:r>
          </w:p>
        </w:tc>
        <w:tc>
          <w:tcPr>
            <w:tcW w:w="3127" w:type="dxa"/>
          </w:tcPr>
          <w:p w:rsidR="00EB4E9C" w:rsidRPr="004829DF" w:rsidRDefault="00EA65D2" w:rsidP="003C7FBE">
            <w:pPr>
              <w:pStyle w:val="Doccode"/>
              <w:rPr>
                <w:lang w:val="es-ES"/>
              </w:rPr>
            </w:pPr>
            <w:r w:rsidRPr="004829DF">
              <w:rPr>
                <w:lang w:val="es-ES"/>
              </w:rPr>
              <w:t>C/51</w:t>
            </w:r>
            <w:r w:rsidR="00EB4E9C" w:rsidRPr="004829DF">
              <w:rPr>
                <w:lang w:val="es-ES"/>
              </w:rPr>
              <w:t>/</w:t>
            </w:r>
            <w:r w:rsidR="00273DB6" w:rsidRPr="004829DF">
              <w:rPr>
                <w:lang w:val="es-ES"/>
              </w:rPr>
              <w:t>10</w:t>
            </w:r>
          </w:p>
          <w:p w:rsidR="00EB4E9C" w:rsidRPr="004829DF" w:rsidRDefault="00EB4E9C" w:rsidP="003C7FBE">
            <w:pPr>
              <w:pStyle w:val="Docoriginal"/>
              <w:rPr>
                <w:lang w:val="es-ES"/>
              </w:rPr>
            </w:pPr>
            <w:r w:rsidRPr="004829DF">
              <w:rPr>
                <w:lang w:val="es-ES"/>
              </w:rPr>
              <w:t>Original</w:t>
            </w:r>
            <w:r w:rsidR="007829E4" w:rsidRPr="004829DF">
              <w:rPr>
                <w:lang w:val="es-ES"/>
              </w:rPr>
              <w:t xml:space="preserve">:  </w:t>
            </w:r>
            <w:r w:rsidR="002E5944" w:rsidRPr="004829DF">
              <w:rPr>
                <w:b w:val="0"/>
                <w:spacing w:val="0"/>
                <w:lang w:val="es-ES"/>
              </w:rPr>
              <w:t>Inglés</w:t>
            </w:r>
          </w:p>
          <w:p w:rsidR="00EB4E9C" w:rsidRPr="004829DF" w:rsidRDefault="002E5944" w:rsidP="006E4918">
            <w:pPr>
              <w:pStyle w:val="Docoriginal"/>
              <w:rPr>
                <w:lang w:val="es-ES"/>
              </w:rPr>
            </w:pPr>
            <w:r w:rsidRPr="004829DF">
              <w:rPr>
                <w:lang w:val="es-ES"/>
              </w:rPr>
              <w:t>Fecha</w:t>
            </w:r>
            <w:r w:rsidR="007829E4" w:rsidRPr="004829DF">
              <w:rPr>
                <w:lang w:val="es-ES"/>
              </w:rPr>
              <w:t xml:space="preserve">:  </w:t>
            </w:r>
            <w:r w:rsidR="006E4918">
              <w:rPr>
                <w:b w:val="0"/>
                <w:spacing w:val="0"/>
                <w:lang w:val="es-ES"/>
              </w:rPr>
              <w:t>29</w:t>
            </w:r>
            <w:r w:rsidR="00EB4E9C" w:rsidRPr="004829DF">
              <w:rPr>
                <w:b w:val="0"/>
                <w:spacing w:val="0"/>
                <w:lang w:val="es-ES"/>
              </w:rPr>
              <w:t xml:space="preserve"> </w:t>
            </w:r>
            <w:r w:rsidR="006E4918">
              <w:rPr>
                <w:b w:val="0"/>
                <w:spacing w:val="0"/>
                <w:lang w:val="es-ES"/>
              </w:rPr>
              <w:t xml:space="preserve">de septiembre </w:t>
            </w:r>
            <w:r w:rsidRPr="004829DF">
              <w:rPr>
                <w:b w:val="0"/>
                <w:spacing w:val="0"/>
                <w:lang w:val="es-ES"/>
              </w:rPr>
              <w:t>de</w:t>
            </w:r>
            <w:r w:rsidR="007829E4" w:rsidRPr="004829DF">
              <w:rPr>
                <w:b w:val="0"/>
                <w:spacing w:val="0"/>
                <w:lang w:val="es-ES"/>
              </w:rPr>
              <w:t> 2</w:t>
            </w:r>
            <w:r w:rsidR="00EB4E9C" w:rsidRPr="004829DF">
              <w:rPr>
                <w:b w:val="0"/>
                <w:spacing w:val="0"/>
                <w:lang w:val="es-ES"/>
              </w:rPr>
              <w:t>017</w:t>
            </w:r>
          </w:p>
        </w:tc>
      </w:tr>
    </w:tbl>
    <w:p w:rsidR="000D7780" w:rsidRPr="00273DB6" w:rsidRDefault="00234155" w:rsidP="00C75963">
      <w:pPr>
        <w:pStyle w:val="Titleofdoc0"/>
        <w:rPr>
          <w:lang w:val="es-ES"/>
        </w:rPr>
      </w:pPr>
      <w:bookmarkStart w:id="0" w:name="TitleOfDoc"/>
      <w:bookmarkEnd w:id="0"/>
      <w:r w:rsidRPr="00C75963">
        <w:t>INFORME SOBRE LA MARCHA DE LA LABOR DEL COMITÉ TÉCNICO</w:t>
      </w:r>
      <w:r w:rsidR="007829E4">
        <w:t xml:space="preserve">, </w:t>
      </w:r>
      <w:r w:rsidRPr="00C75963">
        <w:t>DE LOS GRUPOS DE TRABAJO TÉCNICO Y DEL GRUPO DE TRABAJO SOBRE TÉCNICAS BIOQUÍMICAS Y MOLECULARES</w:t>
      </w:r>
      <w:r w:rsidR="007829E4">
        <w:t xml:space="preserve">, </w:t>
      </w:r>
      <w:r w:rsidRPr="00C75963">
        <w:t>Y PERFILES DE ADN EN PARTICULAR</w:t>
      </w:r>
    </w:p>
    <w:p w:rsidR="006A644A" w:rsidRPr="004829DF" w:rsidRDefault="000638A9" w:rsidP="006A644A">
      <w:pPr>
        <w:pStyle w:val="preparedby1"/>
        <w:jc w:val="left"/>
        <w:rPr>
          <w:lang w:val="es-ES"/>
        </w:rPr>
      </w:pPr>
      <w:bookmarkStart w:id="1" w:name="Prepared"/>
      <w:bookmarkEnd w:id="1"/>
      <w:r w:rsidRPr="004829DF">
        <w:rPr>
          <w:lang w:val="es-ES"/>
        </w:rPr>
        <w:t>Documento preparado por la Oficina de la Unión</w:t>
      </w:r>
    </w:p>
    <w:p w:rsidR="00050E16" w:rsidRPr="004829DF" w:rsidRDefault="000638A9" w:rsidP="006A644A">
      <w:pPr>
        <w:pStyle w:val="Disclaimer"/>
        <w:rPr>
          <w:lang w:val="es-ES"/>
        </w:rPr>
      </w:pPr>
      <w:r w:rsidRPr="004829DF">
        <w:rPr>
          <w:lang w:val="es-ES"/>
        </w:rPr>
        <w:t>Descargo de responsabilidad: el presente documento no constituye un documento de política u orientación de la UPOV</w:t>
      </w:r>
    </w:p>
    <w:p w:rsidR="00273DB6" w:rsidRPr="009B196C" w:rsidRDefault="00C75963" w:rsidP="00273DB6">
      <w:pPr>
        <w:pStyle w:val="Heading1"/>
        <w:rPr>
          <w:lang w:val="es-ES"/>
        </w:rPr>
      </w:pPr>
      <w:bookmarkStart w:id="2" w:name="_Toc492290030"/>
      <w:r w:rsidRPr="00C75963">
        <w:rPr>
          <w:lang w:val="es-ES_tradnl"/>
        </w:rPr>
        <w:t>RESUMEN</w:t>
      </w:r>
      <w:bookmarkEnd w:id="2"/>
    </w:p>
    <w:p w:rsidR="00273DB6" w:rsidRPr="00E514D4" w:rsidRDefault="00273DB6" w:rsidP="00273DB6"/>
    <w:p w:rsidR="00273DB6" w:rsidRPr="00E514D4" w:rsidRDefault="007D43C5" w:rsidP="00273DB6">
      <w:pPr>
        <w:rPr>
          <w:szCs w:val="24"/>
        </w:rPr>
      </w:pPr>
      <w:r w:rsidRPr="00E514D4">
        <w:fldChar w:fldCharType="begin"/>
      </w:r>
      <w:r w:rsidR="00273DB6" w:rsidRPr="00E514D4">
        <w:instrText xml:space="preserve"> AUTONUM  </w:instrText>
      </w:r>
      <w:r w:rsidRPr="00E514D4">
        <w:fldChar w:fldCharType="end"/>
      </w:r>
      <w:r w:rsidR="00273DB6" w:rsidRPr="00E514D4">
        <w:tab/>
      </w:r>
      <w:r w:rsidR="00C75963" w:rsidRPr="004D1E64">
        <w:rPr>
          <w:szCs w:val="24"/>
        </w:rPr>
        <w:t xml:space="preserve">En el presente documento se expone </w:t>
      </w:r>
      <w:r w:rsidR="004D1E64" w:rsidRPr="004D1E64">
        <w:rPr>
          <w:szCs w:val="24"/>
        </w:rPr>
        <w:t>el</w:t>
      </w:r>
      <w:r w:rsidR="00C75963" w:rsidRPr="004D1E64">
        <w:rPr>
          <w:szCs w:val="24"/>
        </w:rPr>
        <w:t xml:space="preserve"> informe sobre la marcha de la labor del Comité Técnico (TC) y sus </w:t>
      </w:r>
      <w:r w:rsidR="000A5723" w:rsidRPr="004D1E64">
        <w:rPr>
          <w:szCs w:val="24"/>
        </w:rPr>
        <w:t>grupos de trabajo técnico</w:t>
      </w:r>
      <w:r w:rsidR="00C75963" w:rsidRPr="004D1E64">
        <w:rPr>
          <w:szCs w:val="24"/>
        </w:rPr>
        <w:t xml:space="preserve"> (TWP)</w:t>
      </w:r>
      <w:r w:rsidR="007829E4">
        <w:rPr>
          <w:szCs w:val="24"/>
        </w:rPr>
        <w:t xml:space="preserve">, </w:t>
      </w:r>
      <w:r w:rsidR="00C75963" w:rsidRPr="004D1E64">
        <w:rPr>
          <w:szCs w:val="24"/>
        </w:rPr>
        <w:t>incluido el Grupo de Trabajo sobre Técnicas Bioquímicas y Moleculares</w:t>
      </w:r>
      <w:r w:rsidR="007829E4">
        <w:rPr>
          <w:szCs w:val="24"/>
        </w:rPr>
        <w:t xml:space="preserve">, </w:t>
      </w:r>
      <w:r w:rsidR="00C75963" w:rsidRPr="004D1E64">
        <w:rPr>
          <w:szCs w:val="24"/>
        </w:rPr>
        <w:t>y Perfiles de ADN en particular (BMT)</w:t>
      </w:r>
      <w:r w:rsidR="004D1E64" w:rsidRPr="004D1E64">
        <w:rPr>
          <w:szCs w:val="24"/>
        </w:rPr>
        <w:t>.</w:t>
      </w:r>
    </w:p>
    <w:p w:rsidR="00273DB6" w:rsidRPr="00E514D4" w:rsidRDefault="00273DB6" w:rsidP="00273DB6">
      <w:pPr>
        <w:rPr>
          <w:szCs w:val="24"/>
        </w:rPr>
      </w:pPr>
    </w:p>
    <w:p w:rsidR="00273DB6" w:rsidRPr="00E514D4" w:rsidRDefault="007D43C5" w:rsidP="00273DB6">
      <w:pPr>
        <w:rPr>
          <w:szCs w:val="24"/>
        </w:rPr>
      </w:pPr>
      <w:r w:rsidRPr="00E514D4">
        <w:rPr>
          <w:szCs w:val="24"/>
        </w:rPr>
        <w:fldChar w:fldCharType="begin"/>
      </w:r>
      <w:r w:rsidR="00273DB6" w:rsidRPr="00E514D4">
        <w:rPr>
          <w:szCs w:val="24"/>
        </w:rPr>
        <w:instrText xml:space="preserve"> AUTONUM  </w:instrText>
      </w:r>
      <w:r w:rsidRPr="00E514D4">
        <w:rPr>
          <w:szCs w:val="24"/>
        </w:rPr>
        <w:fldChar w:fldCharType="end"/>
      </w:r>
      <w:r w:rsidR="00273DB6" w:rsidRPr="00E514D4">
        <w:rPr>
          <w:szCs w:val="24"/>
        </w:rPr>
        <w:tab/>
      </w:r>
      <w:r w:rsidR="004D1E64" w:rsidRPr="004D1E64">
        <w:rPr>
          <w:szCs w:val="24"/>
        </w:rPr>
        <w:t>Se invitará al Consejo a:</w:t>
      </w:r>
    </w:p>
    <w:p w:rsidR="00273DB6" w:rsidRPr="00E514D4" w:rsidRDefault="00273DB6" w:rsidP="00273DB6">
      <w:pPr>
        <w:rPr>
          <w:szCs w:val="24"/>
        </w:rPr>
      </w:pPr>
    </w:p>
    <w:p w:rsidR="00273DB6" w:rsidRPr="002871F4" w:rsidRDefault="00273DB6" w:rsidP="00273DB6">
      <w:pPr>
        <w:rPr>
          <w:szCs w:val="24"/>
        </w:rPr>
      </w:pPr>
      <w:r w:rsidRPr="004829DF">
        <w:rPr>
          <w:szCs w:val="24"/>
        </w:rPr>
        <w:tab/>
        <w:t>a)</w:t>
      </w:r>
      <w:r w:rsidRPr="004829DF">
        <w:rPr>
          <w:szCs w:val="24"/>
        </w:rPr>
        <w:tab/>
      </w:r>
      <w:r w:rsidR="00C36FEB" w:rsidRPr="00C36FEB">
        <w:rPr>
          <w:szCs w:val="24"/>
        </w:rPr>
        <w:t>tomar nota de la labor realizada por el TC y de la labor realizada por los TWP y el BMT y presentada al TC</w:t>
      </w:r>
      <w:r w:rsidR="007829E4">
        <w:rPr>
          <w:szCs w:val="24"/>
        </w:rPr>
        <w:t xml:space="preserve">, </w:t>
      </w:r>
      <w:r w:rsidR="00C36FEB" w:rsidRPr="00C36FEB">
        <w:rPr>
          <w:szCs w:val="24"/>
        </w:rPr>
        <w:t>según se expone en el presente documento;  y</w:t>
      </w:r>
    </w:p>
    <w:p w:rsidR="00273DB6" w:rsidRPr="002871F4" w:rsidRDefault="00273DB6" w:rsidP="00273DB6">
      <w:pPr>
        <w:rPr>
          <w:szCs w:val="24"/>
        </w:rPr>
      </w:pPr>
    </w:p>
    <w:p w:rsidR="00273DB6" w:rsidRPr="00E514D4" w:rsidRDefault="00C755AF" w:rsidP="00273DB6">
      <w:pPr>
        <w:rPr>
          <w:szCs w:val="24"/>
        </w:rPr>
      </w:pPr>
      <w:r w:rsidRPr="004829DF">
        <w:rPr>
          <w:szCs w:val="24"/>
        </w:rPr>
        <w:tab/>
      </w:r>
      <w:r w:rsidR="00273DB6" w:rsidRPr="004829DF">
        <w:rPr>
          <w:szCs w:val="24"/>
        </w:rPr>
        <w:t>b)</w:t>
      </w:r>
      <w:r w:rsidR="00273DB6" w:rsidRPr="004829DF">
        <w:rPr>
          <w:szCs w:val="24"/>
        </w:rPr>
        <w:tab/>
      </w:r>
      <w:r w:rsidR="00C36FEB" w:rsidRPr="00C36FEB">
        <w:rPr>
          <w:szCs w:val="24"/>
        </w:rPr>
        <w:t>aprobar el programa de trabajo del TC y los programas de trabajo de los TWP y el BMT presentados al TC</w:t>
      </w:r>
      <w:r w:rsidR="007829E4">
        <w:rPr>
          <w:szCs w:val="24"/>
        </w:rPr>
        <w:t xml:space="preserve">, </w:t>
      </w:r>
      <w:r w:rsidR="00C36FEB" w:rsidRPr="00C36FEB">
        <w:rPr>
          <w:szCs w:val="24"/>
        </w:rPr>
        <w:t>según se expone en el presente documento.</w:t>
      </w:r>
    </w:p>
    <w:p w:rsidR="00273DB6" w:rsidRPr="00E514D4" w:rsidRDefault="00273DB6" w:rsidP="00273DB6">
      <w:pPr>
        <w:rPr>
          <w:szCs w:val="24"/>
        </w:rPr>
      </w:pPr>
    </w:p>
    <w:p w:rsidR="00273DB6" w:rsidRPr="00E514D4" w:rsidRDefault="007D43C5" w:rsidP="00273DB6">
      <w:r w:rsidRPr="00E514D4">
        <w:fldChar w:fldCharType="begin"/>
      </w:r>
      <w:r w:rsidR="00273DB6" w:rsidRPr="00E514D4">
        <w:instrText xml:space="preserve"> AUTONUM  </w:instrText>
      </w:r>
      <w:r w:rsidRPr="00E514D4">
        <w:fldChar w:fldCharType="end"/>
      </w:r>
      <w:r w:rsidR="00273DB6" w:rsidRPr="00E514D4">
        <w:tab/>
      </w:r>
      <w:r w:rsidR="00C36FEB" w:rsidRPr="00C36FEB">
        <w:t>En el presente documento se utilizan las abreviaturas siguientes:</w:t>
      </w:r>
    </w:p>
    <w:p w:rsidR="00273DB6" w:rsidRPr="00E514D4" w:rsidRDefault="00273DB6" w:rsidP="00273DB6"/>
    <w:p w:rsidR="00273DB6" w:rsidRPr="00E514D4" w:rsidRDefault="00273DB6" w:rsidP="00273DB6">
      <w:pPr>
        <w:tabs>
          <w:tab w:val="left" w:pos="567"/>
        </w:tabs>
        <w:ind w:left="2552" w:right="-1" w:hanging="2552"/>
        <w:jc w:val="left"/>
      </w:pPr>
      <w:r w:rsidRPr="00E514D4">
        <w:tab/>
      </w:r>
      <w:r w:rsidR="00C36FEB" w:rsidRPr="00C36FEB">
        <w:t>CAJ:</w:t>
      </w:r>
      <w:r w:rsidRPr="00E514D4">
        <w:tab/>
      </w:r>
      <w:r w:rsidR="00C36FEB" w:rsidRPr="00C36FEB">
        <w:t>Comité Administrativo y Jurídico</w:t>
      </w:r>
      <w:r w:rsidRPr="00E514D4">
        <w:t xml:space="preserve"> </w:t>
      </w:r>
    </w:p>
    <w:p w:rsidR="00273DB6" w:rsidRPr="00E514D4" w:rsidRDefault="00273DB6" w:rsidP="00273DB6">
      <w:pPr>
        <w:tabs>
          <w:tab w:val="left" w:pos="567"/>
        </w:tabs>
        <w:ind w:left="2552" w:right="-1" w:hanging="2552"/>
        <w:jc w:val="left"/>
      </w:pPr>
      <w:r w:rsidRPr="00E514D4">
        <w:tab/>
      </w:r>
      <w:r w:rsidR="00C36FEB" w:rsidRPr="00C36FEB">
        <w:t>TC:</w:t>
      </w:r>
      <w:r w:rsidRPr="00E514D4">
        <w:tab/>
      </w:r>
      <w:r w:rsidR="00C36FEB" w:rsidRPr="00C36FEB">
        <w:t>Comité Técnico</w:t>
      </w:r>
    </w:p>
    <w:p w:rsidR="00273DB6" w:rsidRPr="00E514D4" w:rsidRDefault="00273DB6" w:rsidP="00273DB6">
      <w:pPr>
        <w:tabs>
          <w:tab w:val="left" w:pos="567"/>
        </w:tabs>
        <w:ind w:left="2552" w:right="-1" w:hanging="2552"/>
        <w:jc w:val="left"/>
      </w:pPr>
      <w:r w:rsidRPr="00E514D4">
        <w:tab/>
      </w:r>
      <w:r w:rsidR="00C36FEB" w:rsidRPr="00C36FEB">
        <w:t>TC</w:t>
      </w:r>
      <w:r w:rsidR="00C36FEB" w:rsidRPr="00C36FEB">
        <w:noBreakHyphen/>
        <w:t>EDC:</w:t>
      </w:r>
      <w:r w:rsidRPr="00E514D4">
        <w:tab/>
      </w:r>
      <w:r w:rsidR="00C36FEB" w:rsidRPr="00C36FEB">
        <w:t>Comité de Redacción Ampliado</w:t>
      </w:r>
    </w:p>
    <w:p w:rsidR="00273DB6" w:rsidRPr="00E514D4" w:rsidRDefault="00273DB6" w:rsidP="00273DB6">
      <w:pPr>
        <w:tabs>
          <w:tab w:val="left" w:pos="567"/>
        </w:tabs>
        <w:ind w:left="2552" w:right="-1" w:hanging="2552"/>
        <w:jc w:val="left"/>
      </w:pPr>
      <w:r w:rsidRPr="00E514D4">
        <w:tab/>
      </w:r>
      <w:r w:rsidR="00C36FEB" w:rsidRPr="00C36FEB">
        <w:t>TWP:</w:t>
      </w:r>
      <w:r w:rsidRPr="00E514D4">
        <w:tab/>
      </w:r>
      <w:r w:rsidR="000A5723" w:rsidRPr="00C36FEB">
        <w:t>Grupos de trabajo técnico</w:t>
      </w:r>
    </w:p>
    <w:p w:rsidR="00273DB6" w:rsidRPr="00E514D4" w:rsidRDefault="00273DB6" w:rsidP="00273DB6">
      <w:pPr>
        <w:tabs>
          <w:tab w:val="left" w:pos="567"/>
        </w:tabs>
        <w:ind w:left="2552" w:right="-1" w:hanging="2552"/>
        <w:jc w:val="left"/>
      </w:pPr>
      <w:r w:rsidRPr="00E514D4">
        <w:tab/>
      </w:r>
      <w:r w:rsidR="00C36FEB" w:rsidRPr="00C36FEB">
        <w:t>TWA:</w:t>
      </w:r>
      <w:r w:rsidRPr="00E514D4">
        <w:tab/>
      </w:r>
      <w:r w:rsidR="00C36FEB" w:rsidRPr="00C36FEB">
        <w:t>Grupo de Trabajo Técnico sobre Plantas Agrícolas</w:t>
      </w:r>
    </w:p>
    <w:p w:rsidR="00273DB6" w:rsidRPr="00E514D4" w:rsidRDefault="00273DB6" w:rsidP="00273DB6">
      <w:pPr>
        <w:tabs>
          <w:tab w:val="left" w:pos="567"/>
        </w:tabs>
        <w:ind w:left="2552" w:right="-1" w:hanging="2552"/>
        <w:jc w:val="left"/>
      </w:pPr>
      <w:r w:rsidRPr="00E514D4">
        <w:tab/>
      </w:r>
      <w:r w:rsidR="00C36FEB" w:rsidRPr="00C36FEB">
        <w:t>TWC:</w:t>
      </w:r>
      <w:r w:rsidRPr="00E514D4">
        <w:tab/>
      </w:r>
      <w:r w:rsidR="00C36FEB" w:rsidRPr="00C36FEB">
        <w:t>Grupo de Trabajo Técnico sobre Automatización y Programas Informáticos</w:t>
      </w:r>
    </w:p>
    <w:p w:rsidR="00273DB6" w:rsidRPr="00E514D4" w:rsidRDefault="00273DB6" w:rsidP="00273DB6">
      <w:pPr>
        <w:tabs>
          <w:tab w:val="left" w:pos="567"/>
        </w:tabs>
        <w:ind w:left="2552" w:right="-1" w:hanging="2552"/>
        <w:jc w:val="left"/>
      </w:pPr>
      <w:r w:rsidRPr="00E514D4">
        <w:tab/>
      </w:r>
      <w:r w:rsidR="00C36FEB" w:rsidRPr="00C36FEB">
        <w:t>TWF:</w:t>
      </w:r>
      <w:r w:rsidRPr="00E514D4">
        <w:t xml:space="preserve">  </w:t>
      </w:r>
      <w:r w:rsidRPr="00E514D4">
        <w:tab/>
      </w:r>
      <w:r w:rsidR="00C36FEB" w:rsidRPr="00C36FEB">
        <w:t>Grupo de Trabajo Técnico sobre Plantas Frutales</w:t>
      </w:r>
    </w:p>
    <w:p w:rsidR="00273DB6" w:rsidRPr="00E514D4" w:rsidRDefault="00273DB6" w:rsidP="00273DB6">
      <w:pPr>
        <w:tabs>
          <w:tab w:val="left" w:pos="567"/>
        </w:tabs>
        <w:ind w:left="2552" w:right="-1" w:hanging="2552"/>
        <w:jc w:val="left"/>
      </w:pPr>
      <w:r w:rsidRPr="00E514D4">
        <w:tab/>
      </w:r>
      <w:r w:rsidR="00C36FEB" w:rsidRPr="00C36FEB">
        <w:t>TWO:</w:t>
      </w:r>
      <w:r w:rsidRPr="00E514D4">
        <w:tab/>
      </w:r>
      <w:r w:rsidR="00C36FEB" w:rsidRPr="00C36FEB">
        <w:t>Grupo de Trabajo Técnico sobre Plantas Ornamentales y Árboles Forestales</w:t>
      </w:r>
    </w:p>
    <w:p w:rsidR="00273DB6" w:rsidRPr="00E514D4" w:rsidRDefault="00273DB6" w:rsidP="00273DB6">
      <w:pPr>
        <w:tabs>
          <w:tab w:val="left" w:pos="567"/>
        </w:tabs>
        <w:ind w:left="2552" w:right="-1" w:hanging="2552"/>
        <w:jc w:val="left"/>
      </w:pPr>
      <w:r w:rsidRPr="00E514D4">
        <w:tab/>
      </w:r>
      <w:r w:rsidR="00C36FEB" w:rsidRPr="00C36FEB">
        <w:t>TWV:</w:t>
      </w:r>
      <w:r w:rsidRPr="00E514D4">
        <w:tab/>
      </w:r>
      <w:r w:rsidR="00C36FEB" w:rsidRPr="00C36FEB">
        <w:t>Grupo de Trabajo Técnico sobre Hortalizas</w:t>
      </w:r>
    </w:p>
    <w:p w:rsidR="00273DB6" w:rsidRPr="00E514D4" w:rsidRDefault="00273DB6" w:rsidP="00273DB6">
      <w:pPr>
        <w:tabs>
          <w:tab w:val="left" w:pos="567"/>
        </w:tabs>
        <w:ind w:left="2552" w:right="-1" w:hanging="2552"/>
        <w:jc w:val="left"/>
      </w:pPr>
      <w:r w:rsidRPr="00E514D4">
        <w:tab/>
      </w:r>
      <w:r w:rsidR="00C36FEB" w:rsidRPr="00C36FEB">
        <w:t>BMT:</w:t>
      </w:r>
      <w:r w:rsidRPr="00E514D4">
        <w:tab/>
      </w:r>
      <w:r w:rsidR="00C36FEB" w:rsidRPr="00C36FEB">
        <w:t>Grupo de Trabajo sobre Técnicas Bioquímicas y Moleculares</w:t>
      </w:r>
      <w:r w:rsidR="007829E4">
        <w:t xml:space="preserve">, </w:t>
      </w:r>
      <w:r w:rsidR="00C36FEB" w:rsidRPr="00C36FEB">
        <w:t>y Perfiles de ADN en particular</w:t>
      </w:r>
    </w:p>
    <w:p w:rsidR="00273DB6" w:rsidRPr="00E514D4" w:rsidRDefault="00273DB6" w:rsidP="00273DB6">
      <w:pPr>
        <w:tabs>
          <w:tab w:val="left" w:pos="567"/>
        </w:tabs>
        <w:ind w:left="2552" w:right="-1" w:hanging="2552"/>
        <w:jc w:val="left"/>
        <w:rPr>
          <w:rFonts w:cs="Arial"/>
        </w:rPr>
      </w:pPr>
      <w:r w:rsidRPr="00E514D4">
        <w:rPr>
          <w:rFonts w:cs="Arial"/>
        </w:rPr>
        <w:tab/>
      </w:r>
      <w:r w:rsidR="00C36FEB" w:rsidRPr="00C36FEB">
        <w:rPr>
          <w:rFonts w:cs="Arial"/>
        </w:rPr>
        <w:t>DHE:</w:t>
      </w:r>
      <w:r w:rsidRPr="00E514D4">
        <w:rPr>
          <w:rFonts w:cs="Arial"/>
        </w:rPr>
        <w:tab/>
      </w:r>
      <w:r w:rsidR="00C36FEB" w:rsidRPr="00C36FEB">
        <w:rPr>
          <w:rFonts w:cs="Arial"/>
        </w:rPr>
        <w:t>Distinción</w:t>
      </w:r>
      <w:r w:rsidR="007829E4">
        <w:rPr>
          <w:rFonts w:cs="Arial"/>
        </w:rPr>
        <w:t xml:space="preserve">, </w:t>
      </w:r>
      <w:r w:rsidR="00C36FEB" w:rsidRPr="00C36FEB">
        <w:rPr>
          <w:rFonts w:cs="Arial"/>
        </w:rPr>
        <w:t>homogeneidad y estabilidad</w:t>
      </w:r>
      <w:r w:rsidRPr="00E514D4">
        <w:rPr>
          <w:rFonts w:cs="Arial"/>
        </w:rPr>
        <w:t xml:space="preserve"> </w:t>
      </w:r>
    </w:p>
    <w:p w:rsidR="00273DB6" w:rsidRPr="00E514D4" w:rsidRDefault="00273DB6" w:rsidP="00273DB6">
      <w:pPr>
        <w:tabs>
          <w:tab w:val="left" w:pos="567"/>
        </w:tabs>
        <w:ind w:left="2552" w:right="-1" w:hanging="2552"/>
        <w:jc w:val="left"/>
        <w:rPr>
          <w:rFonts w:cs="Arial"/>
        </w:rPr>
      </w:pPr>
      <w:r w:rsidRPr="00E514D4">
        <w:rPr>
          <w:rFonts w:cs="Arial"/>
        </w:rPr>
        <w:tab/>
      </w:r>
      <w:r w:rsidR="00C36FEB" w:rsidRPr="00C36FEB">
        <w:rPr>
          <w:rFonts w:cs="Arial"/>
        </w:rPr>
        <w:t>Oficina:</w:t>
      </w:r>
      <w:r w:rsidRPr="00E514D4">
        <w:rPr>
          <w:rFonts w:cs="Arial"/>
        </w:rPr>
        <w:tab/>
      </w:r>
      <w:r w:rsidR="00C36FEB" w:rsidRPr="00C36FEB">
        <w:rPr>
          <w:rFonts w:cs="Arial"/>
        </w:rPr>
        <w:t>Oficina de la Unión</w:t>
      </w:r>
    </w:p>
    <w:p w:rsidR="00273DB6" w:rsidRPr="00E514D4" w:rsidRDefault="00273DB6" w:rsidP="00273DB6">
      <w:pPr>
        <w:spacing w:line="360" w:lineRule="auto"/>
        <w:jc w:val="center"/>
        <w:rPr>
          <w:rFonts w:cs="Arial"/>
        </w:rPr>
      </w:pPr>
    </w:p>
    <w:p w:rsidR="00273DB6" w:rsidRDefault="00273DB6" w:rsidP="00273DB6">
      <w:pPr>
        <w:jc w:val="left"/>
      </w:pPr>
      <w:r>
        <w:br w:type="page"/>
      </w:r>
    </w:p>
    <w:p w:rsidR="00273DB6" w:rsidRPr="002871F4" w:rsidRDefault="00C36FEB" w:rsidP="00273DB6">
      <w:pPr>
        <w:rPr>
          <w:u w:val="single"/>
        </w:rPr>
      </w:pPr>
      <w:r w:rsidRPr="00C36FEB">
        <w:rPr>
          <w:u w:val="single"/>
        </w:rPr>
        <w:lastRenderedPageBreak/>
        <w:t>ÍNDICE</w:t>
      </w:r>
    </w:p>
    <w:p w:rsidR="00273DB6" w:rsidRPr="00B96764" w:rsidRDefault="00273DB6" w:rsidP="00273DB6">
      <w:pPr>
        <w:rPr>
          <w:highlight w:val="cyan"/>
        </w:rPr>
      </w:pPr>
    </w:p>
    <w:p w:rsidR="00EB47D3" w:rsidRDefault="007D43C5" w:rsidP="00EB47D3">
      <w:pPr>
        <w:pStyle w:val="TOC1"/>
        <w:rPr>
          <w:rFonts w:asciiTheme="minorHAnsi" w:eastAsiaTheme="minorEastAsia" w:hAnsiTheme="minorHAnsi" w:cstheme="minorBidi"/>
          <w:noProof/>
          <w:sz w:val="22"/>
          <w:szCs w:val="22"/>
          <w:lang w:val="es-ES_tradnl" w:eastAsia="es-ES_tradnl"/>
        </w:rPr>
      </w:pPr>
      <w:r w:rsidRPr="00B96764">
        <w:rPr>
          <w:snapToGrid w:val="0"/>
          <w:highlight w:val="cyan"/>
        </w:rPr>
        <w:fldChar w:fldCharType="begin"/>
      </w:r>
      <w:r w:rsidR="00273DB6" w:rsidRPr="00B96764">
        <w:rPr>
          <w:snapToGrid w:val="0"/>
          <w:highlight w:val="cyan"/>
        </w:rPr>
        <w:instrText xml:space="preserve"> TOC \o "1-3" \h \z \u </w:instrText>
      </w:r>
      <w:r w:rsidRPr="00B96764">
        <w:rPr>
          <w:snapToGrid w:val="0"/>
          <w:highlight w:val="cyan"/>
        </w:rPr>
        <w:fldChar w:fldCharType="separate"/>
      </w:r>
      <w:hyperlink w:anchor="_Toc492290030" w:history="1">
        <w:r w:rsidR="00EB47D3" w:rsidRPr="00D72755">
          <w:rPr>
            <w:rStyle w:val="Hyperlink"/>
            <w:noProof/>
            <w:lang w:val="es-ES_tradnl"/>
          </w:rPr>
          <w:t>RESUMEN</w:t>
        </w:r>
        <w:r w:rsidR="00EB47D3">
          <w:rPr>
            <w:noProof/>
            <w:webHidden/>
          </w:rPr>
          <w:tab/>
        </w:r>
        <w:r>
          <w:rPr>
            <w:noProof/>
            <w:webHidden/>
          </w:rPr>
          <w:fldChar w:fldCharType="begin"/>
        </w:r>
        <w:r w:rsidR="00EB47D3">
          <w:rPr>
            <w:noProof/>
            <w:webHidden/>
          </w:rPr>
          <w:instrText xml:space="preserve"> PAGEREF _Toc492290030 \h </w:instrText>
        </w:r>
        <w:r>
          <w:rPr>
            <w:noProof/>
            <w:webHidden/>
          </w:rPr>
        </w:r>
        <w:r>
          <w:rPr>
            <w:noProof/>
            <w:webHidden/>
          </w:rPr>
          <w:fldChar w:fldCharType="separate"/>
        </w:r>
        <w:r w:rsidR="00401303">
          <w:rPr>
            <w:noProof/>
            <w:webHidden/>
          </w:rPr>
          <w:t>1</w:t>
        </w:r>
        <w:r>
          <w:rPr>
            <w:noProof/>
            <w:webHidden/>
          </w:rPr>
          <w:fldChar w:fldCharType="end"/>
        </w:r>
      </w:hyperlink>
    </w:p>
    <w:p w:rsidR="00EB47D3" w:rsidRDefault="00D60862" w:rsidP="00EB47D3">
      <w:pPr>
        <w:pStyle w:val="TOC1"/>
        <w:rPr>
          <w:rFonts w:asciiTheme="minorHAnsi" w:eastAsiaTheme="minorEastAsia" w:hAnsiTheme="minorHAnsi" w:cstheme="minorBidi"/>
          <w:noProof/>
          <w:sz w:val="22"/>
          <w:szCs w:val="22"/>
          <w:lang w:val="es-ES_tradnl" w:eastAsia="es-ES_tradnl"/>
        </w:rPr>
      </w:pPr>
      <w:hyperlink w:anchor="_Toc492290031" w:history="1">
        <w:r w:rsidR="00EB47D3" w:rsidRPr="00D72755">
          <w:rPr>
            <w:rStyle w:val="Hyperlink"/>
            <w:noProof/>
            <w:lang w:val="es-ES_tradnl"/>
          </w:rPr>
          <w:t>INFORME SOBRE LA MARCHA DE LA LABOR DEL COMITÉ TÉCNICO</w:t>
        </w:r>
        <w:r w:rsidR="00EB47D3">
          <w:rPr>
            <w:noProof/>
            <w:webHidden/>
          </w:rPr>
          <w:tab/>
        </w:r>
        <w:r w:rsidR="007D43C5">
          <w:rPr>
            <w:noProof/>
            <w:webHidden/>
          </w:rPr>
          <w:fldChar w:fldCharType="begin"/>
        </w:r>
        <w:r w:rsidR="00EB47D3">
          <w:rPr>
            <w:noProof/>
            <w:webHidden/>
          </w:rPr>
          <w:instrText xml:space="preserve"> PAGEREF _Toc492290031 \h </w:instrText>
        </w:r>
        <w:r w:rsidR="007D43C5">
          <w:rPr>
            <w:noProof/>
            <w:webHidden/>
          </w:rPr>
        </w:r>
        <w:r w:rsidR="007D43C5">
          <w:rPr>
            <w:noProof/>
            <w:webHidden/>
          </w:rPr>
          <w:fldChar w:fldCharType="separate"/>
        </w:r>
        <w:r w:rsidR="00401303">
          <w:rPr>
            <w:noProof/>
            <w:webHidden/>
          </w:rPr>
          <w:t>3</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32" w:history="1">
        <w:r w:rsidR="00EB47D3" w:rsidRPr="00D72755">
          <w:rPr>
            <w:rStyle w:val="Hyperlink"/>
            <w:noProof/>
            <w:lang w:val="es-ES_tradnl"/>
          </w:rPr>
          <w:t>Informe sobre las novedades acaecidas en la UPOV, donde figuran las cuestiones pertinentes examinadas en las últimas sesiones de Comité Administrativo y Jurídico, el Comité Consultivo y el Consejo (informe verbal del secretario general adjunto)</w:t>
        </w:r>
        <w:r w:rsidR="00EB47D3">
          <w:rPr>
            <w:noProof/>
            <w:webHidden/>
          </w:rPr>
          <w:tab/>
        </w:r>
        <w:r w:rsidR="007D43C5">
          <w:rPr>
            <w:noProof/>
            <w:webHidden/>
          </w:rPr>
          <w:fldChar w:fldCharType="begin"/>
        </w:r>
        <w:r w:rsidR="00EB47D3">
          <w:rPr>
            <w:noProof/>
            <w:webHidden/>
          </w:rPr>
          <w:instrText xml:space="preserve"> PAGEREF _Toc492290032 \h </w:instrText>
        </w:r>
        <w:r w:rsidR="007D43C5">
          <w:rPr>
            <w:noProof/>
            <w:webHidden/>
          </w:rPr>
        </w:r>
        <w:r w:rsidR="007D43C5">
          <w:rPr>
            <w:noProof/>
            <w:webHidden/>
          </w:rPr>
          <w:fldChar w:fldCharType="separate"/>
        </w:r>
        <w:r w:rsidR="00401303">
          <w:rPr>
            <w:noProof/>
            <w:webHidden/>
          </w:rPr>
          <w:t>3</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33" w:history="1">
        <w:r w:rsidR="00EB47D3" w:rsidRPr="00D72755">
          <w:rPr>
            <w:rStyle w:val="Hyperlink"/>
            <w:noProof/>
            <w:lang w:val="es-ES_tradnl"/>
          </w:rPr>
          <w:t>Organización de las sesiones de la UPOV</w:t>
        </w:r>
        <w:r w:rsidR="00EB47D3">
          <w:rPr>
            <w:noProof/>
            <w:webHidden/>
          </w:rPr>
          <w:tab/>
        </w:r>
        <w:r w:rsidR="007D43C5">
          <w:rPr>
            <w:noProof/>
            <w:webHidden/>
          </w:rPr>
          <w:fldChar w:fldCharType="begin"/>
        </w:r>
        <w:r w:rsidR="00EB47D3">
          <w:rPr>
            <w:noProof/>
            <w:webHidden/>
          </w:rPr>
          <w:instrText xml:space="preserve"> PAGEREF _Toc492290033 \h </w:instrText>
        </w:r>
        <w:r w:rsidR="007D43C5">
          <w:rPr>
            <w:noProof/>
            <w:webHidden/>
          </w:rPr>
        </w:r>
        <w:r w:rsidR="007D43C5">
          <w:rPr>
            <w:noProof/>
            <w:webHidden/>
          </w:rPr>
          <w:fldChar w:fldCharType="separate"/>
        </w:r>
        <w:r w:rsidR="00401303">
          <w:rPr>
            <w:noProof/>
            <w:webHidden/>
          </w:rPr>
          <w:t>3</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34" w:history="1">
        <w:r w:rsidR="00EB47D3" w:rsidRPr="00D72755">
          <w:rPr>
            <w:rStyle w:val="Hyperlink"/>
            <w:noProof/>
            <w:snapToGrid w:val="0"/>
            <w:lang w:val="es-ES_tradnl"/>
          </w:rPr>
          <w:t>Cuestiones planteadas por los grupos de trabajo técnico</w:t>
        </w:r>
        <w:r w:rsidR="00EB47D3">
          <w:rPr>
            <w:noProof/>
            <w:webHidden/>
          </w:rPr>
          <w:tab/>
        </w:r>
        <w:r w:rsidR="007D43C5">
          <w:rPr>
            <w:noProof/>
            <w:webHidden/>
          </w:rPr>
          <w:fldChar w:fldCharType="begin"/>
        </w:r>
        <w:r w:rsidR="00EB47D3">
          <w:rPr>
            <w:noProof/>
            <w:webHidden/>
          </w:rPr>
          <w:instrText xml:space="preserve"> PAGEREF _Toc492290034 \h </w:instrText>
        </w:r>
        <w:r w:rsidR="007D43C5">
          <w:rPr>
            <w:noProof/>
            <w:webHidden/>
          </w:rPr>
        </w:r>
        <w:r w:rsidR="007D43C5">
          <w:rPr>
            <w:noProof/>
            <w:webHidden/>
          </w:rPr>
          <w:fldChar w:fldCharType="separate"/>
        </w:r>
        <w:r w:rsidR="00401303">
          <w:rPr>
            <w:noProof/>
            <w:webHidden/>
          </w:rPr>
          <w:t>4</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35" w:history="1">
        <w:r w:rsidR="00EB47D3" w:rsidRPr="00D72755">
          <w:rPr>
            <w:rStyle w:val="Hyperlink"/>
            <w:noProof/>
            <w:snapToGrid w:val="0"/>
            <w:lang w:val="es-ES_tradnl"/>
          </w:rPr>
          <w:t>Documentos TGP</w:t>
        </w:r>
        <w:r w:rsidR="00EB47D3">
          <w:rPr>
            <w:noProof/>
            <w:webHidden/>
          </w:rPr>
          <w:tab/>
        </w:r>
        <w:r w:rsidR="007D43C5">
          <w:rPr>
            <w:noProof/>
            <w:webHidden/>
          </w:rPr>
          <w:fldChar w:fldCharType="begin"/>
        </w:r>
        <w:r w:rsidR="00EB47D3">
          <w:rPr>
            <w:noProof/>
            <w:webHidden/>
          </w:rPr>
          <w:instrText xml:space="preserve"> PAGEREF _Toc492290035 \h </w:instrText>
        </w:r>
        <w:r w:rsidR="007D43C5">
          <w:rPr>
            <w:noProof/>
            <w:webHidden/>
          </w:rPr>
        </w:r>
        <w:r w:rsidR="007D43C5">
          <w:rPr>
            <w:noProof/>
            <w:webHidden/>
          </w:rPr>
          <w:fldChar w:fldCharType="separate"/>
        </w:r>
        <w:r w:rsidR="00401303">
          <w:rPr>
            <w:noProof/>
            <w:webHidden/>
          </w:rPr>
          <w:t>4</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36" w:history="1">
        <w:r w:rsidR="00EB47D3" w:rsidRPr="00D72755">
          <w:rPr>
            <w:rStyle w:val="Hyperlink"/>
            <w:noProof/>
            <w:snapToGrid w:val="0"/>
            <w:lang w:val="es-ES_tradnl"/>
          </w:rPr>
          <w:t>Futuras revisiones de documentos TGP</w:t>
        </w:r>
        <w:r w:rsidR="00EB47D3">
          <w:rPr>
            <w:noProof/>
            <w:webHidden/>
          </w:rPr>
          <w:tab/>
        </w:r>
        <w:r w:rsidR="007D43C5">
          <w:rPr>
            <w:noProof/>
            <w:webHidden/>
          </w:rPr>
          <w:fldChar w:fldCharType="begin"/>
        </w:r>
        <w:r w:rsidR="00EB47D3">
          <w:rPr>
            <w:noProof/>
            <w:webHidden/>
          </w:rPr>
          <w:instrText xml:space="preserve"> PAGEREF _Toc492290036 \h </w:instrText>
        </w:r>
        <w:r w:rsidR="007D43C5">
          <w:rPr>
            <w:noProof/>
            <w:webHidden/>
          </w:rPr>
        </w:r>
        <w:r w:rsidR="007D43C5">
          <w:rPr>
            <w:noProof/>
            <w:webHidden/>
          </w:rPr>
          <w:fldChar w:fldCharType="separate"/>
        </w:r>
        <w:r w:rsidR="00401303">
          <w:rPr>
            <w:noProof/>
            <w:webHidden/>
          </w:rPr>
          <w:t>4</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37" w:history="1">
        <w:r w:rsidR="00EB47D3" w:rsidRPr="00D72755">
          <w:rPr>
            <w:rStyle w:val="Hyperlink"/>
            <w:iCs/>
            <w:noProof/>
            <w:lang w:val="es-ES_tradnl"/>
          </w:rPr>
          <w:t>Nuevas propuestas para las futuras revisiones de documentos TGP</w:t>
        </w:r>
        <w:r w:rsidR="00EB47D3">
          <w:rPr>
            <w:noProof/>
            <w:webHidden/>
          </w:rPr>
          <w:tab/>
        </w:r>
        <w:r w:rsidR="007D43C5">
          <w:rPr>
            <w:noProof/>
            <w:webHidden/>
          </w:rPr>
          <w:fldChar w:fldCharType="begin"/>
        </w:r>
        <w:r w:rsidR="00EB47D3">
          <w:rPr>
            <w:noProof/>
            <w:webHidden/>
          </w:rPr>
          <w:instrText xml:space="preserve"> PAGEREF _Toc492290037 \h </w:instrText>
        </w:r>
        <w:r w:rsidR="007D43C5">
          <w:rPr>
            <w:noProof/>
            <w:webHidden/>
          </w:rPr>
        </w:r>
        <w:r w:rsidR="007D43C5">
          <w:rPr>
            <w:noProof/>
            <w:webHidden/>
          </w:rPr>
          <w:fldChar w:fldCharType="separate"/>
        </w:r>
        <w:r w:rsidR="00401303">
          <w:rPr>
            <w:noProof/>
            <w:webHidden/>
          </w:rPr>
          <w:t>7</w:t>
        </w:r>
        <w:r w:rsidR="007D43C5">
          <w:rPr>
            <w:noProof/>
            <w:webHidden/>
          </w:rPr>
          <w:fldChar w:fldCharType="end"/>
        </w:r>
      </w:hyperlink>
    </w:p>
    <w:p w:rsidR="00EB47D3" w:rsidRDefault="00D60862">
      <w:pPr>
        <w:pStyle w:val="TOC3"/>
        <w:rPr>
          <w:rFonts w:asciiTheme="minorHAnsi" w:eastAsiaTheme="minorEastAsia" w:hAnsiTheme="minorHAnsi" w:cstheme="minorBidi"/>
          <w:noProof/>
          <w:sz w:val="22"/>
          <w:szCs w:val="22"/>
          <w:lang w:val="es-ES_tradnl" w:eastAsia="es-ES_tradnl"/>
        </w:rPr>
      </w:pPr>
      <w:hyperlink w:anchor="_Toc492290038" w:history="1">
        <w:r w:rsidR="00EB47D3" w:rsidRPr="00D72755">
          <w:rPr>
            <w:rStyle w:val="Hyperlink"/>
            <w:noProof/>
            <w:lang w:val="es-ES_tradnl"/>
          </w:rPr>
          <w:t>Programa para la elaboración de los documentos TGP</w:t>
        </w:r>
        <w:r w:rsidR="00EB47D3">
          <w:rPr>
            <w:noProof/>
            <w:webHidden/>
          </w:rPr>
          <w:tab/>
        </w:r>
        <w:r w:rsidR="007D43C5">
          <w:rPr>
            <w:noProof/>
            <w:webHidden/>
          </w:rPr>
          <w:fldChar w:fldCharType="begin"/>
        </w:r>
        <w:r w:rsidR="00EB47D3">
          <w:rPr>
            <w:noProof/>
            <w:webHidden/>
          </w:rPr>
          <w:instrText xml:space="preserve"> PAGEREF _Toc492290038 \h </w:instrText>
        </w:r>
        <w:r w:rsidR="007D43C5">
          <w:rPr>
            <w:noProof/>
            <w:webHidden/>
          </w:rPr>
        </w:r>
        <w:r w:rsidR="007D43C5">
          <w:rPr>
            <w:noProof/>
            <w:webHidden/>
          </w:rPr>
          <w:fldChar w:fldCharType="separate"/>
        </w:r>
        <w:r w:rsidR="00401303">
          <w:rPr>
            <w:noProof/>
            <w:webHidden/>
          </w:rPr>
          <w:t>9</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39" w:history="1">
        <w:r w:rsidR="00EB47D3" w:rsidRPr="00D72755">
          <w:rPr>
            <w:rStyle w:val="Hyperlink"/>
            <w:noProof/>
            <w:lang w:val="es-ES_tradnl"/>
          </w:rPr>
          <w:t>Cooperación en materia de examen</w:t>
        </w:r>
        <w:r w:rsidR="00EB47D3">
          <w:rPr>
            <w:noProof/>
            <w:webHidden/>
          </w:rPr>
          <w:tab/>
        </w:r>
        <w:r w:rsidR="007D43C5">
          <w:rPr>
            <w:noProof/>
            <w:webHidden/>
          </w:rPr>
          <w:fldChar w:fldCharType="begin"/>
        </w:r>
        <w:r w:rsidR="00EB47D3">
          <w:rPr>
            <w:noProof/>
            <w:webHidden/>
          </w:rPr>
          <w:instrText xml:space="preserve"> PAGEREF _Toc492290039 \h </w:instrText>
        </w:r>
        <w:r w:rsidR="007D43C5">
          <w:rPr>
            <w:noProof/>
            <w:webHidden/>
          </w:rPr>
        </w:r>
        <w:r w:rsidR="007D43C5">
          <w:rPr>
            <w:noProof/>
            <w:webHidden/>
          </w:rPr>
          <w:fldChar w:fldCharType="separate"/>
        </w:r>
        <w:r w:rsidR="00401303">
          <w:rPr>
            <w:noProof/>
            <w:webHidden/>
          </w:rPr>
          <w:t>10</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40" w:history="1">
        <w:r w:rsidR="00EB47D3" w:rsidRPr="00D72755">
          <w:rPr>
            <w:rStyle w:val="Hyperlink"/>
            <w:noProof/>
            <w:snapToGrid w:val="0"/>
            <w:lang w:val="es-ES_tradnl"/>
          </w:rPr>
          <w:t>Información y bases de datos</w:t>
        </w:r>
        <w:r w:rsidR="00EB47D3">
          <w:rPr>
            <w:noProof/>
            <w:webHidden/>
          </w:rPr>
          <w:tab/>
        </w:r>
        <w:r w:rsidR="007D43C5">
          <w:rPr>
            <w:noProof/>
            <w:webHidden/>
          </w:rPr>
          <w:fldChar w:fldCharType="begin"/>
        </w:r>
        <w:r w:rsidR="00EB47D3">
          <w:rPr>
            <w:noProof/>
            <w:webHidden/>
          </w:rPr>
          <w:instrText xml:space="preserve"> PAGEREF _Toc492290040 \h </w:instrText>
        </w:r>
        <w:r w:rsidR="007D43C5">
          <w:rPr>
            <w:noProof/>
            <w:webHidden/>
          </w:rPr>
        </w:r>
        <w:r w:rsidR="007D43C5">
          <w:rPr>
            <w:noProof/>
            <w:webHidden/>
          </w:rPr>
          <w:fldChar w:fldCharType="separate"/>
        </w:r>
        <w:r w:rsidR="00401303">
          <w:rPr>
            <w:noProof/>
            <w:webHidden/>
          </w:rPr>
          <w:t>10</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41" w:history="1">
        <w:r w:rsidR="00EB47D3" w:rsidRPr="00D72755">
          <w:rPr>
            <w:rStyle w:val="Hyperlink"/>
            <w:noProof/>
            <w:snapToGrid w:val="0"/>
            <w:lang w:val="es-ES_tradnl"/>
          </w:rPr>
          <w:t>Bases de datos de información de la UPOV</w:t>
        </w:r>
        <w:r w:rsidR="00EB47D3">
          <w:rPr>
            <w:noProof/>
            <w:webHidden/>
          </w:rPr>
          <w:tab/>
        </w:r>
        <w:r w:rsidR="007D43C5">
          <w:rPr>
            <w:noProof/>
            <w:webHidden/>
          </w:rPr>
          <w:fldChar w:fldCharType="begin"/>
        </w:r>
        <w:r w:rsidR="00EB47D3">
          <w:rPr>
            <w:noProof/>
            <w:webHidden/>
          </w:rPr>
          <w:instrText xml:space="preserve"> PAGEREF _Toc492290041 \h </w:instrText>
        </w:r>
        <w:r w:rsidR="007D43C5">
          <w:rPr>
            <w:noProof/>
            <w:webHidden/>
          </w:rPr>
        </w:r>
        <w:r w:rsidR="007D43C5">
          <w:rPr>
            <w:noProof/>
            <w:webHidden/>
          </w:rPr>
          <w:fldChar w:fldCharType="separate"/>
        </w:r>
        <w:r w:rsidR="00401303">
          <w:rPr>
            <w:noProof/>
            <w:webHidden/>
          </w:rPr>
          <w:t>10</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42" w:history="1">
        <w:r w:rsidR="00EB47D3" w:rsidRPr="00D72755">
          <w:rPr>
            <w:rStyle w:val="Hyperlink"/>
            <w:noProof/>
            <w:snapToGrid w:val="0"/>
            <w:lang w:val="es-ES_tradnl"/>
          </w:rPr>
          <w:t>Formulario electrónico de solicitud</w:t>
        </w:r>
        <w:r w:rsidR="00EB47D3">
          <w:rPr>
            <w:noProof/>
            <w:webHidden/>
          </w:rPr>
          <w:tab/>
        </w:r>
        <w:r w:rsidR="007D43C5">
          <w:rPr>
            <w:noProof/>
            <w:webHidden/>
          </w:rPr>
          <w:fldChar w:fldCharType="begin"/>
        </w:r>
        <w:r w:rsidR="00EB47D3">
          <w:rPr>
            <w:noProof/>
            <w:webHidden/>
          </w:rPr>
          <w:instrText xml:space="preserve"> PAGEREF _Toc492290042 \h </w:instrText>
        </w:r>
        <w:r w:rsidR="007D43C5">
          <w:rPr>
            <w:noProof/>
            <w:webHidden/>
          </w:rPr>
        </w:r>
        <w:r w:rsidR="007D43C5">
          <w:rPr>
            <w:noProof/>
            <w:webHidden/>
          </w:rPr>
          <w:fldChar w:fldCharType="separate"/>
        </w:r>
        <w:r w:rsidR="00401303">
          <w:rPr>
            <w:noProof/>
            <w:webHidden/>
          </w:rPr>
          <w:t>11</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43" w:history="1">
        <w:r w:rsidR="00EB47D3" w:rsidRPr="00D72755">
          <w:rPr>
            <w:rStyle w:val="Hyperlink"/>
            <w:noProof/>
            <w:snapToGrid w:val="0"/>
            <w:lang w:val="es-ES_tradnl"/>
          </w:rPr>
          <w:t>Intercambio y uso de programas informáticos y equipos</w:t>
        </w:r>
        <w:r w:rsidR="00EB47D3">
          <w:rPr>
            <w:noProof/>
            <w:webHidden/>
          </w:rPr>
          <w:tab/>
        </w:r>
        <w:r w:rsidR="007D43C5">
          <w:rPr>
            <w:noProof/>
            <w:webHidden/>
          </w:rPr>
          <w:fldChar w:fldCharType="begin"/>
        </w:r>
        <w:r w:rsidR="00EB47D3">
          <w:rPr>
            <w:noProof/>
            <w:webHidden/>
          </w:rPr>
          <w:instrText xml:space="preserve"> PAGEREF _Toc492290043 \h </w:instrText>
        </w:r>
        <w:r w:rsidR="007D43C5">
          <w:rPr>
            <w:noProof/>
            <w:webHidden/>
          </w:rPr>
        </w:r>
        <w:r w:rsidR="007D43C5">
          <w:rPr>
            <w:noProof/>
            <w:webHidden/>
          </w:rPr>
          <w:fldChar w:fldCharType="separate"/>
        </w:r>
        <w:r w:rsidR="00401303">
          <w:rPr>
            <w:noProof/>
            <w:webHidden/>
          </w:rPr>
          <w:t>11</w:t>
        </w:r>
        <w:r w:rsidR="007D43C5">
          <w:rPr>
            <w:noProof/>
            <w:webHidden/>
          </w:rPr>
          <w:fldChar w:fldCharType="end"/>
        </w:r>
      </w:hyperlink>
    </w:p>
    <w:p w:rsidR="00EB47D3" w:rsidRDefault="00D60862">
      <w:pPr>
        <w:pStyle w:val="TOC3"/>
        <w:rPr>
          <w:rFonts w:asciiTheme="minorHAnsi" w:eastAsiaTheme="minorEastAsia" w:hAnsiTheme="minorHAnsi" w:cstheme="minorBidi"/>
          <w:noProof/>
          <w:sz w:val="22"/>
          <w:szCs w:val="22"/>
          <w:lang w:val="es-ES_tradnl" w:eastAsia="es-ES_tradnl"/>
        </w:rPr>
      </w:pPr>
      <w:hyperlink w:anchor="_Toc492290044" w:history="1">
        <w:r w:rsidR="00EB47D3" w:rsidRPr="00D72755">
          <w:rPr>
            <w:rStyle w:val="Hyperlink"/>
            <w:noProof/>
            <w:snapToGrid w:val="0"/>
            <w:lang w:val="es-ES_tradnl"/>
          </w:rPr>
          <w:t>Bases de datos de descripciones de variedades</w:t>
        </w:r>
        <w:r w:rsidR="00EB47D3">
          <w:rPr>
            <w:noProof/>
            <w:webHidden/>
          </w:rPr>
          <w:tab/>
        </w:r>
        <w:r w:rsidR="007D43C5">
          <w:rPr>
            <w:noProof/>
            <w:webHidden/>
          </w:rPr>
          <w:fldChar w:fldCharType="begin"/>
        </w:r>
        <w:r w:rsidR="00EB47D3">
          <w:rPr>
            <w:noProof/>
            <w:webHidden/>
          </w:rPr>
          <w:instrText xml:space="preserve"> PAGEREF _Toc492290044 \h </w:instrText>
        </w:r>
        <w:r w:rsidR="007D43C5">
          <w:rPr>
            <w:noProof/>
            <w:webHidden/>
          </w:rPr>
        </w:r>
        <w:r w:rsidR="007D43C5">
          <w:rPr>
            <w:noProof/>
            <w:webHidden/>
          </w:rPr>
          <w:fldChar w:fldCharType="separate"/>
        </w:r>
        <w:r w:rsidR="00401303">
          <w:rPr>
            <w:noProof/>
            <w:webHidden/>
          </w:rPr>
          <w:t>12</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45" w:history="1">
        <w:r w:rsidR="00EB47D3" w:rsidRPr="00D72755">
          <w:rPr>
            <w:rStyle w:val="Hyperlink"/>
            <w:noProof/>
            <w:lang w:val="es-ES_tradnl"/>
          </w:rPr>
          <w:t>El número de ciclos de cultivo</w:t>
        </w:r>
        <w:r w:rsidR="00EB47D3">
          <w:rPr>
            <w:noProof/>
            <w:webHidden/>
          </w:rPr>
          <w:tab/>
        </w:r>
        <w:r w:rsidR="007D43C5">
          <w:rPr>
            <w:noProof/>
            <w:webHidden/>
          </w:rPr>
          <w:fldChar w:fldCharType="begin"/>
        </w:r>
        <w:r w:rsidR="00EB47D3">
          <w:rPr>
            <w:noProof/>
            <w:webHidden/>
          </w:rPr>
          <w:instrText xml:space="preserve"> PAGEREF _Toc492290045 \h </w:instrText>
        </w:r>
        <w:r w:rsidR="007D43C5">
          <w:rPr>
            <w:noProof/>
            <w:webHidden/>
          </w:rPr>
        </w:r>
        <w:r w:rsidR="007D43C5">
          <w:rPr>
            <w:noProof/>
            <w:webHidden/>
          </w:rPr>
          <w:fldChar w:fldCharType="separate"/>
        </w:r>
        <w:r w:rsidR="00401303">
          <w:rPr>
            <w:noProof/>
            <w:webHidden/>
          </w:rPr>
          <w:t>13</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46" w:history="1">
        <w:r w:rsidR="00EB47D3" w:rsidRPr="00D72755">
          <w:rPr>
            <w:rStyle w:val="Hyperlink"/>
            <w:noProof/>
            <w:lang w:val="es-ES_tradnl"/>
          </w:rPr>
          <w:t>Asuntos relativos a las descripciones de variedades</w:t>
        </w:r>
        <w:r w:rsidR="00EB47D3">
          <w:rPr>
            <w:noProof/>
            <w:webHidden/>
          </w:rPr>
          <w:tab/>
        </w:r>
        <w:r w:rsidR="007D43C5">
          <w:rPr>
            <w:noProof/>
            <w:webHidden/>
          </w:rPr>
          <w:fldChar w:fldCharType="begin"/>
        </w:r>
        <w:r w:rsidR="00EB47D3">
          <w:rPr>
            <w:noProof/>
            <w:webHidden/>
          </w:rPr>
          <w:instrText xml:space="preserve"> PAGEREF _Toc492290046 \h </w:instrText>
        </w:r>
        <w:r w:rsidR="007D43C5">
          <w:rPr>
            <w:noProof/>
            <w:webHidden/>
          </w:rPr>
        </w:r>
        <w:r w:rsidR="007D43C5">
          <w:rPr>
            <w:noProof/>
            <w:webHidden/>
          </w:rPr>
          <w:fldChar w:fldCharType="separate"/>
        </w:r>
        <w:r w:rsidR="00401303">
          <w:rPr>
            <w:noProof/>
            <w:webHidden/>
          </w:rPr>
          <w:t>13</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47" w:history="1">
        <w:r w:rsidR="00EB47D3" w:rsidRPr="00D72755">
          <w:rPr>
            <w:rStyle w:val="Hyperlink"/>
            <w:noProof/>
            <w:lang w:val="es-ES_tradnl"/>
          </w:rPr>
          <w:t>Determinación de umbrales calculados para excluir las variedades notoriamente conocidas del segundo ciclo de cultivo cuando se emplea el COYD</w:t>
        </w:r>
        <w:r w:rsidR="00EB47D3">
          <w:rPr>
            <w:noProof/>
            <w:webHidden/>
          </w:rPr>
          <w:tab/>
        </w:r>
        <w:r w:rsidR="007D43C5">
          <w:rPr>
            <w:noProof/>
            <w:webHidden/>
          </w:rPr>
          <w:fldChar w:fldCharType="begin"/>
        </w:r>
        <w:r w:rsidR="00EB47D3">
          <w:rPr>
            <w:noProof/>
            <w:webHidden/>
          </w:rPr>
          <w:instrText xml:space="preserve"> PAGEREF _Toc492290047 \h </w:instrText>
        </w:r>
        <w:r w:rsidR="007D43C5">
          <w:rPr>
            <w:noProof/>
            <w:webHidden/>
          </w:rPr>
        </w:r>
        <w:r w:rsidR="007D43C5">
          <w:rPr>
            <w:noProof/>
            <w:webHidden/>
          </w:rPr>
          <w:fldChar w:fldCharType="separate"/>
        </w:r>
        <w:r w:rsidR="00401303">
          <w:rPr>
            <w:noProof/>
            <w:webHidden/>
          </w:rPr>
          <w:t>13</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48" w:history="1">
        <w:r w:rsidR="00EB47D3" w:rsidRPr="00D72755">
          <w:rPr>
            <w:rStyle w:val="Hyperlink"/>
            <w:noProof/>
            <w:snapToGrid w:val="0"/>
            <w:lang w:val="es-ES_tradnl"/>
          </w:rPr>
          <w:t>Métodos estadísticos aplicados a caracteres observados visualmente</w:t>
        </w:r>
        <w:r w:rsidR="00EB47D3">
          <w:rPr>
            <w:noProof/>
            <w:webHidden/>
          </w:rPr>
          <w:tab/>
        </w:r>
        <w:r w:rsidR="007D43C5">
          <w:rPr>
            <w:noProof/>
            <w:webHidden/>
          </w:rPr>
          <w:fldChar w:fldCharType="begin"/>
        </w:r>
        <w:r w:rsidR="00EB47D3">
          <w:rPr>
            <w:noProof/>
            <w:webHidden/>
          </w:rPr>
          <w:instrText xml:space="preserve"> PAGEREF _Toc492290048 \h </w:instrText>
        </w:r>
        <w:r w:rsidR="007D43C5">
          <w:rPr>
            <w:noProof/>
            <w:webHidden/>
          </w:rPr>
        </w:r>
        <w:r w:rsidR="007D43C5">
          <w:rPr>
            <w:noProof/>
            <w:webHidden/>
          </w:rPr>
          <w:fldChar w:fldCharType="separate"/>
        </w:r>
        <w:r w:rsidR="00401303">
          <w:rPr>
            <w:noProof/>
            <w:webHidden/>
          </w:rPr>
          <w:t>14</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49" w:history="1">
        <w:r w:rsidR="00EB47D3" w:rsidRPr="00D72755">
          <w:rPr>
            <w:rStyle w:val="Hyperlink"/>
            <w:noProof/>
            <w:snapToGrid w:val="0"/>
            <w:lang w:val="es-ES_tradnl"/>
          </w:rPr>
          <w:t>Técnicas moleculares</w:t>
        </w:r>
        <w:r w:rsidR="00EB47D3">
          <w:rPr>
            <w:noProof/>
            <w:webHidden/>
          </w:rPr>
          <w:tab/>
        </w:r>
        <w:r w:rsidR="007D43C5">
          <w:rPr>
            <w:noProof/>
            <w:webHidden/>
          </w:rPr>
          <w:fldChar w:fldCharType="begin"/>
        </w:r>
        <w:r w:rsidR="00EB47D3">
          <w:rPr>
            <w:noProof/>
            <w:webHidden/>
          </w:rPr>
          <w:instrText xml:space="preserve"> PAGEREF _Toc492290049 \h </w:instrText>
        </w:r>
        <w:r w:rsidR="007D43C5">
          <w:rPr>
            <w:noProof/>
            <w:webHidden/>
          </w:rPr>
        </w:r>
        <w:r w:rsidR="007D43C5">
          <w:rPr>
            <w:noProof/>
            <w:webHidden/>
          </w:rPr>
          <w:fldChar w:fldCharType="separate"/>
        </w:r>
        <w:r w:rsidR="00401303">
          <w:rPr>
            <w:noProof/>
            <w:webHidden/>
          </w:rPr>
          <w:t>14</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50" w:history="1">
        <w:r w:rsidR="00EB47D3" w:rsidRPr="00D72755">
          <w:rPr>
            <w:rStyle w:val="Hyperlink"/>
            <w:noProof/>
            <w:lang w:val="es-ES_tradnl"/>
          </w:rPr>
          <w:t>Sesión de debate</w:t>
        </w:r>
        <w:r w:rsidR="00EB47D3">
          <w:rPr>
            <w:noProof/>
            <w:webHidden/>
          </w:rPr>
          <w:tab/>
        </w:r>
        <w:r w:rsidR="007D43C5">
          <w:rPr>
            <w:noProof/>
            <w:webHidden/>
          </w:rPr>
          <w:fldChar w:fldCharType="begin"/>
        </w:r>
        <w:r w:rsidR="00EB47D3">
          <w:rPr>
            <w:noProof/>
            <w:webHidden/>
          </w:rPr>
          <w:instrText xml:space="preserve"> PAGEREF _Toc492290050 \h </w:instrText>
        </w:r>
        <w:r w:rsidR="007D43C5">
          <w:rPr>
            <w:noProof/>
            <w:webHidden/>
          </w:rPr>
        </w:r>
        <w:r w:rsidR="007D43C5">
          <w:rPr>
            <w:noProof/>
            <w:webHidden/>
          </w:rPr>
          <w:fldChar w:fldCharType="separate"/>
        </w:r>
        <w:r w:rsidR="00401303">
          <w:rPr>
            <w:noProof/>
            <w:webHidden/>
          </w:rPr>
          <w:t>15</w:t>
        </w:r>
        <w:r w:rsidR="007D43C5">
          <w:rPr>
            <w:noProof/>
            <w:webHidden/>
          </w:rPr>
          <w:fldChar w:fldCharType="end"/>
        </w:r>
      </w:hyperlink>
    </w:p>
    <w:p w:rsidR="00EB47D3" w:rsidRDefault="00D60862" w:rsidP="00161B63">
      <w:pPr>
        <w:pStyle w:val="TOC3"/>
        <w:tabs>
          <w:tab w:val="left" w:pos="738"/>
        </w:tabs>
        <w:spacing w:after="0"/>
        <w:rPr>
          <w:rFonts w:asciiTheme="minorHAnsi" w:eastAsiaTheme="minorEastAsia" w:hAnsiTheme="minorHAnsi" w:cstheme="minorBidi"/>
          <w:noProof/>
          <w:sz w:val="22"/>
          <w:szCs w:val="22"/>
          <w:lang w:val="es-ES_tradnl" w:eastAsia="es-ES_tradnl"/>
        </w:rPr>
      </w:pPr>
      <w:hyperlink w:anchor="_Toc492290051" w:history="1">
        <w:r w:rsidR="00EB47D3" w:rsidRPr="00D72755">
          <w:rPr>
            <w:rStyle w:val="Hyperlink"/>
            <w:noProof/>
          </w:rPr>
          <w:t>a)</w:t>
        </w:r>
        <w:r w:rsidR="00EB47D3">
          <w:rPr>
            <w:rFonts w:asciiTheme="minorHAnsi" w:eastAsiaTheme="minorEastAsia" w:hAnsiTheme="minorHAnsi" w:cstheme="minorBidi"/>
            <w:noProof/>
            <w:sz w:val="22"/>
            <w:szCs w:val="22"/>
            <w:lang w:val="es-ES_tradnl" w:eastAsia="es-ES_tradnl"/>
          </w:rPr>
          <w:tab/>
        </w:r>
        <w:r w:rsidR="00EB47D3" w:rsidRPr="00D72755">
          <w:rPr>
            <w:rStyle w:val="Hyperlink"/>
            <w:noProof/>
            <w:lang w:val="es-ES_tradnl"/>
          </w:rPr>
          <w:t>La utilización de caracteres de resistencia a las enfermedades y a los insectos en el examen DHE</w:t>
        </w:r>
        <w:r w:rsidR="00EB47D3">
          <w:rPr>
            <w:noProof/>
            <w:webHidden/>
          </w:rPr>
          <w:tab/>
        </w:r>
        <w:r w:rsidR="007D43C5">
          <w:rPr>
            <w:noProof/>
            <w:webHidden/>
          </w:rPr>
          <w:fldChar w:fldCharType="begin"/>
        </w:r>
        <w:r w:rsidR="00EB47D3">
          <w:rPr>
            <w:noProof/>
            <w:webHidden/>
          </w:rPr>
          <w:instrText xml:space="preserve"> PAGEREF _Toc492290051 \h </w:instrText>
        </w:r>
        <w:r w:rsidR="007D43C5">
          <w:rPr>
            <w:noProof/>
            <w:webHidden/>
          </w:rPr>
        </w:r>
        <w:r w:rsidR="007D43C5">
          <w:rPr>
            <w:noProof/>
            <w:webHidden/>
          </w:rPr>
          <w:fldChar w:fldCharType="separate"/>
        </w:r>
        <w:r w:rsidR="00401303">
          <w:rPr>
            <w:noProof/>
            <w:webHidden/>
          </w:rPr>
          <w:t>15</w:t>
        </w:r>
        <w:r w:rsidR="007D43C5">
          <w:rPr>
            <w:noProof/>
            <w:webHidden/>
          </w:rPr>
          <w:fldChar w:fldCharType="end"/>
        </w:r>
      </w:hyperlink>
    </w:p>
    <w:p w:rsidR="00EB47D3" w:rsidRDefault="00D60862" w:rsidP="00161B63">
      <w:pPr>
        <w:pStyle w:val="TOC3"/>
        <w:tabs>
          <w:tab w:val="left" w:pos="738"/>
        </w:tabs>
        <w:spacing w:after="0"/>
        <w:rPr>
          <w:rFonts w:asciiTheme="minorHAnsi" w:eastAsiaTheme="minorEastAsia" w:hAnsiTheme="minorHAnsi" w:cstheme="minorBidi"/>
          <w:noProof/>
          <w:sz w:val="22"/>
          <w:szCs w:val="22"/>
          <w:lang w:val="es-ES_tradnl" w:eastAsia="es-ES_tradnl"/>
        </w:rPr>
      </w:pPr>
      <w:hyperlink w:anchor="_Toc492290052" w:history="1">
        <w:r w:rsidR="00EB47D3" w:rsidRPr="00D72755">
          <w:rPr>
            <w:rStyle w:val="Hyperlink"/>
            <w:noProof/>
          </w:rPr>
          <w:t>b)</w:t>
        </w:r>
        <w:r w:rsidR="00EB47D3">
          <w:rPr>
            <w:rFonts w:asciiTheme="minorHAnsi" w:eastAsiaTheme="minorEastAsia" w:hAnsiTheme="minorHAnsi" w:cstheme="minorBidi"/>
            <w:noProof/>
            <w:sz w:val="22"/>
            <w:szCs w:val="22"/>
            <w:lang w:val="es-ES_tradnl" w:eastAsia="es-ES_tradnl"/>
          </w:rPr>
          <w:tab/>
        </w:r>
        <w:r w:rsidR="00EB47D3" w:rsidRPr="00D72755">
          <w:rPr>
            <w:rStyle w:val="Hyperlink"/>
            <w:noProof/>
            <w:lang w:val="es-ES_tradnl"/>
          </w:rPr>
          <w:t>La gestión de las colecciones de variedades</w:t>
        </w:r>
        <w:r w:rsidR="00EB47D3">
          <w:rPr>
            <w:noProof/>
            <w:webHidden/>
          </w:rPr>
          <w:tab/>
        </w:r>
        <w:r w:rsidR="007D43C5">
          <w:rPr>
            <w:noProof/>
            <w:webHidden/>
          </w:rPr>
          <w:fldChar w:fldCharType="begin"/>
        </w:r>
        <w:r w:rsidR="00EB47D3">
          <w:rPr>
            <w:noProof/>
            <w:webHidden/>
          </w:rPr>
          <w:instrText xml:space="preserve"> PAGEREF _Toc492290052 \h </w:instrText>
        </w:r>
        <w:r w:rsidR="007D43C5">
          <w:rPr>
            <w:noProof/>
            <w:webHidden/>
          </w:rPr>
        </w:r>
        <w:r w:rsidR="007D43C5">
          <w:rPr>
            <w:noProof/>
            <w:webHidden/>
          </w:rPr>
          <w:fldChar w:fldCharType="separate"/>
        </w:r>
        <w:r w:rsidR="00401303">
          <w:rPr>
            <w:noProof/>
            <w:webHidden/>
          </w:rPr>
          <w:t>15</w:t>
        </w:r>
        <w:r w:rsidR="007D43C5">
          <w:rPr>
            <w:noProof/>
            <w:webHidden/>
          </w:rPr>
          <w:fldChar w:fldCharType="end"/>
        </w:r>
      </w:hyperlink>
    </w:p>
    <w:p w:rsidR="00EB47D3" w:rsidRDefault="00D60862" w:rsidP="00161B63">
      <w:pPr>
        <w:pStyle w:val="TOC3"/>
        <w:tabs>
          <w:tab w:val="left" w:pos="738"/>
        </w:tabs>
        <w:spacing w:after="0"/>
        <w:rPr>
          <w:rFonts w:asciiTheme="minorHAnsi" w:eastAsiaTheme="minorEastAsia" w:hAnsiTheme="minorHAnsi" w:cstheme="minorBidi"/>
          <w:noProof/>
          <w:sz w:val="22"/>
          <w:szCs w:val="22"/>
          <w:lang w:val="es-ES_tradnl" w:eastAsia="es-ES_tradnl"/>
        </w:rPr>
      </w:pPr>
      <w:hyperlink w:anchor="_Toc492290053" w:history="1">
        <w:r w:rsidR="00EB47D3" w:rsidRPr="00D72755">
          <w:rPr>
            <w:rStyle w:val="Hyperlink"/>
            <w:noProof/>
          </w:rPr>
          <w:t>c)</w:t>
        </w:r>
        <w:r w:rsidR="00EB47D3">
          <w:rPr>
            <w:rFonts w:asciiTheme="minorHAnsi" w:eastAsiaTheme="minorEastAsia" w:hAnsiTheme="minorHAnsi" w:cstheme="minorBidi"/>
            <w:noProof/>
            <w:sz w:val="22"/>
            <w:szCs w:val="22"/>
            <w:lang w:val="es-ES_tradnl" w:eastAsia="es-ES_tradnl"/>
          </w:rPr>
          <w:tab/>
        </w:r>
        <w:r w:rsidR="00EB47D3" w:rsidRPr="00D72755">
          <w:rPr>
            <w:rStyle w:val="Hyperlink"/>
            <w:noProof/>
            <w:lang w:val="es-ES_tradnl"/>
          </w:rPr>
          <w:t>La distancia mínima entre las variedades</w:t>
        </w:r>
        <w:r w:rsidR="00EB47D3">
          <w:rPr>
            <w:noProof/>
            <w:webHidden/>
          </w:rPr>
          <w:tab/>
        </w:r>
        <w:r w:rsidR="007D43C5">
          <w:rPr>
            <w:noProof/>
            <w:webHidden/>
          </w:rPr>
          <w:fldChar w:fldCharType="begin"/>
        </w:r>
        <w:r w:rsidR="00EB47D3">
          <w:rPr>
            <w:noProof/>
            <w:webHidden/>
          </w:rPr>
          <w:instrText xml:space="preserve"> PAGEREF _Toc492290053 \h </w:instrText>
        </w:r>
        <w:r w:rsidR="007D43C5">
          <w:rPr>
            <w:noProof/>
            <w:webHidden/>
          </w:rPr>
        </w:r>
        <w:r w:rsidR="007D43C5">
          <w:rPr>
            <w:noProof/>
            <w:webHidden/>
          </w:rPr>
          <w:fldChar w:fldCharType="separate"/>
        </w:r>
        <w:r w:rsidR="00401303">
          <w:rPr>
            <w:noProof/>
            <w:webHidden/>
          </w:rPr>
          <w:t>16</w:t>
        </w:r>
        <w:r w:rsidR="007D43C5">
          <w:rPr>
            <w:noProof/>
            <w:webHidden/>
          </w:rPr>
          <w:fldChar w:fldCharType="end"/>
        </w:r>
      </w:hyperlink>
    </w:p>
    <w:p w:rsidR="00EB47D3" w:rsidRDefault="00D60862">
      <w:pPr>
        <w:pStyle w:val="TOC3"/>
        <w:tabs>
          <w:tab w:val="left" w:pos="738"/>
        </w:tabs>
        <w:rPr>
          <w:rFonts w:asciiTheme="minorHAnsi" w:eastAsiaTheme="minorEastAsia" w:hAnsiTheme="minorHAnsi" w:cstheme="minorBidi"/>
          <w:noProof/>
          <w:sz w:val="22"/>
          <w:szCs w:val="22"/>
          <w:lang w:val="es-ES_tradnl" w:eastAsia="es-ES_tradnl"/>
        </w:rPr>
      </w:pPr>
      <w:hyperlink w:anchor="_Toc492290054" w:history="1">
        <w:r w:rsidR="00EB47D3" w:rsidRPr="00D72755">
          <w:rPr>
            <w:rStyle w:val="Hyperlink"/>
            <w:noProof/>
          </w:rPr>
          <w:t>d)</w:t>
        </w:r>
        <w:r w:rsidR="00EB47D3">
          <w:rPr>
            <w:rFonts w:asciiTheme="minorHAnsi" w:eastAsiaTheme="minorEastAsia" w:hAnsiTheme="minorHAnsi" w:cstheme="minorBidi"/>
            <w:noProof/>
            <w:sz w:val="22"/>
            <w:szCs w:val="22"/>
            <w:lang w:val="es-ES_tradnl" w:eastAsia="es-ES_tradnl"/>
          </w:rPr>
          <w:tab/>
        </w:r>
        <w:r w:rsidR="00EB47D3" w:rsidRPr="00D72755">
          <w:rPr>
            <w:rStyle w:val="Hyperlink"/>
            <w:noProof/>
            <w:lang w:val="es-ES_tradnl"/>
          </w:rPr>
          <w:t>La creciente participación de nuevos miembros de la Unión en la labor del TC y de los TWP</w:t>
        </w:r>
        <w:r w:rsidR="00EB47D3">
          <w:rPr>
            <w:noProof/>
            <w:webHidden/>
          </w:rPr>
          <w:tab/>
        </w:r>
        <w:r w:rsidR="007D43C5">
          <w:rPr>
            <w:noProof/>
            <w:webHidden/>
          </w:rPr>
          <w:fldChar w:fldCharType="begin"/>
        </w:r>
        <w:r w:rsidR="00EB47D3">
          <w:rPr>
            <w:noProof/>
            <w:webHidden/>
          </w:rPr>
          <w:instrText xml:space="preserve"> PAGEREF _Toc492290054 \h </w:instrText>
        </w:r>
        <w:r w:rsidR="007D43C5">
          <w:rPr>
            <w:noProof/>
            <w:webHidden/>
          </w:rPr>
        </w:r>
        <w:r w:rsidR="007D43C5">
          <w:rPr>
            <w:noProof/>
            <w:webHidden/>
          </w:rPr>
          <w:fldChar w:fldCharType="separate"/>
        </w:r>
        <w:r w:rsidR="00401303">
          <w:rPr>
            <w:noProof/>
            <w:webHidden/>
          </w:rPr>
          <w:t>16</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55" w:history="1">
        <w:r w:rsidR="00EB47D3" w:rsidRPr="00D72755">
          <w:rPr>
            <w:rStyle w:val="Hyperlink"/>
            <w:noProof/>
            <w:snapToGrid w:val="0"/>
            <w:lang w:val="es-ES_tradnl"/>
          </w:rPr>
          <w:t>Denominaciones de variedades</w:t>
        </w:r>
        <w:r w:rsidR="00EB47D3">
          <w:rPr>
            <w:noProof/>
            <w:webHidden/>
          </w:rPr>
          <w:tab/>
        </w:r>
        <w:r w:rsidR="007D43C5">
          <w:rPr>
            <w:noProof/>
            <w:webHidden/>
          </w:rPr>
          <w:fldChar w:fldCharType="begin"/>
        </w:r>
        <w:r w:rsidR="00EB47D3">
          <w:rPr>
            <w:noProof/>
            <w:webHidden/>
          </w:rPr>
          <w:instrText xml:space="preserve"> PAGEREF _Toc492290055 \h </w:instrText>
        </w:r>
        <w:r w:rsidR="007D43C5">
          <w:rPr>
            <w:noProof/>
            <w:webHidden/>
          </w:rPr>
        </w:r>
        <w:r w:rsidR="007D43C5">
          <w:rPr>
            <w:noProof/>
            <w:webHidden/>
          </w:rPr>
          <w:fldChar w:fldCharType="separate"/>
        </w:r>
        <w:r w:rsidR="00401303">
          <w:rPr>
            <w:noProof/>
            <w:webHidden/>
          </w:rPr>
          <w:t>16</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56" w:history="1">
        <w:r w:rsidR="00EB47D3" w:rsidRPr="00D72755">
          <w:rPr>
            <w:rStyle w:val="Hyperlink"/>
            <w:noProof/>
            <w:snapToGrid w:val="0"/>
            <w:lang w:val="es-ES_tradnl"/>
          </w:rPr>
          <w:t>Talleres preparatorios</w:t>
        </w:r>
        <w:r w:rsidR="00EB47D3">
          <w:rPr>
            <w:noProof/>
            <w:webHidden/>
          </w:rPr>
          <w:tab/>
        </w:r>
        <w:r w:rsidR="007D43C5">
          <w:rPr>
            <w:noProof/>
            <w:webHidden/>
          </w:rPr>
          <w:fldChar w:fldCharType="begin"/>
        </w:r>
        <w:r w:rsidR="00EB47D3">
          <w:rPr>
            <w:noProof/>
            <w:webHidden/>
          </w:rPr>
          <w:instrText xml:space="preserve"> PAGEREF _Toc492290056 \h </w:instrText>
        </w:r>
        <w:r w:rsidR="007D43C5">
          <w:rPr>
            <w:noProof/>
            <w:webHidden/>
          </w:rPr>
        </w:r>
        <w:r w:rsidR="007D43C5">
          <w:rPr>
            <w:noProof/>
            <w:webHidden/>
          </w:rPr>
          <w:fldChar w:fldCharType="separate"/>
        </w:r>
        <w:r w:rsidR="00401303">
          <w:rPr>
            <w:noProof/>
            <w:webHidden/>
          </w:rPr>
          <w:t>17</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57" w:history="1">
        <w:r w:rsidR="00EB47D3" w:rsidRPr="00D72755">
          <w:rPr>
            <w:rStyle w:val="Hyperlink"/>
            <w:noProof/>
            <w:lang w:val="es-ES_tradnl"/>
          </w:rPr>
          <w:t>Plantilla en Internet de las directrices de examen</w:t>
        </w:r>
        <w:r w:rsidR="00EB47D3">
          <w:rPr>
            <w:noProof/>
            <w:webHidden/>
          </w:rPr>
          <w:tab/>
        </w:r>
        <w:r w:rsidR="007D43C5">
          <w:rPr>
            <w:noProof/>
            <w:webHidden/>
          </w:rPr>
          <w:fldChar w:fldCharType="begin"/>
        </w:r>
        <w:r w:rsidR="00EB47D3">
          <w:rPr>
            <w:noProof/>
            <w:webHidden/>
          </w:rPr>
          <w:instrText xml:space="preserve"> PAGEREF _Toc492290057 \h </w:instrText>
        </w:r>
        <w:r w:rsidR="007D43C5">
          <w:rPr>
            <w:noProof/>
            <w:webHidden/>
          </w:rPr>
        </w:r>
        <w:r w:rsidR="007D43C5">
          <w:rPr>
            <w:noProof/>
            <w:webHidden/>
          </w:rPr>
          <w:fldChar w:fldCharType="separate"/>
        </w:r>
        <w:r w:rsidR="00401303">
          <w:rPr>
            <w:noProof/>
            <w:webHidden/>
          </w:rPr>
          <w:t>17</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58" w:history="1">
        <w:r w:rsidR="00EB47D3" w:rsidRPr="00D72755">
          <w:rPr>
            <w:rStyle w:val="Hyperlink"/>
            <w:noProof/>
            <w:snapToGrid w:val="0"/>
            <w:lang w:val="es-ES_tradnl"/>
          </w:rPr>
          <w:t>Lista de géneros y especies respecto de los cuales las autoridades poseen experiencia práctica en el examen de la distinción, la homogeneidad y la estabilidad</w:t>
        </w:r>
        <w:r w:rsidR="00EB47D3">
          <w:rPr>
            <w:noProof/>
            <w:webHidden/>
          </w:rPr>
          <w:tab/>
        </w:r>
        <w:r w:rsidR="007D43C5">
          <w:rPr>
            <w:noProof/>
            <w:webHidden/>
          </w:rPr>
          <w:fldChar w:fldCharType="begin"/>
        </w:r>
        <w:r w:rsidR="00EB47D3">
          <w:rPr>
            <w:noProof/>
            <w:webHidden/>
          </w:rPr>
          <w:instrText xml:space="preserve"> PAGEREF _Toc492290058 \h </w:instrText>
        </w:r>
        <w:r w:rsidR="007D43C5">
          <w:rPr>
            <w:noProof/>
            <w:webHidden/>
          </w:rPr>
        </w:r>
        <w:r w:rsidR="007D43C5">
          <w:rPr>
            <w:noProof/>
            <w:webHidden/>
          </w:rPr>
          <w:fldChar w:fldCharType="separate"/>
        </w:r>
        <w:r w:rsidR="00401303">
          <w:rPr>
            <w:noProof/>
            <w:webHidden/>
          </w:rPr>
          <w:t>18</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59" w:history="1">
        <w:r w:rsidR="00EB47D3" w:rsidRPr="00D72755">
          <w:rPr>
            <w:rStyle w:val="Hyperlink"/>
            <w:rFonts w:cs="Arial"/>
            <w:noProof/>
            <w:snapToGrid w:val="0"/>
            <w:lang w:val="es-ES_tradnl"/>
          </w:rPr>
          <w:t>Directrices de examen</w:t>
        </w:r>
        <w:r w:rsidR="00EB47D3">
          <w:rPr>
            <w:noProof/>
            <w:webHidden/>
          </w:rPr>
          <w:tab/>
        </w:r>
        <w:r w:rsidR="007D43C5">
          <w:rPr>
            <w:noProof/>
            <w:webHidden/>
          </w:rPr>
          <w:fldChar w:fldCharType="begin"/>
        </w:r>
        <w:r w:rsidR="00EB47D3">
          <w:rPr>
            <w:noProof/>
            <w:webHidden/>
          </w:rPr>
          <w:instrText xml:space="preserve"> PAGEREF _Toc492290059 \h </w:instrText>
        </w:r>
        <w:r w:rsidR="007D43C5">
          <w:rPr>
            <w:noProof/>
            <w:webHidden/>
          </w:rPr>
        </w:r>
        <w:r w:rsidR="007D43C5">
          <w:rPr>
            <w:noProof/>
            <w:webHidden/>
          </w:rPr>
          <w:fldChar w:fldCharType="separate"/>
        </w:r>
        <w:r w:rsidR="00401303">
          <w:rPr>
            <w:noProof/>
            <w:webHidden/>
          </w:rPr>
          <w:t>18</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60" w:history="1">
        <w:r w:rsidR="00EB47D3" w:rsidRPr="00D72755">
          <w:rPr>
            <w:rStyle w:val="Hyperlink"/>
            <w:noProof/>
            <w:lang w:val="es-ES_tradnl"/>
          </w:rPr>
          <w:t>Correcciones de directrices de examen</w:t>
        </w:r>
        <w:r w:rsidR="00EB47D3">
          <w:rPr>
            <w:noProof/>
            <w:webHidden/>
          </w:rPr>
          <w:tab/>
        </w:r>
        <w:r w:rsidR="007D43C5">
          <w:rPr>
            <w:noProof/>
            <w:webHidden/>
          </w:rPr>
          <w:fldChar w:fldCharType="begin"/>
        </w:r>
        <w:r w:rsidR="00EB47D3">
          <w:rPr>
            <w:noProof/>
            <w:webHidden/>
          </w:rPr>
          <w:instrText xml:space="preserve"> PAGEREF _Toc492290060 \h </w:instrText>
        </w:r>
        <w:r w:rsidR="007D43C5">
          <w:rPr>
            <w:noProof/>
            <w:webHidden/>
          </w:rPr>
        </w:r>
        <w:r w:rsidR="007D43C5">
          <w:rPr>
            <w:noProof/>
            <w:webHidden/>
          </w:rPr>
          <w:fldChar w:fldCharType="separate"/>
        </w:r>
        <w:r w:rsidR="00401303">
          <w:rPr>
            <w:noProof/>
            <w:webHidden/>
          </w:rPr>
          <w:t>20</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61" w:history="1">
        <w:r w:rsidR="00EB47D3" w:rsidRPr="00D72755">
          <w:rPr>
            <w:rStyle w:val="Hyperlink"/>
            <w:noProof/>
            <w:lang w:val="es-ES_tradnl"/>
          </w:rPr>
          <w:t>Proyectos de directrices de examen debatidos en los grupos de trabajo técnico en 2016</w:t>
        </w:r>
        <w:r w:rsidR="00EB47D3">
          <w:rPr>
            <w:noProof/>
            <w:webHidden/>
          </w:rPr>
          <w:tab/>
        </w:r>
        <w:r w:rsidR="007D43C5">
          <w:rPr>
            <w:noProof/>
            <w:webHidden/>
          </w:rPr>
          <w:fldChar w:fldCharType="begin"/>
        </w:r>
        <w:r w:rsidR="00EB47D3">
          <w:rPr>
            <w:noProof/>
            <w:webHidden/>
          </w:rPr>
          <w:instrText xml:space="preserve"> PAGEREF _Toc492290061 \h </w:instrText>
        </w:r>
        <w:r w:rsidR="007D43C5">
          <w:rPr>
            <w:noProof/>
            <w:webHidden/>
          </w:rPr>
        </w:r>
        <w:r w:rsidR="007D43C5">
          <w:rPr>
            <w:noProof/>
            <w:webHidden/>
          </w:rPr>
          <w:fldChar w:fldCharType="separate"/>
        </w:r>
        <w:r w:rsidR="00401303">
          <w:rPr>
            <w:noProof/>
            <w:webHidden/>
          </w:rPr>
          <w:t>20</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62" w:history="1">
        <w:r w:rsidR="00EB47D3" w:rsidRPr="00D72755">
          <w:rPr>
            <w:rStyle w:val="Hyperlink"/>
            <w:noProof/>
            <w:lang w:val="es-ES_tradnl"/>
          </w:rPr>
          <w:t>Proyectos de directrices de examen que han de debatirse en los grupos de trabajo técnico en 2017</w:t>
        </w:r>
        <w:r w:rsidR="00EB47D3">
          <w:rPr>
            <w:noProof/>
            <w:webHidden/>
          </w:rPr>
          <w:tab/>
        </w:r>
        <w:r w:rsidR="007D43C5">
          <w:rPr>
            <w:noProof/>
            <w:webHidden/>
          </w:rPr>
          <w:fldChar w:fldCharType="begin"/>
        </w:r>
        <w:r w:rsidR="00EB47D3">
          <w:rPr>
            <w:noProof/>
            <w:webHidden/>
          </w:rPr>
          <w:instrText xml:space="preserve"> PAGEREF _Toc492290062 \h </w:instrText>
        </w:r>
        <w:r w:rsidR="007D43C5">
          <w:rPr>
            <w:noProof/>
            <w:webHidden/>
          </w:rPr>
        </w:r>
        <w:r w:rsidR="007D43C5">
          <w:rPr>
            <w:noProof/>
            <w:webHidden/>
          </w:rPr>
          <w:fldChar w:fldCharType="separate"/>
        </w:r>
        <w:r w:rsidR="00401303">
          <w:rPr>
            <w:noProof/>
            <w:webHidden/>
          </w:rPr>
          <w:t>20</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63" w:history="1">
        <w:r w:rsidR="00EB47D3" w:rsidRPr="00D72755">
          <w:rPr>
            <w:rStyle w:val="Hyperlink"/>
            <w:noProof/>
            <w:lang w:val="es-ES_tradnl"/>
          </w:rPr>
          <w:t>Estado de las actuales directrices de examen o proyectos de directrices de examen</w:t>
        </w:r>
        <w:r w:rsidR="00EB47D3">
          <w:rPr>
            <w:noProof/>
            <w:webHidden/>
          </w:rPr>
          <w:tab/>
        </w:r>
        <w:r w:rsidR="007D43C5">
          <w:rPr>
            <w:noProof/>
            <w:webHidden/>
          </w:rPr>
          <w:fldChar w:fldCharType="begin"/>
        </w:r>
        <w:r w:rsidR="00EB47D3">
          <w:rPr>
            <w:noProof/>
            <w:webHidden/>
          </w:rPr>
          <w:instrText xml:space="preserve"> PAGEREF _Toc492290063 \h </w:instrText>
        </w:r>
        <w:r w:rsidR="007D43C5">
          <w:rPr>
            <w:noProof/>
            <w:webHidden/>
          </w:rPr>
        </w:r>
        <w:r w:rsidR="007D43C5">
          <w:rPr>
            <w:noProof/>
            <w:webHidden/>
          </w:rPr>
          <w:fldChar w:fldCharType="separate"/>
        </w:r>
        <w:r w:rsidR="00401303">
          <w:rPr>
            <w:noProof/>
            <w:webHidden/>
          </w:rPr>
          <w:t>21</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64" w:history="1">
        <w:r w:rsidR="00EB47D3" w:rsidRPr="00D72755">
          <w:rPr>
            <w:rStyle w:val="Hyperlink"/>
            <w:noProof/>
            <w:lang w:val="es-ES_tradnl"/>
          </w:rPr>
          <w:t>Directrices de examen reemplazadas</w:t>
        </w:r>
        <w:r w:rsidR="00EB47D3">
          <w:rPr>
            <w:noProof/>
            <w:webHidden/>
          </w:rPr>
          <w:tab/>
        </w:r>
        <w:r w:rsidR="007D43C5">
          <w:rPr>
            <w:noProof/>
            <w:webHidden/>
          </w:rPr>
          <w:fldChar w:fldCharType="begin"/>
        </w:r>
        <w:r w:rsidR="00EB47D3">
          <w:rPr>
            <w:noProof/>
            <w:webHidden/>
          </w:rPr>
          <w:instrText xml:space="preserve"> PAGEREF _Toc492290064 \h </w:instrText>
        </w:r>
        <w:r w:rsidR="007D43C5">
          <w:rPr>
            <w:noProof/>
            <w:webHidden/>
          </w:rPr>
        </w:r>
        <w:r w:rsidR="007D43C5">
          <w:rPr>
            <w:noProof/>
            <w:webHidden/>
          </w:rPr>
          <w:fldChar w:fldCharType="separate"/>
        </w:r>
        <w:r w:rsidR="00401303">
          <w:rPr>
            <w:noProof/>
            <w:webHidden/>
          </w:rPr>
          <w:t>21</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65" w:history="1">
        <w:r w:rsidR="00EB47D3" w:rsidRPr="00D72755">
          <w:rPr>
            <w:rStyle w:val="Hyperlink"/>
            <w:noProof/>
            <w:lang w:val="es-ES_tradnl"/>
          </w:rPr>
          <w:t>Fecha de publicación de las directrices de examen en el sitio web de la UPOV</w:t>
        </w:r>
        <w:r w:rsidR="00EB47D3">
          <w:rPr>
            <w:noProof/>
            <w:webHidden/>
          </w:rPr>
          <w:tab/>
        </w:r>
        <w:r w:rsidR="007D43C5">
          <w:rPr>
            <w:noProof/>
            <w:webHidden/>
          </w:rPr>
          <w:fldChar w:fldCharType="begin"/>
        </w:r>
        <w:r w:rsidR="00EB47D3">
          <w:rPr>
            <w:noProof/>
            <w:webHidden/>
          </w:rPr>
          <w:instrText xml:space="preserve"> PAGEREF _Toc492290065 \h </w:instrText>
        </w:r>
        <w:r w:rsidR="007D43C5">
          <w:rPr>
            <w:noProof/>
            <w:webHidden/>
          </w:rPr>
        </w:r>
        <w:r w:rsidR="007D43C5">
          <w:rPr>
            <w:noProof/>
            <w:webHidden/>
          </w:rPr>
          <w:fldChar w:fldCharType="separate"/>
        </w:r>
        <w:r w:rsidR="00401303">
          <w:rPr>
            <w:noProof/>
            <w:webHidden/>
          </w:rPr>
          <w:t>21</w:t>
        </w:r>
        <w:r w:rsidR="007D43C5">
          <w:rPr>
            <w:noProof/>
            <w:webHidden/>
          </w:rPr>
          <w:fldChar w:fldCharType="end"/>
        </w:r>
      </w:hyperlink>
    </w:p>
    <w:p w:rsidR="00EB47D3" w:rsidRDefault="00D60862">
      <w:pPr>
        <w:pStyle w:val="TOC3"/>
        <w:rPr>
          <w:rFonts w:asciiTheme="minorHAnsi" w:eastAsiaTheme="minorEastAsia" w:hAnsiTheme="minorHAnsi" w:cstheme="minorBidi"/>
          <w:noProof/>
          <w:sz w:val="22"/>
          <w:szCs w:val="22"/>
          <w:lang w:val="es-ES_tradnl" w:eastAsia="es-ES_tradnl"/>
        </w:rPr>
      </w:pPr>
      <w:hyperlink w:anchor="_Toc492290066" w:history="1">
        <w:r w:rsidR="00EB47D3" w:rsidRPr="00D72755">
          <w:rPr>
            <w:rStyle w:val="Hyperlink"/>
            <w:noProof/>
            <w:lang w:val="es-ES_tradnl"/>
          </w:rPr>
          <w:t>Caracteres adicionales</w:t>
        </w:r>
        <w:r w:rsidR="00EB47D3">
          <w:rPr>
            <w:noProof/>
            <w:webHidden/>
          </w:rPr>
          <w:tab/>
        </w:r>
        <w:r w:rsidR="007D43C5">
          <w:rPr>
            <w:noProof/>
            <w:webHidden/>
          </w:rPr>
          <w:fldChar w:fldCharType="begin"/>
        </w:r>
        <w:r w:rsidR="00EB47D3">
          <w:rPr>
            <w:noProof/>
            <w:webHidden/>
          </w:rPr>
          <w:instrText xml:space="preserve"> PAGEREF _Toc492290066 \h </w:instrText>
        </w:r>
        <w:r w:rsidR="007D43C5">
          <w:rPr>
            <w:noProof/>
            <w:webHidden/>
          </w:rPr>
        </w:r>
        <w:r w:rsidR="007D43C5">
          <w:rPr>
            <w:noProof/>
            <w:webHidden/>
          </w:rPr>
          <w:fldChar w:fldCharType="separate"/>
        </w:r>
        <w:r w:rsidR="00401303">
          <w:rPr>
            <w:noProof/>
            <w:webHidden/>
          </w:rPr>
          <w:t>21</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67" w:history="1">
        <w:r w:rsidR="00EB47D3" w:rsidRPr="00D72755">
          <w:rPr>
            <w:rStyle w:val="Hyperlink"/>
            <w:noProof/>
            <w:snapToGrid w:val="0"/>
            <w:lang w:val="es-ES_tradnl"/>
          </w:rPr>
          <w:t>Presidentes</w:t>
        </w:r>
        <w:r w:rsidR="00EB47D3">
          <w:rPr>
            <w:noProof/>
            <w:webHidden/>
          </w:rPr>
          <w:tab/>
        </w:r>
        <w:r w:rsidR="007D43C5">
          <w:rPr>
            <w:noProof/>
            <w:webHidden/>
          </w:rPr>
          <w:fldChar w:fldCharType="begin"/>
        </w:r>
        <w:r w:rsidR="00EB47D3">
          <w:rPr>
            <w:noProof/>
            <w:webHidden/>
          </w:rPr>
          <w:instrText xml:space="preserve"> PAGEREF _Toc492290067 \h </w:instrText>
        </w:r>
        <w:r w:rsidR="007D43C5">
          <w:rPr>
            <w:noProof/>
            <w:webHidden/>
          </w:rPr>
        </w:r>
        <w:r w:rsidR="007D43C5">
          <w:rPr>
            <w:noProof/>
            <w:webHidden/>
          </w:rPr>
          <w:fldChar w:fldCharType="separate"/>
        </w:r>
        <w:r w:rsidR="00401303">
          <w:rPr>
            <w:noProof/>
            <w:webHidden/>
          </w:rPr>
          <w:t>22</w:t>
        </w:r>
        <w:r w:rsidR="007D43C5">
          <w:rPr>
            <w:noProof/>
            <w:webHidden/>
          </w:rPr>
          <w:fldChar w:fldCharType="end"/>
        </w:r>
      </w:hyperlink>
    </w:p>
    <w:p w:rsidR="00EB47D3" w:rsidRDefault="00D60862">
      <w:pPr>
        <w:pStyle w:val="TOC2"/>
        <w:rPr>
          <w:rFonts w:asciiTheme="minorHAnsi" w:eastAsiaTheme="minorEastAsia" w:hAnsiTheme="minorHAnsi" w:cstheme="minorBidi"/>
          <w:smallCaps w:val="0"/>
          <w:noProof/>
          <w:sz w:val="22"/>
          <w:szCs w:val="22"/>
          <w:lang w:val="es-ES_tradnl" w:eastAsia="es-ES_tradnl"/>
        </w:rPr>
      </w:pPr>
      <w:hyperlink w:anchor="_Toc492290068" w:history="1">
        <w:r w:rsidR="00EB47D3" w:rsidRPr="00D72755">
          <w:rPr>
            <w:rStyle w:val="Hyperlink"/>
            <w:noProof/>
            <w:lang w:val="es-ES_tradnl"/>
          </w:rPr>
          <w:t>Orden del día de la quincuagésima cuarta reunión</w:t>
        </w:r>
        <w:r w:rsidR="00EB47D3">
          <w:rPr>
            <w:noProof/>
            <w:webHidden/>
          </w:rPr>
          <w:tab/>
        </w:r>
        <w:r w:rsidR="007D43C5">
          <w:rPr>
            <w:noProof/>
            <w:webHidden/>
          </w:rPr>
          <w:fldChar w:fldCharType="begin"/>
        </w:r>
        <w:r w:rsidR="00EB47D3">
          <w:rPr>
            <w:noProof/>
            <w:webHidden/>
          </w:rPr>
          <w:instrText xml:space="preserve"> PAGEREF _Toc492290068 \h </w:instrText>
        </w:r>
        <w:r w:rsidR="007D43C5">
          <w:rPr>
            <w:noProof/>
            <w:webHidden/>
          </w:rPr>
        </w:r>
        <w:r w:rsidR="007D43C5">
          <w:rPr>
            <w:noProof/>
            <w:webHidden/>
          </w:rPr>
          <w:fldChar w:fldCharType="separate"/>
        </w:r>
        <w:r w:rsidR="00401303">
          <w:rPr>
            <w:noProof/>
            <w:webHidden/>
          </w:rPr>
          <w:t>22</w:t>
        </w:r>
        <w:r w:rsidR="007D43C5">
          <w:rPr>
            <w:noProof/>
            <w:webHidden/>
          </w:rPr>
          <w:fldChar w:fldCharType="end"/>
        </w:r>
      </w:hyperlink>
    </w:p>
    <w:p w:rsidR="00EB47D3" w:rsidRDefault="00D60862" w:rsidP="00EB47D3">
      <w:pPr>
        <w:pStyle w:val="TOC1"/>
        <w:rPr>
          <w:rFonts w:asciiTheme="minorHAnsi" w:eastAsiaTheme="minorEastAsia" w:hAnsiTheme="minorHAnsi" w:cstheme="minorBidi"/>
          <w:noProof/>
          <w:sz w:val="22"/>
          <w:szCs w:val="22"/>
          <w:lang w:eastAsia="es-ES_tradnl"/>
        </w:rPr>
      </w:pPr>
      <w:hyperlink w:anchor="_Toc492290069" w:history="1">
        <w:r w:rsidR="00EB47D3" w:rsidRPr="00D72755">
          <w:rPr>
            <w:rStyle w:val="Hyperlink"/>
            <w:noProof/>
            <w:lang w:val="es-ES_tradnl"/>
          </w:rPr>
          <w:t>INFORME SOBRE LA LABOR REALIZADA EN 2016 POR LOS GRUPOS DE TRABAJO TÉCNICO Y EL GRUPO DE TRABAJO SOBRE TÉCNICAS BIOQUÍMICAS Y MOLECULARES, Y PERFILES DE ADN EN PARTICULAR</w:t>
        </w:r>
        <w:r w:rsidR="00EB47D3">
          <w:rPr>
            <w:noProof/>
            <w:webHidden/>
          </w:rPr>
          <w:tab/>
        </w:r>
        <w:r w:rsidR="007D43C5">
          <w:rPr>
            <w:noProof/>
            <w:webHidden/>
          </w:rPr>
          <w:fldChar w:fldCharType="begin"/>
        </w:r>
        <w:r w:rsidR="00EB47D3">
          <w:rPr>
            <w:noProof/>
            <w:webHidden/>
          </w:rPr>
          <w:instrText xml:space="preserve"> PAGEREF _Toc492290069 \h </w:instrText>
        </w:r>
        <w:r w:rsidR="007D43C5">
          <w:rPr>
            <w:noProof/>
            <w:webHidden/>
          </w:rPr>
        </w:r>
        <w:r w:rsidR="007D43C5">
          <w:rPr>
            <w:noProof/>
            <w:webHidden/>
          </w:rPr>
          <w:fldChar w:fldCharType="separate"/>
        </w:r>
        <w:r w:rsidR="00401303">
          <w:rPr>
            <w:noProof/>
            <w:webHidden/>
          </w:rPr>
          <w:t>23</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70" w:history="1">
        <w:r w:rsidR="00EB47D3" w:rsidRPr="00D72755">
          <w:rPr>
            <w:rStyle w:val="Hyperlink"/>
            <w:noProof/>
            <w:lang w:val="es-ES_tradnl"/>
          </w:rPr>
          <w:t>Grupo de Trabajo Técnico sobre Plantas Agrícolas</w:t>
        </w:r>
        <w:r w:rsidR="00EB47D3">
          <w:rPr>
            <w:noProof/>
            <w:webHidden/>
          </w:rPr>
          <w:tab/>
        </w:r>
        <w:r w:rsidR="007D43C5">
          <w:rPr>
            <w:noProof/>
            <w:webHidden/>
          </w:rPr>
          <w:fldChar w:fldCharType="begin"/>
        </w:r>
        <w:r w:rsidR="00EB47D3">
          <w:rPr>
            <w:noProof/>
            <w:webHidden/>
          </w:rPr>
          <w:instrText xml:space="preserve"> PAGEREF _Toc492290070 \h </w:instrText>
        </w:r>
        <w:r w:rsidR="007D43C5">
          <w:rPr>
            <w:noProof/>
            <w:webHidden/>
          </w:rPr>
        </w:r>
        <w:r w:rsidR="007D43C5">
          <w:rPr>
            <w:noProof/>
            <w:webHidden/>
          </w:rPr>
          <w:fldChar w:fldCharType="separate"/>
        </w:r>
        <w:r w:rsidR="00401303">
          <w:rPr>
            <w:noProof/>
            <w:webHidden/>
          </w:rPr>
          <w:t>23</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71" w:history="1">
        <w:r w:rsidR="00EB47D3" w:rsidRPr="00D72755">
          <w:rPr>
            <w:rStyle w:val="Hyperlink"/>
            <w:noProof/>
            <w:lang w:val="es-ES_tradnl"/>
          </w:rPr>
          <w:t>Grupo de Trabajo Técnico sobre Automatización y Programas Informáticos</w:t>
        </w:r>
        <w:r w:rsidR="00EB47D3">
          <w:rPr>
            <w:noProof/>
            <w:webHidden/>
          </w:rPr>
          <w:tab/>
        </w:r>
        <w:r w:rsidR="007D43C5">
          <w:rPr>
            <w:noProof/>
            <w:webHidden/>
          </w:rPr>
          <w:fldChar w:fldCharType="begin"/>
        </w:r>
        <w:r w:rsidR="00EB47D3">
          <w:rPr>
            <w:noProof/>
            <w:webHidden/>
          </w:rPr>
          <w:instrText xml:space="preserve"> PAGEREF _Toc492290071 \h </w:instrText>
        </w:r>
        <w:r w:rsidR="007D43C5">
          <w:rPr>
            <w:noProof/>
            <w:webHidden/>
          </w:rPr>
        </w:r>
        <w:r w:rsidR="007D43C5">
          <w:rPr>
            <w:noProof/>
            <w:webHidden/>
          </w:rPr>
          <w:fldChar w:fldCharType="separate"/>
        </w:r>
        <w:r w:rsidR="00401303">
          <w:rPr>
            <w:noProof/>
            <w:webHidden/>
          </w:rPr>
          <w:t>25</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72" w:history="1">
        <w:r w:rsidR="00EB47D3" w:rsidRPr="00D72755">
          <w:rPr>
            <w:rStyle w:val="Hyperlink"/>
            <w:noProof/>
            <w:lang w:val="es-ES_tradnl"/>
          </w:rPr>
          <w:t>Grupo de Trabajo Técnico sobre Plantas Frutales</w:t>
        </w:r>
        <w:r w:rsidR="00EB47D3">
          <w:rPr>
            <w:noProof/>
            <w:webHidden/>
          </w:rPr>
          <w:tab/>
        </w:r>
        <w:r w:rsidR="007D43C5">
          <w:rPr>
            <w:noProof/>
            <w:webHidden/>
          </w:rPr>
          <w:fldChar w:fldCharType="begin"/>
        </w:r>
        <w:r w:rsidR="00EB47D3">
          <w:rPr>
            <w:noProof/>
            <w:webHidden/>
          </w:rPr>
          <w:instrText xml:space="preserve"> PAGEREF _Toc492290072 \h </w:instrText>
        </w:r>
        <w:r w:rsidR="007D43C5">
          <w:rPr>
            <w:noProof/>
            <w:webHidden/>
          </w:rPr>
        </w:r>
        <w:r w:rsidR="007D43C5">
          <w:rPr>
            <w:noProof/>
            <w:webHidden/>
          </w:rPr>
          <w:fldChar w:fldCharType="separate"/>
        </w:r>
        <w:r w:rsidR="00401303">
          <w:rPr>
            <w:noProof/>
            <w:webHidden/>
          </w:rPr>
          <w:t>29</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73" w:history="1">
        <w:r w:rsidR="00EB47D3" w:rsidRPr="00D72755">
          <w:rPr>
            <w:rStyle w:val="Hyperlink"/>
            <w:noProof/>
            <w:lang w:val="es-ES_tradnl"/>
          </w:rPr>
          <w:t>Grupo de Trabajo Técnico sobre Plantas Ornamentales y Árboles Forestales</w:t>
        </w:r>
        <w:r w:rsidR="00EB47D3">
          <w:rPr>
            <w:noProof/>
            <w:webHidden/>
          </w:rPr>
          <w:tab/>
        </w:r>
        <w:r w:rsidR="007D43C5">
          <w:rPr>
            <w:noProof/>
            <w:webHidden/>
          </w:rPr>
          <w:fldChar w:fldCharType="begin"/>
        </w:r>
        <w:r w:rsidR="00EB47D3">
          <w:rPr>
            <w:noProof/>
            <w:webHidden/>
          </w:rPr>
          <w:instrText xml:space="preserve"> PAGEREF _Toc492290073 \h </w:instrText>
        </w:r>
        <w:r w:rsidR="007D43C5">
          <w:rPr>
            <w:noProof/>
            <w:webHidden/>
          </w:rPr>
        </w:r>
        <w:r w:rsidR="007D43C5">
          <w:rPr>
            <w:noProof/>
            <w:webHidden/>
          </w:rPr>
          <w:fldChar w:fldCharType="separate"/>
        </w:r>
        <w:r w:rsidR="00401303">
          <w:rPr>
            <w:noProof/>
            <w:webHidden/>
          </w:rPr>
          <w:t>32</w:t>
        </w:r>
        <w:r w:rsidR="007D43C5">
          <w:rPr>
            <w:noProof/>
            <w:webHidden/>
          </w:rPr>
          <w:fldChar w:fldCharType="end"/>
        </w:r>
      </w:hyperlink>
    </w:p>
    <w:p w:rsidR="00EB47D3" w:rsidRDefault="00D60862" w:rsidP="00161B63">
      <w:pPr>
        <w:pStyle w:val="TOC3"/>
        <w:spacing w:after="0"/>
        <w:rPr>
          <w:rFonts w:asciiTheme="minorHAnsi" w:eastAsiaTheme="minorEastAsia" w:hAnsiTheme="minorHAnsi" w:cstheme="minorBidi"/>
          <w:noProof/>
          <w:sz w:val="22"/>
          <w:szCs w:val="22"/>
          <w:lang w:val="es-ES_tradnl" w:eastAsia="es-ES_tradnl"/>
        </w:rPr>
      </w:pPr>
      <w:hyperlink w:anchor="_Toc492290074" w:history="1">
        <w:r w:rsidR="00EB47D3" w:rsidRPr="00D72755">
          <w:rPr>
            <w:rStyle w:val="Hyperlink"/>
            <w:noProof/>
            <w:lang w:val="es-ES_tradnl"/>
          </w:rPr>
          <w:t>Grupo de Trabajo Técnico sobre Hortalizas</w:t>
        </w:r>
        <w:r w:rsidR="00EB47D3">
          <w:rPr>
            <w:noProof/>
            <w:webHidden/>
          </w:rPr>
          <w:tab/>
        </w:r>
        <w:r w:rsidR="007D43C5">
          <w:rPr>
            <w:noProof/>
            <w:webHidden/>
          </w:rPr>
          <w:fldChar w:fldCharType="begin"/>
        </w:r>
        <w:r w:rsidR="00EB47D3">
          <w:rPr>
            <w:noProof/>
            <w:webHidden/>
          </w:rPr>
          <w:instrText xml:space="preserve"> PAGEREF _Toc492290074 \h </w:instrText>
        </w:r>
        <w:r w:rsidR="007D43C5">
          <w:rPr>
            <w:noProof/>
            <w:webHidden/>
          </w:rPr>
        </w:r>
        <w:r w:rsidR="007D43C5">
          <w:rPr>
            <w:noProof/>
            <w:webHidden/>
          </w:rPr>
          <w:fldChar w:fldCharType="separate"/>
        </w:r>
        <w:r w:rsidR="00401303">
          <w:rPr>
            <w:noProof/>
            <w:webHidden/>
          </w:rPr>
          <w:t>35</w:t>
        </w:r>
        <w:r w:rsidR="007D43C5">
          <w:rPr>
            <w:noProof/>
            <w:webHidden/>
          </w:rPr>
          <w:fldChar w:fldCharType="end"/>
        </w:r>
      </w:hyperlink>
    </w:p>
    <w:p w:rsidR="00EB47D3" w:rsidRDefault="00D60862">
      <w:pPr>
        <w:pStyle w:val="TOC3"/>
        <w:rPr>
          <w:rFonts w:asciiTheme="minorHAnsi" w:eastAsiaTheme="minorEastAsia" w:hAnsiTheme="minorHAnsi" w:cstheme="minorBidi"/>
          <w:noProof/>
          <w:sz w:val="22"/>
          <w:szCs w:val="22"/>
          <w:lang w:val="es-ES_tradnl" w:eastAsia="es-ES_tradnl"/>
        </w:rPr>
      </w:pPr>
      <w:hyperlink w:anchor="_Toc492290075" w:history="1">
        <w:r w:rsidR="00EB47D3" w:rsidRPr="00D72755">
          <w:rPr>
            <w:rStyle w:val="Hyperlink"/>
            <w:noProof/>
            <w:lang w:val="es-ES_tradnl"/>
          </w:rPr>
          <w:t>Grupo de Trabajo sobre Técnicas Bioquímicas y Moleculares, y Perfiles de ADN en particular</w:t>
        </w:r>
        <w:r w:rsidR="00EB47D3">
          <w:rPr>
            <w:noProof/>
            <w:webHidden/>
          </w:rPr>
          <w:tab/>
        </w:r>
        <w:r w:rsidR="007D43C5">
          <w:rPr>
            <w:noProof/>
            <w:webHidden/>
          </w:rPr>
          <w:fldChar w:fldCharType="begin"/>
        </w:r>
        <w:r w:rsidR="00EB47D3">
          <w:rPr>
            <w:noProof/>
            <w:webHidden/>
          </w:rPr>
          <w:instrText xml:space="preserve"> PAGEREF _Toc492290075 \h </w:instrText>
        </w:r>
        <w:r w:rsidR="007D43C5">
          <w:rPr>
            <w:noProof/>
            <w:webHidden/>
          </w:rPr>
        </w:r>
        <w:r w:rsidR="007D43C5">
          <w:rPr>
            <w:noProof/>
            <w:webHidden/>
          </w:rPr>
          <w:fldChar w:fldCharType="separate"/>
        </w:r>
        <w:r w:rsidR="00401303">
          <w:rPr>
            <w:noProof/>
            <w:webHidden/>
          </w:rPr>
          <w:t>36</w:t>
        </w:r>
        <w:r w:rsidR="007D43C5">
          <w:rPr>
            <w:noProof/>
            <w:webHidden/>
          </w:rPr>
          <w:fldChar w:fldCharType="end"/>
        </w:r>
      </w:hyperlink>
    </w:p>
    <w:p w:rsidR="00273DB6" w:rsidRPr="00440F42" w:rsidRDefault="007D43C5" w:rsidP="00273DB6">
      <w:r w:rsidRPr="00B96764">
        <w:rPr>
          <w:snapToGrid w:val="0"/>
          <w:highlight w:val="cyan"/>
        </w:rPr>
        <w:fldChar w:fldCharType="end"/>
      </w:r>
      <w:r w:rsidR="00C36FEB" w:rsidRPr="00C36FEB">
        <w:t>ANEXO:</w:t>
      </w:r>
      <w:r w:rsidR="00273DB6" w:rsidRPr="00440F42">
        <w:tab/>
      </w:r>
      <w:r w:rsidR="00C36FEB" w:rsidRPr="00C36FEB">
        <w:t>PROGRAMA PARA LA ELABORACIÓN DE LOS DOCUMENTOS TGP</w:t>
      </w:r>
    </w:p>
    <w:p w:rsidR="00273DB6" w:rsidRPr="009B196C" w:rsidRDefault="00273DB6" w:rsidP="00273DB6">
      <w:pPr>
        <w:pStyle w:val="Heading1"/>
        <w:keepNext w:val="0"/>
        <w:rPr>
          <w:lang w:val="es-ES"/>
        </w:rPr>
      </w:pPr>
      <w:bookmarkStart w:id="3" w:name="_Toc393187140"/>
    </w:p>
    <w:p w:rsidR="00273DB6" w:rsidRPr="009B196C" w:rsidRDefault="00273DB6" w:rsidP="00273DB6">
      <w:pPr>
        <w:pStyle w:val="Heading1"/>
        <w:keepNext w:val="0"/>
        <w:rPr>
          <w:lang w:val="es-ES"/>
        </w:rPr>
      </w:pPr>
    </w:p>
    <w:p w:rsidR="00273DB6" w:rsidRPr="009B196C" w:rsidRDefault="00C36FEB" w:rsidP="00273DB6">
      <w:pPr>
        <w:pStyle w:val="Heading1"/>
        <w:rPr>
          <w:lang w:val="es-ES"/>
        </w:rPr>
      </w:pPr>
      <w:bookmarkStart w:id="4" w:name="_Toc492290031"/>
      <w:bookmarkEnd w:id="3"/>
      <w:r w:rsidRPr="00C36FEB">
        <w:rPr>
          <w:lang w:val="es-ES_tradnl"/>
        </w:rPr>
        <w:lastRenderedPageBreak/>
        <w:t>INFORME SOBRE LA MARCHA DE LA LABOR DEL COMITÉ TÉCNICO</w:t>
      </w:r>
      <w:bookmarkEnd w:id="4"/>
    </w:p>
    <w:p w:rsidR="00273DB6" w:rsidRPr="00E514D4" w:rsidRDefault="00273DB6" w:rsidP="00273DB6">
      <w:pPr>
        <w:keepNext/>
        <w:rPr>
          <w:snapToGrid w:val="0"/>
          <w:u w:val="single"/>
        </w:rPr>
      </w:pPr>
    </w:p>
    <w:p w:rsidR="00273DB6" w:rsidRPr="00E514D4" w:rsidRDefault="007D43C5" w:rsidP="00273DB6">
      <w:pPr>
        <w:keepNext/>
      </w:pPr>
      <w:r w:rsidRPr="00E514D4">
        <w:fldChar w:fldCharType="begin"/>
      </w:r>
      <w:r w:rsidR="00273DB6" w:rsidRPr="00E514D4">
        <w:instrText xml:space="preserve"> AUTONUM  \* Arabic </w:instrText>
      </w:r>
      <w:r w:rsidRPr="00E514D4">
        <w:fldChar w:fldCharType="end"/>
      </w:r>
      <w:r w:rsidR="00273DB6" w:rsidRPr="00E514D4">
        <w:tab/>
      </w:r>
      <w:r w:rsidR="00C36FEB" w:rsidRPr="008439A7">
        <w:t>El Comité Técnico (TC) celebró su quincuagésima tercera sesión en Ginebra del</w:t>
      </w:r>
      <w:r w:rsidR="007829E4">
        <w:t> </w:t>
      </w:r>
      <w:r w:rsidR="007829E4" w:rsidRPr="008439A7">
        <w:t>3</w:t>
      </w:r>
      <w:r w:rsidR="00C36FEB" w:rsidRPr="008439A7">
        <w:t xml:space="preserve"> al</w:t>
      </w:r>
      <w:r w:rsidR="007829E4">
        <w:t> </w:t>
      </w:r>
      <w:r w:rsidR="007829E4" w:rsidRPr="008439A7">
        <w:t>5</w:t>
      </w:r>
      <w:r w:rsidR="00C36FEB" w:rsidRPr="008439A7">
        <w:t xml:space="preserve"> de abril de</w:t>
      </w:r>
      <w:r w:rsidR="007829E4">
        <w:t> </w:t>
      </w:r>
      <w:r w:rsidR="007829E4" w:rsidRPr="008439A7">
        <w:t>2</w:t>
      </w:r>
      <w:r w:rsidR="00C36FEB" w:rsidRPr="008439A7">
        <w:t>017</w:t>
      </w:r>
      <w:r w:rsidR="007829E4">
        <w:t xml:space="preserve">, </w:t>
      </w:r>
      <w:r w:rsidR="00C36FEB" w:rsidRPr="008439A7">
        <w:t>bajo la presidencia del Sr. Kees van Ettekoven (Países Bajos)</w:t>
      </w:r>
      <w:r w:rsidR="007829E4">
        <w:t xml:space="preserve">, </w:t>
      </w:r>
      <w:r w:rsidR="009F4502" w:rsidRPr="008439A7">
        <w:t>presid</w:t>
      </w:r>
      <w:r w:rsidR="00C36FEB" w:rsidRPr="008439A7">
        <w:t>ente del TC.</w:t>
      </w:r>
      <w:r w:rsidR="00273DB6" w:rsidRPr="00E514D4">
        <w:t xml:space="preserve">  </w:t>
      </w:r>
      <w:r w:rsidR="008439A7" w:rsidRPr="00D03C3B">
        <w:t xml:space="preserve">El informe de la sesión figura en el documento TC/53/31 </w:t>
      </w:r>
      <w:r w:rsidR="00D03C3B" w:rsidRPr="00D03C3B">
        <w:t>“Informe”</w:t>
      </w:r>
      <w:r w:rsidR="008439A7" w:rsidRPr="00D03C3B">
        <w:t>.</w:t>
      </w:r>
    </w:p>
    <w:p w:rsidR="00273DB6" w:rsidRPr="00E514D4" w:rsidRDefault="00273DB6" w:rsidP="00273DB6">
      <w:pPr>
        <w:rPr>
          <w:snapToGrid w:val="0"/>
        </w:rPr>
      </w:pPr>
    </w:p>
    <w:p w:rsidR="00273DB6" w:rsidRPr="00B96764" w:rsidRDefault="007D43C5" w:rsidP="00273DB6">
      <w:pPr>
        <w:rPr>
          <w:snapToGrid w:val="0"/>
        </w:rPr>
      </w:pPr>
      <w:r w:rsidRPr="00B96764">
        <w:rPr>
          <w:snapToGrid w:val="0"/>
        </w:rPr>
        <w:fldChar w:fldCharType="begin"/>
      </w:r>
      <w:r w:rsidR="00273DB6" w:rsidRPr="00B96764">
        <w:rPr>
          <w:snapToGrid w:val="0"/>
        </w:rPr>
        <w:instrText xml:space="preserve"> AUTONUM  </w:instrText>
      </w:r>
      <w:r w:rsidRPr="00B96764">
        <w:rPr>
          <w:snapToGrid w:val="0"/>
        </w:rPr>
        <w:fldChar w:fldCharType="end"/>
      </w:r>
      <w:r w:rsidR="00273DB6" w:rsidRPr="00B96764">
        <w:rPr>
          <w:snapToGrid w:val="0"/>
        </w:rPr>
        <w:tab/>
      </w:r>
      <w:r w:rsidR="008439A7" w:rsidRPr="001D5696">
        <w:rPr>
          <w:snapToGrid w:val="0"/>
        </w:rPr>
        <w:t>Asistieron a la sesión</w:t>
      </w:r>
      <w:r w:rsidR="007829E4" w:rsidRPr="001D5696">
        <w:rPr>
          <w:snapToGrid w:val="0"/>
        </w:rPr>
        <w:t> 1</w:t>
      </w:r>
      <w:r w:rsidR="008439A7" w:rsidRPr="001D5696">
        <w:rPr>
          <w:snapToGrid w:val="0"/>
        </w:rPr>
        <w:t>00 participantes procedentes de</w:t>
      </w:r>
      <w:r w:rsidR="007829E4" w:rsidRPr="001D5696">
        <w:rPr>
          <w:snapToGrid w:val="0"/>
        </w:rPr>
        <w:t> 4</w:t>
      </w:r>
      <w:r w:rsidR="008439A7" w:rsidRPr="001D5696">
        <w:rPr>
          <w:snapToGrid w:val="0"/>
        </w:rPr>
        <w:t>1 miembros de la Unión</w:t>
      </w:r>
      <w:r w:rsidR="007829E4" w:rsidRPr="001D5696">
        <w:rPr>
          <w:snapToGrid w:val="0"/>
        </w:rPr>
        <w:t xml:space="preserve">, </w:t>
      </w:r>
      <w:r w:rsidR="001D5696" w:rsidRPr="001D5696">
        <w:rPr>
          <w:snapToGrid w:val="0"/>
        </w:rPr>
        <w:t>tre</w:t>
      </w:r>
      <w:r w:rsidR="008439A7" w:rsidRPr="001D5696">
        <w:rPr>
          <w:snapToGrid w:val="0"/>
        </w:rPr>
        <w:t>s Estados en calidad de observadores y siete organizaciones en calidad de observadoras.</w:t>
      </w:r>
    </w:p>
    <w:p w:rsidR="00273DB6" w:rsidRDefault="00273DB6" w:rsidP="00273DB6"/>
    <w:p w:rsidR="00273DB6" w:rsidRPr="004B1215" w:rsidRDefault="00273DB6" w:rsidP="00273DB6"/>
    <w:p w:rsidR="00273DB6" w:rsidRPr="009B196C" w:rsidRDefault="00532648" w:rsidP="00273DB6">
      <w:pPr>
        <w:pStyle w:val="Heading2"/>
        <w:rPr>
          <w:lang w:val="es-ES"/>
        </w:rPr>
      </w:pPr>
      <w:bookmarkStart w:id="5" w:name="_Toc492290032"/>
      <w:r w:rsidRPr="00532648">
        <w:rPr>
          <w:lang w:val="es-ES_tradnl"/>
        </w:rPr>
        <w:t>Informe sobre las novedades acaecidas en la UPOV</w:t>
      </w:r>
      <w:r w:rsidR="007829E4">
        <w:rPr>
          <w:lang w:val="es-ES_tradnl"/>
        </w:rPr>
        <w:t xml:space="preserve">, </w:t>
      </w:r>
      <w:r w:rsidRPr="00532648">
        <w:rPr>
          <w:lang w:val="es-ES_tradnl"/>
        </w:rPr>
        <w:t>donde figuran las cuestiones pertinentes examinadas en las últimas sesiones de Comité Administrativo y Jurídico</w:t>
      </w:r>
      <w:r w:rsidR="007829E4">
        <w:rPr>
          <w:lang w:val="es-ES_tradnl"/>
        </w:rPr>
        <w:t xml:space="preserve">, </w:t>
      </w:r>
      <w:r w:rsidRPr="00532648">
        <w:rPr>
          <w:lang w:val="es-ES_tradnl"/>
        </w:rPr>
        <w:t xml:space="preserve">el Comité Consultivo y el Consejo (informe verbal del </w:t>
      </w:r>
      <w:r w:rsidR="003755BA" w:rsidRPr="00532648">
        <w:rPr>
          <w:lang w:val="es-ES_tradnl"/>
        </w:rPr>
        <w:t>secretario general adjunto</w:t>
      </w:r>
      <w:r w:rsidRPr="00532648">
        <w:rPr>
          <w:lang w:val="es-ES_tradnl"/>
        </w:rPr>
        <w:t>)</w:t>
      </w:r>
      <w:bookmarkEnd w:id="5"/>
    </w:p>
    <w:p w:rsidR="00273DB6" w:rsidRPr="000B03FD" w:rsidRDefault="00273DB6" w:rsidP="00273DB6">
      <w:pPr>
        <w:keepNext/>
        <w:rPr>
          <w:snapToGrid w:val="0"/>
        </w:rPr>
      </w:pPr>
    </w:p>
    <w:p w:rsidR="00273DB6" w:rsidRPr="00D51062" w:rsidRDefault="007D43C5" w:rsidP="00273DB6">
      <w:pPr>
        <w:keepNext/>
      </w:pPr>
      <w:r w:rsidRPr="00D51062">
        <w:fldChar w:fldCharType="begin"/>
      </w:r>
      <w:r w:rsidR="00273DB6" w:rsidRPr="00D51062">
        <w:instrText xml:space="preserve"> AUTONUM  </w:instrText>
      </w:r>
      <w:r w:rsidRPr="00D51062">
        <w:fldChar w:fldCharType="end"/>
      </w:r>
      <w:r w:rsidR="00273DB6" w:rsidRPr="00D51062">
        <w:tab/>
      </w:r>
      <w:r w:rsidR="00532648" w:rsidRPr="00532648">
        <w:t xml:space="preserve">El TC examinó el documento TC/53/10 y asistió a una ponencia a cargo del </w:t>
      </w:r>
      <w:r w:rsidR="003755BA" w:rsidRPr="00532648">
        <w:t>secretario general adjunto</w:t>
      </w:r>
      <w:r w:rsidR="007829E4">
        <w:t xml:space="preserve">, </w:t>
      </w:r>
      <w:r w:rsidR="00532648" w:rsidRPr="00532648">
        <w:t>de la cual el Comité observó que figura una copia (únicamente en inglés) como adición a dicho documento.</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532648" w:rsidRPr="00532648">
        <w:t>El TC tomó nota de las novedades acaecidas en la UPOV desde su quincuagésima segunda sesión que no se abordaron en el marco de puntos del orden del día concretos de su quincuagésima tercera sesión</w:t>
      </w:r>
      <w:r w:rsidR="007829E4">
        <w:t xml:space="preserve">, </w:t>
      </w:r>
      <w:r w:rsidR="00532648" w:rsidRPr="00532648">
        <w:t>sin excluir las cuestiones pertinentes debatidas en las últimas sesiones del Comité Administrativo y Jurídico (CAJ)</w:t>
      </w:r>
      <w:r w:rsidR="007829E4">
        <w:t xml:space="preserve">, </w:t>
      </w:r>
      <w:r w:rsidR="00532648" w:rsidRPr="00532648">
        <w:t>el Comité Consultivo y el Consejo</w:t>
      </w:r>
      <w:r w:rsidR="007829E4">
        <w:t xml:space="preserve">, </w:t>
      </w:r>
      <w:r w:rsidR="00532648" w:rsidRPr="00532648">
        <w:t>según consta en los párrafos</w:t>
      </w:r>
      <w:r w:rsidR="007829E4">
        <w:t> </w:t>
      </w:r>
      <w:r w:rsidR="007829E4" w:rsidRPr="00532648">
        <w:t>4</w:t>
      </w:r>
      <w:r w:rsidR="00532648" w:rsidRPr="00532648">
        <w:t xml:space="preserve"> a</w:t>
      </w:r>
      <w:r w:rsidR="007829E4">
        <w:t> </w:t>
      </w:r>
      <w:r w:rsidR="007829E4" w:rsidRPr="00532648">
        <w:t>4</w:t>
      </w:r>
      <w:r w:rsidR="00532648" w:rsidRPr="00532648">
        <w:t>7 del documento TC/53/10.</w:t>
      </w:r>
    </w:p>
    <w:p w:rsidR="00273DB6" w:rsidRPr="00D51062" w:rsidRDefault="00273DB6" w:rsidP="00273DB6"/>
    <w:p w:rsidR="00273DB6" w:rsidRPr="009B196C" w:rsidRDefault="00273DB6" w:rsidP="00273DB6">
      <w:pPr>
        <w:pStyle w:val="Heading2"/>
        <w:rPr>
          <w:lang w:val="es-ES"/>
        </w:rPr>
      </w:pPr>
    </w:p>
    <w:p w:rsidR="00273DB6" w:rsidRPr="009B196C" w:rsidRDefault="00532648" w:rsidP="00273DB6">
      <w:pPr>
        <w:pStyle w:val="Heading2"/>
        <w:rPr>
          <w:rFonts w:cs="Arial"/>
          <w:snapToGrid w:val="0"/>
          <w:lang w:val="es-ES"/>
        </w:rPr>
      </w:pPr>
      <w:bookmarkStart w:id="6" w:name="_Toc492290033"/>
      <w:r w:rsidRPr="00532648">
        <w:rPr>
          <w:lang w:val="es-ES_tradnl"/>
        </w:rPr>
        <w:t>Organización de las sesiones de la UPOV</w:t>
      </w:r>
      <w:bookmarkEnd w:id="6"/>
    </w:p>
    <w:p w:rsidR="00273DB6" w:rsidRPr="00D51062" w:rsidRDefault="00273DB6" w:rsidP="00273DB6">
      <w:pPr>
        <w:ind w:left="567" w:hanging="567"/>
        <w:rPr>
          <w:rFonts w:cs="Arial"/>
          <w:snapToGrid w:val="0"/>
        </w:rPr>
      </w:pPr>
    </w:p>
    <w:p w:rsidR="00273DB6" w:rsidRPr="00D51062" w:rsidRDefault="007D43C5" w:rsidP="00273DB6">
      <w:pPr>
        <w:ind w:left="567" w:hanging="567"/>
        <w:rPr>
          <w:rFonts w:cs="Arial"/>
          <w:snapToGrid w:val="0"/>
        </w:rPr>
      </w:pPr>
      <w:r w:rsidRPr="00D51062">
        <w:rPr>
          <w:rFonts w:cs="Arial"/>
          <w:snapToGrid w:val="0"/>
        </w:rPr>
        <w:fldChar w:fldCharType="begin"/>
      </w:r>
      <w:r w:rsidR="00273DB6" w:rsidRPr="00D51062">
        <w:rPr>
          <w:rFonts w:cs="Arial"/>
          <w:snapToGrid w:val="0"/>
        </w:rPr>
        <w:instrText xml:space="preserve"> AUTONUM  </w:instrText>
      </w:r>
      <w:r w:rsidRPr="00D51062">
        <w:rPr>
          <w:rFonts w:cs="Arial"/>
          <w:snapToGrid w:val="0"/>
        </w:rPr>
        <w:fldChar w:fldCharType="end"/>
      </w:r>
      <w:r w:rsidR="00273DB6" w:rsidRPr="00D51062">
        <w:rPr>
          <w:rFonts w:cs="Arial"/>
          <w:snapToGrid w:val="0"/>
        </w:rPr>
        <w:tab/>
      </w:r>
      <w:r w:rsidR="00532648" w:rsidRPr="00532648">
        <w:rPr>
          <w:rFonts w:cs="Arial"/>
          <w:snapToGrid w:val="0"/>
        </w:rPr>
        <w:t>El TC examinó el documento TC/53/14.</w:t>
      </w:r>
    </w:p>
    <w:p w:rsidR="00273DB6" w:rsidRPr="00D51062" w:rsidRDefault="00273DB6" w:rsidP="00273DB6">
      <w:pPr>
        <w:ind w:left="567" w:hanging="567"/>
        <w:rPr>
          <w:rFonts w:cs="Arial"/>
          <w:snapToGrid w:val="0"/>
        </w:rPr>
      </w:pPr>
    </w:p>
    <w:p w:rsidR="00273DB6" w:rsidRPr="00D51062" w:rsidRDefault="007D43C5" w:rsidP="00273DB6">
      <w:pPr>
        <w:keepNext/>
        <w:rPr>
          <w:rFonts w:cs="Arial"/>
          <w:snapToGrid w:val="0"/>
        </w:rPr>
      </w:pPr>
      <w:r w:rsidRPr="00D51062">
        <w:rPr>
          <w:rFonts w:cs="Arial"/>
          <w:snapToGrid w:val="0"/>
        </w:rPr>
        <w:fldChar w:fldCharType="begin"/>
      </w:r>
      <w:r w:rsidR="00273DB6" w:rsidRPr="00D51062">
        <w:rPr>
          <w:rFonts w:cs="Arial"/>
          <w:snapToGrid w:val="0"/>
        </w:rPr>
        <w:instrText xml:space="preserve"> AUTONUM  </w:instrText>
      </w:r>
      <w:r w:rsidRPr="00D51062">
        <w:rPr>
          <w:rFonts w:cs="Arial"/>
          <w:snapToGrid w:val="0"/>
        </w:rPr>
        <w:fldChar w:fldCharType="end"/>
      </w:r>
      <w:r w:rsidR="00273DB6" w:rsidRPr="00D51062">
        <w:rPr>
          <w:rFonts w:cs="Arial"/>
          <w:snapToGrid w:val="0"/>
        </w:rPr>
        <w:tab/>
      </w:r>
      <w:r w:rsidR="00532648" w:rsidRPr="00A60571">
        <w:rPr>
          <w:rFonts w:cs="Arial"/>
          <w:snapToGrid w:val="0"/>
        </w:rPr>
        <w:t>El TC convino en que las sesiones del TC se podrían organizar en una fecha oportuna comprendida entre finales de octubre y principios de diciembre.</w:t>
      </w:r>
    </w:p>
    <w:p w:rsidR="00273DB6" w:rsidRPr="00D51062" w:rsidRDefault="00273DB6" w:rsidP="00273DB6">
      <w:pPr>
        <w:rPr>
          <w:rFonts w:cs="Arial"/>
          <w:snapToGrid w:val="0"/>
        </w:rPr>
      </w:pPr>
    </w:p>
    <w:p w:rsidR="00273DB6" w:rsidRPr="00D51062" w:rsidRDefault="007D43C5" w:rsidP="00273DB6">
      <w:pPr>
        <w:rPr>
          <w:rFonts w:cs="Arial"/>
          <w:snapToGrid w:val="0"/>
        </w:rPr>
      </w:pPr>
      <w:r w:rsidRPr="00D51062">
        <w:rPr>
          <w:rFonts w:cs="Arial"/>
          <w:snapToGrid w:val="0"/>
        </w:rPr>
        <w:fldChar w:fldCharType="begin"/>
      </w:r>
      <w:r w:rsidR="00273DB6" w:rsidRPr="00D51062">
        <w:rPr>
          <w:rFonts w:cs="Arial"/>
          <w:snapToGrid w:val="0"/>
        </w:rPr>
        <w:instrText xml:space="preserve"> AUTONUM  </w:instrText>
      </w:r>
      <w:r w:rsidRPr="00D51062">
        <w:rPr>
          <w:rFonts w:cs="Arial"/>
          <w:snapToGrid w:val="0"/>
        </w:rPr>
        <w:fldChar w:fldCharType="end"/>
      </w:r>
      <w:r w:rsidR="00273DB6" w:rsidRPr="00D51062">
        <w:rPr>
          <w:rFonts w:cs="Arial"/>
          <w:snapToGrid w:val="0"/>
        </w:rPr>
        <w:tab/>
      </w:r>
      <w:r w:rsidR="00A60571" w:rsidRPr="00A9119D">
        <w:rPr>
          <w:rFonts w:cs="Arial"/>
          <w:snapToGrid w:val="0"/>
        </w:rPr>
        <w:t>El TC convino en proponer que aquellas directrices de examen que no sea posible preparar a tiempo para que el Comité Técnico las apruebe en su sesión se puedan aprobar por correspondencia teniendo en cuenta las recomendaciones formuladas por el TC</w:t>
      </w:r>
      <w:r w:rsidR="00A60571" w:rsidRPr="00A9119D">
        <w:rPr>
          <w:rFonts w:cs="Arial"/>
          <w:snapToGrid w:val="0"/>
        </w:rPr>
        <w:noBreakHyphen/>
        <w:t>EDC.</w:t>
      </w:r>
      <w:r w:rsidR="00273DB6" w:rsidRPr="00D51062">
        <w:t xml:space="preserve"> </w:t>
      </w:r>
      <w:r w:rsidR="00273DB6" w:rsidRPr="00D51062">
        <w:rPr>
          <w:rFonts w:cs="Arial"/>
          <w:snapToGrid w:val="0"/>
        </w:rPr>
        <w:t xml:space="preserve"> </w:t>
      </w:r>
      <w:r w:rsidR="00A9119D" w:rsidRPr="00234FAB">
        <w:rPr>
          <w:rFonts w:cs="Arial"/>
          <w:snapToGrid w:val="0"/>
        </w:rPr>
        <w:t>El TC convino en que el TC</w:t>
      </w:r>
      <w:r w:rsidR="00A9119D" w:rsidRPr="00234FAB">
        <w:rPr>
          <w:rFonts w:cs="Arial"/>
          <w:snapToGrid w:val="0"/>
        </w:rPr>
        <w:noBreakHyphen/>
        <w:t>EDC debe reunirse dos veces al año</w:t>
      </w:r>
      <w:r w:rsidR="007829E4">
        <w:rPr>
          <w:rFonts w:cs="Arial"/>
          <w:snapToGrid w:val="0"/>
        </w:rPr>
        <w:t xml:space="preserve">:  </w:t>
      </w:r>
      <w:r w:rsidR="00A9119D" w:rsidRPr="00234FAB">
        <w:rPr>
          <w:rFonts w:cs="Arial"/>
          <w:snapToGrid w:val="0"/>
        </w:rPr>
        <w:t>una vez durante el período marzo/abril y otra en paralelo a las sesiones del TC que tienen lugar en un período posterior del mismo año.</w:t>
      </w:r>
      <w:r w:rsidR="00273DB6" w:rsidRPr="00D51062">
        <w:rPr>
          <w:rFonts w:cs="Arial"/>
          <w:snapToGrid w:val="0"/>
        </w:rPr>
        <w:t xml:space="preserve">  </w:t>
      </w:r>
    </w:p>
    <w:p w:rsidR="00273DB6" w:rsidRPr="00D51062" w:rsidRDefault="00273DB6" w:rsidP="00273DB6">
      <w:pPr>
        <w:ind w:left="567" w:hanging="567"/>
        <w:rPr>
          <w:rFonts w:cs="Arial"/>
          <w:snapToGrid w:val="0"/>
        </w:rPr>
      </w:pPr>
    </w:p>
    <w:p w:rsidR="00273DB6" w:rsidRPr="00D51062" w:rsidRDefault="007D43C5" w:rsidP="00273DB6">
      <w:pPr>
        <w:rPr>
          <w:rFonts w:cs="Arial"/>
          <w:snapToGrid w:val="0"/>
        </w:rPr>
      </w:pPr>
      <w:r w:rsidRPr="00D51062">
        <w:rPr>
          <w:rFonts w:cs="Arial"/>
          <w:snapToGrid w:val="0"/>
        </w:rPr>
        <w:fldChar w:fldCharType="begin"/>
      </w:r>
      <w:r w:rsidR="00273DB6" w:rsidRPr="00D51062">
        <w:rPr>
          <w:rFonts w:cs="Arial"/>
          <w:snapToGrid w:val="0"/>
        </w:rPr>
        <w:instrText xml:space="preserve"> AUTONUM  </w:instrText>
      </w:r>
      <w:r w:rsidRPr="00D51062">
        <w:rPr>
          <w:rFonts w:cs="Arial"/>
          <w:snapToGrid w:val="0"/>
        </w:rPr>
        <w:fldChar w:fldCharType="end"/>
      </w:r>
      <w:r w:rsidR="00273DB6" w:rsidRPr="00D51062">
        <w:rPr>
          <w:rFonts w:cs="Arial"/>
          <w:snapToGrid w:val="0"/>
        </w:rPr>
        <w:tab/>
      </w:r>
      <w:r w:rsidR="00234FAB" w:rsidRPr="00234FAB">
        <w:rPr>
          <w:rFonts w:cs="Arial"/>
          <w:snapToGrid w:val="0"/>
        </w:rPr>
        <w:t>El TC convino en tomar las siguientes medidas para</w:t>
      </w:r>
      <w:r w:rsidR="007829E4">
        <w:rPr>
          <w:rFonts w:cs="Arial"/>
          <w:snapToGrid w:val="0"/>
        </w:rPr>
        <w:t> </w:t>
      </w:r>
      <w:r w:rsidR="007829E4" w:rsidRPr="00234FAB">
        <w:rPr>
          <w:rFonts w:cs="Arial"/>
          <w:snapToGrid w:val="0"/>
        </w:rPr>
        <w:t>2</w:t>
      </w:r>
      <w:r w:rsidR="00234FAB" w:rsidRPr="00234FAB">
        <w:rPr>
          <w:rFonts w:cs="Arial"/>
          <w:snapToGrid w:val="0"/>
        </w:rPr>
        <w:t>018 ante la eventualidad de que el Consejo decida que este Comité celebre su quincuagésima cuarta sesión a finales de ese año:</w:t>
      </w:r>
      <w:r w:rsidR="00273DB6" w:rsidRPr="00D51062">
        <w:rPr>
          <w:rFonts w:cs="Arial"/>
          <w:snapToGrid w:val="0"/>
        </w:rPr>
        <w:t xml:space="preserve">  </w:t>
      </w:r>
    </w:p>
    <w:p w:rsidR="00273DB6" w:rsidRPr="00D51062" w:rsidRDefault="00273DB6" w:rsidP="00273DB6">
      <w:pPr>
        <w:rPr>
          <w:rFonts w:cs="Arial"/>
          <w:iCs/>
          <w:snapToGrid w:val="0"/>
        </w:rPr>
      </w:pPr>
    </w:p>
    <w:p w:rsidR="00273DB6" w:rsidRPr="00D51062" w:rsidRDefault="00F43526" w:rsidP="00273DB6">
      <w:pPr>
        <w:numPr>
          <w:ilvl w:val="0"/>
          <w:numId w:val="1"/>
        </w:numPr>
        <w:tabs>
          <w:tab w:val="left" w:pos="1701"/>
        </w:tabs>
        <w:ind w:left="1134" w:hanging="567"/>
        <w:rPr>
          <w:rFonts w:cs="Arial"/>
          <w:iCs/>
          <w:snapToGrid w:val="0"/>
        </w:rPr>
      </w:pPr>
      <w:r w:rsidRPr="00F43526">
        <w:rPr>
          <w:rFonts w:cs="Arial"/>
          <w:iCs/>
          <w:snapToGrid w:val="0"/>
        </w:rPr>
        <w:t>en el caso de las directrices de examen que se sometan a aprobación en</w:t>
      </w:r>
      <w:r w:rsidR="007829E4">
        <w:rPr>
          <w:rFonts w:cs="Arial"/>
          <w:iCs/>
          <w:snapToGrid w:val="0"/>
        </w:rPr>
        <w:t> </w:t>
      </w:r>
      <w:r w:rsidR="007829E4" w:rsidRPr="00F43526">
        <w:rPr>
          <w:rFonts w:cs="Arial"/>
          <w:iCs/>
          <w:snapToGrid w:val="0"/>
        </w:rPr>
        <w:t>2</w:t>
      </w:r>
      <w:r w:rsidRPr="00F43526">
        <w:rPr>
          <w:rFonts w:cs="Arial"/>
          <w:iCs/>
          <w:snapToGrid w:val="0"/>
        </w:rPr>
        <w:t>018</w:t>
      </w:r>
      <w:r w:rsidR="007829E4">
        <w:rPr>
          <w:rFonts w:cs="Arial"/>
          <w:iCs/>
          <w:snapToGrid w:val="0"/>
        </w:rPr>
        <w:t xml:space="preserve">, </w:t>
      </w:r>
      <w:r w:rsidRPr="00F43526">
        <w:rPr>
          <w:rFonts w:cs="Arial"/>
          <w:iCs/>
          <w:snapToGrid w:val="0"/>
        </w:rPr>
        <w:t>emplear el siguiente procedimiento de aprobación por correspondencia:</w:t>
      </w:r>
    </w:p>
    <w:p w:rsidR="00273DB6" w:rsidRPr="00D51062" w:rsidRDefault="00273DB6" w:rsidP="00273DB6">
      <w:pPr>
        <w:tabs>
          <w:tab w:val="left" w:pos="1701"/>
        </w:tabs>
        <w:ind w:left="1134" w:hanging="567"/>
        <w:rPr>
          <w:rFonts w:cs="Arial"/>
          <w:iCs/>
          <w:snapToGrid w:val="0"/>
        </w:rPr>
      </w:pPr>
    </w:p>
    <w:p w:rsidR="00273DB6" w:rsidRPr="00D51062" w:rsidRDefault="00F43526" w:rsidP="00273DB6">
      <w:pPr>
        <w:numPr>
          <w:ilvl w:val="1"/>
          <w:numId w:val="1"/>
        </w:numPr>
        <w:tabs>
          <w:tab w:val="left" w:pos="1701"/>
        </w:tabs>
        <w:ind w:left="1701" w:hanging="567"/>
        <w:rPr>
          <w:rFonts w:cs="Arial"/>
          <w:iCs/>
          <w:snapToGrid w:val="0"/>
        </w:rPr>
      </w:pPr>
      <w:r w:rsidRPr="00F43526">
        <w:rPr>
          <w:rFonts w:cs="Arial"/>
          <w:iCs/>
          <w:snapToGrid w:val="0"/>
        </w:rPr>
        <w:t>los proyectos de directrices de examen se elaborarán según lo acordado por los TWP y se distribuirán junto con las recomendaciones del TC</w:t>
      </w:r>
      <w:r w:rsidRPr="00F43526">
        <w:rPr>
          <w:rFonts w:cs="Arial"/>
          <w:iCs/>
          <w:snapToGrid w:val="0"/>
        </w:rPr>
        <w:noBreakHyphen/>
        <w:t>EDC;</w:t>
      </w:r>
    </w:p>
    <w:p w:rsidR="00273DB6" w:rsidRPr="00D51062" w:rsidRDefault="00F43526" w:rsidP="00273DB6">
      <w:pPr>
        <w:numPr>
          <w:ilvl w:val="1"/>
          <w:numId w:val="1"/>
        </w:numPr>
        <w:tabs>
          <w:tab w:val="left" w:pos="1701"/>
        </w:tabs>
        <w:ind w:left="1701" w:hanging="567"/>
        <w:rPr>
          <w:rFonts w:cs="Arial"/>
          <w:iCs/>
          <w:snapToGrid w:val="0"/>
        </w:rPr>
      </w:pPr>
      <w:r w:rsidRPr="00F43526">
        <w:rPr>
          <w:rFonts w:cs="Arial"/>
          <w:iCs/>
          <w:snapToGrid w:val="0"/>
        </w:rPr>
        <w:t>si no hay objeciones</w:t>
      </w:r>
      <w:r w:rsidR="007829E4">
        <w:rPr>
          <w:rFonts w:cs="Arial"/>
          <w:iCs/>
          <w:snapToGrid w:val="0"/>
        </w:rPr>
        <w:t xml:space="preserve">, </w:t>
      </w:r>
      <w:r w:rsidRPr="00F43526">
        <w:rPr>
          <w:rFonts w:cs="Arial"/>
          <w:iCs/>
          <w:snapToGrid w:val="0"/>
        </w:rPr>
        <w:t>se aprobarán las directrices de examen;</w:t>
      </w:r>
      <w:r w:rsidR="00273DB6" w:rsidRPr="00D51062">
        <w:rPr>
          <w:rFonts w:cs="Arial"/>
          <w:iCs/>
          <w:snapToGrid w:val="0"/>
        </w:rPr>
        <w:t xml:space="preserve"> </w:t>
      </w:r>
    </w:p>
    <w:p w:rsidR="00273DB6" w:rsidRPr="00D51062" w:rsidRDefault="00F43526" w:rsidP="00273DB6">
      <w:pPr>
        <w:numPr>
          <w:ilvl w:val="1"/>
          <w:numId w:val="1"/>
        </w:numPr>
        <w:tabs>
          <w:tab w:val="left" w:pos="1701"/>
        </w:tabs>
        <w:ind w:left="1701" w:hanging="567"/>
        <w:rPr>
          <w:rFonts w:cs="Arial"/>
          <w:iCs/>
          <w:snapToGrid w:val="0"/>
        </w:rPr>
      </w:pPr>
      <w:r w:rsidRPr="00F43526">
        <w:rPr>
          <w:rFonts w:cs="Arial"/>
          <w:iCs/>
          <w:snapToGrid w:val="0"/>
        </w:rPr>
        <w:t>en caso de haber objeciones</w:t>
      </w:r>
      <w:r w:rsidR="007829E4">
        <w:rPr>
          <w:rFonts w:cs="Arial"/>
          <w:iCs/>
          <w:snapToGrid w:val="0"/>
        </w:rPr>
        <w:t xml:space="preserve">, </w:t>
      </w:r>
      <w:r w:rsidRPr="00F43526">
        <w:rPr>
          <w:rFonts w:cs="Arial"/>
          <w:iCs/>
          <w:snapToGrid w:val="0"/>
        </w:rPr>
        <w:t>estas se remitirán al TWP pertinente</w:t>
      </w:r>
      <w:r w:rsidR="007829E4">
        <w:rPr>
          <w:rFonts w:cs="Arial"/>
          <w:iCs/>
          <w:snapToGrid w:val="0"/>
        </w:rPr>
        <w:t xml:space="preserve">, </w:t>
      </w:r>
      <w:r w:rsidRPr="00F43526">
        <w:rPr>
          <w:rFonts w:cs="Arial"/>
          <w:iCs/>
          <w:snapToGrid w:val="0"/>
        </w:rPr>
        <w:t>para que las examine en su reunión de</w:t>
      </w:r>
      <w:r w:rsidR="007829E4">
        <w:rPr>
          <w:rFonts w:cs="Arial"/>
          <w:iCs/>
          <w:snapToGrid w:val="0"/>
        </w:rPr>
        <w:t> </w:t>
      </w:r>
      <w:r w:rsidR="007829E4" w:rsidRPr="00F43526">
        <w:rPr>
          <w:rFonts w:cs="Arial"/>
          <w:iCs/>
          <w:snapToGrid w:val="0"/>
        </w:rPr>
        <w:t>2</w:t>
      </w:r>
      <w:r w:rsidRPr="00F43526">
        <w:rPr>
          <w:rFonts w:cs="Arial"/>
          <w:iCs/>
          <w:snapToGrid w:val="0"/>
        </w:rPr>
        <w:t>018</w:t>
      </w:r>
      <w:r w:rsidR="007829E4">
        <w:rPr>
          <w:rFonts w:cs="Arial"/>
          <w:iCs/>
          <w:snapToGrid w:val="0"/>
        </w:rPr>
        <w:t xml:space="preserve">, </w:t>
      </w:r>
      <w:r w:rsidRPr="00F43526">
        <w:rPr>
          <w:rFonts w:cs="Arial"/>
          <w:iCs/>
          <w:snapToGrid w:val="0"/>
        </w:rPr>
        <w:t>y el TC examinará las directrices de examen para su aprobación en su quincuagésima cuarta sesión</w:t>
      </w:r>
      <w:r w:rsidR="007829E4">
        <w:rPr>
          <w:rFonts w:cs="Arial"/>
          <w:iCs/>
          <w:snapToGrid w:val="0"/>
        </w:rPr>
        <w:t xml:space="preserve">, </w:t>
      </w:r>
      <w:r w:rsidRPr="00F43526">
        <w:rPr>
          <w:rFonts w:cs="Arial"/>
          <w:iCs/>
          <w:snapToGrid w:val="0"/>
        </w:rPr>
        <w:t>el mismo año;</w:t>
      </w:r>
    </w:p>
    <w:p w:rsidR="00273DB6" w:rsidRPr="00D51062" w:rsidRDefault="00F43526" w:rsidP="00273DB6">
      <w:pPr>
        <w:numPr>
          <w:ilvl w:val="1"/>
          <w:numId w:val="1"/>
        </w:numPr>
        <w:tabs>
          <w:tab w:val="left" w:pos="1701"/>
        </w:tabs>
        <w:ind w:left="1701" w:hanging="567"/>
        <w:rPr>
          <w:rFonts w:cs="Arial"/>
          <w:iCs/>
          <w:snapToGrid w:val="0"/>
        </w:rPr>
      </w:pPr>
      <w:r w:rsidRPr="00F43526">
        <w:rPr>
          <w:rFonts w:cs="Arial"/>
          <w:iCs/>
          <w:snapToGrid w:val="0"/>
        </w:rPr>
        <w:t>el TC</w:t>
      </w:r>
      <w:r w:rsidRPr="00F43526">
        <w:rPr>
          <w:rFonts w:cs="Arial"/>
          <w:iCs/>
          <w:snapToGrid w:val="0"/>
        </w:rPr>
        <w:noBreakHyphen/>
        <w:t>EDC se reunirá los días</w:t>
      </w:r>
      <w:r w:rsidR="007829E4">
        <w:rPr>
          <w:rFonts w:cs="Arial"/>
          <w:iCs/>
          <w:snapToGrid w:val="0"/>
        </w:rPr>
        <w:t> </w:t>
      </w:r>
      <w:r w:rsidR="007829E4" w:rsidRPr="00F43526">
        <w:rPr>
          <w:rFonts w:cs="Arial"/>
          <w:iCs/>
          <w:snapToGrid w:val="0"/>
        </w:rPr>
        <w:t>2</w:t>
      </w:r>
      <w:r w:rsidRPr="00F43526">
        <w:rPr>
          <w:rFonts w:cs="Arial"/>
          <w:iCs/>
          <w:snapToGrid w:val="0"/>
        </w:rPr>
        <w:t>6 y</w:t>
      </w:r>
      <w:r w:rsidR="007829E4">
        <w:rPr>
          <w:rFonts w:cs="Arial"/>
          <w:iCs/>
          <w:snapToGrid w:val="0"/>
        </w:rPr>
        <w:t> </w:t>
      </w:r>
      <w:r w:rsidR="007829E4" w:rsidRPr="00F43526">
        <w:rPr>
          <w:rFonts w:cs="Arial"/>
          <w:iCs/>
          <w:snapToGrid w:val="0"/>
        </w:rPr>
        <w:t>2</w:t>
      </w:r>
      <w:r w:rsidRPr="00F43526">
        <w:rPr>
          <w:rFonts w:cs="Arial"/>
          <w:iCs/>
          <w:snapToGrid w:val="0"/>
        </w:rPr>
        <w:t>7 de marzo de</w:t>
      </w:r>
      <w:r w:rsidR="007829E4">
        <w:rPr>
          <w:rFonts w:cs="Arial"/>
          <w:iCs/>
          <w:snapToGrid w:val="0"/>
        </w:rPr>
        <w:t> </w:t>
      </w:r>
      <w:r w:rsidR="007829E4" w:rsidRPr="00F43526">
        <w:rPr>
          <w:rFonts w:cs="Arial"/>
          <w:iCs/>
          <w:snapToGrid w:val="0"/>
        </w:rPr>
        <w:t>2</w:t>
      </w:r>
      <w:r w:rsidRPr="00F43526">
        <w:rPr>
          <w:rFonts w:cs="Arial"/>
          <w:iCs/>
          <w:snapToGrid w:val="0"/>
        </w:rPr>
        <w:t>018 y</w:t>
      </w:r>
      <w:r w:rsidR="007829E4">
        <w:rPr>
          <w:rFonts w:cs="Arial"/>
          <w:iCs/>
          <w:snapToGrid w:val="0"/>
        </w:rPr>
        <w:t xml:space="preserve">, </w:t>
      </w:r>
      <w:r w:rsidRPr="00F43526">
        <w:rPr>
          <w:rFonts w:cs="Arial"/>
          <w:iCs/>
          <w:snapToGrid w:val="0"/>
        </w:rPr>
        <w:t>de ser necesario</w:t>
      </w:r>
      <w:r w:rsidR="007829E4">
        <w:rPr>
          <w:rFonts w:cs="Arial"/>
          <w:iCs/>
          <w:snapToGrid w:val="0"/>
        </w:rPr>
        <w:t xml:space="preserve">, </w:t>
      </w:r>
      <w:r w:rsidRPr="00F43526">
        <w:rPr>
          <w:rFonts w:cs="Arial"/>
          <w:iCs/>
          <w:snapToGrid w:val="0"/>
        </w:rPr>
        <w:t>paralelamente a la quincuagésima cuarta sesión del TC que se celebrará ese mismo año.</w:t>
      </w:r>
    </w:p>
    <w:p w:rsidR="00273DB6" w:rsidRPr="00D51062" w:rsidRDefault="00273DB6" w:rsidP="00273DB6">
      <w:pPr>
        <w:tabs>
          <w:tab w:val="left" w:pos="1701"/>
        </w:tabs>
        <w:ind w:left="1134" w:hanging="567"/>
        <w:rPr>
          <w:rFonts w:cs="Arial"/>
          <w:iCs/>
          <w:snapToGrid w:val="0"/>
        </w:rPr>
      </w:pPr>
    </w:p>
    <w:p w:rsidR="00273DB6" w:rsidRPr="00D51062" w:rsidRDefault="00F43526" w:rsidP="00273DB6">
      <w:pPr>
        <w:numPr>
          <w:ilvl w:val="0"/>
          <w:numId w:val="1"/>
        </w:numPr>
        <w:tabs>
          <w:tab w:val="left" w:pos="1701"/>
        </w:tabs>
        <w:ind w:left="1134" w:hanging="567"/>
        <w:rPr>
          <w:rFonts w:cs="Arial"/>
          <w:iCs/>
          <w:snapToGrid w:val="0"/>
        </w:rPr>
      </w:pPr>
      <w:r w:rsidRPr="00F43526">
        <w:rPr>
          <w:rFonts w:cs="Arial"/>
          <w:iCs/>
          <w:snapToGrid w:val="0"/>
        </w:rPr>
        <w:t>en el caso de los documentos TGP</w:t>
      </w:r>
      <w:r w:rsidR="007829E4">
        <w:rPr>
          <w:rFonts w:cs="Arial"/>
          <w:iCs/>
          <w:snapToGrid w:val="0"/>
        </w:rPr>
        <w:t xml:space="preserve">, </w:t>
      </w:r>
      <w:r w:rsidRPr="00F43526">
        <w:rPr>
          <w:rFonts w:cs="Arial"/>
          <w:iCs/>
          <w:snapToGrid w:val="0"/>
        </w:rPr>
        <w:t>se invitará al TC</w:t>
      </w:r>
      <w:r w:rsidRPr="00F43526">
        <w:rPr>
          <w:rFonts w:cs="Arial"/>
          <w:iCs/>
          <w:snapToGrid w:val="0"/>
        </w:rPr>
        <w:noBreakHyphen/>
        <w:t xml:space="preserve">EDC a agrupar los comentarios formulados por los </w:t>
      </w:r>
      <w:r w:rsidR="000A5723" w:rsidRPr="00F43526">
        <w:rPr>
          <w:rFonts w:cs="Arial"/>
          <w:iCs/>
          <w:snapToGrid w:val="0"/>
        </w:rPr>
        <w:t>grupos de trabajo técnico</w:t>
      </w:r>
      <w:r w:rsidRPr="00F43526">
        <w:rPr>
          <w:rFonts w:cs="Arial"/>
          <w:iCs/>
          <w:snapToGrid w:val="0"/>
        </w:rPr>
        <w:t xml:space="preserve"> en sus reuniones de</w:t>
      </w:r>
      <w:r w:rsidR="007829E4">
        <w:rPr>
          <w:rFonts w:cs="Arial"/>
          <w:iCs/>
          <w:snapToGrid w:val="0"/>
        </w:rPr>
        <w:t> </w:t>
      </w:r>
      <w:r w:rsidR="007829E4" w:rsidRPr="00F43526">
        <w:rPr>
          <w:rFonts w:cs="Arial"/>
          <w:iCs/>
          <w:snapToGrid w:val="0"/>
        </w:rPr>
        <w:t>2</w:t>
      </w:r>
      <w:r w:rsidRPr="00F43526">
        <w:rPr>
          <w:rFonts w:cs="Arial"/>
          <w:iCs/>
          <w:snapToGrid w:val="0"/>
        </w:rPr>
        <w:t>017 y</w:t>
      </w:r>
      <w:r w:rsidR="007829E4">
        <w:rPr>
          <w:rFonts w:cs="Arial"/>
          <w:iCs/>
          <w:snapToGrid w:val="0"/>
        </w:rPr>
        <w:t xml:space="preserve">, </w:t>
      </w:r>
      <w:r w:rsidRPr="00F43526">
        <w:rPr>
          <w:rFonts w:cs="Arial"/>
          <w:iCs/>
          <w:snapToGrid w:val="0"/>
        </w:rPr>
        <w:t>si no existe consenso entre los TWP</w:t>
      </w:r>
      <w:r w:rsidR="007829E4">
        <w:rPr>
          <w:rFonts w:cs="Arial"/>
          <w:iCs/>
          <w:snapToGrid w:val="0"/>
        </w:rPr>
        <w:t xml:space="preserve">, </w:t>
      </w:r>
      <w:r w:rsidRPr="00F43526">
        <w:rPr>
          <w:rFonts w:cs="Arial"/>
          <w:iCs/>
          <w:snapToGrid w:val="0"/>
        </w:rPr>
        <w:t>formular propuestas para su ulterior examen por estos grupos en sus reuniones de</w:t>
      </w:r>
      <w:r w:rsidR="007829E4">
        <w:rPr>
          <w:rFonts w:cs="Arial"/>
          <w:iCs/>
          <w:snapToGrid w:val="0"/>
        </w:rPr>
        <w:t> </w:t>
      </w:r>
      <w:r w:rsidR="007829E4" w:rsidRPr="00F43526">
        <w:rPr>
          <w:rFonts w:cs="Arial"/>
          <w:iCs/>
          <w:snapToGrid w:val="0"/>
        </w:rPr>
        <w:t>2</w:t>
      </w:r>
      <w:r w:rsidRPr="00F43526">
        <w:rPr>
          <w:rFonts w:cs="Arial"/>
          <w:iCs/>
          <w:snapToGrid w:val="0"/>
        </w:rPr>
        <w:t>018;</w:t>
      </w:r>
      <w:r w:rsidR="00273DB6">
        <w:rPr>
          <w:rFonts w:cs="Arial"/>
          <w:iCs/>
          <w:snapToGrid w:val="0"/>
        </w:rPr>
        <w:t xml:space="preserve"> </w:t>
      </w:r>
    </w:p>
    <w:p w:rsidR="00273DB6" w:rsidRPr="00D51062" w:rsidRDefault="00273DB6" w:rsidP="00273DB6">
      <w:pPr>
        <w:tabs>
          <w:tab w:val="left" w:pos="1701"/>
        </w:tabs>
        <w:ind w:left="1134" w:hanging="567"/>
        <w:rPr>
          <w:rFonts w:cs="Arial"/>
          <w:iCs/>
          <w:snapToGrid w:val="0"/>
        </w:rPr>
      </w:pPr>
    </w:p>
    <w:p w:rsidR="00273DB6" w:rsidRPr="00D51062" w:rsidRDefault="00F43526" w:rsidP="00273DB6">
      <w:pPr>
        <w:numPr>
          <w:ilvl w:val="0"/>
          <w:numId w:val="1"/>
        </w:numPr>
        <w:tabs>
          <w:tab w:val="left" w:pos="1701"/>
        </w:tabs>
        <w:ind w:left="1134" w:hanging="567"/>
        <w:rPr>
          <w:rFonts w:cs="Arial"/>
          <w:iCs/>
          <w:snapToGrid w:val="0"/>
        </w:rPr>
      </w:pPr>
      <w:r w:rsidRPr="00F43526">
        <w:rPr>
          <w:rFonts w:cs="Arial"/>
          <w:iCs/>
          <w:snapToGrid w:val="0"/>
        </w:rPr>
        <w:t>los demás asuntos han de ser analizados en la quincuagésima cuarta sesión del TC en</w:t>
      </w:r>
      <w:r w:rsidR="007829E4">
        <w:rPr>
          <w:rFonts w:cs="Arial"/>
          <w:iCs/>
          <w:snapToGrid w:val="0"/>
        </w:rPr>
        <w:t> </w:t>
      </w:r>
      <w:r w:rsidR="007829E4" w:rsidRPr="00F43526">
        <w:rPr>
          <w:rFonts w:cs="Arial"/>
          <w:iCs/>
          <w:snapToGrid w:val="0"/>
        </w:rPr>
        <w:t>2</w:t>
      </w:r>
      <w:r w:rsidRPr="00F43526">
        <w:rPr>
          <w:rFonts w:cs="Arial"/>
          <w:iCs/>
          <w:snapToGrid w:val="0"/>
        </w:rPr>
        <w:t>018 de la manera habitual.</w:t>
      </w:r>
    </w:p>
    <w:p w:rsidR="00273DB6" w:rsidRPr="00D51062" w:rsidRDefault="00273DB6" w:rsidP="00273DB6">
      <w:pPr>
        <w:tabs>
          <w:tab w:val="left" w:pos="1701"/>
        </w:tabs>
        <w:ind w:left="1134" w:hanging="567"/>
        <w:rPr>
          <w:rFonts w:cs="Arial"/>
          <w:snapToGrid w:val="0"/>
        </w:rPr>
      </w:pPr>
    </w:p>
    <w:p w:rsidR="00273DB6" w:rsidRPr="00D51062" w:rsidRDefault="007D43C5" w:rsidP="00273DB6">
      <w:pPr>
        <w:rPr>
          <w:rFonts w:cs="Arial"/>
          <w:snapToGrid w:val="0"/>
        </w:rPr>
      </w:pPr>
      <w:r w:rsidRPr="00D51062">
        <w:rPr>
          <w:rFonts w:cs="Arial"/>
          <w:snapToGrid w:val="0"/>
        </w:rPr>
        <w:fldChar w:fldCharType="begin"/>
      </w:r>
      <w:r w:rsidR="00273DB6" w:rsidRPr="00D51062">
        <w:rPr>
          <w:rFonts w:cs="Arial"/>
          <w:snapToGrid w:val="0"/>
        </w:rPr>
        <w:instrText xml:space="preserve"> AUTONUM  </w:instrText>
      </w:r>
      <w:r w:rsidRPr="00D51062">
        <w:rPr>
          <w:rFonts w:cs="Arial"/>
          <w:snapToGrid w:val="0"/>
        </w:rPr>
        <w:fldChar w:fldCharType="end"/>
      </w:r>
      <w:r w:rsidR="00273DB6" w:rsidRPr="00D51062">
        <w:rPr>
          <w:rFonts w:cs="Arial"/>
          <w:snapToGrid w:val="0"/>
        </w:rPr>
        <w:tab/>
      </w:r>
      <w:r w:rsidR="00F43526" w:rsidRPr="008B7694">
        <w:rPr>
          <w:rFonts w:cs="Arial"/>
          <w:snapToGrid w:val="0"/>
        </w:rPr>
        <w:t>El TC convino en que programar reuniones de los grupos especiales de trabajo durante el período marzo/abril sería contrario a los fines perseguidos con la celebración de una única serie de sesiones</w:t>
      </w:r>
      <w:r w:rsidR="007829E4">
        <w:rPr>
          <w:rFonts w:cs="Arial"/>
          <w:snapToGrid w:val="0"/>
        </w:rPr>
        <w:t xml:space="preserve">, </w:t>
      </w:r>
      <w:r w:rsidR="00F43526" w:rsidRPr="008B7694">
        <w:rPr>
          <w:rFonts w:cs="Arial"/>
          <w:snapToGrid w:val="0"/>
        </w:rPr>
        <w:t>porque sería necesario que los expertos viajaran a Ginebra.</w:t>
      </w:r>
      <w:r w:rsidR="00273DB6" w:rsidRPr="00D51062">
        <w:rPr>
          <w:rFonts w:cs="Arial"/>
          <w:snapToGrid w:val="0"/>
        </w:rPr>
        <w:t xml:space="preserve">  </w:t>
      </w:r>
      <w:r w:rsidR="008B7694" w:rsidRPr="008B7694">
        <w:rPr>
          <w:rFonts w:cs="Arial"/>
          <w:snapToGrid w:val="0"/>
        </w:rPr>
        <w:t>Sin embargo</w:t>
      </w:r>
      <w:r w:rsidR="007829E4">
        <w:rPr>
          <w:rFonts w:cs="Arial"/>
          <w:snapToGrid w:val="0"/>
        </w:rPr>
        <w:t xml:space="preserve">, </w:t>
      </w:r>
      <w:r w:rsidR="008B7694" w:rsidRPr="008B7694">
        <w:rPr>
          <w:rFonts w:cs="Arial"/>
          <w:snapToGrid w:val="0"/>
        </w:rPr>
        <w:t>convino en que celebrar reuniones en ese momento sería una solución eficiente si fuera posible participar por vía electrónica</w:t>
      </w:r>
      <w:r w:rsidR="007829E4">
        <w:rPr>
          <w:rFonts w:cs="Arial"/>
          <w:snapToGrid w:val="0"/>
        </w:rPr>
        <w:t xml:space="preserve">, </w:t>
      </w:r>
      <w:r w:rsidR="008B7694" w:rsidRPr="008B7694">
        <w:rPr>
          <w:rFonts w:cs="Arial"/>
          <w:snapToGrid w:val="0"/>
        </w:rPr>
        <w:t>como sucede con las reuniones del EAF.</w:t>
      </w:r>
    </w:p>
    <w:p w:rsidR="00273DB6" w:rsidRPr="00D51062" w:rsidRDefault="00273DB6" w:rsidP="00273DB6">
      <w:pPr>
        <w:rPr>
          <w:rFonts w:cs="Arial"/>
          <w:snapToGrid w:val="0"/>
        </w:rPr>
      </w:pPr>
    </w:p>
    <w:p w:rsidR="00273DB6" w:rsidRPr="009B196C" w:rsidRDefault="008B7694" w:rsidP="00273DB6">
      <w:pPr>
        <w:pStyle w:val="Heading2"/>
        <w:rPr>
          <w:lang w:val="es-ES"/>
        </w:rPr>
      </w:pPr>
      <w:bookmarkStart w:id="7" w:name="_Toc492290034"/>
      <w:r w:rsidRPr="008B7694">
        <w:rPr>
          <w:snapToGrid w:val="0"/>
          <w:lang w:val="es-ES_tradnl"/>
        </w:rPr>
        <w:t xml:space="preserve">Cuestiones planteadas por los </w:t>
      </w:r>
      <w:r w:rsidR="000A5723" w:rsidRPr="008B7694">
        <w:rPr>
          <w:snapToGrid w:val="0"/>
          <w:lang w:val="es-ES_tradnl"/>
        </w:rPr>
        <w:t>grupos de trabajo técnico</w:t>
      </w:r>
      <w:bookmarkEnd w:id="7"/>
    </w:p>
    <w:p w:rsidR="00273DB6" w:rsidRPr="00D51062" w:rsidRDefault="00273DB6" w:rsidP="00273DB6">
      <w:pPr>
        <w:keepNext/>
        <w:ind w:left="567" w:hanging="567"/>
        <w:rPr>
          <w:rFonts w:cs="Arial"/>
        </w:rPr>
      </w:pPr>
    </w:p>
    <w:p w:rsidR="00273DB6" w:rsidRPr="00D51062" w:rsidRDefault="007D43C5" w:rsidP="00273DB6">
      <w:pPr>
        <w:ind w:left="567" w:hanging="567"/>
        <w:rPr>
          <w:rFonts w:cs="Arial"/>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8B7694" w:rsidRPr="008B7694">
        <w:rPr>
          <w:rFonts w:cs="Arial"/>
        </w:rPr>
        <w:t>El TC examinó el documento TC/53/3.</w:t>
      </w:r>
    </w:p>
    <w:p w:rsidR="00273DB6" w:rsidRPr="00D51062" w:rsidRDefault="00273DB6" w:rsidP="00273DB6">
      <w:pPr>
        <w:tabs>
          <w:tab w:val="left" w:pos="2771"/>
        </w:tabs>
        <w:ind w:left="567" w:hanging="567"/>
        <w:rPr>
          <w:rFonts w:cs="Arial"/>
        </w:rPr>
      </w:pPr>
    </w:p>
    <w:p w:rsidR="00273DB6" w:rsidRPr="00D51062" w:rsidRDefault="007D43C5" w:rsidP="00273DB6">
      <w:pPr>
        <w:tabs>
          <w:tab w:val="left" w:pos="567"/>
          <w:tab w:val="left" w:pos="2771"/>
        </w:tabs>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8B7694" w:rsidRPr="008B7694">
        <w:rPr>
          <w:rFonts w:cs="Arial"/>
        </w:rPr>
        <w:t>TC tomó nota de que</w:t>
      </w:r>
      <w:r w:rsidR="007829E4">
        <w:rPr>
          <w:rFonts w:cs="Arial"/>
        </w:rPr>
        <w:t xml:space="preserve">, </w:t>
      </w:r>
      <w:r w:rsidR="008B7694" w:rsidRPr="008B7694">
        <w:rPr>
          <w:rFonts w:cs="Arial"/>
        </w:rPr>
        <w:t>según la información facilitada por el TWF</w:t>
      </w:r>
      <w:r w:rsidR="007829E4">
        <w:rPr>
          <w:rFonts w:cs="Arial"/>
        </w:rPr>
        <w:t xml:space="preserve">, </w:t>
      </w:r>
      <w:r w:rsidR="008B7694" w:rsidRPr="008B7694">
        <w:rPr>
          <w:rFonts w:cs="Arial"/>
        </w:rPr>
        <w:t>las oficinas de protección de las obtenciones vegetales en algunas ocasiones tienen dificultades para obtener material vegetal de los obtentores</w:t>
      </w:r>
      <w:r w:rsidR="007829E4">
        <w:rPr>
          <w:rFonts w:cs="Arial"/>
        </w:rPr>
        <w:t xml:space="preserve">, </w:t>
      </w:r>
      <w:r w:rsidR="008B7694" w:rsidRPr="008B7694">
        <w:rPr>
          <w:rFonts w:cs="Arial"/>
        </w:rPr>
        <w:t>en especial de las variedades que ya no se comercializan.</w:t>
      </w:r>
      <w:r w:rsidR="00273DB6" w:rsidRPr="00D51062">
        <w:t xml:space="preserve">  </w:t>
      </w:r>
      <w:r w:rsidR="008B7694" w:rsidRPr="008B7694">
        <w:t>El TC tomó nota de que</w:t>
      </w:r>
      <w:r w:rsidR="007829E4">
        <w:t xml:space="preserve">, </w:t>
      </w:r>
      <w:r w:rsidR="008B7694" w:rsidRPr="008B7694">
        <w:t>en ciertos casos</w:t>
      </w:r>
      <w:r w:rsidR="007829E4">
        <w:t xml:space="preserve">, </w:t>
      </w:r>
      <w:r w:rsidR="008B7694" w:rsidRPr="008B7694">
        <w:t>la Unión Europea recordó a los obtentores la necesidad de mantener sus variedades para evitar la posibilidad de la caducidad del derecho de obtentor.</w:t>
      </w:r>
      <w:r w:rsidR="00273DB6" w:rsidRPr="00D51062">
        <w:t xml:space="preserve">  </w:t>
      </w:r>
      <w:r w:rsidR="008B7694" w:rsidRPr="008B7694">
        <w:t>El TC también tomó nota de que Australia recordó a los obtentores la importancia de facilitar material de sus variedades a fin de mantener un sistema eficaz de protección.</w:t>
      </w:r>
      <w:r w:rsidR="00273DB6" w:rsidRPr="00D51062">
        <w:t xml:space="preserve">  </w:t>
      </w:r>
      <w:r w:rsidR="008B7694" w:rsidRPr="008B7694">
        <w:t>Se recordó que los bancos de germoplasma pueden ser una fuente importante de material vegetal para las variedades de reproducción sexuada.</w:t>
      </w:r>
      <w:r w:rsidR="00273DB6" w:rsidRPr="00D51062">
        <w:t xml:space="preserve"> </w:t>
      </w:r>
    </w:p>
    <w:p w:rsidR="00273DB6" w:rsidRPr="00D51062" w:rsidRDefault="00273DB6" w:rsidP="00273DB6">
      <w:pPr>
        <w:tabs>
          <w:tab w:val="left" w:pos="567"/>
          <w:tab w:val="left" w:pos="2771"/>
        </w:tabs>
      </w:pPr>
    </w:p>
    <w:p w:rsidR="00273DB6" w:rsidRPr="00D51062" w:rsidRDefault="007D43C5" w:rsidP="00273DB6">
      <w:pPr>
        <w:tabs>
          <w:tab w:val="left" w:pos="567"/>
          <w:tab w:val="left" w:pos="2771"/>
        </w:tabs>
        <w:rPr>
          <w:rFonts w:cs="Arial"/>
        </w:rPr>
      </w:pPr>
      <w:r w:rsidRPr="00D51062">
        <w:fldChar w:fldCharType="begin"/>
      </w:r>
      <w:r w:rsidR="00273DB6" w:rsidRPr="00D51062">
        <w:instrText xml:space="preserve"> AUTONUM  </w:instrText>
      </w:r>
      <w:r w:rsidRPr="00D51062">
        <w:fldChar w:fldCharType="end"/>
      </w:r>
      <w:r w:rsidR="00273DB6" w:rsidRPr="00D51062">
        <w:tab/>
      </w:r>
      <w:r w:rsidR="001B1993" w:rsidRPr="001B1993">
        <w:t>El TC convino en solicitar a la Oficina de la Unión que distribuya un cuestionario a los miembros de la Unión sobre los enfoques empleados para obtener material de los obtentores</w:t>
      </w:r>
      <w:r w:rsidR="007829E4">
        <w:t xml:space="preserve">, </w:t>
      </w:r>
      <w:r w:rsidR="001B1993" w:rsidRPr="001B1993">
        <w:t>en especial de las variedades que ya no se comercializan.</w:t>
      </w:r>
      <w:r w:rsidR="00273DB6" w:rsidRPr="00D51062">
        <w:t xml:space="preserve">  </w:t>
      </w:r>
      <w:r w:rsidR="00D46E2D" w:rsidRPr="00D46E2D">
        <w:t>El cuestionario también recabará información sobre los enfoques empleados por los miembros de la Unión para decidir sobre las variedades de existencia notoriamente conocida.</w:t>
      </w:r>
      <w:r w:rsidR="00273DB6" w:rsidRPr="00D51062">
        <w:t xml:space="preserve">  </w:t>
      </w:r>
      <w:r w:rsidR="00D46E2D" w:rsidRPr="00D46E2D">
        <w:t>El TC convino en que los resultados del sondeo se presenten a los TWP y al TC en sus sesiones de</w:t>
      </w:r>
      <w:r w:rsidR="007829E4">
        <w:t> </w:t>
      </w:r>
      <w:r w:rsidR="007829E4" w:rsidRPr="00D46E2D">
        <w:t>2</w:t>
      </w:r>
      <w:r w:rsidR="00D46E2D" w:rsidRPr="00D46E2D">
        <w:t>018.</w:t>
      </w:r>
      <w:r w:rsidR="00273DB6" w:rsidRPr="00D51062">
        <w:t xml:space="preserve">  </w:t>
      </w:r>
    </w:p>
    <w:p w:rsidR="00273DB6" w:rsidRPr="00D51062" w:rsidRDefault="00273DB6" w:rsidP="00273DB6">
      <w:pPr>
        <w:tabs>
          <w:tab w:val="left" w:pos="2771"/>
        </w:tabs>
        <w:ind w:left="567" w:hanging="567"/>
        <w:rPr>
          <w:rFonts w:cs="Arial"/>
        </w:rPr>
      </w:pPr>
    </w:p>
    <w:p w:rsidR="00273DB6" w:rsidRPr="00D51062" w:rsidRDefault="007D43C5" w:rsidP="00273DB6">
      <w:pPr>
        <w:keepNext/>
      </w:pPr>
      <w:r w:rsidRPr="00D51062">
        <w:fldChar w:fldCharType="begin"/>
      </w:r>
      <w:r w:rsidR="00273DB6" w:rsidRPr="00D51062">
        <w:instrText xml:space="preserve"> AUTONUM  </w:instrText>
      </w:r>
      <w:r w:rsidRPr="00D51062">
        <w:fldChar w:fldCharType="end"/>
      </w:r>
      <w:r w:rsidR="00273DB6" w:rsidRPr="00D51062">
        <w:tab/>
      </w:r>
      <w:r w:rsidR="00D46E2D" w:rsidRPr="00D46E2D">
        <w:t>El TC tomó nota de las novedades acaecidas en los TWP en relación con las siguientes cuestiones expuestas en el documento TC/53/3:</w:t>
      </w:r>
    </w:p>
    <w:p w:rsidR="00273DB6" w:rsidRPr="00D51062" w:rsidRDefault="00273DB6" w:rsidP="00273DB6">
      <w:pPr>
        <w:keepNext/>
      </w:pPr>
    </w:p>
    <w:p w:rsidR="00273DB6" w:rsidRPr="009B196C" w:rsidRDefault="00D46E2D" w:rsidP="00D46E2D">
      <w:pPr>
        <w:pStyle w:val="ListParagraph"/>
        <w:numPr>
          <w:ilvl w:val="0"/>
          <w:numId w:val="6"/>
        </w:numPr>
        <w:spacing w:after="120" w:line="240" w:lineRule="auto"/>
        <w:ind w:left="1281" w:hanging="357"/>
        <w:contextualSpacing w:val="0"/>
        <w:rPr>
          <w:rFonts w:ascii="Arial" w:hAnsi="Arial" w:cs="Arial"/>
          <w:sz w:val="20"/>
          <w:szCs w:val="20"/>
          <w:lang w:val="es-ES"/>
        </w:rPr>
      </w:pPr>
      <w:r w:rsidRPr="00911A1F">
        <w:rPr>
          <w:rFonts w:ascii="Arial" w:hAnsi="Arial" w:cs="Arial"/>
          <w:sz w:val="20"/>
          <w:szCs w:val="20"/>
          <w:lang w:val="es-ES_tradnl"/>
        </w:rPr>
        <w:t>reducción al mínimo de la variación entre observadores;</w:t>
      </w:r>
    </w:p>
    <w:p w:rsidR="00273DB6" w:rsidRPr="009B196C" w:rsidRDefault="00D46E2D" w:rsidP="00D46E2D">
      <w:pPr>
        <w:pStyle w:val="ListParagraph"/>
        <w:numPr>
          <w:ilvl w:val="0"/>
          <w:numId w:val="6"/>
        </w:numPr>
        <w:spacing w:after="120" w:line="240" w:lineRule="auto"/>
        <w:ind w:left="1281" w:hanging="357"/>
        <w:contextualSpacing w:val="0"/>
        <w:rPr>
          <w:rFonts w:ascii="Arial" w:hAnsi="Arial" w:cs="Arial"/>
          <w:sz w:val="20"/>
          <w:szCs w:val="20"/>
          <w:lang w:val="es-ES"/>
        </w:rPr>
      </w:pPr>
      <w:r w:rsidRPr="00911A1F">
        <w:rPr>
          <w:rFonts w:ascii="Arial" w:hAnsi="Arial" w:cs="Arial"/>
          <w:sz w:val="20"/>
          <w:szCs w:val="20"/>
          <w:lang w:val="es-ES_tradnl"/>
        </w:rPr>
        <w:t>experiencia con nuevos tipos y especies;</w:t>
      </w:r>
    </w:p>
    <w:p w:rsidR="00273DB6" w:rsidRPr="009B196C" w:rsidRDefault="00D46E2D" w:rsidP="00D46E2D">
      <w:pPr>
        <w:pStyle w:val="ListParagraph"/>
        <w:numPr>
          <w:ilvl w:val="0"/>
          <w:numId w:val="6"/>
        </w:numPr>
        <w:spacing w:after="120" w:line="240" w:lineRule="auto"/>
        <w:ind w:left="1281" w:hanging="357"/>
        <w:contextualSpacing w:val="0"/>
        <w:rPr>
          <w:rFonts w:ascii="Arial" w:hAnsi="Arial" w:cs="Arial"/>
          <w:sz w:val="20"/>
          <w:szCs w:val="20"/>
          <w:lang w:val="es-ES"/>
        </w:rPr>
      </w:pPr>
      <w:r w:rsidRPr="00911A1F">
        <w:rPr>
          <w:rFonts w:ascii="Arial" w:hAnsi="Arial" w:cs="Arial"/>
          <w:sz w:val="20"/>
          <w:szCs w:val="20"/>
          <w:lang w:val="es-ES_tradnl"/>
        </w:rPr>
        <w:t>experiencia con la carta de colores RHS y posible añadidura futura de colores;</w:t>
      </w:r>
    </w:p>
    <w:p w:rsidR="00273DB6" w:rsidRPr="009B196C" w:rsidRDefault="00D46E2D" w:rsidP="00D46E2D">
      <w:pPr>
        <w:pStyle w:val="ListParagraph"/>
        <w:numPr>
          <w:ilvl w:val="0"/>
          <w:numId w:val="6"/>
        </w:numPr>
        <w:spacing w:after="120" w:line="240" w:lineRule="auto"/>
        <w:ind w:left="1281" w:hanging="357"/>
        <w:contextualSpacing w:val="0"/>
        <w:rPr>
          <w:rFonts w:ascii="Arial" w:hAnsi="Arial" w:cs="Arial"/>
          <w:sz w:val="20"/>
          <w:szCs w:val="20"/>
          <w:lang w:val="es-ES"/>
        </w:rPr>
      </w:pPr>
      <w:r w:rsidRPr="00911A1F">
        <w:rPr>
          <w:rFonts w:ascii="Arial" w:hAnsi="Arial" w:cs="Arial"/>
          <w:sz w:val="20"/>
          <w:szCs w:val="20"/>
          <w:lang w:val="es-ES_tradnl"/>
        </w:rPr>
        <w:t>variedades de multiplicación vegetativa de una especie que normalmente se propaga mediante semillas;</w:t>
      </w:r>
    </w:p>
    <w:p w:rsidR="00273DB6" w:rsidRPr="00911A1F" w:rsidRDefault="00D46E2D" w:rsidP="00D46E2D">
      <w:pPr>
        <w:pStyle w:val="ListParagraph"/>
        <w:numPr>
          <w:ilvl w:val="0"/>
          <w:numId w:val="6"/>
        </w:numPr>
        <w:spacing w:after="120" w:line="240" w:lineRule="auto"/>
        <w:ind w:left="1281" w:hanging="357"/>
        <w:contextualSpacing w:val="0"/>
        <w:rPr>
          <w:rFonts w:ascii="Arial" w:hAnsi="Arial" w:cs="Arial"/>
          <w:sz w:val="20"/>
          <w:szCs w:val="20"/>
        </w:rPr>
      </w:pPr>
      <w:r w:rsidRPr="00911A1F">
        <w:rPr>
          <w:rFonts w:ascii="Arial" w:hAnsi="Arial" w:cs="Arial"/>
          <w:sz w:val="20"/>
          <w:szCs w:val="20"/>
          <w:lang w:val="es-ES_tradnl"/>
        </w:rPr>
        <w:t>el remojo de semillas;</w:t>
      </w:r>
    </w:p>
    <w:p w:rsidR="00273DB6" w:rsidRPr="009B196C" w:rsidRDefault="00D46E2D" w:rsidP="00D46E2D">
      <w:pPr>
        <w:pStyle w:val="ListParagraph"/>
        <w:numPr>
          <w:ilvl w:val="0"/>
          <w:numId w:val="6"/>
        </w:numPr>
        <w:spacing w:after="120" w:line="240" w:lineRule="auto"/>
        <w:ind w:left="1281" w:hanging="357"/>
        <w:contextualSpacing w:val="0"/>
        <w:rPr>
          <w:rFonts w:ascii="Arial" w:hAnsi="Arial" w:cs="Arial"/>
          <w:sz w:val="20"/>
          <w:szCs w:val="20"/>
          <w:lang w:val="es-ES"/>
        </w:rPr>
      </w:pPr>
      <w:r w:rsidRPr="00911A1F">
        <w:rPr>
          <w:rFonts w:ascii="Arial" w:hAnsi="Arial" w:cs="Arial"/>
          <w:sz w:val="20"/>
          <w:szCs w:val="20"/>
          <w:lang w:val="es-ES_tradnl"/>
        </w:rPr>
        <w:t>la utilización de caracteres de resistencia a las enfermedades y a los insectos en el examen DHE;</w:t>
      </w:r>
    </w:p>
    <w:p w:rsidR="00273DB6" w:rsidRPr="009B196C" w:rsidRDefault="00D46E2D" w:rsidP="00D46E2D">
      <w:pPr>
        <w:pStyle w:val="ListParagraph"/>
        <w:numPr>
          <w:ilvl w:val="0"/>
          <w:numId w:val="6"/>
        </w:numPr>
        <w:spacing w:after="120" w:line="240" w:lineRule="auto"/>
        <w:ind w:left="1281" w:hanging="357"/>
        <w:contextualSpacing w:val="0"/>
        <w:rPr>
          <w:rFonts w:ascii="Arial" w:hAnsi="Arial" w:cs="Arial"/>
          <w:sz w:val="20"/>
          <w:szCs w:val="20"/>
          <w:lang w:val="es-ES"/>
        </w:rPr>
      </w:pPr>
      <w:r w:rsidRPr="00911A1F">
        <w:rPr>
          <w:rFonts w:ascii="Arial" w:hAnsi="Arial" w:cs="Arial"/>
          <w:sz w:val="20"/>
          <w:szCs w:val="20"/>
          <w:lang w:val="es-ES_tradnl"/>
        </w:rPr>
        <w:t>efecto de los organismos endófitos en los caracteres DHE en gramíneas;</w:t>
      </w:r>
    </w:p>
    <w:p w:rsidR="00273DB6" w:rsidRPr="009B196C" w:rsidRDefault="00D46E2D" w:rsidP="00D46E2D">
      <w:pPr>
        <w:pStyle w:val="ListParagraph"/>
        <w:numPr>
          <w:ilvl w:val="0"/>
          <w:numId w:val="6"/>
        </w:numPr>
        <w:spacing w:after="120" w:line="240" w:lineRule="auto"/>
        <w:ind w:left="1281" w:hanging="357"/>
        <w:contextualSpacing w:val="0"/>
        <w:rPr>
          <w:rFonts w:ascii="Arial" w:hAnsi="Arial" w:cs="Arial"/>
          <w:sz w:val="20"/>
          <w:szCs w:val="20"/>
          <w:lang w:val="es-ES"/>
        </w:rPr>
      </w:pPr>
      <w:r w:rsidRPr="00911A1F">
        <w:rPr>
          <w:rFonts w:ascii="Arial" w:hAnsi="Arial" w:cs="Arial"/>
          <w:sz w:val="20"/>
          <w:szCs w:val="20"/>
          <w:lang w:val="es-ES_tradnl"/>
        </w:rPr>
        <w:t>manual comparativo para la armonización de las descripciones de variedades del manzano;</w:t>
      </w:r>
    </w:p>
    <w:p w:rsidR="00273DB6" w:rsidRPr="009B196C" w:rsidRDefault="00D46E2D" w:rsidP="00D46E2D">
      <w:pPr>
        <w:pStyle w:val="ListParagraph"/>
        <w:numPr>
          <w:ilvl w:val="0"/>
          <w:numId w:val="6"/>
        </w:numPr>
        <w:spacing w:after="120" w:line="240" w:lineRule="auto"/>
        <w:ind w:left="1281" w:hanging="357"/>
        <w:contextualSpacing w:val="0"/>
        <w:rPr>
          <w:rFonts w:ascii="Arial" w:hAnsi="Arial" w:cs="Arial"/>
          <w:sz w:val="20"/>
          <w:szCs w:val="20"/>
          <w:lang w:val="es-ES"/>
        </w:rPr>
      </w:pPr>
      <w:r w:rsidRPr="00911A1F">
        <w:rPr>
          <w:rFonts w:ascii="Arial" w:hAnsi="Arial" w:cs="Arial"/>
          <w:sz w:val="20"/>
          <w:szCs w:val="20"/>
          <w:lang w:val="es-ES_tradnl"/>
        </w:rPr>
        <w:t>examen DHE de variedades mutantes de manzano;</w:t>
      </w:r>
    </w:p>
    <w:p w:rsidR="00273DB6" w:rsidRPr="009B196C" w:rsidRDefault="00D46E2D" w:rsidP="00D46E2D">
      <w:pPr>
        <w:pStyle w:val="ListParagraph"/>
        <w:numPr>
          <w:ilvl w:val="0"/>
          <w:numId w:val="6"/>
        </w:numPr>
        <w:spacing w:after="120" w:line="240" w:lineRule="auto"/>
        <w:ind w:left="1281" w:hanging="357"/>
        <w:contextualSpacing w:val="0"/>
        <w:rPr>
          <w:rFonts w:ascii="Arial" w:hAnsi="Arial" w:cs="Arial"/>
          <w:sz w:val="20"/>
          <w:szCs w:val="20"/>
          <w:lang w:val="es-ES"/>
        </w:rPr>
      </w:pPr>
      <w:r w:rsidRPr="00911A1F">
        <w:rPr>
          <w:rFonts w:ascii="Arial" w:hAnsi="Arial" w:cs="Arial"/>
          <w:sz w:val="20"/>
          <w:szCs w:val="20"/>
          <w:lang w:val="es-ES_tradnl"/>
        </w:rPr>
        <w:t>distancia mínima entre las variedades;</w:t>
      </w:r>
      <w:r w:rsidR="00273DB6" w:rsidRPr="009B196C">
        <w:rPr>
          <w:rFonts w:ascii="Arial" w:hAnsi="Arial" w:cs="Arial"/>
          <w:sz w:val="20"/>
          <w:szCs w:val="20"/>
          <w:lang w:val="es-ES"/>
        </w:rPr>
        <w:t xml:space="preserve"> </w:t>
      </w:r>
      <w:r w:rsidRPr="009B196C">
        <w:rPr>
          <w:rFonts w:ascii="Arial" w:hAnsi="Arial" w:cs="Arial"/>
          <w:sz w:val="20"/>
          <w:szCs w:val="20"/>
          <w:lang w:val="es-ES"/>
        </w:rPr>
        <w:t xml:space="preserve"> </w:t>
      </w:r>
      <w:r w:rsidRPr="00911A1F">
        <w:rPr>
          <w:rFonts w:ascii="Arial" w:hAnsi="Arial" w:cs="Arial"/>
          <w:sz w:val="20"/>
          <w:szCs w:val="20"/>
          <w:lang w:val="es-ES_tradnl"/>
        </w:rPr>
        <w:t>y</w:t>
      </w:r>
    </w:p>
    <w:p w:rsidR="00273DB6" w:rsidRPr="009B196C" w:rsidRDefault="00D46E2D" w:rsidP="00273DB6">
      <w:pPr>
        <w:pStyle w:val="ListParagraph"/>
        <w:numPr>
          <w:ilvl w:val="0"/>
          <w:numId w:val="6"/>
        </w:numPr>
        <w:spacing w:after="0" w:line="240" w:lineRule="auto"/>
        <w:ind w:left="1281" w:hanging="357"/>
        <w:contextualSpacing w:val="0"/>
        <w:rPr>
          <w:rFonts w:ascii="Arial" w:hAnsi="Arial" w:cs="Arial"/>
          <w:sz w:val="20"/>
          <w:szCs w:val="20"/>
          <w:lang w:val="es-ES"/>
        </w:rPr>
      </w:pPr>
      <w:r w:rsidRPr="00911A1F">
        <w:rPr>
          <w:rFonts w:ascii="Arial" w:hAnsi="Arial" w:cs="Arial"/>
          <w:sz w:val="20"/>
          <w:szCs w:val="20"/>
          <w:lang w:val="es-ES_tradnl"/>
        </w:rPr>
        <w:t>método de observación de los caracteres derivados.</w:t>
      </w:r>
    </w:p>
    <w:p w:rsidR="00273DB6" w:rsidRPr="00D51062" w:rsidRDefault="00273DB6" w:rsidP="00273DB6">
      <w:pPr>
        <w:ind w:left="567" w:hanging="567"/>
        <w:rPr>
          <w:rFonts w:cs="Arial"/>
        </w:rPr>
      </w:pPr>
    </w:p>
    <w:p w:rsidR="00273DB6" w:rsidRPr="00D51062" w:rsidRDefault="00273DB6" w:rsidP="00273DB6">
      <w:pPr>
        <w:ind w:left="567" w:hanging="567"/>
        <w:rPr>
          <w:rFonts w:cs="Arial"/>
        </w:rPr>
      </w:pPr>
    </w:p>
    <w:p w:rsidR="00273DB6" w:rsidRPr="009B196C" w:rsidRDefault="00D46E2D" w:rsidP="00273DB6">
      <w:pPr>
        <w:pStyle w:val="Heading2"/>
        <w:rPr>
          <w:snapToGrid w:val="0"/>
          <w:lang w:val="es-ES"/>
        </w:rPr>
      </w:pPr>
      <w:bookmarkStart w:id="8" w:name="_Toc492290035"/>
      <w:r w:rsidRPr="00D46E2D">
        <w:rPr>
          <w:snapToGrid w:val="0"/>
          <w:lang w:val="es-ES_tradnl"/>
        </w:rPr>
        <w:t>Documentos TGP</w:t>
      </w:r>
      <w:bookmarkEnd w:id="8"/>
    </w:p>
    <w:p w:rsidR="00273DB6" w:rsidRPr="00D51062" w:rsidRDefault="00273DB6" w:rsidP="00273DB6">
      <w:pPr>
        <w:keepNext/>
        <w:rPr>
          <w:snapToGrid w:val="0"/>
        </w:rPr>
      </w:pPr>
    </w:p>
    <w:p w:rsidR="00273DB6" w:rsidRPr="009B196C" w:rsidRDefault="00D46E2D" w:rsidP="00273DB6">
      <w:pPr>
        <w:pStyle w:val="Heading3"/>
        <w:rPr>
          <w:lang w:val="es-ES"/>
        </w:rPr>
      </w:pPr>
      <w:bookmarkStart w:id="9" w:name="_Toc492290036"/>
      <w:r w:rsidRPr="00D46E2D">
        <w:rPr>
          <w:snapToGrid w:val="0"/>
          <w:lang w:val="es-ES_tradnl"/>
        </w:rPr>
        <w:t>Futuras revisiones de documentos TGP</w:t>
      </w:r>
      <w:bookmarkEnd w:id="9"/>
      <w:r w:rsidR="00273DB6" w:rsidRPr="009B196C">
        <w:rPr>
          <w:snapToGrid w:val="0"/>
          <w:lang w:val="es-ES"/>
        </w:rPr>
        <w:t xml:space="preserve"> </w:t>
      </w:r>
    </w:p>
    <w:p w:rsidR="00273DB6" w:rsidRPr="00D51062" w:rsidRDefault="00273DB6" w:rsidP="00273DB6">
      <w:pPr>
        <w:keepNext/>
        <w:ind w:left="567"/>
        <w:rPr>
          <w:snapToGrid w:val="0"/>
        </w:rPr>
      </w:pPr>
    </w:p>
    <w:p w:rsidR="00273DB6" w:rsidRPr="009B196C" w:rsidRDefault="00273DB6" w:rsidP="00273DB6">
      <w:pPr>
        <w:pStyle w:val="Heading4"/>
        <w:rPr>
          <w:lang w:val="es-ES"/>
        </w:rPr>
      </w:pPr>
      <w:r w:rsidRPr="009B196C">
        <w:rPr>
          <w:lang w:val="es-ES"/>
        </w:rPr>
        <w:t>TGP/7:</w:t>
      </w:r>
      <w:r w:rsidRPr="009B196C">
        <w:rPr>
          <w:lang w:val="es-ES"/>
        </w:rPr>
        <w:tab/>
      </w:r>
      <w:r w:rsidR="001E6FDA" w:rsidRPr="001E6FDA">
        <w:rPr>
          <w:lang w:val="es-ES_tradnl"/>
        </w:rPr>
        <w:t>Elaboración de las directrices de examen</w:t>
      </w:r>
      <w:r w:rsidRPr="009B196C">
        <w:rPr>
          <w:lang w:val="es-ES"/>
        </w:rPr>
        <w:t xml:space="preserve"> </w:t>
      </w:r>
    </w:p>
    <w:p w:rsidR="00273DB6" w:rsidRPr="00D51062" w:rsidRDefault="00273DB6" w:rsidP="00273DB6">
      <w:pPr>
        <w:keepNext/>
        <w:rPr>
          <w:i/>
        </w:rPr>
      </w:pPr>
    </w:p>
    <w:p w:rsidR="00273DB6" w:rsidRPr="009B196C" w:rsidRDefault="001E6FDA" w:rsidP="00273DB6">
      <w:pPr>
        <w:pStyle w:val="Heading5"/>
        <w:rPr>
          <w:lang w:val="es-ES"/>
        </w:rPr>
      </w:pPr>
      <w:r w:rsidRPr="001E6FDA">
        <w:rPr>
          <w:lang w:val="es-ES_tradnl"/>
        </w:rPr>
        <w:t>Revisión del documento TGP/7:</w:t>
      </w:r>
      <w:r w:rsidR="00273DB6" w:rsidRPr="009B196C">
        <w:rPr>
          <w:lang w:val="es-ES"/>
        </w:rPr>
        <w:t xml:space="preserve">  </w:t>
      </w:r>
      <w:r w:rsidRPr="001E6FDA">
        <w:rPr>
          <w:lang w:val="es-ES_tradnl"/>
        </w:rPr>
        <w:t>Carpeta de material para los redactores de directrices de examen</w:t>
      </w:r>
    </w:p>
    <w:p w:rsidR="00273DB6" w:rsidRPr="00D51062" w:rsidRDefault="00273DB6" w:rsidP="00273DB6">
      <w:pPr>
        <w:keepNext/>
      </w:pPr>
    </w:p>
    <w:p w:rsidR="00273DB6" w:rsidRPr="00D51062" w:rsidRDefault="007D43C5" w:rsidP="00273DB6">
      <w:pPr>
        <w:keepNext/>
      </w:pPr>
      <w:r w:rsidRPr="00D51062">
        <w:fldChar w:fldCharType="begin"/>
      </w:r>
      <w:r w:rsidR="00273DB6" w:rsidRPr="00D51062">
        <w:instrText xml:space="preserve"> AUTONUM  </w:instrText>
      </w:r>
      <w:r w:rsidRPr="00D51062">
        <w:fldChar w:fldCharType="end"/>
      </w:r>
      <w:r w:rsidR="00273DB6" w:rsidRPr="00D51062">
        <w:tab/>
      </w:r>
      <w:r w:rsidR="001E6FDA" w:rsidRPr="001E6FDA">
        <w:t>El TC examinó el documento TC/53/15.</w:t>
      </w:r>
    </w:p>
    <w:p w:rsidR="00273DB6" w:rsidRPr="00D51062" w:rsidRDefault="00273DB6" w:rsidP="00273DB6">
      <w:pPr>
        <w:keepNext/>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25228B" w:rsidRPr="0025228B">
        <w:t>El TC convino en que las propuestas de revisión del documento TGP/7 “Elaboración de las directrices de examen” incluyan la introducción de la plantilla en Internet de los documentos TG</w:t>
      </w:r>
      <w:r w:rsidR="007829E4">
        <w:t xml:space="preserve">, </w:t>
      </w:r>
      <w:r w:rsidR="0025228B" w:rsidRPr="0025228B">
        <w:t>según consta en los párrafos</w:t>
      </w:r>
      <w:r w:rsidR="007829E4">
        <w:t> </w:t>
      </w:r>
      <w:r w:rsidR="007829E4" w:rsidRPr="0025228B">
        <w:t>7</w:t>
      </w:r>
      <w:r w:rsidR="0025228B" w:rsidRPr="0025228B">
        <w:t xml:space="preserve"> a</w:t>
      </w:r>
      <w:r w:rsidR="007829E4">
        <w:t> </w:t>
      </w:r>
      <w:r w:rsidR="007829E4" w:rsidRPr="0025228B">
        <w:t>1</w:t>
      </w:r>
      <w:r w:rsidR="0025228B" w:rsidRPr="0025228B">
        <w:t>1 del documento TC/53/15</w:t>
      </w:r>
      <w:r w:rsidR="007829E4">
        <w:t xml:space="preserve">, </w:t>
      </w:r>
      <w:r w:rsidR="0025228B" w:rsidRPr="0025228B">
        <w:t>y convino en que</w:t>
      </w:r>
      <w:r w:rsidR="007829E4">
        <w:t xml:space="preserve">, </w:t>
      </w:r>
      <w:r w:rsidR="0025228B" w:rsidRPr="0025228B">
        <w:t>sobre esa base</w:t>
      </w:r>
      <w:r w:rsidR="007829E4">
        <w:t xml:space="preserve">, </w:t>
      </w:r>
      <w:r w:rsidR="0025228B" w:rsidRPr="0025228B">
        <w:t>se someta a la aprobación del Consejo una versión revisada del documento TGP/7 en</w:t>
      </w:r>
      <w:r w:rsidR="007829E4">
        <w:t> </w:t>
      </w:r>
      <w:r w:rsidR="007829E4" w:rsidRPr="0025228B">
        <w:t>2</w:t>
      </w:r>
      <w:r w:rsidR="0025228B" w:rsidRPr="0025228B">
        <w:t>018</w:t>
      </w:r>
      <w:r w:rsidR="007829E4">
        <w:t xml:space="preserve">, </w:t>
      </w:r>
      <w:r w:rsidR="0025228B" w:rsidRPr="0025228B">
        <w:t>a reserva de la aprobación del CAJ.</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D312C0" w:rsidRPr="00D312C0">
        <w:t xml:space="preserve">El TC tomó nota de que el </w:t>
      </w:r>
      <w:r w:rsidR="00256232" w:rsidRPr="00D312C0">
        <w:t>anexo</w:t>
      </w:r>
      <w:r w:rsidR="007829E4">
        <w:t> </w:t>
      </w:r>
      <w:r w:rsidR="007829E4" w:rsidRPr="00D312C0">
        <w:t>4</w:t>
      </w:r>
      <w:r w:rsidR="00D312C0" w:rsidRPr="00D312C0">
        <w:t xml:space="preserve"> del documento TGP/7</w:t>
      </w:r>
      <w:r w:rsidR="007829E4">
        <w:t xml:space="preserve">:  </w:t>
      </w:r>
      <w:r w:rsidR="00D312C0" w:rsidRPr="00D312C0">
        <w:t>“Colección de caracteres aprobados” sería reemplazada por la plantilla en Internet de los documentos TG y convino en que no se modifique el criterio de inclusión de caracteres en la colección</w:t>
      </w:r>
      <w:r w:rsidR="007829E4">
        <w:t xml:space="preserve">, </w:t>
      </w:r>
      <w:r w:rsidR="00D312C0" w:rsidRPr="00D312C0">
        <w:t>es decir</w:t>
      </w:r>
      <w:r w:rsidR="007829E4">
        <w:t xml:space="preserve">, </w:t>
      </w:r>
      <w:r w:rsidR="00D312C0" w:rsidRPr="00D312C0">
        <w:t>que solo los caracteres que se hayan incluido en las directrices de examen aprobadas tras la aprobación del documento TGP/7 (“caracteres aprobados”) sean susceptibles de búsqueda para elaborar nuevas directrices de examen.</w:t>
      </w:r>
    </w:p>
    <w:p w:rsidR="00273DB6" w:rsidRPr="00D51062" w:rsidRDefault="00273DB6" w:rsidP="00273DB6"/>
    <w:p w:rsidR="00273DB6" w:rsidRPr="009B196C" w:rsidRDefault="00273DB6" w:rsidP="00273DB6">
      <w:pPr>
        <w:pStyle w:val="Heading4"/>
        <w:rPr>
          <w:lang w:val="es-ES"/>
        </w:rPr>
      </w:pPr>
      <w:r w:rsidRPr="009B196C">
        <w:rPr>
          <w:lang w:val="es-ES"/>
        </w:rPr>
        <w:t>TGP/8:</w:t>
      </w:r>
      <w:r w:rsidRPr="009B196C">
        <w:rPr>
          <w:lang w:val="es-ES"/>
        </w:rPr>
        <w:tab/>
      </w:r>
      <w:r w:rsidR="00D312C0" w:rsidRPr="00D312C0">
        <w:rPr>
          <w:lang w:val="es-ES_tradnl"/>
        </w:rPr>
        <w:t>Diseño de ensayos y técnicas utilizados en el examen de la distinción</w:t>
      </w:r>
      <w:r w:rsidR="007829E4">
        <w:rPr>
          <w:lang w:val="es-ES_tradnl"/>
        </w:rPr>
        <w:t xml:space="preserve">, </w:t>
      </w:r>
      <w:r w:rsidR="00D312C0" w:rsidRPr="00D312C0">
        <w:rPr>
          <w:lang w:val="es-ES_tradnl"/>
        </w:rPr>
        <w:t>la homogeneidad y la estabilidad</w:t>
      </w:r>
    </w:p>
    <w:p w:rsidR="00273DB6" w:rsidRPr="00D51062" w:rsidRDefault="00273DB6" w:rsidP="00273DB6">
      <w:pPr>
        <w:keepNext/>
        <w:autoSpaceDE w:val="0"/>
        <w:autoSpaceDN w:val="0"/>
        <w:adjustRightInd w:val="0"/>
        <w:rPr>
          <w:rFonts w:cs="Arial"/>
          <w:iCs/>
        </w:rPr>
      </w:pPr>
    </w:p>
    <w:p w:rsidR="00273DB6" w:rsidRPr="00D51062" w:rsidRDefault="007D43C5" w:rsidP="00273DB6">
      <w:pPr>
        <w:autoSpaceDE w:val="0"/>
        <w:autoSpaceDN w:val="0"/>
        <w:adjustRightInd w:val="0"/>
        <w:rPr>
          <w:rFonts w:cs="Arial"/>
          <w:iCs/>
        </w:rPr>
      </w:pPr>
      <w:r w:rsidRPr="00D51062">
        <w:rPr>
          <w:rFonts w:cs="Arial"/>
          <w:iCs/>
        </w:rPr>
        <w:fldChar w:fldCharType="begin"/>
      </w:r>
      <w:r w:rsidR="00273DB6" w:rsidRPr="00D51062">
        <w:rPr>
          <w:rFonts w:cs="Arial"/>
          <w:iCs/>
        </w:rPr>
        <w:instrText xml:space="preserve"> AUTONUM  </w:instrText>
      </w:r>
      <w:r w:rsidRPr="00D51062">
        <w:rPr>
          <w:rFonts w:cs="Arial"/>
          <w:iCs/>
        </w:rPr>
        <w:fldChar w:fldCharType="end"/>
      </w:r>
      <w:r w:rsidR="00273DB6" w:rsidRPr="00D51062">
        <w:rPr>
          <w:rFonts w:cs="Arial"/>
          <w:iCs/>
        </w:rPr>
        <w:tab/>
      </w:r>
      <w:r w:rsidR="00450CC0" w:rsidRPr="00450CC0">
        <w:rPr>
          <w:rFonts w:cs="Arial"/>
          <w:iCs/>
        </w:rPr>
        <w:t>El TC convino en que el documento TGP/8 debe incluir un párrafo introductorio que describa la finalidad del documento.</w:t>
      </w:r>
    </w:p>
    <w:p w:rsidR="00273DB6" w:rsidRPr="00D51062" w:rsidRDefault="00273DB6" w:rsidP="00273DB6">
      <w:pPr>
        <w:autoSpaceDE w:val="0"/>
        <w:autoSpaceDN w:val="0"/>
        <w:adjustRightInd w:val="0"/>
        <w:rPr>
          <w:rFonts w:cs="Arial"/>
          <w:iCs/>
        </w:rPr>
      </w:pPr>
    </w:p>
    <w:p w:rsidR="00273DB6" w:rsidRPr="009B196C" w:rsidRDefault="00066385" w:rsidP="00273DB6">
      <w:pPr>
        <w:pStyle w:val="Heading5"/>
        <w:rPr>
          <w:lang w:val="es-ES"/>
        </w:rPr>
      </w:pPr>
      <w:r w:rsidRPr="00066385">
        <w:rPr>
          <w:iCs/>
          <w:lang w:val="es-ES_tradnl"/>
        </w:rPr>
        <w:t>Revisión del documento TGP/8:</w:t>
      </w:r>
      <w:r w:rsidR="00273DB6" w:rsidRPr="009B196C">
        <w:rPr>
          <w:iCs/>
          <w:lang w:val="es-ES"/>
        </w:rPr>
        <w:t xml:space="preserve">  </w:t>
      </w:r>
      <w:r w:rsidR="00EA7E0A" w:rsidRPr="00066385">
        <w:rPr>
          <w:lang w:val="es-ES_tradnl"/>
        </w:rPr>
        <w:t>parte </w:t>
      </w:r>
      <w:r w:rsidRPr="00066385">
        <w:rPr>
          <w:lang w:val="es-ES_tradnl"/>
        </w:rPr>
        <w:t>II:</w:t>
      </w:r>
      <w:r w:rsidR="00273DB6" w:rsidRPr="009B196C">
        <w:rPr>
          <w:lang w:val="es-ES"/>
        </w:rPr>
        <w:t xml:space="preserve">  </w:t>
      </w:r>
      <w:r w:rsidRPr="00066385">
        <w:rPr>
          <w:lang w:val="es-ES_tradnl"/>
        </w:rPr>
        <w:t>Técnicas utilizadas en el examen DHE</w:t>
      </w:r>
      <w:r w:rsidR="007829E4">
        <w:rPr>
          <w:lang w:val="es-ES_tradnl"/>
        </w:rPr>
        <w:t xml:space="preserve">, </w:t>
      </w:r>
      <w:r w:rsidRPr="00066385">
        <w:rPr>
          <w:lang w:val="es-ES_tradnl"/>
        </w:rPr>
        <w:t>sección</w:t>
      </w:r>
      <w:r w:rsidR="007829E4">
        <w:rPr>
          <w:lang w:val="es-ES_tradnl"/>
        </w:rPr>
        <w:t> </w:t>
      </w:r>
      <w:r w:rsidR="007829E4" w:rsidRPr="00066385">
        <w:rPr>
          <w:lang w:val="es-ES_tradnl"/>
        </w:rPr>
        <w:t>9</w:t>
      </w:r>
      <w:r w:rsidRPr="00066385">
        <w:rPr>
          <w:lang w:val="es-ES_tradnl"/>
        </w:rPr>
        <w:t>:</w:t>
      </w:r>
      <w:r w:rsidR="00273DB6" w:rsidRPr="009B196C">
        <w:rPr>
          <w:lang w:val="es-ES"/>
        </w:rPr>
        <w:t xml:space="preserve"> </w:t>
      </w:r>
      <w:r w:rsidRPr="009B196C">
        <w:rPr>
          <w:lang w:val="es-ES"/>
        </w:rPr>
        <w:t xml:space="preserve"> </w:t>
      </w:r>
      <w:r w:rsidRPr="00066385">
        <w:rPr>
          <w:lang w:val="es-ES_tradnl"/>
        </w:rPr>
        <w:t>Criterio combinado interanual de distinción (COYU)</w:t>
      </w:r>
      <w:r w:rsidR="00273DB6" w:rsidRPr="009B196C">
        <w:rPr>
          <w:lang w:val="es-ES"/>
        </w:rPr>
        <w:t xml:space="preserve"> </w:t>
      </w:r>
    </w:p>
    <w:p w:rsidR="00273DB6" w:rsidRPr="00D51062" w:rsidRDefault="00273DB6" w:rsidP="00273DB6">
      <w:pPr>
        <w:keepNext/>
      </w:pPr>
    </w:p>
    <w:p w:rsidR="00273DB6" w:rsidRPr="00D51062" w:rsidRDefault="007D43C5" w:rsidP="00273DB6">
      <w:pPr>
        <w:keepNext/>
      </w:pPr>
      <w:r w:rsidRPr="00D51062">
        <w:fldChar w:fldCharType="begin"/>
      </w:r>
      <w:r w:rsidR="00273DB6" w:rsidRPr="00D51062">
        <w:instrText xml:space="preserve"> AUTONUM  </w:instrText>
      </w:r>
      <w:r w:rsidRPr="00D51062">
        <w:fldChar w:fldCharType="end"/>
      </w:r>
      <w:r w:rsidR="00273DB6" w:rsidRPr="00D51062">
        <w:tab/>
      </w:r>
      <w:r w:rsidR="00066385" w:rsidRPr="00066385">
        <w:t>El TC examinó el documento TC/53/16.</w:t>
      </w:r>
    </w:p>
    <w:p w:rsidR="00273DB6" w:rsidRPr="00D51062" w:rsidRDefault="00273DB6" w:rsidP="00273DB6">
      <w:pPr>
        <w:keepNext/>
        <w:tabs>
          <w:tab w:val="left" w:pos="1993"/>
        </w:tabs>
      </w:pPr>
    </w:p>
    <w:p w:rsidR="00273DB6" w:rsidRPr="00D51062" w:rsidRDefault="007D43C5" w:rsidP="00273DB6">
      <w:pPr>
        <w:rPr>
          <w:iCs/>
        </w:rPr>
      </w:pPr>
      <w:r w:rsidRPr="00D51062">
        <w:fldChar w:fldCharType="begin"/>
      </w:r>
      <w:r w:rsidR="00273DB6" w:rsidRPr="00D51062">
        <w:instrText xml:space="preserve"> AUTONUM  </w:instrText>
      </w:r>
      <w:r w:rsidRPr="00D51062">
        <w:fldChar w:fldCharType="end"/>
      </w:r>
      <w:r w:rsidR="00273DB6" w:rsidRPr="00D51062">
        <w:tab/>
      </w:r>
      <w:r w:rsidR="00066385" w:rsidRPr="00066385">
        <w:rPr>
          <w:iCs/>
        </w:rPr>
        <w:t>El TC tomó nota de que:</w:t>
      </w:r>
    </w:p>
    <w:p w:rsidR="00273DB6" w:rsidRPr="00D51062" w:rsidRDefault="00273DB6" w:rsidP="00273DB6">
      <w:pPr>
        <w:rPr>
          <w:iCs/>
        </w:rPr>
      </w:pPr>
    </w:p>
    <w:p w:rsidR="00273DB6" w:rsidRPr="00D51062" w:rsidRDefault="00066385" w:rsidP="00273DB6">
      <w:pPr>
        <w:numPr>
          <w:ilvl w:val="0"/>
          <w:numId w:val="17"/>
        </w:numPr>
        <w:ind w:left="567" w:hanging="283"/>
        <w:rPr>
          <w:iCs/>
        </w:rPr>
      </w:pPr>
      <w:r w:rsidRPr="00066385">
        <w:rPr>
          <w:iCs/>
        </w:rPr>
        <w:t>la Oficina de la Unión había emitido la circular E</w:t>
      </w:r>
      <w:r w:rsidRPr="00066385">
        <w:rPr>
          <w:iCs/>
        </w:rPr>
        <w:noBreakHyphen/>
        <w:t>16/098 de la UPOV a fin de invitar a los expertos de los miembros de la UPOV a facilitar al Reino Unido</w:t>
      </w:r>
      <w:r w:rsidR="007829E4">
        <w:rPr>
          <w:iCs/>
        </w:rPr>
        <w:t xml:space="preserve">, </w:t>
      </w:r>
      <w:r w:rsidRPr="00066385">
        <w:rPr>
          <w:iCs/>
        </w:rPr>
        <w:t>antes del</w:t>
      </w:r>
      <w:r w:rsidR="007829E4">
        <w:rPr>
          <w:iCs/>
        </w:rPr>
        <w:t> </w:t>
      </w:r>
      <w:r w:rsidR="007829E4" w:rsidRPr="00066385">
        <w:rPr>
          <w:iCs/>
        </w:rPr>
        <w:t>2</w:t>
      </w:r>
      <w:r w:rsidRPr="00066385">
        <w:rPr>
          <w:iCs/>
        </w:rPr>
        <w:t>7 de mayo de</w:t>
      </w:r>
      <w:r w:rsidR="007829E4">
        <w:rPr>
          <w:iCs/>
        </w:rPr>
        <w:t> </w:t>
      </w:r>
      <w:r w:rsidR="007829E4" w:rsidRPr="00066385">
        <w:rPr>
          <w:iCs/>
        </w:rPr>
        <w:t>2</w:t>
      </w:r>
      <w:r w:rsidRPr="00066385">
        <w:rPr>
          <w:iCs/>
        </w:rPr>
        <w:t>016</w:t>
      </w:r>
      <w:r w:rsidR="007829E4">
        <w:rPr>
          <w:iCs/>
        </w:rPr>
        <w:t xml:space="preserve">, </w:t>
      </w:r>
      <w:r w:rsidRPr="00066385">
        <w:rPr>
          <w:iCs/>
        </w:rPr>
        <w:t>conjuntos de datos que comprendieran al menos</w:t>
      </w:r>
      <w:r w:rsidR="007829E4">
        <w:rPr>
          <w:iCs/>
        </w:rPr>
        <w:t> </w:t>
      </w:r>
      <w:r w:rsidR="007829E4" w:rsidRPr="00066385">
        <w:rPr>
          <w:iCs/>
        </w:rPr>
        <w:t>1</w:t>
      </w:r>
      <w:r w:rsidRPr="00066385">
        <w:rPr>
          <w:iCs/>
        </w:rPr>
        <w:t>00 variedades candidatas</w:t>
      </w:r>
      <w:r w:rsidR="007829E4">
        <w:rPr>
          <w:iCs/>
        </w:rPr>
        <w:t xml:space="preserve">, </w:t>
      </w:r>
      <w:r w:rsidRPr="00066385">
        <w:rPr>
          <w:iCs/>
        </w:rPr>
        <w:t>contemplándose la posibilidad de que los datos de estas</w:t>
      </w:r>
      <w:r w:rsidR="007829E4">
        <w:rPr>
          <w:iCs/>
        </w:rPr>
        <w:t> </w:t>
      </w:r>
      <w:r w:rsidR="007829E4" w:rsidRPr="00066385">
        <w:rPr>
          <w:iCs/>
        </w:rPr>
        <w:t>1</w:t>
      </w:r>
      <w:r w:rsidRPr="00066385">
        <w:rPr>
          <w:iCs/>
        </w:rPr>
        <w:t>00 variedades pudieran proceder de varios años;</w:t>
      </w:r>
    </w:p>
    <w:p w:rsidR="00273DB6" w:rsidRPr="00D51062" w:rsidRDefault="00273DB6" w:rsidP="00273DB6">
      <w:pPr>
        <w:ind w:left="567" w:hanging="283"/>
      </w:pPr>
    </w:p>
    <w:p w:rsidR="00273DB6" w:rsidRPr="00D51062" w:rsidRDefault="00066385" w:rsidP="00273DB6">
      <w:pPr>
        <w:numPr>
          <w:ilvl w:val="0"/>
          <w:numId w:val="17"/>
        </w:numPr>
        <w:ind w:left="567" w:hanging="283"/>
      </w:pPr>
      <w:r w:rsidRPr="00066385">
        <w:t>el TWC había recibido un informe de un experto del Reino Unido según el cual Eslovaquia había enviado un conjunto de datos de festuca roja y Dinamarca había convenido en enviar un conjunto de datos de colza primaveral e invernal más adelante en el transcurso de</w:t>
      </w:r>
      <w:r w:rsidR="007829E4">
        <w:t> </w:t>
      </w:r>
      <w:r w:rsidR="007829E4" w:rsidRPr="00066385">
        <w:t>2</w:t>
      </w:r>
      <w:r w:rsidRPr="00066385">
        <w:t>016;</w:t>
      </w:r>
    </w:p>
    <w:p w:rsidR="00273DB6" w:rsidRPr="00D51062" w:rsidRDefault="00273DB6" w:rsidP="00273DB6">
      <w:pPr>
        <w:ind w:left="567" w:hanging="283"/>
      </w:pPr>
    </w:p>
    <w:p w:rsidR="00273DB6" w:rsidRPr="00D51062" w:rsidRDefault="00066385" w:rsidP="00273DB6">
      <w:pPr>
        <w:numPr>
          <w:ilvl w:val="0"/>
          <w:numId w:val="17"/>
        </w:numPr>
        <w:ind w:left="567" w:hanging="283"/>
        <w:rPr>
          <w:iCs/>
        </w:rPr>
      </w:pPr>
      <w:r w:rsidRPr="00066385">
        <w:rPr>
          <w:iCs/>
        </w:rPr>
        <w:t>el TWC había recibido ofrecimientos de China y Francia de remitir conjuntos de datos de maíz y festuca</w:t>
      </w:r>
      <w:r w:rsidR="007829E4">
        <w:rPr>
          <w:iCs/>
        </w:rPr>
        <w:t xml:space="preserve">, </w:t>
      </w:r>
      <w:r w:rsidRPr="00066385">
        <w:rPr>
          <w:iCs/>
        </w:rPr>
        <w:t>respectivamente;</w:t>
      </w:r>
    </w:p>
    <w:p w:rsidR="00273DB6" w:rsidRPr="00D51062" w:rsidRDefault="00273DB6" w:rsidP="00273DB6">
      <w:pPr>
        <w:ind w:left="567" w:hanging="283"/>
      </w:pPr>
    </w:p>
    <w:p w:rsidR="00273DB6" w:rsidRPr="00D51062" w:rsidRDefault="00066385" w:rsidP="00273DB6">
      <w:pPr>
        <w:numPr>
          <w:ilvl w:val="0"/>
          <w:numId w:val="17"/>
        </w:numPr>
        <w:ind w:left="567" w:hanging="283"/>
      </w:pPr>
      <w:r w:rsidRPr="00066385">
        <w:t>el TWC había convenido en invitar al experto del Reino Unido a informar sobre los avances realizados</w:t>
      </w:r>
      <w:r w:rsidR="007829E4">
        <w:t xml:space="preserve">, </w:t>
      </w:r>
      <w:r w:rsidRPr="00066385">
        <w:t>en la trigésima quinta reunión del TWC;</w:t>
      </w:r>
    </w:p>
    <w:p w:rsidR="00273DB6" w:rsidRPr="00D51062" w:rsidRDefault="00273DB6" w:rsidP="00273DB6">
      <w:pPr>
        <w:ind w:left="567" w:hanging="283"/>
      </w:pPr>
    </w:p>
    <w:p w:rsidR="00273DB6" w:rsidRPr="00D51062" w:rsidRDefault="00066385" w:rsidP="00273DB6">
      <w:pPr>
        <w:numPr>
          <w:ilvl w:val="0"/>
          <w:numId w:val="17"/>
        </w:numPr>
        <w:ind w:left="567" w:hanging="283"/>
      </w:pPr>
      <w:r w:rsidRPr="00066385">
        <w:t>el TWO había tomado nota de que el COYU no se utilizaba normalmente para el examen DHE de plantas ornamentales;</w:t>
      </w:r>
    </w:p>
    <w:p w:rsidR="00273DB6" w:rsidRPr="00D51062" w:rsidRDefault="00273DB6" w:rsidP="00273DB6">
      <w:pPr>
        <w:ind w:left="567" w:hanging="283"/>
      </w:pPr>
    </w:p>
    <w:p w:rsidR="00273DB6" w:rsidRPr="00D51062" w:rsidRDefault="00066385" w:rsidP="00273DB6">
      <w:pPr>
        <w:numPr>
          <w:ilvl w:val="0"/>
          <w:numId w:val="17"/>
        </w:numPr>
        <w:ind w:left="567" w:hanging="283"/>
        <w:rPr>
          <w:iCs/>
        </w:rPr>
      </w:pPr>
      <w:r w:rsidRPr="00066385">
        <w:rPr>
          <w:iCs/>
        </w:rPr>
        <w:t>el TWV había recibido ofrecimientos de los expertos de Francia y el Reino Unido de proporcionar datos de guisante y guisante forrajero</w:t>
      </w:r>
      <w:r w:rsidR="007829E4">
        <w:rPr>
          <w:iCs/>
        </w:rPr>
        <w:t xml:space="preserve">, </w:t>
      </w:r>
      <w:r w:rsidRPr="00066385">
        <w:rPr>
          <w:iCs/>
        </w:rPr>
        <w:t>respectivamente;</w:t>
      </w:r>
    </w:p>
    <w:p w:rsidR="00273DB6" w:rsidRPr="00D51062" w:rsidRDefault="00273DB6" w:rsidP="00273DB6">
      <w:pPr>
        <w:ind w:left="567" w:hanging="283"/>
      </w:pPr>
    </w:p>
    <w:p w:rsidR="00273DB6" w:rsidRPr="00D51062" w:rsidRDefault="00066385" w:rsidP="00273DB6">
      <w:pPr>
        <w:numPr>
          <w:ilvl w:val="0"/>
          <w:numId w:val="17"/>
        </w:numPr>
        <w:ind w:left="567" w:hanging="283"/>
      </w:pPr>
      <w:r w:rsidRPr="001E70E6">
        <w:t>el TWA había recibido un informe del experto de Dinamarca según el cual se había probado el programa informático proporcionado por el Reino Unido y se facilitaría un conjunto de datos sobre variedades de colza oleaginosa para respaldar la determinación de niveles de probabilidad adecuados para el nuevo método de cálculo del COYU;</w:t>
      </w:r>
      <w:r w:rsidR="00273DB6" w:rsidRPr="00066385">
        <w:t xml:space="preserve"> </w:t>
      </w:r>
      <w:r>
        <w:t xml:space="preserve"> </w:t>
      </w:r>
      <w:r w:rsidR="001E70E6" w:rsidRPr="001E70E6">
        <w:t>y</w:t>
      </w:r>
    </w:p>
    <w:p w:rsidR="00273DB6" w:rsidRPr="00D51062" w:rsidRDefault="00273DB6" w:rsidP="00273DB6">
      <w:pPr>
        <w:ind w:left="567" w:hanging="283"/>
      </w:pPr>
    </w:p>
    <w:p w:rsidR="00273DB6" w:rsidRPr="00D51062" w:rsidRDefault="001E70E6" w:rsidP="00273DB6">
      <w:pPr>
        <w:numPr>
          <w:ilvl w:val="0"/>
          <w:numId w:val="17"/>
        </w:numPr>
        <w:ind w:left="567" w:hanging="283"/>
        <w:rPr>
          <w:iCs/>
        </w:rPr>
      </w:pPr>
      <w:r w:rsidRPr="001E70E6">
        <w:rPr>
          <w:iCs/>
        </w:rPr>
        <w:t>el experto del Reino Unido carecía de novedades de las que informar al TC e informaría al TWC en su trigésima quinta reunión sobre los avances en la elaboración del nuevo método de cálculo del COYU.</w:t>
      </w:r>
    </w:p>
    <w:p w:rsidR="00273DB6" w:rsidRPr="00D51062" w:rsidRDefault="00273DB6" w:rsidP="00273DB6"/>
    <w:p w:rsidR="00273DB6" w:rsidRPr="009B196C" w:rsidRDefault="001E70E6" w:rsidP="00273DB6">
      <w:pPr>
        <w:pStyle w:val="Heading5"/>
        <w:rPr>
          <w:rFonts w:cs="Arial"/>
          <w:lang w:val="es-ES"/>
        </w:rPr>
      </w:pPr>
      <w:r w:rsidRPr="001E70E6">
        <w:rPr>
          <w:lang w:val="es-ES_tradnl"/>
        </w:rPr>
        <w:t>Revisión del documento TGP/8:</w:t>
      </w:r>
      <w:r w:rsidR="00273DB6" w:rsidRPr="009B196C">
        <w:rPr>
          <w:lang w:val="es-ES"/>
        </w:rPr>
        <w:t xml:space="preserve">  </w:t>
      </w:r>
      <w:r w:rsidR="00EA7E0A" w:rsidRPr="001E70E6">
        <w:rPr>
          <w:lang w:val="es-ES_tradnl"/>
        </w:rPr>
        <w:t>parte </w:t>
      </w:r>
      <w:r w:rsidRPr="001E70E6">
        <w:rPr>
          <w:lang w:val="es-ES_tradnl"/>
        </w:rPr>
        <w:t>II:</w:t>
      </w:r>
      <w:r w:rsidR="00273DB6" w:rsidRPr="009B196C">
        <w:rPr>
          <w:lang w:val="es-ES"/>
        </w:rPr>
        <w:t xml:space="preserve">  </w:t>
      </w:r>
      <w:r w:rsidRPr="001E70E6">
        <w:rPr>
          <w:lang w:val="es-ES_tradnl"/>
        </w:rPr>
        <w:t>Técnicas utilizadas en el examen DHE</w:t>
      </w:r>
      <w:r w:rsidR="007829E4">
        <w:rPr>
          <w:lang w:val="es-ES_tradnl"/>
        </w:rPr>
        <w:t xml:space="preserve">, </w:t>
      </w:r>
      <w:r w:rsidRPr="001E70E6">
        <w:rPr>
          <w:lang w:val="es-ES_tradnl"/>
        </w:rPr>
        <w:t>nueva sección:</w:t>
      </w:r>
      <w:r w:rsidR="00273DB6" w:rsidRPr="009B196C">
        <w:rPr>
          <w:rFonts w:cs="Arial"/>
          <w:lang w:val="es-ES"/>
        </w:rPr>
        <w:t xml:space="preserve"> </w:t>
      </w:r>
      <w:r w:rsidRPr="00614850">
        <w:rPr>
          <w:lang w:val="es-ES_tradnl"/>
        </w:rPr>
        <w:t>Examen DHE de muestras en bloque</w:t>
      </w:r>
      <w:r w:rsidR="00273DB6" w:rsidRPr="009B196C">
        <w:rPr>
          <w:rFonts w:cs="Arial"/>
          <w:lang w:val="es-ES"/>
        </w:rPr>
        <w:t xml:space="preserve"> </w:t>
      </w:r>
    </w:p>
    <w:p w:rsidR="00273DB6" w:rsidRPr="00D51062" w:rsidRDefault="00273DB6" w:rsidP="00273DB6">
      <w:pPr>
        <w:rPr>
          <w:rFonts w:cs="Arial"/>
          <w:i/>
        </w:rPr>
      </w:pPr>
    </w:p>
    <w:p w:rsidR="00273DB6" w:rsidRPr="00D51062" w:rsidRDefault="007D43C5" w:rsidP="00273DB6">
      <w:pPr>
        <w:keepNext/>
      </w:pPr>
      <w:r w:rsidRPr="00D51062">
        <w:fldChar w:fldCharType="begin"/>
      </w:r>
      <w:r w:rsidR="00273DB6" w:rsidRPr="00D51062">
        <w:instrText xml:space="preserve"> AUTONUM  </w:instrText>
      </w:r>
      <w:r w:rsidRPr="00D51062">
        <w:fldChar w:fldCharType="end"/>
      </w:r>
      <w:r w:rsidR="00273DB6" w:rsidRPr="00D51062">
        <w:tab/>
      </w:r>
      <w:r w:rsidR="00614850" w:rsidRPr="00614850">
        <w:t>El TC examinó el documento TC/53/17.</w:t>
      </w:r>
    </w:p>
    <w:p w:rsidR="00273DB6" w:rsidRPr="00D51062" w:rsidRDefault="00273DB6" w:rsidP="00273DB6">
      <w:pPr>
        <w:keepNext/>
        <w:tabs>
          <w:tab w:val="left" w:pos="1993"/>
        </w:tabs>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D10817" w:rsidRPr="00D10817">
        <w:t>El TC examinó la orientación propuesta en relación con el examen DHE de muestras en bloque que figura en el anexo del documento TC/53/17</w:t>
      </w:r>
      <w:r w:rsidR="007829E4">
        <w:t xml:space="preserve">, </w:t>
      </w:r>
      <w:r w:rsidR="00D10817" w:rsidRPr="00D10817">
        <w:t>para su inclusión en una futura revisión del documento TGP/8.</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D10817" w:rsidRPr="00D10817">
        <w:t>El TC recordó que había acordado los siguientes criterios como punto de partida para la elaboración de una futura orientación:</w:t>
      </w:r>
    </w:p>
    <w:p w:rsidR="00273DB6" w:rsidRPr="00D51062" w:rsidRDefault="00273DB6" w:rsidP="00273DB6"/>
    <w:p w:rsidR="00273DB6" w:rsidRPr="00D51062" w:rsidRDefault="00273DB6" w:rsidP="00273DB6">
      <w:pPr>
        <w:numPr>
          <w:ilvl w:val="0"/>
          <w:numId w:val="11"/>
        </w:numPr>
        <w:ind w:left="1134" w:right="567" w:hanging="567"/>
        <w:rPr>
          <w:sz w:val="18"/>
        </w:rPr>
      </w:pPr>
      <w:r w:rsidRPr="004829DF">
        <w:rPr>
          <w:iCs/>
          <w:sz w:val="18"/>
        </w:rPr>
        <w:t>“</w:t>
      </w:r>
      <w:r w:rsidR="00D10817" w:rsidRPr="00D10817">
        <w:rPr>
          <w:iCs/>
          <w:sz w:val="18"/>
        </w:rPr>
        <w:t>el carácter debe satisfacer los requisitos expuestos en la “Introducción general al examen de la distinción</w:t>
      </w:r>
      <w:r w:rsidR="007829E4">
        <w:rPr>
          <w:iCs/>
          <w:sz w:val="18"/>
        </w:rPr>
        <w:t xml:space="preserve">, </w:t>
      </w:r>
      <w:r w:rsidR="00D10817" w:rsidRPr="00D10817">
        <w:rPr>
          <w:iCs/>
          <w:sz w:val="18"/>
        </w:rPr>
        <w:t>la homogeneidad y la estabilidad y a la elaboración de descripciones armonizadas de las obtenciones vegetales” (véase el documento TG/1/3</w:t>
      </w:r>
      <w:r w:rsidR="007829E4">
        <w:rPr>
          <w:iCs/>
          <w:sz w:val="18"/>
        </w:rPr>
        <w:t xml:space="preserve">, </w:t>
      </w:r>
      <w:r w:rsidR="00D10817" w:rsidRPr="00D10817">
        <w:rPr>
          <w:iCs/>
          <w:sz w:val="18"/>
        </w:rPr>
        <w:t>sección 4.2.1);</w:t>
      </w:r>
    </w:p>
    <w:p w:rsidR="00273DB6" w:rsidRPr="00D51062" w:rsidRDefault="00273DB6" w:rsidP="00273DB6">
      <w:pPr>
        <w:ind w:left="567" w:right="567" w:firstLine="567"/>
        <w:rPr>
          <w:sz w:val="18"/>
        </w:rPr>
      </w:pPr>
    </w:p>
    <w:p w:rsidR="00273DB6" w:rsidRPr="00D51062" w:rsidRDefault="00D10817" w:rsidP="00273DB6">
      <w:pPr>
        <w:numPr>
          <w:ilvl w:val="0"/>
          <w:numId w:val="11"/>
        </w:numPr>
        <w:ind w:left="567" w:right="567" w:firstLine="0"/>
        <w:rPr>
          <w:sz w:val="18"/>
        </w:rPr>
      </w:pPr>
      <w:r w:rsidRPr="00D10817">
        <w:rPr>
          <w:sz w:val="18"/>
        </w:rPr>
        <w:t>debe conocerse el control genético del carácter;</w:t>
      </w:r>
    </w:p>
    <w:p w:rsidR="00273DB6" w:rsidRPr="00D51062" w:rsidRDefault="00273DB6" w:rsidP="00273DB6">
      <w:pPr>
        <w:ind w:left="567" w:right="567" w:firstLine="567"/>
        <w:rPr>
          <w:iCs/>
          <w:sz w:val="18"/>
        </w:rPr>
      </w:pPr>
    </w:p>
    <w:p w:rsidR="00273DB6" w:rsidRPr="00D51062" w:rsidRDefault="00D10817" w:rsidP="00273DB6">
      <w:pPr>
        <w:numPr>
          <w:ilvl w:val="0"/>
          <w:numId w:val="11"/>
        </w:numPr>
        <w:ind w:left="1134" w:right="567" w:hanging="567"/>
        <w:rPr>
          <w:iCs/>
          <w:sz w:val="18"/>
        </w:rPr>
      </w:pPr>
      <w:r w:rsidRPr="00D10817">
        <w:rPr>
          <w:iCs/>
          <w:sz w:val="18"/>
        </w:rPr>
        <w:t>debe validarse la idoneidad del carácter mediante una evaluación inicial de la homogeneidad en plantas individuales;</w:t>
      </w:r>
      <w:r w:rsidR="00273DB6" w:rsidRPr="00D51062">
        <w:rPr>
          <w:iCs/>
          <w:sz w:val="18"/>
        </w:rPr>
        <w:t xml:space="preserve"> </w:t>
      </w:r>
    </w:p>
    <w:p w:rsidR="00273DB6" w:rsidRPr="00D51062" w:rsidRDefault="00273DB6" w:rsidP="00273DB6">
      <w:pPr>
        <w:ind w:left="1134" w:right="567" w:hanging="567"/>
        <w:rPr>
          <w:iCs/>
          <w:sz w:val="18"/>
        </w:rPr>
      </w:pPr>
    </w:p>
    <w:p w:rsidR="00273DB6" w:rsidRPr="00D51062" w:rsidRDefault="00D10817" w:rsidP="00273DB6">
      <w:pPr>
        <w:numPr>
          <w:ilvl w:val="0"/>
          <w:numId w:val="11"/>
        </w:numPr>
        <w:ind w:left="1134" w:right="567" w:hanging="567"/>
        <w:rPr>
          <w:iCs/>
          <w:sz w:val="18"/>
        </w:rPr>
      </w:pPr>
      <w:r w:rsidRPr="00D10817">
        <w:rPr>
          <w:sz w:val="18"/>
        </w:rPr>
        <w:t>debe proporcionarse información sobre la variación entre plantas y las diferencias entre ciclos de cultivo (datos obtenidos de la medición sistemática del carácter en años diferentes);</w:t>
      </w:r>
    </w:p>
    <w:p w:rsidR="00273DB6" w:rsidRPr="00D51062" w:rsidRDefault="00273DB6" w:rsidP="00273DB6">
      <w:pPr>
        <w:ind w:left="1134" w:right="567" w:hanging="567"/>
        <w:rPr>
          <w:iCs/>
          <w:sz w:val="18"/>
        </w:rPr>
      </w:pPr>
    </w:p>
    <w:p w:rsidR="00273DB6" w:rsidRPr="00D51062" w:rsidRDefault="00D10817" w:rsidP="00273DB6">
      <w:pPr>
        <w:numPr>
          <w:ilvl w:val="0"/>
          <w:numId w:val="11"/>
        </w:numPr>
        <w:ind w:left="1134" w:right="567" w:hanging="567"/>
        <w:rPr>
          <w:sz w:val="18"/>
        </w:rPr>
      </w:pPr>
      <w:r w:rsidRPr="00D10817">
        <w:rPr>
          <w:sz w:val="18"/>
        </w:rPr>
        <w:t>debe proporcionarse una descripción completa del método de evaluación;</w:t>
      </w:r>
    </w:p>
    <w:p w:rsidR="00273DB6" w:rsidRPr="00D51062" w:rsidRDefault="00273DB6" w:rsidP="00273DB6">
      <w:pPr>
        <w:ind w:left="1134" w:right="567" w:hanging="567"/>
        <w:rPr>
          <w:sz w:val="18"/>
        </w:rPr>
      </w:pPr>
    </w:p>
    <w:p w:rsidR="00273DB6" w:rsidRPr="00D51062" w:rsidRDefault="00D10817" w:rsidP="00273DB6">
      <w:pPr>
        <w:numPr>
          <w:ilvl w:val="0"/>
          <w:numId w:val="11"/>
        </w:numPr>
        <w:ind w:left="1134" w:right="567" w:hanging="567"/>
        <w:rPr>
          <w:sz w:val="18"/>
        </w:rPr>
      </w:pPr>
      <w:r w:rsidRPr="00D10817">
        <w:rPr>
          <w:sz w:val="18"/>
        </w:rPr>
        <w:t>los niveles de expresión deben basarse en la variación existente entre variedades teniendo en cuenta la influencia del medio ambiente.</w:t>
      </w:r>
      <w:r w:rsidR="00273DB6" w:rsidRPr="004829DF">
        <w:rPr>
          <w:sz w:val="18"/>
        </w:rPr>
        <w:t>”</w:t>
      </w:r>
    </w:p>
    <w:p w:rsidR="00273DB6" w:rsidRPr="00D51062" w:rsidRDefault="00273DB6" w:rsidP="00273DB6">
      <w:pPr>
        <w:ind w:left="1134" w:right="567"/>
        <w:rPr>
          <w:sz w:val="18"/>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D10817" w:rsidRPr="00606025">
        <w:t>El TC suscribió la orientación anterior y convino en que</w:t>
      </w:r>
      <w:r w:rsidR="007829E4">
        <w:t xml:space="preserve">, </w:t>
      </w:r>
      <w:r w:rsidR="00D10817" w:rsidRPr="00606025">
        <w:t>por el momento</w:t>
      </w:r>
      <w:r w:rsidR="007829E4">
        <w:t xml:space="preserve">, </w:t>
      </w:r>
      <w:r w:rsidR="00D10817" w:rsidRPr="00606025">
        <w:t>no es factible elaborar más orientaciones.</w:t>
      </w:r>
    </w:p>
    <w:p w:rsidR="00273DB6" w:rsidRDefault="00273DB6" w:rsidP="00273DB6">
      <w:pPr>
        <w:rPr>
          <w:rFonts w:cs="Arial"/>
          <w:i/>
        </w:rPr>
      </w:pPr>
    </w:p>
    <w:p w:rsidR="00273DB6" w:rsidRPr="00D51062" w:rsidRDefault="00273DB6" w:rsidP="00273DB6">
      <w:pPr>
        <w:rPr>
          <w:rFonts w:cs="Arial"/>
          <w:i/>
        </w:rPr>
      </w:pPr>
    </w:p>
    <w:p w:rsidR="00273DB6" w:rsidRPr="009B196C" w:rsidRDefault="00606025" w:rsidP="00273DB6">
      <w:pPr>
        <w:pStyle w:val="Heading5"/>
        <w:rPr>
          <w:lang w:val="es-ES"/>
        </w:rPr>
      </w:pPr>
      <w:r w:rsidRPr="00606025">
        <w:rPr>
          <w:lang w:val="es-ES_tradnl"/>
        </w:rPr>
        <w:t>Revisión del documento TGP/8:</w:t>
      </w:r>
      <w:r w:rsidR="00273DB6" w:rsidRPr="009B196C">
        <w:rPr>
          <w:lang w:val="es-ES"/>
        </w:rPr>
        <w:t xml:space="preserve">  </w:t>
      </w:r>
      <w:r w:rsidR="00EA7E0A" w:rsidRPr="00606025">
        <w:rPr>
          <w:lang w:val="es-ES_tradnl"/>
        </w:rPr>
        <w:t>parte </w:t>
      </w:r>
      <w:r w:rsidRPr="00606025">
        <w:rPr>
          <w:lang w:val="es-ES_tradnl"/>
        </w:rPr>
        <w:t>II:</w:t>
      </w:r>
      <w:r w:rsidR="00273DB6" w:rsidRPr="009B196C">
        <w:rPr>
          <w:lang w:val="es-ES"/>
        </w:rPr>
        <w:t xml:space="preserve">  </w:t>
      </w:r>
      <w:r w:rsidRPr="00606025">
        <w:rPr>
          <w:lang w:val="es-ES_tradnl"/>
        </w:rPr>
        <w:t>Técnicas utilizadas en el examen DHE</w:t>
      </w:r>
      <w:r w:rsidR="007829E4">
        <w:rPr>
          <w:lang w:val="es-ES_tradnl"/>
        </w:rPr>
        <w:t xml:space="preserve">, </w:t>
      </w:r>
      <w:r w:rsidRPr="00606025">
        <w:rPr>
          <w:lang w:val="es-ES_tradnl"/>
        </w:rPr>
        <w:t>nueva sección:</w:t>
      </w:r>
      <w:r w:rsidR="00273DB6" w:rsidRPr="009B196C">
        <w:rPr>
          <w:lang w:val="es-ES"/>
        </w:rPr>
        <w:t xml:space="preserve"> </w:t>
      </w:r>
      <w:r w:rsidRPr="00606025">
        <w:rPr>
          <w:lang w:val="es-ES_tradnl"/>
        </w:rPr>
        <w:t>Tratamiento de datos para la evaluación de la distinción y la elaboración de descripciones de variedades</w:t>
      </w:r>
      <w:r w:rsidR="00273DB6" w:rsidRPr="009B196C">
        <w:rPr>
          <w:lang w:val="es-ES"/>
        </w:rPr>
        <w:t xml:space="preserve"> </w:t>
      </w:r>
    </w:p>
    <w:p w:rsidR="00273DB6" w:rsidRPr="00D51062" w:rsidRDefault="00273DB6" w:rsidP="00273DB6">
      <w:pPr>
        <w:ind w:hanging="1843"/>
        <w:rPr>
          <w:rFonts w:cs="Arial"/>
          <w:snapToGrid w:val="0"/>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31447" w:rsidRPr="00631447">
        <w:t>El TC tomó nota de los avances señalados en el documento TC/53/18.</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31447" w:rsidRPr="00EA7E0A">
        <w:t xml:space="preserve">El TC examinó el análisis llevado a cabo por el experto de Francia en el </w:t>
      </w:r>
      <w:r w:rsidR="00256232" w:rsidRPr="00EA7E0A">
        <w:t>anexo</w:t>
      </w:r>
      <w:r w:rsidR="00EA7E0A" w:rsidRPr="00EA7E0A">
        <w:t> </w:t>
      </w:r>
      <w:r w:rsidR="00631447" w:rsidRPr="00EA7E0A">
        <w:t>II del documento TC/53/18 y convino en invitar a los expertos de Francia a que comprueben si los valores destacados en el cuadro del párrafo</w:t>
      </w:r>
      <w:r w:rsidR="007829E4">
        <w:t> </w:t>
      </w:r>
      <w:r w:rsidR="007829E4" w:rsidRPr="00EA7E0A">
        <w:t>6</w:t>
      </w:r>
      <w:r w:rsidR="00631447" w:rsidRPr="00EA7E0A">
        <w:t xml:space="preserve"> del </w:t>
      </w:r>
      <w:r w:rsidR="00256232" w:rsidRPr="00EA7E0A">
        <w:t>anexo</w:t>
      </w:r>
      <w:r w:rsidR="00EA7E0A" w:rsidRPr="00EA7E0A">
        <w:t> II son coherentes.</w:t>
      </w:r>
      <w:r w:rsidR="00273DB6" w:rsidRPr="00D51062">
        <w:t xml:space="preserve"> </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EA7E0A" w:rsidRPr="00EA7E0A">
        <w:t>El TC convino en invitar a los participantes en el ejercicio práctico a aportar una descripción breve de los métodos que emplean para transformar las mediciones en notas y a proporcionar ejemplos en los que se podrían emplear dichos métodos</w:t>
      </w:r>
      <w:r w:rsidR="007829E4">
        <w:t xml:space="preserve">, </w:t>
      </w:r>
      <w:r w:rsidR="00EA7E0A" w:rsidRPr="00EA7E0A">
        <w:t>por ejemplo para caracteres en concreto</w:t>
      </w:r>
      <w:r w:rsidR="007829E4">
        <w:t xml:space="preserve">, </w:t>
      </w:r>
      <w:r w:rsidR="00EA7E0A" w:rsidRPr="00EA7E0A">
        <w:t>tipos de reproducción o multiplicación vegetativa o diferentes situaciones</w:t>
      </w:r>
      <w:r w:rsidR="007829E4">
        <w:t xml:space="preserve">, </w:t>
      </w:r>
      <w:r w:rsidR="00EA7E0A" w:rsidRPr="00EA7E0A">
        <w:t>basándose en las descripciones breves facilitadas por Francia y el Reino Unido.</w:t>
      </w:r>
      <w:r w:rsidR="00273DB6" w:rsidRPr="00D51062">
        <w:t xml:space="preserve">  </w:t>
      </w:r>
      <w:r w:rsidR="00EA7E0A" w:rsidRPr="00EA7E0A">
        <w:t>El TC convino en invitar al TWC a analizar las explicaciones que proporcionen los participantes en el ejercicio práctico que se considerarán un posible punto de partida de la orientación para la revisión del documento TGP/8.</w:t>
      </w:r>
    </w:p>
    <w:p w:rsidR="00273DB6" w:rsidRPr="005F0D89" w:rsidRDefault="00273DB6" w:rsidP="00273DB6"/>
    <w:p w:rsidR="00273DB6" w:rsidRPr="005F0D89" w:rsidRDefault="00273DB6" w:rsidP="00273DB6"/>
    <w:p w:rsidR="00273DB6" w:rsidRPr="009B196C" w:rsidRDefault="00273DB6" w:rsidP="00273DB6">
      <w:pPr>
        <w:pStyle w:val="Heading4"/>
        <w:rPr>
          <w:lang w:val="es-ES"/>
        </w:rPr>
      </w:pPr>
      <w:r w:rsidRPr="009B196C">
        <w:rPr>
          <w:lang w:val="es-ES"/>
        </w:rPr>
        <w:t>TGP/10:</w:t>
      </w:r>
      <w:r w:rsidRPr="009B196C">
        <w:rPr>
          <w:lang w:val="es-ES"/>
        </w:rPr>
        <w:tab/>
      </w:r>
      <w:r w:rsidR="00EA7E0A" w:rsidRPr="00EA7E0A">
        <w:rPr>
          <w:lang w:val="es-ES_tradnl"/>
        </w:rPr>
        <w:t>Examen de la homogeneidad</w:t>
      </w:r>
    </w:p>
    <w:p w:rsidR="00273DB6" w:rsidRPr="00D51062" w:rsidRDefault="00273DB6" w:rsidP="00273DB6"/>
    <w:p w:rsidR="00273DB6" w:rsidRPr="009B196C" w:rsidRDefault="00EA7E0A" w:rsidP="00273DB6">
      <w:pPr>
        <w:pStyle w:val="Heading5"/>
        <w:rPr>
          <w:snapToGrid w:val="0"/>
          <w:lang w:val="es-ES"/>
        </w:rPr>
      </w:pPr>
      <w:r w:rsidRPr="00EA7E0A">
        <w:rPr>
          <w:lang w:val="es-ES_tradnl"/>
        </w:rPr>
        <w:t>Revisión del documento TGP/10:nueva sección:</w:t>
      </w:r>
      <w:r w:rsidR="00273DB6" w:rsidRPr="009B196C">
        <w:rPr>
          <w:lang w:val="es-ES"/>
        </w:rPr>
        <w:t xml:space="preserve"> </w:t>
      </w:r>
      <w:r w:rsidRPr="009B196C">
        <w:rPr>
          <w:lang w:val="es-ES"/>
        </w:rPr>
        <w:t xml:space="preserve"> </w:t>
      </w:r>
      <w:r w:rsidR="0095517D" w:rsidRPr="0095517D">
        <w:rPr>
          <w:lang w:val="es-ES_tradnl"/>
        </w:rPr>
        <w:t>Evaluación de la homogeneidad de las plantas fuera de tipo mediante la observación de más de un ciclo de cultivo o mediante la observación de submuestras</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EA7E0A" w:rsidRPr="0095517D">
        <w:t>El TC examinó el documento TC/53/19.</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95517D" w:rsidRPr="0095517D">
        <w:t>El TC tomó nota de que Francia y el Reino Unido presentaron ponencias ante el TWC</w:t>
      </w:r>
      <w:r w:rsidR="007829E4">
        <w:t xml:space="preserve">, </w:t>
      </w:r>
      <w:r w:rsidR="0095517D" w:rsidRPr="0095517D">
        <w:t>TWV y TWA</w:t>
      </w:r>
      <w:r w:rsidR="007829E4">
        <w:t xml:space="preserve">, </w:t>
      </w:r>
      <w:r w:rsidR="0095517D" w:rsidRPr="0095517D">
        <w:t>en sus reuniones de</w:t>
      </w:r>
      <w:r w:rsidR="007829E4">
        <w:t> </w:t>
      </w:r>
      <w:r w:rsidR="007829E4" w:rsidRPr="0095517D">
        <w:t>2</w:t>
      </w:r>
      <w:r w:rsidR="0095517D" w:rsidRPr="0095517D">
        <w:t>016</w:t>
      </w:r>
      <w:r w:rsidR="007829E4">
        <w:t xml:space="preserve">, </w:t>
      </w:r>
      <w:r w:rsidR="0095517D" w:rsidRPr="0095517D">
        <w:t>y de los ofrecimientos de Alemania</w:t>
      </w:r>
      <w:r w:rsidR="007829E4">
        <w:t xml:space="preserve">, </w:t>
      </w:r>
      <w:r w:rsidR="0095517D" w:rsidRPr="0095517D">
        <w:t>los Países Bajos y el Reino Unido de facilitar ejemplos al TWC</w:t>
      </w:r>
      <w:r w:rsidR="007829E4">
        <w:t xml:space="preserve">, </w:t>
      </w:r>
      <w:r w:rsidR="0095517D" w:rsidRPr="0095517D">
        <w:t>en su reunión de</w:t>
      </w:r>
      <w:r w:rsidR="007829E4">
        <w:t> </w:t>
      </w:r>
      <w:r w:rsidR="007829E4" w:rsidRPr="0095517D">
        <w:t>2</w:t>
      </w:r>
      <w:r w:rsidR="0095517D" w:rsidRPr="0095517D">
        <w:t>017</w:t>
      </w:r>
      <w:r w:rsidR="007829E4">
        <w:t xml:space="preserve">, </w:t>
      </w:r>
      <w:r w:rsidR="0095517D" w:rsidRPr="0095517D">
        <w:t>sobre la elección del método más adecuado para evaluar las plantas fuera de tipo.</w:t>
      </w:r>
      <w:r w:rsidR="00273DB6" w:rsidRPr="00D51062">
        <w:t xml:space="preserve">  </w:t>
      </w:r>
    </w:p>
    <w:p w:rsidR="00273DB6" w:rsidRPr="00D51062" w:rsidRDefault="00273DB6" w:rsidP="00273DB6">
      <w:pPr>
        <w:rPr>
          <w:snapToGrid w:val="0"/>
        </w:rPr>
      </w:pPr>
    </w:p>
    <w:p w:rsidR="00273DB6" w:rsidRPr="00D51062" w:rsidRDefault="007D43C5" w:rsidP="00273DB6">
      <w:pPr>
        <w:rPr>
          <w:rFonts w:cs="Arial"/>
        </w:rPr>
      </w:pPr>
      <w:r w:rsidRPr="00D51062">
        <w:fldChar w:fldCharType="begin"/>
      </w:r>
      <w:r w:rsidR="00273DB6" w:rsidRPr="00D51062">
        <w:instrText xml:space="preserve"> AUTONUM  </w:instrText>
      </w:r>
      <w:r w:rsidRPr="00D51062">
        <w:fldChar w:fldCharType="end"/>
      </w:r>
      <w:r w:rsidR="00273DB6" w:rsidRPr="00D51062">
        <w:tab/>
      </w:r>
      <w:r w:rsidR="0095517D" w:rsidRPr="0095517D">
        <w:t>El TC tomó nota de los ofrecimientos de Alemania</w:t>
      </w:r>
      <w:r w:rsidR="007829E4">
        <w:t xml:space="preserve">, </w:t>
      </w:r>
      <w:r w:rsidR="0095517D" w:rsidRPr="0095517D">
        <w:t>Francia</w:t>
      </w:r>
      <w:r w:rsidR="007829E4">
        <w:t xml:space="preserve">, </w:t>
      </w:r>
      <w:r w:rsidR="0095517D" w:rsidRPr="0095517D">
        <w:t>los Países Bajos</w:t>
      </w:r>
      <w:r w:rsidR="007829E4">
        <w:t xml:space="preserve">, </w:t>
      </w:r>
      <w:r w:rsidR="0095517D" w:rsidRPr="0095517D">
        <w:t>Polonia y el Reino Unido de proporcionar ejemplos en los que se compare el efecto que el método</w:t>
      </w:r>
      <w:r w:rsidR="007829E4">
        <w:t> </w:t>
      </w:r>
      <w:r w:rsidR="007829E4" w:rsidRPr="0095517D">
        <w:t>3</w:t>
      </w:r>
      <w:r w:rsidR="0095517D" w:rsidRPr="0095517D">
        <w:t xml:space="preserve"> y los otros métodos puedan tener sobre las decisiones de homogeneidad</w:t>
      </w:r>
      <w:r w:rsidR="007829E4">
        <w:t xml:space="preserve">, </w:t>
      </w:r>
      <w:r w:rsidR="0095517D" w:rsidRPr="0095517D">
        <w:t>que se presentarán ante el TWA en su cuadragésima sexta reunión.</w:t>
      </w:r>
    </w:p>
    <w:p w:rsidR="00273DB6" w:rsidRPr="00D51062" w:rsidRDefault="00273DB6" w:rsidP="00273DB6">
      <w:pPr>
        <w:rPr>
          <w:rFonts w:cs="Arial"/>
        </w:rPr>
      </w:pPr>
    </w:p>
    <w:p w:rsidR="00273DB6" w:rsidRPr="00D51062" w:rsidRDefault="007D43C5" w:rsidP="00273DB6">
      <w:pPr>
        <w:rPr>
          <w:rFonts w:cs="Arial"/>
        </w:rPr>
      </w:pPr>
      <w:r w:rsidRPr="00D51062">
        <w:fldChar w:fldCharType="begin"/>
      </w:r>
      <w:r w:rsidR="00273DB6" w:rsidRPr="00D51062">
        <w:instrText xml:space="preserve"> AUTONUM  </w:instrText>
      </w:r>
      <w:r w:rsidRPr="00D51062">
        <w:fldChar w:fldCharType="end"/>
      </w:r>
      <w:r w:rsidR="00273DB6" w:rsidRPr="00D51062">
        <w:tab/>
      </w:r>
      <w:r w:rsidR="0095517D" w:rsidRPr="0095517D">
        <w:t>El TC convino en invitar a expertos a las reuniones de los TWP de</w:t>
      </w:r>
      <w:r w:rsidR="007829E4">
        <w:t> </w:t>
      </w:r>
      <w:r w:rsidR="007829E4" w:rsidRPr="0095517D">
        <w:t>2</w:t>
      </w:r>
      <w:r w:rsidR="0095517D" w:rsidRPr="0095517D">
        <w:t>017</w:t>
      </w:r>
      <w:r w:rsidR="007829E4">
        <w:t xml:space="preserve">, </w:t>
      </w:r>
      <w:r w:rsidR="0095517D" w:rsidRPr="0095517D">
        <w:t>a fin de que faciliten información sobre los criterios de elección del método más adecuado para evaluar las plantas fuera de tipo en diferentes tipos de cultivo.</w:t>
      </w:r>
    </w:p>
    <w:p w:rsidR="00273DB6" w:rsidRPr="00D51062" w:rsidRDefault="00273DB6" w:rsidP="00273DB6">
      <w:pPr>
        <w:rPr>
          <w:snapToGrid w:val="0"/>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95517D" w:rsidRPr="0095517D">
        <w:t xml:space="preserve">El TC examinó el proyecto de orientación que figura en los </w:t>
      </w:r>
      <w:r w:rsidR="00256232" w:rsidRPr="0095517D">
        <w:t>anexo</w:t>
      </w:r>
      <w:r w:rsidR="0095517D" w:rsidRPr="0095517D">
        <w:t>s I y II del documento TC/53/19 modificado por los TWP en sus reuniones de</w:t>
      </w:r>
      <w:r w:rsidR="007829E4">
        <w:t> </w:t>
      </w:r>
      <w:r w:rsidR="007829E4" w:rsidRPr="0095517D">
        <w:t>2</w:t>
      </w:r>
      <w:r w:rsidR="0095517D" w:rsidRPr="0095517D">
        <w:t>016</w:t>
      </w:r>
      <w:r w:rsidR="007829E4">
        <w:t xml:space="preserve">, </w:t>
      </w:r>
      <w:r w:rsidR="0095517D" w:rsidRPr="0095517D">
        <w:t>con miras a incluirlo en una futura revisión del documento TGP/10.</w:t>
      </w:r>
      <w:r w:rsidR="00273DB6" w:rsidRPr="0095517D">
        <w:t xml:space="preserve">  </w:t>
      </w:r>
      <w:r w:rsidR="0095517D" w:rsidRPr="0095517D">
        <w:t>El TC convino en invitar a los TWP a que</w:t>
      </w:r>
      <w:r w:rsidR="007829E4">
        <w:t xml:space="preserve">, </w:t>
      </w:r>
      <w:r w:rsidR="0095517D" w:rsidRPr="0095517D">
        <w:t>en sus reuniones de</w:t>
      </w:r>
      <w:r w:rsidR="007829E4">
        <w:t> </w:t>
      </w:r>
      <w:r w:rsidR="007829E4" w:rsidRPr="0095517D">
        <w:t>2</w:t>
      </w:r>
      <w:r w:rsidR="0095517D" w:rsidRPr="0095517D">
        <w:t>017</w:t>
      </w:r>
      <w:r w:rsidR="007829E4">
        <w:t xml:space="preserve">, </w:t>
      </w:r>
      <w:r w:rsidR="0095517D" w:rsidRPr="0095517D">
        <w:t xml:space="preserve">aclaren en el </w:t>
      </w:r>
      <w:r w:rsidR="00256232" w:rsidRPr="0095517D">
        <w:t>anexo</w:t>
      </w:r>
      <w:r w:rsidR="0095517D" w:rsidRPr="0095517D">
        <w:t> I si para rechazar una variedad tras un único ciclo de cultivo se deben contemplar criterios más generales en lugar del caso particular de haber superado el número de variedades fuera de tipo permitido para dos ciclos de cultivo.</w:t>
      </w:r>
    </w:p>
    <w:p w:rsidR="00273DB6" w:rsidRPr="00D51062" w:rsidRDefault="00273DB6" w:rsidP="00273DB6"/>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95517D" w:rsidRPr="0095517D">
        <w:t>El TC convino en que</w:t>
      </w:r>
      <w:r w:rsidR="007829E4">
        <w:t xml:space="preserve">, </w:t>
      </w:r>
      <w:r w:rsidR="0095517D" w:rsidRPr="0095517D">
        <w:t>junto con la revisión del documento TGP/10 se debe revisar la orientación que figura en el documento TGP/8/2</w:t>
      </w:r>
      <w:r w:rsidR="007829E4">
        <w:t xml:space="preserve">:  </w:t>
      </w:r>
      <w:r w:rsidR="0095517D" w:rsidRPr="0095517D">
        <w:t>parte II</w:t>
      </w:r>
      <w:r w:rsidR="007829E4">
        <w:t xml:space="preserve">:  </w:t>
      </w:r>
      <w:r w:rsidR="007829E4" w:rsidRPr="0095517D">
        <w:t>8</w:t>
      </w:r>
      <w:r w:rsidR="007829E4">
        <w:t xml:space="preserve">:  </w:t>
      </w:r>
      <w:r w:rsidR="0095517D" w:rsidRPr="0095517D">
        <w:t>“Método de evaluación de la homogeneidad sobre la base de las plantas fuera de tipo” a fin de que incluya los métodos que normalmente se aplican en los miembros de la Unión cuando se efectúa más de un examen único (anual).</w:t>
      </w:r>
    </w:p>
    <w:p w:rsidR="00273DB6" w:rsidRPr="00D51062" w:rsidRDefault="00273DB6" w:rsidP="00273DB6"/>
    <w:p w:rsidR="00273DB6" w:rsidRPr="00D51062" w:rsidRDefault="00273DB6" w:rsidP="00273DB6"/>
    <w:p w:rsidR="00273DB6" w:rsidRPr="009B196C" w:rsidRDefault="0095517D" w:rsidP="00273DB6">
      <w:pPr>
        <w:pStyle w:val="Heading3"/>
        <w:rPr>
          <w:rStyle w:val="Emphasis"/>
          <w:i/>
          <w:iCs w:val="0"/>
          <w:lang w:val="es-ES"/>
        </w:rPr>
      </w:pPr>
      <w:bookmarkStart w:id="10" w:name="_Toc492290037"/>
      <w:r w:rsidRPr="0095517D">
        <w:rPr>
          <w:rStyle w:val="Emphasis"/>
          <w:i/>
          <w:lang w:val="es-ES_tradnl"/>
        </w:rPr>
        <w:t>Nuevas propuestas para las futuras revisiones de documentos TGP</w:t>
      </w:r>
      <w:bookmarkEnd w:id="10"/>
    </w:p>
    <w:p w:rsidR="00273DB6" w:rsidRPr="00D51062" w:rsidRDefault="00273DB6" w:rsidP="00273DB6">
      <w:pPr>
        <w:keepNext/>
      </w:pPr>
    </w:p>
    <w:p w:rsidR="00273DB6" w:rsidRPr="009B196C" w:rsidRDefault="00273DB6" w:rsidP="00273DB6">
      <w:pPr>
        <w:pStyle w:val="Heading4"/>
        <w:rPr>
          <w:lang w:val="es-ES"/>
        </w:rPr>
      </w:pPr>
      <w:bookmarkStart w:id="11" w:name="_Toc476321139"/>
      <w:r w:rsidRPr="009B196C">
        <w:rPr>
          <w:lang w:val="es-ES"/>
        </w:rPr>
        <w:t>TGP/7</w:t>
      </w:r>
      <w:r w:rsidR="007829E4" w:rsidRPr="009B196C">
        <w:rPr>
          <w:lang w:val="es-ES"/>
        </w:rPr>
        <w:t xml:space="preserve">:  </w:t>
      </w:r>
      <w:bookmarkEnd w:id="11"/>
      <w:r w:rsidR="0095517D" w:rsidRPr="0095517D">
        <w:rPr>
          <w:lang w:val="es-ES_tradnl"/>
        </w:rPr>
        <w:t>Elaboración de las directrices de examen</w:t>
      </w:r>
    </w:p>
    <w:p w:rsidR="00273DB6" w:rsidRPr="00D51062" w:rsidRDefault="00273DB6" w:rsidP="00273DB6">
      <w:pPr>
        <w:keepNext/>
      </w:pPr>
    </w:p>
    <w:p w:rsidR="00273DB6" w:rsidRPr="009B196C" w:rsidRDefault="00273DB6" w:rsidP="00273DB6">
      <w:pPr>
        <w:pStyle w:val="Heading5"/>
        <w:rPr>
          <w:lang w:val="es-ES"/>
        </w:rPr>
      </w:pPr>
      <w:bookmarkStart w:id="12" w:name="_Toc441133908"/>
      <w:bookmarkStart w:id="13" w:name="_Toc476321140"/>
      <w:r w:rsidRPr="009B196C">
        <w:rPr>
          <w:lang w:val="es-ES"/>
        </w:rPr>
        <w:t>i)</w:t>
      </w:r>
      <w:r w:rsidRPr="009B196C">
        <w:rPr>
          <w:lang w:val="es-ES"/>
        </w:rPr>
        <w:tab/>
      </w:r>
      <w:bookmarkEnd w:id="12"/>
      <w:bookmarkEnd w:id="13"/>
      <w:r w:rsidR="00804B24" w:rsidRPr="00804B24">
        <w:rPr>
          <w:lang w:val="es-ES_tradnl"/>
        </w:rPr>
        <w:t>Duración de los exámenes DHE en el sector frutícola</w:t>
      </w:r>
    </w:p>
    <w:p w:rsidR="00273DB6" w:rsidRPr="00D51062" w:rsidRDefault="00273DB6" w:rsidP="00273DB6">
      <w:pPr>
        <w:keepNext/>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804B24" w:rsidRPr="00804B24">
        <w:t>El TC examinó el documento TC/53/5.</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804B24" w:rsidRPr="00804B24">
        <w:t>El TC examinó la propuesta del TWF de corregir el documento TGP/7 “Elaboración de las directrices de examen” para introducir nuevo texto estándar en la plantilla de directrices de examen y modificar el texto estándar adicional</w:t>
      </w:r>
      <w:r w:rsidR="007829E4">
        <w:t> </w:t>
      </w:r>
      <w:r w:rsidR="007829E4" w:rsidRPr="00804B24">
        <w:t>2</w:t>
      </w:r>
      <w:r w:rsidR="00804B24" w:rsidRPr="00804B24">
        <w:t xml:space="preserve"> a fin de aclarar la duración del examen DHE</w:t>
      </w:r>
      <w:r w:rsidR="007829E4">
        <w:t xml:space="preserve">, </w:t>
      </w:r>
      <w:r w:rsidR="00804B24" w:rsidRPr="00804B24">
        <w:t>según se expone a continuación:</w:t>
      </w:r>
    </w:p>
    <w:p w:rsidR="00273DB6" w:rsidRPr="00D51062" w:rsidRDefault="00273DB6" w:rsidP="00273DB6"/>
    <w:p w:rsidR="00273DB6" w:rsidRPr="00D51062" w:rsidRDefault="00804B24" w:rsidP="00804B24">
      <w:pPr>
        <w:numPr>
          <w:ilvl w:val="0"/>
          <w:numId w:val="12"/>
        </w:numPr>
        <w:autoSpaceDE w:val="0"/>
        <w:autoSpaceDN w:val="0"/>
        <w:adjustRightInd w:val="0"/>
        <w:spacing w:after="120"/>
        <w:jc w:val="left"/>
        <w:rPr>
          <w:rFonts w:eastAsia="Cambria" w:cs="Arial"/>
          <w:b/>
          <w:i/>
          <w:sz w:val="18"/>
          <w:szCs w:val="18"/>
        </w:rPr>
      </w:pPr>
      <w:r w:rsidRPr="00804B24">
        <w:rPr>
          <w:rFonts w:eastAsia="Cambria" w:cs="Arial"/>
          <w:b/>
          <w:i/>
          <w:sz w:val="18"/>
          <w:szCs w:val="18"/>
        </w:rPr>
        <w:t>Añadir una frase estándar en el capítulo</w:t>
      </w:r>
      <w:r w:rsidR="007829E4">
        <w:rPr>
          <w:rFonts w:eastAsia="Cambria" w:cs="Arial"/>
          <w:b/>
          <w:i/>
          <w:sz w:val="18"/>
          <w:szCs w:val="18"/>
        </w:rPr>
        <w:t> </w:t>
      </w:r>
      <w:r w:rsidR="007829E4" w:rsidRPr="00804B24">
        <w:rPr>
          <w:rFonts w:eastAsia="Cambria" w:cs="Arial"/>
          <w:b/>
          <w:i/>
          <w:sz w:val="18"/>
          <w:szCs w:val="18"/>
        </w:rPr>
        <w:t>3</w:t>
      </w:r>
      <w:r w:rsidRPr="00804B24">
        <w:rPr>
          <w:rFonts w:eastAsia="Cambria" w:cs="Arial"/>
          <w:b/>
          <w:i/>
          <w:sz w:val="18"/>
          <w:szCs w:val="18"/>
        </w:rPr>
        <w:t xml:space="preserve"> de la plantilla de los documentos TG de la UPOV de modo que el texto quede como sigue:</w:t>
      </w:r>
    </w:p>
    <w:p w:rsidR="00273DB6" w:rsidRPr="00D51062" w:rsidRDefault="00273DB6" w:rsidP="00273DB6">
      <w:pPr>
        <w:autoSpaceDE w:val="0"/>
        <w:autoSpaceDN w:val="0"/>
        <w:adjustRightInd w:val="0"/>
        <w:ind w:right="567" w:firstLine="360"/>
        <w:jc w:val="left"/>
        <w:rPr>
          <w:rFonts w:eastAsia="Cambria" w:cs="Arial"/>
          <w:sz w:val="18"/>
          <w:szCs w:val="18"/>
        </w:rPr>
      </w:pPr>
      <w:r w:rsidRPr="004829DF">
        <w:rPr>
          <w:rFonts w:eastAsia="Cambria" w:cs="Arial"/>
          <w:sz w:val="18"/>
          <w:szCs w:val="18"/>
        </w:rPr>
        <w:t xml:space="preserve">“3. </w:t>
      </w:r>
      <w:r w:rsidR="00804B24" w:rsidRPr="00804B24">
        <w:rPr>
          <w:rFonts w:eastAsia="Cambria" w:cs="Arial"/>
          <w:sz w:val="18"/>
          <w:szCs w:val="18"/>
        </w:rPr>
        <w:t>Método de examen</w:t>
      </w:r>
    </w:p>
    <w:p w:rsidR="00273DB6" w:rsidRPr="00D51062" w:rsidRDefault="00273DB6" w:rsidP="00273DB6">
      <w:pPr>
        <w:autoSpaceDE w:val="0"/>
        <w:autoSpaceDN w:val="0"/>
        <w:adjustRightInd w:val="0"/>
        <w:ind w:right="567" w:firstLine="360"/>
        <w:jc w:val="left"/>
        <w:rPr>
          <w:rFonts w:eastAsia="Cambria" w:cs="Arial"/>
          <w:sz w:val="18"/>
          <w:szCs w:val="18"/>
        </w:rPr>
      </w:pPr>
    </w:p>
    <w:p w:rsidR="00273DB6" w:rsidRPr="00D51062" w:rsidRDefault="00273DB6" w:rsidP="00273DB6">
      <w:pPr>
        <w:autoSpaceDE w:val="0"/>
        <w:autoSpaceDN w:val="0"/>
        <w:adjustRightInd w:val="0"/>
        <w:ind w:left="567" w:right="567"/>
        <w:jc w:val="left"/>
        <w:rPr>
          <w:rFonts w:eastAsia="Cambria" w:cs="Arial"/>
          <w:i/>
          <w:iCs/>
          <w:sz w:val="18"/>
          <w:szCs w:val="18"/>
        </w:rPr>
      </w:pPr>
      <w:r w:rsidRPr="004829DF">
        <w:rPr>
          <w:rFonts w:eastAsia="Cambria" w:cs="Arial"/>
          <w:i/>
          <w:iCs/>
          <w:sz w:val="18"/>
          <w:szCs w:val="18"/>
        </w:rPr>
        <w:t xml:space="preserve">3.1 </w:t>
      </w:r>
      <w:r w:rsidR="00804B24" w:rsidRPr="00804B24">
        <w:rPr>
          <w:rFonts w:eastAsia="Cambria" w:cs="Arial"/>
          <w:i/>
          <w:iCs/>
          <w:sz w:val="18"/>
          <w:szCs w:val="18"/>
        </w:rPr>
        <w:t>Número de ciclos de cultivo</w:t>
      </w:r>
    </w:p>
    <w:p w:rsidR="00273DB6" w:rsidRPr="00D51062" w:rsidRDefault="00273DB6" w:rsidP="00273DB6">
      <w:pPr>
        <w:autoSpaceDE w:val="0"/>
        <w:autoSpaceDN w:val="0"/>
        <w:adjustRightInd w:val="0"/>
        <w:ind w:left="567" w:right="567"/>
        <w:jc w:val="left"/>
        <w:rPr>
          <w:rFonts w:eastAsia="Cambria" w:cs="Arial"/>
          <w:i/>
          <w:iCs/>
          <w:sz w:val="18"/>
          <w:szCs w:val="18"/>
        </w:rPr>
      </w:pPr>
    </w:p>
    <w:p w:rsidR="00273DB6" w:rsidRPr="00D51062" w:rsidRDefault="00804B24" w:rsidP="00273DB6">
      <w:pPr>
        <w:autoSpaceDE w:val="0"/>
        <w:autoSpaceDN w:val="0"/>
        <w:adjustRightInd w:val="0"/>
        <w:ind w:left="567" w:right="567" w:firstLine="567"/>
        <w:jc w:val="left"/>
        <w:rPr>
          <w:rFonts w:eastAsia="Cambria" w:cs="Arial"/>
          <w:sz w:val="18"/>
          <w:szCs w:val="18"/>
        </w:rPr>
      </w:pPr>
      <w:r w:rsidRPr="00804B24">
        <w:rPr>
          <w:rFonts w:eastAsia="Cambria" w:cs="Arial"/>
          <w:sz w:val="18"/>
          <w:szCs w:val="18"/>
        </w:rPr>
        <w:t>La duración mínima de los ensayos deberá ser normalmente de:</w:t>
      </w:r>
    </w:p>
    <w:p w:rsidR="00273DB6" w:rsidRPr="00D51062" w:rsidRDefault="00273DB6" w:rsidP="00273DB6">
      <w:pPr>
        <w:autoSpaceDE w:val="0"/>
        <w:autoSpaceDN w:val="0"/>
        <w:adjustRightInd w:val="0"/>
        <w:ind w:left="567" w:right="567" w:firstLine="567"/>
        <w:jc w:val="left"/>
        <w:rPr>
          <w:rFonts w:eastAsia="Cambria" w:cs="Arial"/>
          <w:sz w:val="18"/>
          <w:szCs w:val="18"/>
        </w:rPr>
      </w:pPr>
    </w:p>
    <w:p w:rsidR="00273DB6" w:rsidRPr="00D51062" w:rsidRDefault="00804B24" w:rsidP="00273DB6">
      <w:pPr>
        <w:autoSpaceDE w:val="0"/>
        <w:autoSpaceDN w:val="0"/>
        <w:adjustRightInd w:val="0"/>
        <w:ind w:left="567" w:right="567" w:firstLine="567"/>
        <w:jc w:val="left"/>
        <w:rPr>
          <w:rFonts w:eastAsia="Cambria" w:cs="Arial"/>
          <w:sz w:val="18"/>
          <w:szCs w:val="18"/>
        </w:rPr>
      </w:pPr>
      <w:r w:rsidRPr="00804B24">
        <w:rPr>
          <w:rFonts w:eastAsia="Cambria" w:cs="Arial"/>
          <w:sz w:val="18"/>
          <w:szCs w:val="18"/>
        </w:rPr>
        <w:t xml:space="preserve">{ </w:t>
      </w:r>
      <w:r w:rsidRPr="00804B24">
        <w:rPr>
          <w:rFonts w:eastAsia="Cambria" w:cs="Arial"/>
          <w:b/>
          <w:sz w:val="18"/>
          <w:szCs w:val="18"/>
        </w:rPr>
        <w:t>ASW</w:t>
      </w:r>
      <w:r w:rsidR="007829E4">
        <w:rPr>
          <w:rFonts w:eastAsia="Cambria" w:cs="Arial"/>
          <w:b/>
          <w:sz w:val="18"/>
          <w:szCs w:val="18"/>
        </w:rPr>
        <w:t> </w:t>
      </w:r>
      <w:r w:rsidR="007829E4" w:rsidRPr="00804B24">
        <w:rPr>
          <w:rFonts w:eastAsia="Cambria" w:cs="Arial"/>
          <w:b/>
          <w:sz w:val="18"/>
          <w:szCs w:val="18"/>
        </w:rPr>
        <w:t>2</w:t>
      </w:r>
      <w:r w:rsidRPr="00804B24">
        <w:rPr>
          <w:rFonts w:eastAsia="Cambria" w:cs="Arial"/>
          <w:sz w:val="18"/>
          <w:szCs w:val="18"/>
        </w:rPr>
        <w:t xml:space="preserve"> (sección</w:t>
      </w:r>
      <w:r w:rsidR="007829E4">
        <w:rPr>
          <w:rFonts w:eastAsia="Cambria" w:cs="Arial"/>
          <w:sz w:val="18"/>
          <w:szCs w:val="18"/>
        </w:rPr>
        <w:t> </w:t>
      </w:r>
      <w:r w:rsidR="007829E4" w:rsidRPr="00804B24">
        <w:rPr>
          <w:rFonts w:eastAsia="Cambria" w:cs="Arial"/>
          <w:sz w:val="18"/>
          <w:szCs w:val="18"/>
        </w:rPr>
        <w:t>3</w:t>
      </w:r>
      <w:r w:rsidRPr="00804B24">
        <w:rPr>
          <w:rFonts w:eastAsia="Cambria" w:cs="Arial"/>
          <w:sz w:val="18"/>
          <w:szCs w:val="18"/>
        </w:rPr>
        <w:t>.1(.1)) – Número de ciclos de cultivo }</w:t>
      </w:r>
    </w:p>
    <w:p w:rsidR="00273DB6" w:rsidRPr="004679A0" w:rsidRDefault="00804B24" w:rsidP="00273DB6">
      <w:pPr>
        <w:autoSpaceDE w:val="0"/>
        <w:autoSpaceDN w:val="0"/>
        <w:adjustRightInd w:val="0"/>
        <w:ind w:left="567" w:right="567" w:firstLine="567"/>
        <w:jc w:val="left"/>
        <w:rPr>
          <w:rFonts w:eastAsia="Cambria" w:cs="Arial"/>
          <w:sz w:val="18"/>
          <w:szCs w:val="18"/>
        </w:rPr>
      </w:pPr>
      <w:r w:rsidRPr="00804B24">
        <w:rPr>
          <w:rFonts w:eastAsia="Cambria" w:cs="Arial"/>
          <w:sz w:val="18"/>
          <w:szCs w:val="18"/>
        </w:rPr>
        <w:t>{ GN</w:t>
      </w:r>
      <w:r w:rsidR="007829E4">
        <w:rPr>
          <w:rFonts w:eastAsia="Cambria" w:cs="Arial"/>
          <w:sz w:val="18"/>
          <w:szCs w:val="18"/>
        </w:rPr>
        <w:t> </w:t>
      </w:r>
      <w:r w:rsidR="007829E4" w:rsidRPr="00804B24">
        <w:rPr>
          <w:rFonts w:eastAsia="Cambria" w:cs="Arial"/>
          <w:sz w:val="18"/>
          <w:szCs w:val="18"/>
        </w:rPr>
        <w:t>8</w:t>
      </w:r>
      <w:r w:rsidRPr="00804B24">
        <w:rPr>
          <w:rFonts w:eastAsia="Cambria" w:cs="Arial"/>
          <w:sz w:val="18"/>
          <w:szCs w:val="18"/>
        </w:rPr>
        <w:t xml:space="preserve"> (sección</w:t>
      </w:r>
      <w:r w:rsidR="007829E4">
        <w:rPr>
          <w:rFonts w:eastAsia="Cambria" w:cs="Arial"/>
          <w:sz w:val="18"/>
          <w:szCs w:val="18"/>
        </w:rPr>
        <w:t> </w:t>
      </w:r>
      <w:r w:rsidR="007829E4" w:rsidRPr="00804B24">
        <w:rPr>
          <w:rFonts w:eastAsia="Cambria" w:cs="Arial"/>
          <w:sz w:val="18"/>
          <w:szCs w:val="18"/>
        </w:rPr>
        <w:t>3</w:t>
      </w:r>
      <w:r w:rsidRPr="00804B24">
        <w:rPr>
          <w:rFonts w:eastAsia="Cambria" w:cs="Arial"/>
          <w:sz w:val="18"/>
          <w:szCs w:val="18"/>
        </w:rPr>
        <w:t>.1.2) – Explicación del ciclo de cultivo }</w:t>
      </w:r>
    </w:p>
    <w:p w:rsidR="00273DB6" w:rsidRPr="004679A0" w:rsidRDefault="00804B24" w:rsidP="00273DB6">
      <w:pPr>
        <w:autoSpaceDE w:val="0"/>
        <w:autoSpaceDN w:val="0"/>
        <w:adjustRightInd w:val="0"/>
        <w:ind w:left="567" w:right="567" w:firstLine="567"/>
        <w:rPr>
          <w:rFonts w:eastAsia="Cambria" w:cs="Arial"/>
          <w:sz w:val="18"/>
          <w:szCs w:val="18"/>
        </w:rPr>
      </w:pPr>
      <w:r w:rsidRPr="00804B24">
        <w:rPr>
          <w:rFonts w:eastAsia="Cambria" w:cs="Arial"/>
          <w:sz w:val="18"/>
          <w:szCs w:val="18"/>
        </w:rPr>
        <w:t xml:space="preserve">{ </w:t>
      </w:r>
      <w:r w:rsidRPr="00804B24">
        <w:rPr>
          <w:rFonts w:eastAsia="Cambria" w:cs="Arial"/>
          <w:b/>
          <w:sz w:val="18"/>
          <w:szCs w:val="18"/>
        </w:rPr>
        <w:t>ASW</w:t>
      </w:r>
      <w:r w:rsidR="007829E4">
        <w:rPr>
          <w:rFonts w:eastAsia="Cambria" w:cs="Arial"/>
          <w:b/>
          <w:sz w:val="18"/>
          <w:szCs w:val="18"/>
        </w:rPr>
        <w:t> </w:t>
      </w:r>
      <w:r w:rsidR="007829E4" w:rsidRPr="00804B24">
        <w:rPr>
          <w:rFonts w:eastAsia="Cambria" w:cs="Arial"/>
          <w:b/>
          <w:sz w:val="18"/>
          <w:szCs w:val="18"/>
        </w:rPr>
        <w:t>3</w:t>
      </w:r>
      <w:r w:rsidRPr="00804B24">
        <w:rPr>
          <w:rFonts w:eastAsia="Cambria" w:cs="Arial"/>
          <w:sz w:val="18"/>
          <w:szCs w:val="18"/>
        </w:rPr>
        <w:t xml:space="preserve"> (sección</w:t>
      </w:r>
      <w:r w:rsidR="007829E4">
        <w:rPr>
          <w:rFonts w:eastAsia="Cambria" w:cs="Arial"/>
          <w:sz w:val="18"/>
          <w:szCs w:val="18"/>
        </w:rPr>
        <w:t> </w:t>
      </w:r>
      <w:r w:rsidR="007829E4" w:rsidRPr="00804B24">
        <w:rPr>
          <w:rFonts w:eastAsia="Cambria" w:cs="Arial"/>
          <w:sz w:val="18"/>
          <w:szCs w:val="18"/>
        </w:rPr>
        <w:t>3</w:t>
      </w:r>
      <w:r w:rsidRPr="00804B24">
        <w:rPr>
          <w:rFonts w:eastAsia="Cambria" w:cs="Arial"/>
          <w:sz w:val="18"/>
          <w:szCs w:val="18"/>
        </w:rPr>
        <w:t>.1.2) – Explicación del ciclo de cultivo }</w:t>
      </w:r>
    </w:p>
    <w:p w:rsidR="00273DB6" w:rsidRPr="004679A0" w:rsidRDefault="00273DB6" w:rsidP="00273DB6">
      <w:pPr>
        <w:autoSpaceDE w:val="0"/>
        <w:autoSpaceDN w:val="0"/>
        <w:adjustRightInd w:val="0"/>
        <w:ind w:left="567" w:right="567" w:firstLine="567"/>
        <w:rPr>
          <w:rFonts w:eastAsia="Cambria" w:cs="Arial"/>
          <w:color w:val="000000"/>
          <w:sz w:val="18"/>
          <w:szCs w:val="18"/>
        </w:rPr>
      </w:pPr>
    </w:p>
    <w:p w:rsidR="00273DB6" w:rsidRPr="004679A0" w:rsidRDefault="00804B24" w:rsidP="00273DB6">
      <w:pPr>
        <w:shd w:val="clear" w:color="auto" w:fill="FFFFFF" w:themeFill="background1"/>
        <w:autoSpaceDE w:val="0"/>
        <w:autoSpaceDN w:val="0"/>
        <w:adjustRightInd w:val="0"/>
        <w:ind w:left="567" w:right="567" w:firstLine="567"/>
        <w:rPr>
          <w:rFonts w:eastAsia="Cambria" w:cs="Arial"/>
          <w:sz w:val="18"/>
          <w:szCs w:val="18"/>
          <w:u w:val="single"/>
          <w:lang w:eastAsia="fr-FR"/>
        </w:rPr>
      </w:pPr>
      <w:r w:rsidRPr="00804B24">
        <w:rPr>
          <w:rFonts w:eastAsia="Cambria" w:cs="Arial"/>
          <w:sz w:val="18"/>
          <w:szCs w:val="18"/>
          <w:highlight w:val="lightGray"/>
          <w:u w:val="single"/>
          <w:lang w:eastAsia="fr-FR"/>
        </w:rPr>
        <w:t>En cuanto se pueda establecer con certeza que el resultado del examen DHE será negativo</w:t>
      </w:r>
      <w:r w:rsidR="007829E4">
        <w:rPr>
          <w:rFonts w:eastAsia="Cambria" w:cs="Arial"/>
          <w:sz w:val="18"/>
          <w:szCs w:val="18"/>
          <w:highlight w:val="lightGray"/>
          <w:u w:val="single"/>
          <w:lang w:eastAsia="fr-FR"/>
        </w:rPr>
        <w:t xml:space="preserve">, </w:t>
      </w:r>
      <w:r w:rsidRPr="00804B24">
        <w:rPr>
          <w:rFonts w:eastAsia="Cambria" w:cs="Arial"/>
          <w:sz w:val="18"/>
          <w:szCs w:val="18"/>
          <w:highlight w:val="lightGray"/>
          <w:u w:val="single"/>
          <w:lang w:eastAsia="fr-FR"/>
        </w:rPr>
        <w:t>se lo puede detener independientemente del número de ciclos de cultivo llevados a cabo hasta el momento.</w:t>
      </w:r>
    </w:p>
    <w:p w:rsidR="00273DB6" w:rsidRPr="004679A0" w:rsidRDefault="00273DB6" w:rsidP="00273DB6">
      <w:pPr>
        <w:autoSpaceDE w:val="0"/>
        <w:autoSpaceDN w:val="0"/>
        <w:adjustRightInd w:val="0"/>
        <w:ind w:right="567"/>
        <w:rPr>
          <w:rFonts w:eastAsia="Cambria" w:cs="Arial"/>
          <w:sz w:val="18"/>
          <w:szCs w:val="18"/>
        </w:rPr>
      </w:pPr>
    </w:p>
    <w:p w:rsidR="00273DB6" w:rsidRPr="00A46122" w:rsidRDefault="00804B24" w:rsidP="00804B24">
      <w:pPr>
        <w:keepNext/>
        <w:numPr>
          <w:ilvl w:val="0"/>
          <w:numId w:val="12"/>
        </w:numPr>
        <w:autoSpaceDE w:val="0"/>
        <w:autoSpaceDN w:val="0"/>
        <w:adjustRightInd w:val="0"/>
        <w:spacing w:after="120"/>
        <w:ind w:right="567"/>
        <w:jc w:val="left"/>
        <w:rPr>
          <w:rFonts w:eastAsia="Cambria" w:cs="Arial"/>
          <w:sz w:val="18"/>
          <w:szCs w:val="18"/>
        </w:rPr>
      </w:pPr>
      <w:r w:rsidRPr="00804B24">
        <w:rPr>
          <w:rFonts w:eastAsia="Cambria" w:cs="Arial"/>
          <w:b/>
          <w:i/>
          <w:sz w:val="18"/>
          <w:szCs w:val="18"/>
        </w:rPr>
        <w:t>Opción(es) adicional(es) que ha(n) de incluirse en el ASW</w:t>
      </w:r>
      <w:r w:rsidR="007829E4">
        <w:rPr>
          <w:rFonts w:eastAsia="Cambria" w:cs="Arial"/>
          <w:b/>
          <w:i/>
          <w:sz w:val="18"/>
          <w:szCs w:val="18"/>
        </w:rPr>
        <w:t> </w:t>
      </w:r>
      <w:r w:rsidR="007829E4" w:rsidRPr="00804B24">
        <w:rPr>
          <w:rFonts w:eastAsia="Cambria" w:cs="Arial"/>
          <w:b/>
          <w:i/>
          <w:sz w:val="18"/>
          <w:szCs w:val="18"/>
        </w:rPr>
        <w:t>2</w:t>
      </w:r>
    </w:p>
    <w:p w:rsidR="00273DB6" w:rsidRPr="00A46122" w:rsidRDefault="00804B24" w:rsidP="00273DB6">
      <w:pPr>
        <w:autoSpaceDE w:val="0"/>
        <w:autoSpaceDN w:val="0"/>
        <w:adjustRightInd w:val="0"/>
        <w:ind w:left="567" w:right="567"/>
        <w:jc w:val="left"/>
        <w:rPr>
          <w:rFonts w:eastAsia="Cambria" w:cs="Arial"/>
          <w:sz w:val="18"/>
          <w:szCs w:val="18"/>
        </w:rPr>
      </w:pPr>
      <w:r w:rsidRPr="00804B24">
        <w:rPr>
          <w:rFonts w:eastAsia="Cambria" w:cs="Arial"/>
          <w:sz w:val="18"/>
          <w:szCs w:val="18"/>
        </w:rPr>
        <w:t>ASW</w:t>
      </w:r>
      <w:r w:rsidR="007829E4">
        <w:rPr>
          <w:rFonts w:eastAsia="Cambria" w:cs="Arial"/>
          <w:sz w:val="18"/>
          <w:szCs w:val="18"/>
        </w:rPr>
        <w:t> </w:t>
      </w:r>
      <w:r w:rsidR="007829E4" w:rsidRPr="00804B24">
        <w:rPr>
          <w:rFonts w:eastAsia="Cambria" w:cs="Arial"/>
          <w:sz w:val="18"/>
          <w:szCs w:val="18"/>
        </w:rPr>
        <w:t>2</w:t>
      </w:r>
      <w:r w:rsidRPr="00804B24">
        <w:rPr>
          <w:rFonts w:eastAsia="Cambria" w:cs="Arial"/>
          <w:sz w:val="18"/>
          <w:szCs w:val="18"/>
        </w:rPr>
        <w:t xml:space="preserve"> (Plantilla de los documentos TG:</w:t>
      </w:r>
      <w:r w:rsidR="00273DB6" w:rsidRPr="00A46122">
        <w:rPr>
          <w:rFonts w:eastAsia="Cambria" w:cs="Arial"/>
          <w:sz w:val="18"/>
          <w:szCs w:val="18"/>
        </w:rPr>
        <w:t xml:space="preserve"> </w:t>
      </w:r>
      <w:r>
        <w:rPr>
          <w:rFonts w:eastAsia="Cambria" w:cs="Arial"/>
          <w:sz w:val="18"/>
          <w:szCs w:val="18"/>
        </w:rPr>
        <w:t xml:space="preserve"> </w:t>
      </w:r>
      <w:r w:rsidRPr="00804B24">
        <w:rPr>
          <w:rFonts w:eastAsia="Cambria" w:cs="Arial"/>
          <w:sz w:val="18"/>
          <w:szCs w:val="18"/>
        </w:rPr>
        <w:t>sección</w:t>
      </w:r>
      <w:r w:rsidR="007829E4">
        <w:rPr>
          <w:rFonts w:eastAsia="Cambria" w:cs="Arial"/>
          <w:sz w:val="18"/>
          <w:szCs w:val="18"/>
        </w:rPr>
        <w:t> </w:t>
      </w:r>
      <w:r w:rsidR="007829E4" w:rsidRPr="00804B24">
        <w:rPr>
          <w:rFonts w:eastAsia="Cambria" w:cs="Arial"/>
          <w:sz w:val="18"/>
          <w:szCs w:val="18"/>
        </w:rPr>
        <w:t>3</w:t>
      </w:r>
      <w:r w:rsidRPr="00804B24">
        <w:rPr>
          <w:rFonts w:eastAsia="Cambria" w:cs="Arial"/>
          <w:sz w:val="18"/>
          <w:szCs w:val="18"/>
        </w:rPr>
        <w:t>.1) – Número de ciclos de cultivo</w:t>
      </w:r>
    </w:p>
    <w:p w:rsidR="00273DB6" w:rsidRPr="00A46122" w:rsidRDefault="00273DB6" w:rsidP="00273DB6">
      <w:pPr>
        <w:autoSpaceDE w:val="0"/>
        <w:autoSpaceDN w:val="0"/>
        <w:adjustRightInd w:val="0"/>
        <w:ind w:left="567" w:right="567"/>
        <w:jc w:val="left"/>
        <w:rPr>
          <w:rFonts w:eastAsia="Cambria" w:cs="Arial"/>
          <w:sz w:val="18"/>
          <w:szCs w:val="18"/>
        </w:rPr>
      </w:pPr>
    </w:p>
    <w:p w:rsidR="00273DB6" w:rsidRPr="00A46122" w:rsidRDefault="00804B24" w:rsidP="00273DB6">
      <w:pPr>
        <w:pStyle w:val="ListParagraph"/>
        <w:numPr>
          <w:ilvl w:val="0"/>
          <w:numId w:val="13"/>
        </w:numPr>
        <w:autoSpaceDE w:val="0"/>
        <w:autoSpaceDN w:val="0"/>
        <w:adjustRightInd w:val="0"/>
        <w:spacing w:after="0" w:line="240" w:lineRule="auto"/>
        <w:ind w:right="567"/>
        <w:rPr>
          <w:rFonts w:ascii="Arial" w:eastAsia="Cambria" w:hAnsi="Arial" w:cs="Arial"/>
          <w:i/>
          <w:iCs/>
          <w:sz w:val="18"/>
          <w:szCs w:val="18"/>
        </w:rPr>
      </w:pPr>
      <w:r w:rsidRPr="00804B24">
        <w:rPr>
          <w:rFonts w:ascii="Arial" w:eastAsia="Cambria" w:hAnsi="Arial" w:cs="Arial"/>
          <w:i/>
          <w:iCs/>
          <w:sz w:val="18"/>
          <w:szCs w:val="18"/>
          <w:lang w:val="es-ES_tradnl"/>
        </w:rPr>
        <w:t>Ciclo de cultivo único</w:t>
      </w:r>
    </w:p>
    <w:p w:rsidR="00273DB6" w:rsidRPr="00A46122" w:rsidRDefault="00273DB6" w:rsidP="00273DB6">
      <w:pPr>
        <w:pStyle w:val="ListParagraph"/>
        <w:ind w:left="927"/>
        <w:rPr>
          <w:rFonts w:ascii="Arial" w:hAnsi="Arial" w:cs="Arial"/>
          <w:sz w:val="18"/>
          <w:szCs w:val="18"/>
        </w:rPr>
      </w:pPr>
    </w:p>
    <w:p w:rsidR="00273DB6" w:rsidRPr="009B196C" w:rsidRDefault="00273DB6" w:rsidP="00E968D3">
      <w:pPr>
        <w:pStyle w:val="ListParagraph"/>
        <w:numPr>
          <w:ilvl w:val="0"/>
          <w:numId w:val="13"/>
        </w:numPr>
        <w:autoSpaceDE w:val="0"/>
        <w:autoSpaceDN w:val="0"/>
        <w:adjustRightInd w:val="0"/>
        <w:spacing w:after="0" w:line="280" w:lineRule="auto"/>
        <w:ind w:left="924" w:right="567" w:hanging="357"/>
        <w:rPr>
          <w:rFonts w:ascii="Arial" w:eastAsia="Cambria" w:hAnsi="Arial" w:cs="Arial"/>
          <w:sz w:val="18"/>
          <w:szCs w:val="18"/>
          <w:lang w:val="es-ES"/>
        </w:rPr>
      </w:pPr>
      <w:r w:rsidRPr="009B196C">
        <w:rPr>
          <w:rFonts w:ascii="Arial" w:eastAsia="Cambria" w:hAnsi="Arial" w:cs="Arial"/>
          <w:sz w:val="18"/>
          <w:szCs w:val="18"/>
          <w:lang w:val="es-ES"/>
        </w:rPr>
        <w:t>“</w:t>
      </w:r>
      <w:r w:rsidR="00E968D3" w:rsidRPr="00E968D3">
        <w:rPr>
          <w:rFonts w:ascii="Arial" w:hAnsi="Arial" w:cs="Arial"/>
          <w:color w:val="000000" w:themeColor="text1"/>
          <w:sz w:val="18"/>
          <w:lang w:val="es-ES_tradnl"/>
        </w:rPr>
        <w:t xml:space="preserve">La duración </w:t>
      </w:r>
      <w:r w:rsidR="00E968D3" w:rsidRPr="00E968D3">
        <w:rPr>
          <w:rFonts w:ascii="Arial" w:hAnsi="Arial" w:cs="Arial"/>
          <w:strike/>
          <w:color w:val="000000" w:themeColor="text1"/>
          <w:sz w:val="18"/>
          <w:highlight w:val="lightGray"/>
          <w:lang w:val="es-ES_tradnl"/>
        </w:rPr>
        <w:t>mínima</w:t>
      </w:r>
      <w:r w:rsidR="00E968D3" w:rsidRPr="00E968D3">
        <w:rPr>
          <w:rFonts w:ascii="Arial" w:hAnsi="Arial" w:cs="Arial"/>
          <w:color w:val="000000" w:themeColor="text1"/>
          <w:sz w:val="18"/>
          <w:lang w:val="es-ES_tradnl"/>
        </w:rPr>
        <w:t xml:space="preserve"> de los ensayos deberá ser </w:t>
      </w:r>
      <w:r w:rsidR="00E968D3" w:rsidRPr="00E968D3">
        <w:rPr>
          <w:rFonts w:ascii="Arial" w:hAnsi="Arial" w:cs="Arial"/>
          <w:strike/>
          <w:color w:val="000000" w:themeColor="text1"/>
          <w:sz w:val="18"/>
          <w:highlight w:val="lightGray"/>
          <w:lang w:val="es-ES_tradnl"/>
        </w:rPr>
        <w:t>normalmente</w:t>
      </w:r>
      <w:r w:rsidR="007829E4">
        <w:rPr>
          <w:rFonts w:ascii="Arial" w:hAnsi="Arial" w:cs="Arial"/>
          <w:color w:val="000000" w:themeColor="text1"/>
          <w:sz w:val="18"/>
          <w:lang w:val="es-ES_tradnl"/>
        </w:rPr>
        <w:t xml:space="preserve">, </w:t>
      </w:r>
      <w:r w:rsidR="00E968D3" w:rsidRPr="00E968D3">
        <w:rPr>
          <w:rFonts w:ascii="Arial" w:hAnsi="Arial" w:cs="Arial"/>
          <w:color w:val="000000" w:themeColor="text1"/>
          <w:sz w:val="18"/>
          <w:highlight w:val="lightGray"/>
          <w:u w:val="single"/>
          <w:lang w:val="es-ES_tradnl"/>
        </w:rPr>
        <w:t>por lo general</w:t>
      </w:r>
      <w:r w:rsidR="007829E4">
        <w:rPr>
          <w:rFonts w:ascii="Arial" w:hAnsi="Arial" w:cs="Arial"/>
          <w:color w:val="000000" w:themeColor="text1"/>
          <w:sz w:val="18"/>
          <w:highlight w:val="lightGray"/>
          <w:u w:val="single"/>
          <w:lang w:val="es-ES_tradnl"/>
        </w:rPr>
        <w:t xml:space="preserve">, </w:t>
      </w:r>
      <w:r w:rsidR="00E968D3" w:rsidRPr="00E968D3">
        <w:rPr>
          <w:rFonts w:ascii="Arial" w:hAnsi="Arial" w:cs="Arial"/>
          <w:color w:val="000000" w:themeColor="text1"/>
          <w:sz w:val="18"/>
          <w:lang w:val="es-ES_tradnl"/>
        </w:rPr>
        <w:t>de un único ciclo de cultivo</w:t>
      </w:r>
      <w:r w:rsidR="00E968D3" w:rsidRPr="00E968D3">
        <w:rPr>
          <w:rFonts w:ascii="Arial" w:eastAsia="Cambria" w:hAnsi="Arial" w:cs="Arial"/>
          <w:sz w:val="18"/>
          <w:szCs w:val="18"/>
          <w:lang w:val="es-ES_tradnl"/>
        </w:rPr>
        <w:t>.</w:t>
      </w:r>
      <w:r w:rsidR="00DD2D81" w:rsidRPr="009B196C">
        <w:rPr>
          <w:rFonts w:ascii="Arial" w:eastAsia="Cambria" w:hAnsi="Arial" w:cs="Arial"/>
          <w:sz w:val="18"/>
          <w:szCs w:val="18"/>
          <w:lang w:val="es-ES"/>
        </w:rPr>
        <w:t xml:space="preserve"> </w:t>
      </w:r>
      <w:r w:rsidRPr="009B196C">
        <w:rPr>
          <w:rFonts w:ascii="Arial" w:eastAsia="Cambria" w:hAnsi="Arial" w:cs="Arial"/>
          <w:sz w:val="18"/>
          <w:szCs w:val="18"/>
          <w:lang w:val="es-ES" w:eastAsia="fr-FR"/>
        </w:rPr>
        <w:t xml:space="preserve"> </w:t>
      </w:r>
      <w:r w:rsidR="00E968D3" w:rsidRPr="00E968D3">
        <w:rPr>
          <w:rFonts w:ascii="Arial" w:eastAsia="Cambria" w:hAnsi="Arial" w:cs="Arial"/>
          <w:sz w:val="18"/>
          <w:szCs w:val="18"/>
          <w:highlight w:val="lightGray"/>
          <w:u w:val="single"/>
          <w:lang w:val="es-ES_tradnl" w:eastAsia="fr-FR"/>
        </w:rPr>
        <w:t>Al final del ciclo de cultivo</w:t>
      </w:r>
      <w:r w:rsidR="007829E4">
        <w:rPr>
          <w:rFonts w:ascii="Arial" w:eastAsia="Cambria" w:hAnsi="Arial" w:cs="Arial"/>
          <w:sz w:val="18"/>
          <w:szCs w:val="18"/>
          <w:highlight w:val="lightGray"/>
          <w:u w:val="single"/>
          <w:lang w:val="es-ES_tradnl" w:eastAsia="fr-FR"/>
        </w:rPr>
        <w:t xml:space="preserve">, </w:t>
      </w:r>
      <w:r w:rsidR="00E968D3" w:rsidRPr="00E968D3">
        <w:rPr>
          <w:rFonts w:ascii="Arial" w:eastAsia="Cambria" w:hAnsi="Arial" w:cs="Arial"/>
          <w:sz w:val="18"/>
          <w:szCs w:val="18"/>
          <w:highlight w:val="lightGray"/>
          <w:u w:val="single"/>
          <w:lang w:val="es-ES_tradnl" w:eastAsia="fr-FR"/>
        </w:rPr>
        <w:t>la autoridad competente determinará si es necesario o no llevar a cabo un ciclo de cultivo adicional</w:t>
      </w:r>
      <w:r w:rsidR="00E968D3" w:rsidRPr="00E968D3">
        <w:rPr>
          <w:rFonts w:ascii="Arial" w:eastAsia="Cambria" w:hAnsi="Arial" w:cs="Arial"/>
          <w:sz w:val="18"/>
          <w:szCs w:val="18"/>
          <w:lang w:val="es-ES_tradnl" w:eastAsia="fr-FR"/>
        </w:rPr>
        <w:t>.</w:t>
      </w:r>
      <w:r w:rsidRPr="009B196C">
        <w:rPr>
          <w:rFonts w:ascii="Arial" w:eastAsia="Cambria" w:hAnsi="Arial" w:cs="Arial"/>
          <w:sz w:val="18"/>
          <w:szCs w:val="18"/>
          <w:lang w:val="es-ES" w:eastAsia="fr-FR"/>
        </w:rPr>
        <w:t>”</w:t>
      </w:r>
    </w:p>
    <w:p w:rsidR="00273DB6" w:rsidRPr="00A46122" w:rsidRDefault="00273DB6" w:rsidP="00273DB6">
      <w:pPr>
        <w:autoSpaceDE w:val="0"/>
        <w:autoSpaceDN w:val="0"/>
        <w:adjustRightInd w:val="0"/>
        <w:ind w:left="567" w:right="567"/>
        <w:jc w:val="left"/>
        <w:rPr>
          <w:rFonts w:eastAsia="Cambria" w:cs="Arial"/>
          <w:sz w:val="18"/>
          <w:szCs w:val="18"/>
        </w:rPr>
      </w:pPr>
    </w:p>
    <w:p w:rsidR="00273DB6" w:rsidRPr="00A46122" w:rsidRDefault="00E968D3" w:rsidP="00273DB6">
      <w:pPr>
        <w:pStyle w:val="ListParagraph"/>
        <w:numPr>
          <w:ilvl w:val="0"/>
          <w:numId w:val="13"/>
        </w:numPr>
        <w:autoSpaceDE w:val="0"/>
        <w:autoSpaceDN w:val="0"/>
        <w:adjustRightInd w:val="0"/>
        <w:spacing w:after="0" w:line="240" w:lineRule="auto"/>
        <w:ind w:right="567"/>
        <w:rPr>
          <w:rFonts w:ascii="Arial" w:eastAsia="Cambria" w:hAnsi="Arial" w:cs="Arial"/>
          <w:i/>
          <w:iCs/>
          <w:sz w:val="18"/>
          <w:szCs w:val="18"/>
        </w:rPr>
      </w:pPr>
      <w:r w:rsidRPr="00E968D3">
        <w:rPr>
          <w:rFonts w:ascii="Arial" w:eastAsia="Cambria" w:hAnsi="Arial" w:cs="Arial"/>
          <w:i/>
          <w:iCs/>
          <w:sz w:val="18"/>
          <w:szCs w:val="18"/>
          <w:lang w:val="es-ES_tradnl"/>
        </w:rPr>
        <w:t>Dos ciclos de cultivo independientes</w:t>
      </w:r>
    </w:p>
    <w:p w:rsidR="00273DB6" w:rsidRPr="00A46122" w:rsidRDefault="00273DB6" w:rsidP="00273DB6">
      <w:pPr>
        <w:pStyle w:val="ListParagraph"/>
        <w:autoSpaceDE w:val="0"/>
        <w:autoSpaceDN w:val="0"/>
        <w:adjustRightInd w:val="0"/>
        <w:spacing w:after="0"/>
        <w:ind w:left="924" w:right="567"/>
        <w:rPr>
          <w:rFonts w:ascii="Arial" w:eastAsia="Cambria" w:hAnsi="Arial" w:cs="Arial"/>
          <w:i/>
          <w:iCs/>
          <w:sz w:val="18"/>
          <w:szCs w:val="18"/>
        </w:rPr>
      </w:pPr>
    </w:p>
    <w:p w:rsidR="00273DB6" w:rsidRPr="00A46122" w:rsidRDefault="00273DB6" w:rsidP="00273DB6">
      <w:pPr>
        <w:autoSpaceDE w:val="0"/>
        <w:autoSpaceDN w:val="0"/>
        <w:adjustRightInd w:val="0"/>
        <w:ind w:left="567" w:right="567"/>
        <w:rPr>
          <w:rFonts w:eastAsia="Cambria" w:cs="Arial"/>
          <w:sz w:val="18"/>
          <w:szCs w:val="18"/>
        </w:rPr>
      </w:pPr>
      <w:r w:rsidRPr="00A46122">
        <w:rPr>
          <w:rFonts w:eastAsia="Cambria" w:cs="Arial"/>
          <w:sz w:val="18"/>
          <w:szCs w:val="18"/>
        </w:rPr>
        <w:t>“</w:t>
      </w:r>
      <w:r w:rsidR="003A7B69" w:rsidRPr="003A7B69">
        <w:rPr>
          <w:rFonts w:cs="Arial"/>
          <w:color w:val="000000" w:themeColor="text1"/>
          <w:sz w:val="18"/>
        </w:rPr>
        <w:t xml:space="preserve">La duración </w:t>
      </w:r>
      <w:r w:rsidR="003A7B69" w:rsidRPr="003A7B69">
        <w:rPr>
          <w:rFonts w:cs="Arial"/>
          <w:strike/>
          <w:color w:val="000000" w:themeColor="text1"/>
          <w:sz w:val="18"/>
          <w:highlight w:val="lightGray"/>
        </w:rPr>
        <w:t>mínima</w:t>
      </w:r>
      <w:r w:rsidR="003A7B69" w:rsidRPr="003A7B69">
        <w:rPr>
          <w:rFonts w:cs="Arial"/>
          <w:color w:val="000000" w:themeColor="text1"/>
          <w:sz w:val="18"/>
        </w:rPr>
        <w:t xml:space="preserve"> de los ensayos deberá ser </w:t>
      </w:r>
      <w:r w:rsidR="003A7B69" w:rsidRPr="003A7B69">
        <w:rPr>
          <w:rFonts w:cs="Arial"/>
          <w:strike/>
          <w:color w:val="000000" w:themeColor="text1"/>
          <w:sz w:val="18"/>
          <w:highlight w:val="lightGray"/>
        </w:rPr>
        <w:t>normalmente</w:t>
      </w:r>
      <w:r w:rsidR="007829E4">
        <w:rPr>
          <w:rFonts w:cs="Arial"/>
          <w:color w:val="000000" w:themeColor="text1"/>
          <w:sz w:val="18"/>
        </w:rPr>
        <w:t xml:space="preserve">, </w:t>
      </w:r>
      <w:r w:rsidR="003A7B69" w:rsidRPr="003A7B69">
        <w:rPr>
          <w:rFonts w:cs="Arial"/>
          <w:color w:val="000000" w:themeColor="text1"/>
          <w:sz w:val="18"/>
          <w:highlight w:val="lightGray"/>
          <w:u w:val="single"/>
        </w:rPr>
        <w:t>por lo general</w:t>
      </w:r>
      <w:r w:rsidR="007829E4">
        <w:rPr>
          <w:rFonts w:cs="Arial"/>
          <w:color w:val="000000" w:themeColor="text1"/>
          <w:sz w:val="18"/>
          <w:highlight w:val="lightGray"/>
          <w:u w:val="single"/>
        </w:rPr>
        <w:t xml:space="preserve">, </w:t>
      </w:r>
      <w:r w:rsidR="003A7B69" w:rsidRPr="003A7B69">
        <w:rPr>
          <w:rFonts w:cs="Arial"/>
          <w:color w:val="000000" w:themeColor="text1"/>
          <w:sz w:val="18"/>
        </w:rPr>
        <w:t xml:space="preserve">de </w:t>
      </w:r>
      <w:r w:rsidR="003A7B69" w:rsidRPr="003A7B69">
        <w:rPr>
          <w:color w:val="000000" w:themeColor="text1"/>
          <w:sz w:val="18"/>
        </w:rPr>
        <w:t>dos ciclos de cultivo independientes</w:t>
      </w:r>
      <w:r w:rsidR="003A7B69" w:rsidRPr="003A7B69">
        <w:rPr>
          <w:rFonts w:cs="Arial"/>
          <w:color w:val="000000" w:themeColor="text1"/>
          <w:sz w:val="18"/>
        </w:rPr>
        <w:t>.</w:t>
      </w:r>
      <w:r w:rsidR="00DD2D81">
        <w:rPr>
          <w:rFonts w:eastAsia="Cambria" w:cs="Arial"/>
          <w:sz w:val="18"/>
          <w:szCs w:val="18"/>
        </w:rPr>
        <w:t xml:space="preserve"> </w:t>
      </w:r>
      <w:r w:rsidRPr="00A46122">
        <w:rPr>
          <w:rFonts w:eastAsia="Cambria" w:cs="Arial"/>
          <w:sz w:val="18"/>
          <w:szCs w:val="18"/>
        </w:rPr>
        <w:t xml:space="preserve"> </w:t>
      </w:r>
      <w:r w:rsidR="003A7B69" w:rsidRPr="003A7B69">
        <w:rPr>
          <w:rFonts w:eastAsia="Cambria" w:cs="Arial"/>
          <w:sz w:val="18"/>
          <w:szCs w:val="18"/>
          <w:highlight w:val="lightGray"/>
          <w:u w:val="single"/>
        </w:rPr>
        <w:t>No obstante</w:t>
      </w:r>
      <w:r w:rsidR="007829E4">
        <w:rPr>
          <w:rFonts w:eastAsia="Cambria" w:cs="Arial"/>
          <w:sz w:val="18"/>
          <w:szCs w:val="18"/>
          <w:highlight w:val="lightGray"/>
          <w:u w:val="single"/>
        </w:rPr>
        <w:t xml:space="preserve">, </w:t>
      </w:r>
      <w:r w:rsidR="003A7B69" w:rsidRPr="003A7B69">
        <w:rPr>
          <w:rFonts w:eastAsia="Cambria" w:cs="Arial"/>
          <w:sz w:val="18"/>
          <w:szCs w:val="18"/>
          <w:highlight w:val="lightGray"/>
          <w:u w:val="single"/>
        </w:rPr>
        <w:t>al final del ciclo de cultivo</w:t>
      </w:r>
      <w:r w:rsidR="007829E4">
        <w:rPr>
          <w:rFonts w:eastAsia="Cambria" w:cs="Arial"/>
          <w:sz w:val="18"/>
          <w:szCs w:val="18"/>
          <w:highlight w:val="lightGray"/>
          <w:u w:val="single"/>
        </w:rPr>
        <w:t xml:space="preserve">, </w:t>
      </w:r>
      <w:r w:rsidR="003A7B69" w:rsidRPr="003A7B69">
        <w:rPr>
          <w:rFonts w:eastAsia="Cambria" w:cs="Arial"/>
          <w:sz w:val="18"/>
          <w:szCs w:val="18"/>
          <w:highlight w:val="lightGray"/>
          <w:u w:val="single"/>
        </w:rPr>
        <w:t>la autoridad competente determinará si es necesario o no llevar a cabo un ciclo de cultivo adicional</w:t>
      </w:r>
      <w:r w:rsidR="003A7B69" w:rsidRPr="003A7B69">
        <w:rPr>
          <w:rFonts w:eastAsia="Cambria" w:cs="Arial"/>
          <w:sz w:val="18"/>
          <w:szCs w:val="18"/>
          <w:lang w:eastAsia="fr-FR"/>
        </w:rPr>
        <w:t>.</w:t>
      </w:r>
    </w:p>
    <w:p w:rsidR="00273DB6" w:rsidRDefault="00273DB6" w:rsidP="00273DB6"/>
    <w:p w:rsidR="00273DB6" w:rsidRDefault="007D43C5" w:rsidP="00273DB6">
      <w:r>
        <w:fldChar w:fldCharType="begin"/>
      </w:r>
      <w:r w:rsidR="00273DB6">
        <w:instrText xml:space="preserve"> AUTONUM  </w:instrText>
      </w:r>
      <w:r>
        <w:fldChar w:fldCharType="end"/>
      </w:r>
      <w:r w:rsidR="00273DB6">
        <w:tab/>
      </w:r>
      <w:r w:rsidR="00623AA3" w:rsidRPr="00623AA3">
        <w:t>El TC convino en que era importante aclarar que es posible poner fin a un examen DHE en cuanto el rechazo es inevitable</w:t>
      </w:r>
      <w:r w:rsidR="007829E4">
        <w:t xml:space="preserve">, </w:t>
      </w:r>
      <w:r w:rsidR="00623AA3" w:rsidRPr="00623AA3">
        <w:t>en lugar de continuarlo hasta el final del período normal.</w:t>
      </w:r>
      <w:r w:rsidR="00273DB6">
        <w:t xml:space="preserve">  </w:t>
      </w:r>
      <w:r w:rsidR="00623AA3" w:rsidRPr="00623AA3">
        <w:t>Convino en que el texto estándar de las directrices de examen no era totalmente claro al respecto y que se debía mejorar.</w:t>
      </w:r>
      <w:r w:rsidR="00273DB6">
        <w:t xml:space="preserve">  </w:t>
      </w:r>
      <w:r w:rsidR="00623AA3" w:rsidRPr="00623AA3">
        <w:t>Sin embargo</w:t>
      </w:r>
      <w:r w:rsidR="007829E4">
        <w:t xml:space="preserve">, </w:t>
      </w:r>
      <w:r w:rsidR="00623AA3" w:rsidRPr="00623AA3">
        <w:t>convino en que se podía interpretar que el texto propuesto fomenta que se realicen ciclos de cultivo adicionales después del período normal y solicitó a los TWP que elaboren una versión mejorada del texto en sus reuniones de</w:t>
      </w:r>
      <w:r w:rsidR="007829E4">
        <w:t> </w:t>
      </w:r>
      <w:r w:rsidR="007829E4" w:rsidRPr="00623AA3">
        <w:t>2</w:t>
      </w:r>
      <w:r w:rsidR="00623AA3" w:rsidRPr="00623AA3">
        <w:t>017.</w:t>
      </w:r>
    </w:p>
    <w:p w:rsidR="00273DB6" w:rsidRDefault="00273DB6" w:rsidP="00273DB6"/>
    <w:p w:rsidR="00273DB6" w:rsidRPr="009B196C" w:rsidRDefault="00273DB6" w:rsidP="00273DB6">
      <w:pPr>
        <w:pStyle w:val="Heading5"/>
        <w:rPr>
          <w:lang w:val="es-ES"/>
        </w:rPr>
      </w:pPr>
      <w:bookmarkStart w:id="14" w:name="_Toc476321141"/>
      <w:r w:rsidRPr="009B196C">
        <w:rPr>
          <w:lang w:val="es-ES"/>
        </w:rPr>
        <w:t>ii)</w:t>
      </w:r>
      <w:r w:rsidRPr="009B196C">
        <w:rPr>
          <w:lang w:val="es-ES"/>
        </w:rPr>
        <w:tab/>
      </w:r>
      <w:bookmarkEnd w:id="14"/>
      <w:r w:rsidR="00623AA3" w:rsidRPr="00623AA3">
        <w:rPr>
          <w:lang w:val="es-ES_tradnl"/>
        </w:rPr>
        <w:t>Orden de los códigos UPOV y los nombres botánicos</w:t>
      </w:r>
    </w:p>
    <w:p w:rsidR="00273DB6" w:rsidRPr="00D51062" w:rsidRDefault="00273DB6" w:rsidP="00273DB6">
      <w:pPr>
        <w:keepNext/>
        <w:rPr>
          <w:snapToGrid w:val="0"/>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034AFE" w:rsidRPr="00034AFE">
        <w:t>El TC convino en que los códigos UPOV y los nombres botánicos que figuran en el proyecto de directrices de examen</w:t>
      </w:r>
      <w:r w:rsidR="007829E4">
        <w:t xml:space="preserve">, </w:t>
      </w:r>
      <w:r w:rsidR="00034AFE" w:rsidRPr="00034AFE">
        <w:t>en general</w:t>
      </w:r>
      <w:r w:rsidR="007829E4">
        <w:t xml:space="preserve">, </w:t>
      </w:r>
      <w:r w:rsidR="00034AFE" w:rsidRPr="00034AFE">
        <w:t>deben seguir disponiéndose por orden alfabético.</w:t>
      </w:r>
      <w:r w:rsidR="00273DB6" w:rsidRPr="00D51062">
        <w:rPr>
          <w:snapToGrid w:val="0"/>
        </w:rPr>
        <w:t xml:space="preserve">  </w:t>
      </w:r>
      <w:r w:rsidR="00034AFE" w:rsidRPr="00034AFE">
        <w:rPr>
          <w:snapToGrid w:val="0"/>
        </w:rPr>
        <w:t>Sin embargo</w:t>
      </w:r>
      <w:r w:rsidR="007829E4">
        <w:rPr>
          <w:snapToGrid w:val="0"/>
        </w:rPr>
        <w:t xml:space="preserve">, </w:t>
      </w:r>
      <w:r w:rsidR="00034AFE" w:rsidRPr="00034AFE">
        <w:rPr>
          <w:snapToGrid w:val="0"/>
        </w:rPr>
        <w:t>el TC convino en que la plantilla en Internet de los documentos TG debe permitir al experto principal cambiar el orden</w:t>
      </w:r>
      <w:r w:rsidR="007829E4">
        <w:rPr>
          <w:snapToGrid w:val="0"/>
        </w:rPr>
        <w:t xml:space="preserve">, </w:t>
      </w:r>
      <w:r w:rsidR="00034AFE" w:rsidRPr="00034AFE">
        <w:rPr>
          <w:snapToGrid w:val="0"/>
        </w:rPr>
        <w:t>si procede.</w:t>
      </w:r>
    </w:p>
    <w:p w:rsidR="00273DB6" w:rsidRPr="00D51062" w:rsidRDefault="00273DB6" w:rsidP="00273DB6">
      <w:pPr>
        <w:rPr>
          <w:snapToGrid w:val="0"/>
        </w:rPr>
      </w:pPr>
    </w:p>
    <w:p w:rsidR="00273DB6" w:rsidRPr="009B196C" w:rsidRDefault="00273DB6" w:rsidP="00273DB6">
      <w:pPr>
        <w:pStyle w:val="Heading5"/>
        <w:rPr>
          <w:lang w:val="es-ES"/>
        </w:rPr>
      </w:pPr>
      <w:bookmarkStart w:id="15" w:name="_Toc476321142"/>
      <w:r w:rsidRPr="009B196C">
        <w:rPr>
          <w:lang w:val="es-ES"/>
        </w:rPr>
        <w:t>iii)</w:t>
      </w:r>
      <w:r w:rsidRPr="009B196C">
        <w:rPr>
          <w:lang w:val="es-ES"/>
        </w:rPr>
        <w:tab/>
      </w:r>
      <w:bookmarkEnd w:id="15"/>
      <w:r w:rsidR="00034AFE" w:rsidRPr="00034AFE">
        <w:rPr>
          <w:lang w:val="es-ES_tradnl"/>
        </w:rPr>
        <w:t>Orden de los métodos de observación</w:t>
      </w:r>
    </w:p>
    <w:p w:rsidR="00273DB6" w:rsidRPr="00D51062" w:rsidRDefault="00273DB6" w:rsidP="00273DB6">
      <w:pPr>
        <w:keepNext/>
        <w:rPr>
          <w:snapToGrid w:val="0"/>
        </w:rPr>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C27145" w:rsidRPr="00C27145">
        <w:t>El TC convino en que los métodos de observación de un carácter deben seguir presentándose por orden alfabético</w:t>
      </w:r>
      <w:r w:rsidR="007829E4">
        <w:t xml:space="preserve">, </w:t>
      </w:r>
      <w:r w:rsidR="00C27145" w:rsidRPr="00C27145">
        <w:t>evitando así que se deba indicar el orden de preferencia.</w:t>
      </w:r>
    </w:p>
    <w:p w:rsidR="00273DB6" w:rsidRPr="00D51062" w:rsidRDefault="00273DB6" w:rsidP="00273DB6"/>
    <w:p w:rsidR="00273DB6" w:rsidRPr="009B196C" w:rsidRDefault="00273DB6" w:rsidP="00273DB6">
      <w:pPr>
        <w:pStyle w:val="Heading5"/>
        <w:rPr>
          <w:lang w:val="es-ES"/>
        </w:rPr>
      </w:pPr>
      <w:bookmarkStart w:id="16" w:name="_Toc476321143"/>
      <w:r w:rsidRPr="009B196C">
        <w:rPr>
          <w:lang w:val="es-ES"/>
        </w:rPr>
        <w:t>iv)</w:t>
      </w:r>
      <w:r w:rsidRPr="009B196C">
        <w:rPr>
          <w:lang w:val="es-ES"/>
        </w:rPr>
        <w:tab/>
      </w:r>
      <w:bookmarkEnd w:id="16"/>
      <w:r w:rsidR="00C27145" w:rsidRPr="00C27145">
        <w:rPr>
          <w:lang w:val="es-ES_tradnl"/>
        </w:rPr>
        <w:t>Presentación de tipos diferentes de variedades ejemplo</w:t>
      </w:r>
    </w:p>
    <w:p w:rsidR="00273DB6" w:rsidRPr="00D51062" w:rsidRDefault="00273DB6" w:rsidP="00273DB6">
      <w:pPr>
        <w:keepNext/>
        <w:rPr>
          <w:snapToGrid w:val="0"/>
        </w:rPr>
      </w:pPr>
    </w:p>
    <w:p w:rsidR="00273DB6" w:rsidRPr="00D51062" w:rsidRDefault="007D43C5" w:rsidP="00273DB6">
      <w:pPr>
        <w:rPr>
          <w:rFonts w:asciiTheme="minorHAnsi" w:eastAsiaTheme="minorEastAsia" w:hAnsiTheme="minorHAnsi" w:cstheme="minorBidi"/>
          <w:sz w:val="22"/>
          <w:szCs w:val="22"/>
        </w:rPr>
      </w:pPr>
      <w:r w:rsidRPr="00D51062">
        <w:fldChar w:fldCharType="begin"/>
      </w:r>
      <w:r w:rsidR="00273DB6" w:rsidRPr="00D51062">
        <w:instrText xml:space="preserve"> AUTONUM  </w:instrText>
      </w:r>
      <w:r w:rsidRPr="00D51062">
        <w:fldChar w:fldCharType="end"/>
      </w:r>
      <w:r w:rsidR="00273DB6" w:rsidRPr="00D51062">
        <w:tab/>
      </w:r>
      <w:r w:rsidR="00C27145" w:rsidRPr="00C27145">
        <w:t>El TC convino en que se debe modificar la nota orientativa GN</w:t>
      </w:r>
      <w:r w:rsidR="007829E4">
        <w:t> </w:t>
      </w:r>
      <w:r w:rsidR="007829E4" w:rsidRPr="00C27145">
        <w:t>2</w:t>
      </w:r>
      <w:r w:rsidR="00C27145" w:rsidRPr="00C27145">
        <w:t>8 que figura en la sección 3.2</w:t>
      </w:r>
      <w:r w:rsidR="007829E4">
        <w:t xml:space="preserve">:  </w:t>
      </w:r>
      <w:r w:rsidR="00C27145" w:rsidRPr="00C27145">
        <w:t>“Distintos tipos de variedad” del documento TGP/7 “Elaboración de las directrices de examen” para indicar que puede emplearse una coma para separar tipos diferentes de variedades ejemplo (por ejemplo</w:t>
      </w:r>
      <w:r w:rsidR="007829E4">
        <w:t xml:space="preserve">, </w:t>
      </w:r>
      <w:r w:rsidR="00C27145" w:rsidRPr="00C27145">
        <w:t>(w) tipo de invierno</w:t>
      </w:r>
      <w:r w:rsidR="007829E4">
        <w:t xml:space="preserve">, </w:t>
      </w:r>
      <w:r w:rsidR="00C27145" w:rsidRPr="00C27145">
        <w:t>(s) tipo de primavera) y que la indicación del tipo debe preceder a la denominación de cada variedad ejemplo (por ejemplo</w:t>
      </w:r>
      <w:r w:rsidR="007829E4">
        <w:t xml:space="preserve">, </w:t>
      </w:r>
      <w:r w:rsidR="00C27145" w:rsidRPr="00C27145">
        <w:t>(w) invierno 1</w:t>
      </w:r>
      <w:r w:rsidR="007829E4">
        <w:t xml:space="preserve">, </w:t>
      </w:r>
      <w:r w:rsidR="00C27145" w:rsidRPr="00C27145">
        <w:t>(w) invierno 2</w:t>
      </w:r>
      <w:r w:rsidR="007829E4">
        <w:t xml:space="preserve">, </w:t>
      </w:r>
      <w:r w:rsidR="00C27145" w:rsidRPr="00C27145">
        <w:t>(s) primavera 1</w:t>
      </w:r>
      <w:r w:rsidR="007829E4">
        <w:t xml:space="preserve">, </w:t>
      </w:r>
      <w:r w:rsidR="00C27145" w:rsidRPr="00C27145">
        <w:t>(s) primavera 2).</w:t>
      </w:r>
    </w:p>
    <w:p w:rsidR="00273DB6" w:rsidRPr="00D51062" w:rsidRDefault="00273DB6" w:rsidP="00273DB6"/>
    <w:p w:rsidR="00273DB6" w:rsidRPr="009B196C" w:rsidRDefault="00273DB6" w:rsidP="00273DB6">
      <w:pPr>
        <w:pStyle w:val="Heading5"/>
        <w:rPr>
          <w:lang w:val="es-ES"/>
        </w:rPr>
      </w:pPr>
      <w:bookmarkStart w:id="17" w:name="_Toc476321144"/>
      <w:r w:rsidRPr="009B196C">
        <w:rPr>
          <w:lang w:val="es-ES"/>
        </w:rPr>
        <w:t>v)</w:t>
      </w:r>
      <w:r w:rsidRPr="009B196C">
        <w:rPr>
          <w:lang w:val="es-ES"/>
        </w:rPr>
        <w:tab/>
      </w:r>
      <w:bookmarkEnd w:id="17"/>
      <w:r w:rsidR="00C27145" w:rsidRPr="00C27145">
        <w:rPr>
          <w:lang w:val="es-ES_tradnl"/>
        </w:rPr>
        <w:t>Explicaciones relativas a todos los caracteres</w:t>
      </w:r>
    </w:p>
    <w:p w:rsidR="00273DB6" w:rsidRPr="00D51062" w:rsidRDefault="00273DB6" w:rsidP="00273DB6">
      <w:pPr>
        <w:keepNext/>
        <w:rPr>
          <w:snapToGrid w:val="0"/>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C27145" w:rsidRPr="00C27145">
        <w:t>El TC consideró si procede incluir explicaciones relativas a todos los caracteres antes de la sección 8.1 “Explicaciones relativas a varios caracteres” sin introducir una nota en la Tabla de caracteres.</w:t>
      </w:r>
      <w:r w:rsidR="00273DB6" w:rsidRPr="00D51062">
        <w:t xml:space="preserve">  </w:t>
      </w:r>
      <w:r w:rsidR="00C27145" w:rsidRPr="00C27145">
        <w:t>El TC convino en invitar a los TWP a que examinen esta propuesta en sus reuniones de</w:t>
      </w:r>
      <w:r w:rsidR="007829E4">
        <w:t> </w:t>
      </w:r>
      <w:r w:rsidR="007829E4" w:rsidRPr="00C27145">
        <w:t>2</w:t>
      </w:r>
      <w:r w:rsidR="00C27145" w:rsidRPr="00C27145">
        <w:t>017 e informen al TC en su sesión de</w:t>
      </w:r>
      <w:r w:rsidR="007829E4">
        <w:t> </w:t>
      </w:r>
      <w:r w:rsidR="007829E4" w:rsidRPr="00C27145">
        <w:t>2</w:t>
      </w:r>
      <w:r w:rsidR="00C27145" w:rsidRPr="00C27145">
        <w:t>018.</w:t>
      </w:r>
    </w:p>
    <w:p w:rsidR="00273DB6" w:rsidRPr="00D51062" w:rsidRDefault="00273DB6" w:rsidP="00273DB6"/>
    <w:p w:rsidR="00273DB6" w:rsidRPr="009B196C" w:rsidRDefault="00273DB6" w:rsidP="00273DB6">
      <w:pPr>
        <w:pStyle w:val="Heading5"/>
        <w:rPr>
          <w:lang w:val="es-ES"/>
        </w:rPr>
      </w:pPr>
      <w:bookmarkStart w:id="18" w:name="_Toc476321145"/>
      <w:r w:rsidRPr="009B196C">
        <w:rPr>
          <w:lang w:val="es-ES"/>
        </w:rPr>
        <w:t>vi)</w:t>
      </w:r>
      <w:r w:rsidRPr="009B196C">
        <w:rPr>
          <w:lang w:val="es-ES"/>
        </w:rPr>
        <w:tab/>
      </w:r>
      <w:bookmarkEnd w:id="18"/>
      <w:r w:rsidR="00C27145" w:rsidRPr="00C27145">
        <w:rPr>
          <w:lang w:val="es-ES_tradnl"/>
        </w:rPr>
        <w:t>Explicaciones relativas a varios caracteres subsiguientes</w:t>
      </w:r>
    </w:p>
    <w:p w:rsidR="00273DB6" w:rsidRPr="00D51062" w:rsidRDefault="00273DB6" w:rsidP="00273DB6">
      <w:pPr>
        <w:keepNext/>
        <w:rPr>
          <w:snapToGrid w:val="0"/>
        </w:rPr>
      </w:pPr>
    </w:p>
    <w:p w:rsidR="00273DB6"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EA305C" w:rsidRPr="00EA305C">
        <w:t>El TC convino en que los caracteres que cuenten con la misma explicación pueden presentarse en la sección</w:t>
      </w:r>
      <w:r w:rsidR="007829E4">
        <w:t> </w:t>
      </w:r>
      <w:r w:rsidR="007829E4" w:rsidRPr="00EA305C">
        <w:t>8</w:t>
      </w:r>
      <w:r w:rsidR="00EA305C" w:rsidRPr="00EA305C">
        <w:t>.2 “Explicaciones relativas a caracteres individuales” y en las explicaciones de los caracteres subsiguientes hacerse referencia a la explicación del primer carácter en que se presenta la correspondiente información</w:t>
      </w:r>
      <w:r w:rsidR="007829E4">
        <w:t xml:space="preserve">, </w:t>
      </w:r>
      <w:r w:rsidR="00EA305C" w:rsidRPr="00EA305C">
        <w:t>de la siguiente manera:</w:t>
      </w:r>
      <w:r w:rsidR="00273DB6" w:rsidRPr="00D51062">
        <w:rPr>
          <w:snapToGrid w:val="0"/>
        </w:rPr>
        <w:t xml:space="preserve"> </w:t>
      </w:r>
    </w:p>
    <w:p w:rsidR="00273DB6" w:rsidRPr="00D51062" w:rsidRDefault="00273DB6" w:rsidP="00273DB6">
      <w:pPr>
        <w:rPr>
          <w:snapToGrid w:val="0"/>
        </w:rPr>
      </w:pPr>
    </w:p>
    <w:p w:rsidR="00273DB6" w:rsidRPr="00D51062" w:rsidRDefault="00EA305C" w:rsidP="00273DB6">
      <w:pPr>
        <w:keepNext/>
        <w:keepLines/>
        <w:ind w:left="567"/>
        <w:rPr>
          <w:snapToGrid w:val="0"/>
        </w:rPr>
      </w:pPr>
      <w:r w:rsidRPr="00EA305C">
        <w:rPr>
          <w:snapToGrid w:val="0"/>
        </w:rPr>
        <w:t>Por ejemplo:</w:t>
      </w:r>
      <w:r w:rsidR="00273DB6" w:rsidRPr="00D51062">
        <w:rPr>
          <w:snapToGrid w:val="0"/>
        </w:rPr>
        <w:t xml:space="preserve"> </w:t>
      </w:r>
      <w:r w:rsidR="00273DB6" w:rsidRPr="00D51062">
        <w:rPr>
          <w:snapToGrid w:val="0"/>
        </w:rPr>
        <w:tab/>
      </w:r>
      <w:r w:rsidRPr="00EA305C">
        <w:rPr>
          <w:snapToGrid w:val="0"/>
        </w:rPr>
        <w:t>Ad.</w:t>
      </w:r>
      <w:r w:rsidR="007829E4">
        <w:rPr>
          <w:snapToGrid w:val="0"/>
        </w:rPr>
        <w:t> </w:t>
      </w:r>
      <w:r w:rsidR="007829E4" w:rsidRPr="00EA305C">
        <w:rPr>
          <w:snapToGrid w:val="0"/>
        </w:rPr>
        <w:t>1</w:t>
      </w:r>
      <w:r w:rsidRPr="00EA305C">
        <w:rPr>
          <w:snapToGrid w:val="0"/>
        </w:rPr>
        <w:t>0 “[</w:t>
      </w:r>
      <w:r w:rsidRPr="00EA305C">
        <w:rPr>
          <w:i/>
          <w:snapToGrid w:val="0"/>
        </w:rPr>
        <w:t>texto/ilustración de la explicación</w:t>
      </w:r>
      <w:r w:rsidRPr="00EA305C">
        <w:rPr>
          <w:snapToGrid w:val="0"/>
        </w:rPr>
        <w:t>]”</w:t>
      </w:r>
    </w:p>
    <w:p w:rsidR="00273DB6" w:rsidRPr="00D51062" w:rsidRDefault="00273DB6" w:rsidP="00273DB6">
      <w:pPr>
        <w:keepNext/>
        <w:keepLines/>
        <w:ind w:left="567"/>
        <w:rPr>
          <w:snapToGrid w:val="0"/>
        </w:rPr>
      </w:pPr>
    </w:p>
    <w:p w:rsidR="00273DB6" w:rsidRPr="009B196C" w:rsidRDefault="00EA305C" w:rsidP="00273DB6">
      <w:pPr>
        <w:keepNext/>
        <w:keepLines/>
        <w:ind w:left="567" w:firstLine="567"/>
        <w:rPr>
          <w:snapToGrid w:val="0"/>
          <w:lang w:val="en-US"/>
        </w:rPr>
      </w:pPr>
      <w:r w:rsidRPr="009B196C">
        <w:rPr>
          <w:snapToGrid w:val="0"/>
          <w:lang w:val="en-US"/>
        </w:rPr>
        <w:t>Ad. 11 “Véase Ad. 10”</w:t>
      </w:r>
    </w:p>
    <w:p w:rsidR="00273DB6" w:rsidRPr="009B196C" w:rsidRDefault="00273DB6" w:rsidP="00273DB6">
      <w:pPr>
        <w:keepNext/>
        <w:keepLines/>
        <w:ind w:left="567" w:firstLine="567"/>
        <w:rPr>
          <w:snapToGrid w:val="0"/>
          <w:lang w:val="en-US"/>
        </w:rPr>
      </w:pPr>
    </w:p>
    <w:p w:rsidR="00273DB6" w:rsidRPr="009B196C" w:rsidRDefault="00273DB6" w:rsidP="00273DB6">
      <w:pPr>
        <w:keepNext/>
        <w:keepLines/>
        <w:ind w:left="567" w:firstLine="567"/>
        <w:rPr>
          <w:snapToGrid w:val="0"/>
          <w:lang w:val="en-US"/>
        </w:rPr>
      </w:pPr>
      <w:r w:rsidRPr="009B196C">
        <w:rPr>
          <w:snapToGrid w:val="0"/>
          <w:lang w:val="en-US"/>
        </w:rPr>
        <w:t>[…]</w:t>
      </w:r>
    </w:p>
    <w:p w:rsidR="00273DB6" w:rsidRPr="009B196C" w:rsidRDefault="00273DB6" w:rsidP="00273DB6">
      <w:pPr>
        <w:keepNext/>
        <w:keepLines/>
        <w:ind w:left="567" w:firstLine="567"/>
        <w:rPr>
          <w:snapToGrid w:val="0"/>
          <w:lang w:val="en-US"/>
        </w:rPr>
      </w:pPr>
    </w:p>
    <w:p w:rsidR="00273DB6" w:rsidRPr="009B196C" w:rsidRDefault="00EA305C" w:rsidP="00273DB6">
      <w:pPr>
        <w:keepNext/>
        <w:keepLines/>
        <w:ind w:left="567" w:firstLine="567"/>
        <w:rPr>
          <w:snapToGrid w:val="0"/>
          <w:lang w:val="en-US"/>
        </w:rPr>
      </w:pPr>
      <w:r w:rsidRPr="009B196C">
        <w:rPr>
          <w:snapToGrid w:val="0"/>
          <w:lang w:val="en-US"/>
        </w:rPr>
        <w:t>Ad. 50 “Véase Ad. 10”</w:t>
      </w:r>
    </w:p>
    <w:p w:rsidR="00273DB6" w:rsidRPr="009B196C" w:rsidRDefault="00273DB6" w:rsidP="00273DB6">
      <w:pPr>
        <w:rPr>
          <w:lang w:val="en-US"/>
        </w:rPr>
      </w:pPr>
    </w:p>
    <w:p w:rsidR="00273DB6" w:rsidRPr="009B196C" w:rsidRDefault="00273DB6" w:rsidP="00273DB6">
      <w:pPr>
        <w:rPr>
          <w:lang w:val="en-US"/>
        </w:rPr>
      </w:pPr>
    </w:p>
    <w:p w:rsidR="00273DB6" w:rsidRPr="009B196C" w:rsidRDefault="00273DB6" w:rsidP="00273DB6">
      <w:pPr>
        <w:pStyle w:val="Heading5"/>
        <w:rPr>
          <w:lang w:val="es-ES"/>
        </w:rPr>
      </w:pPr>
      <w:bookmarkStart w:id="19" w:name="_Toc476321146"/>
      <w:r w:rsidRPr="009B196C">
        <w:rPr>
          <w:lang w:val="es-ES"/>
        </w:rPr>
        <w:t>vii)</w:t>
      </w:r>
      <w:r w:rsidRPr="009B196C">
        <w:rPr>
          <w:lang w:val="es-ES"/>
        </w:rPr>
        <w:tab/>
      </w:r>
      <w:bookmarkEnd w:id="19"/>
      <w:r w:rsidR="00EA305C" w:rsidRPr="00EA305C">
        <w:rPr>
          <w:lang w:val="es-ES_tradnl"/>
        </w:rPr>
        <w:t>Caracteres que solo se aplican a ciertas variedades</w:t>
      </w:r>
    </w:p>
    <w:p w:rsidR="00273DB6" w:rsidRPr="00D51062" w:rsidRDefault="00273DB6" w:rsidP="00273DB6">
      <w:pPr>
        <w:keepNext/>
        <w:rPr>
          <w:snapToGrid w:val="0"/>
        </w:rPr>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EA305C" w:rsidRPr="006D1E43">
        <w:t>El TC consideró si procede modificar el párrafo</w:t>
      </w:r>
      <w:r w:rsidR="007829E4">
        <w:t> </w:t>
      </w:r>
      <w:r w:rsidR="007829E4" w:rsidRPr="006D1E43">
        <w:t>3</w:t>
      </w:r>
      <w:r w:rsidR="00EA305C" w:rsidRPr="006D1E43">
        <w:t xml:space="preserve"> de la nota orientativa</w:t>
      </w:r>
      <w:r w:rsidR="007829E4">
        <w:t> </w:t>
      </w:r>
      <w:r w:rsidR="007829E4" w:rsidRPr="006D1E43">
        <w:t>1</w:t>
      </w:r>
      <w:r w:rsidR="00EA305C" w:rsidRPr="006D1E43">
        <w:t>8 del documento TGP/7</w:t>
      </w:r>
      <w:r w:rsidR="007829E4">
        <w:t xml:space="preserve">, </w:t>
      </w:r>
      <w:r w:rsidR="00EA305C" w:rsidRPr="006D1E43">
        <w:t>a fin de aclarar que no solo por el nivel de expresión de un carácter cualitativo anterior sino también</w:t>
      </w:r>
      <w:r w:rsidR="007829E4">
        <w:t xml:space="preserve">, </w:t>
      </w:r>
      <w:r w:rsidR="00EA305C" w:rsidRPr="006D1E43">
        <w:t>en algunos casos</w:t>
      </w:r>
      <w:r w:rsidR="007829E4">
        <w:t xml:space="preserve">, </w:t>
      </w:r>
      <w:r w:rsidR="00EA305C" w:rsidRPr="006D1E43">
        <w:t>por el nivel de expresión de un carácter pseudocualitativo o cuantitativo anterior puede determinarse que un carácter subsiguiente no es aplicable.</w:t>
      </w:r>
    </w:p>
    <w:p w:rsidR="00273DB6" w:rsidRPr="00D51062" w:rsidRDefault="00273DB6" w:rsidP="00273DB6">
      <w:pPr>
        <w:rPr>
          <w:snapToGrid w:val="0"/>
        </w:rPr>
      </w:pPr>
    </w:p>
    <w:p w:rsidR="00273DB6" w:rsidRPr="00D51062" w:rsidRDefault="007D43C5" w:rsidP="00273DB6">
      <w:r w:rsidRPr="00D51062">
        <w:rPr>
          <w:snapToGrid w:val="0"/>
        </w:rPr>
        <w:fldChar w:fldCharType="begin"/>
      </w:r>
      <w:r w:rsidR="00273DB6" w:rsidRPr="00D51062">
        <w:rPr>
          <w:snapToGrid w:val="0"/>
        </w:rPr>
        <w:instrText xml:space="preserve"> AUTONUM  </w:instrText>
      </w:r>
      <w:r w:rsidRPr="00D51062">
        <w:rPr>
          <w:snapToGrid w:val="0"/>
        </w:rPr>
        <w:fldChar w:fldCharType="end"/>
      </w:r>
      <w:r w:rsidR="00273DB6" w:rsidRPr="00D51062">
        <w:rPr>
          <w:snapToGrid w:val="0"/>
        </w:rPr>
        <w:tab/>
      </w:r>
      <w:r w:rsidR="006D1E43" w:rsidRPr="00D27E5F">
        <w:rPr>
          <w:snapToGrid w:val="0"/>
        </w:rPr>
        <w:t>El TC convino en invitar a los TWP</w:t>
      </w:r>
      <w:r w:rsidR="007829E4">
        <w:rPr>
          <w:snapToGrid w:val="0"/>
        </w:rPr>
        <w:t xml:space="preserve">, </w:t>
      </w:r>
      <w:r w:rsidR="006D1E43" w:rsidRPr="00D27E5F">
        <w:rPr>
          <w:snapToGrid w:val="0"/>
        </w:rPr>
        <w:t>en sus reuniones de</w:t>
      </w:r>
      <w:r w:rsidR="007829E4">
        <w:rPr>
          <w:snapToGrid w:val="0"/>
        </w:rPr>
        <w:t> </w:t>
      </w:r>
      <w:r w:rsidR="007829E4" w:rsidRPr="00D27E5F">
        <w:rPr>
          <w:snapToGrid w:val="0"/>
        </w:rPr>
        <w:t>2</w:t>
      </w:r>
      <w:r w:rsidR="006D1E43" w:rsidRPr="00D27E5F">
        <w:rPr>
          <w:snapToGrid w:val="0"/>
        </w:rPr>
        <w:t>017</w:t>
      </w:r>
      <w:r w:rsidR="007829E4">
        <w:rPr>
          <w:snapToGrid w:val="0"/>
        </w:rPr>
        <w:t xml:space="preserve">, </w:t>
      </w:r>
      <w:r w:rsidR="006D1E43" w:rsidRPr="00D27E5F">
        <w:rPr>
          <w:snapToGrid w:val="0"/>
        </w:rPr>
        <w:t>a que examinen la posibilidad y</w:t>
      </w:r>
      <w:r w:rsidR="007829E4">
        <w:rPr>
          <w:snapToGrid w:val="0"/>
        </w:rPr>
        <w:t xml:space="preserve">, </w:t>
      </w:r>
      <w:r w:rsidR="006D1E43" w:rsidRPr="00D27E5F">
        <w:rPr>
          <w:snapToGrid w:val="0"/>
        </w:rPr>
        <w:t>si procede</w:t>
      </w:r>
      <w:r w:rsidR="007829E4">
        <w:rPr>
          <w:snapToGrid w:val="0"/>
        </w:rPr>
        <w:t xml:space="preserve">, </w:t>
      </w:r>
      <w:r w:rsidR="006D1E43" w:rsidRPr="00D27E5F">
        <w:rPr>
          <w:snapToGrid w:val="0"/>
        </w:rPr>
        <w:t>precisen las circunstancias en las que es posible excluir caracteres de la observación a partir de caracteres pseudocualitativos o cuantitativos anteriores y convino en debatir más detenidamente la</w:t>
      </w:r>
      <w:r w:rsidR="00D27E5F" w:rsidRPr="00D27E5F">
        <w:rPr>
          <w:snapToGrid w:val="0"/>
        </w:rPr>
        <w:t xml:space="preserve"> cuestión en su sesión de</w:t>
      </w:r>
      <w:r w:rsidR="007829E4">
        <w:rPr>
          <w:snapToGrid w:val="0"/>
        </w:rPr>
        <w:t> </w:t>
      </w:r>
      <w:r w:rsidR="007829E4" w:rsidRPr="00D27E5F">
        <w:rPr>
          <w:snapToGrid w:val="0"/>
        </w:rPr>
        <w:t>2</w:t>
      </w:r>
      <w:r w:rsidR="00D27E5F" w:rsidRPr="00D27E5F">
        <w:rPr>
          <w:snapToGrid w:val="0"/>
        </w:rPr>
        <w:t>018.</w:t>
      </w:r>
      <w:r w:rsidR="00273DB6" w:rsidRPr="00D51062">
        <w:rPr>
          <w:snapToGrid w:val="0"/>
        </w:rPr>
        <w:t xml:space="preserve">  </w:t>
      </w:r>
    </w:p>
    <w:p w:rsidR="00273DB6" w:rsidRPr="00D51062" w:rsidRDefault="00273DB6" w:rsidP="00273DB6"/>
    <w:p w:rsidR="00273DB6" w:rsidRPr="009B196C" w:rsidRDefault="00273DB6" w:rsidP="00273DB6">
      <w:pPr>
        <w:pStyle w:val="Heading5"/>
        <w:rPr>
          <w:lang w:val="es-ES"/>
        </w:rPr>
      </w:pPr>
      <w:bookmarkStart w:id="20" w:name="_Toc476321147"/>
      <w:r w:rsidRPr="009B196C">
        <w:rPr>
          <w:lang w:val="es-ES"/>
        </w:rPr>
        <w:t>viii)</w:t>
      </w:r>
      <w:r w:rsidRPr="009B196C">
        <w:rPr>
          <w:lang w:val="es-ES"/>
        </w:rPr>
        <w:tab/>
      </w:r>
      <w:bookmarkEnd w:id="20"/>
      <w:r w:rsidR="00D27E5F" w:rsidRPr="00D27E5F">
        <w:rPr>
          <w:lang w:val="es-ES_tradnl"/>
        </w:rPr>
        <w:t>Procedimiento de revisión parcial de las directrices de examen de la UPOV</w:t>
      </w:r>
    </w:p>
    <w:p w:rsidR="00273DB6" w:rsidRPr="00D51062" w:rsidRDefault="00273DB6" w:rsidP="00273DB6">
      <w:pPr>
        <w:keepNext/>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D27E5F" w:rsidRPr="00D27E5F">
        <w:t>El TC consideró si procede modificar el documento TGP/7 para permitir el añadido de nuevas propuestas de revisiones parciales de las directrices de examen en cualquier momento del año</w:t>
      </w:r>
      <w:r w:rsidR="007829E4">
        <w:t xml:space="preserve">, </w:t>
      </w:r>
      <w:r w:rsidR="00D27E5F" w:rsidRPr="00D27E5F">
        <w:t>a reserva de que se prevea tiempo suficiente para que los expertos pertinentes y los miembros de la UPOV examinen las propuestas.</w:t>
      </w:r>
      <w:r w:rsidR="00273DB6" w:rsidRPr="00D51062">
        <w:t xml:space="preserve"> </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D27E5F" w:rsidRPr="00D27E5F">
        <w:t>El TC tomó nota de la función de la UPOV en la armonización de las directrices de examen y recordó que los miembros de la Unión pueden modificar sus propias directrices de examen antes de que se introduzcan cambios en las directrices de examen de la UPOV.</w:t>
      </w:r>
      <w:r w:rsidR="00273DB6" w:rsidRPr="00D51062">
        <w:t xml:space="preserve">  </w:t>
      </w:r>
      <w:r w:rsidR="00D27E5F" w:rsidRPr="00D27E5F">
        <w:t>Sin embargo</w:t>
      </w:r>
      <w:r w:rsidR="007829E4">
        <w:t xml:space="preserve">, </w:t>
      </w:r>
      <w:r w:rsidR="00D27E5F" w:rsidRPr="00D27E5F">
        <w:t>recordó la importancia de que las administraciones informen de esas modificaciones a fin de que se puedan modificar las directrices de examen de la UPOV</w:t>
      </w:r>
      <w:r w:rsidR="007829E4">
        <w:t xml:space="preserve">, </w:t>
      </w:r>
      <w:r w:rsidR="00D27E5F" w:rsidRPr="00D27E5F">
        <w:t>si procede.</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D27E5F" w:rsidRPr="00D27E5F">
        <w:t>El TC convino en que no sería conveniente que se elaboren propuestas de revisión parcial de las directrices de examen de la UPOV en cualquier momento del año.</w:t>
      </w:r>
      <w:r w:rsidR="00273DB6" w:rsidRPr="00D51062">
        <w:t xml:space="preserve">  </w:t>
      </w:r>
      <w:r w:rsidR="00D27E5F" w:rsidRPr="00D27E5F">
        <w:t>El TC convino en que se debe invitar a las administraciones a informar del uso de nuevos caracteres o niveles de expresión por medio del procedimiento establecido en la sección</w:t>
      </w:r>
      <w:r w:rsidR="007829E4">
        <w:t> </w:t>
      </w:r>
      <w:r w:rsidR="007829E4" w:rsidRPr="00D27E5F">
        <w:t>1</w:t>
      </w:r>
      <w:r w:rsidR="00D27E5F" w:rsidRPr="00D27E5F">
        <w:t>0 “Notificación de caracteres y niveles de expresión adicionales” del documento TGP/5.</w:t>
      </w:r>
      <w:r w:rsidR="00273DB6" w:rsidRPr="00D51062">
        <w:t xml:space="preserve">  </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D27E5F" w:rsidRPr="00D27E5F">
        <w:t>El TC convino en solicitar a la Oficina de la Unión que</w:t>
      </w:r>
      <w:r w:rsidR="007829E4">
        <w:t xml:space="preserve">, </w:t>
      </w:r>
      <w:r w:rsidR="00D27E5F" w:rsidRPr="00D27E5F">
        <w:t>a fin de promover la notificación de caracteres y niveles de expresión adicionales</w:t>
      </w:r>
      <w:r w:rsidR="007829E4">
        <w:t xml:space="preserve">, </w:t>
      </w:r>
      <w:r w:rsidR="00D27E5F" w:rsidRPr="00D27E5F">
        <w:t>presente una ponencia a los TWP</w:t>
      </w:r>
      <w:r w:rsidR="007829E4">
        <w:t xml:space="preserve">, </w:t>
      </w:r>
      <w:r w:rsidR="00D27E5F" w:rsidRPr="00D27E5F">
        <w:t>en sus reuniones de 2017</w:t>
      </w:r>
      <w:r w:rsidR="007829E4">
        <w:t xml:space="preserve">, </w:t>
      </w:r>
      <w:r w:rsidR="00D27E5F" w:rsidRPr="00D27E5F">
        <w:t>sobre los procedimientos establecidos en la sección</w:t>
      </w:r>
      <w:r w:rsidR="007829E4">
        <w:t> </w:t>
      </w:r>
      <w:r w:rsidR="007829E4" w:rsidRPr="00D27E5F">
        <w:t>1</w:t>
      </w:r>
      <w:r w:rsidR="00D27E5F" w:rsidRPr="00D27E5F">
        <w:t>0 del documento TGP/5.</w:t>
      </w:r>
    </w:p>
    <w:p w:rsidR="00273DB6" w:rsidRPr="00D51062" w:rsidRDefault="00273DB6" w:rsidP="00273DB6">
      <w:pPr>
        <w:spacing w:line="360" w:lineRule="auto"/>
      </w:pPr>
    </w:p>
    <w:p w:rsidR="00273DB6" w:rsidRPr="009B196C" w:rsidRDefault="00273DB6" w:rsidP="00273DB6">
      <w:pPr>
        <w:pStyle w:val="Heading4"/>
        <w:rPr>
          <w:lang w:val="es-ES"/>
        </w:rPr>
      </w:pPr>
      <w:bookmarkStart w:id="21" w:name="_Toc476321148"/>
      <w:r w:rsidRPr="009B196C">
        <w:rPr>
          <w:lang w:val="es-ES"/>
        </w:rPr>
        <w:t>TGP/14</w:t>
      </w:r>
      <w:r w:rsidR="007829E4" w:rsidRPr="009B196C">
        <w:rPr>
          <w:lang w:val="es-ES"/>
        </w:rPr>
        <w:t xml:space="preserve">:  </w:t>
      </w:r>
      <w:bookmarkEnd w:id="21"/>
      <w:r w:rsidR="00D27E5F" w:rsidRPr="00D27E5F">
        <w:rPr>
          <w:lang w:val="es-ES_tradnl"/>
        </w:rPr>
        <w:t>Glosario de términos utilizados en los documentos de la UPOV</w:t>
      </w:r>
    </w:p>
    <w:p w:rsidR="00273DB6" w:rsidRPr="00D51062" w:rsidRDefault="00273DB6" w:rsidP="00273DB6">
      <w:pPr>
        <w:keepNext/>
      </w:pPr>
    </w:p>
    <w:p w:rsidR="00273DB6" w:rsidRPr="009B196C" w:rsidRDefault="00273DB6" w:rsidP="00273DB6">
      <w:pPr>
        <w:pStyle w:val="Heading5"/>
        <w:rPr>
          <w:lang w:val="es-ES"/>
        </w:rPr>
      </w:pPr>
      <w:bookmarkStart w:id="22" w:name="_Toc476321149"/>
      <w:r w:rsidRPr="009B196C">
        <w:rPr>
          <w:lang w:val="es-ES"/>
        </w:rPr>
        <w:t>ix)</w:t>
      </w:r>
      <w:r w:rsidRPr="009B196C">
        <w:rPr>
          <w:lang w:val="es-ES"/>
        </w:rPr>
        <w:tab/>
      </w:r>
      <w:bookmarkEnd w:id="22"/>
      <w:r w:rsidR="00D27E5F" w:rsidRPr="00D27E5F">
        <w:rPr>
          <w:lang w:val="es-ES_tradnl"/>
        </w:rPr>
        <w:t>Definición de “recurvado”</w:t>
      </w:r>
    </w:p>
    <w:p w:rsidR="00273DB6" w:rsidRPr="00D51062" w:rsidRDefault="00273DB6" w:rsidP="00273DB6"/>
    <w:p w:rsidR="00273DB6" w:rsidRDefault="007D43C5" w:rsidP="00273DB6">
      <w:r w:rsidRPr="00D51062">
        <w:fldChar w:fldCharType="begin"/>
      </w:r>
      <w:r w:rsidR="00273DB6" w:rsidRPr="00D51062">
        <w:instrText xml:space="preserve"> AUTONUM  </w:instrText>
      </w:r>
      <w:r w:rsidRPr="00D51062">
        <w:fldChar w:fldCharType="end"/>
      </w:r>
      <w:r w:rsidR="00273DB6" w:rsidRPr="00D51062">
        <w:tab/>
      </w:r>
      <w:r w:rsidR="00D27E5F" w:rsidRPr="00D27E5F">
        <w:t>El TC tomó nota de que el experto de Israel había retirado la propuesta de revisión del término "recurvado”.</w:t>
      </w:r>
    </w:p>
    <w:p w:rsidR="00926B27" w:rsidRPr="00D51062" w:rsidRDefault="00926B27" w:rsidP="00273DB6"/>
    <w:p w:rsidR="00273DB6" w:rsidRPr="009B196C" w:rsidRDefault="00273DB6" w:rsidP="00273DB6">
      <w:pPr>
        <w:pStyle w:val="Heading5"/>
        <w:rPr>
          <w:lang w:val="es-ES"/>
        </w:rPr>
      </w:pPr>
      <w:bookmarkStart w:id="23" w:name="_Toc476321150"/>
      <w:r w:rsidRPr="009B196C">
        <w:rPr>
          <w:lang w:val="es-ES"/>
        </w:rPr>
        <w:t>x)</w:t>
      </w:r>
      <w:r w:rsidRPr="009B196C">
        <w:rPr>
          <w:lang w:val="es-ES"/>
        </w:rPr>
        <w:tab/>
      </w:r>
      <w:bookmarkEnd w:id="23"/>
      <w:r w:rsidR="00D27E5F" w:rsidRPr="00D27E5F">
        <w:rPr>
          <w:lang w:val="es-ES_tradnl"/>
        </w:rPr>
        <w:t>Cuadro para los caracteres relacionados con la forma</w:t>
      </w:r>
    </w:p>
    <w:p w:rsidR="00273DB6" w:rsidRPr="00D51062" w:rsidRDefault="00273DB6" w:rsidP="00273DB6">
      <w:pPr>
        <w:keepNext/>
        <w:keepLines/>
        <w:rPr>
          <w:snapToGrid w:val="0"/>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A731CD" w:rsidRPr="00A731CD">
        <w:t>El TC convino en revisar el documento TGP/14</w:t>
      </w:r>
      <w:r w:rsidR="007829E4">
        <w:t xml:space="preserve">:  </w:t>
      </w:r>
      <w:r w:rsidR="00A731CD" w:rsidRPr="00A731CD">
        <w:t>sección</w:t>
      </w:r>
      <w:r w:rsidR="007829E4">
        <w:t> </w:t>
      </w:r>
      <w:r w:rsidR="007829E4" w:rsidRPr="00A731CD">
        <w:t>2</w:t>
      </w:r>
      <w:r w:rsidR="007829E4">
        <w:t xml:space="preserve">:  </w:t>
      </w:r>
      <w:r w:rsidR="00A731CD" w:rsidRPr="00A731CD">
        <w:t>subsección</w:t>
      </w:r>
      <w:r w:rsidR="007829E4">
        <w:t> </w:t>
      </w:r>
      <w:r w:rsidR="007829E4" w:rsidRPr="00A731CD">
        <w:t>2</w:t>
      </w:r>
      <w:r w:rsidR="007829E4">
        <w:t xml:space="preserve">:  </w:t>
      </w:r>
      <w:r w:rsidR="00A731CD" w:rsidRPr="00A731CD">
        <w:t>Formas y estructuras</w:t>
      </w:r>
      <w:r w:rsidR="007829E4">
        <w:t xml:space="preserve">, </w:t>
      </w:r>
      <w:r w:rsidR="00A731CD" w:rsidRPr="00A731CD">
        <w:t>para modificar el “cuadro de la posición de la parte más ancha y la relación longitud/anchura” presentado en la variante</w:t>
      </w:r>
      <w:r w:rsidR="007829E4">
        <w:t> </w:t>
      </w:r>
      <w:r w:rsidR="007829E4" w:rsidRPr="00A731CD">
        <w:t>2</w:t>
      </w:r>
      <w:r w:rsidR="00A731CD" w:rsidRPr="00A731CD">
        <w:t xml:space="preserve"> y eliminar el texto “relación” e indicar “anchura relativa” en una columna diferente de la escala de “ancha a estrecha”</w:t>
      </w:r>
      <w:r w:rsidR="007829E4">
        <w:t xml:space="preserve">, </w:t>
      </w:r>
      <w:r w:rsidR="00A731CD" w:rsidRPr="00A731CD">
        <w:t>según se expone en el párrafo</w:t>
      </w:r>
      <w:r w:rsidR="007829E4">
        <w:t> </w:t>
      </w:r>
      <w:r w:rsidR="007829E4" w:rsidRPr="00A731CD">
        <w:t>3</w:t>
      </w:r>
      <w:r w:rsidR="00A731CD" w:rsidRPr="00A731CD">
        <w:t>0 del documento TC/53/5.</w:t>
      </w:r>
      <w:r w:rsidR="00273DB6" w:rsidRPr="00D51062">
        <w:t xml:space="preserve"> </w:t>
      </w:r>
    </w:p>
    <w:p w:rsidR="00273DB6" w:rsidRPr="00D51062" w:rsidRDefault="00273DB6" w:rsidP="00273DB6"/>
    <w:p w:rsidR="00273DB6" w:rsidRPr="009B196C" w:rsidRDefault="00273DB6" w:rsidP="00273DB6">
      <w:pPr>
        <w:pStyle w:val="Heading5"/>
        <w:rPr>
          <w:lang w:val="es-ES"/>
        </w:rPr>
      </w:pPr>
      <w:bookmarkStart w:id="24" w:name="_Toc476321151"/>
      <w:r w:rsidRPr="009B196C">
        <w:rPr>
          <w:lang w:val="es-ES"/>
        </w:rPr>
        <w:t>xi)</w:t>
      </w:r>
      <w:r w:rsidRPr="009B196C">
        <w:rPr>
          <w:lang w:val="es-ES"/>
        </w:rPr>
        <w:tab/>
      </w:r>
      <w:bookmarkEnd w:id="24"/>
      <w:r w:rsidR="00A731CD" w:rsidRPr="00A731CD">
        <w:rPr>
          <w:lang w:val="es-ES_tradnl"/>
        </w:rPr>
        <w:t>Revisión de los grupos de color UPOV</w:t>
      </w:r>
    </w:p>
    <w:p w:rsidR="00273DB6" w:rsidRPr="00D51062" w:rsidRDefault="00273DB6" w:rsidP="00273DB6">
      <w:pPr>
        <w:keepNext/>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BF30AD" w:rsidRPr="00BF30AD">
        <w:t>El TC tomó nota de la información remitida por el TWO en referencia a que algunas cartas de la edición de</w:t>
      </w:r>
      <w:r w:rsidR="007829E4">
        <w:t> </w:t>
      </w:r>
      <w:r w:rsidR="007829E4" w:rsidRPr="00BF30AD">
        <w:t>1</w:t>
      </w:r>
      <w:r w:rsidR="00BF30AD" w:rsidRPr="00BF30AD">
        <w:t>986 y de las versiones posteriores de la carta de colores RHS tenían colores diferentes a las mismas cartas de la sexta edición.</w:t>
      </w:r>
      <w:r w:rsidR="00273DB6" w:rsidRPr="00D51062">
        <w:t xml:space="preserve">  </w:t>
      </w:r>
      <w:r w:rsidR="00BF30AD" w:rsidRPr="00BF30AD">
        <w:t>El TC suscribió la propuesta formulada por el TWO de revisar el documento TGP/14 “Glosario de términos utilizados en los documentos de la UPOV” para reemplazar la actual lista de grupos de color UPOV por una nueva lista creada a partir de la sexta edición de la carta de colores RHS.</w:t>
      </w:r>
    </w:p>
    <w:p w:rsidR="00273DB6" w:rsidRPr="00D51062" w:rsidRDefault="00273DB6" w:rsidP="00273DB6">
      <w:pPr>
        <w:rPr>
          <w:snapToGrid w:val="0"/>
        </w:rPr>
      </w:pPr>
    </w:p>
    <w:p w:rsidR="00273DB6" w:rsidRPr="00D51062" w:rsidRDefault="007D43C5" w:rsidP="00273DB6">
      <w:pPr>
        <w:rPr>
          <w:rFonts w:cs="Arial"/>
        </w:rPr>
      </w:pPr>
      <w:r w:rsidRPr="00D51062">
        <w:fldChar w:fldCharType="begin"/>
      </w:r>
      <w:r w:rsidR="00273DB6" w:rsidRPr="00D51062">
        <w:instrText xml:space="preserve"> AUTONUM  </w:instrText>
      </w:r>
      <w:r w:rsidRPr="00D51062">
        <w:fldChar w:fldCharType="end"/>
      </w:r>
      <w:r w:rsidR="00273DB6" w:rsidRPr="00D51062">
        <w:tab/>
      </w:r>
      <w:r w:rsidR="00BF30AD" w:rsidRPr="00BF30AD">
        <w:rPr>
          <w:rFonts w:cs="Arial"/>
        </w:rPr>
        <w:t>El TC tomó nota de los debates mantenidos en el TWO en relación con la posibilidad de usar los grupos de color UPOV establecidos para las cartas de colores RHS a efectos del agrupamiento de variedades y la organización del ensayo en cultivo y de que el TWO había convenido en que la diferencia entre los grupos de color UPOV era inferior a la que sería conveniente para excluir variedades de la comparación en un ensayo de cultivo.</w:t>
      </w:r>
      <w:r w:rsidR="00273DB6" w:rsidRPr="00D51062">
        <w:rPr>
          <w:rFonts w:cs="Arial"/>
        </w:rPr>
        <w:t xml:space="preserve">  </w:t>
      </w:r>
    </w:p>
    <w:p w:rsidR="00273DB6" w:rsidRPr="00D51062" w:rsidRDefault="00273DB6" w:rsidP="00273DB6">
      <w:pPr>
        <w:rPr>
          <w:rFonts w:cs="Arial"/>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BF30AD" w:rsidRPr="00D95816">
        <w:t>El TC tomó nota de que el TWO había solicitado que el experto de Alemania</w:t>
      </w:r>
      <w:r w:rsidR="007829E4">
        <w:t xml:space="preserve">, </w:t>
      </w:r>
      <w:r w:rsidR="00BF30AD" w:rsidRPr="00D95816">
        <w:t>con el apoyo de los expertos de Australia</w:t>
      </w:r>
      <w:r w:rsidR="007829E4">
        <w:t xml:space="preserve">, </w:t>
      </w:r>
      <w:r w:rsidR="00BF30AD" w:rsidRPr="00D95816">
        <w:t>el Canadá</w:t>
      </w:r>
      <w:r w:rsidR="007829E4">
        <w:t xml:space="preserve">, </w:t>
      </w:r>
      <w:r w:rsidR="00BF30AD" w:rsidRPr="00D95816">
        <w:t>Nueva Zelandia</w:t>
      </w:r>
      <w:r w:rsidR="007829E4">
        <w:t xml:space="preserve">, </w:t>
      </w:r>
      <w:r w:rsidR="00BF30AD" w:rsidRPr="00D95816">
        <w:t>los Países Bajos</w:t>
      </w:r>
      <w:r w:rsidR="007829E4">
        <w:t xml:space="preserve">, </w:t>
      </w:r>
      <w:r w:rsidR="00BF30AD" w:rsidRPr="00D95816">
        <w:t>el Reino Unido y la Unión Europea</w:t>
      </w:r>
      <w:r w:rsidR="007829E4">
        <w:t xml:space="preserve">, </w:t>
      </w:r>
      <w:r w:rsidR="00BF30AD" w:rsidRPr="00D95816">
        <w:t>elabore un proyecto de orientación sobre los factores que se han de tener en cuenta al crear grupos de color a efectos de agrupar variedades y organizar el ensayo de cultivo.</w:t>
      </w:r>
    </w:p>
    <w:p w:rsidR="00273DB6" w:rsidRDefault="00273DB6" w:rsidP="00273DB6">
      <w:pPr>
        <w:rPr>
          <w:rFonts w:cs="Arial"/>
        </w:rPr>
      </w:pPr>
      <w:bookmarkStart w:id="25" w:name="_Toc352678076"/>
      <w:bookmarkStart w:id="26" w:name="_Toc353797757"/>
      <w:bookmarkStart w:id="27" w:name="_Toc386185988"/>
      <w:bookmarkStart w:id="28" w:name="_Toc419124879"/>
      <w:bookmarkStart w:id="29" w:name="_Toc476321152"/>
    </w:p>
    <w:p w:rsidR="00273DB6" w:rsidRPr="00D51062" w:rsidRDefault="00273DB6" w:rsidP="00273DB6">
      <w:pPr>
        <w:rPr>
          <w:rFonts w:cs="Arial"/>
        </w:rPr>
      </w:pPr>
    </w:p>
    <w:p w:rsidR="00273DB6" w:rsidRPr="009B196C" w:rsidRDefault="00D95816" w:rsidP="00273DB6">
      <w:pPr>
        <w:pStyle w:val="Heading3"/>
        <w:rPr>
          <w:lang w:val="es-ES"/>
        </w:rPr>
      </w:pPr>
      <w:bookmarkStart w:id="30" w:name="_Toc492290038"/>
      <w:bookmarkEnd w:id="25"/>
      <w:bookmarkEnd w:id="26"/>
      <w:bookmarkEnd w:id="27"/>
      <w:bookmarkEnd w:id="28"/>
      <w:bookmarkEnd w:id="29"/>
      <w:r w:rsidRPr="00D95816">
        <w:rPr>
          <w:lang w:val="es-ES_tradnl"/>
        </w:rPr>
        <w:t>Programa para la elaboración de los documentos TGP</w:t>
      </w:r>
      <w:bookmarkEnd w:id="30"/>
    </w:p>
    <w:p w:rsidR="00273DB6" w:rsidRPr="00D51062" w:rsidRDefault="00273DB6" w:rsidP="00273DB6">
      <w:pPr>
        <w:keepNext/>
        <w:rPr>
          <w:rFonts w:cs="Arial"/>
          <w:color w:val="000000"/>
          <w:lang w:eastAsia="ja-JP"/>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DD3BA6" w:rsidRPr="00DD3BA6">
        <w:t xml:space="preserve">El TC aprobó el programa para la elaboración de los documentos TGP que figura en el </w:t>
      </w:r>
      <w:r w:rsidR="00256232" w:rsidRPr="00DD3BA6">
        <w:t>anexo</w:t>
      </w:r>
      <w:r w:rsidR="00DD3BA6" w:rsidRPr="00DD3BA6">
        <w:t xml:space="preserve"> del documento TC/53/5</w:t>
      </w:r>
      <w:r w:rsidR="007829E4">
        <w:t xml:space="preserve">, </w:t>
      </w:r>
      <w:r w:rsidR="00DD3BA6" w:rsidRPr="00DD3BA6">
        <w:t>con sujeción a las conclusiones expuestas anteriormente.</w:t>
      </w:r>
    </w:p>
    <w:p w:rsidR="00273DB6" w:rsidRPr="00D51062" w:rsidRDefault="00273DB6" w:rsidP="00273DB6"/>
    <w:p w:rsidR="00273DB6" w:rsidRPr="00D51062" w:rsidRDefault="00273DB6" w:rsidP="00273DB6">
      <w:pPr>
        <w:jc w:val="left"/>
        <w:rPr>
          <w:u w:val="single"/>
        </w:rPr>
      </w:pPr>
    </w:p>
    <w:p w:rsidR="00273DB6" w:rsidRPr="009B196C" w:rsidRDefault="00DD3BA6" w:rsidP="00401303">
      <w:pPr>
        <w:pStyle w:val="Heading2"/>
        <w:keepNext w:val="0"/>
        <w:rPr>
          <w:rFonts w:cs="Arial"/>
          <w:lang w:val="es-ES"/>
        </w:rPr>
      </w:pPr>
      <w:bookmarkStart w:id="31" w:name="_Toc492290039"/>
      <w:r w:rsidRPr="00DD3BA6">
        <w:rPr>
          <w:lang w:val="es-ES_tradnl"/>
        </w:rPr>
        <w:t>Cooperación en materia de examen</w:t>
      </w:r>
      <w:bookmarkEnd w:id="31"/>
      <w:r w:rsidR="00273DB6" w:rsidRPr="009B196C">
        <w:rPr>
          <w:lang w:val="es-ES"/>
        </w:rPr>
        <w:t xml:space="preserve"> </w:t>
      </w:r>
    </w:p>
    <w:p w:rsidR="00273DB6" w:rsidRPr="00D51062" w:rsidRDefault="00273DB6" w:rsidP="00401303">
      <w:pPr>
        <w:ind w:left="567" w:hanging="567"/>
        <w:rPr>
          <w:rFonts w:cs="Arial"/>
          <w:snapToGrid w:val="0"/>
        </w:rPr>
      </w:pPr>
    </w:p>
    <w:p w:rsidR="00273DB6" w:rsidRPr="00D51062" w:rsidRDefault="007D43C5" w:rsidP="00401303">
      <w:pPr>
        <w:ind w:left="567" w:hanging="567"/>
        <w:rPr>
          <w:rFonts w:cs="Arial"/>
        </w:rPr>
      </w:pPr>
      <w:r w:rsidRPr="00D51062">
        <w:rPr>
          <w:rFonts w:cs="Arial"/>
          <w:snapToGrid w:val="0"/>
        </w:rPr>
        <w:fldChar w:fldCharType="begin"/>
      </w:r>
      <w:r w:rsidR="00273DB6" w:rsidRPr="00D51062">
        <w:rPr>
          <w:rFonts w:cs="Arial"/>
          <w:snapToGrid w:val="0"/>
        </w:rPr>
        <w:instrText xml:space="preserve"> AUTONUM  </w:instrText>
      </w:r>
      <w:r w:rsidRPr="00D51062">
        <w:rPr>
          <w:rFonts w:cs="Arial"/>
          <w:snapToGrid w:val="0"/>
        </w:rPr>
        <w:fldChar w:fldCharType="end"/>
      </w:r>
      <w:r w:rsidR="00273DB6" w:rsidRPr="00D51062">
        <w:rPr>
          <w:rFonts w:cs="Arial"/>
          <w:snapToGrid w:val="0"/>
        </w:rPr>
        <w:tab/>
      </w:r>
      <w:r w:rsidR="00832F8B" w:rsidRPr="00832F8B">
        <w:rPr>
          <w:rFonts w:cs="Arial"/>
          <w:snapToGrid w:val="0"/>
        </w:rPr>
        <w:t>El TC examinó el documento TC/53/20 y el informe verbal de la Oficina de la Unión</w:t>
      </w:r>
      <w:r w:rsidR="007829E4">
        <w:rPr>
          <w:rFonts w:cs="Arial"/>
          <w:snapToGrid w:val="0"/>
        </w:rPr>
        <w:t xml:space="preserve">, </w:t>
      </w:r>
      <w:r w:rsidR="00832F8B" w:rsidRPr="00832F8B">
        <w:rPr>
          <w:rFonts w:cs="Arial"/>
          <w:snapToGrid w:val="0"/>
        </w:rPr>
        <w:t>en el que se destaca que:</w:t>
      </w:r>
    </w:p>
    <w:p w:rsidR="00273DB6" w:rsidRPr="00D51062" w:rsidRDefault="00273DB6" w:rsidP="00401303">
      <w:pPr>
        <w:ind w:left="567" w:hanging="567"/>
        <w:rPr>
          <w:rFonts w:cs="Arial"/>
        </w:rPr>
      </w:pPr>
    </w:p>
    <w:p w:rsidR="00273DB6" w:rsidRPr="00D51062" w:rsidRDefault="00832F8B" w:rsidP="00401303">
      <w:pPr>
        <w:numPr>
          <w:ilvl w:val="0"/>
          <w:numId w:val="19"/>
        </w:numPr>
        <w:tabs>
          <w:tab w:val="clear" w:pos="720"/>
          <w:tab w:val="num" w:pos="567"/>
        </w:tabs>
        <w:spacing w:after="120"/>
        <w:ind w:left="568" w:hanging="284"/>
        <w:rPr>
          <w:rFonts w:cs="Arial"/>
        </w:rPr>
      </w:pPr>
      <w:r w:rsidRPr="00832F8B">
        <w:rPr>
          <w:rFonts w:cs="Arial"/>
        </w:rPr>
        <w:t>el</w:t>
      </w:r>
      <w:r w:rsidR="007829E4">
        <w:rPr>
          <w:rFonts w:cs="Arial"/>
        </w:rPr>
        <w:t> </w:t>
      </w:r>
      <w:r w:rsidR="007829E4" w:rsidRPr="00832F8B">
        <w:rPr>
          <w:rFonts w:cs="Arial"/>
        </w:rPr>
        <w:t>9</w:t>
      </w:r>
      <w:r w:rsidRPr="00832F8B">
        <w:rPr>
          <w:rFonts w:cs="Arial"/>
        </w:rPr>
        <w:t>3% de los encuestados estaba muy seguro o bastante seguro de las opciones de las que dispone para cooperar (aunque puntualizó que solo había respondido el 38% de los miembros de la UPOV);</w:t>
      </w:r>
    </w:p>
    <w:p w:rsidR="00273DB6" w:rsidRPr="00D51062" w:rsidRDefault="00832F8B" w:rsidP="00401303">
      <w:pPr>
        <w:numPr>
          <w:ilvl w:val="0"/>
          <w:numId w:val="19"/>
        </w:numPr>
        <w:tabs>
          <w:tab w:val="clear" w:pos="720"/>
          <w:tab w:val="num" w:pos="567"/>
        </w:tabs>
        <w:spacing w:after="120"/>
        <w:ind w:left="568" w:hanging="284"/>
        <w:rPr>
          <w:rFonts w:cs="Arial"/>
        </w:rPr>
      </w:pPr>
      <w:r w:rsidRPr="00832F8B">
        <w:rPr>
          <w:rFonts w:cs="Arial"/>
        </w:rPr>
        <w:t>el</w:t>
      </w:r>
      <w:r w:rsidR="007829E4">
        <w:rPr>
          <w:rFonts w:cs="Arial"/>
        </w:rPr>
        <w:t> </w:t>
      </w:r>
      <w:r w:rsidR="007829E4" w:rsidRPr="00832F8B">
        <w:rPr>
          <w:rFonts w:cs="Arial"/>
        </w:rPr>
        <w:t>5</w:t>
      </w:r>
      <w:r w:rsidRPr="00832F8B">
        <w:rPr>
          <w:rFonts w:cs="Arial"/>
        </w:rPr>
        <w:t>0% de los encuestados indicaron que el informe DHE sirve de base para la decisión relativa al examen DHE</w:t>
      </w:r>
      <w:r w:rsidR="007829E4">
        <w:rPr>
          <w:rFonts w:cs="Arial"/>
        </w:rPr>
        <w:t xml:space="preserve">, </w:t>
      </w:r>
      <w:r w:rsidRPr="00832F8B">
        <w:rPr>
          <w:rFonts w:cs="Arial"/>
        </w:rPr>
        <w:t>sin necesidad de más información;</w:t>
      </w:r>
    </w:p>
    <w:p w:rsidR="00273DB6" w:rsidRPr="00D51062" w:rsidRDefault="00832F8B" w:rsidP="00832F8B">
      <w:pPr>
        <w:keepNext/>
        <w:numPr>
          <w:ilvl w:val="0"/>
          <w:numId w:val="19"/>
        </w:numPr>
        <w:tabs>
          <w:tab w:val="clear" w:pos="720"/>
          <w:tab w:val="num" w:pos="567"/>
        </w:tabs>
        <w:spacing w:after="120"/>
        <w:ind w:left="568" w:hanging="284"/>
        <w:rPr>
          <w:rFonts w:cs="Arial"/>
        </w:rPr>
      </w:pPr>
      <w:r w:rsidRPr="00832F8B">
        <w:rPr>
          <w:rFonts w:cs="Arial"/>
        </w:rPr>
        <w:t>el</w:t>
      </w:r>
      <w:r w:rsidR="007829E4">
        <w:rPr>
          <w:rFonts w:cs="Arial"/>
        </w:rPr>
        <w:t> </w:t>
      </w:r>
      <w:r w:rsidR="007829E4" w:rsidRPr="00832F8B">
        <w:rPr>
          <w:rFonts w:cs="Arial"/>
        </w:rPr>
        <w:t>3</w:t>
      </w:r>
      <w:r w:rsidRPr="00832F8B">
        <w:rPr>
          <w:rFonts w:cs="Arial"/>
        </w:rPr>
        <w:t>0% de los encuestados consideró que medidas prácticas adicionales podrían facilitar el uso de informes DHE existentes;</w:t>
      </w:r>
    </w:p>
    <w:p w:rsidR="00273DB6" w:rsidRPr="00D51062" w:rsidRDefault="00832F8B" w:rsidP="00273DB6">
      <w:pPr>
        <w:keepNext/>
        <w:numPr>
          <w:ilvl w:val="0"/>
          <w:numId w:val="19"/>
        </w:numPr>
        <w:tabs>
          <w:tab w:val="clear" w:pos="720"/>
          <w:tab w:val="num" w:pos="567"/>
        </w:tabs>
        <w:ind w:left="567" w:hanging="283"/>
        <w:rPr>
          <w:rFonts w:cs="Arial"/>
        </w:rPr>
      </w:pPr>
      <w:r w:rsidRPr="00832F8B">
        <w:rPr>
          <w:rFonts w:cs="Arial"/>
        </w:rPr>
        <w:t>el</w:t>
      </w:r>
      <w:r w:rsidR="007829E4">
        <w:rPr>
          <w:rFonts w:cs="Arial"/>
        </w:rPr>
        <w:t> </w:t>
      </w:r>
      <w:r w:rsidR="007829E4" w:rsidRPr="00832F8B">
        <w:rPr>
          <w:rFonts w:cs="Arial"/>
        </w:rPr>
        <w:t>2</w:t>
      </w:r>
      <w:r w:rsidRPr="00832F8B">
        <w:rPr>
          <w:rFonts w:cs="Arial"/>
        </w:rPr>
        <w:t>9% de los encuestados calificó de “nada fácil” la cooperación en el examen DHE.</w:t>
      </w:r>
    </w:p>
    <w:p w:rsidR="00273DB6" w:rsidRPr="00D51062" w:rsidRDefault="00273DB6" w:rsidP="00273DB6">
      <w:pPr>
        <w:keepNext/>
        <w:ind w:left="1440"/>
        <w:rPr>
          <w:rFonts w:cs="Arial"/>
        </w:rPr>
      </w:pPr>
    </w:p>
    <w:p w:rsidR="00273DB6" w:rsidRPr="00D51062" w:rsidRDefault="007D43C5" w:rsidP="00273DB6">
      <w:pPr>
        <w:keepNext/>
        <w:rPr>
          <w:rFonts w:cs="Arial"/>
        </w:rPr>
      </w:pPr>
      <w:r>
        <w:rPr>
          <w:rFonts w:cs="Arial"/>
        </w:rPr>
        <w:fldChar w:fldCharType="begin"/>
      </w:r>
      <w:r w:rsidR="00273DB6">
        <w:rPr>
          <w:rFonts w:cs="Arial"/>
        </w:rPr>
        <w:instrText xml:space="preserve"> AUTONUM  </w:instrText>
      </w:r>
      <w:r>
        <w:rPr>
          <w:rFonts w:cs="Arial"/>
        </w:rPr>
        <w:fldChar w:fldCharType="end"/>
      </w:r>
      <w:r w:rsidR="00273DB6">
        <w:rPr>
          <w:rFonts w:cs="Arial"/>
        </w:rPr>
        <w:tab/>
      </w:r>
      <w:r w:rsidR="00832F8B" w:rsidRPr="00832F8B">
        <w:rPr>
          <w:rFonts w:cs="Arial"/>
        </w:rPr>
        <w:t>La Oficina de la Unión informó que el Grupo de trabajo sobre un posible sistema internacional de cooperación (WG</w:t>
      </w:r>
      <w:r w:rsidR="00832F8B" w:rsidRPr="00832F8B">
        <w:rPr>
          <w:rFonts w:cs="Arial"/>
        </w:rPr>
        <w:noBreakHyphen/>
        <w:t>ISC) había comprendido que era necesario considerar la posibilidad de aceptar los informes DHE de cualquiera de los miembros de la Unión sin examinarlos más detenidamente.</w:t>
      </w:r>
    </w:p>
    <w:p w:rsidR="00273DB6" w:rsidRPr="00D51062" w:rsidRDefault="00273DB6" w:rsidP="00273DB6">
      <w:pPr>
        <w:keepNext/>
        <w:ind w:left="567" w:hanging="567"/>
        <w:rPr>
          <w:rFonts w:cs="Arial"/>
        </w:rPr>
      </w:pPr>
    </w:p>
    <w:p w:rsidR="00273DB6" w:rsidRPr="00D51062" w:rsidRDefault="007D43C5" w:rsidP="00273DB6">
      <w:pPr>
        <w:rPr>
          <w:snapToGrid w:val="0"/>
        </w:rPr>
      </w:pPr>
      <w:r w:rsidRPr="00D51062">
        <w:rPr>
          <w:snapToGrid w:val="0"/>
        </w:rPr>
        <w:fldChar w:fldCharType="begin"/>
      </w:r>
      <w:r w:rsidR="00273DB6" w:rsidRPr="00D51062">
        <w:rPr>
          <w:snapToGrid w:val="0"/>
        </w:rPr>
        <w:instrText xml:space="preserve"> AUTONUM  </w:instrText>
      </w:r>
      <w:r w:rsidRPr="00D51062">
        <w:rPr>
          <w:snapToGrid w:val="0"/>
        </w:rPr>
        <w:fldChar w:fldCharType="end"/>
      </w:r>
      <w:r w:rsidR="00273DB6" w:rsidRPr="00D51062">
        <w:rPr>
          <w:snapToGrid w:val="0"/>
        </w:rPr>
        <w:tab/>
      </w:r>
      <w:r w:rsidR="00832F8B" w:rsidRPr="00832F8B">
        <w:rPr>
          <w:snapToGrid w:val="0"/>
        </w:rPr>
        <w:t>El TC tomó nota de que había importantes aspectos políticos relativos a la cooperación en el examen DHE y convino en que se han de comunicar al </w:t>
      </w:r>
      <w:r w:rsidR="00832F8B" w:rsidRPr="00832F8B">
        <w:rPr>
          <w:rFonts w:cs="Arial"/>
          <w:snapToGrid w:val="0"/>
        </w:rPr>
        <w:t>WG</w:t>
      </w:r>
      <w:r w:rsidR="00832F8B" w:rsidRPr="00832F8B">
        <w:rPr>
          <w:rFonts w:cs="Arial"/>
          <w:snapToGrid w:val="0"/>
        </w:rPr>
        <w:noBreakHyphen/>
        <w:t>ISC</w:t>
      </w:r>
      <w:r w:rsidR="00832F8B" w:rsidRPr="00832F8B">
        <w:rPr>
          <w:snapToGrid w:val="0"/>
        </w:rPr>
        <w:t xml:space="preserve"> los resultados del sondeo junto con una explicación de las dificultades</w:t>
      </w:r>
      <w:r w:rsidR="007829E4">
        <w:rPr>
          <w:snapToGrid w:val="0"/>
        </w:rPr>
        <w:t xml:space="preserve">, </w:t>
      </w:r>
      <w:r w:rsidR="00832F8B" w:rsidRPr="00832F8B">
        <w:rPr>
          <w:snapToGrid w:val="0"/>
        </w:rPr>
        <w:t>si así se solicita.</w:t>
      </w:r>
      <w:r w:rsidR="00273DB6" w:rsidRPr="00D51062">
        <w:rPr>
          <w:snapToGrid w:val="0"/>
        </w:rPr>
        <w:t xml:space="preserve"> </w:t>
      </w:r>
    </w:p>
    <w:p w:rsidR="00273DB6" w:rsidRPr="00D51062" w:rsidRDefault="00273DB6" w:rsidP="00273DB6">
      <w:pPr>
        <w:rPr>
          <w:snapToGrid w:val="0"/>
        </w:rPr>
      </w:pPr>
    </w:p>
    <w:p w:rsidR="00273DB6" w:rsidRPr="00D51062" w:rsidRDefault="007D43C5" w:rsidP="00273DB6">
      <w:pPr>
        <w:keepLines/>
        <w:rPr>
          <w:snapToGrid w:val="0"/>
        </w:rPr>
      </w:pPr>
      <w:r w:rsidRPr="00D51062">
        <w:rPr>
          <w:snapToGrid w:val="0"/>
        </w:rPr>
        <w:fldChar w:fldCharType="begin"/>
      </w:r>
      <w:r w:rsidR="00273DB6" w:rsidRPr="00D51062">
        <w:rPr>
          <w:snapToGrid w:val="0"/>
        </w:rPr>
        <w:instrText xml:space="preserve"> AUTONUM  </w:instrText>
      </w:r>
      <w:r w:rsidRPr="00D51062">
        <w:rPr>
          <w:snapToGrid w:val="0"/>
        </w:rPr>
        <w:fldChar w:fldCharType="end"/>
      </w:r>
      <w:r w:rsidR="00273DB6" w:rsidRPr="00D51062">
        <w:rPr>
          <w:snapToGrid w:val="0"/>
        </w:rPr>
        <w:tab/>
      </w:r>
      <w:r w:rsidR="00C86DDE" w:rsidRPr="00C86DDE">
        <w:rPr>
          <w:snapToGrid w:val="0"/>
        </w:rPr>
        <w:t>El TC convino en que se debe distribuir una nueva encuesta a fin de aumentar el número de miembros de la Unión que facilitan información.</w:t>
      </w:r>
      <w:r w:rsidR="00273DB6" w:rsidRPr="00D51062">
        <w:rPr>
          <w:snapToGrid w:val="0"/>
        </w:rPr>
        <w:t xml:space="preserve">  </w:t>
      </w:r>
      <w:r w:rsidR="00C86DDE" w:rsidRPr="00C86DDE">
        <w:rPr>
          <w:snapToGrid w:val="0"/>
        </w:rPr>
        <w:t>El TC convino en que la nueva encuesta debe basarse en las preguntas de la encuesta anterior</w:t>
      </w:r>
      <w:r w:rsidR="007829E4">
        <w:rPr>
          <w:snapToGrid w:val="0"/>
        </w:rPr>
        <w:t xml:space="preserve">, </w:t>
      </w:r>
      <w:r w:rsidR="00C86DDE" w:rsidRPr="00C86DDE">
        <w:rPr>
          <w:snapToGrid w:val="0"/>
        </w:rPr>
        <w:t>pero que es preciso acortarla fusionando algunas de las preguntas</w:t>
      </w:r>
      <w:r w:rsidR="007829E4">
        <w:rPr>
          <w:snapToGrid w:val="0"/>
        </w:rPr>
        <w:t xml:space="preserve">, </w:t>
      </w:r>
      <w:r w:rsidR="00C86DDE" w:rsidRPr="00C86DDE">
        <w:rPr>
          <w:snapToGrid w:val="0"/>
        </w:rPr>
        <w:t>teniendo en cuenta la información obtenida de la primera encuesta.</w:t>
      </w:r>
      <w:r w:rsidR="00273DB6" w:rsidRPr="00D51062">
        <w:rPr>
          <w:snapToGrid w:val="0"/>
        </w:rPr>
        <w:t xml:space="preserve">  </w:t>
      </w:r>
      <w:r w:rsidR="00C86DDE" w:rsidRPr="00C86DDE">
        <w:rPr>
          <w:snapToGrid w:val="0"/>
        </w:rPr>
        <w:t>El TC convino en que los resultados del nuevo sondeo se presenten al TC en su sesión de</w:t>
      </w:r>
      <w:r w:rsidR="007829E4">
        <w:rPr>
          <w:snapToGrid w:val="0"/>
        </w:rPr>
        <w:t> </w:t>
      </w:r>
      <w:r w:rsidR="007829E4" w:rsidRPr="00C86DDE">
        <w:rPr>
          <w:snapToGrid w:val="0"/>
        </w:rPr>
        <w:t>2</w:t>
      </w:r>
      <w:r w:rsidR="00C86DDE" w:rsidRPr="00C86DDE">
        <w:rPr>
          <w:snapToGrid w:val="0"/>
        </w:rPr>
        <w:t>018.</w:t>
      </w:r>
    </w:p>
    <w:p w:rsidR="00273DB6" w:rsidRPr="00D51062" w:rsidRDefault="00273DB6" w:rsidP="00273DB6">
      <w:pPr>
        <w:rPr>
          <w:snapToGrid w:val="0"/>
        </w:rPr>
      </w:pPr>
    </w:p>
    <w:p w:rsidR="00273DB6" w:rsidRPr="00D51062" w:rsidRDefault="007D43C5" w:rsidP="00273DB6">
      <w:pPr>
        <w:rPr>
          <w:snapToGrid w:val="0"/>
        </w:rPr>
      </w:pPr>
      <w:r w:rsidRPr="00D51062">
        <w:rPr>
          <w:snapToGrid w:val="0"/>
        </w:rPr>
        <w:fldChar w:fldCharType="begin"/>
      </w:r>
      <w:r w:rsidR="00273DB6" w:rsidRPr="00D51062">
        <w:rPr>
          <w:snapToGrid w:val="0"/>
        </w:rPr>
        <w:instrText xml:space="preserve"> AUTONUM  </w:instrText>
      </w:r>
      <w:r w:rsidRPr="00D51062">
        <w:rPr>
          <w:snapToGrid w:val="0"/>
        </w:rPr>
        <w:fldChar w:fldCharType="end"/>
      </w:r>
      <w:r w:rsidR="00273DB6" w:rsidRPr="00D51062">
        <w:rPr>
          <w:snapToGrid w:val="0"/>
        </w:rPr>
        <w:tab/>
      </w:r>
      <w:r w:rsidR="008B6572" w:rsidRPr="008B6572">
        <w:rPr>
          <w:snapToGrid w:val="0"/>
        </w:rPr>
        <w:t>El TC también combino en que por medio del nuevo cuestionario se deben estudiar las causas de las dificultades para establecer una cooperación.</w:t>
      </w:r>
    </w:p>
    <w:p w:rsidR="00273DB6" w:rsidRPr="00D51062" w:rsidRDefault="00273DB6" w:rsidP="00273DB6">
      <w:pPr>
        <w:rPr>
          <w:snapToGrid w:val="0"/>
        </w:rPr>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8B6572" w:rsidRPr="008B6572">
        <w:t>El TC tomó nota del informe del Japón relativo a sus nuevos procedimientos administrativos para facilitar el intercambio de informes de examen DHE entre el Japón y otros miembros de la UPOV</w:t>
      </w:r>
      <w:r w:rsidR="007829E4">
        <w:t xml:space="preserve">, </w:t>
      </w:r>
      <w:r w:rsidR="008B6572" w:rsidRPr="008B6572">
        <w:t>como consecuencia de los cuales los informes de examen DHE se proporcionarán gratis a los miembros de la UPOV con los que este país haya firmado un memorando de cooperación.</w:t>
      </w:r>
    </w:p>
    <w:p w:rsidR="00273DB6" w:rsidRPr="00D51062" w:rsidRDefault="00273DB6" w:rsidP="00273DB6">
      <w:pPr>
        <w:rPr>
          <w:snapToGrid w:val="0"/>
        </w:rPr>
      </w:pPr>
    </w:p>
    <w:p w:rsidR="00273DB6" w:rsidRPr="00D51062" w:rsidRDefault="00273DB6" w:rsidP="00273DB6">
      <w:pPr>
        <w:rPr>
          <w:snapToGrid w:val="0"/>
        </w:rPr>
      </w:pPr>
    </w:p>
    <w:p w:rsidR="00273DB6" w:rsidRPr="009B196C" w:rsidRDefault="008B6572" w:rsidP="00273DB6">
      <w:pPr>
        <w:pStyle w:val="Heading2"/>
        <w:rPr>
          <w:snapToGrid w:val="0"/>
          <w:lang w:val="es-ES"/>
        </w:rPr>
      </w:pPr>
      <w:bookmarkStart w:id="32" w:name="_Toc492290040"/>
      <w:r w:rsidRPr="008B6572">
        <w:rPr>
          <w:snapToGrid w:val="0"/>
          <w:lang w:val="es-ES_tradnl"/>
        </w:rPr>
        <w:t>Información y bases de datos</w:t>
      </w:r>
      <w:bookmarkEnd w:id="32"/>
    </w:p>
    <w:p w:rsidR="00273DB6" w:rsidRPr="00D51062" w:rsidRDefault="00273DB6" w:rsidP="00273DB6">
      <w:pPr>
        <w:rPr>
          <w:snapToGrid w:val="0"/>
        </w:rPr>
      </w:pPr>
    </w:p>
    <w:p w:rsidR="00273DB6" w:rsidRPr="009B196C" w:rsidRDefault="008B6572" w:rsidP="00273DB6">
      <w:pPr>
        <w:pStyle w:val="Heading3"/>
        <w:rPr>
          <w:snapToGrid w:val="0"/>
          <w:lang w:val="es-ES"/>
        </w:rPr>
      </w:pPr>
      <w:bookmarkStart w:id="33" w:name="_Toc492290041"/>
      <w:r w:rsidRPr="008B6572">
        <w:rPr>
          <w:snapToGrid w:val="0"/>
          <w:lang w:val="es-ES_tradnl"/>
        </w:rPr>
        <w:t>Bases de datos de información de la UPOV</w:t>
      </w:r>
      <w:bookmarkEnd w:id="33"/>
    </w:p>
    <w:p w:rsidR="00273DB6" w:rsidRPr="009B196C" w:rsidRDefault="00273DB6" w:rsidP="00273DB6">
      <w:pPr>
        <w:pStyle w:val="Heading3"/>
        <w:rPr>
          <w:snapToGrid w:val="0"/>
          <w:lang w:val="es-ES"/>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8B6572" w:rsidRPr="008B6572">
        <w:t>El TC examinó el documento TC/53/6.</w:t>
      </w:r>
    </w:p>
    <w:p w:rsidR="00273DB6" w:rsidRPr="00D51062" w:rsidRDefault="00273DB6" w:rsidP="00273DB6">
      <w:pPr>
        <w:rPr>
          <w:snapToGrid w:val="0"/>
        </w:rPr>
      </w:pPr>
    </w:p>
    <w:p w:rsidR="00273DB6" w:rsidRPr="009B196C" w:rsidRDefault="008B6572" w:rsidP="00273DB6">
      <w:pPr>
        <w:pStyle w:val="Heading4"/>
        <w:rPr>
          <w:lang w:val="es-ES"/>
        </w:rPr>
      </w:pPr>
      <w:r w:rsidRPr="008B6572">
        <w:rPr>
          <w:lang w:val="es-ES_tradnl"/>
        </w:rPr>
        <w:t>Base de datos GENIE</w:t>
      </w:r>
    </w:p>
    <w:p w:rsidR="00273DB6" w:rsidRPr="00D51062" w:rsidRDefault="00273DB6" w:rsidP="00273DB6">
      <w:pPr>
        <w:rPr>
          <w:snapToGrid w:val="0"/>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8B6572" w:rsidRPr="008B6572">
        <w:t>El TC tomó nota de que la Oficina de la Unión estaba elaborando un documento en el que se explicaba la estructura de los datos y las funciones de la base de datos GENIE con el fin de facilitar su mantenimiento y futuro desarrollo.</w:t>
      </w:r>
      <w:r w:rsidR="00273DB6" w:rsidRPr="00D51062">
        <w:t xml:space="preserve">  </w:t>
      </w:r>
      <w:r w:rsidR="008B6572" w:rsidRPr="008B6572">
        <w:t>Además del mantenimiento habitual</w:t>
      </w:r>
      <w:r w:rsidR="007829E4">
        <w:t xml:space="preserve">, </w:t>
      </w:r>
      <w:r w:rsidR="008B6572" w:rsidRPr="008B6572">
        <w:t>fue necesario modificar la base de datos para cargar cierto tipo de datos cuando se incluyan notas.</w:t>
      </w:r>
      <w:r w:rsidR="00273DB6" w:rsidRPr="00D51062">
        <w:t xml:space="preserve">  </w:t>
      </w:r>
      <w:r w:rsidR="008B6572" w:rsidRPr="008B6572">
        <w:t>Asimismo</w:t>
      </w:r>
      <w:r w:rsidR="007829E4">
        <w:t xml:space="preserve">, </w:t>
      </w:r>
      <w:r w:rsidR="008B6572" w:rsidRPr="008B6572">
        <w:t>era necesario mejorar la generación de informes para los documentos que se presentarán al Consejo y los comités pertinentes.</w:t>
      </w:r>
      <w:r w:rsidR="00273DB6" w:rsidRPr="00D51062">
        <w:t xml:space="preserve">  </w:t>
      </w:r>
      <w:r w:rsidR="008B6572" w:rsidRPr="008B6572">
        <w:t>Se prevé haber completado esta labor en</w:t>
      </w:r>
      <w:r w:rsidR="007829E4">
        <w:t> </w:t>
      </w:r>
      <w:r w:rsidR="007829E4" w:rsidRPr="008B6572">
        <w:t>2</w:t>
      </w:r>
      <w:r w:rsidR="008B6572" w:rsidRPr="008B6572">
        <w:t>018.</w:t>
      </w:r>
    </w:p>
    <w:p w:rsidR="00273DB6" w:rsidRPr="00D51062" w:rsidRDefault="00273DB6" w:rsidP="00273DB6">
      <w:pPr>
        <w:rPr>
          <w:snapToGrid w:val="0"/>
        </w:rPr>
      </w:pPr>
    </w:p>
    <w:p w:rsidR="00273DB6" w:rsidRPr="009B196C" w:rsidRDefault="008B6572" w:rsidP="00273DB6">
      <w:pPr>
        <w:pStyle w:val="Heading4"/>
        <w:rPr>
          <w:lang w:val="es-ES"/>
        </w:rPr>
      </w:pPr>
      <w:r w:rsidRPr="008B6572">
        <w:rPr>
          <w:lang w:val="es-ES_tradnl"/>
        </w:rPr>
        <w:t>Sistema de códigos de la UPOV</w:t>
      </w:r>
    </w:p>
    <w:p w:rsidR="00273DB6" w:rsidRPr="00D51062" w:rsidRDefault="00273DB6" w:rsidP="00273DB6">
      <w:pPr>
        <w:keepNext/>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8B6572" w:rsidRPr="008B6572">
        <w:t>El TC tomó nota de que en</w:t>
      </w:r>
      <w:r w:rsidR="007829E4">
        <w:t> </w:t>
      </w:r>
      <w:r w:rsidR="007829E4" w:rsidRPr="008B6572">
        <w:t>2</w:t>
      </w:r>
      <w:r w:rsidR="008B6572" w:rsidRPr="008B6572">
        <w:t>016 se han creado</w:t>
      </w:r>
      <w:r w:rsidR="007829E4">
        <w:t> </w:t>
      </w:r>
      <w:r w:rsidR="007829E4" w:rsidRPr="008B6572">
        <w:t>1</w:t>
      </w:r>
      <w:r w:rsidR="008B6572" w:rsidRPr="008B6572">
        <w:t>73 nuevos códigos UPOV y que la base de datos GENIE contiene un total de</w:t>
      </w:r>
      <w:r w:rsidR="007829E4">
        <w:t> </w:t>
      </w:r>
      <w:r w:rsidR="007829E4" w:rsidRPr="008B6572">
        <w:t>8</w:t>
      </w:r>
      <w:r w:rsidR="008B6572" w:rsidRPr="008B6572">
        <w:t>.149 códigos UPOV.</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F1101" w:rsidRPr="006F1101">
        <w:t>El TC tomó nota de que la Oficina de la Unión elaborará cuadros de las adiciones y modificaciones de los códigos UPOV</w:t>
      </w:r>
      <w:r w:rsidR="007829E4">
        <w:t xml:space="preserve">, </w:t>
      </w:r>
      <w:r w:rsidR="006F1101" w:rsidRPr="006F1101">
        <w:t>con el fin de que sean verificados por las autoridades competentes</w:t>
      </w:r>
      <w:r w:rsidR="007829E4">
        <w:t xml:space="preserve">, </w:t>
      </w:r>
      <w:r w:rsidR="006F1101" w:rsidRPr="006F1101">
        <w:t>para cada una de las reuniones de los TWP de 2017</w:t>
      </w:r>
      <w:r w:rsidR="007829E4">
        <w:t xml:space="preserve">, </w:t>
      </w:r>
      <w:r w:rsidR="006F1101" w:rsidRPr="006F1101">
        <w:t>según consta en el párrafo 11 del documento TC/53/6.</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6F1101" w:rsidRPr="006F1101">
        <w:t>El TC examinó la propuesta de revisar la orientación acerca del sistema de códigos de la UPOV en lo que concierne al nombre botánico principal para los híbridos intergenéricos e interespecíficos</w:t>
      </w:r>
      <w:r w:rsidR="007829E4">
        <w:t xml:space="preserve">, </w:t>
      </w:r>
      <w:r w:rsidR="006F1101" w:rsidRPr="006F1101">
        <w:t>que se expone en los párrafos</w:t>
      </w:r>
      <w:r w:rsidR="007829E4">
        <w:t> </w:t>
      </w:r>
      <w:r w:rsidR="007829E4" w:rsidRPr="006F1101">
        <w:t>1</w:t>
      </w:r>
      <w:r w:rsidR="006F1101" w:rsidRPr="006F1101">
        <w:t>2 a</w:t>
      </w:r>
      <w:r w:rsidR="007829E4">
        <w:t> </w:t>
      </w:r>
      <w:r w:rsidR="007829E4" w:rsidRPr="006F1101">
        <w:t>1</w:t>
      </w:r>
      <w:r w:rsidR="006F1101" w:rsidRPr="006F1101">
        <w:t>5 del documento TC/53/6.</w:t>
      </w:r>
      <w:r w:rsidR="00273DB6" w:rsidRPr="006F1101">
        <w:rPr>
          <w:lang w:eastAsia="ja-JP"/>
        </w:rPr>
        <w:t xml:space="preserve">  </w:t>
      </w:r>
      <w:r w:rsidR="006F1101" w:rsidRPr="006F1101">
        <w:rPr>
          <w:lang w:eastAsia="ja-JP"/>
        </w:rPr>
        <w:t>El TC tomó nota de que los distintos miembros de la Unión aplican procedimientos diferentes y convino en que no sería conveniente revisar la orientación acerca del sistema de códigos de la UPOV en lo que respecta al nombre botánico principal de los híbridos intergenéricos e interespecíficos.</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6F1101" w:rsidRPr="006F1101">
        <w:t>El TC tomó nota de que</w:t>
      </w:r>
      <w:r w:rsidR="007829E4">
        <w:t xml:space="preserve">, </w:t>
      </w:r>
      <w:r w:rsidR="006F1101" w:rsidRPr="006F1101">
        <w:t>con el fin de evitar cualquier interpretación errónea</w:t>
      </w:r>
      <w:r w:rsidR="007829E4">
        <w:t xml:space="preserve">, </w:t>
      </w:r>
      <w:r w:rsidR="006F1101" w:rsidRPr="006F1101">
        <w:t>la OCVV indicará claramente que la información proporcionada a la Oficina de la Unión está por orden alfabético.</w:t>
      </w:r>
    </w:p>
    <w:p w:rsidR="00273DB6" w:rsidRPr="00D51062" w:rsidRDefault="00273DB6" w:rsidP="00273DB6">
      <w:pPr>
        <w:rPr>
          <w:lang w:eastAsia="ja-JP"/>
        </w:rPr>
      </w:pPr>
    </w:p>
    <w:p w:rsidR="00273DB6" w:rsidRPr="009B196C" w:rsidRDefault="006F1101" w:rsidP="00273DB6">
      <w:pPr>
        <w:pStyle w:val="Heading4"/>
        <w:rPr>
          <w:lang w:val="es-ES" w:eastAsia="ja-JP"/>
        </w:rPr>
      </w:pPr>
      <w:r w:rsidRPr="006F1101">
        <w:rPr>
          <w:lang w:val="es-ES_tradnl"/>
        </w:rPr>
        <w:t>Base de datos PLUTO</w:t>
      </w:r>
    </w:p>
    <w:p w:rsidR="00273DB6" w:rsidRPr="00D51062" w:rsidRDefault="00273DB6" w:rsidP="00273DB6">
      <w:pPr>
        <w:rPr>
          <w:snapToGrid w:val="0"/>
        </w:rPr>
      </w:pPr>
    </w:p>
    <w:p w:rsidR="00273DB6" w:rsidRPr="00D51062" w:rsidRDefault="007D43C5" w:rsidP="00273DB6">
      <w:pPr>
        <w:rPr>
          <w:rFonts w:cs="Arial"/>
          <w:bCs/>
          <w:color w:val="000000"/>
          <w:lang w:eastAsia="ja-JP"/>
        </w:rPr>
      </w:pPr>
      <w:r w:rsidRPr="00D51062">
        <w:fldChar w:fldCharType="begin"/>
      </w:r>
      <w:r w:rsidR="00273DB6" w:rsidRPr="00D51062">
        <w:instrText xml:space="preserve"> AUTONUM  </w:instrText>
      </w:r>
      <w:r w:rsidRPr="00D51062">
        <w:fldChar w:fldCharType="end"/>
      </w:r>
      <w:r w:rsidR="00273DB6" w:rsidRPr="00D51062">
        <w:tab/>
      </w:r>
      <w:r w:rsidR="006F1101" w:rsidRPr="006F1101">
        <w:t>El TC tomó nota del resumen de las contribuciones realizadas a la base de datos PLUTO entre</w:t>
      </w:r>
      <w:r w:rsidR="007829E4">
        <w:t> </w:t>
      </w:r>
      <w:r w:rsidR="007829E4" w:rsidRPr="006F1101">
        <w:t>2</w:t>
      </w:r>
      <w:r w:rsidR="006F1101" w:rsidRPr="006F1101">
        <w:t>013 y 2016 y sobre la situación actual de los miembros de la Unión en lo que respecta a la aportación de datos</w:t>
      </w:r>
      <w:r w:rsidR="007829E4">
        <w:t xml:space="preserve">, </w:t>
      </w:r>
      <w:r w:rsidR="006F1101" w:rsidRPr="006F1101">
        <w:t xml:space="preserve">tal como se indica en el </w:t>
      </w:r>
      <w:r w:rsidR="00256232" w:rsidRPr="006F1101">
        <w:t>anexo</w:t>
      </w:r>
      <w:r w:rsidR="006F1101" w:rsidRPr="006F1101">
        <w:t xml:space="preserve"> del documento TC/53/6.</w:t>
      </w:r>
      <w:r w:rsidR="00273DB6" w:rsidRPr="006F1101">
        <w:rPr>
          <w:rFonts w:cs="Arial"/>
          <w:bCs/>
          <w:color w:val="000000"/>
          <w:lang w:eastAsia="ja-JP"/>
        </w:rPr>
        <w:t xml:space="preserve">  </w:t>
      </w:r>
      <w:r w:rsidR="006F1101" w:rsidRPr="006F1101">
        <w:rPr>
          <w:rFonts w:cs="Arial"/>
          <w:bCs/>
          <w:color w:val="000000"/>
          <w:lang w:eastAsia="ja-JP"/>
        </w:rPr>
        <w:t>El TC tomó nota de que el 70% de los miembros de la UPOV han aportado datos a la base de datos PLUTO en</w:t>
      </w:r>
      <w:r w:rsidR="007829E4">
        <w:rPr>
          <w:rFonts w:cs="Arial"/>
          <w:bCs/>
          <w:color w:val="000000"/>
          <w:lang w:eastAsia="ja-JP"/>
        </w:rPr>
        <w:t> </w:t>
      </w:r>
      <w:r w:rsidR="007829E4" w:rsidRPr="006F1101">
        <w:rPr>
          <w:rFonts w:cs="Arial"/>
          <w:bCs/>
          <w:color w:val="000000"/>
          <w:lang w:eastAsia="ja-JP"/>
        </w:rPr>
        <w:t>2</w:t>
      </w:r>
      <w:r w:rsidR="006F1101" w:rsidRPr="006F1101">
        <w:rPr>
          <w:rFonts w:cs="Arial"/>
          <w:bCs/>
          <w:color w:val="000000"/>
          <w:lang w:eastAsia="ja-JP"/>
        </w:rPr>
        <w:t>016.</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6F1101" w:rsidRPr="006F1101">
        <w:t>El TC tomó nota de que el Grupo de trabajo sobre denominaciones de variedades (WG</w:t>
      </w:r>
      <w:r w:rsidR="006F1101" w:rsidRPr="006F1101">
        <w:noBreakHyphen/>
        <w:t>DEN)</w:t>
      </w:r>
      <w:r w:rsidR="007829E4">
        <w:t xml:space="preserve">, </w:t>
      </w:r>
      <w:r w:rsidR="006F1101" w:rsidRPr="006F1101">
        <w:t>en su primera reunión</w:t>
      </w:r>
      <w:r w:rsidR="007829E4">
        <w:t xml:space="preserve">, </w:t>
      </w:r>
      <w:r w:rsidR="006F1101" w:rsidRPr="006F1101">
        <w:t>había acordado aplazar hasta su segunda reunión</w:t>
      </w:r>
      <w:r w:rsidR="007829E4">
        <w:t xml:space="preserve">, </w:t>
      </w:r>
      <w:r w:rsidR="006F1101" w:rsidRPr="006F1101">
        <w:t>o una posterior</w:t>
      </w:r>
      <w:r w:rsidR="007829E4">
        <w:t xml:space="preserve">, </w:t>
      </w:r>
      <w:r w:rsidR="006F1101" w:rsidRPr="006F1101">
        <w:t>la labor relativa a la ampliación del contenido de la base de datos PLUTO.</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6F1101" w:rsidRPr="006F1101">
        <w:t>El TC tomó nota de que el WG</w:t>
      </w:r>
      <w:r w:rsidR="006F1101" w:rsidRPr="006F1101">
        <w:noBreakHyphen/>
        <w:t>DEN</w:t>
      </w:r>
      <w:r w:rsidR="007829E4">
        <w:t xml:space="preserve">, </w:t>
      </w:r>
      <w:r w:rsidR="006F1101" w:rsidRPr="006F1101">
        <w:t>en su segunda reunión</w:t>
      </w:r>
      <w:r w:rsidR="007829E4">
        <w:t xml:space="preserve">, </w:t>
      </w:r>
      <w:r w:rsidR="006F1101" w:rsidRPr="006F1101">
        <w:t>acordó que las cuestiones que no pudo examinar en esa reunión se examinarían en su tercera reunión sobre la base del documento presentado en la segunda reunión.</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6F1101" w:rsidRPr="006F1101">
        <w:t>El TC tomó nota de que se preveía celebrar la tercera reunión del WG</w:t>
      </w:r>
      <w:r w:rsidR="006F1101" w:rsidRPr="006F1101">
        <w:noBreakHyphen/>
        <w:t>DEN en Ginebra el</w:t>
      </w:r>
      <w:r w:rsidR="007829E4">
        <w:t> </w:t>
      </w:r>
      <w:r w:rsidR="007829E4" w:rsidRPr="006F1101">
        <w:t>7</w:t>
      </w:r>
      <w:r w:rsidR="006F1101" w:rsidRPr="006F1101">
        <w:t xml:space="preserve"> de abril de</w:t>
      </w:r>
      <w:r w:rsidR="007829E4">
        <w:t> </w:t>
      </w:r>
      <w:r w:rsidR="007829E4" w:rsidRPr="006F1101">
        <w:t>2</w:t>
      </w:r>
      <w:r w:rsidR="006F1101" w:rsidRPr="006F1101">
        <w:t>017.</w:t>
      </w:r>
    </w:p>
    <w:p w:rsidR="00273DB6" w:rsidRPr="00D51062" w:rsidRDefault="00273DB6" w:rsidP="00273DB6">
      <w:pPr>
        <w:rPr>
          <w:lang w:eastAsia="ja-JP"/>
        </w:rPr>
      </w:pPr>
    </w:p>
    <w:p w:rsidR="00273DB6" w:rsidRPr="00D51062" w:rsidRDefault="00273DB6" w:rsidP="00273DB6">
      <w:pPr>
        <w:rPr>
          <w:snapToGrid w:val="0"/>
        </w:rPr>
      </w:pPr>
    </w:p>
    <w:p w:rsidR="00273DB6" w:rsidRPr="009B196C" w:rsidRDefault="006F1101" w:rsidP="00273DB6">
      <w:pPr>
        <w:pStyle w:val="Heading3"/>
        <w:rPr>
          <w:lang w:val="es-ES"/>
        </w:rPr>
      </w:pPr>
      <w:bookmarkStart w:id="34" w:name="_Toc492290042"/>
      <w:r w:rsidRPr="006F1101">
        <w:rPr>
          <w:snapToGrid w:val="0"/>
          <w:lang w:val="es-ES_tradnl"/>
        </w:rPr>
        <w:t>Formulario electrónico de solicitud</w:t>
      </w:r>
      <w:bookmarkEnd w:id="34"/>
    </w:p>
    <w:p w:rsidR="00273DB6" w:rsidRPr="00D51062" w:rsidRDefault="00273DB6" w:rsidP="00273DB6">
      <w:pPr>
        <w:keepNext/>
      </w:pPr>
    </w:p>
    <w:p w:rsidR="00273DB6" w:rsidRPr="00D51062" w:rsidRDefault="007D43C5" w:rsidP="00273DB6">
      <w:r w:rsidRPr="00D51062">
        <w:rPr>
          <w:snapToGrid w:val="0"/>
        </w:rPr>
        <w:fldChar w:fldCharType="begin"/>
      </w:r>
      <w:r w:rsidR="00273DB6" w:rsidRPr="00D51062">
        <w:rPr>
          <w:snapToGrid w:val="0"/>
        </w:rPr>
        <w:instrText xml:space="preserve"> AUTONUM  </w:instrText>
      </w:r>
      <w:r w:rsidRPr="00D51062">
        <w:rPr>
          <w:snapToGrid w:val="0"/>
        </w:rPr>
        <w:fldChar w:fldCharType="end"/>
      </w:r>
      <w:r w:rsidR="00273DB6" w:rsidRPr="00D51062">
        <w:rPr>
          <w:snapToGrid w:val="0"/>
        </w:rPr>
        <w:tab/>
      </w:r>
      <w:r w:rsidR="00B2032B" w:rsidRPr="004A6041">
        <w:rPr>
          <w:snapToGrid w:val="0"/>
        </w:rPr>
        <w:t>El TC tomó nota de las novedades relativas al formulario electrónico de solicitud según se expone en el documento TC/53/7.</w:t>
      </w:r>
      <w:r w:rsidR="00273DB6" w:rsidRPr="00B2032B">
        <w:rPr>
          <w:snapToGrid w:val="0"/>
        </w:rPr>
        <w:t xml:space="preserve"> </w:t>
      </w:r>
      <w:r w:rsidR="004A6041" w:rsidRPr="004A6041">
        <w:rPr>
          <w:snapToGrid w:val="0"/>
        </w:rPr>
        <w:t>El TC tomó nota de que la versión</w:t>
      </w:r>
      <w:r w:rsidR="007829E4">
        <w:rPr>
          <w:snapToGrid w:val="0"/>
        </w:rPr>
        <w:t> </w:t>
      </w:r>
      <w:r w:rsidR="007829E4" w:rsidRPr="004A6041">
        <w:rPr>
          <w:snapToGrid w:val="0"/>
        </w:rPr>
        <w:t>1</w:t>
      </w:r>
      <w:r w:rsidR="004A6041" w:rsidRPr="004A6041">
        <w:rPr>
          <w:snapToGrid w:val="0"/>
        </w:rPr>
        <w:t>.0 del formulario electrónico de solicitud (EAF) se había puesto en funcionamiento en</w:t>
      </w:r>
      <w:r w:rsidR="007829E4">
        <w:rPr>
          <w:snapToGrid w:val="0"/>
        </w:rPr>
        <w:t> </w:t>
      </w:r>
      <w:r w:rsidR="007829E4" w:rsidRPr="004A6041">
        <w:rPr>
          <w:snapToGrid w:val="0"/>
        </w:rPr>
        <w:t>2</w:t>
      </w:r>
      <w:r w:rsidR="004A6041" w:rsidRPr="004A6041">
        <w:rPr>
          <w:snapToGrid w:val="0"/>
        </w:rPr>
        <w:t>017 (puede consultarse en la dirección:</w:t>
      </w:r>
      <w:r w:rsidR="00273DB6" w:rsidRPr="00D51062">
        <w:rPr>
          <w:snapToGrid w:val="0"/>
        </w:rPr>
        <w:t xml:space="preserve"> </w:t>
      </w:r>
      <w:hyperlink r:id="rId9" w:history="1">
        <w:r w:rsidR="00273DB6" w:rsidRPr="00D51062">
          <w:rPr>
            <w:rStyle w:val="Hyperlink"/>
          </w:rPr>
          <w:t>http://www.upov.int/upoveaf</w:t>
        </w:r>
      </w:hyperlink>
      <w:r w:rsidR="00273DB6" w:rsidRPr="00D51062">
        <w:t>)</w:t>
      </w:r>
      <w:r w:rsidR="00273DB6">
        <w:t>.</w:t>
      </w:r>
    </w:p>
    <w:p w:rsidR="00273DB6" w:rsidRPr="00D51062" w:rsidRDefault="00273DB6" w:rsidP="00273DB6"/>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4A6041" w:rsidRPr="006A6020">
        <w:t>El TC tomó nota de que en la novena reunión sobre la elaboración de un prototipo de formulario electrónico (“reunión EAF/9”)</w:t>
      </w:r>
      <w:r w:rsidR="007829E4">
        <w:t xml:space="preserve">, </w:t>
      </w:r>
      <w:r w:rsidR="004A6041" w:rsidRPr="006A6020">
        <w:t>prevista para el</w:t>
      </w:r>
      <w:r w:rsidR="007829E4">
        <w:t> </w:t>
      </w:r>
      <w:r w:rsidR="007829E4" w:rsidRPr="006A6020">
        <w:t>7</w:t>
      </w:r>
      <w:r w:rsidR="004A6041" w:rsidRPr="006A6020">
        <w:t xml:space="preserve"> de abril de</w:t>
      </w:r>
      <w:r w:rsidR="007829E4">
        <w:t> </w:t>
      </w:r>
      <w:r w:rsidR="007829E4" w:rsidRPr="006A6020">
        <w:t>2</w:t>
      </w:r>
      <w:r w:rsidR="004A6041" w:rsidRPr="006A6020">
        <w:t>017</w:t>
      </w:r>
      <w:r w:rsidR="007829E4">
        <w:t xml:space="preserve">, </w:t>
      </w:r>
      <w:r w:rsidR="004A6041" w:rsidRPr="006A6020">
        <w:t>se debatirían los planes de nuevas funciones y de la puesta en funcionamiento de las futuras versiones y</w:t>
      </w:r>
      <w:r w:rsidR="007829E4">
        <w:t xml:space="preserve">, </w:t>
      </w:r>
      <w:r w:rsidR="004A6041" w:rsidRPr="006A6020">
        <w:t>en especial:</w:t>
      </w:r>
      <w:r w:rsidR="00273DB6" w:rsidRPr="00D51062">
        <w:t xml:space="preserve"> </w:t>
      </w:r>
      <w:r w:rsidR="006A6020" w:rsidRPr="006A6020">
        <w:t>la estrategia para añadir nuevos cultivos y especies</w:t>
      </w:r>
      <w:r w:rsidR="007829E4">
        <w:t xml:space="preserve">, </w:t>
      </w:r>
      <w:r w:rsidR="006A6020" w:rsidRPr="006A6020">
        <w:t>el plan para dar a conocer y apoyar al EAF</w:t>
      </w:r>
      <w:r w:rsidR="007829E4">
        <w:t xml:space="preserve">, </w:t>
      </w:r>
      <w:r w:rsidR="006A6020" w:rsidRPr="006A6020">
        <w:t>la propuesta de un nuevo nombre para el EAF</w:t>
      </w:r>
      <w:r w:rsidR="007829E4">
        <w:t xml:space="preserve">, </w:t>
      </w:r>
      <w:r w:rsidR="006A6020" w:rsidRPr="006A6020">
        <w:t>la participación de los miembros de la Unión en el EAF y calendario propuesto para el EAF.</w:t>
      </w:r>
    </w:p>
    <w:p w:rsidR="00273DB6" w:rsidRPr="00D51062" w:rsidRDefault="00273DB6" w:rsidP="00273DB6">
      <w:pPr>
        <w:rPr>
          <w:snapToGrid w:val="0"/>
        </w:rPr>
      </w:pPr>
    </w:p>
    <w:p w:rsidR="00273DB6" w:rsidRPr="00D51062" w:rsidRDefault="00273DB6" w:rsidP="00273DB6">
      <w:pPr>
        <w:rPr>
          <w:snapToGrid w:val="0"/>
        </w:rPr>
      </w:pPr>
    </w:p>
    <w:p w:rsidR="00273DB6" w:rsidRPr="009B196C" w:rsidRDefault="006A6020" w:rsidP="00273DB6">
      <w:pPr>
        <w:pStyle w:val="Heading3"/>
        <w:rPr>
          <w:snapToGrid w:val="0"/>
          <w:lang w:val="es-ES"/>
        </w:rPr>
      </w:pPr>
      <w:bookmarkStart w:id="35" w:name="_Toc492290043"/>
      <w:r w:rsidRPr="006A6020">
        <w:rPr>
          <w:snapToGrid w:val="0"/>
          <w:lang w:val="es-ES_tradnl"/>
        </w:rPr>
        <w:t>Intercambio y uso de programas informáticos y equipos</w:t>
      </w:r>
      <w:bookmarkEnd w:id="35"/>
      <w:r w:rsidR="00273DB6" w:rsidRPr="009B196C">
        <w:rPr>
          <w:snapToGrid w:val="0"/>
          <w:lang w:val="es-ES"/>
        </w:rPr>
        <w:t xml:space="preserve"> </w:t>
      </w:r>
    </w:p>
    <w:p w:rsidR="00273DB6" w:rsidRPr="00D51062" w:rsidRDefault="00273DB6" w:rsidP="00273DB6">
      <w:pPr>
        <w:rPr>
          <w:snapToGrid w:val="0"/>
        </w:rPr>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6A6020" w:rsidRPr="006A6020">
        <w:rPr>
          <w:snapToGrid w:val="0"/>
        </w:rPr>
        <w:t>El TC examinó el documento TC/53/8.</w:t>
      </w:r>
    </w:p>
    <w:p w:rsidR="00273DB6" w:rsidRPr="00D51062" w:rsidRDefault="00273DB6" w:rsidP="00273DB6">
      <w:pPr>
        <w:rPr>
          <w:snapToGrid w:val="0"/>
        </w:rPr>
      </w:pPr>
    </w:p>
    <w:p w:rsidR="00273DB6" w:rsidRPr="00D51062" w:rsidRDefault="007D43C5" w:rsidP="00273DB6">
      <w:pPr>
        <w:rPr>
          <w:rFonts w:eastAsia="MS Mincho"/>
          <w:snapToGrid w:val="0"/>
          <w:lang w:eastAsia="ja-JP"/>
        </w:rPr>
      </w:pPr>
      <w:r w:rsidRPr="00D51062">
        <w:fldChar w:fldCharType="begin"/>
      </w:r>
      <w:r w:rsidR="00273DB6" w:rsidRPr="00D51062">
        <w:instrText xml:space="preserve"> AUTONUM  </w:instrText>
      </w:r>
      <w:r w:rsidRPr="00D51062">
        <w:fldChar w:fldCharType="end"/>
      </w:r>
      <w:r w:rsidR="00273DB6" w:rsidRPr="00D51062">
        <w:tab/>
      </w:r>
      <w:r w:rsidR="006A6020" w:rsidRPr="006A6020">
        <w:t>El TC tomó nota de que</w:t>
      </w:r>
      <w:r w:rsidR="007829E4">
        <w:t xml:space="preserve">, </w:t>
      </w:r>
      <w:r w:rsidR="006A6020" w:rsidRPr="006A6020">
        <w:t>en su quincuagésima sesión ordinaria celebrada en Ginebra el</w:t>
      </w:r>
      <w:r w:rsidR="007829E4">
        <w:t> </w:t>
      </w:r>
      <w:r w:rsidR="007829E4" w:rsidRPr="006A6020">
        <w:t>2</w:t>
      </w:r>
      <w:r w:rsidR="006A6020" w:rsidRPr="006A6020">
        <w:t>8 de octubre de 2016</w:t>
      </w:r>
      <w:r w:rsidR="007829E4">
        <w:t xml:space="preserve">, </w:t>
      </w:r>
      <w:r w:rsidR="006A6020" w:rsidRPr="006A6020">
        <w:t>el Consejo había aprobado el documento UPOV/INF/16/6 “Programas informáticos para intercambio”.</w:t>
      </w:r>
    </w:p>
    <w:p w:rsidR="00273DB6" w:rsidRPr="00D51062" w:rsidRDefault="00273DB6" w:rsidP="00273DB6">
      <w:pPr>
        <w:rPr>
          <w:rFonts w:eastAsia="MS Mincho"/>
          <w:snapToGrid w:val="0"/>
          <w:lang w:eastAsia="ja-JP"/>
        </w:rPr>
      </w:pPr>
    </w:p>
    <w:p w:rsidR="00273DB6" w:rsidRPr="00D51062" w:rsidRDefault="007D43C5" w:rsidP="00273DB6">
      <w:pPr>
        <w:rPr>
          <w:rFonts w:eastAsia="MS Mincho"/>
          <w:snapToGrid w:val="0"/>
          <w:lang w:eastAsia="ja-JP"/>
        </w:rPr>
      </w:pPr>
      <w:r w:rsidRPr="00D51062">
        <w:rPr>
          <w:rFonts w:eastAsia="MS Mincho"/>
          <w:snapToGrid w:val="0"/>
          <w:lang w:eastAsia="ja-JP"/>
        </w:rPr>
        <w:fldChar w:fldCharType="begin"/>
      </w:r>
      <w:r w:rsidR="00273DB6" w:rsidRPr="00D51062">
        <w:rPr>
          <w:rFonts w:eastAsia="MS Mincho"/>
          <w:snapToGrid w:val="0"/>
          <w:lang w:eastAsia="ja-JP"/>
        </w:rPr>
        <w:instrText xml:space="preserve"> AUTONUM  </w:instrText>
      </w:r>
      <w:r w:rsidRPr="00D51062">
        <w:rPr>
          <w:rFonts w:eastAsia="MS Mincho"/>
          <w:snapToGrid w:val="0"/>
          <w:lang w:eastAsia="ja-JP"/>
        </w:rPr>
        <w:fldChar w:fldCharType="end"/>
      </w:r>
      <w:r w:rsidR="00273DB6" w:rsidRPr="00D51062">
        <w:rPr>
          <w:rFonts w:eastAsia="MS Mincho"/>
          <w:snapToGrid w:val="0"/>
          <w:lang w:eastAsia="ja-JP"/>
        </w:rPr>
        <w:tab/>
      </w:r>
      <w:r w:rsidR="006A6020" w:rsidRPr="006A6020">
        <w:rPr>
          <w:rFonts w:eastAsia="MS Mincho"/>
          <w:snapToGrid w:val="0"/>
          <w:lang w:eastAsia="ja-JP"/>
        </w:rPr>
        <w:t>El TC tomó nota de la eliminación del programa informático SIVAVE del documento UPOV/INF/16.</w:t>
      </w:r>
    </w:p>
    <w:p w:rsidR="00273DB6" w:rsidRPr="00D51062" w:rsidRDefault="00273DB6" w:rsidP="00273DB6">
      <w:pPr>
        <w:rPr>
          <w:rFonts w:eastAsia="MS Mincho"/>
          <w:snapToGrid w:val="0"/>
          <w:lang w:eastAsia="ja-JP"/>
        </w:rPr>
      </w:pPr>
    </w:p>
    <w:p w:rsidR="00273DB6" w:rsidRPr="00D51062" w:rsidRDefault="007D43C5" w:rsidP="00273DB6">
      <w:pPr>
        <w:rPr>
          <w:rFonts w:eastAsia="MS Mincho"/>
          <w:snapToGrid w:val="0"/>
          <w:lang w:eastAsia="ja-JP"/>
        </w:rPr>
      </w:pPr>
      <w:r w:rsidRPr="00D51062">
        <w:rPr>
          <w:rFonts w:eastAsia="MS Mincho"/>
          <w:snapToGrid w:val="0"/>
          <w:lang w:eastAsia="ja-JP"/>
        </w:rPr>
        <w:fldChar w:fldCharType="begin"/>
      </w:r>
      <w:r w:rsidR="00273DB6" w:rsidRPr="00D51062">
        <w:rPr>
          <w:rFonts w:eastAsia="MS Mincho"/>
          <w:snapToGrid w:val="0"/>
          <w:lang w:eastAsia="ja-JP"/>
        </w:rPr>
        <w:instrText xml:space="preserve"> AUTONUM  </w:instrText>
      </w:r>
      <w:r w:rsidRPr="00D51062">
        <w:rPr>
          <w:rFonts w:eastAsia="MS Mincho"/>
          <w:snapToGrid w:val="0"/>
          <w:lang w:eastAsia="ja-JP"/>
        </w:rPr>
        <w:fldChar w:fldCharType="end"/>
      </w:r>
      <w:r w:rsidR="00273DB6" w:rsidRPr="00D51062">
        <w:rPr>
          <w:rFonts w:eastAsia="MS Mincho"/>
          <w:snapToGrid w:val="0"/>
          <w:lang w:eastAsia="ja-JP"/>
        </w:rPr>
        <w:tab/>
      </w:r>
      <w:r w:rsidR="006A6020" w:rsidRPr="006A6020">
        <w:rPr>
          <w:rFonts w:eastAsia="MS Mincho"/>
          <w:snapToGrid w:val="0"/>
          <w:lang w:eastAsia="ja-JP"/>
        </w:rPr>
        <w:t>El TC examinó la propuesta de revisión del documento UPOV/INF/16/6 en lo relativo a la inclusión de información sobre el uso de programas informáticos por los miembros de la Unión</w:t>
      </w:r>
      <w:r w:rsidR="007829E4">
        <w:rPr>
          <w:rFonts w:eastAsia="MS Mincho"/>
          <w:snapToGrid w:val="0"/>
          <w:lang w:eastAsia="ja-JP"/>
        </w:rPr>
        <w:t xml:space="preserve">, </w:t>
      </w:r>
      <w:r w:rsidR="006A6020" w:rsidRPr="006A6020">
        <w:rPr>
          <w:rFonts w:eastAsia="MS Mincho"/>
          <w:snapToGrid w:val="0"/>
          <w:lang w:eastAsia="ja-JP"/>
        </w:rPr>
        <w:t>con información facilitada por el Brasil y México</w:t>
      </w:r>
      <w:r w:rsidR="007829E4">
        <w:rPr>
          <w:rFonts w:eastAsia="MS Mincho"/>
          <w:snapToGrid w:val="0"/>
          <w:lang w:eastAsia="ja-JP"/>
        </w:rPr>
        <w:t xml:space="preserve">, </w:t>
      </w:r>
      <w:r w:rsidR="006A6020" w:rsidRPr="006A6020">
        <w:rPr>
          <w:rFonts w:eastAsia="MS Mincho"/>
          <w:snapToGrid w:val="0"/>
          <w:lang w:eastAsia="ja-JP"/>
        </w:rPr>
        <w:t xml:space="preserve">según se expone en el </w:t>
      </w:r>
      <w:r w:rsidR="00256232" w:rsidRPr="006A6020">
        <w:rPr>
          <w:rFonts w:eastAsia="MS Mincho"/>
          <w:snapToGrid w:val="0"/>
          <w:lang w:eastAsia="ja-JP"/>
        </w:rPr>
        <w:t>anexo</w:t>
      </w:r>
      <w:r w:rsidR="006A6020" w:rsidRPr="006A6020">
        <w:rPr>
          <w:rFonts w:eastAsia="MS Mincho"/>
          <w:snapToGrid w:val="0"/>
          <w:lang w:eastAsia="ja-JP"/>
        </w:rPr>
        <w:t> I del documento TC/53/8.</w:t>
      </w:r>
    </w:p>
    <w:p w:rsidR="00273DB6" w:rsidRPr="00D51062" w:rsidRDefault="00273DB6" w:rsidP="00273DB6">
      <w:pPr>
        <w:rPr>
          <w:rFonts w:eastAsia="MS Mincho"/>
          <w:snapToGrid w:val="0"/>
          <w:lang w:eastAsia="ja-JP"/>
        </w:rPr>
      </w:pPr>
    </w:p>
    <w:p w:rsidR="00273DB6" w:rsidRPr="00D51062" w:rsidRDefault="007D43C5" w:rsidP="00273DB6">
      <w:pPr>
        <w:rPr>
          <w:rFonts w:eastAsia="MS Mincho"/>
          <w:snapToGrid w:val="0"/>
          <w:lang w:eastAsia="ja-JP"/>
        </w:rPr>
      </w:pPr>
      <w:r w:rsidRPr="00D51062">
        <w:rPr>
          <w:rFonts w:eastAsia="MS Mincho"/>
          <w:snapToGrid w:val="0"/>
          <w:lang w:eastAsia="ja-JP"/>
        </w:rPr>
        <w:fldChar w:fldCharType="begin"/>
      </w:r>
      <w:r w:rsidR="00273DB6" w:rsidRPr="00D51062">
        <w:rPr>
          <w:rFonts w:eastAsia="MS Mincho"/>
          <w:snapToGrid w:val="0"/>
          <w:lang w:eastAsia="ja-JP"/>
        </w:rPr>
        <w:instrText xml:space="preserve"> AUTONUM  </w:instrText>
      </w:r>
      <w:r w:rsidRPr="00D51062">
        <w:rPr>
          <w:rFonts w:eastAsia="MS Mincho"/>
          <w:snapToGrid w:val="0"/>
          <w:lang w:eastAsia="ja-JP"/>
        </w:rPr>
        <w:fldChar w:fldCharType="end"/>
      </w:r>
      <w:r w:rsidR="00273DB6" w:rsidRPr="00D51062">
        <w:rPr>
          <w:rFonts w:eastAsia="MS Mincho"/>
          <w:snapToGrid w:val="0"/>
          <w:lang w:eastAsia="ja-JP"/>
        </w:rPr>
        <w:tab/>
      </w:r>
      <w:r w:rsidR="006A6020" w:rsidRPr="009C4A6D">
        <w:rPr>
          <w:rFonts w:eastAsia="MS Mincho"/>
          <w:snapToGrid w:val="0"/>
          <w:lang w:eastAsia="ja-JP"/>
        </w:rPr>
        <w:t>El TC tomó nota de que las observaciones realizadas por el TC</w:t>
      </w:r>
      <w:r w:rsidR="007829E4">
        <w:rPr>
          <w:rFonts w:eastAsia="MS Mincho"/>
          <w:snapToGrid w:val="0"/>
          <w:lang w:eastAsia="ja-JP"/>
        </w:rPr>
        <w:t xml:space="preserve">, </w:t>
      </w:r>
      <w:r w:rsidR="006A6020" w:rsidRPr="009C4A6D">
        <w:rPr>
          <w:rFonts w:eastAsia="MS Mincho"/>
          <w:snapToGrid w:val="0"/>
          <w:lang w:eastAsia="ja-JP"/>
        </w:rPr>
        <w:t>en su quincuagésima tercera sesión</w:t>
      </w:r>
      <w:r w:rsidR="007829E4">
        <w:rPr>
          <w:rFonts w:eastAsia="MS Mincho"/>
          <w:snapToGrid w:val="0"/>
          <w:lang w:eastAsia="ja-JP"/>
        </w:rPr>
        <w:t xml:space="preserve">, </w:t>
      </w:r>
      <w:r w:rsidR="006A6020" w:rsidRPr="009C4A6D">
        <w:rPr>
          <w:rFonts w:eastAsia="MS Mincho"/>
          <w:snapToGrid w:val="0"/>
          <w:lang w:eastAsia="ja-JP"/>
        </w:rPr>
        <w:t>relativas a la exclusión y el uso de programas informáticos por los miembros de la Unión</w:t>
      </w:r>
      <w:r w:rsidR="007829E4">
        <w:rPr>
          <w:rFonts w:eastAsia="MS Mincho"/>
          <w:snapToGrid w:val="0"/>
          <w:lang w:eastAsia="ja-JP"/>
        </w:rPr>
        <w:t xml:space="preserve">, </w:t>
      </w:r>
      <w:r w:rsidR="006A6020" w:rsidRPr="009C4A6D">
        <w:rPr>
          <w:rFonts w:eastAsia="MS Mincho"/>
          <w:snapToGrid w:val="0"/>
          <w:lang w:eastAsia="ja-JP"/>
        </w:rPr>
        <w:t>se notificarían al CAJ en su septuagésima cuarta sesión que se celebrará en Ginebra en octubre de</w:t>
      </w:r>
      <w:r w:rsidR="007829E4">
        <w:rPr>
          <w:rFonts w:eastAsia="MS Mincho"/>
          <w:snapToGrid w:val="0"/>
          <w:lang w:eastAsia="ja-JP"/>
        </w:rPr>
        <w:t> </w:t>
      </w:r>
      <w:r w:rsidR="007829E4" w:rsidRPr="009C4A6D">
        <w:rPr>
          <w:rFonts w:eastAsia="MS Mincho"/>
          <w:snapToGrid w:val="0"/>
          <w:lang w:eastAsia="ja-JP"/>
        </w:rPr>
        <w:t>2</w:t>
      </w:r>
      <w:r w:rsidR="006A6020" w:rsidRPr="009C4A6D">
        <w:rPr>
          <w:rFonts w:eastAsia="MS Mincho"/>
          <w:snapToGrid w:val="0"/>
          <w:lang w:eastAsia="ja-JP"/>
        </w:rPr>
        <w:t>017 y</w:t>
      </w:r>
      <w:r w:rsidR="007829E4">
        <w:rPr>
          <w:rFonts w:eastAsia="MS Mincho"/>
          <w:snapToGrid w:val="0"/>
          <w:lang w:eastAsia="ja-JP"/>
        </w:rPr>
        <w:t xml:space="preserve">, </w:t>
      </w:r>
      <w:r w:rsidR="006A6020" w:rsidRPr="009C4A6D">
        <w:rPr>
          <w:rFonts w:eastAsia="MS Mincho"/>
          <w:snapToGrid w:val="0"/>
          <w:lang w:eastAsia="ja-JP"/>
        </w:rPr>
        <w:t>si el CAJ lo estimara oportuno</w:t>
      </w:r>
      <w:r w:rsidR="007829E4">
        <w:rPr>
          <w:rFonts w:eastAsia="MS Mincho"/>
          <w:snapToGrid w:val="0"/>
          <w:lang w:eastAsia="ja-JP"/>
        </w:rPr>
        <w:t xml:space="preserve">, </w:t>
      </w:r>
      <w:r w:rsidR="006A6020" w:rsidRPr="009C4A6D">
        <w:rPr>
          <w:rFonts w:eastAsia="MS Mincho"/>
          <w:snapToGrid w:val="0"/>
          <w:lang w:eastAsia="ja-JP"/>
        </w:rPr>
        <w:t>se presentaría un proyecto de documento UPOV/INF/16/7 al Consejo para que considere su aprobación en su quincuagésima primera sesión ordinaria</w:t>
      </w:r>
      <w:r w:rsidR="007829E4">
        <w:rPr>
          <w:rFonts w:eastAsia="MS Mincho"/>
          <w:snapToGrid w:val="0"/>
          <w:lang w:eastAsia="ja-JP"/>
        </w:rPr>
        <w:t xml:space="preserve">, </w:t>
      </w:r>
      <w:r w:rsidR="006A6020" w:rsidRPr="009C4A6D">
        <w:rPr>
          <w:rFonts w:eastAsia="MS Mincho"/>
          <w:snapToGrid w:val="0"/>
          <w:lang w:eastAsia="ja-JP"/>
        </w:rPr>
        <w:t>que se celebrará el</w:t>
      </w:r>
      <w:r w:rsidR="007829E4">
        <w:rPr>
          <w:rFonts w:eastAsia="MS Mincho"/>
          <w:snapToGrid w:val="0"/>
          <w:lang w:eastAsia="ja-JP"/>
        </w:rPr>
        <w:t> </w:t>
      </w:r>
      <w:r w:rsidR="007829E4" w:rsidRPr="009C4A6D">
        <w:rPr>
          <w:rFonts w:eastAsia="MS Mincho"/>
          <w:snapToGrid w:val="0"/>
          <w:lang w:eastAsia="ja-JP"/>
        </w:rPr>
        <w:t>2</w:t>
      </w:r>
      <w:r w:rsidR="006A6020" w:rsidRPr="009C4A6D">
        <w:rPr>
          <w:rFonts w:eastAsia="MS Mincho"/>
          <w:snapToGrid w:val="0"/>
          <w:lang w:eastAsia="ja-JP"/>
        </w:rPr>
        <w:t>6 de octubre de 2017</w:t>
      </w:r>
      <w:r w:rsidR="007829E4">
        <w:rPr>
          <w:rFonts w:eastAsia="MS Mincho"/>
          <w:snapToGrid w:val="0"/>
          <w:lang w:eastAsia="ja-JP"/>
        </w:rPr>
        <w:t xml:space="preserve">, </w:t>
      </w:r>
      <w:r w:rsidR="006A6020" w:rsidRPr="009C4A6D">
        <w:rPr>
          <w:rFonts w:eastAsia="MS Mincho"/>
          <w:snapToGrid w:val="0"/>
          <w:lang w:eastAsia="ja-JP"/>
        </w:rPr>
        <w:t>sobre esa base.</w:t>
      </w:r>
    </w:p>
    <w:p w:rsidR="00273DB6" w:rsidRPr="00D51062" w:rsidRDefault="00273DB6" w:rsidP="00273DB6">
      <w:pPr>
        <w:rPr>
          <w:rFonts w:eastAsia="MS Mincho"/>
          <w:snapToGrid w:val="0"/>
          <w:lang w:eastAsia="ja-JP"/>
        </w:rPr>
      </w:pPr>
    </w:p>
    <w:p w:rsidR="00273DB6" w:rsidRPr="00D51062" w:rsidRDefault="007D43C5" w:rsidP="00273DB6">
      <w:pPr>
        <w:rPr>
          <w:rFonts w:eastAsia="MS Mincho"/>
          <w:snapToGrid w:val="0"/>
          <w:lang w:eastAsia="ja-JP"/>
        </w:rPr>
      </w:pPr>
      <w:r w:rsidRPr="00D51062">
        <w:rPr>
          <w:rFonts w:eastAsia="MS Mincho"/>
          <w:snapToGrid w:val="0"/>
          <w:lang w:eastAsia="ja-JP"/>
        </w:rPr>
        <w:fldChar w:fldCharType="begin"/>
      </w:r>
      <w:r w:rsidR="00273DB6" w:rsidRPr="00D51062">
        <w:rPr>
          <w:rFonts w:eastAsia="MS Mincho"/>
          <w:snapToGrid w:val="0"/>
          <w:lang w:eastAsia="ja-JP"/>
        </w:rPr>
        <w:instrText xml:space="preserve"> AUTONUM  </w:instrText>
      </w:r>
      <w:r w:rsidRPr="00D51062">
        <w:rPr>
          <w:rFonts w:eastAsia="MS Mincho"/>
          <w:snapToGrid w:val="0"/>
          <w:lang w:eastAsia="ja-JP"/>
        </w:rPr>
        <w:fldChar w:fldCharType="end"/>
      </w:r>
      <w:r w:rsidR="00273DB6" w:rsidRPr="00D51062">
        <w:rPr>
          <w:rFonts w:eastAsia="MS Mincho"/>
          <w:snapToGrid w:val="0"/>
          <w:lang w:eastAsia="ja-JP"/>
        </w:rPr>
        <w:tab/>
      </w:r>
      <w:r w:rsidR="009C4A6D" w:rsidRPr="009C4A6D">
        <w:rPr>
          <w:rFonts w:eastAsia="MS Mincho"/>
          <w:snapToGrid w:val="0"/>
          <w:lang w:eastAsia="ja-JP"/>
        </w:rPr>
        <w:t>El TC convino en que la información que figura en el documento UPOV/INF/16 debe ponerse a disposición en el sitio web de la UPOV con un formato susceptible de búsqueda y tomó nota de que la Oficina de la Unión estudiará un instrumento idóneo para ese fin.</w:t>
      </w:r>
    </w:p>
    <w:p w:rsidR="00273DB6" w:rsidRPr="00D51062" w:rsidRDefault="00273DB6" w:rsidP="00273DB6">
      <w:pPr>
        <w:rPr>
          <w:snapToGrid w:val="0"/>
          <w:lang w:eastAsia="ja-JP"/>
        </w:rPr>
      </w:pPr>
    </w:p>
    <w:p w:rsidR="00273DB6" w:rsidRPr="00D51062" w:rsidRDefault="007D43C5" w:rsidP="00273DB6">
      <w:pPr>
        <w:rPr>
          <w:rFonts w:eastAsia="MS Mincho"/>
          <w:snapToGrid w:val="0"/>
          <w:lang w:eastAsia="ja-JP"/>
        </w:rPr>
      </w:pPr>
      <w:r w:rsidRPr="00D51062">
        <w:rPr>
          <w:rFonts w:eastAsia="MS Mincho"/>
        </w:rPr>
        <w:fldChar w:fldCharType="begin"/>
      </w:r>
      <w:r w:rsidR="00273DB6" w:rsidRPr="00D51062">
        <w:rPr>
          <w:rFonts w:eastAsia="MS Mincho"/>
        </w:rPr>
        <w:instrText xml:space="preserve"> AUTONUM  </w:instrText>
      </w:r>
      <w:r w:rsidRPr="00D51062">
        <w:rPr>
          <w:rFonts w:eastAsia="MS Mincho"/>
        </w:rPr>
        <w:fldChar w:fldCharType="end"/>
      </w:r>
      <w:r w:rsidR="00273DB6" w:rsidRPr="00D51062">
        <w:rPr>
          <w:rFonts w:eastAsia="MS Mincho"/>
        </w:rPr>
        <w:tab/>
      </w:r>
      <w:r w:rsidR="009C4A6D" w:rsidRPr="009C4A6D">
        <w:rPr>
          <w:rFonts w:eastAsia="MS Mincho"/>
        </w:rPr>
        <w:t>El TC tomó nota de que el Consejo</w:t>
      </w:r>
      <w:r w:rsidR="007829E4">
        <w:rPr>
          <w:rFonts w:eastAsia="MS Mincho"/>
        </w:rPr>
        <w:t xml:space="preserve">, </w:t>
      </w:r>
      <w:r w:rsidR="009C4A6D" w:rsidRPr="009C4A6D">
        <w:rPr>
          <w:rFonts w:eastAsia="MS Mincho"/>
        </w:rPr>
        <w:t>en su cuadragésima novena sesión ordinaria celebrada en Ginebra el</w:t>
      </w:r>
      <w:r w:rsidR="007829E4">
        <w:rPr>
          <w:rFonts w:eastAsia="MS Mincho"/>
        </w:rPr>
        <w:t> </w:t>
      </w:r>
      <w:r w:rsidR="007829E4" w:rsidRPr="009C4A6D">
        <w:rPr>
          <w:rFonts w:eastAsia="MS Mincho"/>
        </w:rPr>
        <w:t>2</w:t>
      </w:r>
      <w:r w:rsidR="009C4A6D" w:rsidRPr="009C4A6D">
        <w:rPr>
          <w:rFonts w:eastAsia="MS Mincho"/>
        </w:rPr>
        <w:t>8 de octubre de</w:t>
      </w:r>
      <w:r w:rsidR="007829E4">
        <w:rPr>
          <w:rFonts w:eastAsia="MS Mincho"/>
        </w:rPr>
        <w:t> </w:t>
      </w:r>
      <w:r w:rsidR="007829E4" w:rsidRPr="009C4A6D">
        <w:rPr>
          <w:rFonts w:eastAsia="MS Mincho"/>
        </w:rPr>
        <w:t>2</w:t>
      </w:r>
      <w:r w:rsidR="009C4A6D" w:rsidRPr="009C4A6D">
        <w:rPr>
          <w:rFonts w:eastAsia="MS Mincho"/>
        </w:rPr>
        <w:t>016</w:t>
      </w:r>
      <w:r w:rsidR="007829E4">
        <w:rPr>
          <w:rFonts w:eastAsia="MS Mincho"/>
        </w:rPr>
        <w:t xml:space="preserve">, </w:t>
      </w:r>
      <w:r w:rsidR="009C4A6D" w:rsidRPr="009C4A6D">
        <w:rPr>
          <w:rFonts w:eastAsia="MS Mincho"/>
        </w:rPr>
        <w:t>aprobó el documento UPOV/INF/22/3 “Programas informáticos y equipos utilizados por los miembros de la Unión”.</w:t>
      </w:r>
    </w:p>
    <w:p w:rsidR="00273DB6" w:rsidRPr="00D51062" w:rsidRDefault="00273DB6" w:rsidP="00273DB6">
      <w:pPr>
        <w:rPr>
          <w:rFonts w:eastAsia="MS Mincho"/>
          <w:snapToGrid w:val="0"/>
          <w:lang w:eastAsia="ja-JP"/>
        </w:rPr>
      </w:pPr>
    </w:p>
    <w:p w:rsidR="00273DB6" w:rsidRPr="00D51062" w:rsidRDefault="007D43C5" w:rsidP="00273DB6">
      <w:pPr>
        <w:rPr>
          <w:rFonts w:eastAsia="MS Mincho"/>
          <w:snapToGrid w:val="0"/>
          <w:lang w:eastAsia="ja-JP"/>
        </w:rPr>
      </w:pPr>
      <w:r w:rsidRPr="00D51062">
        <w:rPr>
          <w:rFonts w:eastAsia="MS Mincho"/>
        </w:rPr>
        <w:fldChar w:fldCharType="begin"/>
      </w:r>
      <w:r w:rsidR="00273DB6" w:rsidRPr="00D51062">
        <w:rPr>
          <w:rFonts w:eastAsia="MS Mincho"/>
        </w:rPr>
        <w:instrText xml:space="preserve"> AUTONUM  </w:instrText>
      </w:r>
      <w:r w:rsidRPr="00D51062">
        <w:rPr>
          <w:rFonts w:eastAsia="MS Mincho"/>
        </w:rPr>
        <w:fldChar w:fldCharType="end"/>
      </w:r>
      <w:r w:rsidR="00273DB6" w:rsidRPr="00D51062">
        <w:rPr>
          <w:rFonts w:eastAsia="MS Mincho"/>
        </w:rPr>
        <w:tab/>
      </w:r>
      <w:r w:rsidR="009C4A6D" w:rsidRPr="009C4A6D">
        <w:rPr>
          <w:rFonts w:eastAsia="MS Mincho"/>
        </w:rPr>
        <w:t xml:space="preserve">El TC examinó la información que figura en el </w:t>
      </w:r>
      <w:r w:rsidR="00256232" w:rsidRPr="009C4A6D">
        <w:rPr>
          <w:rFonts w:eastAsia="MS Mincho"/>
        </w:rPr>
        <w:t>anexo</w:t>
      </w:r>
      <w:r w:rsidR="009C4A6D" w:rsidRPr="009C4A6D">
        <w:rPr>
          <w:rFonts w:eastAsia="MS Mincho"/>
        </w:rPr>
        <w:t> II del documento TC/53/8 con el objeto de incluirla en una propuesta de revisión el documento UPOV/INF/22/3 y convino en proponer las siguientes modificaciones:</w:t>
      </w:r>
    </w:p>
    <w:p w:rsidR="00273DB6" w:rsidRPr="00D51062" w:rsidRDefault="00273DB6" w:rsidP="00273DB6">
      <w:pPr>
        <w:rPr>
          <w:rFonts w:eastAsia="MS Mincho"/>
          <w:snapToGrid w:val="0"/>
          <w:lang w:eastAsia="ja-JP"/>
        </w:rPr>
      </w:pPr>
    </w:p>
    <w:tbl>
      <w:tblPr>
        <w:tblW w:w="0" w:type="auto"/>
        <w:tblLook w:val="04A0" w:firstRow="1" w:lastRow="0" w:firstColumn="1" w:lastColumn="0" w:noHBand="0" w:noVBand="1"/>
      </w:tblPr>
      <w:tblGrid>
        <w:gridCol w:w="3369"/>
        <w:gridCol w:w="6486"/>
      </w:tblGrid>
      <w:tr w:rsidR="00273DB6" w:rsidRPr="00D51062" w:rsidTr="00326F7B">
        <w:tc>
          <w:tcPr>
            <w:tcW w:w="3369" w:type="dxa"/>
          </w:tcPr>
          <w:p w:rsidR="00273DB6" w:rsidRPr="00B12482" w:rsidRDefault="00273DB6" w:rsidP="004829DF">
            <w:pPr>
              <w:keepNext/>
              <w:tabs>
                <w:tab w:val="left" w:pos="567"/>
                <w:tab w:val="left" w:pos="3969"/>
              </w:tabs>
              <w:jc w:val="left"/>
              <w:rPr>
                <w:snapToGrid w:val="0"/>
                <w:u w:val="single"/>
              </w:rPr>
            </w:pPr>
            <w:r w:rsidRPr="004829DF">
              <w:rPr>
                <w:snapToGrid w:val="0"/>
              </w:rPr>
              <w:t xml:space="preserve">c) </w:t>
            </w:r>
            <w:r w:rsidR="000361C3" w:rsidRPr="000361C3">
              <w:rPr>
                <w:snapToGrid w:val="0"/>
              </w:rPr>
              <w:t>Control de la denominación de las variedades (fila:</w:t>
            </w:r>
            <w:r>
              <w:rPr>
                <w:snapToGrid w:val="0"/>
              </w:rPr>
              <w:t xml:space="preserve"> </w:t>
            </w:r>
            <w:r w:rsidR="000361C3">
              <w:rPr>
                <w:snapToGrid w:val="0"/>
              </w:rPr>
              <w:t xml:space="preserve"> </w:t>
            </w:r>
            <w:r w:rsidR="000361C3" w:rsidRPr="000361C3">
              <w:rPr>
                <w:snapToGrid w:val="0"/>
              </w:rPr>
              <w:t>Alemania)</w:t>
            </w:r>
          </w:p>
        </w:tc>
        <w:tc>
          <w:tcPr>
            <w:tcW w:w="6486" w:type="dxa"/>
          </w:tcPr>
          <w:p w:rsidR="00273DB6" w:rsidRPr="003E24FF" w:rsidRDefault="000361C3" w:rsidP="00273DB6">
            <w:pPr>
              <w:rPr>
                <w:rFonts w:cs="Arial"/>
                <w:snapToGrid w:val="0"/>
                <w:color w:val="000000"/>
              </w:rPr>
            </w:pPr>
            <w:r w:rsidRPr="000361C3">
              <w:rPr>
                <w:rFonts w:eastAsia="MS Mincho"/>
                <w:snapToGrid w:val="0"/>
                <w:lang w:eastAsia="ja-JP"/>
              </w:rPr>
              <w:t>El texto debe ser:</w:t>
            </w:r>
            <w:r w:rsidR="00273DB6" w:rsidRPr="003E24FF">
              <w:rPr>
                <w:rFonts w:eastAsia="MS Mincho"/>
                <w:snapToGrid w:val="0"/>
                <w:lang w:eastAsia="ja-JP"/>
              </w:rPr>
              <w:t xml:space="preserve"> </w:t>
            </w:r>
            <w:r>
              <w:rPr>
                <w:rFonts w:eastAsia="MS Mincho"/>
                <w:snapToGrid w:val="0"/>
                <w:lang w:eastAsia="ja-JP"/>
              </w:rPr>
              <w:t xml:space="preserve"> </w:t>
            </w:r>
            <w:r w:rsidR="00247597" w:rsidRPr="00247597">
              <w:rPr>
                <w:color w:val="000000" w:themeColor="text1"/>
              </w:rPr>
              <w:t xml:space="preserve">“Verificación de denominaciones de variedades en los procedimientos nacionales con arreglo a las normas fonéticas </w:t>
            </w:r>
            <w:r w:rsidR="00247597" w:rsidRPr="00247597">
              <w:rPr>
                <w:strike/>
                <w:color w:val="000000" w:themeColor="text1"/>
                <w:highlight w:val="lightGray"/>
              </w:rPr>
              <w:t>como complemento del examen</w:t>
            </w:r>
            <w:r w:rsidR="00247597" w:rsidRPr="00247597">
              <w:rPr>
                <w:color w:val="000000" w:themeColor="text1"/>
              </w:rPr>
              <w:t>”</w:t>
            </w:r>
          </w:p>
          <w:p w:rsidR="00273DB6" w:rsidRPr="003E24FF" w:rsidRDefault="00273DB6" w:rsidP="00273DB6">
            <w:pPr>
              <w:rPr>
                <w:rFonts w:eastAsia="MS Mincho"/>
                <w:snapToGrid w:val="0"/>
                <w:lang w:eastAsia="ja-JP"/>
              </w:rPr>
            </w:pPr>
          </w:p>
        </w:tc>
      </w:tr>
      <w:tr w:rsidR="00273DB6" w:rsidRPr="00D51062" w:rsidTr="00326F7B">
        <w:tc>
          <w:tcPr>
            <w:tcW w:w="3369" w:type="dxa"/>
          </w:tcPr>
          <w:p w:rsidR="00273DB6" w:rsidRPr="00D51062" w:rsidRDefault="00273DB6" w:rsidP="004829DF">
            <w:pPr>
              <w:rPr>
                <w:rFonts w:eastAsia="MS Mincho"/>
                <w:snapToGrid w:val="0"/>
                <w:lang w:eastAsia="ja-JP"/>
              </w:rPr>
            </w:pPr>
            <w:r w:rsidRPr="004829DF">
              <w:rPr>
                <w:rFonts w:eastAsia="MS Mincho"/>
                <w:snapToGrid w:val="0"/>
                <w:lang w:eastAsia="ja-JP"/>
              </w:rPr>
              <w:t xml:space="preserve">f) </w:t>
            </w:r>
            <w:r w:rsidR="00247597" w:rsidRPr="00247597">
              <w:rPr>
                <w:rFonts w:eastAsia="MS Mincho"/>
                <w:snapToGrid w:val="0"/>
                <w:lang w:eastAsia="ja-JP"/>
              </w:rPr>
              <w:t>Análisis de imágenes</w:t>
            </w:r>
          </w:p>
        </w:tc>
        <w:tc>
          <w:tcPr>
            <w:tcW w:w="6486" w:type="dxa"/>
          </w:tcPr>
          <w:p w:rsidR="00273DB6" w:rsidRPr="003E24FF" w:rsidRDefault="00247597" w:rsidP="00273DB6">
            <w:pPr>
              <w:rPr>
                <w:rFonts w:eastAsia="MS Mincho"/>
                <w:snapToGrid w:val="0"/>
                <w:lang w:eastAsia="ja-JP"/>
              </w:rPr>
            </w:pPr>
            <w:r w:rsidRPr="00247597">
              <w:rPr>
                <w:rFonts w:eastAsia="MS Mincho"/>
                <w:snapToGrid w:val="0"/>
                <w:lang w:eastAsia="ja-JP"/>
              </w:rPr>
              <w:t>El texto debe ser:</w:t>
            </w:r>
            <w:r>
              <w:rPr>
                <w:rFonts w:eastAsia="MS Mincho"/>
                <w:snapToGrid w:val="0"/>
                <w:lang w:eastAsia="ja-JP"/>
              </w:rPr>
              <w:t xml:space="preserve"> </w:t>
            </w:r>
            <w:r w:rsidR="00273DB6" w:rsidRPr="003E24FF">
              <w:rPr>
                <w:rFonts w:eastAsia="MS Mincho"/>
                <w:snapToGrid w:val="0"/>
                <w:lang w:eastAsia="ja-JP"/>
              </w:rPr>
              <w:t xml:space="preserve"> </w:t>
            </w:r>
            <w:r w:rsidRPr="00247597">
              <w:rPr>
                <w:rFonts w:eastAsia="MS Mincho"/>
                <w:snapToGrid w:val="0"/>
                <w:lang w:eastAsia="ja-JP"/>
              </w:rPr>
              <w:t>“Correo electrónico:</w:t>
            </w:r>
            <w:r>
              <w:rPr>
                <w:rFonts w:eastAsia="MS Mincho"/>
                <w:snapToGrid w:val="0"/>
                <w:lang w:eastAsia="ja-JP"/>
              </w:rPr>
              <w:t xml:space="preserve"> </w:t>
            </w:r>
            <w:r w:rsidR="00273DB6" w:rsidRPr="003E24FF">
              <w:rPr>
                <w:rFonts w:eastAsia="MS Mincho"/>
                <w:snapToGrid w:val="0"/>
                <w:lang w:eastAsia="ja-JP"/>
              </w:rPr>
              <w:t xml:space="preserve"> </w:t>
            </w:r>
            <w:hyperlink r:id="rId10" w:history="1">
              <w:r w:rsidR="00273DB6" w:rsidRPr="003E24FF">
                <w:rPr>
                  <w:rStyle w:val="Hyperlink"/>
                  <w:rFonts w:eastAsia="MS Mincho"/>
                  <w:snapToGrid w:val="0"/>
                  <w:lang w:eastAsia="ja-JP"/>
                </w:rPr>
                <w:t>a.roberts@bioss.ac.uk</w:t>
              </w:r>
            </w:hyperlink>
            <w:r w:rsidR="00273DB6" w:rsidRPr="003E24FF">
              <w:rPr>
                <w:rFonts w:eastAsia="MS Mincho"/>
                <w:snapToGrid w:val="0"/>
                <w:lang w:eastAsia="ja-JP"/>
              </w:rPr>
              <w:t>”</w:t>
            </w:r>
          </w:p>
          <w:p w:rsidR="00273DB6" w:rsidRPr="003E24FF" w:rsidRDefault="00273DB6" w:rsidP="00273DB6">
            <w:pPr>
              <w:rPr>
                <w:rFonts w:eastAsia="MS Mincho"/>
                <w:snapToGrid w:val="0"/>
                <w:lang w:eastAsia="ja-JP"/>
              </w:rPr>
            </w:pPr>
          </w:p>
        </w:tc>
      </w:tr>
    </w:tbl>
    <w:p w:rsidR="00273DB6" w:rsidRPr="00D51062" w:rsidRDefault="00273DB6" w:rsidP="00273DB6">
      <w:pPr>
        <w:rPr>
          <w:rFonts w:eastAsia="MS Mincho"/>
          <w:snapToGrid w:val="0"/>
          <w:lang w:eastAsia="ja-JP"/>
        </w:rPr>
      </w:pPr>
    </w:p>
    <w:p w:rsidR="00273DB6" w:rsidRPr="00D51062" w:rsidRDefault="007D43C5" w:rsidP="00273DB6">
      <w:pPr>
        <w:rPr>
          <w:rFonts w:eastAsia="MS Mincho"/>
          <w:snapToGrid w:val="0"/>
          <w:lang w:eastAsia="ja-JP"/>
        </w:rPr>
      </w:pPr>
      <w:r w:rsidRPr="00D51062">
        <w:rPr>
          <w:rFonts w:eastAsia="MS Mincho"/>
        </w:rPr>
        <w:fldChar w:fldCharType="begin"/>
      </w:r>
      <w:r w:rsidR="00273DB6" w:rsidRPr="00D51062">
        <w:rPr>
          <w:rFonts w:eastAsia="MS Mincho"/>
        </w:rPr>
        <w:instrText xml:space="preserve"> AUTONUM  </w:instrText>
      </w:r>
      <w:r w:rsidRPr="00D51062">
        <w:rPr>
          <w:rFonts w:eastAsia="MS Mincho"/>
        </w:rPr>
        <w:fldChar w:fldCharType="end"/>
      </w:r>
      <w:r w:rsidR="00273DB6" w:rsidRPr="00D51062">
        <w:rPr>
          <w:rFonts w:eastAsia="MS Mincho"/>
        </w:rPr>
        <w:tab/>
      </w:r>
      <w:r w:rsidR="00F3736C" w:rsidRPr="00F3736C">
        <w:rPr>
          <w:rFonts w:eastAsia="MS Mincho"/>
        </w:rPr>
        <w:t>El TC convino en añadir un descargo de responsabilidad al documento UPOV/INF/22 para aclarar que la finalidad del documento es facilitar información sobre el uso de programas informáticos y equipos por los miembros de la Unión y que ni la UPOV ni la administración que aporta esa información son responsables del rendimiento de los programas informáticos y los equipos.</w:t>
      </w:r>
    </w:p>
    <w:p w:rsidR="00273DB6" w:rsidRPr="00D51062" w:rsidRDefault="00273DB6" w:rsidP="00273DB6">
      <w:pPr>
        <w:rPr>
          <w:rFonts w:eastAsia="MS Mincho"/>
          <w:snapToGrid w:val="0"/>
          <w:lang w:eastAsia="ja-JP"/>
        </w:rPr>
      </w:pPr>
    </w:p>
    <w:p w:rsidR="00273DB6" w:rsidRPr="00D51062" w:rsidRDefault="007D43C5" w:rsidP="00273DB6">
      <w:pPr>
        <w:rPr>
          <w:rFonts w:eastAsia="MS Mincho"/>
          <w:snapToGrid w:val="0"/>
          <w:lang w:eastAsia="ja-JP"/>
        </w:rPr>
      </w:pPr>
      <w:r w:rsidRPr="00D51062">
        <w:rPr>
          <w:rFonts w:eastAsia="MS Mincho"/>
        </w:rPr>
        <w:fldChar w:fldCharType="begin"/>
      </w:r>
      <w:r w:rsidR="00273DB6" w:rsidRPr="00D51062">
        <w:rPr>
          <w:rFonts w:eastAsia="MS Mincho"/>
        </w:rPr>
        <w:instrText xml:space="preserve"> AUTONUM  </w:instrText>
      </w:r>
      <w:r w:rsidRPr="00D51062">
        <w:rPr>
          <w:rFonts w:eastAsia="MS Mincho"/>
        </w:rPr>
        <w:fldChar w:fldCharType="end"/>
      </w:r>
      <w:r w:rsidR="00273DB6" w:rsidRPr="00D51062">
        <w:rPr>
          <w:rFonts w:eastAsia="MS Mincho"/>
        </w:rPr>
        <w:tab/>
      </w:r>
      <w:r w:rsidR="00F3736C" w:rsidRPr="006C4A03">
        <w:rPr>
          <w:rFonts w:eastAsia="MS Mincho"/>
        </w:rPr>
        <w:t>El TC consideró si procede presentar la información que consta en el documento UPOV/INF/22 de alguna otra forma (por ejemplo</w:t>
      </w:r>
      <w:r w:rsidR="007829E4">
        <w:rPr>
          <w:rFonts w:eastAsia="MS Mincho"/>
        </w:rPr>
        <w:t xml:space="preserve">, </w:t>
      </w:r>
      <w:r w:rsidR="00F3736C" w:rsidRPr="006C4A03">
        <w:rPr>
          <w:rFonts w:eastAsia="MS Mincho"/>
        </w:rPr>
        <w:t>publicada en Internet) y no en un documento INF y convino en que solo se debe mantener el formato del documento UPOV/INF/22 existente.</w:t>
      </w:r>
      <w:r w:rsidR="00273DB6" w:rsidRPr="00D51062">
        <w:rPr>
          <w:rFonts w:eastAsia="MS Mincho"/>
          <w:snapToGrid w:val="0"/>
          <w:lang w:eastAsia="ja-JP"/>
        </w:rPr>
        <w:t xml:space="preserve">  </w:t>
      </w:r>
    </w:p>
    <w:p w:rsidR="00273DB6" w:rsidRPr="00D51062" w:rsidRDefault="00273DB6" w:rsidP="00273DB6">
      <w:pPr>
        <w:rPr>
          <w:rFonts w:eastAsia="MS Mincho"/>
          <w:snapToGrid w:val="0"/>
          <w:lang w:eastAsia="ja-JP"/>
        </w:rPr>
      </w:pPr>
    </w:p>
    <w:p w:rsidR="00273DB6" w:rsidRPr="00D51062" w:rsidRDefault="007D43C5" w:rsidP="00273DB6">
      <w:pPr>
        <w:rPr>
          <w:rFonts w:eastAsia="MS Mincho"/>
          <w:snapToGrid w:val="0"/>
          <w:lang w:eastAsia="ja-JP"/>
        </w:rPr>
      </w:pPr>
      <w:r w:rsidRPr="00D51062">
        <w:rPr>
          <w:rFonts w:eastAsia="MS Mincho"/>
        </w:rPr>
        <w:fldChar w:fldCharType="begin"/>
      </w:r>
      <w:r w:rsidR="00273DB6" w:rsidRPr="00D51062">
        <w:rPr>
          <w:rFonts w:eastAsia="MS Mincho"/>
        </w:rPr>
        <w:instrText xml:space="preserve"> AUTONUM  </w:instrText>
      </w:r>
      <w:r w:rsidRPr="00D51062">
        <w:rPr>
          <w:rFonts w:eastAsia="MS Mincho"/>
        </w:rPr>
        <w:fldChar w:fldCharType="end"/>
      </w:r>
      <w:r w:rsidR="00273DB6" w:rsidRPr="00D51062">
        <w:rPr>
          <w:rFonts w:eastAsia="MS Mincho"/>
        </w:rPr>
        <w:tab/>
      </w:r>
      <w:r w:rsidR="006C4A03" w:rsidRPr="006C4A03">
        <w:rPr>
          <w:rFonts w:eastAsia="MS Mincho"/>
        </w:rPr>
        <w:t>El TC tomó nota de que las propuestas relativas a la revisión del documento UPOV/INF/22</w:t>
      </w:r>
      <w:r w:rsidR="007829E4">
        <w:rPr>
          <w:rFonts w:eastAsia="MS Mincho"/>
        </w:rPr>
        <w:t xml:space="preserve">, </w:t>
      </w:r>
      <w:r w:rsidR="006C4A03" w:rsidRPr="006C4A03">
        <w:rPr>
          <w:rFonts w:eastAsia="MS Mincho"/>
        </w:rPr>
        <w:t>formuladas por el TC en su quincuagésima tercera sesión</w:t>
      </w:r>
      <w:r w:rsidR="007829E4">
        <w:rPr>
          <w:rFonts w:eastAsia="MS Mincho"/>
        </w:rPr>
        <w:t xml:space="preserve">, </w:t>
      </w:r>
      <w:r w:rsidR="006C4A03" w:rsidRPr="006C4A03">
        <w:rPr>
          <w:rFonts w:eastAsia="MS Mincho"/>
        </w:rPr>
        <w:t>se notificarían al CAJ en su septuagésima cuarta sesión y</w:t>
      </w:r>
      <w:r w:rsidR="007829E4">
        <w:rPr>
          <w:rFonts w:eastAsia="MS Mincho"/>
        </w:rPr>
        <w:t xml:space="preserve">, </w:t>
      </w:r>
      <w:r w:rsidR="006C4A03" w:rsidRPr="006C4A03">
        <w:rPr>
          <w:rFonts w:eastAsia="MS Mincho"/>
        </w:rPr>
        <w:t>si el CAJ lo estimara oportuno</w:t>
      </w:r>
      <w:r w:rsidR="007829E4">
        <w:rPr>
          <w:rFonts w:eastAsia="MS Mincho"/>
        </w:rPr>
        <w:t xml:space="preserve">, </w:t>
      </w:r>
      <w:r w:rsidR="006C4A03" w:rsidRPr="006C4A03">
        <w:rPr>
          <w:rFonts w:eastAsia="MS Mincho"/>
        </w:rPr>
        <w:t>se presentaría un proyecto de documento UPOV/INF/22/4 al Consejo para que considerara su aprobación en su quincuagésima primera sesión ordinaria</w:t>
      </w:r>
      <w:r w:rsidR="007829E4">
        <w:rPr>
          <w:rFonts w:eastAsia="MS Mincho"/>
        </w:rPr>
        <w:t xml:space="preserve">, </w:t>
      </w:r>
      <w:r w:rsidR="006C4A03" w:rsidRPr="006C4A03">
        <w:rPr>
          <w:rFonts w:eastAsia="MS Mincho"/>
        </w:rPr>
        <w:t>que se celebrará el</w:t>
      </w:r>
      <w:r w:rsidR="007829E4">
        <w:rPr>
          <w:rFonts w:eastAsia="MS Mincho"/>
        </w:rPr>
        <w:t> </w:t>
      </w:r>
      <w:r w:rsidR="007829E4" w:rsidRPr="006C4A03">
        <w:rPr>
          <w:rFonts w:eastAsia="MS Mincho"/>
        </w:rPr>
        <w:t>2</w:t>
      </w:r>
      <w:r w:rsidR="006C4A03" w:rsidRPr="006C4A03">
        <w:rPr>
          <w:rFonts w:eastAsia="MS Mincho"/>
        </w:rPr>
        <w:t>6 de octubre de 2017.</w:t>
      </w:r>
    </w:p>
    <w:p w:rsidR="00273DB6" w:rsidRPr="00D51062" w:rsidRDefault="00273DB6" w:rsidP="00273DB6">
      <w:pPr>
        <w:rPr>
          <w:snapToGrid w:val="0"/>
          <w:lang w:eastAsia="ja-JP"/>
        </w:rPr>
      </w:pPr>
    </w:p>
    <w:p w:rsidR="00273DB6" w:rsidRPr="00D51062" w:rsidRDefault="00273DB6" w:rsidP="00273DB6">
      <w:pPr>
        <w:rPr>
          <w:snapToGrid w:val="0"/>
          <w:lang w:eastAsia="ja-JP"/>
        </w:rPr>
      </w:pPr>
    </w:p>
    <w:p w:rsidR="00273DB6" w:rsidRPr="009B196C" w:rsidRDefault="006C4A03" w:rsidP="00273DB6">
      <w:pPr>
        <w:pStyle w:val="Heading3"/>
        <w:rPr>
          <w:snapToGrid w:val="0"/>
          <w:lang w:val="es-ES"/>
        </w:rPr>
      </w:pPr>
      <w:bookmarkStart w:id="36" w:name="_Toc492290044"/>
      <w:r w:rsidRPr="006C4A03">
        <w:rPr>
          <w:snapToGrid w:val="0"/>
          <w:lang w:val="es-ES_tradnl"/>
        </w:rPr>
        <w:t>Bases de datos de descripciones de variedades</w:t>
      </w:r>
      <w:bookmarkEnd w:id="36"/>
    </w:p>
    <w:p w:rsidR="00273DB6" w:rsidRPr="00D51062" w:rsidRDefault="00273DB6" w:rsidP="00273DB6">
      <w:pPr>
        <w:keepNext/>
        <w:ind w:left="567" w:hanging="567"/>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6C4A03" w:rsidRPr="006C4A03">
        <w:rPr>
          <w:snapToGrid w:val="0"/>
        </w:rPr>
        <w:t>El TC examinó el documento TC/53/9.</w:t>
      </w:r>
    </w:p>
    <w:p w:rsidR="00273DB6" w:rsidRPr="00D51062" w:rsidRDefault="00273DB6" w:rsidP="00273DB6">
      <w:pPr>
        <w:rPr>
          <w:snapToGrid w:val="0"/>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C4A03" w:rsidRPr="006C4A03">
        <w:t>El TC tomó nota de las ponencias sobre bases de datos presentadas en las reuniones de</w:t>
      </w:r>
      <w:r w:rsidR="007829E4">
        <w:t> </w:t>
      </w:r>
      <w:r w:rsidR="007829E4" w:rsidRPr="006C4A03">
        <w:t>2</w:t>
      </w:r>
      <w:r w:rsidR="006C4A03" w:rsidRPr="006C4A03">
        <w:t>016 del BMT</w:t>
      </w:r>
      <w:r w:rsidR="007829E4">
        <w:t xml:space="preserve">, </w:t>
      </w:r>
      <w:r w:rsidR="006C4A03" w:rsidRPr="006C4A03">
        <w:t>el TWC y el TWV</w:t>
      </w:r>
      <w:r w:rsidR="007829E4">
        <w:t xml:space="preserve">, </w:t>
      </w:r>
      <w:r w:rsidR="006C4A03" w:rsidRPr="006C4A03">
        <w:t>según se expone en los párrafos</w:t>
      </w:r>
      <w:r w:rsidR="007829E4">
        <w:t> </w:t>
      </w:r>
      <w:r w:rsidR="007829E4" w:rsidRPr="006C4A03">
        <w:t>9</w:t>
      </w:r>
      <w:r w:rsidR="006C4A03" w:rsidRPr="006C4A03">
        <w:t xml:space="preserve"> a</w:t>
      </w:r>
      <w:r w:rsidR="007829E4">
        <w:t> </w:t>
      </w:r>
      <w:r w:rsidR="007829E4" w:rsidRPr="006C4A03">
        <w:t>3</w:t>
      </w:r>
      <w:r w:rsidR="006C4A03" w:rsidRPr="006C4A03">
        <w:t>5 del documento TC/53/9.</w:t>
      </w:r>
    </w:p>
    <w:p w:rsidR="00273DB6" w:rsidRPr="00D51062" w:rsidRDefault="00273DB6" w:rsidP="00273DB6">
      <w:pPr>
        <w:rPr>
          <w:rFonts w:eastAsia="Arial Unicode MS" w:cs="Arial Unicode MS"/>
        </w:rPr>
      </w:pPr>
    </w:p>
    <w:p w:rsidR="00273DB6" w:rsidRPr="00D51062" w:rsidRDefault="007D43C5" w:rsidP="00273DB6">
      <w:pPr>
        <w:rPr>
          <w:rFonts w:eastAsia="Arial Unicode MS" w:cs="Arial Unicode MS"/>
        </w:rPr>
      </w:pPr>
      <w:r w:rsidRPr="00D51062">
        <w:fldChar w:fldCharType="begin"/>
      </w:r>
      <w:r w:rsidR="00273DB6" w:rsidRPr="00D51062">
        <w:instrText xml:space="preserve"> AUTONUM  </w:instrText>
      </w:r>
      <w:r w:rsidRPr="00D51062">
        <w:fldChar w:fldCharType="end"/>
      </w:r>
      <w:r w:rsidR="00273DB6" w:rsidRPr="00D51062">
        <w:tab/>
      </w:r>
      <w:r w:rsidR="006C4A03" w:rsidRPr="006C4A03">
        <w:t>El TC tomó nota de que el TWC había invitado a los miembros a que</w:t>
      </w:r>
      <w:r w:rsidR="007829E4">
        <w:t xml:space="preserve">, </w:t>
      </w:r>
      <w:r w:rsidR="006C4A03" w:rsidRPr="006C4A03">
        <w:t>en su trigésima quinta reunión</w:t>
      </w:r>
      <w:r w:rsidR="007829E4">
        <w:t xml:space="preserve">, </w:t>
      </w:r>
      <w:r w:rsidR="006C4A03" w:rsidRPr="006C4A03">
        <w:t>presenten sus experiencias respecto de la elaboración de bases de datos.</w:t>
      </w:r>
    </w:p>
    <w:p w:rsidR="00273DB6" w:rsidRPr="00D51062" w:rsidRDefault="00273DB6" w:rsidP="00273DB6"/>
    <w:p w:rsidR="00273DB6" w:rsidRPr="00D51062" w:rsidRDefault="007D43C5" w:rsidP="00273DB6">
      <w:pPr>
        <w:rPr>
          <w:rFonts w:eastAsia="Arial Unicode MS" w:cs="Arial Unicode MS"/>
        </w:rPr>
      </w:pPr>
      <w:r w:rsidRPr="00D51062">
        <w:fldChar w:fldCharType="begin"/>
      </w:r>
      <w:r w:rsidR="00273DB6" w:rsidRPr="00D51062">
        <w:instrText xml:space="preserve"> AUTONUM  </w:instrText>
      </w:r>
      <w:r w:rsidRPr="00D51062">
        <w:fldChar w:fldCharType="end"/>
      </w:r>
      <w:r w:rsidR="00273DB6" w:rsidRPr="00D51062">
        <w:tab/>
      </w:r>
      <w:r w:rsidR="006C4A03" w:rsidRPr="006C4A03">
        <w:t>El TC tomó nota de que el BMT había convenido en que sería conveniente que la UPOV facilitase la cooperación para la creación de bases de datos comunes que contengan información molecular</w:t>
      </w:r>
      <w:r w:rsidR="007829E4">
        <w:t xml:space="preserve">, </w:t>
      </w:r>
      <w:r w:rsidR="006C4A03" w:rsidRPr="006C4A03">
        <w:t>si bien</w:t>
      </w:r>
      <w:r w:rsidR="007829E4">
        <w:t xml:space="preserve">, </w:t>
      </w:r>
      <w:r w:rsidR="006C4A03" w:rsidRPr="006C4A03">
        <w:t>en primera instancia</w:t>
      </w:r>
      <w:r w:rsidR="007829E4">
        <w:t xml:space="preserve">, </w:t>
      </w:r>
      <w:r w:rsidR="006C4A03" w:rsidRPr="006C4A03">
        <w:t>dicha cooperación debería establecerse entre los miembros de la UPOV</w:t>
      </w:r>
      <w:r w:rsidR="007829E4">
        <w:t xml:space="preserve">, </w:t>
      </w:r>
      <w:r w:rsidR="006C4A03" w:rsidRPr="006C4A03">
        <w:t>como se indica en el párrafo</w:t>
      </w:r>
      <w:r w:rsidR="007829E4">
        <w:t> </w:t>
      </w:r>
      <w:r w:rsidR="007829E4" w:rsidRPr="006C4A03">
        <w:t>1</w:t>
      </w:r>
      <w:r w:rsidR="006C4A03" w:rsidRPr="006C4A03">
        <w:t>0 del documento TC/53/9.</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C4A03" w:rsidRPr="006C4A03">
        <w:t>El TC tomó nota de la serie de dificultades encontradas al crear bases de datos comunes que contengan información molecular y convino en que la UPOV podría facilitar la cooperación en este campo proporcionando formación e intercambiando información.</w:t>
      </w:r>
    </w:p>
    <w:p w:rsidR="00273DB6" w:rsidRPr="00D51062" w:rsidRDefault="00273DB6" w:rsidP="00273DB6">
      <w:pPr>
        <w:ind w:left="567" w:hanging="567"/>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C4A03" w:rsidRPr="006C4A03">
        <w:t>El TC convino en solicitar a la Oficina de la Unión que recabe información sobre las bases de datos ya existentes que contengan datos morfológicos o moleculares.</w:t>
      </w:r>
      <w:r w:rsidR="00273DB6" w:rsidRPr="00D51062">
        <w:t xml:space="preserve">  </w:t>
      </w:r>
      <w:r w:rsidR="006C4A03" w:rsidRPr="006C4A03">
        <w:t>El TC convino en que la información recabada se debe incluir en la base de datos GENIE y solicitó a la Oficina de la Unión que planifique la modificación de dicha base de datos conforme a los recursos disponibles.</w:t>
      </w:r>
      <w:r w:rsidR="00273DB6" w:rsidRPr="00D51062">
        <w:t xml:space="preserve"> .</w:t>
      </w:r>
    </w:p>
    <w:p w:rsidR="00273DB6" w:rsidRPr="00D51062" w:rsidRDefault="00273DB6" w:rsidP="00273DB6">
      <w:pPr>
        <w:ind w:left="567" w:hanging="567"/>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C4A03" w:rsidRPr="006C4A03">
        <w:t>El TC tomó nota de que los obtentores y las instituciones académicas tenían una experiencia amplia en la creación y el mantenimiento de bases de datos y convino en que sería útil invitarlos a contribuir a la labor de la UPOV al respecto.</w:t>
      </w:r>
    </w:p>
    <w:p w:rsidR="00273DB6" w:rsidRPr="00D51062" w:rsidRDefault="00273DB6" w:rsidP="00273DB6">
      <w:pPr>
        <w:ind w:left="567" w:hanging="567"/>
      </w:pPr>
    </w:p>
    <w:p w:rsidR="00273DB6" w:rsidRPr="00D51062" w:rsidRDefault="007D43C5" w:rsidP="00273DB6">
      <w:pPr>
        <w:rPr>
          <w:rFonts w:eastAsia="Arial Unicode MS" w:cs="Arial Unicode MS"/>
        </w:rPr>
      </w:pPr>
      <w:r w:rsidRPr="00D51062">
        <w:fldChar w:fldCharType="begin"/>
      </w:r>
      <w:r w:rsidR="00273DB6" w:rsidRPr="00D51062">
        <w:instrText xml:space="preserve"> AUTONUM  </w:instrText>
      </w:r>
      <w:r w:rsidRPr="00D51062">
        <w:fldChar w:fldCharType="end"/>
      </w:r>
      <w:r w:rsidR="00273DB6" w:rsidRPr="00D51062">
        <w:tab/>
      </w:r>
      <w:r w:rsidR="006C4A03" w:rsidRPr="006C4A03">
        <w:t>El TC convino en que la orientación sobre el material vegetal que se ofrece en la sección</w:t>
      </w:r>
      <w:r w:rsidR="007829E4">
        <w:t> </w:t>
      </w:r>
      <w:r w:rsidR="007829E4" w:rsidRPr="006C4A03">
        <w:t>1</w:t>
      </w:r>
      <w:r w:rsidR="006C4A03" w:rsidRPr="006C4A03">
        <w:t xml:space="preserve"> del documento UPOV/TGP/5 también podría constituir una base adecuada también para los datos moleculares y solicitó a la Oficina de la Unión que proponga una orientación sobre la confidencialidad de la información molecular con el objeto de incluirla en dicha sección del documento</w:t>
      </w:r>
      <w:r w:rsidR="007829E4">
        <w:t xml:space="preserve">, </w:t>
      </w:r>
      <w:r w:rsidR="006C4A03" w:rsidRPr="006C4A03">
        <w:t>sobre esa base.</w:t>
      </w:r>
    </w:p>
    <w:p w:rsidR="00273DB6" w:rsidRPr="00D51062" w:rsidRDefault="00273DB6" w:rsidP="00273DB6">
      <w:pPr>
        <w:ind w:left="567" w:hanging="567"/>
      </w:pPr>
    </w:p>
    <w:p w:rsidR="00273DB6" w:rsidRPr="00D51062" w:rsidRDefault="00273DB6" w:rsidP="00273DB6">
      <w:pPr>
        <w:ind w:left="567" w:hanging="567"/>
      </w:pPr>
    </w:p>
    <w:p w:rsidR="00273DB6" w:rsidRPr="009B196C" w:rsidRDefault="006C4A03" w:rsidP="00273DB6">
      <w:pPr>
        <w:pStyle w:val="Heading2"/>
        <w:rPr>
          <w:lang w:val="es-ES"/>
        </w:rPr>
      </w:pPr>
      <w:bookmarkStart w:id="37" w:name="_Toc492290045"/>
      <w:r w:rsidRPr="006C4A03">
        <w:rPr>
          <w:lang w:val="es-ES_tradnl"/>
        </w:rPr>
        <w:t>El número de ciclos de cultivo</w:t>
      </w:r>
      <w:bookmarkEnd w:id="37"/>
    </w:p>
    <w:p w:rsidR="00273DB6" w:rsidRPr="00D51062" w:rsidRDefault="00273DB6" w:rsidP="00273DB6">
      <w:pPr>
        <w:keepNext/>
        <w:ind w:left="567" w:hanging="567"/>
      </w:pPr>
    </w:p>
    <w:p w:rsidR="00273DB6" w:rsidRPr="00D51062" w:rsidRDefault="007D43C5" w:rsidP="00273DB6">
      <w:pPr>
        <w:keepNext/>
        <w:rPr>
          <w:snapToGrid w:val="0"/>
        </w:rPr>
      </w:pPr>
      <w:r w:rsidRPr="00D51062">
        <w:fldChar w:fldCharType="begin"/>
      </w:r>
      <w:r w:rsidR="00273DB6" w:rsidRPr="00D51062">
        <w:instrText xml:space="preserve"> AUTONUM  </w:instrText>
      </w:r>
      <w:r w:rsidRPr="00D51062">
        <w:fldChar w:fldCharType="end"/>
      </w:r>
      <w:r w:rsidR="00273DB6" w:rsidRPr="00D51062">
        <w:tab/>
      </w:r>
      <w:r w:rsidR="006C4A03" w:rsidRPr="006C4A03">
        <w:rPr>
          <w:snapToGrid w:val="0"/>
        </w:rPr>
        <w:t>El TC examinó el documento TC/53/21.</w:t>
      </w:r>
    </w:p>
    <w:p w:rsidR="00273DB6" w:rsidRPr="00D51062" w:rsidRDefault="00273DB6" w:rsidP="00273DB6">
      <w:pPr>
        <w:rPr>
          <w:snapToGrid w:val="0"/>
        </w:rPr>
      </w:pPr>
    </w:p>
    <w:p w:rsidR="00273DB6" w:rsidRPr="00D51062" w:rsidRDefault="007D43C5" w:rsidP="00273DB6">
      <w:r w:rsidRPr="00D51062">
        <w:rPr>
          <w:color w:val="000000"/>
        </w:rPr>
        <w:fldChar w:fldCharType="begin"/>
      </w:r>
      <w:r w:rsidR="00273DB6" w:rsidRPr="00D51062">
        <w:rPr>
          <w:color w:val="000000"/>
        </w:rPr>
        <w:instrText xml:space="preserve"> AUTONUM  </w:instrText>
      </w:r>
      <w:r w:rsidRPr="00D51062">
        <w:rPr>
          <w:color w:val="000000"/>
        </w:rPr>
        <w:fldChar w:fldCharType="end"/>
      </w:r>
      <w:r w:rsidR="00273DB6" w:rsidRPr="00D51062">
        <w:rPr>
          <w:color w:val="000000"/>
        </w:rPr>
        <w:tab/>
      </w:r>
      <w:r w:rsidR="00930834" w:rsidRPr="00930834">
        <w:rPr>
          <w:rFonts w:cs="Arial"/>
        </w:rPr>
        <w:t>El TC examinó las ponencias presentadas por los expertos en las reuniones de los TWP de</w:t>
      </w:r>
      <w:r w:rsidR="007829E4">
        <w:rPr>
          <w:rFonts w:cs="Arial"/>
        </w:rPr>
        <w:t> </w:t>
      </w:r>
      <w:r w:rsidR="007829E4" w:rsidRPr="00930834">
        <w:rPr>
          <w:rFonts w:cs="Arial"/>
        </w:rPr>
        <w:t>2</w:t>
      </w:r>
      <w:r w:rsidR="00930834" w:rsidRPr="00930834">
        <w:rPr>
          <w:rFonts w:cs="Arial"/>
        </w:rPr>
        <w:t>016</w:t>
      </w:r>
      <w:r w:rsidR="007829E4">
        <w:rPr>
          <w:rFonts w:cs="Arial"/>
        </w:rPr>
        <w:t xml:space="preserve">, </w:t>
      </w:r>
      <w:r w:rsidR="00930834" w:rsidRPr="00930834">
        <w:rPr>
          <w:rFonts w:cs="Arial"/>
        </w:rPr>
        <w:t>en las que simularon el impacto de la utilización de diferentes números de ciclos de cultivo en las decisiones relativas a la DHE empleando datos reales</w:t>
      </w:r>
      <w:r w:rsidR="007829E4">
        <w:rPr>
          <w:rFonts w:cs="Arial"/>
        </w:rPr>
        <w:t xml:space="preserve">, </w:t>
      </w:r>
      <w:r w:rsidR="00930834" w:rsidRPr="00930834">
        <w:rPr>
          <w:rFonts w:cs="Arial"/>
        </w:rPr>
        <w:t>según se expone en los anexos del documento TC/53/21.</w:t>
      </w:r>
    </w:p>
    <w:p w:rsidR="00273DB6" w:rsidRPr="00D51062" w:rsidRDefault="00273DB6" w:rsidP="00273DB6">
      <w:pPr>
        <w:rPr>
          <w:rFonts w:cs="Arial"/>
        </w:rPr>
      </w:pPr>
    </w:p>
    <w:p w:rsidR="00273DB6" w:rsidRPr="00D51062" w:rsidRDefault="007D43C5" w:rsidP="00273DB6">
      <w:r w:rsidRPr="00D51062">
        <w:rPr>
          <w:color w:val="000000"/>
        </w:rPr>
        <w:fldChar w:fldCharType="begin"/>
      </w:r>
      <w:r w:rsidR="00273DB6" w:rsidRPr="00D51062">
        <w:rPr>
          <w:color w:val="000000"/>
        </w:rPr>
        <w:instrText xml:space="preserve"> AUTONUM  </w:instrText>
      </w:r>
      <w:r w:rsidRPr="00D51062">
        <w:rPr>
          <w:color w:val="000000"/>
        </w:rPr>
        <w:fldChar w:fldCharType="end"/>
      </w:r>
      <w:r w:rsidR="00273DB6" w:rsidRPr="00D51062">
        <w:rPr>
          <w:color w:val="000000"/>
        </w:rPr>
        <w:tab/>
      </w:r>
      <w:r w:rsidR="00930834" w:rsidRPr="00930834">
        <w:rPr>
          <w:rFonts w:cs="Arial"/>
        </w:rPr>
        <w:t>El TC tomó nota de los ofrecimientos de miembros de la Unión de presentar ponencias a los TWP</w:t>
      </w:r>
      <w:r w:rsidR="007829E4">
        <w:rPr>
          <w:rFonts w:cs="Arial"/>
        </w:rPr>
        <w:t xml:space="preserve">, </w:t>
      </w:r>
      <w:r w:rsidR="00930834" w:rsidRPr="00930834">
        <w:rPr>
          <w:rFonts w:cs="Arial"/>
        </w:rPr>
        <w:t>en sus reuniones de</w:t>
      </w:r>
      <w:r w:rsidR="007829E4">
        <w:rPr>
          <w:rFonts w:cs="Arial"/>
        </w:rPr>
        <w:t> </w:t>
      </w:r>
      <w:r w:rsidR="007829E4" w:rsidRPr="00930834">
        <w:rPr>
          <w:rFonts w:cs="Arial"/>
        </w:rPr>
        <w:t>2</w:t>
      </w:r>
      <w:r w:rsidR="00930834" w:rsidRPr="00930834">
        <w:rPr>
          <w:rFonts w:cs="Arial"/>
        </w:rPr>
        <w:t>017</w:t>
      </w:r>
      <w:r w:rsidR="007829E4">
        <w:rPr>
          <w:rFonts w:cs="Arial"/>
        </w:rPr>
        <w:t xml:space="preserve">, </w:t>
      </w:r>
      <w:r w:rsidR="00930834" w:rsidRPr="00930834">
        <w:rPr>
          <w:rFonts w:cs="Arial"/>
        </w:rPr>
        <w:t>sobre el impacto de la utilización de diferentes números de ciclos de cultivo en las decisiones relativas a la DHE empleando datos reales y convino en invitar a los TWP a informar al TC en su sesión de</w:t>
      </w:r>
      <w:r w:rsidR="007829E4">
        <w:rPr>
          <w:rFonts w:cs="Arial"/>
        </w:rPr>
        <w:t> </w:t>
      </w:r>
      <w:r w:rsidR="007829E4" w:rsidRPr="00930834">
        <w:rPr>
          <w:rFonts w:cs="Arial"/>
        </w:rPr>
        <w:t>2</w:t>
      </w:r>
      <w:r w:rsidR="00930834" w:rsidRPr="00930834">
        <w:rPr>
          <w:rFonts w:cs="Arial"/>
        </w:rPr>
        <w:t>018.</w:t>
      </w:r>
    </w:p>
    <w:p w:rsidR="00273DB6" w:rsidRPr="00D51062" w:rsidRDefault="00273DB6" w:rsidP="00273DB6"/>
    <w:p w:rsidR="00273DB6" w:rsidRPr="00D51062" w:rsidRDefault="007D43C5" w:rsidP="00273DB6">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930834" w:rsidRPr="00930834">
        <w:rPr>
          <w:rFonts w:cs="Arial"/>
        </w:rPr>
        <w:t>El TC tomó nota de que las administraciones manifestaron interés en reducir los costos vinculados al examen DHE y convino en que el número de ciclos de cultivo debe ser el mínimo necesario para tomar una decisión sólida sobre la DHE y elaborar una descripción válida de la variedad.</w:t>
      </w:r>
      <w:r w:rsidR="00273DB6" w:rsidRPr="00D51062">
        <w:t xml:space="preserve">  </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930834" w:rsidRPr="00930834">
        <w:t>El TC convino en que no era conveniente generalizar que las variedades ornamentales se deben examinar en un único ensayo de cultivo mientras que los otros tipos de cultivos se deben examinar en dos ciclos de cultivo y convino en que el número típico de ciclos de cultivo se debe establecer cultivo a cultivo.</w:t>
      </w:r>
    </w:p>
    <w:p w:rsidR="00273DB6" w:rsidRPr="00D51062" w:rsidRDefault="00273DB6" w:rsidP="00273DB6">
      <w:pPr>
        <w:ind w:left="567" w:hanging="567"/>
      </w:pPr>
    </w:p>
    <w:p w:rsidR="00273DB6" w:rsidRPr="00D51062" w:rsidRDefault="00273DB6" w:rsidP="00273DB6">
      <w:pPr>
        <w:ind w:left="567" w:hanging="567"/>
      </w:pPr>
    </w:p>
    <w:p w:rsidR="00273DB6" w:rsidRPr="009B196C" w:rsidRDefault="00930834" w:rsidP="00273DB6">
      <w:pPr>
        <w:pStyle w:val="Heading2"/>
        <w:rPr>
          <w:lang w:val="es-ES"/>
        </w:rPr>
      </w:pPr>
      <w:bookmarkStart w:id="38" w:name="_Toc492290046"/>
      <w:r w:rsidRPr="00930834">
        <w:rPr>
          <w:lang w:val="es-ES_tradnl"/>
        </w:rPr>
        <w:t>Asuntos relativos a las descripciones de variedades</w:t>
      </w:r>
      <w:bookmarkEnd w:id="38"/>
      <w:r w:rsidR="00273DB6" w:rsidRPr="009B196C">
        <w:rPr>
          <w:lang w:val="es-ES"/>
        </w:rPr>
        <w:t xml:space="preserve"> </w:t>
      </w:r>
    </w:p>
    <w:p w:rsidR="00273DB6" w:rsidRPr="00D51062" w:rsidRDefault="00273DB6" w:rsidP="00273DB6">
      <w:pPr>
        <w:ind w:left="567" w:hanging="567"/>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930834" w:rsidRPr="00930834">
        <w:rPr>
          <w:snapToGrid w:val="0"/>
        </w:rPr>
        <w:t>El TC examinó el documento TC/53/22.</w:t>
      </w:r>
    </w:p>
    <w:p w:rsidR="00273DB6" w:rsidRPr="00D51062" w:rsidRDefault="00273DB6" w:rsidP="00273DB6">
      <w:pPr>
        <w:rPr>
          <w:snapToGrid w:val="0"/>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C94BDF" w:rsidRPr="00C94BDF">
        <w:t>El TC tomó nota de la existencia de diferentes elementos que pueden reforzar la identificación del material vegetal</w:t>
      </w:r>
      <w:r w:rsidR="007829E4">
        <w:t xml:space="preserve">, </w:t>
      </w:r>
      <w:r w:rsidR="00C94BDF" w:rsidRPr="00C94BDF">
        <w:t>tales como la descripción original y otras descripciones oficiales de variedades</w:t>
      </w:r>
      <w:r w:rsidR="007829E4">
        <w:t xml:space="preserve">, </w:t>
      </w:r>
      <w:r w:rsidR="00C94BDF" w:rsidRPr="00C94BDF">
        <w:t>sin excluir los marcadores moleculares.</w:t>
      </w:r>
      <w:r w:rsidR="00273DB6" w:rsidRPr="00D51062">
        <w:t xml:space="preserve">  </w:t>
      </w:r>
      <w:r w:rsidR="00C94BDF" w:rsidRPr="00C94BDF">
        <w:t>El TC convino en invitar a la Unión Europea a elaborar más orientaciones sobre el papel de la descripción de las variedades y el papel del material vegetal empleado para el examen DHE</w:t>
      </w:r>
      <w:r w:rsidR="007829E4">
        <w:t xml:space="preserve">, </w:t>
      </w:r>
      <w:r w:rsidR="00C94BDF" w:rsidRPr="00C94BDF">
        <w:t xml:space="preserve">pero incorporando el texto sin modificar del </w:t>
      </w:r>
      <w:r w:rsidR="00256232" w:rsidRPr="00C94BDF">
        <w:t>anexo</w:t>
      </w:r>
      <w:r w:rsidR="00C94BDF" w:rsidRPr="00C94BDF">
        <w:t xml:space="preserve"> del documento TC/53/22 y también teniendo en cuenta los siguientes aspectos:</w:t>
      </w:r>
    </w:p>
    <w:p w:rsidR="00273DB6" w:rsidRPr="00D51062" w:rsidRDefault="00273DB6" w:rsidP="00273DB6"/>
    <w:p w:rsidR="00273DB6" w:rsidRPr="00D51062" w:rsidRDefault="00273DB6" w:rsidP="00273DB6">
      <w:pPr>
        <w:tabs>
          <w:tab w:val="left" w:pos="1134"/>
        </w:tabs>
        <w:ind w:left="1134" w:hanging="567"/>
      </w:pPr>
      <w:r w:rsidRPr="00D51062">
        <w:t>1)</w:t>
      </w:r>
      <w:r w:rsidRPr="00D51062">
        <w:tab/>
      </w:r>
      <w:r w:rsidR="00C94BDF" w:rsidRPr="00EB3C4C">
        <w:t>la finalidad de la descripción de la variedad elaborada en el momento en que se concede el derecho de obtentor;</w:t>
      </w:r>
      <w:r w:rsidRPr="00D51062">
        <w:t xml:space="preserve"> </w:t>
      </w:r>
    </w:p>
    <w:p w:rsidR="00273DB6" w:rsidRPr="00D51062" w:rsidRDefault="00273DB6" w:rsidP="00273DB6">
      <w:pPr>
        <w:tabs>
          <w:tab w:val="left" w:pos="1134"/>
        </w:tabs>
        <w:ind w:left="1134" w:hanging="567"/>
      </w:pPr>
      <w:r w:rsidRPr="00D51062">
        <w:t>2)</w:t>
      </w:r>
      <w:r w:rsidRPr="00D51062">
        <w:tab/>
      </w:r>
      <w:r w:rsidR="00EB3C4C" w:rsidRPr="00EB3C4C">
        <w:t>la situación de la descripción original de la variedad con respecto a la comprobación de que el material vegetal corresponde a una variedad protegida a efectos de la defensa del derecho de obtentor;</w:t>
      </w:r>
      <w:r w:rsidRPr="00EB3C4C">
        <w:t xml:space="preserve"> </w:t>
      </w:r>
      <w:r w:rsidR="00EB3C4C">
        <w:t xml:space="preserve"> </w:t>
      </w:r>
      <w:r w:rsidR="00EB3C4C" w:rsidRPr="00EB3C4C">
        <w:t>y</w:t>
      </w:r>
      <w:r w:rsidRPr="00D51062">
        <w:t xml:space="preserve"> </w:t>
      </w:r>
    </w:p>
    <w:p w:rsidR="00273DB6" w:rsidRPr="00D51062" w:rsidRDefault="00273DB6" w:rsidP="00273DB6">
      <w:pPr>
        <w:tabs>
          <w:tab w:val="left" w:pos="1134"/>
        </w:tabs>
        <w:ind w:left="1134" w:hanging="567"/>
        <w:rPr>
          <w:rFonts w:cs="Arial"/>
        </w:rPr>
      </w:pPr>
      <w:r w:rsidRPr="00D51062">
        <w:t>3)</w:t>
      </w:r>
      <w:r w:rsidRPr="00D51062">
        <w:tab/>
      </w:r>
      <w:r w:rsidR="00EB3C4C" w:rsidRPr="00326F7B">
        <w:t xml:space="preserve">las siguientes conclusiones facilitadas por el experto de la Unión Europea en el </w:t>
      </w:r>
      <w:r w:rsidR="00256232" w:rsidRPr="00326F7B">
        <w:t>anexo</w:t>
      </w:r>
      <w:r w:rsidR="00EB3C4C" w:rsidRPr="00326F7B">
        <w:t> II</w:t>
      </w:r>
      <w:r w:rsidR="007829E4">
        <w:t xml:space="preserve">, </w:t>
      </w:r>
      <w:r w:rsidR="00EB3C4C" w:rsidRPr="00326F7B">
        <w:t>diapositiva 19</w:t>
      </w:r>
      <w:r w:rsidR="007829E4">
        <w:t xml:space="preserve">, </w:t>
      </w:r>
      <w:r w:rsidR="00EB3C4C" w:rsidRPr="00326F7B">
        <w:t>del documento TWV/50/14 Add.:</w:t>
      </w:r>
    </w:p>
    <w:p w:rsidR="00273DB6" w:rsidRPr="009B196C" w:rsidRDefault="00326F7B" w:rsidP="00273DB6">
      <w:pPr>
        <w:pStyle w:val="ListParagraph"/>
        <w:numPr>
          <w:ilvl w:val="0"/>
          <w:numId w:val="20"/>
        </w:numPr>
        <w:spacing w:after="0" w:line="240" w:lineRule="auto"/>
        <w:ind w:left="1701" w:hanging="567"/>
        <w:jc w:val="both"/>
        <w:rPr>
          <w:rFonts w:ascii="Arial" w:hAnsi="Arial" w:cs="Arial"/>
          <w:sz w:val="20"/>
          <w:lang w:val="es-ES"/>
        </w:rPr>
      </w:pPr>
      <w:r w:rsidRPr="00326F7B">
        <w:rPr>
          <w:rFonts w:ascii="Arial" w:hAnsi="Arial" w:cs="Arial"/>
          <w:sz w:val="20"/>
          <w:lang w:val="es-ES_tradnl"/>
        </w:rPr>
        <w:t>Las notas de las variedades similares provendrán del mismo ensayo de cultivo que las de la variedad candidata</w:t>
      </w:r>
    </w:p>
    <w:p w:rsidR="00273DB6" w:rsidRPr="009B196C" w:rsidRDefault="00326F7B" w:rsidP="00273DB6">
      <w:pPr>
        <w:pStyle w:val="ListParagraph"/>
        <w:numPr>
          <w:ilvl w:val="0"/>
          <w:numId w:val="20"/>
        </w:numPr>
        <w:spacing w:after="0" w:line="240" w:lineRule="auto"/>
        <w:ind w:left="1701" w:hanging="567"/>
        <w:jc w:val="both"/>
        <w:rPr>
          <w:rFonts w:ascii="Arial" w:hAnsi="Arial" w:cs="Arial"/>
          <w:sz w:val="20"/>
          <w:lang w:val="es-ES"/>
        </w:rPr>
      </w:pPr>
      <w:r w:rsidRPr="00326F7B">
        <w:rPr>
          <w:rFonts w:ascii="Arial" w:hAnsi="Arial" w:cs="Arial"/>
          <w:sz w:val="20"/>
          <w:lang w:val="es-ES_tradnl"/>
        </w:rPr>
        <w:t>Informar a las partes interesadas de las modificaciones de la descripción oficial de la variedad</w:t>
      </w:r>
    </w:p>
    <w:p w:rsidR="00273DB6" w:rsidRPr="009B196C" w:rsidRDefault="00326F7B" w:rsidP="00273DB6">
      <w:pPr>
        <w:pStyle w:val="ListParagraph"/>
        <w:numPr>
          <w:ilvl w:val="0"/>
          <w:numId w:val="20"/>
        </w:numPr>
        <w:spacing w:after="0" w:line="240" w:lineRule="auto"/>
        <w:ind w:left="1701" w:hanging="567"/>
        <w:jc w:val="both"/>
        <w:rPr>
          <w:rFonts w:ascii="Arial" w:hAnsi="Arial" w:cs="Arial"/>
          <w:sz w:val="20"/>
          <w:lang w:val="es-ES"/>
        </w:rPr>
      </w:pPr>
      <w:r w:rsidRPr="00326F7B">
        <w:rPr>
          <w:rFonts w:ascii="Arial" w:hAnsi="Arial" w:cs="Arial"/>
          <w:sz w:val="20"/>
          <w:lang w:val="es-ES_tradnl"/>
        </w:rPr>
        <w:t>Acuerdo sobre los datos proporcionados a las bases de datos compartidas</w:t>
      </w:r>
    </w:p>
    <w:p w:rsidR="00273DB6" w:rsidRPr="00D51062" w:rsidRDefault="00273DB6" w:rsidP="00273DB6">
      <w:pPr>
        <w:ind w:left="567" w:hanging="567"/>
      </w:pPr>
    </w:p>
    <w:p w:rsidR="00273DB6" w:rsidRPr="00D51062" w:rsidRDefault="00273DB6" w:rsidP="00273DB6">
      <w:pPr>
        <w:ind w:left="567" w:hanging="567"/>
      </w:pPr>
    </w:p>
    <w:p w:rsidR="00273DB6" w:rsidRPr="009B196C" w:rsidRDefault="00326F7B" w:rsidP="00273DB6">
      <w:pPr>
        <w:pStyle w:val="Heading2"/>
        <w:rPr>
          <w:lang w:val="es-ES"/>
        </w:rPr>
      </w:pPr>
      <w:bookmarkStart w:id="39" w:name="_Toc492290047"/>
      <w:r w:rsidRPr="00326F7B">
        <w:rPr>
          <w:lang w:val="es-ES_tradnl"/>
        </w:rPr>
        <w:t>Determinación de umbrales calculados para excluir las variedades notoriamente conocidas del segundo ciclo de cultivo cuando se emplea el COYD</w:t>
      </w:r>
      <w:bookmarkEnd w:id="39"/>
    </w:p>
    <w:p w:rsidR="00273DB6" w:rsidRPr="009B196C" w:rsidRDefault="00273DB6" w:rsidP="00273DB6">
      <w:pPr>
        <w:pStyle w:val="Heading2"/>
        <w:rPr>
          <w:lang w:val="es-ES"/>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326F7B" w:rsidRPr="00B30B27">
        <w:t>El TC examinó el documento TC/53/23.</w:t>
      </w:r>
    </w:p>
    <w:p w:rsidR="00273DB6" w:rsidRPr="00D51062" w:rsidRDefault="00273DB6" w:rsidP="00273DB6">
      <w:pPr>
        <w:rPr>
          <w:lang w:eastAsia="ja-JP"/>
        </w:rPr>
      </w:pPr>
    </w:p>
    <w:p w:rsidR="00273DB6" w:rsidRPr="00D51062" w:rsidRDefault="007D43C5" w:rsidP="00273DB6">
      <w:pPr>
        <w:rPr>
          <w:lang w:eastAsia="ja-JP"/>
        </w:rPr>
      </w:pPr>
      <w:r w:rsidRPr="00D51062">
        <w:rPr>
          <w:lang w:eastAsia="ja-JP"/>
        </w:rPr>
        <w:fldChar w:fldCharType="begin"/>
      </w:r>
      <w:r w:rsidR="00273DB6" w:rsidRPr="00D51062">
        <w:rPr>
          <w:lang w:eastAsia="ja-JP"/>
        </w:rPr>
        <w:instrText xml:space="preserve"> AUTONUM  </w:instrText>
      </w:r>
      <w:r w:rsidRPr="00D51062">
        <w:rPr>
          <w:lang w:eastAsia="ja-JP"/>
        </w:rPr>
        <w:fldChar w:fldCharType="end"/>
      </w:r>
      <w:r w:rsidR="00273DB6" w:rsidRPr="00D51062">
        <w:rPr>
          <w:lang w:eastAsia="ja-JP"/>
        </w:rPr>
        <w:tab/>
      </w:r>
      <w:r w:rsidR="00B30B27" w:rsidRPr="00B30B27">
        <w:rPr>
          <w:lang w:eastAsia="ja-JP"/>
        </w:rPr>
        <w:t>El TC asistió a una ponencia de los expertos del Reino Unido sobre la exclusión de las variedades notoriamente conocidas del segundo ciclo de cultivo cuando se utiliza el COYD</w:t>
      </w:r>
      <w:r w:rsidR="007829E4">
        <w:rPr>
          <w:lang w:eastAsia="ja-JP"/>
        </w:rPr>
        <w:t xml:space="preserve">, </w:t>
      </w:r>
      <w:r w:rsidR="00B30B27" w:rsidRPr="00B30B27">
        <w:rPr>
          <w:lang w:eastAsia="ja-JP"/>
        </w:rPr>
        <w:t>que se reproduce en el documento TC/53/23 Add.</w:t>
      </w:r>
      <w:r w:rsidR="00273DB6" w:rsidRPr="00D51062">
        <w:rPr>
          <w:lang w:eastAsia="ja-JP"/>
        </w:rPr>
        <w:t xml:space="preserve"> </w:t>
      </w:r>
    </w:p>
    <w:p w:rsidR="00273DB6" w:rsidRPr="00D51062" w:rsidRDefault="00273DB6" w:rsidP="00273DB6">
      <w:pPr>
        <w:rPr>
          <w:lang w:eastAsia="ja-JP"/>
        </w:rPr>
      </w:pPr>
    </w:p>
    <w:p w:rsidR="00273DB6" w:rsidRPr="00D51062" w:rsidRDefault="007D43C5" w:rsidP="00273DB6">
      <w:pPr>
        <w:rPr>
          <w:lang w:eastAsia="ja-JP"/>
        </w:rPr>
      </w:pPr>
      <w:r w:rsidRPr="00D51062">
        <w:rPr>
          <w:lang w:eastAsia="ja-JP"/>
        </w:rPr>
        <w:fldChar w:fldCharType="begin"/>
      </w:r>
      <w:r w:rsidR="00273DB6" w:rsidRPr="00D51062">
        <w:rPr>
          <w:lang w:eastAsia="ja-JP"/>
        </w:rPr>
        <w:instrText xml:space="preserve"> AUTONUM  </w:instrText>
      </w:r>
      <w:r w:rsidRPr="00D51062">
        <w:rPr>
          <w:lang w:eastAsia="ja-JP"/>
        </w:rPr>
        <w:fldChar w:fldCharType="end"/>
      </w:r>
      <w:r w:rsidR="00273DB6" w:rsidRPr="00D51062">
        <w:rPr>
          <w:lang w:eastAsia="ja-JP"/>
        </w:rPr>
        <w:tab/>
      </w:r>
      <w:r w:rsidR="00B30B27" w:rsidRPr="00B30B27">
        <w:rPr>
          <w:lang w:eastAsia="ja-JP"/>
        </w:rPr>
        <w:t>El TC tomó nota de que</w:t>
      </w:r>
      <w:r w:rsidR="007829E4">
        <w:rPr>
          <w:lang w:eastAsia="ja-JP"/>
        </w:rPr>
        <w:t xml:space="preserve">, </w:t>
      </w:r>
      <w:r w:rsidR="00B30B27" w:rsidRPr="00B30B27">
        <w:rPr>
          <w:lang w:eastAsia="ja-JP"/>
        </w:rPr>
        <w:t>en su trigésima quinta reunión</w:t>
      </w:r>
      <w:r w:rsidR="007829E4">
        <w:rPr>
          <w:lang w:eastAsia="ja-JP"/>
        </w:rPr>
        <w:t xml:space="preserve">, </w:t>
      </w:r>
      <w:r w:rsidR="00B30B27" w:rsidRPr="00B30B27">
        <w:rPr>
          <w:lang w:eastAsia="ja-JP"/>
        </w:rPr>
        <w:t>se notificarán al TWC los nuevos avances producidos en relación con la determinación de umbrales calculados para excluir las variedades notoriamente conocidas del segundo ciclo de cultivo cuando se emplea el COYD.</w:t>
      </w:r>
    </w:p>
    <w:p w:rsidR="00273DB6" w:rsidRPr="00D51062" w:rsidRDefault="00273DB6" w:rsidP="00273DB6">
      <w:pPr>
        <w:rPr>
          <w:snapToGrid w:val="0"/>
        </w:rPr>
      </w:pPr>
    </w:p>
    <w:p w:rsidR="00273DB6" w:rsidRPr="00D51062" w:rsidRDefault="00273DB6" w:rsidP="00273DB6">
      <w:pPr>
        <w:ind w:left="567" w:hanging="567"/>
        <w:rPr>
          <w:rFonts w:cs="Arial"/>
          <w:snapToGrid w:val="0"/>
        </w:rPr>
      </w:pPr>
    </w:p>
    <w:p w:rsidR="00273DB6" w:rsidRPr="009B196C" w:rsidRDefault="00B30B27" w:rsidP="00273DB6">
      <w:pPr>
        <w:pStyle w:val="Heading2"/>
        <w:rPr>
          <w:snapToGrid w:val="0"/>
          <w:lang w:val="es-ES"/>
        </w:rPr>
      </w:pPr>
      <w:bookmarkStart w:id="40" w:name="_Toc492290048"/>
      <w:r w:rsidRPr="00B30B27">
        <w:rPr>
          <w:snapToGrid w:val="0"/>
          <w:lang w:val="es-ES_tradnl"/>
        </w:rPr>
        <w:t>Métodos estadísticos aplicados a caracteres observados visualmente</w:t>
      </w:r>
      <w:bookmarkEnd w:id="40"/>
    </w:p>
    <w:p w:rsidR="00273DB6" w:rsidRPr="00D51062" w:rsidRDefault="00273DB6" w:rsidP="00273DB6">
      <w:pPr>
        <w:ind w:left="567" w:hanging="567"/>
        <w:rPr>
          <w:rFonts w:cs="Arial"/>
          <w:snapToGrid w:val="0"/>
        </w:rPr>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B30B27" w:rsidRPr="00B30B27">
        <w:rPr>
          <w:snapToGrid w:val="0"/>
        </w:rPr>
        <w:t>El TC examinó el documento TC/53/24.</w:t>
      </w:r>
    </w:p>
    <w:p w:rsidR="00273DB6" w:rsidRPr="00D51062" w:rsidRDefault="00273DB6" w:rsidP="00273DB6">
      <w:pPr>
        <w:rPr>
          <w:snapToGrid w:val="0"/>
        </w:rPr>
      </w:pPr>
    </w:p>
    <w:p w:rsidR="00273DB6" w:rsidRPr="00D51062" w:rsidRDefault="007D43C5" w:rsidP="00273DB6">
      <w:pPr>
        <w:rPr>
          <w:snapToGrid w:val="0"/>
          <w:lang w:eastAsia="ja-JP"/>
        </w:rPr>
      </w:pPr>
      <w:r w:rsidRPr="00D51062">
        <w:fldChar w:fldCharType="begin"/>
      </w:r>
      <w:r w:rsidR="00273DB6" w:rsidRPr="00D51062">
        <w:instrText xml:space="preserve"> AUTONUM  </w:instrText>
      </w:r>
      <w:r w:rsidRPr="00D51062">
        <w:fldChar w:fldCharType="end"/>
      </w:r>
      <w:r w:rsidR="00273DB6" w:rsidRPr="00D51062">
        <w:tab/>
      </w:r>
      <w:r w:rsidR="00576CA0" w:rsidRPr="00576CA0">
        <w:t>El TC tomó nota de que un experto de Francia presentará una ponencia al TWC</w:t>
      </w:r>
      <w:r w:rsidR="007829E4">
        <w:t xml:space="preserve">, </w:t>
      </w:r>
      <w:r w:rsidR="00576CA0" w:rsidRPr="00576CA0">
        <w:t>en su trigésima quinta reunión que se celebrará en</w:t>
      </w:r>
      <w:r w:rsidR="007829E4">
        <w:t> </w:t>
      </w:r>
      <w:r w:rsidR="007829E4" w:rsidRPr="00576CA0">
        <w:t>2</w:t>
      </w:r>
      <w:r w:rsidR="00576CA0" w:rsidRPr="00576CA0">
        <w:t>017</w:t>
      </w:r>
      <w:r w:rsidR="007829E4">
        <w:t xml:space="preserve">, </w:t>
      </w:r>
      <w:r w:rsidR="00576CA0" w:rsidRPr="00576CA0">
        <w:t>sobre el estudio de desarrollo de programas informáticos para la aplicación del método elaborado por expertos de Dinamarca y Polonia.</w:t>
      </w:r>
    </w:p>
    <w:p w:rsidR="00273DB6" w:rsidRPr="009B196C" w:rsidRDefault="00273DB6" w:rsidP="00273DB6">
      <w:pPr>
        <w:rPr>
          <w:lang w:val="es-ES"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576CA0" w:rsidRPr="00576CA0">
        <w:t>El TC convino en la necesidad de considerar una nomenclatura y un proyecto de orientación adecuados para el método elaborado por expertos de Dinamarca y Polonia</w:t>
      </w:r>
      <w:r w:rsidR="007829E4">
        <w:t xml:space="preserve">, </w:t>
      </w:r>
      <w:r w:rsidR="00576CA0" w:rsidRPr="00576CA0">
        <w:t>una vez que se hubiese adquirido más experiencia y el programa informático estuviese disponible para facilitar su aplicación en el examen DHE.</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576CA0" w:rsidRPr="00576CA0">
        <w:t>El TC tomó nota de que China había presentado una ponencia en la trigésima cuarta reunión del TWC para describir los métodos estadísticos utilizados en el conjunto de programas informáticos DUSTC para el análisis de la distinción y la homogeneidad.</w:t>
      </w:r>
    </w:p>
    <w:p w:rsidR="00273DB6" w:rsidRPr="00D51062" w:rsidRDefault="00273DB6" w:rsidP="00273DB6">
      <w:pPr>
        <w:tabs>
          <w:tab w:val="left" w:pos="2119"/>
        </w:tabs>
        <w:ind w:left="567" w:hanging="567"/>
      </w:pPr>
    </w:p>
    <w:p w:rsidR="00273DB6" w:rsidRPr="00D51062" w:rsidRDefault="00273DB6" w:rsidP="00273DB6">
      <w:pPr>
        <w:tabs>
          <w:tab w:val="left" w:pos="2119"/>
        </w:tabs>
        <w:ind w:left="567" w:hanging="567"/>
        <w:rPr>
          <w:rFonts w:cs="Arial"/>
          <w:snapToGrid w:val="0"/>
        </w:rPr>
      </w:pPr>
    </w:p>
    <w:p w:rsidR="00273DB6" w:rsidRPr="009B196C" w:rsidRDefault="00576CA0" w:rsidP="00273DB6">
      <w:pPr>
        <w:pStyle w:val="Heading2"/>
        <w:rPr>
          <w:snapToGrid w:val="0"/>
          <w:lang w:val="es-ES"/>
        </w:rPr>
      </w:pPr>
      <w:bookmarkStart w:id="41" w:name="_Toc492290049"/>
      <w:r w:rsidRPr="00576CA0">
        <w:rPr>
          <w:snapToGrid w:val="0"/>
          <w:lang w:val="es-ES_tradnl"/>
        </w:rPr>
        <w:t>Técnicas moleculares</w:t>
      </w:r>
      <w:bookmarkEnd w:id="41"/>
    </w:p>
    <w:p w:rsidR="00273DB6" w:rsidRPr="00D51062" w:rsidRDefault="00273DB6" w:rsidP="00273DB6">
      <w:pPr>
        <w:ind w:left="567" w:hanging="567"/>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576CA0" w:rsidRPr="00576CA0">
        <w:rPr>
          <w:snapToGrid w:val="0"/>
        </w:rPr>
        <w:t>El TC examinó el documento TC/53/11.</w:t>
      </w:r>
    </w:p>
    <w:p w:rsidR="00273DB6" w:rsidRPr="00D51062" w:rsidRDefault="00273DB6" w:rsidP="00273DB6">
      <w:pPr>
        <w:rPr>
          <w:snapToGrid w:val="0"/>
          <w:color w:val="000000" w:themeColor="text1"/>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576CA0" w:rsidRPr="00576CA0">
        <w:t>El TC tomó nota del informe sobre las novedades que se han producido en los TWP y el BMT</w:t>
      </w:r>
      <w:r w:rsidR="007829E4">
        <w:t xml:space="preserve">, </w:t>
      </w:r>
      <w:r w:rsidR="00576CA0" w:rsidRPr="00576CA0">
        <w:t>según se expone en los párrafos 5 a 24 del documento TC/53/11.</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576CA0" w:rsidRPr="00576CA0">
        <w:t>El TC observó que la elaboración de un documento conjunto en el que se expliquen las características principales de los sistemas de la OCDE</w:t>
      </w:r>
      <w:r w:rsidR="007829E4">
        <w:t xml:space="preserve">, </w:t>
      </w:r>
      <w:r w:rsidR="00576CA0" w:rsidRPr="00576CA0">
        <w:t>la UPOV y la ISTA no podrá dar comienzo hasta que la OCDE y la ISTA hayan dado su conformidad.</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576CA0" w:rsidRPr="00576CA0">
        <w:t>El TC observó que la elaboración de un documento conjunto de la UPOV</w:t>
      </w:r>
      <w:r w:rsidR="007829E4">
        <w:t xml:space="preserve">, </w:t>
      </w:r>
      <w:r w:rsidR="00576CA0" w:rsidRPr="00576CA0">
        <w:t>la OCDE y la ISTA que contenga un inventario sobre la utilización de técnicas basadas en marcadores moleculares</w:t>
      </w:r>
      <w:r w:rsidR="007829E4">
        <w:t xml:space="preserve">, </w:t>
      </w:r>
      <w:r w:rsidR="00576CA0" w:rsidRPr="00576CA0">
        <w:t>por cultivos</w:t>
      </w:r>
      <w:r w:rsidR="007829E4">
        <w:t xml:space="preserve">, </w:t>
      </w:r>
      <w:r w:rsidR="00576CA0" w:rsidRPr="00576CA0">
        <w:t>no podrá iniciarse hasta que la OCDE y la ISTA hayan dado su conformidad.</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576CA0" w:rsidRPr="00576CA0">
        <w:t>El TC convino en que la eventual colaboración entre la UPOV</w:t>
      </w:r>
      <w:r w:rsidR="007829E4">
        <w:t xml:space="preserve">, </w:t>
      </w:r>
      <w:r w:rsidR="00576CA0" w:rsidRPr="00576CA0">
        <w:t>la OCDE y la ISTA en el futuro podría incluir</w:t>
      </w:r>
      <w:r w:rsidR="007829E4">
        <w:t xml:space="preserve">, </w:t>
      </w:r>
      <w:r w:rsidR="00576CA0" w:rsidRPr="00576CA0">
        <w:t>previo acuerdo de dichas organizaciones</w:t>
      </w:r>
      <w:r w:rsidR="007829E4">
        <w:t xml:space="preserve">, </w:t>
      </w:r>
      <w:r w:rsidR="00576CA0" w:rsidRPr="00576CA0">
        <w:t>la armonización de los términos y métodos empleados en distintos cultivos y la elaboración de normas.</w:t>
      </w:r>
    </w:p>
    <w:p w:rsidR="00273DB6" w:rsidRPr="00D51062" w:rsidRDefault="00273DB6" w:rsidP="00273DB6">
      <w:pPr>
        <w:rPr>
          <w:lang w:eastAsia="ja-JP"/>
        </w:rPr>
      </w:pPr>
    </w:p>
    <w:p w:rsidR="00273DB6" w:rsidRDefault="007D43C5" w:rsidP="00273DB6">
      <w:r w:rsidRPr="00D51062">
        <w:fldChar w:fldCharType="begin"/>
      </w:r>
      <w:r w:rsidR="00273DB6" w:rsidRPr="00D51062">
        <w:instrText xml:space="preserve"> AUTONUM  </w:instrText>
      </w:r>
      <w:r w:rsidRPr="00D51062">
        <w:fldChar w:fldCharType="end"/>
      </w:r>
      <w:r w:rsidR="00273DB6" w:rsidRPr="00D51062">
        <w:tab/>
      </w:r>
      <w:r w:rsidR="00576CA0" w:rsidRPr="004354BB">
        <w:t>El TC consideró si procede analizar en qué circunstancias la OCDE</w:t>
      </w:r>
      <w:r w:rsidR="007829E4">
        <w:t xml:space="preserve">, </w:t>
      </w:r>
      <w:r w:rsidR="00576CA0" w:rsidRPr="004354BB">
        <w:t>la ISTA y la UPOV podrían emplear las mismas técnicas y la misma información</w:t>
      </w:r>
      <w:r w:rsidR="007829E4">
        <w:t xml:space="preserve">, </w:t>
      </w:r>
      <w:r w:rsidR="00576CA0" w:rsidRPr="004354BB">
        <w:t xml:space="preserve">teniendo en cuenta que los objetivos de estas organizaciones son diferentes y convino en que mediante la organización de un taller práctico por parte del </w:t>
      </w:r>
      <w:r w:rsidR="00576CA0" w:rsidRPr="007B7BE6">
        <w:rPr>
          <w:i/>
          <w:lang w:val="nl-NL"/>
        </w:rPr>
        <w:t>Naktuinbouw</w:t>
      </w:r>
      <w:r w:rsidR="00576CA0" w:rsidRPr="004354BB">
        <w:t xml:space="preserve"> en Roelofarendsveen (Países Bajos)</w:t>
      </w:r>
      <w:r w:rsidR="007829E4">
        <w:t xml:space="preserve">, </w:t>
      </w:r>
      <w:r w:rsidR="00576CA0" w:rsidRPr="004354BB">
        <w:t>del</w:t>
      </w:r>
      <w:r w:rsidR="007829E4">
        <w:t> </w:t>
      </w:r>
      <w:r w:rsidR="007829E4" w:rsidRPr="004354BB">
        <w:t>8</w:t>
      </w:r>
      <w:r w:rsidR="00576CA0" w:rsidRPr="004354BB">
        <w:t xml:space="preserve"> al</w:t>
      </w:r>
      <w:r w:rsidR="007829E4">
        <w:t> </w:t>
      </w:r>
      <w:r w:rsidR="007829E4" w:rsidRPr="004354BB">
        <w:t>1</w:t>
      </w:r>
      <w:r w:rsidR="00576CA0" w:rsidRPr="004354BB">
        <w:t>0 de mayo de</w:t>
      </w:r>
      <w:r w:rsidR="007829E4">
        <w:t> </w:t>
      </w:r>
      <w:r w:rsidR="007829E4" w:rsidRPr="004354BB">
        <w:t>2</w:t>
      </w:r>
      <w:r w:rsidR="00576CA0" w:rsidRPr="004354BB">
        <w:t>017</w:t>
      </w:r>
      <w:r w:rsidR="007829E4">
        <w:t xml:space="preserve">, </w:t>
      </w:r>
      <w:r w:rsidR="00576CA0" w:rsidRPr="004354BB">
        <w:t>se podrían explorar esas posibilidades a partir de situaciones reales.</w:t>
      </w:r>
    </w:p>
    <w:p w:rsidR="004A0F95" w:rsidRPr="00D51062" w:rsidRDefault="004A0F95" w:rsidP="00273DB6">
      <w:pPr>
        <w:rPr>
          <w:lang w:eastAsia="ja-JP"/>
        </w:rPr>
      </w:pPr>
    </w:p>
    <w:p w:rsidR="00273DB6" w:rsidRDefault="007D43C5" w:rsidP="00273DB6">
      <w:pPr>
        <w:rPr>
          <w:lang w:eastAsia="ja-JP"/>
        </w:rPr>
      </w:pPr>
      <w:r>
        <w:rPr>
          <w:lang w:eastAsia="ja-JP"/>
        </w:rPr>
        <w:fldChar w:fldCharType="begin"/>
      </w:r>
      <w:r w:rsidR="00273DB6">
        <w:rPr>
          <w:lang w:eastAsia="ja-JP"/>
        </w:rPr>
        <w:instrText xml:space="preserve"> AUTONUM  </w:instrText>
      </w:r>
      <w:r>
        <w:rPr>
          <w:lang w:eastAsia="ja-JP"/>
        </w:rPr>
        <w:fldChar w:fldCharType="end"/>
      </w:r>
      <w:r w:rsidR="00273DB6">
        <w:rPr>
          <w:lang w:eastAsia="ja-JP"/>
        </w:rPr>
        <w:tab/>
      </w:r>
      <w:r w:rsidR="004354BB" w:rsidRPr="004354BB">
        <w:rPr>
          <w:lang w:eastAsia="ja-JP"/>
        </w:rPr>
        <w:t>El TC convino en que la UPOV y la OCDE deben considerar la posibilidad de avanzar en las cuestiones antes mencionadas si la ISTA no fuera capaz de participar en breve.</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4354BB" w:rsidRPr="004354BB">
        <w:t>El TC tomó nota del ofrecimiento de los Países Bajos de informar al TWC sobre los proyectos relativos al uso de técnicas moleculares en el examen DHE.</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4354BB" w:rsidRPr="004354BB">
        <w:t>El TC tomó nota del ofrecimiento de China de informar al TWC sobre su experiencia respecto del uso de bases de datos de ADN de maíz</w:t>
      </w:r>
      <w:r w:rsidR="007829E4">
        <w:t xml:space="preserve">, </w:t>
      </w:r>
      <w:r w:rsidR="004354BB" w:rsidRPr="004354BB">
        <w:t>arroz y trigo con objeto de seleccionar variedades similares para el examen de la distinción.</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4354BB" w:rsidRPr="004354BB">
        <w:t>El TC tomó nota de que el TWC convino en invitar a los miembros a que presenten ponencias sobre los aspectos estadísticos del uso de marcadores moleculares en el examen DHE</w:t>
      </w:r>
      <w:r w:rsidR="007829E4">
        <w:t xml:space="preserve">, </w:t>
      </w:r>
      <w:r w:rsidR="004354BB" w:rsidRPr="004354BB">
        <w:t>en particular la selección de variedades similares y la organización de ensayos en cultivo.</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4354BB" w:rsidRPr="004354BB">
        <w:t>El TC nota del ofrecimiento de Francia de presentar</w:t>
      </w:r>
      <w:r w:rsidR="007829E4">
        <w:t xml:space="preserve">, </w:t>
      </w:r>
      <w:r w:rsidR="004354BB" w:rsidRPr="004354BB">
        <w:t>en la trigésima quinta reunión del TWC</w:t>
      </w:r>
      <w:r w:rsidR="007829E4">
        <w:t xml:space="preserve">, </w:t>
      </w:r>
      <w:r w:rsidR="004354BB" w:rsidRPr="004354BB">
        <w:t>una ponencia sobre la labor en curso con bases de datos que contienen información molecular y de cálculo de distancias moleculares mediante el programa informático GAIA.</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4354BB" w:rsidRPr="004354BB">
        <w:t>El TC tomó nota de que el TWC convino en que los programas informáticos y las bases de datos</w:t>
      </w:r>
      <w:r w:rsidR="007829E4">
        <w:t xml:space="preserve">, </w:t>
      </w:r>
      <w:r w:rsidR="004354BB" w:rsidRPr="004354BB">
        <w:t>así como los métodos estadísticos asociados</w:t>
      </w:r>
      <w:r w:rsidR="007829E4">
        <w:t xml:space="preserve">, </w:t>
      </w:r>
      <w:r w:rsidR="004354BB" w:rsidRPr="004354BB">
        <w:t>son elementos fundamentales del examen DHE</w:t>
      </w:r>
      <w:r w:rsidR="007829E4">
        <w:t xml:space="preserve">, </w:t>
      </w:r>
      <w:r w:rsidR="004354BB" w:rsidRPr="004354BB">
        <w:t>de una importancia cada vez mayor para la protección de las obtenciones vegetales</w:t>
      </w:r>
      <w:r w:rsidR="007829E4">
        <w:t xml:space="preserve">, </w:t>
      </w:r>
      <w:r w:rsidR="004354BB" w:rsidRPr="004354BB">
        <w:t>y en que su presidente debe informar al TC sobre estos elementos concretos de la labor de dicho Grupo de trabajo técnico.</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4354BB" w:rsidRPr="004354BB">
        <w:t>El TC tomó nota de que el</w:t>
      </w:r>
      <w:r w:rsidR="007829E4">
        <w:t> </w:t>
      </w:r>
      <w:r w:rsidR="007829E4" w:rsidRPr="004354BB">
        <w:t>8</w:t>
      </w:r>
      <w:r w:rsidR="004354BB" w:rsidRPr="004354BB">
        <w:t xml:space="preserve"> de junio de</w:t>
      </w:r>
      <w:r w:rsidR="007829E4">
        <w:t> </w:t>
      </w:r>
      <w:r w:rsidR="007829E4" w:rsidRPr="004354BB">
        <w:t>2</w:t>
      </w:r>
      <w:r w:rsidR="004354BB" w:rsidRPr="004354BB">
        <w:t>016 tuvo lugar en París (Francia) un taller conjunto entre la OCDE</w:t>
      </w:r>
      <w:r w:rsidR="007829E4">
        <w:t xml:space="preserve">, </w:t>
      </w:r>
      <w:r w:rsidR="004354BB" w:rsidRPr="004354BB">
        <w:t>la UPOV</w:t>
      </w:r>
      <w:r w:rsidR="007829E4">
        <w:t xml:space="preserve">, </w:t>
      </w:r>
      <w:r w:rsidR="004354BB" w:rsidRPr="004354BB">
        <w:t>la ISTA y la AOSA sobre técnicas bioquímicas y moleculares</w:t>
      </w:r>
      <w:r w:rsidR="007829E4">
        <w:t xml:space="preserve">, </w:t>
      </w:r>
      <w:r w:rsidR="004354BB" w:rsidRPr="004354BB">
        <w:t>y de que los Sistemas de semillas de la OCDE</w:t>
      </w:r>
      <w:r w:rsidR="007829E4">
        <w:t xml:space="preserve">, </w:t>
      </w:r>
      <w:r w:rsidR="004354BB" w:rsidRPr="004354BB">
        <w:t>en su reunión anual celebrada en París los días</w:t>
      </w:r>
      <w:r w:rsidR="007829E4">
        <w:t> </w:t>
      </w:r>
      <w:r w:rsidR="007829E4" w:rsidRPr="004354BB">
        <w:t>9</w:t>
      </w:r>
      <w:r w:rsidR="004354BB" w:rsidRPr="004354BB">
        <w:t xml:space="preserve"> y</w:t>
      </w:r>
      <w:r w:rsidR="007829E4">
        <w:t> </w:t>
      </w:r>
      <w:r w:rsidR="007829E4" w:rsidRPr="004354BB">
        <w:t>1</w:t>
      </w:r>
      <w:r w:rsidR="004354BB" w:rsidRPr="004354BB">
        <w:t>0 de junio de</w:t>
      </w:r>
      <w:r w:rsidR="007829E4">
        <w:t> </w:t>
      </w:r>
      <w:r w:rsidR="007829E4" w:rsidRPr="004354BB">
        <w:t>2</w:t>
      </w:r>
      <w:r w:rsidR="004354BB" w:rsidRPr="004354BB">
        <w:t>016</w:t>
      </w:r>
      <w:r w:rsidR="007829E4">
        <w:t xml:space="preserve">, </w:t>
      </w:r>
      <w:r w:rsidR="004354BB" w:rsidRPr="004354BB">
        <w:t>aprobaron las recomendaciones formuladas en dicho taller conjunto</w:t>
      </w:r>
      <w:r w:rsidR="007829E4">
        <w:t xml:space="preserve">, </w:t>
      </w:r>
      <w:r w:rsidR="004354BB" w:rsidRPr="004354BB">
        <w:t>que se reproducen en el párrafo</w:t>
      </w:r>
      <w:r w:rsidR="007829E4">
        <w:t> </w:t>
      </w:r>
      <w:r w:rsidR="007829E4" w:rsidRPr="004354BB">
        <w:t>2</w:t>
      </w:r>
      <w:r w:rsidR="004354BB" w:rsidRPr="004354BB">
        <w:t>5 del documento TC/53/11.</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4354BB" w:rsidRPr="004354BB">
        <w:t>El TC tomó nota de que</w:t>
      </w:r>
      <w:r w:rsidR="007829E4">
        <w:t xml:space="preserve">, </w:t>
      </w:r>
      <w:r w:rsidR="004354BB" w:rsidRPr="004354BB">
        <w:t>en su quincuagésima sesión</w:t>
      </w:r>
      <w:r w:rsidR="007829E4">
        <w:t xml:space="preserve">, </w:t>
      </w:r>
      <w:r w:rsidR="004354BB" w:rsidRPr="004354BB">
        <w:t>el Consejo había aprobado una propuesta de pregunta y respuesta relativa a la información sobre la situación en la UPOV en lo que respecta al uso de técnicas moleculares</w:t>
      </w:r>
      <w:r w:rsidR="007829E4">
        <w:t xml:space="preserve">, </w:t>
      </w:r>
      <w:r w:rsidR="004354BB" w:rsidRPr="004354BB">
        <w:t>para un público más amplio</w:t>
      </w:r>
      <w:r w:rsidR="007829E4">
        <w:t xml:space="preserve">, </w:t>
      </w:r>
      <w:r w:rsidR="004354BB" w:rsidRPr="004354BB">
        <w:t>que incluya al público en general.</w:t>
      </w:r>
    </w:p>
    <w:p w:rsidR="00273DB6" w:rsidRPr="00D51062" w:rsidRDefault="00273DB6" w:rsidP="00273DB6">
      <w:pPr>
        <w:ind w:left="567" w:hanging="567"/>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4354BB" w:rsidRPr="004354BB">
        <w:t>El TC convino en proponer que las reuniones del BMT se celebren cada año y que se considere la posibilidad de organizar las reuniones del TWC y el BMT en paralelo en el mismo lugar a fin de facilitar el intercambio de información.</w:t>
      </w:r>
      <w:r w:rsidR="00273DB6" w:rsidRPr="00D51062">
        <w:t xml:space="preserve">  </w:t>
      </w:r>
    </w:p>
    <w:p w:rsidR="00273DB6" w:rsidRPr="00D51062" w:rsidRDefault="00273DB6" w:rsidP="00273DB6">
      <w:pPr>
        <w:ind w:left="567" w:hanging="567"/>
      </w:pPr>
    </w:p>
    <w:p w:rsidR="00273DB6" w:rsidRPr="00D51062" w:rsidRDefault="00273DB6" w:rsidP="00273DB6">
      <w:pPr>
        <w:ind w:left="567" w:hanging="567"/>
      </w:pPr>
    </w:p>
    <w:p w:rsidR="00273DB6" w:rsidRPr="009B196C" w:rsidRDefault="004354BB" w:rsidP="00273DB6">
      <w:pPr>
        <w:pStyle w:val="Heading2"/>
        <w:rPr>
          <w:lang w:val="es-ES"/>
        </w:rPr>
      </w:pPr>
      <w:bookmarkStart w:id="42" w:name="_Toc492290050"/>
      <w:r w:rsidRPr="004354BB">
        <w:rPr>
          <w:lang w:val="es-ES_tradnl"/>
        </w:rPr>
        <w:t>Sesión de debate</w:t>
      </w:r>
      <w:bookmarkEnd w:id="42"/>
    </w:p>
    <w:p w:rsidR="00273DB6" w:rsidRPr="00D51062" w:rsidRDefault="00273DB6" w:rsidP="00273DB6">
      <w:pPr>
        <w:keepNext/>
        <w:autoSpaceDE w:val="0"/>
        <w:autoSpaceDN w:val="0"/>
        <w:adjustRightInd w:val="0"/>
        <w:rPr>
          <w:rFonts w:cs="Arial"/>
        </w:rPr>
      </w:pPr>
    </w:p>
    <w:p w:rsidR="00273DB6" w:rsidRPr="009B196C" w:rsidRDefault="00AF3692" w:rsidP="00273DB6">
      <w:pPr>
        <w:pStyle w:val="Heading3"/>
        <w:rPr>
          <w:lang w:val="es-ES"/>
        </w:rPr>
      </w:pPr>
      <w:bookmarkStart w:id="43" w:name="_Toc492290051"/>
      <w:r w:rsidRPr="009B196C">
        <w:rPr>
          <w:lang w:val="es-ES"/>
        </w:rPr>
        <w:t>a)</w:t>
      </w:r>
      <w:r w:rsidRPr="009B196C">
        <w:rPr>
          <w:lang w:val="es-ES"/>
        </w:rPr>
        <w:tab/>
      </w:r>
      <w:r w:rsidR="00DA6F54" w:rsidRPr="00DA6F54">
        <w:rPr>
          <w:lang w:val="es-ES_tradnl"/>
        </w:rPr>
        <w:t>La utilización de caracteres de resistencia a las enfermedades y a los insectos en el examen DHE</w:t>
      </w:r>
      <w:bookmarkEnd w:id="43"/>
      <w:r w:rsidR="00273DB6" w:rsidRPr="009B196C">
        <w:rPr>
          <w:lang w:val="es-ES"/>
        </w:rPr>
        <w:t xml:space="preserve"> </w:t>
      </w:r>
    </w:p>
    <w:p w:rsidR="00273DB6" w:rsidRPr="00D51062" w:rsidRDefault="00273DB6" w:rsidP="00273DB6">
      <w:pPr>
        <w:keepNext/>
        <w:ind w:left="1134" w:hanging="567"/>
      </w:pPr>
    </w:p>
    <w:p w:rsidR="00273DB6" w:rsidRPr="00E40091" w:rsidRDefault="007D43C5" w:rsidP="00273DB6">
      <w:pPr>
        <w:keepNext/>
      </w:pPr>
      <w:r w:rsidRPr="00D51062">
        <w:fldChar w:fldCharType="begin"/>
      </w:r>
      <w:r w:rsidR="00273DB6" w:rsidRPr="00D51062">
        <w:instrText xml:space="preserve"> AUTONUM  </w:instrText>
      </w:r>
      <w:r w:rsidRPr="00D51062">
        <w:fldChar w:fldCharType="end"/>
      </w:r>
      <w:r w:rsidR="00273DB6" w:rsidRPr="00D51062">
        <w:tab/>
      </w:r>
      <w:r w:rsidR="00DA6F54" w:rsidRPr="00DA6F54">
        <w:t>El TC asistió a las siguientes ponencias sobre el uso de caracteres de resistencia a las enfermedades y a los insectos en el examen DHE (por orden de presentación):</w:t>
      </w:r>
    </w:p>
    <w:p w:rsidR="00273DB6" w:rsidRPr="00E40091" w:rsidRDefault="00273DB6" w:rsidP="00273DB6">
      <w:pPr>
        <w:rPr>
          <w:highlight w:val="lightGray"/>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273DB6" w:rsidRPr="00537B3A" w:rsidTr="00DA6F54">
        <w:tc>
          <w:tcPr>
            <w:tcW w:w="5670" w:type="dxa"/>
            <w:vAlign w:val="center"/>
          </w:tcPr>
          <w:p w:rsidR="00273DB6" w:rsidRPr="00537B3A" w:rsidRDefault="00DA6F54" w:rsidP="004829DF">
            <w:pPr>
              <w:keepNext/>
              <w:jc w:val="left"/>
              <w:rPr>
                <w:sz w:val="18"/>
              </w:rPr>
            </w:pPr>
            <w:r w:rsidRPr="00DA6F54">
              <w:rPr>
                <w:sz w:val="18"/>
              </w:rPr>
              <w:t>La utilización de caracteres de resistencia a las enfermedades y a los insectos en el examen DHE</w:t>
            </w:r>
          </w:p>
        </w:tc>
        <w:tc>
          <w:tcPr>
            <w:tcW w:w="4111" w:type="dxa"/>
          </w:tcPr>
          <w:p w:rsidR="00273DB6" w:rsidRPr="00537B3A" w:rsidRDefault="00DA6F54" w:rsidP="004829DF">
            <w:pPr>
              <w:keepNext/>
              <w:jc w:val="left"/>
              <w:rPr>
                <w:sz w:val="18"/>
              </w:rPr>
            </w:pPr>
            <w:r w:rsidRPr="00DA6F54">
              <w:rPr>
                <w:sz w:val="18"/>
              </w:rPr>
              <w:t>Francia (Sr. Richard Brand)</w:t>
            </w:r>
          </w:p>
        </w:tc>
      </w:tr>
      <w:tr w:rsidR="00273DB6" w:rsidRPr="00537B3A" w:rsidTr="00DA6F54">
        <w:tc>
          <w:tcPr>
            <w:tcW w:w="5670" w:type="dxa"/>
            <w:vAlign w:val="center"/>
          </w:tcPr>
          <w:p w:rsidR="00273DB6" w:rsidRPr="004829DF" w:rsidRDefault="00DA6F54" w:rsidP="004829DF">
            <w:pPr>
              <w:keepNext/>
              <w:jc w:val="left"/>
              <w:rPr>
                <w:sz w:val="18"/>
              </w:rPr>
            </w:pPr>
            <w:r w:rsidRPr="00DA6F54">
              <w:rPr>
                <w:sz w:val="18"/>
              </w:rPr>
              <w:t>Armonización de los ensayos de resistencia en el examen DHE:</w:t>
            </w:r>
            <w:r w:rsidRPr="004829DF">
              <w:rPr>
                <w:sz w:val="18"/>
              </w:rPr>
              <w:t xml:space="preserve"> </w:t>
            </w:r>
            <w:r w:rsidR="00273DB6" w:rsidRPr="004829DF">
              <w:rPr>
                <w:sz w:val="18"/>
              </w:rPr>
              <w:t xml:space="preserve"> “Harmores 2”</w:t>
            </w:r>
          </w:p>
        </w:tc>
        <w:tc>
          <w:tcPr>
            <w:tcW w:w="4111" w:type="dxa"/>
          </w:tcPr>
          <w:p w:rsidR="00273DB6" w:rsidRPr="00537B3A" w:rsidRDefault="00DA6F54" w:rsidP="004829DF">
            <w:pPr>
              <w:keepNext/>
              <w:jc w:val="left"/>
              <w:rPr>
                <w:sz w:val="18"/>
              </w:rPr>
            </w:pPr>
            <w:r w:rsidRPr="00DA6F54">
              <w:rPr>
                <w:sz w:val="18"/>
              </w:rPr>
              <w:t>Unión Europea (Sr. Sergio Semon)</w:t>
            </w:r>
          </w:p>
        </w:tc>
      </w:tr>
      <w:tr w:rsidR="00273DB6" w:rsidRPr="00537B3A" w:rsidTr="00DA6F54">
        <w:tc>
          <w:tcPr>
            <w:tcW w:w="5670" w:type="dxa"/>
            <w:vAlign w:val="center"/>
          </w:tcPr>
          <w:p w:rsidR="00273DB6" w:rsidRDefault="00DA6F54" w:rsidP="004829DF">
            <w:pPr>
              <w:rPr>
                <w:sz w:val="18"/>
              </w:rPr>
            </w:pPr>
            <w:r w:rsidRPr="00DA6F54">
              <w:rPr>
                <w:sz w:val="18"/>
              </w:rPr>
              <w:t>Marcadores moleculares específicos de resistencia en el examen DHE</w:t>
            </w:r>
          </w:p>
        </w:tc>
        <w:tc>
          <w:tcPr>
            <w:tcW w:w="4111" w:type="dxa"/>
          </w:tcPr>
          <w:p w:rsidR="00273DB6" w:rsidRDefault="00DA6F54" w:rsidP="004829DF">
            <w:pPr>
              <w:keepNext/>
              <w:jc w:val="left"/>
              <w:rPr>
                <w:sz w:val="18"/>
              </w:rPr>
            </w:pPr>
            <w:r w:rsidRPr="00DA6F54">
              <w:rPr>
                <w:sz w:val="18"/>
              </w:rPr>
              <w:t>Países Bajos (Sr. Bert Scholte)</w:t>
            </w:r>
          </w:p>
        </w:tc>
      </w:tr>
      <w:tr w:rsidR="00273DB6" w:rsidRPr="00D60862" w:rsidTr="00DA6F54">
        <w:tc>
          <w:tcPr>
            <w:tcW w:w="5670" w:type="dxa"/>
            <w:vAlign w:val="center"/>
          </w:tcPr>
          <w:p w:rsidR="00273DB6" w:rsidRPr="00537B3A" w:rsidRDefault="00DA6F54" w:rsidP="004829DF">
            <w:pPr>
              <w:rPr>
                <w:sz w:val="18"/>
              </w:rPr>
            </w:pPr>
            <w:r w:rsidRPr="00DA6F54">
              <w:rPr>
                <w:sz w:val="18"/>
              </w:rPr>
              <w:t>Utilización de caracteres de reacción ante las enfermedades en el examen DHE de la soja por parte de la Oficina de Protección de las Obtenciones Vegetales de los Estados Unidos de América</w:t>
            </w:r>
          </w:p>
        </w:tc>
        <w:tc>
          <w:tcPr>
            <w:tcW w:w="4111" w:type="dxa"/>
          </w:tcPr>
          <w:p w:rsidR="00273DB6" w:rsidRPr="006E4918" w:rsidRDefault="00DA6F54" w:rsidP="004829DF">
            <w:pPr>
              <w:keepNext/>
              <w:jc w:val="left"/>
              <w:rPr>
                <w:sz w:val="18"/>
                <w:lang w:val="pt-PT"/>
              </w:rPr>
            </w:pPr>
            <w:r w:rsidRPr="006E4918">
              <w:rPr>
                <w:sz w:val="18"/>
                <w:lang w:val="pt-PT"/>
              </w:rPr>
              <w:t>Estados Unidos de América (Sr. Paul Zankowski)</w:t>
            </w:r>
          </w:p>
        </w:tc>
      </w:tr>
    </w:tbl>
    <w:p w:rsidR="00273DB6" w:rsidRPr="006E4918" w:rsidRDefault="00273DB6" w:rsidP="00273DB6">
      <w:pPr>
        <w:ind w:left="567" w:hanging="567"/>
        <w:rPr>
          <w:lang w:val="pt-PT"/>
        </w:rPr>
      </w:pPr>
    </w:p>
    <w:p w:rsidR="00273DB6" w:rsidRPr="006E4918" w:rsidRDefault="00273DB6" w:rsidP="00273DB6">
      <w:pPr>
        <w:ind w:left="567" w:hanging="567"/>
        <w:rPr>
          <w:lang w:val="pt-PT"/>
        </w:rPr>
      </w:pPr>
    </w:p>
    <w:p w:rsidR="00273DB6" w:rsidRPr="009B196C" w:rsidRDefault="00AF3692" w:rsidP="00273DB6">
      <w:pPr>
        <w:pStyle w:val="Heading3"/>
        <w:rPr>
          <w:lang w:val="es-ES"/>
        </w:rPr>
      </w:pPr>
      <w:bookmarkStart w:id="44" w:name="_Toc492290052"/>
      <w:r w:rsidRPr="009B196C">
        <w:rPr>
          <w:lang w:val="es-ES"/>
        </w:rPr>
        <w:t>b)</w:t>
      </w:r>
      <w:r w:rsidRPr="009B196C">
        <w:rPr>
          <w:lang w:val="es-ES"/>
        </w:rPr>
        <w:tab/>
      </w:r>
      <w:r w:rsidR="00DA6F54" w:rsidRPr="00DA6F54">
        <w:rPr>
          <w:lang w:val="es-ES_tradnl"/>
        </w:rPr>
        <w:t>La gestión de las colecciones de variedades</w:t>
      </w:r>
      <w:bookmarkEnd w:id="44"/>
      <w:r w:rsidR="00273DB6" w:rsidRPr="009B196C">
        <w:rPr>
          <w:lang w:val="es-ES"/>
        </w:rPr>
        <w:t xml:space="preserve"> </w:t>
      </w:r>
    </w:p>
    <w:p w:rsidR="00273DB6" w:rsidRPr="00D51062" w:rsidRDefault="00273DB6" w:rsidP="00273DB6"/>
    <w:p w:rsidR="00273DB6" w:rsidRPr="00D51062" w:rsidRDefault="007D43C5" w:rsidP="00273DB6">
      <w:pPr>
        <w:keepNext/>
      </w:pPr>
      <w:r w:rsidRPr="00D51062">
        <w:fldChar w:fldCharType="begin"/>
      </w:r>
      <w:r w:rsidR="00273DB6" w:rsidRPr="00D51062">
        <w:instrText xml:space="preserve"> AUTONUM  </w:instrText>
      </w:r>
      <w:r w:rsidRPr="00D51062">
        <w:fldChar w:fldCharType="end"/>
      </w:r>
      <w:r w:rsidR="00273DB6" w:rsidRPr="00D51062">
        <w:tab/>
      </w:r>
      <w:r w:rsidR="00DA6F54" w:rsidRPr="00DA6F54">
        <w:t>El TC asistió a las siguientes ponencias sobre la gestión de las colecciones de variedades (por orden de presentación):</w:t>
      </w:r>
    </w:p>
    <w:p w:rsidR="00273DB6" w:rsidRPr="00D51062" w:rsidRDefault="00273DB6" w:rsidP="00273DB6"/>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273DB6" w:rsidRPr="00D51062" w:rsidTr="00DA6F54">
        <w:tc>
          <w:tcPr>
            <w:tcW w:w="5670" w:type="dxa"/>
            <w:vAlign w:val="center"/>
          </w:tcPr>
          <w:p w:rsidR="00273DB6" w:rsidRPr="00D51062" w:rsidRDefault="00DA6F54" w:rsidP="004829DF">
            <w:pPr>
              <w:keepNext/>
              <w:rPr>
                <w:sz w:val="18"/>
              </w:rPr>
            </w:pPr>
            <w:r w:rsidRPr="00DA6F54">
              <w:rPr>
                <w:sz w:val="18"/>
              </w:rPr>
              <w:t>El empleo de las técnicas moleculares en Francia</w:t>
            </w:r>
          </w:p>
        </w:tc>
        <w:tc>
          <w:tcPr>
            <w:tcW w:w="4111" w:type="dxa"/>
          </w:tcPr>
          <w:p w:rsidR="00273DB6" w:rsidRPr="00D51062" w:rsidRDefault="00DA6F54" w:rsidP="004829DF">
            <w:pPr>
              <w:keepNext/>
              <w:jc w:val="left"/>
              <w:rPr>
                <w:sz w:val="18"/>
              </w:rPr>
            </w:pPr>
            <w:r w:rsidRPr="00DA6F54">
              <w:rPr>
                <w:sz w:val="18"/>
              </w:rPr>
              <w:t>Francia (Sra. Clarisse Leclair)</w:t>
            </w:r>
          </w:p>
        </w:tc>
      </w:tr>
      <w:tr w:rsidR="00273DB6" w:rsidRPr="00D51062" w:rsidTr="00DA6F54">
        <w:tc>
          <w:tcPr>
            <w:tcW w:w="5670" w:type="dxa"/>
            <w:vAlign w:val="center"/>
          </w:tcPr>
          <w:p w:rsidR="00273DB6" w:rsidRPr="00D51062" w:rsidRDefault="00DA6F54" w:rsidP="004829DF">
            <w:pPr>
              <w:rPr>
                <w:sz w:val="18"/>
              </w:rPr>
            </w:pPr>
            <w:r w:rsidRPr="00DA6F54">
              <w:rPr>
                <w:sz w:val="18"/>
              </w:rPr>
              <w:t>Colecciones de variedades</w:t>
            </w:r>
            <w:r w:rsidR="007829E4">
              <w:rPr>
                <w:sz w:val="18"/>
              </w:rPr>
              <w:t xml:space="preserve">:  </w:t>
            </w:r>
            <w:r w:rsidRPr="00DA6F54">
              <w:rPr>
                <w:sz w:val="18"/>
              </w:rPr>
              <w:t>bases de datos de ADN armonizadas</w:t>
            </w:r>
          </w:p>
        </w:tc>
        <w:tc>
          <w:tcPr>
            <w:tcW w:w="4111" w:type="dxa"/>
          </w:tcPr>
          <w:p w:rsidR="00273DB6" w:rsidRPr="00D51062" w:rsidRDefault="00DA6F54" w:rsidP="004829DF">
            <w:pPr>
              <w:keepNext/>
              <w:jc w:val="left"/>
              <w:rPr>
                <w:sz w:val="18"/>
              </w:rPr>
            </w:pPr>
            <w:r w:rsidRPr="00DA6F54">
              <w:rPr>
                <w:sz w:val="18"/>
              </w:rPr>
              <w:t>Países Bajos (Sr. Bert Scholte)</w:t>
            </w:r>
          </w:p>
        </w:tc>
      </w:tr>
      <w:tr w:rsidR="00273DB6" w:rsidRPr="00D51062" w:rsidTr="00DA6F54">
        <w:tc>
          <w:tcPr>
            <w:tcW w:w="5670" w:type="dxa"/>
            <w:vAlign w:val="center"/>
          </w:tcPr>
          <w:p w:rsidR="00273DB6" w:rsidRPr="00D51062" w:rsidRDefault="00DA6F54" w:rsidP="004829DF">
            <w:pPr>
              <w:rPr>
                <w:sz w:val="18"/>
              </w:rPr>
            </w:pPr>
            <w:r w:rsidRPr="00DA6F54">
              <w:rPr>
                <w:sz w:val="18"/>
              </w:rPr>
              <w:t>La gestión de las colecciones de variedades por plantación cíclica de variedades establecidas</w:t>
            </w:r>
          </w:p>
        </w:tc>
        <w:tc>
          <w:tcPr>
            <w:tcW w:w="4111" w:type="dxa"/>
          </w:tcPr>
          <w:p w:rsidR="00273DB6" w:rsidRPr="00D51062" w:rsidRDefault="00DA6F54" w:rsidP="004829DF">
            <w:pPr>
              <w:keepNext/>
              <w:jc w:val="left"/>
              <w:rPr>
                <w:sz w:val="18"/>
              </w:rPr>
            </w:pPr>
            <w:r w:rsidRPr="00DA6F54">
              <w:rPr>
                <w:sz w:val="18"/>
              </w:rPr>
              <w:t>Reino Unido (Sra. Sally Watson)</w:t>
            </w:r>
          </w:p>
        </w:tc>
      </w:tr>
    </w:tbl>
    <w:p w:rsidR="009466BA" w:rsidRDefault="009466BA" w:rsidP="00273DB6">
      <w:pPr>
        <w:pStyle w:val="Heading3"/>
        <w:rPr>
          <w:lang w:val="es-ES"/>
        </w:rPr>
      </w:pPr>
      <w:bookmarkStart w:id="45" w:name="_Toc492290053"/>
    </w:p>
    <w:p w:rsidR="009466BA" w:rsidRDefault="009466BA" w:rsidP="00273DB6">
      <w:pPr>
        <w:pStyle w:val="Heading3"/>
        <w:rPr>
          <w:lang w:val="es-ES"/>
        </w:rPr>
      </w:pPr>
    </w:p>
    <w:p w:rsidR="00273DB6" w:rsidRPr="009B196C" w:rsidRDefault="00AF3692" w:rsidP="00273DB6">
      <w:pPr>
        <w:pStyle w:val="Heading3"/>
        <w:rPr>
          <w:lang w:val="es-ES"/>
        </w:rPr>
      </w:pPr>
      <w:r w:rsidRPr="009B196C">
        <w:rPr>
          <w:lang w:val="es-ES"/>
        </w:rPr>
        <w:t>c)</w:t>
      </w:r>
      <w:r w:rsidRPr="009B196C">
        <w:rPr>
          <w:lang w:val="es-ES"/>
        </w:rPr>
        <w:tab/>
      </w:r>
      <w:r w:rsidR="00DA6F54" w:rsidRPr="00DA6F54">
        <w:rPr>
          <w:lang w:val="es-ES_tradnl"/>
        </w:rPr>
        <w:t>La distancia mínima entre las variedades</w:t>
      </w:r>
      <w:bookmarkEnd w:id="45"/>
    </w:p>
    <w:p w:rsidR="00273DB6" w:rsidRPr="00D51062" w:rsidRDefault="00273DB6" w:rsidP="00273DB6">
      <w:pPr>
        <w:keepNext/>
      </w:pPr>
    </w:p>
    <w:p w:rsidR="00273DB6" w:rsidRPr="00D51062" w:rsidRDefault="007D43C5" w:rsidP="00273DB6">
      <w:pPr>
        <w:keepNext/>
      </w:pPr>
      <w:r w:rsidRPr="00D51062">
        <w:fldChar w:fldCharType="begin"/>
      </w:r>
      <w:r w:rsidR="00273DB6" w:rsidRPr="00D51062">
        <w:instrText xml:space="preserve"> AUTONUM  </w:instrText>
      </w:r>
      <w:r w:rsidRPr="00D51062">
        <w:fldChar w:fldCharType="end"/>
      </w:r>
      <w:r w:rsidR="00273DB6" w:rsidRPr="00D51062">
        <w:tab/>
      </w:r>
      <w:r w:rsidR="00DA6F54" w:rsidRPr="00DA6F54">
        <w:t>El TC asistió a la siguiente ponencia sobre la distancia mínima entre las variedades:</w:t>
      </w:r>
      <w:r w:rsidR="00273DB6" w:rsidRPr="00D51062">
        <w:t xml:space="preserve"> </w:t>
      </w:r>
    </w:p>
    <w:p w:rsidR="00273DB6" w:rsidRPr="00D51062" w:rsidRDefault="00273DB6" w:rsidP="00273DB6">
      <w:pPr>
        <w:keepNext/>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273DB6" w:rsidRPr="00D51062" w:rsidTr="00436A16">
        <w:tc>
          <w:tcPr>
            <w:tcW w:w="5670" w:type="dxa"/>
            <w:vAlign w:val="center"/>
          </w:tcPr>
          <w:p w:rsidR="00273DB6" w:rsidRPr="00D51062" w:rsidRDefault="00DA6F54" w:rsidP="004829DF">
            <w:pPr>
              <w:keepNext/>
              <w:rPr>
                <w:sz w:val="18"/>
              </w:rPr>
            </w:pPr>
            <w:r w:rsidRPr="00DA6F54">
              <w:rPr>
                <w:sz w:val="18"/>
              </w:rPr>
              <w:t>La agricultura actual está en peligro debido a la disminución de las distancias genéticas entre las variedades vegetales:</w:t>
            </w:r>
            <w:r w:rsidR="00273DB6" w:rsidRPr="00D51062">
              <w:rPr>
                <w:sz w:val="18"/>
              </w:rPr>
              <w:t xml:space="preserve"> </w:t>
            </w:r>
            <w:r>
              <w:rPr>
                <w:sz w:val="18"/>
              </w:rPr>
              <w:t xml:space="preserve"> </w:t>
            </w:r>
            <w:r w:rsidRPr="00DA6F54">
              <w:rPr>
                <w:sz w:val="18"/>
              </w:rPr>
              <w:t>¿realidad o ficción?</w:t>
            </w:r>
            <w:r>
              <w:rPr>
                <w:sz w:val="18"/>
              </w:rPr>
              <w:t xml:space="preserve"> </w:t>
            </w:r>
            <w:r w:rsidR="00273DB6" w:rsidRPr="00D51062">
              <w:rPr>
                <w:sz w:val="18"/>
              </w:rPr>
              <w:t xml:space="preserve"> </w:t>
            </w:r>
            <w:r w:rsidRPr="00DA6F54">
              <w:rPr>
                <w:sz w:val="18"/>
              </w:rPr>
              <w:t>Estudio del caso del tomate</w:t>
            </w:r>
          </w:p>
        </w:tc>
        <w:tc>
          <w:tcPr>
            <w:tcW w:w="4111" w:type="dxa"/>
          </w:tcPr>
          <w:p w:rsidR="00273DB6" w:rsidRPr="00D51062" w:rsidRDefault="00DA6F54" w:rsidP="004829DF">
            <w:pPr>
              <w:keepNext/>
              <w:jc w:val="left"/>
              <w:rPr>
                <w:sz w:val="18"/>
              </w:rPr>
            </w:pPr>
            <w:r w:rsidRPr="00DA6F54">
              <w:rPr>
                <w:sz w:val="18"/>
              </w:rPr>
              <w:t>Países Bajos (Sr. Henk Schouten)</w:t>
            </w:r>
          </w:p>
        </w:tc>
      </w:tr>
    </w:tbl>
    <w:p w:rsidR="00273DB6" w:rsidRPr="009B196C" w:rsidRDefault="00273DB6" w:rsidP="00273DB6">
      <w:pPr>
        <w:pStyle w:val="Heading2"/>
        <w:rPr>
          <w:snapToGrid w:val="0"/>
          <w:lang w:val="es-ES"/>
        </w:rPr>
      </w:pPr>
    </w:p>
    <w:p w:rsidR="00273DB6" w:rsidRDefault="007D43C5" w:rsidP="00273DB6">
      <w:pPr>
        <w:rPr>
          <w:snapToGrid w:val="0"/>
        </w:rPr>
      </w:pPr>
      <w:r w:rsidRPr="00CC6C44">
        <w:rPr>
          <w:snapToGrid w:val="0"/>
        </w:rPr>
        <w:fldChar w:fldCharType="begin"/>
      </w:r>
      <w:r w:rsidR="00273DB6" w:rsidRPr="00CC6C44">
        <w:rPr>
          <w:snapToGrid w:val="0"/>
        </w:rPr>
        <w:instrText xml:space="preserve"> AUTONUM  </w:instrText>
      </w:r>
      <w:r w:rsidRPr="00CC6C44">
        <w:rPr>
          <w:snapToGrid w:val="0"/>
        </w:rPr>
        <w:fldChar w:fldCharType="end"/>
      </w:r>
      <w:r w:rsidR="00273DB6" w:rsidRPr="00CC6C44">
        <w:rPr>
          <w:snapToGrid w:val="0"/>
        </w:rPr>
        <w:tab/>
      </w:r>
      <w:r w:rsidR="00DA6F54" w:rsidRPr="00DA6F54">
        <w:rPr>
          <w:snapToGrid w:val="0"/>
        </w:rPr>
        <w:t>El TC acogió con agrado la ponencia presentada por los Países Bajos y tomó nota de que se publicará un informe completo del estudio.</w:t>
      </w:r>
      <w:r w:rsidR="00273DB6">
        <w:rPr>
          <w:snapToGrid w:val="0"/>
        </w:rPr>
        <w:t xml:space="preserve">  </w:t>
      </w:r>
      <w:r w:rsidR="00DA6F54" w:rsidRPr="00DA6F54">
        <w:rPr>
          <w:snapToGrid w:val="0"/>
        </w:rPr>
        <w:t>El TC tomó nota de que la Oficina de la Unión procurará elaborar un video breve sobre el estudio realizado por los Países Bajos para publicarlo en el sitio web de la UPOV.</w:t>
      </w:r>
    </w:p>
    <w:p w:rsidR="00273DB6" w:rsidRPr="00CC6C44" w:rsidRDefault="00273DB6" w:rsidP="00273DB6"/>
    <w:p w:rsidR="00273DB6" w:rsidRPr="00D51062" w:rsidRDefault="00273DB6" w:rsidP="00273DB6"/>
    <w:p w:rsidR="00273DB6" w:rsidRPr="009B196C" w:rsidRDefault="00AF3692" w:rsidP="00273DB6">
      <w:pPr>
        <w:pStyle w:val="Heading3"/>
        <w:rPr>
          <w:lang w:val="es-ES"/>
        </w:rPr>
      </w:pPr>
      <w:bookmarkStart w:id="46" w:name="_Toc492290054"/>
      <w:r w:rsidRPr="009B196C">
        <w:rPr>
          <w:lang w:val="es-ES"/>
        </w:rPr>
        <w:t>d)</w:t>
      </w:r>
      <w:r w:rsidRPr="009B196C">
        <w:rPr>
          <w:lang w:val="es-ES"/>
        </w:rPr>
        <w:tab/>
      </w:r>
      <w:r w:rsidR="00DA6F54" w:rsidRPr="00DA6F54">
        <w:rPr>
          <w:lang w:val="es-ES_tradnl"/>
        </w:rPr>
        <w:t>La creciente participación de nuevos miembros de la Unión en la labor del TC y de los TWP</w:t>
      </w:r>
      <w:bookmarkEnd w:id="46"/>
    </w:p>
    <w:p w:rsidR="00273DB6" w:rsidRPr="00D51062" w:rsidRDefault="00273DB6" w:rsidP="00273DB6">
      <w:pPr>
        <w:ind w:left="567" w:hanging="567"/>
        <w:rPr>
          <w:rFonts w:cs="Arial"/>
          <w:snapToGrid w:val="0"/>
        </w:rPr>
      </w:pPr>
    </w:p>
    <w:p w:rsidR="00273DB6" w:rsidRPr="00D51062" w:rsidRDefault="007D43C5" w:rsidP="00273DB6">
      <w:pPr>
        <w:keepNext/>
      </w:pPr>
      <w:r w:rsidRPr="00D51062">
        <w:fldChar w:fldCharType="begin"/>
      </w:r>
      <w:r w:rsidR="00273DB6" w:rsidRPr="00D51062">
        <w:instrText xml:space="preserve"> AUTONUM  </w:instrText>
      </w:r>
      <w:r w:rsidRPr="00D51062">
        <w:fldChar w:fldCharType="end"/>
      </w:r>
      <w:r w:rsidR="00273DB6" w:rsidRPr="00D51062">
        <w:tab/>
      </w:r>
      <w:r w:rsidR="00DA6F54" w:rsidRPr="00436A16">
        <w:t>El TC asistió a las siguientes presentaciones sobre la creciente participación de nuevos miembros de la Unión en la labor del TC y de los TWP (por orden de presentación):</w:t>
      </w:r>
    </w:p>
    <w:p w:rsidR="00273DB6" w:rsidRPr="00D51062" w:rsidRDefault="00273DB6" w:rsidP="00273DB6"/>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273DB6" w:rsidRPr="00D51062" w:rsidTr="00436A16">
        <w:tc>
          <w:tcPr>
            <w:tcW w:w="5670" w:type="dxa"/>
            <w:vAlign w:val="center"/>
          </w:tcPr>
          <w:p w:rsidR="00273DB6" w:rsidRPr="00D51062" w:rsidRDefault="00436A16" w:rsidP="004829DF">
            <w:pPr>
              <w:keepNext/>
              <w:rPr>
                <w:sz w:val="18"/>
              </w:rPr>
            </w:pPr>
            <w:r w:rsidRPr="00436A16">
              <w:rPr>
                <w:sz w:val="18"/>
              </w:rPr>
              <w:t>UPOV</w:t>
            </w:r>
            <w:r w:rsidR="007829E4">
              <w:rPr>
                <w:sz w:val="18"/>
              </w:rPr>
              <w:t xml:space="preserve">:  </w:t>
            </w:r>
            <w:r w:rsidRPr="00436A16">
              <w:rPr>
                <w:sz w:val="18"/>
              </w:rPr>
              <w:t>cómo aumentar la participación de nuevos miembros</w:t>
            </w:r>
          </w:p>
        </w:tc>
        <w:tc>
          <w:tcPr>
            <w:tcW w:w="4111" w:type="dxa"/>
          </w:tcPr>
          <w:p w:rsidR="00273DB6" w:rsidRPr="00D51062" w:rsidRDefault="00436A16" w:rsidP="004829DF">
            <w:pPr>
              <w:keepNext/>
              <w:jc w:val="left"/>
              <w:rPr>
                <w:sz w:val="18"/>
              </w:rPr>
            </w:pPr>
            <w:r w:rsidRPr="00436A16">
              <w:rPr>
                <w:sz w:val="18"/>
              </w:rPr>
              <w:t>Países Bajos (Sr. Marien Valstar)</w:t>
            </w:r>
          </w:p>
        </w:tc>
      </w:tr>
      <w:tr w:rsidR="00273DB6" w:rsidRPr="00D51062" w:rsidTr="00436A16">
        <w:tc>
          <w:tcPr>
            <w:tcW w:w="5670" w:type="dxa"/>
            <w:shd w:val="clear" w:color="auto" w:fill="auto"/>
            <w:vAlign w:val="center"/>
          </w:tcPr>
          <w:p w:rsidR="00273DB6" w:rsidRPr="00D51062" w:rsidRDefault="00436A16" w:rsidP="004829DF">
            <w:pPr>
              <w:rPr>
                <w:sz w:val="18"/>
                <w:lang w:val="es-ES"/>
              </w:rPr>
            </w:pPr>
            <w:r w:rsidRPr="00436A16">
              <w:rPr>
                <w:sz w:val="18"/>
                <w:szCs w:val="18"/>
              </w:rPr>
              <w:t>Intervención de Perú en la sesión del Comité Técnico de la UPOV</w:t>
            </w:r>
          </w:p>
        </w:tc>
        <w:tc>
          <w:tcPr>
            <w:tcW w:w="4111" w:type="dxa"/>
            <w:shd w:val="clear" w:color="auto" w:fill="auto"/>
          </w:tcPr>
          <w:p w:rsidR="00273DB6" w:rsidRPr="00D51062" w:rsidRDefault="00436A16" w:rsidP="004829DF">
            <w:pPr>
              <w:keepNext/>
              <w:jc w:val="left"/>
              <w:rPr>
                <w:sz w:val="18"/>
              </w:rPr>
            </w:pPr>
            <w:r w:rsidRPr="00436A16">
              <w:rPr>
                <w:sz w:val="18"/>
              </w:rPr>
              <w:t>Perú (Sr. Roger Becerra)</w:t>
            </w:r>
          </w:p>
        </w:tc>
      </w:tr>
    </w:tbl>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436A16" w:rsidRPr="00436A16">
        <w:t>El TC convino en invitar a los Países Bajos a elaborar un artículo sobre la creciente participación de nuevos miembros de la Unión en la labor del TC y los TWP</w:t>
      </w:r>
      <w:r w:rsidR="007829E4">
        <w:t xml:space="preserve">, </w:t>
      </w:r>
      <w:r w:rsidR="00436A16" w:rsidRPr="00436A16">
        <w:t>teniendo en cuenta la encuesta a los miembros de la UPOV de la que se informó en la quincuagésima sesión del TC (véase el documento TC/50/35 “Mejora de la eficacia del Comité Técnico</w:t>
      </w:r>
      <w:r w:rsidR="007829E4">
        <w:t xml:space="preserve">, </w:t>
      </w:r>
      <w:r w:rsidR="00436A16" w:rsidRPr="00436A16">
        <w:t xml:space="preserve">los </w:t>
      </w:r>
      <w:r w:rsidR="00DD3028" w:rsidRPr="00436A16">
        <w:t xml:space="preserve">grupos de trabajo técnico </w:t>
      </w:r>
      <w:r w:rsidR="00436A16" w:rsidRPr="00436A16">
        <w:t>y los talleres preparatorios”</w:t>
      </w:r>
      <w:r w:rsidR="007829E4">
        <w:t xml:space="preserve">, </w:t>
      </w:r>
      <w:r w:rsidR="00436A16" w:rsidRPr="00436A16">
        <w:t>en la dirección:</w:t>
      </w:r>
      <w:r w:rsidR="00436A16">
        <w:t xml:space="preserve"> </w:t>
      </w:r>
      <w:r w:rsidR="00273DB6" w:rsidRPr="00D51062">
        <w:t xml:space="preserve"> </w:t>
      </w:r>
      <w:hyperlink r:id="rId11" w:history="1">
        <w:r w:rsidR="00436A16">
          <w:rPr>
            <w:rStyle w:val="Hyperlink"/>
          </w:rPr>
          <w:t>http://www.upov.int/edocs/mdocs/upov/es/tc_50/tc_50_35.pdf</w:t>
        </w:r>
      </w:hyperlink>
      <w:r w:rsidR="00273DB6" w:rsidRPr="00D51062">
        <w:t>).</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F5151" w:rsidRPr="006F5151">
        <w:t>El TC convino en que el orden del día de las reuniones de</w:t>
      </w:r>
      <w:r w:rsidR="007829E4">
        <w:t> </w:t>
      </w:r>
      <w:r w:rsidR="007829E4" w:rsidRPr="006F5151">
        <w:t>2</w:t>
      </w:r>
      <w:r w:rsidR="006F5151" w:rsidRPr="006F5151">
        <w:t>017 de los TWP debe incluir un punto para que los nuevos miembros de la Unión presenten ponencias.</w:t>
      </w:r>
    </w:p>
    <w:p w:rsidR="00273DB6" w:rsidRPr="00D51062" w:rsidRDefault="00273DB6" w:rsidP="00273DB6"/>
    <w:p w:rsidR="00273DB6" w:rsidRPr="00D51062" w:rsidRDefault="00273DB6" w:rsidP="00273DB6"/>
    <w:p w:rsidR="00273DB6" w:rsidRPr="009B196C" w:rsidRDefault="006F5151" w:rsidP="00273DB6">
      <w:pPr>
        <w:pStyle w:val="Heading2"/>
        <w:rPr>
          <w:snapToGrid w:val="0"/>
          <w:lang w:val="es-ES"/>
        </w:rPr>
      </w:pPr>
      <w:bookmarkStart w:id="47" w:name="_Toc492290055"/>
      <w:r w:rsidRPr="006F5151">
        <w:rPr>
          <w:snapToGrid w:val="0"/>
          <w:lang w:val="es-ES_tradnl"/>
        </w:rPr>
        <w:t>Denominaciones de variedades</w:t>
      </w:r>
      <w:bookmarkEnd w:id="47"/>
    </w:p>
    <w:p w:rsidR="00273DB6" w:rsidRPr="00D51062" w:rsidRDefault="00273DB6" w:rsidP="00273DB6">
      <w:pPr>
        <w:ind w:left="567" w:hanging="567"/>
        <w:rPr>
          <w:rFonts w:cs="Arial"/>
          <w:snapToGrid w:val="0"/>
        </w:rPr>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6F5151" w:rsidRPr="006F5151">
        <w:rPr>
          <w:snapToGrid w:val="0"/>
        </w:rPr>
        <w:t>El TC examinó el documento TC/53/12.</w:t>
      </w:r>
    </w:p>
    <w:p w:rsidR="00273DB6" w:rsidRPr="00D51062" w:rsidRDefault="00273DB6" w:rsidP="00273DB6">
      <w:pPr>
        <w:rPr>
          <w:snapToGrid w:val="0"/>
          <w:lang w:eastAsia="ja-JP"/>
        </w:rPr>
      </w:pPr>
    </w:p>
    <w:bookmarkStart w:id="48" w:name="_Toc38238862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bookmarkEnd w:id="48"/>
      <w:r w:rsidR="006F5151" w:rsidRPr="006F5151">
        <w:t>El TC tomó nota de las novedades producidas en relación con una posible revisión del documento UPOV/INF/12 “Notas explicativas sobre las denominaciones de variedades con arreglo al Convenio de la UPOV”</w:t>
      </w:r>
      <w:r w:rsidR="007829E4">
        <w:t xml:space="preserve">, </w:t>
      </w:r>
      <w:r w:rsidR="006F5151" w:rsidRPr="006F5151">
        <w:t>tal como se expone en los párrafos 6 a</w:t>
      </w:r>
      <w:r w:rsidR="007829E4">
        <w:t> </w:t>
      </w:r>
      <w:r w:rsidR="007829E4" w:rsidRPr="006F5151">
        <w:t>1</w:t>
      </w:r>
      <w:r w:rsidR="006F5151" w:rsidRPr="006F5151">
        <w:t>1 del documento TC/53/12.</w:t>
      </w:r>
    </w:p>
    <w:p w:rsidR="00273DB6" w:rsidRPr="00D51062" w:rsidRDefault="00273DB6" w:rsidP="00273DB6">
      <w:pPr>
        <w:rPr>
          <w:lang w:eastAsia="ja-JP"/>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F5151" w:rsidRPr="006F5151">
        <w:t>El TC tomó nota de las novedades relativas a un instrumento de la UPOV de búsqueda de similitud a los fines de la denominación de variedades</w:t>
      </w:r>
      <w:r w:rsidR="007829E4">
        <w:t xml:space="preserve">, </w:t>
      </w:r>
      <w:r w:rsidR="006F5151" w:rsidRPr="006F5151">
        <w:t>según consta en los párrafos</w:t>
      </w:r>
      <w:r w:rsidR="007829E4">
        <w:t> </w:t>
      </w:r>
      <w:r w:rsidR="007829E4" w:rsidRPr="006F5151">
        <w:t>1</w:t>
      </w:r>
      <w:r w:rsidR="006F5151" w:rsidRPr="006F5151">
        <w:t>3 a</w:t>
      </w:r>
      <w:r w:rsidR="007829E4">
        <w:t> </w:t>
      </w:r>
      <w:r w:rsidR="007829E4" w:rsidRPr="006F5151">
        <w:t>1</w:t>
      </w:r>
      <w:r w:rsidR="006F5151" w:rsidRPr="006F5151">
        <w:t>8 del documento TC/53/12.</w:t>
      </w:r>
    </w:p>
    <w:p w:rsidR="00273DB6" w:rsidRPr="00D51062" w:rsidRDefault="00273DB6" w:rsidP="00273DB6">
      <w:pPr>
        <w:rPr>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6F5151" w:rsidRPr="006F5151">
        <w:t>El TC tomó nota de las novedades relativas a la posible ampliación del contenido de la base de datos PLUTO</w:t>
      </w:r>
      <w:r w:rsidR="007829E4">
        <w:t xml:space="preserve">, </w:t>
      </w:r>
      <w:r w:rsidR="006F5151" w:rsidRPr="006F5151">
        <w:t>que se expone en los párrafos</w:t>
      </w:r>
      <w:r w:rsidR="007829E4">
        <w:t> </w:t>
      </w:r>
      <w:r w:rsidR="007829E4" w:rsidRPr="006F5151">
        <w:t>1</w:t>
      </w:r>
      <w:r w:rsidR="006F5151" w:rsidRPr="006F5151">
        <w:t>9 a</w:t>
      </w:r>
      <w:r w:rsidR="007829E4">
        <w:t> </w:t>
      </w:r>
      <w:r w:rsidR="007829E4" w:rsidRPr="006F5151">
        <w:t>2</w:t>
      </w:r>
      <w:r w:rsidR="006F5151" w:rsidRPr="006F5151">
        <w:t>3 del documento TC/53/12.</w:t>
      </w:r>
    </w:p>
    <w:p w:rsidR="00273DB6" w:rsidRPr="00D51062" w:rsidRDefault="00273DB6" w:rsidP="00273DB6">
      <w:pPr>
        <w:rPr>
          <w:lang w:eastAsia="ja-JP"/>
        </w:rPr>
      </w:pPr>
    </w:p>
    <w:p w:rsidR="00273DB6" w:rsidRPr="00D51062" w:rsidRDefault="007D43C5" w:rsidP="00273DB6">
      <w:pPr>
        <w:rPr>
          <w:rFonts w:eastAsia="MS Mincho"/>
          <w:snapToGrid w:val="0"/>
          <w:lang w:eastAsia="ja-JP"/>
        </w:rPr>
      </w:pPr>
      <w:r w:rsidRPr="00D51062">
        <w:fldChar w:fldCharType="begin"/>
      </w:r>
      <w:r w:rsidR="00273DB6" w:rsidRPr="00D51062">
        <w:instrText xml:space="preserve"> AUTONUM  </w:instrText>
      </w:r>
      <w:r w:rsidRPr="00D51062">
        <w:fldChar w:fldCharType="end"/>
      </w:r>
      <w:r w:rsidR="00273DB6" w:rsidRPr="00D51062">
        <w:tab/>
      </w:r>
      <w:r w:rsidR="006F5151" w:rsidRPr="006F5151">
        <w:t>El TC tomó nota de las novedades relativas a los términos inadmisibles</w:t>
      </w:r>
      <w:r w:rsidR="007829E4">
        <w:t xml:space="preserve">, </w:t>
      </w:r>
      <w:r w:rsidR="006F5151" w:rsidRPr="006F5151">
        <w:t>que se exponen en los párrafos</w:t>
      </w:r>
      <w:r w:rsidR="007829E4">
        <w:t> </w:t>
      </w:r>
      <w:r w:rsidR="007829E4" w:rsidRPr="006F5151">
        <w:t>2</w:t>
      </w:r>
      <w:r w:rsidR="006F5151" w:rsidRPr="006F5151">
        <w:t>4 a</w:t>
      </w:r>
      <w:r w:rsidR="007829E4">
        <w:t> </w:t>
      </w:r>
      <w:r w:rsidR="007829E4" w:rsidRPr="006F5151">
        <w:t>2</w:t>
      </w:r>
      <w:r w:rsidR="006F5151" w:rsidRPr="006F5151">
        <w:t>8 del documento TC/53/12.</w:t>
      </w:r>
    </w:p>
    <w:p w:rsidR="00273DB6" w:rsidRPr="00D51062" w:rsidRDefault="00273DB6" w:rsidP="00273DB6">
      <w:pPr>
        <w:rPr>
          <w:rFonts w:eastAsia="MS Mincho"/>
          <w:snapToGrid w:val="0"/>
          <w:lang w:eastAsia="ja-JP"/>
        </w:rPr>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6F5151" w:rsidRPr="006F5151">
        <w:t>El TC tomó nota de que la tercera reunión del WG</w:t>
      </w:r>
      <w:r w:rsidR="006F5151" w:rsidRPr="006F5151">
        <w:noBreakHyphen/>
        <w:t>DEN se celebraría en Ginebra el</w:t>
      </w:r>
      <w:r w:rsidR="007829E4">
        <w:t> </w:t>
      </w:r>
      <w:r w:rsidR="007829E4" w:rsidRPr="006F5151">
        <w:t>7</w:t>
      </w:r>
      <w:r w:rsidR="006F5151" w:rsidRPr="006F5151">
        <w:t xml:space="preserve"> de abril de 2017.</w:t>
      </w:r>
    </w:p>
    <w:p w:rsidR="00273DB6" w:rsidRPr="00D51062" w:rsidRDefault="00273DB6" w:rsidP="00273DB6">
      <w:pPr>
        <w:rPr>
          <w:rFonts w:eastAsia="MS Mincho"/>
          <w:snapToGrid w:val="0"/>
          <w:lang w:eastAsia="ja-JP"/>
        </w:rPr>
      </w:pPr>
    </w:p>
    <w:p w:rsidR="00273DB6" w:rsidRPr="00D51062" w:rsidRDefault="007D43C5" w:rsidP="00273DB6">
      <w:pPr>
        <w:rPr>
          <w:lang w:eastAsia="ja-JP"/>
        </w:rPr>
      </w:pPr>
      <w:r w:rsidRPr="00D51062">
        <w:fldChar w:fldCharType="begin"/>
      </w:r>
      <w:r w:rsidR="00273DB6" w:rsidRPr="00D51062">
        <w:instrText xml:space="preserve"> AUTONUM  </w:instrText>
      </w:r>
      <w:r w:rsidRPr="00D51062">
        <w:fldChar w:fldCharType="end"/>
      </w:r>
      <w:r w:rsidR="00273DB6" w:rsidRPr="00D51062">
        <w:tab/>
      </w:r>
      <w:r w:rsidR="006F5151" w:rsidRPr="006F5151">
        <w:t>El TC tomó nota del proyecto de orden del día de la tercera reunión del WG</w:t>
      </w:r>
      <w:r w:rsidR="006F5151" w:rsidRPr="006F5151">
        <w:noBreakHyphen/>
        <w:t>DEN</w:t>
      </w:r>
      <w:r w:rsidR="007829E4">
        <w:t xml:space="preserve">, </w:t>
      </w:r>
      <w:r w:rsidR="006F5151" w:rsidRPr="006F5151">
        <w:t>que se expone en el párrafo 30 del documento TC/53/12.</w:t>
      </w:r>
    </w:p>
    <w:p w:rsidR="00273DB6" w:rsidRPr="00D51062" w:rsidRDefault="00273DB6" w:rsidP="00273DB6">
      <w:pPr>
        <w:rPr>
          <w:rFonts w:cs="Arial"/>
          <w:snapToGrid w:val="0"/>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F5151" w:rsidRPr="006F5151">
        <w:t>La Unión Europea recordó la importancia de comparar los resultados del nuevo algoritmo con otros algoritmos anteriores y de asegurarse de que constituirá una mejora en términos de precisión y recuperación y destacó la necesidad de abordar los “falsos negativos” y de tratar datos tales como las letras dobles.</w:t>
      </w:r>
      <w:r w:rsidR="00273DB6" w:rsidRPr="00D51062">
        <w:t xml:space="preserve"> </w:t>
      </w:r>
    </w:p>
    <w:p w:rsidR="00273DB6" w:rsidRPr="00D51062" w:rsidRDefault="00273DB6" w:rsidP="00273DB6"/>
    <w:p w:rsidR="00273DB6" w:rsidRPr="00D51062" w:rsidRDefault="00273DB6" w:rsidP="00273DB6">
      <w:pPr>
        <w:rPr>
          <w:rFonts w:cs="Arial"/>
          <w:snapToGrid w:val="0"/>
        </w:rPr>
      </w:pPr>
    </w:p>
    <w:p w:rsidR="00273DB6" w:rsidRPr="009B196C" w:rsidRDefault="006F5151" w:rsidP="00273DB6">
      <w:pPr>
        <w:pStyle w:val="Heading2"/>
        <w:rPr>
          <w:snapToGrid w:val="0"/>
          <w:lang w:val="es-ES"/>
        </w:rPr>
      </w:pPr>
      <w:bookmarkStart w:id="49" w:name="_Toc492290056"/>
      <w:r w:rsidRPr="006F5151">
        <w:rPr>
          <w:snapToGrid w:val="0"/>
          <w:lang w:val="es-ES_tradnl"/>
        </w:rPr>
        <w:t>Talleres preparatorios</w:t>
      </w:r>
      <w:bookmarkEnd w:id="49"/>
    </w:p>
    <w:p w:rsidR="00273DB6" w:rsidRPr="00D51062" w:rsidRDefault="00273DB6" w:rsidP="00273DB6">
      <w:pPr>
        <w:keepNext/>
        <w:rPr>
          <w:snapToGrid w:val="0"/>
        </w:rPr>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6F5151" w:rsidRPr="006F5151">
        <w:rPr>
          <w:snapToGrid w:val="0"/>
        </w:rPr>
        <w:t>El TC examinó el documento TC/53/13.</w:t>
      </w:r>
    </w:p>
    <w:p w:rsidR="00273DB6" w:rsidRPr="00D51062" w:rsidRDefault="00273DB6" w:rsidP="00273DB6">
      <w:pPr>
        <w:rPr>
          <w:snapToGrid w:val="0"/>
          <w:lang w:eastAsia="ja-JP"/>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F5151" w:rsidRPr="006F5151">
        <w:t>El TC tomó nota del informe sobre los talleres preparatorios celebrados en</w:t>
      </w:r>
      <w:r w:rsidR="007829E4">
        <w:t> </w:t>
      </w:r>
      <w:r w:rsidR="007829E4" w:rsidRPr="006F5151">
        <w:t>2</w:t>
      </w:r>
      <w:r w:rsidR="006F5151" w:rsidRPr="006F5151">
        <w:t>016.</w:t>
      </w:r>
    </w:p>
    <w:p w:rsidR="00273DB6" w:rsidRPr="00D51062" w:rsidRDefault="00273DB6" w:rsidP="00273DB6"/>
    <w:p w:rsidR="00273DB6" w:rsidRPr="00D51062" w:rsidRDefault="007D43C5" w:rsidP="00273DB6">
      <w:pPr>
        <w:rPr>
          <w:snapToGrid w:val="0"/>
          <w:lang w:eastAsia="ja-JP"/>
        </w:rPr>
      </w:pPr>
      <w:r w:rsidRPr="00D51062">
        <w:fldChar w:fldCharType="begin"/>
      </w:r>
      <w:r w:rsidR="00273DB6" w:rsidRPr="00D51062">
        <w:instrText xml:space="preserve"> AUTONUM  </w:instrText>
      </w:r>
      <w:r w:rsidRPr="00D51062">
        <w:fldChar w:fldCharType="end"/>
      </w:r>
      <w:r w:rsidR="00273DB6" w:rsidRPr="00D51062">
        <w:tab/>
      </w:r>
      <w:r w:rsidR="006F5151" w:rsidRPr="006F5151">
        <w:rPr>
          <w:snapToGrid w:val="0"/>
        </w:rPr>
        <w:t>El TC examinó el programa propuesto para los talleres preparatorios de</w:t>
      </w:r>
      <w:r w:rsidR="007829E4">
        <w:rPr>
          <w:snapToGrid w:val="0"/>
        </w:rPr>
        <w:t> </w:t>
      </w:r>
      <w:r w:rsidR="007829E4" w:rsidRPr="006F5151">
        <w:rPr>
          <w:snapToGrid w:val="0"/>
        </w:rPr>
        <w:t>2</w:t>
      </w:r>
      <w:r w:rsidR="006F5151" w:rsidRPr="006F5151">
        <w:rPr>
          <w:snapToGrid w:val="0"/>
        </w:rPr>
        <w:t>017 que se expone en los párrafos 12 a</w:t>
      </w:r>
      <w:r w:rsidR="007829E4">
        <w:rPr>
          <w:snapToGrid w:val="0"/>
        </w:rPr>
        <w:t> </w:t>
      </w:r>
      <w:r w:rsidR="007829E4" w:rsidRPr="006F5151">
        <w:rPr>
          <w:snapToGrid w:val="0"/>
        </w:rPr>
        <w:t>1</w:t>
      </w:r>
      <w:r w:rsidR="006F5151" w:rsidRPr="006F5151">
        <w:rPr>
          <w:snapToGrid w:val="0"/>
        </w:rPr>
        <w:t>4 del documento TC/53/13 y convino en que estos talleres debe hacerse una demostración del uso de la plantilla en Internet de los documentos TG y debe incluirse un punto sobre el uso de técnicas moleculares en el examen DHE.</w:t>
      </w:r>
    </w:p>
    <w:p w:rsidR="00273DB6" w:rsidRPr="00D51062" w:rsidRDefault="00273DB6" w:rsidP="00273DB6">
      <w:pPr>
        <w:rPr>
          <w:snapToGrid w:val="0"/>
          <w:lang w:eastAsia="ja-JP"/>
        </w:rPr>
      </w:pPr>
    </w:p>
    <w:p w:rsidR="00273DB6" w:rsidRPr="00D51062" w:rsidRDefault="007D43C5" w:rsidP="00273DB6">
      <w:pPr>
        <w:rPr>
          <w:snapToGrid w:val="0"/>
          <w:lang w:eastAsia="ja-JP"/>
        </w:rPr>
      </w:pPr>
      <w:r w:rsidRPr="00D51062">
        <w:fldChar w:fldCharType="begin"/>
      </w:r>
      <w:r w:rsidR="00273DB6" w:rsidRPr="00D51062">
        <w:instrText xml:space="preserve"> AUTONUM  </w:instrText>
      </w:r>
      <w:r w:rsidRPr="00D51062">
        <w:fldChar w:fldCharType="end"/>
      </w:r>
      <w:r w:rsidR="00273DB6" w:rsidRPr="00D51062">
        <w:tab/>
      </w:r>
      <w:r w:rsidR="006F5151" w:rsidRPr="006F5151">
        <w:rPr>
          <w:snapToGrid w:val="0"/>
          <w:lang w:eastAsia="ja-JP"/>
        </w:rPr>
        <w:t>El TC tomó nota de que los TWP se reunirán dos veces antes de la sesión de</w:t>
      </w:r>
      <w:r w:rsidR="007829E4">
        <w:rPr>
          <w:snapToGrid w:val="0"/>
          <w:lang w:eastAsia="ja-JP"/>
        </w:rPr>
        <w:t> </w:t>
      </w:r>
      <w:r w:rsidR="007829E4" w:rsidRPr="006F5151">
        <w:rPr>
          <w:snapToGrid w:val="0"/>
          <w:lang w:eastAsia="ja-JP"/>
        </w:rPr>
        <w:t>2</w:t>
      </w:r>
      <w:r w:rsidR="006F5151" w:rsidRPr="006F5151">
        <w:rPr>
          <w:snapToGrid w:val="0"/>
          <w:lang w:eastAsia="ja-JP"/>
        </w:rPr>
        <w:t>018 del TC</w:t>
      </w:r>
      <w:r w:rsidR="007829E4">
        <w:rPr>
          <w:snapToGrid w:val="0"/>
          <w:lang w:eastAsia="ja-JP"/>
        </w:rPr>
        <w:t xml:space="preserve">, </w:t>
      </w:r>
      <w:r w:rsidR="006F5151" w:rsidRPr="006F5151">
        <w:rPr>
          <w:snapToGrid w:val="0"/>
          <w:lang w:eastAsia="ja-JP"/>
        </w:rPr>
        <w:t>lo que puede llevar aparejado una disminución del número de asuntos que se han de tratar.</w:t>
      </w:r>
      <w:r w:rsidR="00273DB6" w:rsidRPr="00D51062">
        <w:rPr>
          <w:snapToGrid w:val="0"/>
          <w:lang w:eastAsia="ja-JP"/>
        </w:rPr>
        <w:t xml:space="preserve">  </w:t>
      </w:r>
      <w:r w:rsidR="006F5151" w:rsidRPr="006F5151">
        <w:rPr>
          <w:snapToGrid w:val="0"/>
          <w:lang w:eastAsia="ja-JP"/>
        </w:rPr>
        <w:t>El TC convino en que los talleres preparatorios de 2018 deben organizarse el lunes/martes de la semana en que tengan lugar las reuniones de los TWP</w:t>
      </w:r>
      <w:r w:rsidR="007829E4">
        <w:rPr>
          <w:snapToGrid w:val="0"/>
          <w:lang w:eastAsia="ja-JP"/>
        </w:rPr>
        <w:t xml:space="preserve">, </w:t>
      </w:r>
      <w:r w:rsidR="006F5151" w:rsidRPr="006F5151">
        <w:rPr>
          <w:snapToGrid w:val="0"/>
          <w:lang w:eastAsia="ja-JP"/>
        </w:rPr>
        <w:t>a fin de fomentar la participación de todos los participantes de los TWP.</w:t>
      </w:r>
      <w:r w:rsidR="00273DB6" w:rsidRPr="00D51062">
        <w:rPr>
          <w:snapToGrid w:val="0"/>
          <w:lang w:eastAsia="ja-JP"/>
        </w:rPr>
        <w:t xml:space="preserve">  </w:t>
      </w:r>
    </w:p>
    <w:p w:rsidR="00273DB6" w:rsidRPr="00D51062" w:rsidRDefault="00273DB6" w:rsidP="00273DB6">
      <w:pPr>
        <w:rPr>
          <w:snapToGrid w:val="0"/>
          <w:lang w:eastAsia="ja-JP"/>
        </w:rPr>
      </w:pPr>
    </w:p>
    <w:p w:rsidR="00273DB6" w:rsidRPr="00D51062" w:rsidRDefault="007D43C5" w:rsidP="00273DB6">
      <w:pPr>
        <w:rPr>
          <w:snapToGrid w:val="0"/>
          <w:lang w:eastAsia="ja-JP"/>
        </w:rPr>
      </w:pPr>
      <w:r w:rsidRPr="00D51062">
        <w:rPr>
          <w:snapToGrid w:val="0"/>
          <w:lang w:eastAsia="ja-JP"/>
        </w:rPr>
        <w:fldChar w:fldCharType="begin"/>
      </w:r>
      <w:r w:rsidR="00273DB6" w:rsidRPr="00D51062">
        <w:rPr>
          <w:snapToGrid w:val="0"/>
          <w:lang w:eastAsia="ja-JP"/>
        </w:rPr>
        <w:instrText xml:space="preserve"> AUTONUM  </w:instrText>
      </w:r>
      <w:r w:rsidRPr="00D51062">
        <w:rPr>
          <w:snapToGrid w:val="0"/>
          <w:lang w:eastAsia="ja-JP"/>
        </w:rPr>
        <w:fldChar w:fldCharType="end"/>
      </w:r>
      <w:r w:rsidR="00273DB6" w:rsidRPr="00D51062">
        <w:rPr>
          <w:snapToGrid w:val="0"/>
          <w:lang w:eastAsia="ja-JP"/>
        </w:rPr>
        <w:tab/>
      </w:r>
      <w:r w:rsidR="006F5151" w:rsidRPr="006F5151">
        <w:rPr>
          <w:snapToGrid w:val="0"/>
          <w:lang w:eastAsia="ja-JP"/>
        </w:rPr>
        <w:t>El TC convino en que se han de renovar los ejercicios de los talleres preparatorios y solicitó a los miembros invitados de la Unión que propongan los aspectos particulares de interés que deben abarcar.</w:t>
      </w:r>
    </w:p>
    <w:p w:rsidR="00273DB6" w:rsidRPr="00D51062" w:rsidRDefault="00273DB6" w:rsidP="00273DB6"/>
    <w:p w:rsidR="00273DB6" w:rsidRPr="00D51062" w:rsidRDefault="00273DB6" w:rsidP="00273DB6">
      <w:pPr>
        <w:ind w:left="567" w:hanging="567"/>
        <w:rPr>
          <w:rFonts w:cs="Arial"/>
          <w:snapToGrid w:val="0"/>
        </w:rPr>
      </w:pPr>
    </w:p>
    <w:p w:rsidR="00273DB6" w:rsidRPr="009B196C" w:rsidRDefault="006F5151" w:rsidP="00273DB6">
      <w:pPr>
        <w:pStyle w:val="Heading2"/>
        <w:rPr>
          <w:lang w:val="es-ES"/>
        </w:rPr>
      </w:pPr>
      <w:bookmarkStart w:id="50" w:name="_Toc492290057"/>
      <w:r w:rsidRPr="006F5151">
        <w:rPr>
          <w:lang w:val="es-ES_tradnl"/>
        </w:rPr>
        <w:t>Plantilla en Internet de las directrices de examen</w:t>
      </w:r>
      <w:bookmarkEnd w:id="50"/>
    </w:p>
    <w:p w:rsidR="00273DB6" w:rsidRPr="00D51062" w:rsidRDefault="00273DB6" w:rsidP="00273DB6">
      <w:pPr>
        <w:ind w:left="567" w:hanging="567"/>
        <w:rPr>
          <w:rFonts w:cs="Arial"/>
          <w:snapToGrid w:val="0"/>
        </w:rPr>
      </w:pPr>
    </w:p>
    <w:p w:rsidR="00273DB6" w:rsidRPr="00D51062" w:rsidRDefault="007D43C5" w:rsidP="00273DB6">
      <w:pPr>
        <w:rPr>
          <w:snapToGrid w:val="0"/>
        </w:rPr>
      </w:pPr>
      <w:r w:rsidRPr="00D51062">
        <w:fldChar w:fldCharType="begin"/>
      </w:r>
      <w:r w:rsidR="00273DB6" w:rsidRPr="00D51062">
        <w:instrText xml:space="preserve"> AUTONUM  </w:instrText>
      </w:r>
      <w:r w:rsidRPr="00D51062">
        <w:fldChar w:fldCharType="end"/>
      </w:r>
      <w:r w:rsidR="00273DB6" w:rsidRPr="00D51062">
        <w:tab/>
      </w:r>
      <w:r w:rsidR="006F5151" w:rsidRPr="006F5151">
        <w:rPr>
          <w:snapToGrid w:val="0"/>
        </w:rPr>
        <w:t>El TC examinó el documento TC/53/29.</w:t>
      </w:r>
    </w:p>
    <w:p w:rsidR="00273DB6" w:rsidRPr="00D51062" w:rsidRDefault="00273DB6" w:rsidP="00273DB6">
      <w:pPr>
        <w:ind w:left="567" w:hanging="567"/>
        <w:rPr>
          <w:rFonts w:cs="Arial"/>
          <w:snapToGrid w:val="0"/>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F5151" w:rsidRPr="006F5151">
        <w:t>El TC tomó nota de los comentarios formulados por los TWP en sus reuniones de</w:t>
      </w:r>
      <w:r w:rsidR="007829E4">
        <w:t> </w:t>
      </w:r>
      <w:r w:rsidR="007829E4" w:rsidRPr="006F5151">
        <w:t>2</w:t>
      </w:r>
      <w:r w:rsidR="006F5151" w:rsidRPr="006F5151">
        <w:t>016</w:t>
      </w:r>
      <w:r w:rsidR="007829E4">
        <w:t xml:space="preserve">, </w:t>
      </w:r>
      <w:r w:rsidR="006F5151" w:rsidRPr="006F5151">
        <w:t>según se expone en los párrafos 7 a 17 del documento TC/53/29.</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F5151" w:rsidRPr="006F5151">
        <w:t>El TC tomó nota de que en la versión</w:t>
      </w:r>
      <w:r w:rsidR="007829E4">
        <w:t> </w:t>
      </w:r>
      <w:r w:rsidR="007829E4" w:rsidRPr="006F5151">
        <w:t>1</w:t>
      </w:r>
      <w:r w:rsidR="006F5151" w:rsidRPr="006F5151">
        <w:t>.0 de la plantilla en Internet de los documentos TG se habían resuelto las siguientes cuestiones:</w:t>
      </w:r>
    </w:p>
    <w:p w:rsidR="00273DB6" w:rsidRPr="00D51062" w:rsidRDefault="00273DB6" w:rsidP="00273DB6"/>
    <w:p w:rsidR="00273DB6" w:rsidRPr="009B196C" w:rsidRDefault="006F5151" w:rsidP="006F5151">
      <w:pPr>
        <w:pStyle w:val="ListParagraph"/>
        <w:numPr>
          <w:ilvl w:val="0"/>
          <w:numId w:val="16"/>
        </w:numPr>
        <w:spacing w:line="240" w:lineRule="auto"/>
        <w:ind w:left="1134" w:hanging="567"/>
        <w:jc w:val="both"/>
        <w:rPr>
          <w:rFonts w:ascii="Arial" w:hAnsi="Arial" w:cs="Arial"/>
          <w:sz w:val="20"/>
          <w:lang w:val="es-ES"/>
        </w:rPr>
      </w:pPr>
      <w:r w:rsidRPr="006F5151">
        <w:rPr>
          <w:rFonts w:ascii="Arial" w:hAnsi="Arial" w:cs="Arial"/>
          <w:sz w:val="20"/>
          <w:lang w:val="es-ES_tradnl"/>
        </w:rPr>
        <w:t>visualización inmediata de las actualizaciones que el experto principal efectúe en el archivo de exportación;</w:t>
      </w:r>
      <w:r w:rsidR="00273DB6" w:rsidRPr="009B196C">
        <w:rPr>
          <w:rFonts w:ascii="Arial" w:hAnsi="Arial" w:cs="Arial"/>
          <w:sz w:val="20"/>
          <w:lang w:val="es-ES"/>
        </w:rPr>
        <w:t xml:space="preserve"> </w:t>
      </w:r>
    </w:p>
    <w:p w:rsidR="00273DB6" w:rsidRPr="009B196C" w:rsidRDefault="006F5151" w:rsidP="006F5151">
      <w:pPr>
        <w:pStyle w:val="ListParagraph"/>
        <w:numPr>
          <w:ilvl w:val="0"/>
          <w:numId w:val="16"/>
        </w:numPr>
        <w:spacing w:line="240" w:lineRule="auto"/>
        <w:ind w:left="1134" w:hanging="567"/>
        <w:jc w:val="both"/>
        <w:rPr>
          <w:rFonts w:ascii="Arial" w:hAnsi="Arial" w:cs="Arial"/>
          <w:sz w:val="20"/>
          <w:lang w:val="es-ES"/>
        </w:rPr>
      </w:pPr>
      <w:r w:rsidRPr="006F5151">
        <w:rPr>
          <w:rFonts w:ascii="Arial" w:hAnsi="Arial" w:cs="Arial"/>
          <w:sz w:val="20"/>
          <w:lang w:val="es-ES_tradnl"/>
        </w:rPr>
        <w:t>disponibilidad en Internet de las guías (página web de la plantilla en Internet de los documentos TG);</w:t>
      </w:r>
    </w:p>
    <w:p w:rsidR="00273DB6" w:rsidRPr="009B196C" w:rsidRDefault="006F5151" w:rsidP="006E3334">
      <w:pPr>
        <w:pStyle w:val="ListParagraph"/>
        <w:numPr>
          <w:ilvl w:val="0"/>
          <w:numId w:val="16"/>
        </w:numPr>
        <w:spacing w:line="240" w:lineRule="auto"/>
        <w:ind w:left="1134" w:hanging="567"/>
        <w:jc w:val="both"/>
        <w:rPr>
          <w:rFonts w:ascii="Arial" w:hAnsi="Arial" w:cs="Arial"/>
          <w:sz w:val="20"/>
          <w:lang w:val="es-ES"/>
        </w:rPr>
      </w:pPr>
      <w:r w:rsidRPr="006E3334">
        <w:rPr>
          <w:rFonts w:ascii="Arial" w:hAnsi="Arial" w:cs="Arial"/>
          <w:sz w:val="20"/>
          <w:lang w:val="es-ES_tradnl"/>
        </w:rPr>
        <w:t>modificación de los comentarios de los expertos interesados sin que desaparezca el texto escrito previamente;</w:t>
      </w:r>
    </w:p>
    <w:p w:rsidR="00273DB6" w:rsidRPr="009B196C" w:rsidRDefault="006E3334" w:rsidP="006E3334">
      <w:pPr>
        <w:pStyle w:val="ListParagraph"/>
        <w:numPr>
          <w:ilvl w:val="0"/>
          <w:numId w:val="16"/>
        </w:numPr>
        <w:spacing w:line="240" w:lineRule="auto"/>
        <w:ind w:left="1134" w:hanging="567"/>
        <w:jc w:val="both"/>
        <w:rPr>
          <w:rFonts w:ascii="Arial" w:hAnsi="Arial" w:cs="Arial"/>
          <w:sz w:val="20"/>
          <w:lang w:val="es-ES"/>
        </w:rPr>
      </w:pPr>
      <w:r w:rsidRPr="006E3334">
        <w:rPr>
          <w:rFonts w:ascii="Arial" w:hAnsi="Arial" w:cs="Arial"/>
          <w:sz w:val="20"/>
          <w:lang w:val="es-ES_tradnl"/>
        </w:rPr>
        <w:t>mensaje de confirmación cada vez que los expertos interesados introduzcan un comentario;</w:t>
      </w:r>
    </w:p>
    <w:p w:rsidR="00273DB6" w:rsidRPr="009B196C" w:rsidRDefault="006E3334" w:rsidP="00273DB6">
      <w:pPr>
        <w:pStyle w:val="ListParagraph"/>
        <w:numPr>
          <w:ilvl w:val="0"/>
          <w:numId w:val="16"/>
        </w:numPr>
        <w:spacing w:after="0" w:line="240" w:lineRule="auto"/>
        <w:ind w:left="1134" w:hanging="567"/>
        <w:jc w:val="both"/>
        <w:rPr>
          <w:rFonts w:ascii="Arial" w:hAnsi="Arial" w:cs="Arial"/>
          <w:sz w:val="20"/>
          <w:lang w:val="es-ES"/>
        </w:rPr>
      </w:pPr>
      <w:r w:rsidRPr="006E3334">
        <w:rPr>
          <w:rFonts w:ascii="Arial" w:hAnsi="Arial" w:cs="Arial"/>
          <w:sz w:val="20"/>
          <w:lang w:val="es-ES_tradnl"/>
        </w:rPr>
        <w:t>inserción de un cuadro de texto libre para el texto relativo a “la forma en que se ha de presentar el material vegetal” (por ejemplo</w:t>
      </w:r>
      <w:r w:rsidR="007829E4">
        <w:rPr>
          <w:rFonts w:ascii="Arial" w:hAnsi="Arial" w:cs="Arial"/>
          <w:sz w:val="20"/>
          <w:lang w:val="es-ES_tradnl"/>
        </w:rPr>
        <w:t xml:space="preserve">, </w:t>
      </w:r>
      <w:r w:rsidRPr="006E3334">
        <w:rPr>
          <w:rFonts w:ascii="Arial" w:hAnsi="Arial" w:cs="Arial"/>
          <w:sz w:val="20"/>
          <w:lang w:val="es-ES_tradnl"/>
        </w:rPr>
        <w:t>“El material se entregará en forma de cormos capaces de producir plantas que expresen todos sus caracteres en el primer año de examen”).</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E3334" w:rsidRPr="006E3334">
        <w:t>El TC tomó nota de que se está llevando a cabo una revisión general del código del programa informático para eliminar los restantes problemas de funcionamiento notificados y estabilizar el sistema.</w:t>
      </w:r>
      <w:r w:rsidR="00273DB6" w:rsidRPr="00D51062">
        <w:t xml:space="preserve">  </w:t>
      </w:r>
      <w:r w:rsidR="006E3334" w:rsidRPr="006E3334">
        <w:t>El TC tomó nota de que la Oficina de la Unión ha introducido una interfaz del traductor para generar las versiones de las directrices de examen en los distintos idiomas oficiales de la UPOV</w:t>
      </w:r>
      <w:r w:rsidR="007829E4">
        <w:t xml:space="preserve">, </w:t>
      </w:r>
      <w:r w:rsidR="006E3334" w:rsidRPr="006E3334">
        <w:t>pero que será necesario perfeccionar dicha interfaz para que los traductores puedan emplearla de un modo eficiente.</w:t>
      </w:r>
    </w:p>
    <w:p w:rsidR="00273DB6" w:rsidRPr="00D51062" w:rsidRDefault="00273DB6" w:rsidP="00273DB6">
      <w:pPr>
        <w:tabs>
          <w:tab w:val="left" w:pos="2321"/>
        </w:tabs>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E3334" w:rsidRPr="006E3334">
        <w:t>El TC recordó que la elaboración de la versión</w:t>
      </w:r>
      <w:r w:rsidR="007829E4">
        <w:t> </w:t>
      </w:r>
      <w:r w:rsidR="007829E4" w:rsidRPr="006E3334">
        <w:t>2</w:t>
      </w:r>
      <w:r w:rsidR="006E3334" w:rsidRPr="006E3334">
        <w:t xml:space="preserve"> de la plantilla en Internet de los documentos TG no comenzará antes de</w:t>
      </w:r>
      <w:r w:rsidR="007829E4">
        <w:t> </w:t>
      </w:r>
      <w:r w:rsidR="007829E4" w:rsidRPr="006E3334">
        <w:t>2</w:t>
      </w:r>
      <w:r w:rsidR="006E3334" w:rsidRPr="006E3334">
        <w:t>018</w:t>
      </w:r>
      <w:r w:rsidR="007829E4">
        <w:t xml:space="preserve">, </w:t>
      </w:r>
      <w:r w:rsidR="006E3334" w:rsidRPr="006E3334">
        <w:t>a reserva de la disponibilidad de recursos</w:t>
      </w:r>
      <w:r w:rsidR="007829E4">
        <w:t xml:space="preserve">, </w:t>
      </w:r>
      <w:r w:rsidR="006E3334" w:rsidRPr="006E3334">
        <w:t>una vez que la versión</w:t>
      </w:r>
      <w:r w:rsidR="007829E4">
        <w:t> </w:t>
      </w:r>
      <w:r w:rsidR="007829E4" w:rsidRPr="006E3334">
        <w:t>1</w:t>
      </w:r>
      <w:r w:rsidR="006E3334" w:rsidRPr="006E3334">
        <w:t xml:space="preserve"> esté completamente estabilizada y probada.</w:t>
      </w:r>
    </w:p>
    <w:p w:rsidR="00273DB6" w:rsidRPr="00D51062" w:rsidRDefault="00273DB6" w:rsidP="00273DB6"/>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6E3334" w:rsidRPr="006E3334">
        <w:t>El TC tomó nota de que se considerará si procede incluir en la versión 2 de la plantilla en Internet los siguientes aspectos</w:t>
      </w:r>
      <w:r w:rsidR="007829E4">
        <w:t xml:space="preserve">, </w:t>
      </w:r>
      <w:r w:rsidR="006E3334" w:rsidRPr="006E3334">
        <w:t>tal como se expone en los párrafos 21 y</w:t>
      </w:r>
      <w:r w:rsidR="007829E4">
        <w:t> </w:t>
      </w:r>
      <w:r w:rsidR="007829E4" w:rsidRPr="006E3334">
        <w:t>2</w:t>
      </w:r>
      <w:r w:rsidR="006E3334" w:rsidRPr="006E3334">
        <w:t>2 del documento TC/53/29:</w:t>
      </w:r>
    </w:p>
    <w:p w:rsidR="00273DB6" w:rsidRPr="00D51062" w:rsidRDefault="00273DB6" w:rsidP="00273DB6"/>
    <w:p w:rsidR="00273DB6" w:rsidRPr="009B196C" w:rsidRDefault="00790DA0" w:rsidP="00790DA0">
      <w:pPr>
        <w:pStyle w:val="ListParagraph"/>
        <w:numPr>
          <w:ilvl w:val="0"/>
          <w:numId w:val="16"/>
        </w:numPr>
        <w:spacing w:line="240" w:lineRule="auto"/>
        <w:ind w:left="1134" w:hanging="567"/>
        <w:jc w:val="both"/>
        <w:rPr>
          <w:rFonts w:ascii="Arial" w:hAnsi="Arial" w:cs="Arial"/>
          <w:sz w:val="20"/>
          <w:lang w:val="es-ES"/>
        </w:rPr>
      </w:pPr>
      <w:r w:rsidRPr="00790DA0">
        <w:rPr>
          <w:rFonts w:ascii="Arial" w:hAnsi="Arial" w:cs="Arial"/>
          <w:sz w:val="20"/>
          <w:lang w:val="es-ES_tradnl"/>
        </w:rPr>
        <w:t>con la finalidad de facilitar el desplazamiento por los documentos exportados</w:t>
      </w:r>
      <w:r w:rsidR="007829E4">
        <w:rPr>
          <w:rFonts w:ascii="Arial" w:hAnsi="Arial" w:cs="Arial"/>
          <w:sz w:val="20"/>
          <w:lang w:val="es-ES_tradnl"/>
        </w:rPr>
        <w:t xml:space="preserve">, </w:t>
      </w:r>
      <w:r w:rsidRPr="00790DA0">
        <w:rPr>
          <w:rFonts w:ascii="Arial" w:hAnsi="Arial" w:cs="Arial"/>
          <w:sz w:val="20"/>
          <w:lang w:val="es-ES_tradnl"/>
        </w:rPr>
        <w:t>añadir en ellos hiperenlaces en los símbolos que indican que las explicaciones de un carácter abarcan un único carácter o varios caracteres de la tabla de caracteres;</w:t>
      </w:r>
      <w:r w:rsidR="00273DB6" w:rsidRPr="009B196C">
        <w:rPr>
          <w:rFonts w:ascii="Arial" w:hAnsi="Arial" w:cs="Arial"/>
          <w:sz w:val="20"/>
          <w:lang w:val="es-ES"/>
        </w:rPr>
        <w:t xml:space="preserve"> </w:t>
      </w:r>
    </w:p>
    <w:p w:rsidR="00273DB6" w:rsidRPr="009B196C" w:rsidRDefault="00790DA0" w:rsidP="00790DA0">
      <w:pPr>
        <w:pStyle w:val="ListParagraph"/>
        <w:numPr>
          <w:ilvl w:val="0"/>
          <w:numId w:val="16"/>
        </w:numPr>
        <w:spacing w:line="240" w:lineRule="auto"/>
        <w:ind w:left="1134" w:hanging="567"/>
        <w:jc w:val="both"/>
        <w:rPr>
          <w:rFonts w:ascii="Arial" w:hAnsi="Arial" w:cs="Arial"/>
          <w:sz w:val="20"/>
          <w:lang w:val="es-ES"/>
        </w:rPr>
      </w:pPr>
      <w:r w:rsidRPr="00790DA0">
        <w:rPr>
          <w:rFonts w:ascii="Arial" w:hAnsi="Arial" w:cs="Arial"/>
          <w:sz w:val="20"/>
          <w:lang w:val="es-ES_tradnl"/>
        </w:rPr>
        <w:t>ofrecer la posibilidad de presentar las tablas grandes en formato horizontal</w:t>
      </w:r>
      <w:r w:rsidR="007829E4">
        <w:rPr>
          <w:rFonts w:ascii="Arial" w:hAnsi="Arial" w:cs="Arial"/>
          <w:sz w:val="20"/>
          <w:lang w:val="es-ES_tradnl"/>
        </w:rPr>
        <w:t xml:space="preserve">, </w:t>
      </w:r>
      <w:r w:rsidRPr="00790DA0">
        <w:rPr>
          <w:rFonts w:ascii="Arial" w:hAnsi="Arial" w:cs="Arial"/>
          <w:sz w:val="20"/>
          <w:lang w:val="es-ES_tradnl"/>
        </w:rPr>
        <w:t>por ejemplo para indicar tipos de crecimiento;</w:t>
      </w:r>
      <w:r w:rsidR="00273DB6" w:rsidRPr="009B196C">
        <w:rPr>
          <w:rFonts w:ascii="Arial" w:hAnsi="Arial" w:cs="Arial"/>
          <w:sz w:val="20"/>
          <w:lang w:val="es-ES"/>
        </w:rPr>
        <w:t xml:space="preserve"> </w:t>
      </w:r>
    </w:p>
    <w:p w:rsidR="00273DB6" w:rsidRPr="009B196C" w:rsidRDefault="00790DA0" w:rsidP="00273DB6">
      <w:pPr>
        <w:pStyle w:val="ListParagraph"/>
        <w:numPr>
          <w:ilvl w:val="0"/>
          <w:numId w:val="16"/>
        </w:numPr>
        <w:spacing w:after="0" w:line="240" w:lineRule="auto"/>
        <w:ind w:left="1134" w:hanging="567"/>
        <w:jc w:val="both"/>
        <w:rPr>
          <w:rFonts w:ascii="Arial" w:hAnsi="Arial" w:cs="Arial"/>
          <w:sz w:val="20"/>
          <w:lang w:val="es-ES"/>
        </w:rPr>
      </w:pPr>
      <w:r w:rsidRPr="00790DA0">
        <w:rPr>
          <w:rFonts w:ascii="Arial" w:hAnsi="Arial" w:cs="Arial"/>
          <w:sz w:val="20"/>
          <w:lang w:val="es-ES_tradnl"/>
        </w:rPr>
        <w:t>proporcionar las observaciones de la Oficina de la Unión sobre los proyectos de directrices de examen en la plantilla en Internet de los documentos TG.</w:t>
      </w:r>
    </w:p>
    <w:p w:rsidR="00273DB6" w:rsidRPr="00D51062" w:rsidRDefault="00273DB6" w:rsidP="00273DB6">
      <w:pPr>
        <w:jc w:val="left"/>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3E6AE5" w:rsidRPr="003E6AE5">
        <w:t>A falta de que concluyan los debates sobre las propuestas de modificación del documento TGP/7 “Elaboración de las directrices de examen”</w:t>
      </w:r>
      <w:r w:rsidR="007829E4">
        <w:t xml:space="preserve">, </w:t>
      </w:r>
      <w:r w:rsidR="003E6AE5" w:rsidRPr="003E6AE5">
        <w:t>deberán introducirse nuevos cambios en la plantilla en Internet de los documentos TG (véase el documento TC/53/5 “Documentos TGP”).</w:t>
      </w:r>
    </w:p>
    <w:p w:rsidR="00273DB6" w:rsidRPr="00D51062" w:rsidRDefault="00273DB6" w:rsidP="00273DB6"/>
    <w:p w:rsidR="00273DB6" w:rsidRDefault="007D43C5" w:rsidP="00273DB6">
      <w:r w:rsidRPr="00D51062">
        <w:fldChar w:fldCharType="begin"/>
      </w:r>
      <w:r w:rsidR="00273DB6" w:rsidRPr="00D51062">
        <w:instrText xml:space="preserve"> AUTONUM  </w:instrText>
      </w:r>
      <w:r w:rsidRPr="00D51062">
        <w:fldChar w:fldCharType="end"/>
      </w:r>
      <w:r w:rsidR="00273DB6" w:rsidRPr="00D51062">
        <w:tab/>
      </w:r>
      <w:r w:rsidR="003E6AE5" w:rsidRPr="003E6AE5">
        <w:t>El TC convino en que la formación en el uso de la plantilla en Internet de los documentos TG se debe ofrecer a los TWP durante los talleres preparatorios de la reunión o durante los debates mantenidos sobre el punto del orden del día “Guía para los redactores de las directrices de examen”.</w:t>
      </w:r>
      <w:r w:rsidR="00273DB6" w:rsidRPr="00D51062">
        <w:t xml:space="preserve"> </w:t>
      </w:r>
      <w:r w:rsidR="003E6AE5">
        <w:t xml:space="preserve"> </w:t>
      </w:r>
      <w:r w:rsidR="003E6AE5" w:rsidRPr="003E6AE5">
        <w:t>El TC convino en que la formación también debe incluir preguntas frecuentes y guías para los usuarios de la plantilla en Internet de los documentos TG.</w:t>
      </w:r>
    </w:p>
    <w:p w:rsidR="00273DB6" w:rsidRDefault="00273DB6" w:rsidP="00273DB6">
      <w:pPr>
        <w:jc w:val="left"/>
        <w:rPr>
          <w:u w:val="single"/>
        </w:rPr>
      </w:pPr>
    </w:p>
    <w:p w:rsidR="00273DB6" w:rsidRPr="009B196C" w:rsidRDefault="003E6AE5" w:rsidP="00273DB6">
      <w:pPr>
        <w:pStyle w:val="Heading2"/>
        <w:rPr>
          <w:snapToGrid w:val="0"/>
          <w:lang w:val="es-ES"/>
        </w:rPr>
      </w:pPr>
      <w:bookmarkStart w:id="51" w:name="_Toc492290058"/>
      <w:r w:rsidRPr="003E6AE5">
        <w:rPr>
          <w:snapToGrid w:val="0"/>
          <w:lang w:val="es-ES_tradnl"/>
        </w:rPr>
        <w:t>Lista de géneros y especies respecto de los cuales las autoridades poseen experiencia práctica en el examen de la distinción</w:t>
      </w:r>
      <w:r w:rsidR="007829E4">
        <w:rPr>
          <w:snapToGrid w:val="0"/>
          <w:lang w:val="es-ES_tradnl"/>
        </w:rPr>
        <w:t xml:space="preserve">, </w:t>
      </w:r>
      <w:r w:rsidRPr="003E6AE5">
        <w:rPr>
          <w:snapToGrid w:val="0"/>
          <w:lang w:val="es-ES_tradnl"/>
        </w:rPr>
        <w:t>la homogeneidad y la estabilidad</w:t>
      </w:r>
      <w:bookmarkEnd w:id="51"/>
      <w:r w:rsidR="00273DB6" w:rsidRPr="009B196C">
        <w:rPr>
          <w:snapToGrid w:val="0"/>
          <w:lang w:val="es-ES"/>
        </w:rPr>
        <w:t xml:space="preserve"> </w:t>
      </w:r>
    </w:p>
    <w:p w:rsidR="00273DB6" w:rsidRPr="00D51062" w:rsidRDefault="00273DB6" w:rsidP="00273DB6">
      <w:pPr>
        <w:keepNext/>
        <w:ind w:left="567" w:hanging="567"/>
        <w:rPr>
          <w:rFonts w:cs="Arial"/>
          <w:snapToGrid w:val="0"/>
        </w:rPr>
      </w:pPr>
    </w:p>
    <w:p w:rsidR="00273DB6" w:rsidRPr="00D51062" w:rsidRDefault="007D43C5" w:rsidP="00273DB6">
      <w:r w:rsidRPr="00D51062">
        <w:fldChar w:fldCharType="begin"/>
      </w:r>
      <w:r w:rsidR="00273DB6" w:rsidRPr="00D51062">
        <w:instrText xml:space="preserve"> AUTONUM  </w:instrText>
      </w:r>
      <w:r w:rsidRPr="00D51062">
        <w:fldChar w:fldCharType="end"/>
      </w:r>
      <w:r w:rsidR="00273DB6" w:rsidRPr="00D51062">
        <w:tab/>
      </w:r>
      <w:r w:rsidR="003E6AE5" w:rsidRPr="003E6AE5">
        <w:t>El TC examinó el documento TC/53/4 y tomó nota de que el número de taxones respecto de los cuales los miembros de la Unión habían indicado que poseen experiencia práctica en el examen DHE había aumentado de</w:t>
      </w:r>
      <w:r w:rsidR="007829E4">
        <w:t> </w:t>
      </w:r>
      <w:r w:rsidR="007829E4" w:rsidRPr="003E6AE5">
        <w:t>3</w:t>
      </w:r>
      <w:r w:rsidR="003E6AE5" w:rsidRPr="003E6AE5">
        <w:t>.462 en</w:t>
      </w:r>
      <w:r w:rsidR="007829E4">
        <w:t> </w:t>
      </w:r>
      <w:r w:rsidR="007829E4" w:rsidRPr="003E6AE5">
        <w:t>2</w:t>
      </w:r>
      <w:r w:rsidR="003E6AE5" w:rsidRPr="003E6AE5">
        <w:t>016 a</w:t>
      </w:r>
      <w:r w:rsidR="007829E4">
        <w:t> </w:t>
      </w:r>
      <w:r w:rsidR="007829E4" w:rsidRPr="003E6AE5">
        <w:t>3</w:t>
      </w:r>
      <w:r w:rsidR="003E6AE5" w:rsidRPr="003E6AE5">
        <w:t>.561 en</w:t>
      </w:r>
      <w:r w:rsidR="007829E4">
        <w:t> </w:t>
      </w:r>
      <w:r w:rsidR="007829E4" w:rsidRPr="003E6AE5">
        <w:t>2</w:t>
      </w:r>
      <w:r w:rsidR="003E6AE5" w:rsidRPr="003E6AE5">
        <w:t>017 (+</w:t>
      </w:r>
      <w:r w:rsidR="007829E4">
        <w:t> </w:t>
      </w:r>
      <w:r w:rsidR="007829E4" w:rsidRPr="003E6AE5">
        <w:t>2</w:t>
      </w:r>
      <w:r w:rsidR="003E6AE5" w:rsidRPr="003E6AE5">
        <w:t>,9%).</w:t>
      </w:r>
      <w:r w:rsidR="00273DB6">
        <w:rPr>
          <w:color w:val="000000"/>
        </w:rPr>
        <w:t xml:space="preserve"> </w:t>
      </w:r>
      <w:r w:rsidR="003E6AE5" w:rsidRPr="003E6AE5">
        <w:rPr>
          <w:color w:val="000000"/>
        </w:rPr>
        <w:t>El número de géneros y especies respecto de los cuales los miembros de la unión indicaron que poseen experiencia práctica en el examen DHE había aumentado a</w:t>
      </w:r>
      <w:r w:rsidR="007829E4">
        <w:rPr>
          <w:color w:val="000000"/>
        </w:rPr>
        <w:t> </w:t>
      </w:r>
      <w:r w:rsidR="007829E4" w:rsidRPr="003E6AE5">
        <w:rPr>
          <w:color w:val="000000"/>
        </w:rPr>
        <w:t>3</w:t>
      </w:r>
      <w:r w:rsidR="003E6AE5" w:rsidRPr="003E6AE5">
        <w:rPr>
          <w:color w:val="000000"/>
        </w:rPr>
        <w:t>.416.</w:t>
      </w:r>
      <w:r w:rsidR="00273DB6" w:rsidRPr="003E6AE5">
        <w:rPr>
          <w:color w:val="000000"/>
        </w:rPr>
        <w:t xml:space="preserve">  </w:t>
      </w:r>
      <w:r w:rsidR="003E6AE5" w:rsidRPr="003E6AE5">
        <w:rPr>
          <w:color w:val="000000"/>
        </w:rPr>
        <w:t>La información sobre los miembros de la Unión con experiencia práctica en el examen DHE puede consultarse libremente desde la base de datos GENIE.</w:t>
      </w:r>
    </w:p>
    <w:p w:rsidR="00273DB6" w:rsidRDefault="00273DB6" w:rsidP="00273DB6">
      <w:pPr>
        <w:ind w:left="567" w:hanging="567"/>
        <w:rPr>
          <w:rFonts w:cs="Arial"/>
          <w:snapToGrid w:val="0"/>
        </w:rPr>
      </w:pPr>
    </w:p>
    <w:p w:rsidR="00273DB6" w:rsidRDefault="00273DB6" w:rsidP="00273DB6">
      <w:pPr>
        <w:ind w:left="567" w:hanging="567"/>
        <w:rPr>
          <w:rFonts w:cs="Arial"/>
          <w:snapToGrid w:val="0"/>
        </w:rPr>
      </w:pPr>
    </w:p>
    <w:p w:rsidR="00273DB6" w:rsidRPr="009B196C" w:rsidRDefault="003E6AE5" w:rsidP="00273DB6">
      <w:pPr>
        <w:pStyle w:val="Heading2"/>
        <w:rPr>
          <w:rFonts w:cs="Arial"/>
          <w:snapToGrid w:val="0"/>
          <w:lang w:val="es-ES"/>
        </w:rPr>
      </w:pPr>
      <w:bookmarkStart w:id="52" w:name="_Toc492290059"/>
      <w:r w:rsidRPr="003E6AE5">
        <w:rPr>
          <w:rFonts w:cs="Arial"/>
          <w:snapToGrid w:val="0"/>
          <w:lang w:val="es-ES_tradnl"/>
        </w:rPr>
        <w:t>Directrices de examen</w:t>
      </w:r>
      <w:bookmarkEnd w:id="52"/>
    </w:p>
    <w:p w:rsidR="00273DB6" w:rsidRDefault="00273DB6" w:rsidP="00273DB6">
      <w:pPr>
        <w:keepNext/>
        <w:ind w:left="567" w:hanging="567"/>
        <w:rPr>
          <w:rFonts w:cs="Arial"/>
          <w:snapToGrid w:val="0"/>
        </w:rPr>
      </w:pPr>
    </w:p>
    <w:p w:rsidR="00273DB6" w:rsidRDefault="007D43C5" w:rsidP="00273DB6">
      <w:pPr>
        <w:rPr>
          <w:snapToGrid w:val="0"/>
        </w:rPr>
      </w:pPr>
      <w:r>
        <w:fldChar w:fldCharType="begin"/>
      </w:r>
      <w:r w:rsidR="00273DB6">
        <w:instrText xml:space="preserve"> AUTONUM  </w:instrText>
      </w:r>
      <w:r>
        <w:fldChar w:fldCharType="end"/>
      </w:r>
      <w:r w:rsidR="00273DB6">
        <w:tab/>
      </w:r>
      <w:r w:rsidR="003E6AE5" w:rsidRPr="003E6AE5">
        <w:t>El TC examinó los documentos TC/53/2</w:t>
      </w:r>
      <w:r w:rsidR="007829E4">
        <w:t xml:space="preserve">, </w:t>
      </w:r>
      <w:r w:rsidR="003E6AE5" w:rsidRPr="003E6AE5">
        <w:t>TC/53/25</w:t>
      </w:r>
      <w:r w:rsidR="007829E4">
        <w:t xml:space="preserve">, </w:t>
      </w:r>
      <w:r w:rsidR="003E6AE5" w:rsidRPr="003E6AE5">
        <w:t>TC/53/26</w:t>
      </w:r>
      <w:r w:rsidR="007829E4">
        <w:t xml:space="preserve">, </w:t>
      </w:r>
      <w:r w:rsidR="003E6AE5" w:rsidRPr="003E6AE5">
        <w:t>TC/53/27</w:t>
      </w:r>
      <w:r w:rsidR="007829E4">
        <w:t xml:space="preserve">, </w:t>
      </w:r>
      <w:r w:rsidR="003E6AE5" w:rsidRPr="003E6AE5">
        <w:t>TC/53/28 y TC/53/30 Rev.</w:t>
      </w:r>
    </w:p>
    <w:p w:rsidR="00273DB6" w:rsidRDefault="00273DB6" w:rsidP="00273DB6">
      <w:pPr>
        <w:rPr>
          <w:snapToGrid w:val="0"/>
        </w:rPr>
      </w:pPr>
    </w:p>
    <w:p w:rsidR="00273DB6" w:rsidRPr="009178F8" w:rsidRDefault="007D43C5" w:rsidP="00273DB6">
      <w:pPr>
        <w:rPr>
          <w:rFonts w:cs="Arial"/>
          <w:snapToGrid w:val="0"/>
        </w:rPr>
      </w:pPr>
      <w:r w:rsidRPr="00D3280B">
        <w:fldChar w:fldCharType="begin"/>
      </w:r>
      <w:r w:rsidR="00273DB6" w:rsidRPr="00D3280B">
        <w:instrText xml:space="preserve"> AUTONUM  </w:instrText>
      </w:r>
      <w:r w:rsidRPr="00D3280B">
        <w:fldChar w:fldCharType="end"/>
      </w:r>
      <w:r w:rsidR="00273DB6" w:rsidRPr="00D3280B">
        <w:tab/>
      </w:r>
      <w:r w:rsidR="003E6AE5" w:rsidRPr="003E6AE5">
        <w:t>De conformidad con el procedimiento establecido en el documento TGP/7</w:t>
      </w:r>
      <w:r w:rsidR="007829E4">
        <w:t xml:space="preserve">, </w:t>
      </w:r>
      <w:r w:rsidR="003E6AE5" w:rsidRPr="003E6AE5">
        <w:t>el TC aprobó 5 nuevas directrices de examen para la ejecución del examen de la distinción</w:t>
      </w:r>
      <w:r w:rsidR="007829E4">
        <w:t xml:space="preserve">, </w:t>
      </w:r>
      <w:r w:rsidR="003E6AE5" w:rsidRPr="003E6AE5">
        <w:t>la homogeneidad y la estabilidad</w:t>
      </w:r>
      <w:r w:rsidR="007829E4">
        <w:t xml:space="preserve">, </w:t>
      </w:r>
      <w:r w:rsidR="007829E4" w:rsidRPr="003E6AE5">
        <w:t>9</w:t>
      </w:r>
      <w:r w:rsidR="003E6AE5" w:rsidRPr="003E6AE5">
        <w:t> directrices de examen revisadas y</w:t>
      </w:r>
      <w:r w:rsidR="007829E4">
        <w:t> </w:t>
      </w:r>
      <w:r w:rsidR="007829E4" w:rsidRPr="003E6AE5">
        <w:t>4</w:t>
      </w:r>
      <w:r w:rsidR="003E6AE5" w:rsidRPr="003E6AE5">
        <w:t xml:space="preserve"> directrices de examen revisadas parcialmente que figuran en el siguiente cuadro basándose en las modificaciones que se especifican en el </w:t>
      </w:r>
      <w:r w:rsidR="00256232" w:rsidRPr="003E6AE5">
        <w:t>anexo</w:t>
      </w:r>
      <w:r w:rsidR="003E6AE5" w:rsidRPr="003E6AE5">
        <w:t> II del presente documento</w:t>
      </w:r>
      <w:r w:rsidR="007829E4">
        <w:t xml:space="preserve">, </w:t>
      </w:r>
      <w:r w:rsidR="003E6AE5" w:rsidRPr="003E6AE5">
        <w:t xml:space="preserve">así como los cambios lingüísticos recomendados por el </w:t>
      </w:r>
      <w:r w:rsidR="003E6AE5" w:rsidRPr="003E6AE5">
        <w:rPr>
          <w:rFonts w:cs="Arial"/>
          <w:iCs/>
          <w:snapToGrid w:val="0"/>
        </w:rPr>
        <w:t>TC</w:t>
      </w:r>
      <w:r w:rsidR="003E6AE5" w:rsidRPr="003E6AE5">
        <w:rPr>
          <w:rFonts w:cs="Arial"/>
          <w:iCs/>
          <w:snapToGrid w:val="0"/>
        </w:rPr>
        <w:noBreakHyphen/>
        <w:t>EDC</w:t>
      </w:r>
      <w:r w:rsidR="007829E4">
        <w:t xml:space="preserve">, </w:t>
      </w:r>
      <w:r w:rsidR="003E6AE5" w:rsidRPr="003E6AE5">
        <w:t>y convino en que se publiquen en el sitio web de la UPOV lo antes posible:</w:t>
      </w:r>
    </w:p>
    <w:p w:rsidR="00273DB6" w:rsidRDefault="00273DB6" w:rsidP="00273DB6">
      <w:pPr>
        <w:keepNext/>
        <w:rPr>
          <w:rFonts w:cs="Arial"/>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273DB6" w:rsidRPr="00F72999" w:rsidTr="00273DB6">
        <w:trPr>
          <w:cantSplit/>
          <w:trHeight w:val="1050"/>
          <w:tblHeader/>
        </w:trPr>
        <w:tc>
          <w:tcPr>
            <w:tcW w:w="484" w:type="dxa"/>
            <w:tcBorders>
              <w:top w:val="single" w:sz="4" w:space="0" w:color="auto"/>
              <w:bottom w:val="single" w:sz="4" w:space="0" w:color="auto"/>
            </w:tcBorders>
            <w:shd w:val="clear" w:color="auto" w:fill="D9D9D9"/>
            <w:noWrap/>
            <w:vAlign w:val="center"/>
          </w:tcPr>
          <w:p w:rsidR="00273DB6" w:rsidRPr="00F72999" w:rsidRDefault="00273DB6" w:rsidP="00273DB6">
            <w:pPr>
              <w:keepNext/>
              <w:jc w:val="left"/>
              <w:rPr>
                <w:rFonts w:eastAsia="MS Mincho" w:cs="Arial"/>
                <w:bCs/>
                <w:dstrike/>
                <w:noProof/>
                <w:sz w:val="16"/>
                <w:szCs w:val="16"/>
                <w:lang w:val="en-US" w:eastAsia="ja-JP"/>
              </w:rPr>
            </w:pPr>
            <w:r w:rsidRPr="00F72999">
              <w:rPr>
                <w:rFonts w:eastAsia="MS Mincho" w:cs="Arial"/>
                <w:bCs/>
                <w:noProof/>
                <w:sz w:val="16"/>
                <w:szCs w:val="16"/>
                <w:lang w:val="en-US" w:eastAsia="ja-JP"/>
              </w:rPr>
              <w:t>**</w:t>
            </w:r>
          </w:p>
        </w:tc>
        <w:tc>
          <w:tcPr>
            <w:tcW w:w="590" w:type="dxa"/>
            <w:tcBorders>
              <w:top w:val="single" w:sz="4" w:space="0" w:color="auto"/>
              <w:bottom w:val="single" w:sz="4" w:space="0" w:color="auto"/>
            </w:tcBorders>
            <w:shd w:val="clear" w:color="auto" w:fill="D9D9D9"/>
            <w:vAlign w:val="center"/>
          </w:tcPr>
          <w:p w:rsidR="00273DB6" w:rsidRPr="00F72999" w:rsidRDefault="00273DB6" w:rsidP="003E6AE5">
            <w:pPr>
              <w:keepNext/>
              <w:jc w:val="left"/>
              <w:rPr>
                <w:rFonts w:eastAsia="MS Mincho" w:cs="Arial"/>
                <w:bCs/>
                <w:dstrike/>
                <w:noProof/>
                <w:sz w:val="16"/>
                <w:szCs w:val="16"/>
                <w:lang w:val="en-US" w:eastAsia="ja-JP"/>
              </w:rPr>
            </w:pPr>
            <w:r w:rsidRPr="00F72999">
              <w:rPr>
                <w:rFonts w:eastAsia="MS Mincho" w:cs="Arial"/>
                <w:bCs/>
                <w:noProof/>
                <w:sz w:val="16"/>
                <w:szCs w:val="16"/>
                <w:lang w:val="en-US" w:eastAsia="ja-JP"/>
              </w:rPr>
              <w:t>TWP</w:t>
            </w:r>
          </w:p>
        </w:tc>
        <w:tc>
          <w:tcPr>
            <w:tcW w:w="1490" w:type="dxa"/>
            <w:tcBorders>
              <w:top w:val="single" w:sz="4" w:space="0" w:color="auto"/>
              <w:bottom w:val="single" w:sz="4" w:space="0" w:color="auto"/>
            </w:tcBorders>
            <w:shd w:val="clear" w:color="auto" w:fill="D9D9D9"/>
            <w:vAlign w:val="center"/>
          </w:tcPr>
          <w:p w:rsidR="00273DB6" w:rsidRPr="00F72999" w:rsidRDefault="00273DB6" w:rsidP="00273DB6">
            <w:pPr>
              <w:keepNext/>
              <w:ind w:left="-36"/>
              <w:jc w:val="left"/>
              <w:rPr>
                <w:rFonts w:eastAsia="MS Mincho" w:cs="Arial"/>
                <w:bCs/>
                <w:dstrike/>
                <w:noProof/>
                <w:sz w:val="16"/>
                <w:szCs w:val="16"/>
                <w:lang w:val="en-US" w:eastAsia="ja-JP"/>
              </w:rPr>
            </w:pPr>
            <w:r w:rsidRPr="009B196C">
              <w:rPr>
                <w:rFonts w:eastAsia="MS Mincho" w:cs="Arial"/>
                <w:bCs/>
                <w:noProof/>
                <w:sz w:val="16"/>
                <w:szCs w:val="16"/>
                <w:lang w:val="fr-FR" w:eastAsia="ja-JP"/>
              </w:rPr>
              <w:t xml:space="preserve">Document No. </w:t>
            </w:r>
            <w:r w:rsidRPr="009B196C">
              <w:rPr>
                <w:rFonts w:eastAsia="MS Mincho" w:cs="Arial"/>
                <w:bCs/>
                <w:noProof/>
                <w:sz w:val="16"/>
                <w:szCs w:val="16"/>
                <w:lang w:val="fr-FR" w:eastAsia="ja-JP"/>
              </w:rPr>
              <w:br/>
              <w:t xml:space="preserve">No. du document </w:t>
            </w:r>
            <w:r w:rsidRPr="009B196C">
              <w:rPr>
                <w:rFonts w:eastAsia="MS Mincho" w:cs="Arial"/>
                <w:bCs/>
                <w:noProof/>
                <w:sz w:val="16"/>
                <w:szCs w:val="16"/>
                <w:lang w:val="fr-FR" w:eastAsia="ja-JP"/>
              </w:rPr>
              <w:br/>
              <w:t xml:space="preserve">Dokument-Nr. </w:t>
            </w:r>
            <w:r w:rsidRPr="009B196C">
              <w:rPr>
                <w:rFonts w:eastAsia="MS Mincho" w:cs="Arial"/>
                <w:bCs/>
                <w:noProof/>
                <w:sz w:val="16"/>
                <w:szCs w:val="16"/>
                <w:lang w:val="fr-FR" w:eastAsia="ja-JP"/>
              </w:rPr>
              <w:br/>
            </w:r>
            <w:r w:rsidRPr="00F72999">
              <w:rPr>
                <w:rFonts w:eastAsia="MS Mincho" w:cs="Arial"/>
                <w:bCs/>
                <w:noProof/>
                <w:sz w:val="16"/>
                <w:szCs w:val="16"/>
                <w:lang w:val="en-US" w:eastAsia="ja-JP"/>
              </w:rPr>
              <w:t>No del documento</w:t>
            </w:r>
          </w:p>
        </w:tc>
        <w:tc>
          <w:tcPr>
            <w:tcW w:w="1417" w:type="dxa"/>
            <w:gridSpan w:val="2"/>
            <w:tcBorders>
              <w:top w:val="single" w:sz="4" w:space="0" w:color="auto"/>
              <w:bottom w:val="single" w:sz="4" w:space="0" w:color="auto"/>
            </w:tcBorders>
            <w:shd w:val="clear" w:color="auto" w:fill="D9D9D9"/>
            <w:vAlign w:val="center"/>
          </w:tcPr>
          <w:p w:rsidR="00273DB6" w:rsidRPr="00F72999" w:rsidRDefault="00273DB6" w:rsidP="00273DB6">
            <w:pPr>
              <w:keepNext/>
              <w:jc w:val="left"/>
              <w:rPr>
                <w:rFonts w:eastAsia="MS Mincho" w:cs="Arial"/>
                <w:bCs/>
                <w:dstrike/>
                <w:noProof/>
                <w:sz w:val="16"/>
                <w:szCs w:val="16"/>
                <w:lang w:val="en-US" w:eastAsia="ja-JP"/>
              </w:rPr>
            </w:pPr>
            <w:r w:rsidRPr="00F72999">
              <w:rPr>
                <w:rFonts w:eastAsia="MS Mincho" w:cs="Arial"/>
                <w:bCs/>
                <w:noProof/>
                <w:sz w:val="16"/>
                <w:szCs w:val="16"/>
                <w:lang w:val="en-US" w:eastAsia="ja-JP"/>
              </w:rPr>
              <w:t>English</w:t>
            </w:r>
          </w:p>
        </w:tc>
        <w:tc>
          <w:tcPr>
            <w:tcW w:w="1418" w:type="dxa"/>
            <w:tcBorders>
              <w:top w:val="single" w:sz="4" w:space="0" w:color="auto"/>
              <w:bottom w:val="single" w:sz="4" w:space="0" w:color="auto"/>
            </w:tcBorders>
            <w:shd w:val="clear" w:color="auto" w:fill="D9D9D9"/>
            <w:vAlign w:val="center"/>
          </w:tcPr>
          <w:p w:rsidR="00273DB6" w:rsidRPr="00F72999" w:rsidRDefault="00273DB6" w:rsidP="00273DB6">
            <w:pPr>
              <w:keepNext/>
              <w:jc w:val="left"/>
              <w:rPr>
                <w:rFonts w:eastAsia="MS Mincho" w:cs="Arial"/>
                <w:dstrike/>
                <w:noProof/>
                <w:sz w:val="16"/>
                <w:szCs w:val="16"/>
                <w:lang w:val="en-US" w:eastAsia="ja-JP"/>
              </w:rPr>
            </w:pPr>
            <w:r w:rsidRPr="00F72999">
              <w:rPr>
                <w:rFonts w:eastAsia="MS Mincho" w:cs="Arial"/>
                <w:noProof/>
                <w:sz w:val="16"/>
                <w:szCs w:val="16"/>
                <w:lang w:val="en-US" w:eastAsia="ja-JP"/>
              </w:rPr>
              <w:t>Français</w:t>
            </w:r>
          </w:p>
        </w:tc>
        <w:tc>
          <w:tcPr>
            <w:tcW w:w="1417" w:type="dxa"/>
            <w:tcBorders>
              <w:top w:val="single" w:sz="4" w:space="0" w:color="auto"/>
              <w:bottom w:val="single" w:sz="4" w:space="0" w:color="auto"/>
            </w:tcBorders>
            <w:shd w:val="clear" w:color="auto" w:fill="D9D9D9"/>
            <w:vAlign w:val="center"/>
          </w:tcPr>
          <w:p w:rsidR="00273DB6" w:rsidRPr="00F72999" w:rsidRDefault="00273DB6" w:rsidP="00273DB6">
            <w:pPr>
              <w:keepNext/>
              <w:jc w:val="left"/>
              <w:rPr>
                <w:rFonts w:eastAsia="MS Mincho" w:cs="Arial"/>
                <w:dstrike/>
                <w:noProof/>
                <w:sz w:val="16"/>
                <w:szCs w:val="16"/>
                <w:lang w:val="en-US" w:eastAsia="ja-JP"/>
              </w:rPr>
            </w:pPr>
            <w:r w:rsidRPr="00F72999">
              <w:rPr>
                <w:rFonts w:eastAsia="MS Mincho" w:cs="Arial"/>
                <w:noProof/>
                <w:sz w:val="16"/>
                <w:szCs w:val="16"/>
                <w:lang w:val="en-US" w:eastAsia="ja-JP"/>
              </w:rPr>
              <w:t>Deutsch</w:t>
            </w:r>
          </w:p>
        </w:tc>
        <w:tc>
          <w:tcPr>
            <w:tcW w:w="1418" w:type="dxa"/>
            <w:tcBorders>
              <w:top w:val="single" w:sz="4" w:space="0" w:color="auto"/>
              <w:bottom w:val="single" w:sz="4" w:space="0" w:color="auto"/>
            </w:tcBorders>
            <w:shd w:val="clear" w:color="auto" w:fill="D9D9D9"/>
            <w:vAlign w:val="center"/>
          </w:tcPr>
          <w:p w:rsidR="00273DB6" w:rsidRPr="00F72999" w:rsidRDefault="00273DB6" w:rsidP="00273DB6">
            <w:pPr>
              <w:keepNext/>
              <w:jc w:val="left"/>
              <w:rPr>
                <w:rFonts w:eastAsia="MS Mincho" w:cs="Arial"/>
                <w:dstrike/>
                <w:noProof/>
                <w:sz w:val="16"/>
                <w:szCs w:val="16"/>
                <w:lang w:val="en-US" w:eastAsia="ja-JP"/>
              </w:rPr>
            </w:pPr>
            <w:r w:rsidRPr="00F72999">
              <w:rPr>
                <w:rFonts w:eastAsia="MS Mincho" w:cs="Arial"/>
                <w:noProof/>
                <w:sz w:val="16"/>
                <w:szCs w:val="16"/>
                <w:lang w:val="en-US" w:eastAsia="ja-JP"/>
              </w:rPr>
              <w:t>Español</w:t>
            </w:r>
          </w:p>
        </w:tc>
        <w:tc>
          <w:tcPr>
            <w:tcW w:w="1700" w:type="dxa"/>
            <w:tcBorders>
              <w:top w:val="single" w:sz="4" w:space="0" w:color="auto"/>
              <w:bottom w:val="single" w:sz="4" w:space="0" w:color="auto"/>
            </w:tcBorders>
            <w:shd w:val="clear" w:color="auto" w:fill="D9D9D9"/>
            <w:vAlign w:val="center"/>
          </w:tcPr>
          <w:p w:rsidR="00273DB6" w:rsidRPr="00F72999" w:rsidRDefault="00273DB6" w:rsidP="00273DB6">
            <w:pPr>
              <w:keepNext/>
              <w:jc w:val="left"/>
              <w:rPr>
                <w:rFonts w:eastAsia="MS Mincho" w:cs="Arial"/>
                <w:noProof/>
                <w:sz w:val="16"/>
                <w:szCs w:val="16"/>
                <w:lang w:val="en-US" w:eastAsia="ja-JP"/>
              </w:rPr>
            </w:pPr>
            <w:r w:rsidRPr="00F72999">
              <w:rPr>
                <w:rFonts w:eastAsia="MS Mincho" w:cs="Arial"/>
                <w:noProof/>
                <w:sz w:val="16"/>
                <w:szCs w:val="16"/>
                <w:lang w:val="en-US" w:eastAsia="ja-JP"/>
              </w:rPr>
              <w:t>Botanical name</w:t>
            </w:r>
          </w:p>
        </w:tc>
      </w:tr>
      <w:tr w:rsidR="00273DB6" w:rsidRPr="00D60862" w:rsidTr="00273DB6">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273DB6" w:rsidRPr="009B196C" w:rsidRDefault="00273DB6" w:rsidP="00273DB6">
            <w:pPr>
              <w:keepNext/>
              <w:spacing w:before="120" w:after="120"/>
              <w:ind w:left="-36"/>
              <w:jc w:val="left"/>
              <w:rPr>
                <w:rFonts w:eastAsia="MS Mincho" w:cs="Arial"/>
                <w:bCs/>
                <w:noProof/>
                <w:sz w:val="16"/>
                <w:szCs w:val="16"/>
                <w:u w:val="single"/>
                <w:lang w:val="fr-FR" w:eastAsia="ja-JP"/>
              </w:rPr>
            </w:pPr>
            <w:r w:rsidRPr="009B196C">
              <w:rPr>
                <w:rFonts w:cs="Arial"/>
                <w:bCs/>
                <w:noProof/>
                <w:sz w:val="16"/>
                <w:szCs w:val="16"/>
                <w:u w:val="single"/>
                <w:lang w:val="fr-FR"/>
              </w:rPr>
              <w:t>NEW TEST GUIDELINES / NOUVEAUX PRINCIPES DIRECTEURS D’EXAMEN / NEUE PRÜFUNGSRICHTILINIEN /</w:t>
            </w:r>
            <w:r w:rsidRPr="009B196C">
              <w:rPr>
                <w:rFonts w:cs="Arial"/>
                <w:bCs/>
                <w:noProof/>
                <w:sz w:val="16"/>
                <w:szCs w:val="16"/>
                <w:u w:val="single"/>
                <w:lang w:val="fr-FR"/>
              </w:rPr>
              <w:br/>
              <w:t>NUEVAS DIRECTRICES DE EXAMEN</w:t>
            </w:r>
          </w:p>
        </w:tc>
      </w:tr>
      <w:tr w:rsidR="00273DB6" w:rsidRPr="00F72999" w:rsidTr="00273DB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keepNext/>
              <w:rPr>
                <w:rFonts w:cs="Arial"/>
                <w:dstrike/>
                <w:noProof/>
                <w:sz w:val="16"/>
                <w:szCs w:val="16"/>
                <w:lang w:val="en-US"/>
              </w:rPr>
            </w:pPr>
            <w:r w:rsidRPr="00F72999">
              <w:rPr>
                <w:rFonts w:cs="Arial"/>
                <w:noProof/>
                <w:sz w:val="16"/>
                <w:szCs w:val="16"/>
                <w:lang w:val="en-US"/>
              </w:rPr>
              <w:t>FR</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ind w:left="-113"/>
              <w:jc w:val="center"/>
              <w:rPr>
                <w:rFonts w:cs="Arial"/>
                <w:dstrike/>
                <w:noProof/>
                <w:color w:val="000000"/>
                <w:sz w:val="16"/>
                <w:szCs w:val="16"/>
                <w:lang w:val="en-US"/>
              </w:rPr>
            </w:pPr>
            <w:r w:rsidRPr="00F72999">
              <w:rPr>
                <w:rFonts w:cs="Arial"/>
                <w:noProof/>
                <w:color w:val="000000"/>
                <w:sz w:val="16"/>
                <w:szCs w:val="16"/>
                <w:lang w:val="en-US"/>
              </w:rPr>
              <w:t>TWO</w:t>
            </w:r>
          </w:p>
        </w:tc>
        <w:tc>
          <w:tcPr>
            <w:tcW w:w="14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ind w:left="-113" w:right="-108"/>
              <w:jc w:val="left"/>
              <w:rPr>
                <w:rFonts w:cs="Arial"/>
                <w:dstrike/>
                <w:noProof/>
                <w:sz w:val="16"/>
                <w:szCs w:val="16"/>
                <w:lang w:val="en-US"/>
              </w:rPr>
            </w:pPr>
            <w:r w:rsidRPr="00F72999">
              <w:rPr>
                <w:rFonts w:cs="Arial"/>
                <w:noProof/>
                <w:sz w:val="16"/>
                <w:szCs w:val="16"/>
                <w:lang w:val="en-US"/>
              </w:rPr>
              <w:t>TG/ABELI(proj.6)</w:t>
            </w:r>
          </w:p>
        </w:tc>
        <w:tc>
          <w:tcPr>
            <w:tcW w:w="1417"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jc w:val="left"/>
              <w:rPr>
                <w:rFonts w:cs="Arial"/>
                <w:dstrike/>
                <w:noProof/>
                <w:sz w:val="16"/>
                <w:szCs w:val="16"/>
                <w:lang w:val="en-US"/>
              </w:rPr>
            </w:pPr>
            <w:r w:rsidRPr="00F72999">
              <w:rPr>
                <w:rFonts w:cs="Arial"/>
                <w:noProof/>
                <w:sz w:val="16"/>
                <w:szCs w:val="16"/>
                <w:lang w:val="en-US"/>
              </w:rPr>
              <w:t>Abelia</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jc w:val="left"/>
              <w:rPr>
                <w:rFonts w:cs="Arial"/>
                <w:dstrike/>
                <w:noProof/>
                <w:sz w:val="16"/>
                <w:szCs w:val="16"/>
                <w:lang w:val="en-US"/>
              </w:rPr>
            </w:pPr>
            <w:r w:rsidRPr="00F72999">
              <w:rPr>
                <w:rFonts w:cs="Arial"/>
                <w:noProof/>
                <w:sz w:val="16"/>
                <w:szCs w:val="16"/>
                <w:lang w:val="en-US"/>
              </w:rPr>
              <w:t>Abelia</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jc w:val="left"/>
              <w:rPr>
                <w:rFonts w:cs="Arial"/>
                <w:dstrike/>
                <w:noProof/>
                <w:sz w:val="16"/>
                <w:szCs w:val="16"/>
                <w:lang w:val="en-US"/>
              </w:rPr>
            </w:pPr>
            <w:r w:rsidRPr="00F72999">
              <w:rPr>
                <w:rFonts w:cs="Arial"/>
                <w:noProof/>
                <w:sz w:val="16"/>
                <w:szCs w:val="16"/>
                <w:lang w:val="en-US"/>
              </w:rPr>
              <w:t>Abelia</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jc w:val="left"/>
              <w:rPr>
                <w:rFonts w:cs="Arial"/>
                <w:dstrike/>
                <w:noProof/>
                <w:sz w:val="16"/>
                <w:szCs w:val="16"/>
                <w:lang w:val="en-US"/>
              </w:rPr>
            </w:pPr>
            <w:r w:rsidRPr="00F72999">
              <w:rPr>
                <w:rFonts w:cs="Arial"/>
                <w:noProof/>
                <w:sz w:val="16"/>
                <w:szCs w:val="16"/>
                <w:lang w:val="en-US"/>
              </w:rPr>
              <w:t>Abelia</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jc w:val="left"/>
              <w:rPr>
                <w:rFonts w:cs="Arial"/>
                <w:noProof/>
                <w:sz w:val="16"/>
                <w:szCs w:val="16"/>
                <w:lang w:val="en-US"/>
              </w:rPr>
            </w:pPr>
            <w:r w:rsidRPr="00F72999">
              <w:rPr>
                <w:rFonts w:cs="Arial"/>
                <w:noProof/>
                <w:sz w:val="16"/>
                <w:szCs w:val="16"/>
                <w:lang w:val="en-US"/>
              </w:rPr>
              <w:t>Abelia R. Br.</w:t>
            </w:r>
          </w:p>
        </w:tc>
      </w:tr>
      <w:tr w:rsidR="00273DB6" w:rsidRPr="00F72999" w:rsidTr="00273DB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szCs w:val="16"/>
                <w:lang w:val="en-US"/>
              </w:rPr>
            </w:pPr>
            <w:r w:rsidRPr="00F72999">
              <w:rPr>
                <w:rFonts w:cs="Arial"/>
                <w:noProof/>
                <w:sz w:val="16"/>
                <w:szCs w:val="16"/>
                <w:lang w:val="en-US"/>
              </w:rPr>
              <w:t>JP</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113"/>
              <w:jc w:val="center"/>
              <w:rPr>
                <w:rFonts w:cs="Arial"/>
                <w:dstrike/>
                <w:noProof/>
                <w:color w:val="000000"/>
                <w:sz w:val="16"/>
                <w:szCs w:val="16"/>
                <w:lang w:val="en-US"/>
              </w:rPr>
            </w:pPr>
            <w:r w:rsidRPr="00F72999">
              <w:rPr>
                <w:rFonts w:cs="Arial"/>
                <w:noProof/>
                <w:color w:val="000000"/>
                <w:sz w:val="16"/>
                <w:szCs w:val="16"/>
                <w:lang w:val="en-US"/>
              </w:rPr>
              <w:t>TWO</w:t>
            </w:r>
          </w:p>
        </w:tc>
        <w:tc>
          <w:tcPr>
            <w:tcW w:w="14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113" w:right="-108"/>
              <w:jc w:val="left"/>
              <w:rPr>
                <w:rFonts w:cs="Arial"/>
                <w:dstrike/>
                <w:noProof/>
                <w:sz w:val="16"/>
                <w:szCs w:val="16"/>
                <w:lang w:val="en-US"/>
              </w:rPr>
            </w:pPr>
            <w:r w:rsidRPr="00F72999">
              <w:rPr>
                <w:rFonts w:cs="Arial"/>
                <w:noProof/>
                <w:sz w:val="16"/>
                <w:szCs w:val="16"/>
                <w:lang w:val="en-US"/>
              </w:rPr>
              <w:t>TG/AGLAO(proj.9)</w:t>
            </w:r>
          </w:p>
        </w:tc>
        <w:tc>
          <w:tcPr>
            <w:tcW w:w="1417"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szCs w:val="16"/>
                <w:lang w:val="en-US"/>
              </w:rPr>
            </w:pPr>
            <w:r w:rsidRPr="00F72999">
              <w:rPr>
                <w:rFonts w:cs="Arial"/>
                <w:noProof/>
                <w:sz w:val="16"/>
                <w:szCs w:val="16"/>
                <w:lang w:val="en-US"/>
              </w:rPr>
              <w:t>Chinese Evergreen</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szCs w:val="16"/>
                <w:lang w:val="en-US"/>
              </w:rPr>
            </w:pPr>
            <w:r w:rsidRPr="00F72999">
              <w:rPr>
                <w:rFonts w:cs="Arial"/>
                <w:noProof/>
                <w:sz w:val="16"/>
                <w:szCs w:val="16"/>
                <w:lang w:val="en-US"/>
              </w:rPr>
              <w:t>Aglaonema</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szCs w:val="16"/>
                <w:lang w:val="en-US"/>
              </w:rPr>
            </w:pPr>
            <w:r w:rsidRPr="00F72999">
              <w:rPr>
                <w:rFonts w:cs="Arial"/>
                <w:noProof/>
                <w:sz w:val="16"/>
                <w:szCs w:val="16"/>
                <w:lang w:val="en-US"/>
              </w:rPr>
              <w:t>Aglaonema</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szCs w:val="16"/>
                <w:lang w:val="en-US"/>
              </w:rPr>
            </w:pPr>
            <w:r w:rsidRPr="00F72999">
              <w:rPr>
                <w:rFonts w:cs="Arial"/>
                <w:noProof/>
                <w:sz w:val="16"/>
                <w:szCs w:val="16"/>
                <w:lang w:val="en-US"/>
              </w:rPr>
              <w:t>Aglaonema</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szCs w:val="16"/>
                <w:lang w:val="en-US"/>
              </w:rPr>
            </w:pPr>
            <w:r w:rsidRPr="00F72999">
              <w:rPr>
                <w:rFonts w:cs="Arial"/>
                <w:noProof/>
                <w:sz w:val="16"/>
                <w:szCs w:val="16"/>
                <w:lang w:val="en-US"/>
              </w:rPr>
              <w:t>Aglaonema Schott.</w:t>
            </w:r>
          </w:p>
        </w:tc>
      </w:tr>
      <w:tr w:rsidR="00273DB6" w:rsidRPr="00F72999" w:rsidTr="00273DB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szCs w:val="16"/>
                <w:lang w:val="en-US"/>
              </w:rPr>
            </w:pPr>
            <w:r w:rsidRPr="00F72999">
              <w:rPr>
                <w:rFonts w:cs="Arial"/>
                <w:noProof/>
                <w:sz w:val="16"/>
                <w:szCs w:val="16"/>
                <w:lang w:val="en-US"/>
              </w:rPr>
              <w:t>KE/BR</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113"/>
              <w:jc w:val="center"/>
              <w:rPr>
                <w:rFonts w:cs="Arial"/>
                <w:dstrike/>
                <w:noProof/>
                <w:color w:val="000000"/>
                <w:sz w:val="16"/>
                <w:szCs w:val="16"/>
                <w:lang w:val="en-US"/>
              </w:rPr>
            </w:pPr>
            <w:r w:rsidRPr="00F72999">
              <w:rPr>
                <w:rFonts w:cs="Arial"/>
                <w:noProof/>
                <w:color w:val="000000"/>
                <w:sz w:val="16"/>
                <w:szCs w:val="16"/>
                <w:lang w:val="en-US"/>
              </w:rPr>
              <w:t>TWA/ TWV</w:t>
            </w:r>
          </w:p>
        </w:tc>
        <w:tc>
          <w:tcPr>
            <w:tcW w:w="14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113" w:right="-108"/>
              <w:jc w:val="left"/>
              <w:rPr>
                <w:rFonts w:cs="Arial"/>
                <w:dstrike/>
                <w:noProof/>
                <w:sz w:val="16"/>
                <w:szCs w:val="16"/>
                <w:lang w:val="en-US"/>
              </w:rPr>
            </w:pPr>
            <w:r w:rsidRPr="00F72999">
              <w:rPr>
                <w:rFonts w:cs="Arial"/>
                <w:noProof/>
                <w:sz w:val="16"/>
                <w:szCs w:val="16"/>
                <w:lang w:val="en-US"/>
              </w:rPr>
              <w:t>TG/CASSAV(proj.8)</w:t>
            </w:r>
          </w:p>
        </w:tc>
        <w:tc>
          <w:tcPr>
            <w:tcW w:w="1417"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szCs w:val="16"/>
                <w:lang w:val="en-US"/>
              </w:rPr>
            </w:pPr>
            <w:r w:rsidRPr="00F72999">
              <w:rPr>
                <w:rFonts w:cs="Arial"/>
                <w:noProof/>
                <w:sz w:val="16"/>
                <w:szCs w:val="16"/>
                <w:lang w:val="en-US"/>
              </w:rPr>
              <w:t>Cassava</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szCs w:val="16"/>
                <w:lang w:val="en-US"/>
              </w:rPr>
            </w:pPr>
            <w:r w:rsidRPr="00F72999">
              <w:rPr>
                <w:rFonts w:cs="Arial"/>
                <w:noProof/>
                <w:sz w:val="16"/>
                <w:szCs w:val="16"/>
                <w:lang w:val="en-US"/>
              </w:rPr>
              <w:t>Manioc</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szCs w:val="16"/>
                <w:lang w:val="en-US"/>
              </w:rPr>
            </w:pPr>
            <w:r w:rsidRPr="00F72999">
              <w:rPr>
                <w:rFonts w:cs="Arial"/>
                <w:noProof/>
                <w:sz w:val="16"/>
                <w:szCs w:val="16"/>
                <w:lang w:val="en-US"/>
              </w:rPr>
              <w:t>Maniok</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szCs w:val="16"/>
                <w:lang w:val="en-US"/>
              </w:rPr>
            </w:pPr>
            <w:r w:rsidRPr="00F72999">
              <w:rPr>
                <w:rFonts w:cs="Arial"/>
                <w:noProof/>
                <w:sz w:val="16"/>
                <w:szCs w:val="16"/>
                <w:lang w:val="en-US"/>
              </w:rPr>
              <w:t>Mandioca</w:t>
            </w:r>
            <w:r w:rsidR="007829E4" w:rsidRPr="00F72999">
              <w:rPr>
                <w:rFonts w:cs="Arial"/>
                <w:noProof/>
                <w:sz w:val="16"/>
                <w:szCs w:val="16"/>
                <w:lang w:val="en-US"/>
              </w:rPr>
              <w:t xml:space="preserve">, </w:t>
            </w:r>
            <w:r w:rsidRPr="00F72999">
              <w:rPr>
                <w:rFonts w:cs="Arial"/>
                <w:noProof/>
                <w:sz w:val="16"/>
                <w:szCs w:val="16"/>
                <w:lang w:val="en-US"/>
              </w:rPr>
              <w:t>Yuca</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szCs w:val="16"/>
                <w:lang w:val="en-US"/>
              </w:rPr>
            </w:pPr>
            <w:r w:rsidRPr="00F72999">
              <w:rPr>
                <w:rFonts w:cs="Arial"/>
                <w:noProof/>
                <w:sz w:val="16"/>
                <w:szCs w:val="16"/>
                <w:lang w:val="en-US"/>
              </w:rPr>
              <w:t>Manihot esculenta Crantz</w:t>
            </w:r>
          </w:p>
        </w:tc>
      </w:tr>
      <w:tr w:rsidR="00273DB6" w:rsidRPr="00F72999" w:rsidTr="00273DB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szCs w:val="16"/>
                <w:lang w:val="en-US"/>
              </w:rPr>
            </w:pPr>
            <w:r w:rsidRPr="00F72999">
              <w:rPr>
                <w:rFonts w:cs="Arial"/>
                <w:noProof/>
                <w:sz w:val="16"/>
                <w:szCs w:val="16"/>
                <w:lang w:val="en-US"/>
              </w:rPr>
              <w:t>PL</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113"/>
              <w:jc w:val="center"/>
              <w:rPr>
                <w:rFonts w:cs="Arial"/>
                <w:dstrike/>
                <w:noProof/>
                <w:color w:val="000000"/>
                <w:sz w:val="16"/>
                <w:szCs w:val="16"/>
                <w:lang w:val="en-US"/>
              </w:rPr>
            </w:pPr>
            <w:r w:rsidRPr="00F72999">
              <w:rPr>
                <w:rFonts w:cs="Arial"/>
                <w:noProof/>
                <w:color w:val="000000"/>
                <w:sz w:val="16"/>
                <w:szCs w:val="16"/>
                <w:lang w:val="en-US"/>
              </w:rPr>
              <w:t>TWA</w:t>
            </w:r>
          </w:p>
        </w:tc>
        <w:tc>
          <w:tcPr>
            <w:tcW w:w="14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113" w:right="-108"/>
              <w:jc w:val="left"/>
              <w:rPr>
                <w:rFonts w:cs="Arial"/>
                <w:dstrike/>
                <w:noProof/>
                <w:sz w:val="16"/>
                <w:szCs w:val="16"/>
                <w:lang w:val="en-US"/>
              </w:rPr>
            </w:pPr>
            <w:r w:rsidRPr="00F72999">
              <w:rPr>
                <w:rFonts w:cs="Arial"/>
                <w:noProof/>
                <w:sz w:val="16"/>
                <w:szCs w:val="16"/>
                <w:lang w:val="en-US"/>
              </w:rPr>
              <w:t>TG/PHACE(proj.6)</w:t>
            </w:r>
          </w:p>
        </w:tc>
        <w:tc>
          <w:tcPr>
            <w:tcW w:w="1417"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szCs w:val="16"/>
                <w:lang w:val="en-US"/>
              </w:rPr>
            </w:pPr>
            <w:r w:rsidRPr="00F72999">
              <w:rPr>
                <w:rFonts w:cs="Arial"/>
                <w:noProof/>
                <w:sz w:val="16"/>
                <w:szCs w:val="16"/>
                <w:lang w:val="en-US"/>
              </w:rPr>
              <w:t>Scorpion Weed</w:t>
            </w:r>
          </w:p>
        </w:tc>
        <w:tc>
          <w:tcPr>
            <w:tcW w:w="1418" w:type="dxa"/>
            <w:tcBorders>
              <w:top w:val="single" w:sz="4" w:space="0" w:color="auto"/>
              <w:left w:val="nil"/>
              <w:bottom w:val="single" w:sz="4" w:space="0" w:color="auto"/>
              <w:right w:val="single" w:sz="4" w:space="0" w:color="auto"/>
            </w:tcBorders>
            <w:shd w:val="clear" w:color="auto" w:fill="auto"/>
          </w:tcPr>
          <w:p w:rsidR="00273DB6" w:rsidRPr="009B196C" w:rsidRDefault="00273DB6" w:rsidP="00273DB6">
            <w:pPr>
              <w:jc w:val="left"/>
              <w:rPr>
                <w:rFonts w:cs="Arial"/>
                <w:dstrike/>
                <w:noProof/>
                <w:sz w:val="16"/>
                <w:szCs w:val="16"/>
                <w:lang w:val="fr-FR"/>
              </w:rPr>
            </w:pPr>
            <w:r w:rsidRPr="009B196C">
              <w:rPr>
                <w:rFonts w:cs="Arial"/>
                <w:noProof/>
                <w:sz w:val="16"/>
                <w:szCs w:val="16"/>
                <w:lang w:val="fr-FR"/>
              </w:rPr>
              <w:t>Phacélie à feuilles de tanaisie</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szCs w:val="16"/>
                <w:lang w:val="en-US"/>
              </w:rPr>
            </w:pPr>
            <w:r w:rsidRPr="00F72999">
              <w:rPr>
                <w:rFonts w:cs="Arial"/>
                <w:noProof/>
                <w:sz w:val="16"/>
                <w:szCs w:val="16"/>
                <w:lang w:val="en-US"/>
              </w:rPr>
              <w:t>Phazelie</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szCs w:val="16"/>
                <w:lang w:val="en-US"/>
              </w:rPr>
            </w:pPr>
            <w:r w:rsidRPr="00F72999">
              <w:rPr>
                <w:rFonts w:cs="Arial"/>
                <w:noProof/>
                <w:sz w:val="16"/>
                <w:szCs w:val="16"/>
                <w:lang w:val="en-US"/>
              </w:rPr>
              <w:t>Phazelia</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szCs w:val="16"/>
                <w:lang w:val="en-US"/>
              </w:rPr>
            </w:pPr>
            <w:r w:rsidRPr="00F72999">
              <w:rPr>
                <w:rFonts w:cs="Arial"/>
                <w:noProof/>
                <w:sz w:val="16"/>
                <w:szCs w:val="16"/>
                <w:lang w:val="en-US"/>
              </w:rPr>
              <w:t>Phacelia tanacetifolia Benth.</w:t>
            </w:r>
          </w:p>
        </w:tc>
      </w:tr>
      <w:tr w:rsidR="00273DB6" w:rsidRPr="00161B63" w:rsidTr="00273DB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401303">
            <w:pPr>
              <w:rPr>
                <w:rFonts w:cs="Arial"/>
                <w:dstrike/>
                <w:noProof/>
                <w:sz w:val="16"/>
                <w:szCs w:val="16"/>
                <w:lang w:val="en-US"/>
              </w:rPr>
            </w:pPr>
            <w:r w:rsidRPr="00F72999">
              <w:rPr>
                <w:rFonts w:cs="Arial"/>
                <w:noProof/>
                <w:sz w:val="16"/>
                <w:szCs w:val="16"/>
                <w:lang w:val="en-US"/>
              </w:rPr>
              <w:t>BR</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ind w:left="-113"/>
              <w:jc w:val="center"/>
              <w:rPr>
                <w:rFonts w:cs="Arial"/>
                <w:dstrike/>
                <w:noProof/>
                <w:color w:val="000000"/>
                <w:sz w:val="16"/>
                <w:szCs w:val="16"/>
                <w:lang w:val="en-US"/>
              </w:rPr>
            </w:pPr>
            <w:r w:rsidRPr="00F72999">
              <w:rPr>
                <w:rFonts w:cs="Arial"/>
                <w:noProof/>
                <w:color w:val="000000"/>
                <w:sz w:val="16"/>
                <w:szCs w:val="16"/>
                <w:lang w:val="en-US"/>
              </w:rPr>
              <w:t>TWA</w:t>
            </w:r>
          </w:p>
        </w:tc>
        <w:tc>
          <w:tcPr>
            <w:tcW w:w="14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ind w:left="-113" w:right="-108"/>
              <w:jc w:val="left"/>
              <w:rPr>
                <w:rFonts w:cs="Arial"/>
                <w:dstrike/>
                <w:noProof/>
                <w:sz w:val="16"/>
                <w:szCs w:val="16"/>
                <w:lang w:val="en-US"/>
              </w:rPr>
            </w:pPr>
            <w:r w:rsidRPr="00F72999">
              <w:rPr>
                <w:rFonts w:cs="Arial"/>
                <w:noProof/>
                <w:sz w:val="16"/>
                <w:szCs w:val="16"/>
                <w:lang w:val="en-US"/>
              </w:rPr>
              <w:t>TG/UROCH(proj.11)</w:t>
            </w:r>
          </w:p>
        </w:tc>
        <w:tc>
          <w:tcPr>
            <w:tcW w:w="1417"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jc w:val="left"/>
              <w:rPr>
                <w:rFonts w:cs="Arial"/>
                <w:dstrike/>
                <w:noProof/>
                <w:sz w:val="16"/>
                <w:szCs w:val="16"/>
                <w:lang w:val="en-US"/>
              </w:rPr>
            </w:pPr>
            <w:r w:rsidRPr="00F72999">
              <w:rPr>
                <w:rFonts w:cs="Arial"/>
                <w:noProof/>
                <w:sz w:val="16"/>
                <w:szCs w:val="16"/>
                <w:lang w:val="en-US"/>
              </w:rPr>
              <w:t>Bread Grass</w:t>
            </w:r>
            <w:r w:rsidR="007829E4" w:rsidRPr="00F72999">
              <w:rPr>
                <w:rFonts w:cs="Arial"/>
                <w:noProof/>
                <w:sz w:val="16"/>
                <w:szCs w:val="16"/>
                <w:lang w:val="en-US"/>
              </w:rPr>
              <w:t xml:space="preserve">, </w:t>
            </w:r>
            <w:r w:rsidRPr="00F72999">
              <w:rPr>
                <w:rFonts w:cs="Arial"/>
                <w:noProof/>
                <w:sz w:val="16"/>
                <w:szCs w:val="16"/>
                <w:lang w:val="en-US"/>
              </w:rPr>
              <w:t>Palisade Grass</w:t>
            </w:r>
            <w:r w:rsidR="007829E4" w:rsidRPr="00F72999">
              <w:rPr>
                <w:rFonts w:cs="Arial"/>
                <w:noProof/>
                <w:sz w:val="16"/>
                <w:szCs w:val="16"/>
                <w:lang w:val="en-US"/>
              </w:rPr>
              <w:t xml:space="preserve">, </w:t>
            </w:r>
            <w:r w:rsidRPr="00F72999">
              <w:rPr>
                <w:rFonts w:cs="Arial"/>
                <w:noProof/>
                <w:sz w:val="16"/>
                <w:szCs w:val="16"/>
                <w:lang w:val="en-US"/>
              </w:rPr>
              <w:t>Palisade Signal Grass</w:t>
            </w:r>
            <w:r w:rsidR="007829E4" w:rsidRPr="00F72999">
              <w:rPr>
                <w:rFonts w:cs="Arial"/>
                <w:noProof/>
                <w:sz w:val="16"/>
                <w:szCs w:val="16"/>
                <w:lang w:val="en-US"/>
              </w:rPr>
              <w:t xml:space="preserve">, </w:t>
            </w:r>
            <w:r w:rsidRPr="00F72999">
              <w:rPr>
                <w:rFonts w:cs="Arial"/>
                <w:noProof/>
                <w:sz w:val="16"/>
                <w:szCs w:val="16"/>
                <w:lang w:val="en-US"/>
              </w:rPr>
              <w:t>Signal Grass;  Basilisk Signal Grass</w:t>
            </w:r>
            <w:r w:rsidR="007829E4" w:rsidRPr="00F72999">
              <w:rPr>
                <w:rFonts w:cs="Arial"/>
                <w:noProof/>
                <w:sz w:val="16"/>
                <w:szCs w:val="16"/>
                <w:lang w:val="en-US"/>
              </w:rPr>
              <w:t xml:space="preserve">, </w:t>
            </w:r>
            <w:r w:rsidRPr="00F72999">
              <w:rPr>
                <w:rFonts w:cs="Arial"/>
                <w:noProof/>
                <w:sz w:val="16"/>
                <w:szCs w:val="16"/>
                <w:lang w:val="en-US"/>
              </w:rPr>
              <w:t>Signal Grass</w:t>
            </w:r>
            <w:r w:rsidR="007829E4" w:rsidRPr="00F72999">
              <w:rPr>
                <w:rFonts w:cs="Arial"/>
                <w:noProof/>
                <w:sz w:val="16"/>
                <w:szCs w:val="16"/>
                <w:lang w:val="en-US"/>
              </w:rPr>
              <w:t xml:space="preserve">, </w:t>
            </w:r>
            <w:r w:rsidRPr="00F72999">
              <w:rPr>
                <w:rFonts w:cs="Arial"/>
                <w:noProof/>
                <w:sz w:val="16"/>
                <w:szCs w:val="16"/>
                <w:lang w:val="en-US"/>
              </w:rPr>
              <w:t>Spreading Liverseed Grass</w:t>
            </w:r>
            <w:r w:rsidR="007829E4" w:rsidRPr="00F72999">
              <w:rPr>
                <w:rFonts w:cs="Arial"/>
                <w:noProof/>
                <w:sz w:val="16"/>
                <w:szCs w:val="16"/>
                <w:lang w:val="en-US"/>
              </w:rPr>
              <w:t xml:space="preserve">, </w:t>
            </w:r>
            <w:r w:rsidRPr="00F72999">
              <w:rPr>
                <w:rFonts w:cs="Arial"/>
                <w:noProof/>
                <w:sz w:val="16"/>
                <w:szCs w:val="16"/>
                <w:lang w:val="en-US"/>
              </w:rPr>
              <w:t>Surinam Grass; Creeping Signal Grass</w:t>
            </w:r>
            <w:r w:rsidR="007829E4" w:rsidRPr="00F72999">
              <w:rPr>
                <w:rFonts w:cs="Arial"/>
                <w:noProof/>
                <w:sz w:val="16"/>
                <w:szCs w:val="16"/>
                <w:lang w:val="en-US"/>
              </w:rPr>
              <w:t xml:space="preserve">, </w:t>
            </w:r>
            <w:r w:rsidRPr="00F72999">
              <w:rPr>
                <w:rFonts w:cs="Arial"/>
                <w:noProof/>
                <w:sz w:val="16"/>
                <w:szCs w:val="16"/>
                <w:lang w:val="en-US"/>
              </w:rPr>
              <w:t>Koronivia Grass; Congo Grass</w:t>
            </w:r>
            <w:r w:rsidR="007829E4" w:rsidRPr="00F72999">
              <w:rPr>
                <w:rFonts w:cs="Arial"/>
                <w:noProof/>
                <w:sz w:val="16"/>
                <w:szCs w:val="16"/>
                <w:lang w:val="en-US"/>
              </w:rPr>
              <w:t xml:space="preserve">, </w:t>
            </w:r>
            <w:r w:rsidRPr="00F72999">
              <w:rPr>
                <w:rFonts w:cs="Arial"/>
                <w:noProof/>
                <w:sz w:val="16"/>
                <w:szCs w:val="16"/>
                <w:lang w:val="en-US"/>
              </w:rPr>
              <w:t>Congo Signal Grass</w:t>
            </w:r>
            <w:r w:rsidR="007829E4" w:rsidRPr="00F72999">
              <w:rPr>
                <w:rFonts w:cs="Arial"/>
                <w:noProof/>
                <w:sz w:val="16"/>
                <w:szCs w:val="16"/>
                <w:lang w:val="en-US"/>
              </w:rPr>
              <w:t xml:space="preserve">, </w:t>
            </w:r>
            <w:r w:rsidRPr="00F72999">
              <w:rPr>
                <w:rFonts w:cs="Arial"/>
                <w:noProof/>
                <w:sz w:val="16"/>
                <w:szCs w:val="16"/>
                <w:lang w:val="en-US"/>
              </w:rPr>
              <w:t>Ruzi Grass</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jc w:val="left"/>
              <w:rPr>
                <w:rFonts w:cs="Arial"/>
                <w:dstrike/>
                <w:noProof/>
                <w:sz w:val="16"/>
                <w:szCs w:val="16"/>
                <w:lang w:val="en-US"/>
              </w:rPr>
            </w:pPr>
            <w:r w:rsidRPr="00F72999">
              <w:rPr>
                <w:rFonts w:cs="Arial"/>
                <w:noProof/>
                <w:sz w:val="16"/>
                <w:szCs w:val="16"/>
                <w:lang w:val="en-US"/>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jc w:val="left"/>
              <w:rPr>
                <w:rFonts w:cs="Arial"/>
                <w:dstrike/>
                <w:noProof/>
                <w:sz w:val="16"/>
                <w:szCs w:val="16"/>
                <w:lang w:val="en-US"/>
              </w:rPr>
            </w:pPr>
            <w:r w:rsidRPr="00F72999">
              <w:rPr>
                <w:rFonts w:cs="Arial"/>
                <w:noProof/>
                <w:sz w:val="16"/>
                <w:szCs w:val="16"/>
                <w:lang w:val="en-US"/>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273DB6" w:rsidRPr="006E4918" w:rsidRDefault="00273DB6" w:rsidP="00401303">
            <w:pPr>
              <w:jc w:val="left"/>
              <w:rPr>
                <w:rFonts w:cs="Arial"/>
                <w:dstrike/>
                <w:noProof/>
                <w:sz w:val="16"/>
                <w:szCs w:val="16"/>
                <w:lang w:val="en-US"/>
              </w:rPr>
            </w:pPr>
            <w:r w:rsidRPr="006E4918">
              <w:rPr>
                <w:rFonts w:cs="Arial"/>
                <w:noProof/>
                <w:sz w:val="16"/>
                <w:szCs w:val="16"/>
                <w:lang w:val="en-US"/>
              </w:rPr>
              <w:t>Pasto alambre</w:t>
            </w:r>
            <w:r w:rsidR="007829E4" w:rsidRPr="006E4918">
              <w:rPr>
                <w:rFonts w:cs="Arial"/>
                <w:noProof/>
                <w:sz w:val="16"/>
                <w:szCs w:val="16"/>
                <w:lang w:val="en-US"/>
              </w:rPr>
              <w:t xml:space="preserve">, </w:t>
            </w:r>
            <w:r w:rsidRPr="006E4918">
              <w:rPr>
                <w:rFonts w:cs="Arial"/>
                <w:noProof/>
                <w:sz w:val="16"/>
                <w:szCs w:val="16"/>
                <w:lang w:val="en-US"/>
              </w:rPr>
              <w:t>Pasto señal</w:t>
            </w:r>
            <w:r w:rsidR="007829E4" w:rsidRPr="006E4918">
              <w:rPr>
                <w:rFonts w:cs="Arial"/>
                <w:noProof/>
                <w:sz w:val="16"/>
                <w:szCs w:val="16"/>
                <w:lang w:val="en-US"/>
              </w:rPr>
              <w:t xml:space="preserve">, </w:t>
            </w:r>
            <w:r w:rsidRPr="006E4918">
              <w:rPr>
                <w:rFonts w:cs="Arial"/>
                <w:noProof/>
                <w:sz w:val="16"/>
                <w:szCs w:val="16"/>
                <w:lang w:val="en-US"/>
              </w:rPr>
              <w:t>Zacate señal</w:t>
            </w:r>
            <w:r w:rsidR="007829E4" w:rsidRPr="006E4918">
              <w:rPr>
                <w:rFonts w:cs="Arial"/>
                <w:noProof/>
                <w:sz w:val="16"/>
                <w:szCs w:val="16"/>
                <w:lang w:val="en-US"/>
              </w:rPr>
              <w:t xml:space="preserve">, </w:t>
            </w:r>
            <w:r w:rsidRPr="006E4918">
              <w:rPr>
                <w:rFonts w:cs="Arial"/>
                <w:noProof/>
                <w:sz w:val="16"/>
                <w:szCs w:val="16"/>
                <w:lang w:val="en-US"/>
              </w:rPr>
              <w:t>Zacate signal; Zacate Surinam</w:t>
            </w:r>
            <w:r w:rsidR="007829E4" w:rsidRPr="006E4918">
              <w:rPr>
                <w:rFonts w:cs="Arial"/>
                <w:noProof/>
                <w:sz w:val="16"/>
                <w:szCs w:val="16"/>
                <w:lang w:val="en-US"/>
              </w:rPr>
              <w:t xml:space="preserve">, </w:t>
            </w:r>
            <w:r w:rsidRPr="006E4918">
              <w:rPr>
                <w:rFonts w:cs="Arial"/>
                <w:noProof/>
                <w:sz w:val="16"/>
                <w:szCs w:val="16"/>
                <w:lang w:val="en-US"/>
              </w:rPr>
              <w:t>Pasto chontalpo</w:t>
            </w:r>
            <w:r w:rsidR="007829E4" w:rsidRPr="006E4918">
              <w:rPr>
                <w:rFonts w:cs="Arial"/>
                <w:noProof/>
                <w:sz w:val="16"/>
                <w:szCs w:val="16"/>
                <w:lang w:val="en-US"/>
              </w:rPr>
              <w:t xml:space="preserve">, </w:t>
            </w:r>
            <w:r w:rsidRPr="006E4918">
              <w:rPr>
                <w:rFonts w:cs="Arial"/>
                <w:noProof/>
                <w:sz w:val="16"/>
                <w:szCs w:val="16"/>
                <w:lang w:val="en-US"/>
              </w:rPr>
              <w:t>Pasto de la palizada</w:t>
            </w:r>
            <w:r w:rsidR="007829E4" w:rsidRPr="006E4918">
              <w:rPr>
                <w:rFonts w:cs="Arial"/>
                <w:noProof/>
                <w:sz w:val="16"/>
                <w:szCs w:val="16"/>
                <w:lang w:val="en-US"/>
              </w:rPr>
              <w:t xml:space="preserve">, </w:t>
            </w:r>
            <w:r w:rsidRPr="006E4918">
              <w:rPr>
                <w:rFonts w:cs="Arial"/>
                <w:noProof/>
                <w:sz w:val="16"/>
                <w:szCs w:val="16"/>
                <w:lang w:val="en-US"/>
              </w:rPr>
              <w:t>Pasto de las orillas</w:t>
            </w:r>
            <w:r w:rsidR="007829E4" w:rsidRPr="006E4918">
              <w:rPr>
                <w:rFonts w:cs="Arial"/>
                <w:noProof/>
                <w:sz w:val="16"/>
                <w:szCs w:val="16"/>
                <w:lang w:val="en-US"/>
              </w:rPr>
              <w:t xml:space="preserve">, </w:t>
            </w:r>
            <w:r w:rsidRPr="006E4918">
              <w:rPr>
                <w:rFonts w:cs="Arial"/>
                <w:noProof/>
                <w:sz w:val="16"/>
                <w:szCs w:val="16"/>
                <w:lang w:val="en-US"/>
              </w:rPr>
              <w:t>Pasto peludo</w:t>
            </w:r>
            <w:r w:rsidR="007829E4" w:rsidRPr="006E4918">
              <w:rPr>
                <w:rFonts w:cs="Arial"/>
                <w:noProof/>
                <w:sz w:val="16"/>
                <w:szCs w:val="16"/>
                <w:lang w:val="en-US"/>
              </w:rPr>
              <w:t xml:space="preserve">, </w:t>
            </w:r>
            <w:r w:rsidRPr="006E4918">
              <w:rPr>
                <w:rFonts w:cs="Arial"/>
                <w:noProof/>
                <w:sz w:val="16"/>
                <w:szCs w:val="16"/>
                <w:lang w:val="en-US"/>
              </w:rPr>
              <w:t>Pasto prodigio</w:t>
            </w:r>
            <w:r w:rsidR="007829E4" w:rsidRPr="006E4918">
              <w:rPr>
                <w:rFonts w:cs="Arial"/>
                <w:noProof/>
                <w:sz w:val="16"/>
                <w:szCs w:val="16"/>
                <w:lang w:val="en-US"/>
              </w:rPr>
              <w:t xml:space="preserve">, </w:t>
            </w:r>
            <w:r w:rsidRPr="006E4918">
              <w:rPr>
                <w:rFonts w:cs="Arial"/>
                <w:noProof/>
                <w:sz w:val="16"/>
                <w:szCs w:val="16"/>
                <w:lang w:val="en-US"/>
              </w:rPr>
              <w:t>Zacate prodigio; Braquiaria dulce</w:t>
            </w:r>
            <w:r w:rsidR="007829E4" w:rsidRPr="006E4918">
              <w:rPr>
                <w:rFonts w:cs="Arial"/>
                <w:noProof/>
                <w:sz w:val="16"/>
                <w:szCs w:val="16"/>
                <w:lang w:val="en-US"/>
              </w:rPr>
              <w:t xml:space="preserve">, </w:t>
            </w:r>
            <w:r w:rsidRPr="006E4918">
              <w:rPr>
                <w:rFonts w:cs="Arial"/>
                <w:noProof/>
                <w:sz w:val="16"/>
                <w:szCs w:val="16"/>
                <w:lang w:val="en-US"/>
              </w:rPr>
              <w:t>Kikuyu de la Amazonía</w:t>
            </w:r>
            <w:r w:rsidR="007829E4" w:rsidRPr="006E4918">
              <w:rPr>
                <w:rFonts w:cs="Arial"/>
                <w:noProof/>
                <w:sz w:val="16"/>
                <w:szCs w:val="16"/>
                <w:lang w:val="en-US"/>
              </w:rPr>
              <w:t xml:space="preserve">, </w:t>
            </w:r>
            <w:r w:rsidRPr="006E4918">
              <w:rPr>
                <w:rFonts w:cs="Arial"/>
                <w:noProof/>
                <w:sz w:val="16"/>
                <w:szCs w:val="16"/>
                <w:lang w:val="en-US"/>
              </w:rPr>
              <w:t>Pasto humidícola</w:t>
            </w:r>
            <w:r w:rsidR="007829E4" w:rsidRPr="006E4918">
              <w:rPr>
                <w:rFonts w:cs="Arial"/>
                <w:noProof/>
                <w:sz w:val="16"/>
                <w:szCs w:val="16"/>
                <w:lang w:val="en-US"/>
              </w:rPr>
              <w:t xml:space="preserve">, </w:t>
            </w:r>
            <w:r w:rsidRPr="006E4918">
              <w:rPr>
                <w:rFonts w:cs="Arial"/>
                <w:noProof/>
                <w:sz w:val="16"/>
                <w:szCs w:val="16"/>
                <w:lang w:val="en-US"/>
              </w:rPr>
              <w:t>Pasto humidícola dulce; Congo señal</w:t>
            </w:r>
            <w:r w:rsidR="007829E4" w:rsidRPr="006E4918">
              <w:rPr>
                <w:rFonts w:cs="Arial"/>
                <w:noProof/>
                <w:sz w:val="16"/>
                <w:szCs w:val="16"/>
                <w:lang w:val="en-US"/>
              </w:rPr>
              <w:t xml:space="preserve">, </w:t>
            </w:r>
            <w:r w:rsidRPr="006E4918">
              <w:rPr>
                <w:rFonts w:cs="Arial"/>
                <w:noProof/>
                <w:sz w:val="16"/>
                <w:szCs w:val="16"/>
                <w:lang w:val="en-US"/>
              </w:rPr>
              <w:t>Gambutera</w:t>
            </w:r>
            <w:r w:rsidR="007829E4" w:rsidRPr="006E4918">
              <w:rPr>
                <w:rFonts w:cs="Arial"/>
                <w:noProof/>
                <w:sz w:val="16"/>
                <w:szCs w:val="16"/>
                <w:lang w:val="en-US"/>
              </w:rPr>
              <w:t xml:space="preserve">, </w:t>
            </w:r>
            <w:r w:rsidRPr="006E4918">
              <w:rPr>
                <w:rFonts w:cs="Arial"/>
                <w:noProof/>
                <w:sz w:val="16"/>
                <w:szCs w:val="16"/>
                <w:lang w:val="en-US"/>
              </w:rPr>
              <w:t>Kenia</w:t>
            </w:r>
            <w:r w:rsidR="007829E4" w:rsidRPr="006E4918">
              <w:rPr>
                <w:rFonts w:cs="Arial"/>
                <w:noProof/>
                <w:sz w:val="16"/>
                <w:szCs w:val="16"/>
                <w:lang w:val="en-US"/>
              </w:rPr>
              <w:t xml:space="preserve">, </w:t>
            </w:r>
            <w:r w:rsidRPr="006E4918">
              <w:rPr>
                <w:rFonts w:cs="Arial"/>
                <w:noProof/>
                <w:sz w:val="16"/>
                <w:szCs w:val="16"/>
                <w:lang w:val="en-US"/>
              </w:rPr>
              <w:t>Pasto Congo</w:t>
            </w:r>
            <w:r w:rsidR="007829E4" w:rsidRPr="006E4918">
              <w:rPr>
                <w:rFonts w:cs="Arial"/>
                <w:noProof/>
                <w:sz w:val="16"/>
                <w:szCs w:val="16"/>
                <w:lang w:val="en-US"/>
              </w:rPr>
              <w:t xml:space="preserve">, </w:t>
            </w:r>
            <w:r w:rsidRPr="006E4918">
              <w:rPr>
                <w:rFonts w:cs="Arial"/>
                <w:noProof/>
                <w:sz w:val="16"/>
                <w:szCs w:val="16"/>
                <w:lang w:val="en-US"/>
              </w:rPr>
              <w:t>Pasto ruzi</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jc w:val="left"/>
              <w:rPr>
                <w:rFonts w:cs="Arial"/>
                <w:noProof/>
                <w:sz w:val="16"/>
                <w:szCs w:val="16"/>
                <w:lang w:val="en-US"/>
              </w:rPr>
            </w:pPr>
            <w:r w:rsidRPr="006E4918">
              <w:rPr>
                <w:rFonts w:cs="Arial"/>
                <w:noProof/>
                <w:sz w:val="16"/>
                <w:szCs w:val="16"/>
                <w:lang w:val="en-US"/>
              </w:rPr>
              <w:t xml:space="preserve">Urochloa brizantha (Hochst. ex A. Rich.) R. D. Webster (Brachiaria brizantha (Hochst. ex A. Rich.) Stapf);  </w:t>
            </w:r>
            <w:r w:rsidRPr="006E4918">
              <w:rPr>
                <w:rFonts w:cs="Arial"/>
                <w:noProof/>
                <w:sz w:val="16"/>
                <w:szCs w:val="16"/>
                <w:lang w:val="en-US"/>
              </w:rPr>
              <w:br/>
              <w:t xml:space="preserve">Urochloa decumbens (Stapf) R. D. Webster (Brachiaria decumbens Stapf); Urochloa dictyoneura (Fig. </w:t>
            </w:r>
            <w:r w:rsidRPr="00F72999">
              <w:rPr>
                <w:rFonts w:cs="Arial"/>
                <w:noProof/>
                <w:sz w:val="16"/>
                <w:szCs w:val="16"/>
                <w:lang w:val="en-US"/>
              </w:rPr>
              <w:t xml:space="preserve">&amp; De Not.) Veldkamp P. (Brachiaria dictyoneura (Fig. &amp; De Not.) Veldkamp P.); Urochloa humidicola (Rendle) Morrone &amp; Zuloaga (Brachiaria humidicola (Rendle) Schweick.);  </w:t>
            </w:r>
            <w:r w:rsidRPr="00F72999">
              <w:rPr>
                <w:rFonts w:cs="Arial"/>
                <w:noProof/>
                <w:sz w:val="16"/>
                <w:szCs w:val="16"/>
                <w:lang w:val="en-US"/>
              </w:rPr>
              <w:br/>
              <w:t>Urochloa ruziziensis (R. Germ. &amp; C. M. Evrard) Morrone &amp; Zuloaga (Brachiaria ruziziensis R. Germ. &amp; C. M. Evrard)</w:t>
            </w:r>
          </w:p>
        </w:tc>
      </w:tr>
      <w:tr w:rsidR="00273DB6" w:rsidRPr="00D60862" w:rsidTr="00273DB6">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273DB6" w:rsidRPr="009B196C" w:rsidRDefault="00273DB6" w:rsidP="00401303">
            <w:pPr>
              <w:keepNext/>
              <w:spacing w:before="60" w:after="120"/>
              <w:ind w:left="-36"/>
              <w:jc w:val="left"/>
              <w:rPr>
                <w:rFonts w:eastAsia="MS Mincho" w:cs="Arial"/>
                <w:bCs/>
                <w:noProof/>
                <w:sz w:val="16"/>
                <w:szCs w:val="16"/>
                <w:u w:val="single"/>
                <w:lang w:val="fr-FR" w:eastAsia="ja-JP"/>
              </w:rPr>
            </w:pPr>
            <w:r w:rsidRPr="006E4918">
              <w:rPr>
                <w:rFonts w:eastAsia="MS Mincho" w:cs="Arial"/>
                <w:b/>
                <w:bCs/>
                <w:noProof/>
                <w:sz w:val="16"/>
                <w:szCs w:val="16"/>
                <w:u w:val="single"/>
                <w:lang w:val="fr-CH" w:eastAsia="ja-JP"/>
              </w:rPr>
              <w:t> </w:t>
            </w:r>
            <w:r w:rsidRPr="009B196C">
              <w:rPr>
                <w:rFonts w:cs="Arial"/>
                <w:bCs/>
                <w:noProof/>
                <w:sz w:val="16"/>
                <w:szCs w:val="16"/>
                <w:u w:val="single"/>
                <w:lang w:val="fr-FR"/>
              </w:rPr>
              <w:t xml:space="preserve">REVISIONS OF TEST GUIDELINES / </w:t>
            </w:r>
            <w:r w:rsidRPr="009B196C">
              <w:rPr>
                <w:rFonts w:cs="Arial"/>
                <w:noProof/>
                <w:sz w:val="16"/>
                <w:szCs w:val="16"/>
                <w:u w:val="single"/>
                <w:lang w:val="fr-FR"/>
              </w:rPr>
              <w:t>RÉVISIONS DE PRINCIPES DIRECTEURS D’EXAMEN ADOPTÉS / REVISIONEN ANGENOMMENER PRÜFUNGSRICHTLINIEN / REVISIONES DE DIRECTRICES DE EXAMEN ADOPTADAS</w:t>
            </w:r>
          </w:p>
        </w:tc>
      </w:tr>
      <w:tr w:rsidR="00273DB6" w:rsidRPr="00F72999"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401303">
            <w:pPr>
              <w:keepNext/>
              <w:rPr>
                <w:rFonts w:cs="Arial"/>
                <w:dstrike/>
                <w:noProof/>
                <w:sz w:val="16"/>
                <w:lang w:val="en-US"/>
              </w:rPr>
            </w:pPr>
            <w:r w:rsidRPr="00F72999">
              <w:rPr>
                <w:rFonts w:cs="Arial"/>
                <w:noProof/>
                <w:sz w:val="16"/>
                <w:lang w:val="en-US"/>
              </w:rPr>
              <w:t>FR</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keepNext/>
              <w:rPr>
                <w:rFonts w:cs="Arial"/>
                <w:dstrike/>
                <w:noProof/>
                <w:sz w:val="16"/>
                <w:lang w:val="en-US"/>
              </w:rPr>
            </w:pPr>
            <w:r w:rsidRPr="00F72999">
              <w:rPr>
                <w:rFonts w:cs="Arial"/>
                <w:noProof/>
                <w:sz w:val="16"/>
                <w:lang w:val="en-US"/>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keepNext/>
              <w:ind w:left="-36"/>
              <w:rPr>
                <w:rFonts w:cs="Arial"/>
                <w:dstrike/>
                <w:noProof/>
                <w:sz w:val="16"/>
                <w:lang w:val="en-US"/>
              </w:rPr>
            </w:pPr>
            <w:r w:rsidRPr="00F72999">
              <w:rPr>
                <w:rFonts w:cs="Arial"/>
                <w:noProof/>
                <w:sz w:val="16"/>
                <w:lang w:val="en-US"/>
              </w:rPr>
              <w:t>TG/3/12(proj.7)</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keepNext/>
              <w:jc w:val="left"/>
              <w:rPr>
                <w:rFonts w:cs="Arial"/>
                <w:dstrike/>
                <w:noProof/>
                <w:sz w:val="16"/>
                <w:lang w:val="en-US"/>
              </w:rPr>
            </w:pPr>
            <w:r w:rsidRPr="00F72999">
              <w:rPr>
                <w:rFonts w:cs="Arial"/>
                <w:noProof/>
                <w:sz w:val="16"/>
                <w:lang w:val="en-US"/>
              </w:rPr>
              <w:t>Wheat</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keepNext/>
              <w:jc w:val="left"/>
              <w:rPr>
                <w:rFonts w:cs="Arial"/>
                <w:dstrike/>
                <w:noProof/>
                <w:sz w:val="16"/>
                <w:lang w:val="en-US"/>
              </w:rPr>
            </w:pPr>
            <w:r w:rsidRPr="00F72999">
              <w:rPr>
                <w:rFonts w:cs="Arial"/>
                <w:noProof/>
                <w:sz w:val="16"/>
                <w:lang w:val="en-US"/>
              </w:rPr>
              <w:t>Blé</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keepNext/>
              <w:jc w:val="left"/>
              <w:rPr>
                <w:rFonts w:cs="Arial"/>
                <w:dstrike/>
                <w:noProof/>
                <w:sz w:val="16"/>
                <w:lang w:val="en-US"/>
              </w:rPr>
            </w:pPr>
            <w:r w:rsidRPr="00F72999">
              <w:rPr>
                <w:rFonts w:cs="Arial"/>
                <w:noProof/>
                <w:sz w:val="16"/>
                <w:lang w:val="en-US"/>
              </w:rPr>
              <w:t>Weizen</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keepNext/>
              <w:jc w:val="left"/>
              <w:rPr>
                <w:rFonts w:cs="Arial"/>
                <w:dstrike/>
                <w:noProof/>
                <w:sz w:val="16"/>
                <w:lang w:val="en-US"/>
              </w:rPr>
            </w:pPr>
            <w:r w:rsidRPr="00F72999">
              <w:rPr>
                <w:rFonts w:cs="Arial"/>
                <w:noProof/>
                <w:sz w:val="16"/>
                <w:lang w:val="en-US"/>
              </w:rPr>
              <w:t>Trigo</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401303">
            <w:pPr>
              <w:keepNext/>
              <w:jc w:val="left"/>
              <w:rPr>
                <w:rFonts w:cs="Arial"/>
                <w:noProof/>
                <w:sz w:val="16"/>
                <w:lang w:val="en-US"/>
              </w:rPr>
            </w:pPr>
            <w:r w:rsidRPr="00F72999">
              <w:rPr>
                <w:rFonts w:cs="Arial"/>
                <w:noProof/>
                <w:sz w:val="16"/>
                <w:lang w:val="en-US"/>
              </w:rPr>
              <w:t>Triticum aestivum L.</w:t>
            </w:r>
          </w:p>
        </w:tc>
      </w:tr>
      <w:tr w:rsidR="00273DB6" w:rsidRPr="00F72999"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lang w:val="en-US"/>
              </w:rPr>
            </w:pPr>
            <w:r w:rsidRPr="00F72999">
              <w:rPr>
                <w:rFonts w:cs="Arial"/>
                <w:noProof/>
                <w:sz w:val="16"/>
                <w:lang w:val="en-US"/>
              </w:rPr>
              <w:t>NL</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rPr>
                <w:rFonts w:cs="Arial"/>
                <w:dstrike/>
                <w:noProof/>
                <w:sz w:val="16"/>
                <w:lang w:val="en-US"/>
              </w:rPr>
            </w:pPr>
            <w:r w:rsidRPr="00F72999">
              <w:rPr>
                <w:rFonts w:cs="Arial"/>
                <w:noProof/>
                <w:sz w:val="16"/>
                <w:lang w:val="en-US"/>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36"/>
              <w:rPr>
                <w:rFonts w:cs="Arial"/>
                <w:dstrike/>
                <w:noProof/>
                <w:sz w:val="16"/>
                <w:lang w:val="en-US"/>
              </w:rPr>
            </w:pPr>
            <w:r w:rsidRPr="00F72999">
              <w:rPr>
                <w:rFonts w:cs="Arial"/>
                <w:noProof/>
                <w:sz w:val="16"/>
                <w:lang w:val="en-US"/>
              </w:rPr>
              <w:t>TG/13/11(proj.5)</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Lettuce</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Laitue</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Salat</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Lechuga</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lang w:val="en-US"/>
              </w:rPr>
            </w:pPr>
            <w:r w:rsidRPr="00F72999">
              <w:rPr>
                <w:rFonts w:cs="Arial"/>
                <w:noProof/>
                <w:sz w:val="16"/>
                <w:lang w:val="en-US"/>
              </w:rPr>
              <w:t>Lactuca sativa L.</w:t>
            </w:r>
          </w:p>
        </w:tc>
      </w:tr>
      <w:tr w:rsidR="00273DB6" w:rsidRPr="00F72999"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lang w:val="en-US"/>
              </w:rPr>
            </w:pPr>
            <w:r w:rsidRPr="00F72999">
              <w:rPr>
                <w:rFonts w:cs="Arial"/>
                <w:noProof/>
                <w:sz w:val="16"/>
                <w:lang w:val="en-US"/>
              </w:rPr>
              <w:t>NL</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rPr>
                <w:rFonts w:cs="Arial"/>
                <w:dstrike/>
                <w:noProof/>
                <w:sz w:val="16"/>
                <w:lang w:val="en-US"/>
              </w:rPr>
            </w:pPr>
            <w:r w:rsidRPr="00F72999">
              <w:rPr>
                <w:rFonts w:cs="Arial"/>
                <w:noProof/>
                <w:sz w:val="16"/>
                <w:lang w:val="en-US"/>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36"/>
              <w:rPr>
                <w:rFonts w:cs="Arial"/>
                <w:dstrike/>
                <w:noProof/>
                <w:sz w:val="16"/>
                <w:lang w:val="en-US"/>
              </w:rPr>
            </w:pPr>
            <w:r w:rsidRPr="00F72999">
              <w:rPr>
                <w:rFonts w:cs="Arial"/>
                <w:noProof/>
                <w:sz w:val="16"/>
                <w:lang w:val="en-US"/>
              </w:rPr>
              <w:t>TG/27/7(proj.5)</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Freesia </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Freesia</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Freesie</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Fresia </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lang w:val="en-US"/>
              </w:rPr>
            </w:pPr>
            <w:r w:rsidRPr="00F72999">
              <w:rPr>
                <w:rFonts w:cs="Arial"/>
                <w:noProof/>
                <w:sz w:val="16"/>
                <w:lang w:val="en-US"/>
              </w:rPr>
              <w:t>Freesia Eckl. ex Klatt</w:t>
            </w:r>
          </w:p>
        </w:tc>
      </w:tr>
      <w:tr w:rsidR="00273DB6" w:rsidRPr="00F72999"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lang w:val="en-US"/>
              </w:rPr>
            </w:pPr>
            <w:r w:rsidRPr="00F72999">
              <w:rPr>
                <w:rFonts w:cs="Arial"/>
                <w:noProof/>
                <w:sz w:val="16"/>
                <w:lang w:val="en-US"/>
              </w:rPr>
              <w:t>JP</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rPr>
                <w:rFonts w:cs="Arial"/>
                <w:dstrike/>
                <w:noProof/>
                <w:sz w:val="16"/>
                <w:lang w:val="en-US"/>
              </w:rPr>
            </w:pPr>
            <w:r w:rsidRPr="00F72999">
              <w:rPr>
                <w:rFonts w:cs="Arial"/>
                <w:noProof/>
                <w:sz w:val="16"/>
                <w:lang w:val="en-US"/>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36"/>
              <w:rPr>
                <w:rFonts w:cs="Arial"/>
                <w:dstrike/>
                <w:noProof/>
                <w:sz w:val="16"/>
                <w:lang w:val="en-US"/>
              </w:rPr>
            </w:pPr>
            <w:r w:rsidRPr="00F72999">
              <w:rPr>
                <w:rFonts w:cs="Arial"/>
                <w:noProof/>
                <w:sz w:val="16"/>
                <w:lang w:val="en-US"/>
              </w:rPr>
              <w:t>TG/124/4(proj.5)</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Chestnut</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Châtaignier</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Kastanie</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Castaño</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lang w:val="en-US"/>
              </w:rPr>
            </w:pPr>
            <w:r w:rsidRPr="00F72999">
              <w:rPr>
                <w:rFonts w:cs="Arial"/>
                <w:noProof/>
                <w:sz w:val="16"/>
                <w:lang w:val="en-US"/>
              </w:rPr>
              <w:t>Castanea sativa Mill.</w:t>
            </w:r>
          </w:p>
        </w:tc>
      </w:tr>
      <w:tr w:rsidR="00273DB6" w:rsidRPr="00F72999"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lang w:val="en-US"/>
              </w:rPr>
            </w:pPr>
            <w:r w:rsidRPr="00F72999">
              <w:rPr>
                <w:rFonts w:cs="Arial"/>
                <w:noProof/>
                <w:sz w:val="16"/>
                <w:lang w:val="en-US"/>
              </w:rPr>
              <w:t>CN</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rPr>
                <w:rFonts w:cs="Arial"/>
                <w:dstrike/>
                <w:noProof/>
                <w:sz w:val="16"/>
                <w:lang w:val="en-US"/>
              </w:rPr>
            </w:pPr>
            <w:r w:rsidRPr="00F72999">
              <w:rPr>
                <w:rFonts w:cs="Arial"/>
                <w:noProof/>
                <w:sz w:val="16"/>
                <w:lang w:val="en-US"/>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36"/>
              <w:rPr>
                <w:rFonts w:cs="Arial"/>
                <w:dstrike/>
                <w:noProof/>
                <w:sz w:val="16"/>
                <w:lang w:val="en-US"/>
              </w:rPr>
            </w:pPr>
            <w:r w:rsidRPr="00F72999">
              <w:rPr>
                <w:rFonts w:cs="Arial"/>
                <w:noProof/>
                <w:sz w:val="16"/>
                <w:lang w:val="en-US"/>
              </w:rPr>
              <w:t>TG/125/7(proj.5)</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Walnut </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Walnuß </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lang w:val="en-US"/>
              </w:rPr>
            </w:pPr>
            <w:r w:rsidRPr="00F72999">
              <w:rPr>
                <w:rFonts w:cs="Arial"/>
                <w:noProof/>
                <w:sz w:val="16"/>
                <w:lang w:val="en-US"/>
              </w:rPr>
              <w:t>Juglans regia L.</w:t>
            </w:r>
          </w:p>
        </w:tc>
      </w:tr>
      <w:tr w:rsidR="00273DB6" w:rsidRPr="009B196C"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lang w:val="en-US"/>
              </w:rPr>
            </w:pPr>
            <w:r w:rsidRPr="00F72999">
              <w:rPr>
                <w:rFonts w:cs="Arial"/>
                <w:noProof/>
                <w:sz w:val="16"/>
                <w:lang w:val="en-US"/>
              </w:rPr>
              <w:t>IT</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rPr>
                <w:rFonts w:cs="Arial"/>
                <w:dstrike/>
                <w:noProof/>
                <w:sz w:val="16"/>
                <w:lang w:val="en-US"/>
              </w:rPr>
            </w:pPr>
            <w:r w:rsidRPr="00F72999">
              <w:rPr>
                <w:rFonts w:cs="Arial"/>
                <w:noProof/>
                <w:sz w:val="16"/>
                <w:lang w:val="en-US"/>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36"/>
              <w:rPr>
                <w:rFonts w:cs="Arial"/>
                <w:dstrike/>
                <w:noProof/>
                <w:sz w:val="16"/>
                <w:lang w:val="en-US"/>
              </w:rPr>
            </w:pPr>
            <w:r w:rsidRPr="00F72999">
              <w:rPr>
                <w:rFonts w:cs="Arial"/>
                <w:noProof/>
                <w:sz w:val="16"/>
                <w:lang w:val="en-US"/>
              </w:rPr>
              <w:t>TG/154/4(proj.6)</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Leaf Chicory</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Blattzichorie</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Achicoria de hoja</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lang w:val="en-US"/>
              </w:rPr>
            </w:pPr>
            <w:r w:rsidRPr="00F72999">
              <w:rPr>
                <w:rFonts w:cs="Arial"/>
                <w:noProof/>
                <w:sz w:val="16"/>
                <w:lang w:val="en-US"/>
              </w:rPr>
              <w:t>Cichorium intybus L. var. foliosum Hegi</w:t>
            </w:r>
          </w:p>
        </w:tc>
      </w:tr>
      <w:tr w:rsidR="00273DB6" w:rsidRPr="00F72999"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lang w:val="en-US"/>
              </w:rPr>
            </w:pPr>
            <w:r w:rsidRPr="00F72999">
              <w:rPr>
                <w:rFonts w:cs="Arial"/>
                <w:noProof/>
                <w:sz w:val="16"/>
                <w:lang w:val="en-US"/>
              </w:rPr>
              <w:t>FR</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rPr>
                <w:rFonts w:cs="Arial"/>
                <w:dstrike/>
                <w:noProof/>
                <w:sz w:val="16"/>
                <w:lang w:val="en-US"/>
              </w:rPr>
            </w:pPr>
            <w:r w:rsidRPr="00F72999">
              <w:rPr>
                <w:rFonts w:cs="Arial"/>
                <w:noProof/>
                <w:sz w:val="16"/>
                <w:lang w:val="en-US"/>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36"/>
              <w:rPr>
                <w:rFonts w:cs="Arial"/>
                <w:dstrike/>
                <w:noProof/>
                <w:sz w:val="16"/>
                <w:lang w:val="en-US"/>
              </w:rPr>
            </w:pPr>
            <w:r w:rsidRPr="00F72999">
              <w:rPr>
                <w:rFonts w:cs="Arial"/>
                <w:noProof/>
                <w:sz w:val="16"/>
                <w:lang w:val="en-US"/>
              </w:rPr>
              <w:t xml:space="preserve">TG/173/4(proj.6) </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Witloof</w:t>
            </w:r>
            <w:r w:rsidR="007829E4" w:rsidRPr="00F72999">
              <w:rPr>
                <w:rFonts w:cs="Arial"/>
                <w:noProof/>
                <w:sz w:val="16"/>
                <w:lang w:val="en-US"/>
              </w:rPr>
              <w:t xml:space="preserve">, </w:t>
            </w:r>
            <w:r w:rsidRPr="00F72999">
              <w:rPr>
                <w:rFonts w:cs="Arial"/>
                <w:noProof/>
                <w:sz w:val="16"/>
                <w:lang w:val="en-US"/>
              </w:rPr>
              <w:t>Chicory</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Chicorée</w:t>
            </w:r>
            <w:r w:rsidR="007829E4" w:rsidRPr="00F72999">
              <w:rPr>
                <w:rFonts w:cs="Arial"/>
                <w:noProof/>
                <w:sz w:val="16"/>
                <w:lang w:val="en-US"/>
              </w:rPr>
              <w:t xml:space="preserve">, </w:t>
            </w:r>
            <w:r w:rsidRPr="00F72999">
              <w:rPr>
                <w:rFonts w:cs="Arial"/>
                <w:noProof/>
                <w:sz w:val="16"/>
                <w:lang w:val="en-US"/>
              </w:rPr>
              <w:t>Endive</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Chicorée</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Endivia</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lang w:val="en-US"/>
              </w:rPr>
            </w:pPr>
            <w:r w:rsidRPr="00F72999">
              <w:rPr>
                <w:rFonts w:cs="Arial"/>
                <w:noProof/>
                <w:sz w:val="16"/>
                <w:lang w:val="en-US"/>
              </w:rPr>
              <w:t>Cichorium intybus L. partim</w:t>
            </w:r>
          </w:p>
        </w:tc>
      </w:tr>
      <w:tr w:rsidR="00273DB6" w:rsidRPr="009B196C"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lang w:val="en-US"/>
              </w:rPr>
            </w:pPr>
            <w:r w:rsidRPr="00F72999">
              <w:rPr>
                <w:rFonts w:cs="Arial"/>
                <w:noProof/>
                <w:sz w:val="16"/>
                <w:lang w:val="en-US"/>
              </w:rPr>
              <w:t>DE</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rPr>
                <w:rFonts w:cs="Arial"/>
                <w:dstrike/>
                <w:noProof/>
                <w:sz w:val="16"/>
                <w:lang w:val="en-US"/>
              </w:rPr>
            </w:pPr>
            <w:r w:rsidRPr="00F72999">
              <w:rPr>
                <w:rFonts w:cs="Arial"/>
                <w:noProof/>
                <w:sz w:val="16"/>
                <w:lang w:val="en-US"/>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36"/>
              <w:rPr>
                <w:rFonts w:cs="Arial"/>
                <w:dstrike/>
                <w:noProof/>
                <w:sz w:val="16"/>
                <w:lang w:val="en-US"/>
              </w:rPr>
            </w:pPr>
            <w:r w:rsidRPr="00F72999">
              <w:rPr>
                <w:rFonts w:cs="Arial"/>
                <w:noProof/>
                <w:sz w:val="16"/>
                <w:lang w:val="en-US"/>
              </w:rPr>
              <w:t>TG/212/2(proj.5)</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Petunia</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Pétunia</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Petunie</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Petunia</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lang w:val="en-US"/>
              </w:rPr>
            </w:pPr>
            <w:r w:rsidRPr="00F72999">
              <w:rPr>
                <w:rFonts w:cs="Arial"/>
                <w:noProof/>
                <w:sz w:val="16"/>
                <w:lang w:val="en-US"/>
              </w:rPr>
              <w:t>Petunia Juss.; xPetchoa J. M. H. Shaw</w:t>
            </w:r>
          </w:p>
        </w:tc>
      </w:tr>
      <w:tr w:rsidR="00273DB6" w:rsidRPr="00F72999"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lang w:val="en-US"/>
              </w:rPr>
            </w:pPr>
            <w:r w:rsidRPr="00F72999">
              <w:rPr>
                <w:rFonts w:cs="Arial"/>
                <w:noProof/>
                <w:sz w:val="16"/>
                <w:lang w:val="en-US"/>
              </w:rPr>
              <w:t>MX</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rPr>
                <w:rFonts w:cs="Arial"/>
                <w:dstrike/>
                <w:noProof/>
                <w:sz w:val="16"/>
                <w:lang w:val="en-US"/>
              </w:rPr>
            </w:pPr>
            <w:r w:rsidRPr="00F72999">
              <w:rPr>
                <w:rFonts w:cs="Arial"/>
                <w:noProof/>
                <w:sz w:val="16"/>
                <w:lang w:val="en-US"/>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ind w:left="-36"/>
              <w:rPr>
                <w:rFonts w:cs="Arial"/>
                <w:dstrike/>
                <w:noProof/>
                <w:sz w:val="16"/>
                <w:lang w:val="en-US"/>
              </w:rPr>
            </w:pPr>
            <w:r w:rsidRPr="00F72999">
              <w:rPr>
                <w:rFonts w:cs="Arial"/>
                <w:noProof/>
                <w:sz w:val="16"/>
                <w:lang w:val="en-US"/>
              </w:rPr>
              <w:t>TG/264/2(proj.9)</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Papaya</w:t>
            </w:r>
            <w:r w:rsidR="007829E4" w:rsidRPr="00F72999">
              <w:rPr>
                <w:rFonts w:cs="Arial"/>
                <w:noProof/>
                <w:sz w:val="16"/>
                <w:lang w:val="en-US"/>
              </w:rPr>
              <w:t xml:space="preserve">, </w:t>
            </w:r>
            <w:r w:rsidRPr="00F72999">
              <w:rPr>
                <w:rFonts w:cs="Arial"/>
                <w:noProof/>
                <w:sz w:val="16"/>
                <w:lang w:val="en-US"/>
              </w:rPr>
              <w:t>Pawpaw</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Papayer</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Melonenbaum</w:t>
            </w:r>
            <w:r w:rsidR="007829E4" w:rsidRPr="00F72999">
              <w:rPr>
                <w:rFonts w:cs="Arial"/>
                <w:noProof/>
                <w:sz w:val="16"/>
                <w:lang w:val="en-US"/>
              </w:rPr>
              <w:t xml:space="preserve">, </w:t>
            </w:r>
            <w:r w:rsidRPr="00F72999">
              <w:rPr>
                <w:rFonts w:cs="Arial"/>
                <w:noProof/>
                <w:sz w:val="16"/>
                <w:lang w:val="en-US"/>
              </w:rPr>
              <w:t>Papaya</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Papayo</w:t>
            </w:r>
            <w:r w:rsidR="007829E4" w:rsidRPr="00F72999">
              <w:rPr>
                <w:rFonts w:cs="Arial"/>
                <w:noProof/>
                <w:sz w:val="16"/>
                <w:lang w:val="en-US"/>
              </w:rPr>
              <w:t xml:space="preserve">, </w:t>
            </w:r>
            <w:r w:rsidRPr="00F72999">
              <w:rPr>
                <w:rFonts w:cs="Arial"/>
                <w:noProof/>
                <w:sz w:val="16"/>
                <w:lang w:val="en-US"/>
              </w:rPr>
              <w:t>Lechosa</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lang w:val="en-US"/>
              </w:rPr>
            </w:pPr>
            <w:r w:rsidRPr="00F72999">
              <w:rPr>
                <w:rFonts w:cs="Arial"/>
                <w:noProof/>
                <w:sz w:val="16"/>
                <w:lang w:val="en-US"/>
              </w:rPr>
              <w:t>Carica papaya L.</w:t>
            </w:r>
          </w:p>
        </w:tc>
      </w:tr>
      <w:tr w:rsidR="00273DB6" w:rsidRPr="00D60862" w:rsidTr="00273DB6">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273DB6" w:rsidRPr="009B196C" w:rsidRDefault="00273DB6" w:rsidP="00273DB6">
            <w:pPr>
              <w:keepNext/>
              <w:spacing w:before="60" w:after="120"/>
              <w:ind w:left="-36"/>
              <w:jc w:val="left"/>
              <w:rPr>
                <w:rFonts w:eastAsia="MS Mincho" w:cs="Arial"/>
                <w:bCs/>
                <w:noProof/>
                <w:sz w:val="16"/>
                <w:szCs w:val="16"/>
                <w:u w:val="single"/>
                <w:lang w:val="fr-FR" w:eastAsia="ja-JP"/>
              </w:rPr>
            </w:pPr>
            <w:r w:rsidRPr="009B196C">
              <w:rPr>
                <w:rFonts w:cs="Arial"/>
                <w:bCs/>
                <w:noProof/>
                <w:sz w:val="16"/>
                <w:szCs w:val="16"/>
                <w:u w:val="single"/>
                <w:lang w:val="fr-FR"/>
              </w:rPr>
              <w:t xml:space="preserve">PARTIAL REVISIONS OF TEST GUIDELINES / </w:t>
            </w:r>
            <w:r w:rsidRPr="009B196C">
              <w:rPr>
                <w:rFonts w:cs="Arial"/>
                <w:noProof/>
                <w:sz w:val="16"/>
                <w:szCs w:val="16"/>
                <w:u w:val="single"/>
                <w:lang w:val="fr-FR"/>
              </w:rPr>
              <w:t>RÉVISIONS PARTIELLES DE PRINCIPES DIRECTEURS D’EXAMEN ADOPTÉS /</w:t>
            </w:r>
            <w:r w:rsidRPr="009B196C">
              <w:rPr>
                <w:rFonts w:cs="Arial"/>
                <w:noProof/>
                <w:sz w:val="16"/>
                <w:szCs w:val="16"/>
                <w:u w:val="single"/>
                <w:lang w:val="fr-FR"/>
              </w:rPr>
              <w:br/>
              <w:t>TEILREVISIONEN ANGENOMMENER PRÜFUNGSRICHTLINIEN / REVISIONES PARCIALES DE DIRECTRICES DE EXAMEN ADOPTADAS</w:t>
            </w:r>
          </w:p>
        </w:tc>
      </w:tr>
      <w:tr w:rsidR="00273DB6" w:rsidRPr="00F72999"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keepNext/>
              <w:rPr>
                <w:rFonts w:cs="Arial"/>
                <w:dstrike/>
                <w:noProof/>
                <w:sz w:val="16"/>
                <w:lang w:val="en-US"/>
              </w:rPr>
            </w:pPr>
            <w:r w:rsidRPr="00F72999">
              <w:rPr>
                <w:rFonts w:cs="Arial"/>
                <w:noProof/>
                <w:sz w:val="16"/>
                <w:lang w:val="en-US"/>
              </w:rPr>
              <w:t>QZ</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rPr>
                <w:rFonts w:cs="Arial"/>
                <w:dstrike/>
                <w:noProof/>
                <w:sz w:val="16"/>
                <w:lang w:val="en-US"/>
              </w:rPr>
            </w:pPr>
            <w:r w:rsidRPr="00F72999">
              <w:rPr>
                <w:rFonts w:cs="Arial"/>
                <w:noProof/>
                <w:sz w:val="16"/>
                <w:lang w:val="en-US"/>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jc w:val="left"/>
              <w:rPr>
                <w:rFonts w:cs="Arial"/>
                <w:dstrike/>
                <w:noProof/>
                <w:sz w:val="16"/>
                <w:lang w:val="en-US"/>
              </w:rPr>
            </w:pPr>
            <w:r w:rsidRPr="00F72999">
              <w:rPr>
                <w:rFonts w:cs="Arial"/>
                <w:noProof/>
                <w:sz w:val="16"/>
                <w:lang w:val="en-US"/>
              </w:rPr>
              <w:t>TG/44/11 Rev. and document TC/53/27</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jc w:val="left"/>
              <w:rPr>
                <w:rFonts w:cs="Arial"/>
                <w:dstrike/>
                <w:noProof/>
                <w:sz w:val="16"/>
                <w:lang w:val="en-US"/>
              </w:rPr>
            </w:pPr>
            <w:r w:rsidRPr="00F72999">
              <w:rPr>
                <w:rFonts w:cs="Arial"/>
                <w:noProof/>
                <w:sz w:val="16"/>
                <w:lang w:val="en-US"/>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jc w:val="left"/>
              <w:rPr>
                <w:rFonts w:cs="Arial"/>
                <w:dstrike/>
                <w:noProof/>
                <w:sz w:val="16"/>
                <w:lang w:val="en-US"/>
              </w:rPr>
            </w:pPr>
            <w:r w:rsidRPr="00F72999">
              <w:rPr>
                <w:rFonts w:cs="Arial"/>
                <w:noProof/>
                <w:sz w:val="16"/>
                <w:lang w:val="en-US"/>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jc w:val="left"/>
              <w:rPr>
                <w:rFonts w:cs="Arial"/>
                <w:dstrike/>
                <w:noProof/>
                <w:sz w:val="16"/>
                <w:lang w:val="en-US"/>
              </w:rPr>
            </w:pPr>
            <w:r w:rsidRPr="00F72999">
              <w:rPr>
                <w:rFonts w:cs="Arial"/>
                <w:noProof/>
                <w:sz w:val="16"/>
                <w:lang w:val="en-US"/>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jc w:val="left"/>
              <w:rPr>
                <w:rFonts w:cs="Arial"/>
                <w:dstrike/>
                <w:noProof/>
                <w:sz w:val="16"/>
                <w:lang w:val="en-US"/>
              </w:rPr>
            </w:pPr>
            <w:r w:rsidRPr="00F72999">
              <w:rPr>
                <w:rFonts w:cs="Arial"/>
                <w:noProof/>
                <w:sz w:val="16"/>
                <w:lang w:val="en-US"/>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keepNext/>
              <w:jc w:val="left"/>
              <w:rPr>
                <w:rFonts w:cs="Arial"/>
                <w:noProof/>
                <w:sz w:val="16"/>
                <w:lang w:val="en-US"/>
              </w:rPr>
            </w:pPr>
            <w:r w:rsidRPr="006E4918">
              <w:rPr>
                <w:rFonts w:cs="Arial"/>
                <w:noProof/>
                <w:sz w:val="16"/>
                <w:lang w:val="pt-PT"/>
              </w:rPr>
              <w:t xml:space="preserve">Solanum lycopersicum (L.) Karst. ex. </w:t>
            </w:r>
            <w:r w:rsidRPr="00F72999">
              <w:rPr>
                <w:rFonts w:cs="Arial"/>
                <w:noProof/>
                <w:sz w:val="16"/>
                <w:lang w:val="en-US"/>
              </w:rPr>
              <w:t>Farw.</w:t>
            </w:r>
          </w:p>
        </w:tc>
      </w:tr>
      <w:tr w:rsidR="00273DB6" w:rsidRPr="00F72999"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lang w:val="en-US"/>
              </w:rPr>
            </w:pPr>
            <w:r w:rsidRPr="00F72999">
              <w:rPr>
                <w:rFonts w:cs="Arial"/>
                <w:noProof/>
                <w:sz w:val="16"/>
                <w:lang w:val="en-US"/>
              </w:rPr>
              <w:t>FR</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rPr>
                <w:rFonts w:cs="Arial"/>
                <w:dstrike/>
                <w:noProof/>
                <w:sz w:val="16"/>
                <w:lang w:val="en-US"/>
              </w:rPr>
            </w:pPr>
            <w:r w:rsidRPr="00F72999">
              <w:rPr>
                <w:rFonts w:cs="Arial"/>
                <w:noProof/>
                <w:sz w:val="16"/>
                <w:lang w:val="en-US"/>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TG/194/1 and document TC/53/26 </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Lavendula</w:t>
            </w:r>
            <w:r w:rsidR="007829E4" w:rsidRPr="00F72999">
              <w:rPr>
                <w:rFonts w:cs="Arial"/>
                <w:noProof/>
                <w:sz w:val="16"/>
                <w:lang w:val="en-US"/>
              </w:rPr>
              <w:t xml:space="preserve">, </w:t>
            </w:r>
            <w:r w:rsidRPr="00F72999">
              <w:rPr>
                <w:rFonts w:cs="Arial"/>
                <w:noProof/>
                <w:sz w:val="16"/>
                <w:lang w:val="en-US"/>
              </w:rPr>
              <w:t>Lavendar</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Lavande vraie</w:t>
            </w:r>
            <w:r w:rsidR="007829E4" w:rsidRPr="00F72999">
              <w:rPr>
                <w:rFonts w:cs="Arial"/>
                <w:noProof/>
                <w:sz w:val="16"/>
                <w:lang w:val="en-US"/>
              </w:rPr>
              <w:t xml:space="preserve">, </w:t>
            </w:r>
            <w:r w:rsidRPr="00F72999">
              <w:rPr>
                <w:rFonts w:cs="Arial"/>
                <w:noProof/>
                <w:sz w:val="16"/>
                <w:lang w:val="en-US"/>
              </w:rPr>
              <w:t>Lavandins</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Echter Lavendel</w:t>
            </w:r>
            <w:r w:rsidR="007829E4" w:rsidRPr="00F72999">
              <w:rPr>
                <w:rFonts w:cs="Arial"/>
                <w:noProof/>
                <w:sz w:val="16"/>
                <w:lang w:val="en-US"/>
              </w:rPr>
              <w:t xml:space="preserve">, </w:t>
            </w:r>
            <w:r w:rsidRPr="00F72999">
              <w:rPr>
                <w:rFonts w:cs="Arial"/>
                <w:noProof/>
                <w:sz w:val="16"/>
                <w:lang w:val="en-US"/>
              </w:rPr>
              <w:t>Lavendel</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Lavándula</w:t>
            </w:r>
            <w:r w:rsidR="007829E4" w:rsidRPr="00F72999">
              <w:rPr>
                <w:rFonts w:cs="Arial"/>
                <w:noProof/>
                <w:sz w:val="16"/>
                <w:lang w:val="en-US"/>
              </w:rPr>
              <w:t xml:space="preserve">, </w:t>
            </w:r>
            <w:r w:rsidRPr="00F72999">
              <w:rPr>
                <w:rFonts w:cs="Arial"/>
                <w:noProof/>
                <w:sz w:val="16"/>
                <w:lang w:val="en-US"/>
              </w:rPr>
              <w:t>Lavenda</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lang w:val="en-US"/>
              </w:rPr>
            </w:pPr>
            <w:r w:rsidRPr="00F72999">
              <w:rPr>
                <w:rFonts w:cs="Arial"/>
                <w:noProof/>
                <w:sz w:val="16"/>
                <w:lang w:val="en-US"/>
              </w:rPr>
              <w:t>Lavandula L.</w:t>
            </w:r>
          </w:p>
        </w:tc>
      </w:tr>
      <w:tr w:rsidR="00273DB6" w:rsidRPr="00F72999"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lang w:val="en-US"/>
              </w:rPr>
            </w:pPr>
            <w:r w:rsidRPr="00F72999">
              <w:rPr>
                <w:rFonts w:cs="Arial"/>
                <w:noProof/>
                <w:sz w:val="16"/>
                <w:lang w:val="en-US"/>
              </w:rPr>
              <w:t>AU</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rPr>
                <w:rFonts w:cs="Arial"/>
                <w:dstrike/>
                <w:noProof/>
                <w:sz w:val="16"/>
                <w:lang w:val="en-US"/>
              </w:rPr>
            </w:pPr>
            <w:r w:rsidRPr="00F72999">
              <w:rPr>
                <w:rFonts w:cs="Arial"/>
                <w:noProof/>
                <w:sz w:val="16"/>
                <w:lang w:val="en-US"/>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TG/288/1 Rev. and document TC/53/25 </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Flax-lily</w:t>
            </w:r>
            <w:r w:rsidR="007829E4" w:rsidRPr="00F72999">
              <w:rPr>
                <w:rFonts w:cs="Arial"/>
                <w:noProof/>
                <w:sz w:val="16"/>
                <w:lang w:val="en-US"/>
              </w:rPr>
              <w:t xml:space="preserve">, </w:t>
            </w:r>
            <w:r w:rsidRPr="00F72999">
              <w:rPr>
                <w:rFonts w:cs="Arial"/>
                <w:noProof/>
                <w:sz w:val="16"/>
                <w:lang w:val="en-US"/>
              </w:rPr>
              <w:t>Dianella</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Dianella</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Flachslilie</w:t>
            </w:r>
            <w:r w:rsidR="007829E4" w:rsidRPr="00F72999">
              <w:rPr>
                <w:rFonts w:cs="Arial"/>
                <w:noProof/>
                <w:sz w:val="16"/>
                <w:lang w:val="en-US"/>
              </w:rPr>
              <w:t xml:space="preserve">, </w:t>
            </w:r>
            <w:r w:rsidRPr="00F72999">
              <w:rPr>
                <w:rFonts w:cs="Arial"/>
                <w:noProof/>
                <w:sz w:val="16"/>
                <w:lang w:val="en-US"/>
              </w:rPr>
              <w:t>Dianella</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Dianella</w:t>
            </w:r>
          </w:p>
        </w:tc>
        <w:tc>
          <w:tcPr>
            <w:tcW w:w="170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noProof/>
                <w:sz w:val="16"/>
                <w:lang w:val="en-US"/>
              </w:rPr>
            </w:pPr>
            <w:r w:rsidRPr="00F72999">
              <w:rPr>
                <w:rFonts w:cs="Arial"/>
                <w:noProof/>
                <w:sz w:val="16"/>
                <w:lang w:val="en-US"/>
              </w:rPr>
              <w:t>Dianella Lam. ex Juss.</w:t>
            </w:r>
          </w:p>
        </w:tc>
      </w:tr>
      <w:tr w:rsidR="00273DB6" w:rsidRPr="00D60862" w:rsidTr="00273DB6">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273DB6" w:rsidRPr="00F72999" w:rsidRDefault="00273DB6" w:rsidP="00273DB6">
            <w:pPr>
              <w:rPr>
                <w:rFonts w:cs="Arial"/>
                <w:dstrike/>
                <w:noProof/>
                <w:sz w:val="16"/>
                <w:lang w:val="en-US"/>
              </w:rPr>
            </w:pPr>
            <w:r w:rsidRPr="00F72999">
              <w:rPr>
                <w:rFonts w:cs="Arial"/>
                <w:noProof/>
                <w:sz w:val="16"/>
                <w:lang w:val="en-US"/>
              </w:rPr>
              <w:t>ES</w:t>
            </w:r>
          </w:p>
        </w:tc>
        <w:tc>
          <w:tcPr>
            <w:tcW w:w="590"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rPr>
                <w:rFonts w:cs="Arial"/>
                <w:dstrike/>
                <w:noProof/>
                <w:sz w:val="16"/>
                <w:lang w:val="en-US"/>
              </w:rPr>
            </w:pPr>
            <w:r w:rsidRPr="00F72999">
              <w:rPr>
                <w:rFonts w:cs="Arial"/>
                <w:noProof/>
                <w:sz w:val="16"/>
                <w:lang w:val="en-US"/>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TG/294/1 Corr. Rev.2 and document TC/53/28 </w:t>
            </w:r>
          </w:p>
        </w:tc>
        <w:tc>
          <w:tcPr>
            <w:tcW w:w="1275"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273DB6" w:rsidRPr="00F72999" w:rsidRDefault="00273DB6" w:rsidP="00273DB6">
            <w:pPr>
              <w:jc w:val="left"/>
              <w:rPr>
                <w:rFonts w:cs="Arial"/>
                <w:dstrike/>
                <w:noProof/>
                <w:sz w:val="16"/>
                <w:lang w:val="en-US"/>
              </w:rPr>
            </w:pPr>
            <w:r w:rsidRPr="00F72999">
              <w:rPr>
                <w:rFonts w:cs="Arial"/>
                <w:noProof/>
                <w:sz w:val="16"/>
                <w:lang w:val="en-US"/>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273DB6" w:rsidRPr="006E4918" w:rsidRDefault="00273DB6" w:rsidP="00273DB6">
            <w:pPr>
              <w:jc w:val="left"/>
              <w:rPr>
                <w:rFonts w:cs="Arial"/>
                <w:noProof/>
                <w:sz w:val="16"/>
                <w:lang w:val="pt-PT"/>
              </w:rPr>
            </w:pPr>
            <w:r w:rsidRPr="00F72999">
              <w:rPr>
                <w:rFonts w:cs="Arial"/>
                <w:noProof/>
                <w:sz w:val="16"/>
                <w:lang w:val="en-US"/>
              </w:rPr>
              <w:t xml:space="preserve">Solanum lycopersicum L. x Solanum habrochaites S. Knapp &amp; D.M. Spooner; Solanum lycopersicum L. x Solanum peruvianum (L.) </w:t>
            </w:r>
            <w:r w:rsidRPr="006E4918">
              <w:rPr>
                <w:rFonts w:cs="Arial"/>
                <w:noProof/>
                <w:sz w:val="16"/>
                <w:lang w:val="pt-PT"/>
              </w:rPr>
              <w:t>Mill.; Solanum lycopersicum L. x Solanum cheesmaniae (L. Ridley) Fosberg</w:t>
            </w:r>
          </w:p>
        </w:tc>
      </w:tr>
    </w:tbl>
    <w:p w:rsidR="00273DB6" w:rsidRDefault="00273DB6" w:rsidP="00273DB6">
      <w:pPr>
        <w:rPr>
          <w:rFonts w:cs="Arial"/>
          <w:snapToGrid w:val="0"/>
          <w:lang w:val="pt-BR"/>
        </w:rPr>
      </w:pPr>
    </w:p>
    <w:p w:rsidR="00273DB6" w:rsidRPr="00540A8E" w:rsidRDefault="007D43C5" w:rsidP="00273DB6">
      <w:pPr>
        <w:autoSpaceDE w:val="0"/>
        <w:autoSpaceDN w:val="0"/>
        <w:rPr>
          <w:rFonts w:cs="Arial"/>
        </w:rPr>
      </w:pPr>
      <w:r w:rsidRPr="00540A8E">
        <w:rPr>
          <w:rFonts w:cs="Arial"/>
        </w:rPr>
        <w:fldChar w:fldCharType="begin"/>
      </w:r>
      <w:r w:rsidR="00273DB6" w:rsidRPr="00540A8E">
        <w:rPr>
          <w:rFonts w:cs="Arial"/>
        </w:rPr>
        <w:instrText xml:space="preserve"> AUTONUM  </w:instrText>
      </w:r>
      <w:r w:rsidRPr="00540A8E">
        <w:rPr>
          <w:rFonts w:cs="Arial"/>
        </w:rPr>
        <w:fldChar w:fldCharType="end"/>
      </w:r>
      <w:r w:rsidR="00273DB6" w:rsidRPr="00540A8E">
        <w:rPr>
          <w:rFonts w:cs="Arial"/>
        </w:rPr>
        <w:tab/>
      </w:r>
      <w:r w:rsidR="000A5723" w:rsidRPr="000A5723">
        <w:rPr>
          <w:rFonts w:cs="Arial"/>
        </w:rPr>
        <w:t>En lo que respecta al proyecto de directrices de examen del champiñón (documento TG/259/2 proj.4)</w:t>
      </w:r>
      <w:r w:rsidR="007829E4">
        <w:rPr>
          <w:rFonts w:cs="Arial"/>
        </w:rPr>
        <w:t xml:space="preserve">, </w:t>
      </w:r>
      <w:r w:rsidR="000A5723" w:rsidRPr="000A5723">
        <w:rPr>
          <w:rFonts w:cs="Arial"/>
        </w:rPr>
        <w:t>el TC</w:t>
      </w:r>
      <w:r w:rsidR="007829E4">
        <w:rPr>
          <w:rFonts w:cs="Arial"/>
        </w:rPr>
        <w:t xml:space="preserve">, </w:t>
      </w:r>
      <w:r w:rsidR="000A5723" w:rsidRPr="000A5723">
        <w:rPr>
          <w:rFonts w:cs="Arial"/>
        </w:rPr>
        <w:t>basándose en la recomendación del TC-EDC</w:t>
      </w:r>
      <w:r w:rsidR="007829E4">
        <w:rPr>
          <w:rFonts w:cs="Arial"/>
        </w:rPr>
        <w:t xml:space="preserve">, </w:t>
      </w:r>
      <w:r w:rsidR="000A5723" w:rsidRPr="000A5723">
        <w:rPr>
          <w:rFonts w:cs="Arial"/>
        </w:rPr>
        <w:t>acordó que las cuestiones técnicas sobre dicho proyecto de directrices de examen</w:t>
      </w:r>
      <w:r w:rsidR="007829E4">
        <w:rPr>
          <w:rFonts w:cs="Arial"/>
        </w:rPr>
        <w:t xml:space="preserve">, </w:t>
      </w:r>
      <w:r w:rsidR="000A5723" w:rsidRPr="000A5723">
        <w:rPr>
          <w:rFonts w:cs="Arial"/>
        </w:rPr>
        <w:t xml:space="preserve">expuestas en el </w:t>
      </w:r>
      <w:r w:rsidR="00256232" w:rsidRPr="000A5723">
        <w:rPr>
          <w:rFonts w:cs="Arial"/>
        </w:rPr>
        <w:t>anexo</w:t>
      </w:r>
      <w:r w:rsidR="000A5723" w:rsidRPr="000A5723">
        <w:rPr>
          <w:rFonts w:cs="Arial"/>
        </w:rPr>
        <w:t> II del presente documento</w:t>
      </w:r>
      <w:r w:rsidR="007829E4">
        <w:rPr>
          <w:rFonts w:cs="Arial"/>
        </w:rPr>
        <w:t xml:space="preserve">, </w:t>
      </w:r>
      <w:r w:rsidR="000A5723" w:rsidRPr="000A5723">
        <w:rPr>
          <w:rFonts w:cs="Arial"/>
        </w:rPr>
        <w:t>se remitan al TWV para que las examine más detenidamente.</w:t>
      </w:r>
    </w:p>
    <w:p w:rsidR="00273DB6" w:rsidRDefault="00273DB6" w:rsidP="00273DB6">
      <w:pPr>
        <w:rPr>
          <w:rFonts w:cs="Arial"/>
          <w:snapToGrid w:val="0"/>
        </w:rPr>
      </w:pPr>
    </w:p>
    <w:p w:rsidR="00273DB6" w:rsidRPr="00540A8E" w:rsidRDefault="00273DB6" w:rsidP="00273DB6">
      <w:pPr>
        <w:rPr>
          <w:rFonts w:cs="Arial"/>
          <w:snapToGrid w:val="0"/>
        </w:rPr>
      </w:pPr>
    </w:p>
    <w:p w:rsidR="00273DB6" w:rsidRPr="009B196C" w:rsidRDefault="000A5723" w:rsidP="00273DB6">
      <w:pPr>
        <w:pStyle w:val="Heading3"/>
        <w:rPr>
          <w:lang w:val="es-ES"/>
        </w:rPr>
      </w:pPr>
      <w:bookmarkStart w:id="53" w:name="_Toc492290060"/>
      <w:r w:rsidRPr="000A5723">
        <w:rPr>
          <w:lang w:val="es-ES_tradnl"/>
        </w:rPr>
        <w:t>Correcciones de directrices de examen</w:t>
      </w:r>
      <w:bookmarkEnd w:id="53"/>
    </w:p>
    <w:p w:rsidR="00273DB6" w:rsidRPr="00540A8E" w:rsidRDefault="00273DB6" w:rsidP="00273DB6">
      <w:pPr>
        <w:keepNext/>
      </w:pPr>
    </w:p>
    <w:p w:rsidR="00273DB6" w:rsidRPr="00540A8E" w:rsidRDefault="007D43C5" w:rsidP="00273DB6">
      <w:pPr>
        <w:keepNext/>
        <w:autoSpaceDE w:val="0"/>
        <w:autoSpaceDN w:val="0"/>
      </w:pPr>
      <w:r w:rsidRPr="00540A8E">
        <w:fldChar w:fldCharType="begin"/>
      </w:r>
      <w:r w:rsidR="00273DB6" w:rsidRPr="00540A8E">
        <w:instrText xml:space="preserve"> AUTONUM  </w:instrText>
      </w:r>
      <w:r w:rsidRPr="00540A8E">
        <w:fldChar w:fldCharType="end"/>
      </w:r>
      <w:r w:rsidR="00273DB6" w:rsidRPr="00540A8E">
        <w:tab/>
      </w:r>
      <w:r w:rsidR="000A5723" w:rsidRPr="000A5723">
        <w:t>El TC tomó nota de que en el sitio web de la UPOV se publicaron las versiones corregidas de las directrices de examen de la camelia (documento TG/275/1 Corr.) y del pepino y el pepinillo (documento TG/61/7 Rev.2 Corr.)</w:t>
      </w:r>
      <w:r w:rsidR="007829E4">
        <w:t xml:space="preserve">, </w:t>
      </w:r>
      <w:r w:rsidR="000A5723" w:rsidRPr="000A5723">
        <w:t>según se expone en el documento TC/53/30 Rev.</w:t>
      </w:r>
    </w:p>
    <w:p w:rsidR="00273DB6" w:rsidRPr="00540A8E" w:rsidRDefault="00273DB6" w:rsidP="00273DB6">
      <w:pPr>
        <w:keepNext/>
        <w:autoSpaceDE w:val="0"/>
        <w:autoSpaceDN w:val="0"/>
      </w:pPr>
    </w:p>
    <w:p w:rsidR="00273DB6" w:rsidRDefault="007D43C5" w:rsidP="00273DB6">
      <w:r w:rsidRPr="00540A8E">
        <w:fldChar w:fldCharType="begin"/>
      </w:r>
      <w:r w:rsidR="00273DB6" w:rsidRPr="00540A8E">
        <w:instrText xml:space="preserve"> AUTONUM  </w:instrText>
      </w:r>
      <w:r w:rsidRPr="00540A8E">
        <w:fldChar w:fldCharType="end"/>
      </w:r>
      <w:r w:rsidR="00273DB6" w:rsidRPr="00540A8E">
        <w:tab/>
      </w:r>
      <w:r w:rsidR="000A5723" w:rsidRPr="000A5723">
        <w:t>El TC tomó nota de que las versiones corregidas de las directrices de la feijoa (documento TG/306/1)</w:t>
      </w:r>
      <w:r w:rsidR="007829E4">
        <w:t xml:space="preserve">, </w:t>
      </w:r>
      <w:r w:rsidR="000A5723" w:rsidRPr="000A5723">
        <w:t>el portainjertos de aguacate (documento TG/318/1)</w:t>
      </w:r>
      <w:r w:rsidR="007829E4">
        <w:t xml:space="preserve">, </w:t>
      </w:r>
      <w:r w:rsidR="000A5723" w:rsidRPr="000A5723">
        <w:t>el ciruelo japonés (documento TG/84/4 Corr.)</w:t>
      </w:r>
      <w:r w:rsidR="007829E4">
        <w:t xml:space="preserve">, </w:t>
      </w:r>
      <w:r w:rsidR="000A5723" w:rsidRPr="000A5723">
        <w:t>el rábano y el rábano negro (documento TG/63/7-TG/64/7 Rev.) y el mango (documento TG/112/4) se publicarían en el sitio web de la UPOV después de la sesión del TC</w:t>
      </w:r>
      <w:r w:rsidR="007829E4">
        <w:t xml:space="preserve">, </w:t>
      </w:r>
      <w:r w:rsidR="000A5723" w:rsidRPr="000A5723">
        <w:t>según se expone en el documento TC/53/30 Rev.</w:t>
      </w:r>
    </w:p>
    <w:p w:rsidR="00273DB6" w:rsidRDefault="00273DB6" w:rsidP="00273DB6"/>
    <w:p w:rsidR="00273DB6" w:rsidRDefault="00273DB6" w:rsidP="00273DB6"/>
    <w:p w:rsidR="00273DB6" w:rsidRPr="009B196C" w:rsidRDefault="000A5723" w:rsidP="00273DB6">
      <w:pPr>
        <w:pStyle w:val="Heading3"/>
        <w:rPr>
          <w:lang w:val="es-ES"/>
        </w:rPr>
      </w:pPr>
      <w:bookmarkStart w:id="54" w:name="_Toc492290061"/>
      <w:r w:rsidRPr="00DD3028">
        <w:rPr>
          <w:lang w:val="es-ES_tradnl"/>
        </w:rPr>
        <w:t xml:space="preserve">Proyectos de directrices de examen debatidos en los </w:t>
      </w:r>
      <w:r w:rsidR="00DD3028" w:rsidRPr="00DD3028">
        <w:rPr>
          <w:lang w:val="es-ES_tradnl"/>
        </w:rPr>
        <w:t>grupos de trabajo técnico</w:t>
      </w:r>
      <w:r w:rsidRPr="00DD3028">
        <w:rPr>
          <w:lang w:val="es-ES_tradnl"/>
        </w:rPr>
        <w:t xml:space="preserve"> en</w:t>
      </w:r>
      <w:r w:rsidR="007829E4">
        <w:rPr>
          <w:lang w:val="es-ES_tradnl"/>
        </w:rPr>
        <w:t> </w:t>
      </w:r>
      <w:r w:rsidR="007829E4" w:rsidRPr="00DD3028">
        <w:rPr>
          <w:lang w:val="es-ES_tradnl"/>
        </w:rPr>
        <w:t>2</w:t>
      </w:r>
      <w:r w:rsidRPr="00DD3028">
        <w:rPr>
          <w:lang w:val="es-ES_tradnl"/>
        </w:rPr>
        <w:t>016</w:t>
      </w:r>
      <w:bookmarkEnd w:id="54"/>
    </w:p>
    <w:p w:rsidR="00273DB6" w:rsidRPr="009178F8" w:rsidRDefault="00273DB6" w:rsidP="00273DB6">
      <w:pPr>
        <w:keepNext/>
      </w:pPr>
    </w:p>
    <w:p w:rsidR="00273DB6" w:rsidRPr="00D3280B" w:rsidRDefault="007D43C5" w:rsidP="00273DB6">
      <w:r w:rsidRPr="00D3280B">
        <w:fldChar w:fldCharType="begin"/>
      </w:r>
      <w:r w:rsidR="00273DB6" w:rsidRPr="00D3280B">
        <w:instrText xml:space="preserve"> AUTONUM  </w:instrText>
      </w:r>
      <w:r w:rsidRPr="00D3280B">
        <w:fldChar w:fldCharType="end"/>
      </w:r>
      <w:r w:rsidR="00273DB6" w:rsidRPr="00D3280B">
        <w:tab/>
      </w:r>
      <w:r w:rsidR="00DD3028" w:rsidRPr="00DD3028">
        <w:t>El TC tomó nota de la lista de los proyectos de directrices de examen debatidos por los TWP en sus reuniones de</w:t>
      </w:r>
      <w:r w:rsidR="007829E4">
        <w:t> </w:t>
      </w:r>
      <w:r w:rsidR="007829E4" w:rsidRPr="00DD3028">
        <w:t>2</w:t>
      </w:r>
      <w:r w:rsidR="00DD3028" w:rsidRPr="00DD3028">
        <w:t>016</w:t>
      </w:r>
      <w:r w:rsidR="007829E4">
        <w:t xml:space="preserve">, </w:t>
      </w:r>
      <w:r w:rsidR="00DD3028" w:rsidRPr="00DD3028">
        <w:t xml:space="preserve">que figura en el </w:t>
      </w:r>
      <w:r w:rsidR="00256232" w:rsidRPr="00DD3028">
        <w:t>anexo</w:t>
      </w:r>
      <w:r w:rsidR="00DD3028" w:rsidRPr="00DD3028">
        <w:t> II del documento TC/53/2.</w:t>
      </w:r>
    </w:p>
    <w:p w:rsidR="00273DB6" w:rsidRDefault="00273DB6" w:rsidP="00273DB6"/>
    <w:p w:rsidR="00273DB6" w:rsidRPr="00D3280B" w:rsidRDefault="00273DB6" w:rsidP="00273DB6"/>
    <w:p w:rsidR="00273DB6" w:rsidRPr="009B196C" w:rsidRDefault="00DD3028" w:rsidP="00273DB6">
      <w:pPr>
        <w:pStyle w:val="Heading3"/>
        <w:rPr>
          <w:rFonts w:cs="Arial"/>
          <w:lang w:val="es-ES"/>
        </w:rPr>
      </w:pPr>
      <w:bookmarkStart w:id="55" w:name="_Toc492290062"/>
      <w:r w:rsidRPr="00DD3028">
        <w:rPr>
          <w:lang w:val="es-ES_tradnl"/>
        </w:rPr>
        <w:t>Proyectos de directrices de examen que han de debatirse en los grupos de trabajo técnico en</w:t>
      </w:r>
      <w:r w:rsidR="007829E4">
        <w:rPr>
          <w:lang w:val="es-ES_tradnl"/>
        </w:rPr>
        <w:t> </w:t>
      </w:r>
      <w:r w:rsidR="007829E4" w:rsidRPr="00DD3028">
        <w:rPr>
          <w:lang w:val="es-ES_tradnl"/>
        </w:rPr>
        <w:t>2</w:t>
      </w:r>
      <w:r w:rsidRPr="00DD3028">
        <w:rPr>
          <w:lang w:val="es-ES_tradnl"/>
        </w:rPr>
        <w:t>017</w:t>
      </w:r>
      <w:bookmarkEnd w:id="55"/>
    </w:p>
    <w:p w:rsidR="00273DB6" w:rsidRPr="00D3280B" w:rsidRDefault="00273DB6" w:rsidP="00273DB6">
      <w:pPr>
        <w:keepNext/>
        <w:tabs>
          <w:tab w:val="left" w:pos="567"/>
        </w:tabs>
        <w:ind w:left="567" w:hanging="567"/>
        <w:outlineLvl w:val="0"/>
        <w:rPr>
          <w:rFonts w:cs="Arial"/>
        </w:rPr>
      </w:pPr>
    </w:p>
    <w:p w:rsidR="00273DB6" w:rsidRPr="00D3280B" w:rsidRDefault="007D43C5" w:rsidP="00273DB6">
      <w:pPr>
        <w:rPr>
          <w:rFonts w:cs="Arial"/>
        </w:rPr>
      </w:pPr>
      <w:r w:rsidRPr="00D3280B">
        <w:fldChar w:fldCharType="begin"/>
      </w:r>
      <w:r w:rsidR="00273DB6" w:rsidRPr="00D3280B">
        <w:instrText xml:space="preserve"> AUTONUM  </w:instrText>
      </w:r>
      <w:r w:rsidRPr="00D3280B">
        <w:fldChar w:fldCharType="end"/>
      </w:r>
      <w:r w:rsidR="00273DB6" w:rsidRPr="00D3280B">
        <w:tab/>
      </w:r>
      <w:r w:rsidR="00DD3028" w:rsidRPr="00DD3028">
        <w:t xml:space="preserve">El TC aprobó el programa de elaboración de las nuevas directrices de examen y de revisión de las directrices de examen que figura en el </w:t>
      </w:r>
      <w:r w:rsidR="00256232" w:rsidRPr="00DD3028">
        <w:t>anexo</w:t>
      </w:r>
      <w:r w:rsidR="00DD3028" w:rsidRPr="00DD3028">
        <w:t> III del documento TC/53/2.</w:t>
      </w:r>
      <w:r w:rsidR="00273DB6" w:rsidRPr="001423E4">
        <w:rPr>
          <w:rFonts w:cs="Arial"/>
        </w:rPr>
        <w:t xml:space="preserve">  </w:t>
      </w:r>
      <w:r w:rsidR="00DD3028" w:rsidRPr="00DD3028">
        <w:rPr>
          <w:rFonts w:cs="Arial"/>
        </w:rPr>
        <w:t>El TC convino en que se publicará una versión revisada del documento TC/53/2 a fin de incluir las directrices de examen de la cebada</w:t>
      </w:r>
      <w:r w:rsidR="007829E4">
        <w:rPr>
          <w:rFonts w:cs="Arial"/>
        </w:rPr>
        <w:t xml:space="preserve">, </w:t>
      </w:r>
      <w:r w:rsidR="00DD3028" w:rsidRPr="00DD3028">
        <w:rPr>
          <w:rFonts w:cs="Arial"/>
        </w:rPr>
        <w:t>el haboncillo</w:t>
      </w:r>
      <w:r w:rsidR="007829E4">
        <w:rPr>
          <w:rFonts w:cs="Arial"/>
        </w:rPr>
        <w:t xml:space="preserve">, </w:t>
      </w:r>
      <w:r w:rsidR="00DD3028" w:rsidRPr="00DD3028">
        <w:rPr>
          <w:rFonts w:cs="Arial"/>
        </w:rPr>
        <w:t>la avena</w:t>
      </w:r>
      <w:r w:rsidR="007829E4">
        <w:rPr>
          <w:rFonts w:cs="Arial"/>
        </w:rPr>
        <w:t xml:space="preserve">, </w:t>
      </w:r>
      <w:r w:rsidR="00DD3028" w:rsidRPr="00DD3028">
        <w:rPr>
          <w:rFonts w:cs="Arial"/>
        </w:rPr>
        <w:t>el guisante</w:t>
      </w:r>
      <w:r w:rsidR="007829E4">
        <w:rPr>
          <w:rFonts w:cs="Arial"/>
        </w:rPr>
        <w:t xml:space="preserve">, </w:t>
      </w:r>
      <w:r w:rsidR="00DD3028" w:rsidRPr="00DD3028">
        <w:rPr>
          <w:rFonts w:cs="Arial"/>
        </w:rPr>
        <w:t xml:space="preserve">el trébol rojo y el arroz en el </w:t>
      </w:r>
      <w:r w:rsidR="00256232" w:rsidRPr="00DD3028">
        <w:rPr>
          <w:rFonts w:cs="Arial"/>
        </w:rPr>
        <w:t>anexo</w:t>
      </w:r>
      <w:r w:rsidR="00DD3028" w:rsidRPr="00DD3028">
        <w:rPr>
          <w:rFonts w:cs="Arial"/>
        </w:rPr>
        <w:t> III.</w:t>
      </w:r>
    </w:p>
    <w:p w:rsidR="00273DB6" w:rsidRDefault="00273DB6" w:rsidP="00273DB6">
      <w:pPr>
        <w:rPr>
          <w:snapToGrid w:val="0"/>
        </w:rPr>
      </w:pPr>
    </w:p>
    <w:p w:rsidR="00273DB6" w:rsidRPr="00D3280B" w:rsidRDefault="00273DB6" w:rsidP="00273DB6">
      <w:pPr>
        <w:rPr>
          <w:snapToGrid w:val="0"/>
        </w:rPr>
      </w:pPr>
    </w:p>
    <w:p w:rsidR="00273DB6" w:rsidRPr="009B196C" w:rsidRDefault="00DD3028" w:rsidP="00273DB6">
      <w:pPr>
        <w:pStyle w:val="Heading3"/>
        <w:rPr>
          <w:rFonts w:cs="Arial"/>
          <w:lang w:val="es-ES"/>
        </w:rPr>
      </w:pPr>
      <w:bookmarkStart w:id="56" w:name="_Toc492290063"/>
      <w:r w:rsidRPr="00DD3028">
        <w:rPr>
          <w:lang w:val="es-ES_tradnl"/>
        </w:rPr>
        <w:t>Estado de las actuales directrices de examen o proyectos de directrices de examen</w:t>
      </w:r>
      <w:bookmarkEnd w:id="56"/>
    </w:p>
    <w:p w:rsidR="00273DB6" w:rsidRPr="00D3280B" w:rsidRDefault="00273DB6" w:rsidP="00273DB6">
      <w:pPr>
        <w:keepNext/>
        <w:rPr>
          <w:rFonts w:cs="Arial"/>
        </w:rPr>
      </w:pPr>
    </w:p>
    <w:p w:rsidR="00273DB6" w:rsidRPr="00D3280B" w:rsidRDefault="007D43C5" w:rsidP="00273DB6">
      <w:pPr>
        <w:rPr>
          <w:rFonts w:cs="Arial"/>
        </w:rPr>
      </w:pPr>
      <w:r w:rsidRPr="00D3280B">
        <w:rPr>
          <w:rFonts w:cs="Arial"/>
        </w:rPr>
        <w:fldChar w:fldCharType="begin"/>
      </w:r>
      <w:r w:rsidR="00273DB6" w:rsidRPr="00D3280B">
        <w:rPr>
          <w:rFonts w:cs="Arial"/>
        </w:rPr>
        <w:instrText xml:space="preserve"> AUTONUM  </w:instrText>
      </w:r>
      <w:r w:rsidRPr="00D3280B">
        <w:rPr>
          <w:rFonts w:cs="Arial"/>
        </w:rPr>
        <w:fldChar w:fldCharType="end"/>
      </w:r>
      <w:r w:rsidR="00273DB6" w:rsidRPr="00D3280B">
        <w:rPr>
          <w:rFonts w:cs="Arial"/>
        </w:rPr>
        <w:tab/>
      </w:r>
      <w:r w:rsidR="00DD3028" w:rsidRPr="00DD3028">
        <w:rPr>
          <w:rFonts w:cs="Arial"/>
        </w:rPr>
        <w:t>El TC tomó nota de la situación de las directrices de examen actuales</w:t>
      </w:r>
      <w:r w:rsidR="007829E4">
        <w:rPr>
          <w:rFonts w:cs="Arial"/>
        </w:rPr>
        <w:t xml:space="preserve">, </w:t>
      </w:r>
      <w:r w:rsidR="00DD3028" w:rsidRPr="00DD3028">
        <w:rPr>
          <w:rFonts w:cs="Arial"/>
        </w:rPr>
        <w:t xml:space="preserve">tal como figuran en el </w:t>
      </w:r>
      <w:r w:rsidR="00256232" w:rsidRPr="00DD3028">
        <w:rPr>
          <w:rFonts w:cs="Arial"/>
        </w:rPr>
        <w:t>anexo</w:t>
      </w:r>
      <w:r w:rsidR="00DD3028" w:rsidRPr="00DD3028">
        <w:rPr>
          <w:rFonts w:cs="Arial"/>
        </w:rPr>
        <w:t> IV del documento TC/53/2.</w:t>
      </w:r>
      <w:r w:rsidR="00273DB6">
        <w:rPr>
          <w:rFonts w:cs="Arial"/>
        </w:rPr>
        <w:t xml:space="preserve"> </w:t>
      </w:r>
    </w:p>
    <w:p w:rsidR="00273DB6" w:rsidRDefault="00273DB6" w:rsidP="00273DB6"/>
    <w:p w:rsidR="00273DB6" w:rsidRPr="00D3280B" w:rsidRDefault="00273DB6" w:rsidP="00273DB6"/>
    <w:p w:rsidR="00273DB6" w:rsidRPr="009B196C" w:rsidRDefault="00DD3028" w:rsidP="00273DB6">
      <w:pPr>
        <w:pStyle w:val="Heading3"/>
        <w:rPr>
          <w:lang w:val="es-ES"/>
        </w:rPr>
      </w:pPr>
      <w:bookmarkStart w:id="57" w:name="_Toc492290064"/>
      <w:r w:rsidRPr="00DD3028">
        <w:rPr>
          <w:lang w:val="es-ES_tradnl"/>
        </w:rPr>
        <w:t>Directrices de examen reemplazadas</w:t>
      </w:r>
      <w:bookmarkEnd w:id="57"/>
    </w:p>
    <w:p w:rsidR="00273DB6" w:rsidRPr="00D3280B" w:rsidRDefault="00273DB6" w:rsidP="00273DB6">
      <w:pPr>
        <w:keepNext/>
      </w:pPr>
    </w:p>
    <w:p w:rsidR="00273DB6" w:rsidRPr="00D3280B" w:rsidRDefault="007D43C5" w:rsidP="00273DB6">
      <w:r w:rsidRPr="00D3280B">
        <w:fldChar w:fldCharType="begin"/>
      </w:r>
      <w:r w:rsidR="00273DB6" w:rsidRPr="00D3280B">
        <w:instrText xml:space="preserve"> AUTONUM  </w:instrText>
      </w:r>
      <w:r w:rsidRPr="00D3280B">
        <w:fldChar w:fldCharType="end"/>
      </w:r>
      <w:r w:rsidR="00273DB6" w:rsidRPr="00D3280B">
        <w:tab/>
      </w:r>
      <w:r w:rsidR="00376F78" w:rsidRPr="00376F78">
        <w:t xml:space="preserve">El TC tomó nota de la lista de directrices de examen reemplazadas que figuran en el </w:t>
      </w:r>
      <w:r w:rsidR="00256232" w:rsidRPr="00376F78">
        <w:t>anexo</w:t>
      </w:r>
      <w:r w:rsidR="00376F78" w:rsidRPr="00376F78">
        <w:t> V del documento TC/53/2</w:t>
      </w:r>
      <w:r w:rsidR="007829E4">
        <w:t xml:space="preserve">, </w:t>
      </w:r>
      <w:r w:rsidR="00376F78" w:rsidRPr="00376F78">
        <w:t>y tomó nota de que las versiones reemplazadas de las directrices de examen están disponibles en la página de directrices de examen del sitio web de la UPOV.</w:t>
      </w:r>
    </w:p>
    <w:p w:rsidR="00273DB6" w:rsidRDefault="00273DB6" w:rsidP="00273DB6"/>
    <w:p w:rsidR="00273DB6" w:rsidRPr="00D3280B" w:rsidRDefault="00273DB6" w:rsidP="00273DB6"/>
    <w:p w:rsidR="00273DB6" w:rsidRPr="009B196C" w:rsidRDefault="00376F78" w:rsidP="00273DB6">
      <w:pPr>
        <w:pStyle w:val="Heading3"/>
        <w:rPr>
          <w:lang w:val="es-ES"/>
        </w:rPr>
      </w:pPr>
      <w:bookmarkStart w:id="58" w:name="_Toc492290065"/>
      <w:r w:rsidRPr="00376F78">
        <w:rPr>
          <w:lang w:val="es-ES_tradnl"/>
        </w:rPr>
        <w:t>Fecha de publicación de las directrices de examen en el sitio web de la UPOV</w:t>
      </w:r>
      <w:bookmarkEnd w:id="58"/>
    </w:p>
    <w:p w:rsidR="00273DB6" w:rsidRPr="00D3280B" w:rsidRDefault="00273DB6" w:rsidP="00273DB6">
      <w:pPr>
        <w:keepNext/>
      </w:pPr>
    </w:p>
    <w:p w:rsidR="00273DB6" w:rsidRPr="00D3280B" w:rsidRDefault="007D43C5" w:rsidP="00273DB6">
      <w:r w:rsidRPr="00D3280B">
        <w:fldChar w:fldCharType="begin"/>
      </w:r>
      <w:r w:rsidR="00273DB6" w:rsidRPr="00D3280B">
        <w:instrText xml:space="preserve"> AUTONUM  </w:instrText>
      </w:r>
      <w:r w:rsidRPr="00D3280B">
        <w:fldChar w:fldCharType="end"/>
      </w:r>
      <w:r w:rsidR="00273DB6" w:rsidRPr="00D3280B">
        <w:tab/>
      </w:r>
      <w:r w:rsidR="00376F78" w:rsidRPr="00376F78">
        <w:t>El TC tomó nota de que se ha modificado la página de directrices de examen del sitio web de la UPOV de manera que se indique la fecha de aprobación y la fecha de publicación de las directrices de examen.</w:t>
      </w:r>
    </w:p>
    <w:p w:rsidR="00273DB6" w:rsidRDefault="00273DB6" w:rsidP="00273DB6"/>
    <w:p w:rsidR="00273DB6" w:rsidRPr="00D3280B" w:rsidRDefault="00273DB6" w:rsidP="00273DB6"/>
    <w:p w:rsidR="00273DB6" w:rsidRPr="009B196C" w:rsidRDefault="00376F78" w:rsidP="00273DB6">
      <w:pPr>
        <w:pStyle w:val="Heading3"/>
        <w:rPr>
          <w:lang w:val="es-ES"/>
        </w:rPr>
      </w:pPr>
      <w:bookmarkStart w:id="59" w:name="_Toc492290066"/>
      <w:r w:rsidRPr="00376F78">
        <w:rPr>
          <w:lang w:val="es-ES_tradnl"/>
        </w:rPr>
        <w:t>Caracteres adicionales</w:t>
      </w:r>
      <w:bookmarkEnd w:id="59"/>
    </w:p>
    <w:p w:rsidR="00273DB6" w:rsidRPr="00D3280B" w:rsidRDefault="00273DB6" w:rsidP="00273DB6">
      <w:pPr>
        <w:rPr>
          <w:snapToGrid w:val="0"/>
        </w:rPr>
      </w:pPr>
    </w:p>
    <w:p w:rsidR="00273DB6" w:rsidRPr="00D3280B" w:rsidRDefault="007D43C5" w:rsidP="00273DB6">
      <w:pPr>
        <w:rPr>
          <w:snapToGrid w:val="0"/>
        </w:rPr>
      </w:pPr>
      <w:r w:rsidRPr="00D3280B">
        <w:rPr>
          <w:snapToGrid w:val="0"/>
        </w:rPr>
        <w:fldChar w:fldCharType="begin"/>
      </w:r>
      <w:r w:rsidR="00273DB6" w:rsidRPr="00D3280B">
        <w:rPr>
          <w:snapToGrid w:val="0"/>
        </w:rPr>
        <w:instrText xml:space="preserve"> AUTONUM  </w:instrText>
      </w:r>
      <w:r w:rsidRPr="00D3280B">
        <w:rPr>
          <w:snapToGrid w:val="0"/>
        </w:rPr>
        <w:fldChar w:fldCharType="end"/>
      </w:r>
      <w:r w:rsidR="00273DB6" w:rsidRPr="00D3280B">
        <w:rPr>
          <w:snapToGrid w:val="0"/>
        </w:rPr>
        <w:tab/>
      </w:r>
      <w:r w:rsidR="00376F78" w:rsidRPr="00376F78">
        <w:rPr>
          <w:snapToGrid w:val="0"/>
        </w:rPr>
        <w:t>El TC tomó nota de que</w:t>
      </w:r>
      <w:r w:rsidR="007829E4">
        <w:rPr>
          <w:snapToGrid w:val="0"/>
        </w:rPr>
        <w:t xml:space="preserve">, </w:t>
      </w:r>
      <w:r w:rsidR="00376F78" w:rsidRPr="00376F78">
        <w:rPr>
          <w:snapToGrid w:val="0"/>
        </w:rPr>
        <w:t>desde la quincuagésima segunda sesión del Comité</w:t>
      </w:r>
      <w:r w:rsidR="007829E4">
        <w:rPr>
          <w:snapToGrid w:val="0"/>
        </w:rPr>
        <w:t xml:space="preserve">, </w:t>
      </w:r>
      <w:r w:rsidR="00376F78" w:rsidRPr="00376F78">
        <w:rPr>
          <w:snapToGrid w:val="0"/>
        </w:rPr>
        <w:t>no se han notificado caracteres o niveles de expresión adicionales a la Oficina de la Unión.</w:t>
      </w:r>
    </w:p>
    <w:p w:rsidR="00273DB6" w:rsidRDefault="00273DB6" w:rsidP="00273DB6">
      <w:pPr>
        <w:rPr>
          <w:snapToGrid w:val="0"/>
        </w:rPr>
      </w:pPr>
    </w:p>
    <w:p w:rsidR="00273DB6" w:rsidRPr="00D3280B" w:rsidRDefault="00273DB6" w:rsidP="00273DB6">
      <w:pPr>
        <w:rPr>
          <w:snapToGrid w:val="0"/>
        </w:rPr>
      </w:pPr>
    </w:p>
    <w:p w:rsidR="00273DB6" w:rsidRPr="00D3280B" w:rsidRDefault="00376F78" w:rsidP="00273DB6">
      <w:pPr>
        <w:rPr>
          <w:i/>
          <w:snapToGrid w:val="0"/>
        </w:rPr>
      </w:pPr>
      <w:r w:rsidRPr="00376F78">
        <w:rPr>
          <w:i/>
          <w:snapToGrid w:val="0"/>
        </w:rPr>
        <w:t xml:space="preserve">Procedimiento para abordar la información adicional solicitada por el </w:t>
      </w:r>
      <w:r w:rsidRPr="00376F78">
        <w:rPr>
          <w:rFonts w:cs="Arial"/>
          <w:i/>
          <w:iCs/>
          <w:snapToGrid w:val="0"/>
        </w:rPr>
        <w:t>TC</w:t>
      </w:r>
      <w:r w:rsidRPr="00376F78">
        <w:rPr>
          <w:rFonts w:cs="Arial"/>
          <w:i/>
          <w:iCs/>
          <w:snapToGrid w:val="0"/>
        </w:rPr>
        <w:noBreakHyphen/>
        <w:t>EDC</w:t>
      </w:r>
    </w:p>
    <w:p w:rsidR="00273DB6" w:rsidRDefault="00273DB6" w:rsidP="00273DB6">
      <w:pPr>
        <w:rPr>
          <w:snapToGrid w:val="0"/>
        </w:rPr>
      </w:pPr>
    </w:p>
    <w:p w:rsidR="00273DB6" w:rsidRDefault="007D43C5" w:rsidP="00273DB6">
      <w:pPr>
        <w:rPr>
          <w:snapToGrid w:val="0"/>
        </w:rPr>
      </w:pPr>
      <w:r>
        <w:rPr>
          <w:snapToGrid w:val="0"/>
        </w:rPr>
        <w:fldChar w:fldCharType="begin"/>
      </w:r>
      <w:r w:rsidR="00273DB6">
        <w:rPr>
          <w:snapToGrid w:val="0"/>
        </w:rPr>
        <w:instrText xml:space="preserve"> AUTONUM  </w:instrText>
      </w:r>
      <w:r>
        <w:rPr>
          <w:snapToGrid w:val="0"/>
        </w:rPr>
        <w:fldChar w:fldCharType="end"/>
      </w:r>
      <w:r w:rsidR="00273DB6">
        <w:rPr>
          <w:snapToGrid w:val="0"/>
        </w:rPr>
        <w:tab/>
      </w:r>
      <w:r w:rsidR="00376F78" w:rsidRPr="00376F78">
        <w:rPr>
          <w:snapToGrid w:val="0"/>
        </w:rPr>
        <w:t>El TC respaldó la recomendación del TC-EDC</w:t>
      </w:r>
      <w:r w:rsidR="007829E4">
        <w:rPr>
          <w:snapToGrid w:val="0"/>
        </w:rPr>
        <w:t xml:space="preserve">, </w:t>
      </w:r>
      <w:r w:rsidR="00376F78" w:rsidRPr="00376F78">
        <w:rPr>
          <w:snapToGrid w:val="0"/>
        </w:rPr>
        <w:t>en su reunión de abril de 2017</w:t>
      </w:r>
      <w:r w:rsidR="007829E4">
        <w:rPr>
          <w:snapToGrid w:val="0"/>
        </w:rPr>
        <w:t xml:space="preserve">, </w:t>
      </w:r>
      <w:r w:rsidR="00376F78" w:rsidRPr="00376F78">
        <w:rPr>
          <w:snapToGrid w:val="0"/>
        </w:rPr>
        <w:t>de que los comentarios sobre las directrices de examen se remitan en paralelo a los expertos principales y los TWP a fin de abordar las cuestiones para las que se necesite información adicional.</w:t>
      </w:r>
      <w:r w:rsidR="00273DB6">
        <w:rPr>
          <w:snapToGrid w:val="0"/>
        </w:rPr>
        <w:t xml:space="preserve">  </w:t>
      </w:r>
      <w:r w:rsidR="00376F78" w:rsidRPr="00376F78">
        <w:rPr>
          <w:snapToGrid w:val="0"/>
        </w:rPr>
        <w:t>El TC también convino en examinar este planteamiento en su sesión de</w:t>
      </w:r>
      <w:r w:rsidR="007829E4">
        <w:rPr>
          <w:snapToGrid w:val="0"/>
        </w:rPr>
        <w:t> </w:t>
      </w:r>
      <w:r w:rsidR="007829E4" w:rsidRPr="00376F78">
        <w:rPr>
          <w:snapToGrid w:val="0"/>
        </w:rPr>
        <w:t>2</w:t>
      </w:r>
      <w:r w:rsidR="00376F78" w:rsidRPr="00376F78">
        <w:rPr>
          <w:snapToGrid w:val="0"/>
        </w:rPr>
        <w:t>018 y si procede incluirlo en el documento TGP/7.</w:t>
      </w:r>
    </w:p>
    <w:p w:rsidR="00273DB6" w:rsidRDefault="00273DB6" w:rsidP="00273DB6">
      <w:pPr>
        <w:rPr>
          <w:snapToGrid w:val="0"/>
        </w:rPr>
      </w:pPr>
    </w:p>
    <w:p w:rsidR="00273DB6" w:rsidRDefault="00273DB6" w:rsidP="00273DB6">
      <w:pPr>
        <w:rPr>
          <w:snapToGrid w:val="0"/>
        </w:rPr>
      </w:pPr>
    </w:p>
    <w:p w:rsidR="00273DB6" w:rsidRPr="00D3280B" w:rsidRDefault="00376F78" w:rsidP="00401303">
      <w:pPr>
        <w:keepNext/>
        <w:rPr>
          <w:i/>
          <w:snapToGrid w:val="0"/>
        </w:rPr>
      </w:pPr>
      <w:r w:rsidRPr="00376F78">
        <w:rPr>
          <w:i/>
          <w:snapToGrid w:val="0"/>
        </w:rPr>
        <w:t>Revisión del documento TGP/14:</w:t>
      </w:r>
      <w:r w:rsidR="00273DB6" w:rsidRPr="00376F78">
        <w:rPr>
          <w:i/>
          <w:snapToGrid w:val="0"/>
        </w:rPr>
        <w:t xml:space="preserve"> </w:t>
      </w:r>
      <w:r w:rsidRPr="00376F78">
        <w:rPr>
          <w:i/>
          <w:snapToGrid w:val="0"/>
        </w:rPr>
        <w:t>Ilustraciones para caracteres relacionados con la forma y con una relación</w:t>
      </w:r>
    </w:p>
    <w:p w:rsidR="00273DB6" w:rsidRDefault="00273DB6" w:rsidP="00401303">
      <w:pPr>
        <w:keepNext/>
        <w:rPr>
          <w:snapToGrid w:val="0"/>
        </w:rPr>
      </w:pPr>
    </w:p>
    <w:p w:rsidR="00273DB6" w:rsidRDefault="007D43C5" w:rsidP="00401303">
      <w:pPr>
        <w:keepNext/>
        <w:tabs>
          <w:tab w:val="left" w:pos="567"/>
          <w:tab w:val="left" w:pos="5387"/>
        </w:tabs>
        <w:rPr>
          <w:rFonts w:cs="Arial"/>
          <w:i/>
        </w:rPr>
      </w:pPr>
      <w:r>
        <w:rPr>
          <w:snapToGrid w:val="0"/>
        </w:rPr>
        <w:fldChar w:fldCharType="begin"/>
      </w:r>
      <w:r w:rsidR="00273DB6">
        <w:rPr>
          <w:snapToGrid w:val="0"/>
        </w:rPr>
        <w:instrText xml:space="preserve"> AUTONUM  </w:instrText>
      </w:r>
      <w:r>
        <w:rPr>
          <w:snapToGrid w:val="0"/>
        </w:rPr>
        <w:fldChar w:fldCharType="end"/>
      </w:r>
      <w:r w:rsidR="00273DB6">
        <w:rPr>
          <w:snapToGrid w:val="0"/>
        </w:rPr>
        <w:tab/>
      </w:r>
      <w:r w:rsidR="00376F78" w:rsidRPr="00376F78">
        <w:rPr>
          <w:snapToGrid w:val="0"/>
        </w:rPr>
        <w:t>El TC respaldó la recomendación del TC-EDC</w:t>
      </w:r>
      <w:r w:rsidR="007829E4">
        <w:rPr>
          <w:snapToGrid w:val="0"/>
        </w:rPr>
        <w:t xml:space="preserve">, </w:t>
      </w:r>
      <w:r w:rsidR="00376F78" w:rsidRPr="00376F78">
        <w:rPr>
          <w:snapToGrid w:val="0"/>
        </w:rPr>
        <w:t>en su reunión de abril de 2017</w:t>
      </w:r>
      <w:r w:rsidR="007829E4">
        <w:rPr>
          <w:snapToGrid w:val="0"/>
        </w:rPr>
        <w:t xml:space="preserve">, </w:t>
      </w:r>
      <w:r w:rsidR="00376F78" w:rsidRPr="00376F78">
        <w:rPr>
          <w:snapToGrid w:val="0"/>
        </w:rPr>
        <w:t>de mejorar la orientación que se expone en el documento TGP/14 sobre la presentación de ilustraciones para los caracteres relacionados con la forma y con una relación</w:t>
      </w:r>
      <w:r w:rsidR="007829E4">
        <w:rPr>
          <w:snapToGrid w:val="0"/>
        </w:rPr>
        <w:t xml:space="preserve">, </w:t>
      </w:r>
      <w:r w:rsidR="00376F78" w:rsidRPr="00376F78">
        <w:rPr>
          <w:snapToGrid w:val="0"/>
        </w:rPr>
        <w:t>por medio de la inclusión de ejemplos adicionales.</w:t>
      </w:r>
      <w:r w:rsidR="00273DB6">
        <w:rPr>
          <w:rFonts w:cs="Arial"/>
        </w:rPr>
        <w:t xml:space="preserve">  </w:t>
      </w:r>
      <w:r w:rsidR="00376F78" w:rsidRPr="00376F78">
        <w:rPr>
          <w:rFonts w:cs="Arial"/>
        </w:rPr>
        <w:t>El TC convino en invitar a los TWP a que examinen la cuestión en sus reuniones de</w:t>
      </w:r>
      <w:r w:rsidR="007829E4">
        <w:rPr>
          <w:rFonts w:cs="Arial"/>
        </w:rPr>
        <w:t> </w:t>
      </w:r>
      <w:r w:rsidR="007829E4" w:rsidRPr="00376F78">
        <w:rPr>
          <w:rFonts w:cs="Arial"/>
        </w:rPr>
        <w:t>2</w:t>
      </w:r>
      <w:r w:rsidR="00376F78" w:rsidRPr="00376F78">
        <w:rPr>
          <w:rFonts w:cs="Arial"/>
        </w:rPr>
        <w:t>017 y que informen al TC en su sesión de</w:t>
      </w:r>
      <w:r w:rsidR="007829E4">
        <w:rPr>
          <w:rFonts w:cs="Arial"/>
        </w:rPr>
        <w:t> </w:t>
      </w:r>
      <w:r w:rsidR="007829E4" w:rsidRPr="00376F78">
        <w:rPr>
          <w:rFonts w:cs="Arial"/>
        </w:rPr>
        <w:t>2</w:t>
      </w:r>
      <w:r w:rsidR="00376F78" w:rsidRPr="00376F78">
        <w:rPr>
          <w:rFonts w:cs="Arial"/>
        </w:rPr>
        <w:t>018.</w:t>
      </w:r>
    </w:p>
    <w:p w:rsidR="00273DB6" w:rsidRDefault="00273DB6" w:rsidP="00273DB6">
      <w:pPr>
        <w:rPr>
          <w:snapToGrid w:val="0"/>
        </w:rPr>
      </w:pPr>
    </w:p>
    <w:p w:rsidR="00273DB6" w:rsidRDefault="00273DB6" w:rsidP="00273DB6">
      <w:pPr>
        <w:rPr>
          <w:snapToGrid w:val="0"/>
        </w:rPr>
      </w:pPr>
    </w:p>
    <w:p w:rsidR="00273DB6" w:rsidRPr="00503872" w:rsidRDefault="00376F78" w:rsidP="00273DB6">
      <w:pPr>
        <w:rPr>
          <w:i/>
          <w:snapToGrid w:val="0"/>
        </w:rPr>
      </w:pPr>
      <w:r w:rsidRPr="00376F78">
        <w:rPr>
          <w:i/>
          <w:snapToGrid w:val="0"/>
        </w:rPr>
        <w:t>Programa de elaboración de nuevas directrices de examen y de revisión de directrices de examen en</w:t>
      </w:r>
      <w:r w:rsidR="007829E4">
        <w:rPr>
          <w:i/>
          <w:snapToGrid w:val="0"/>
        </w:rPr>
        <w:t> </w:t>
      </w:r>
      <w:r w:rsidR="007829E4" w:rsidRPr="00376F78">
        <w:rPr>
          <w:i/>
          <w:snapToGrid w:val="0"/>
        </w:rPr>
        <w:t>2</w:t>
      </w:r>
      <w:r w:rsidRPr="00376F78">
        <w:rPr>
          <w:i/>
          <w:snapToGrid w:val="0"/>
        </w:rPr>
        <w:t>018</w:t>
      </w:r>
    </w:p>
    <w:p w:rsidR="00273DB6" w:rsidRDefault="00273DB6" w:rsidP="00273DB6">
      <w:pPr>
        <w:rPr>
          <w:snapToGrid w:val="0"/>
        </w:rPr>
      </w:pPr>
    </w:p>
    <w:p w:rsidR="00273DB6" w:rsidRDefault="007D43C5" w:rsidP="00273DB6">
      <w:pPr>
        <w:rPr>
          <w:snapToGrid w:val="0"/>
        </w:rPr>
      </w:pPr>
      <w:r w:rsidRPr="00DA5D08">
        <w:rPr>
          <w:snapToGrid w:val="0"/>
        </w:rPr>
        <w:fldChar w:fldCharType="begin"/>
      </w:r>
      <w:r w:rsidR="00273DB6" w:rsidRPr="00DA5D08">
        <w:rPr>
          <w:snapToGrid w:val="0"/>
        </w:rPr>
        <w:instrText xml:space="preserve"> AUTONUM  </w:instrText>
      </w:r>
      <w:r w:rsidRPr="00DA5D08">
        <w:rPr>
          <w:snapToGrid w:val="0"/>
        </w:rPr>
        <w:fldChar w:fldCharType="end"/>
      </w:r>
      <w:r w:rsidR="00273DB6" w:rsidRPr="00DA5D08">
        <w:rPr>
          <w:snapToGrid w:val="0"/>
        </w:rPr>
        <w:tab/>
      </w:r>
      <w:r w:rsidR="00376F78" w:rsidRPr="00376F78">
        <w:rPr>
          <w:snapToGrid w:val="0"/>
        </w:rPr>
        <w:t>Como medida de emergencia adicional</w:t>
      </w:r>
      <w:r w:rsidR="007829E4">
        <w:rPr>
          <w:snapToGrid w:val="0"/>
        </w:rPr>
        <w:t xml:space="preserve">, </w:t>
      </w:r>
      <w:r w:rsidR="00376F78" w:rsidRPr="00376F78">
        <w:rPr>
          <w:snapToGrid w:val="0"/>
        </w:rPr>
        <w:t>el TC convino en que el programa de elaboración de nuevas directrices de examen y de revisión de directrices de examen en</w:t>
      </w:r>
      <w:r w:rsidR="007829E4">
        <w:rPr>
          <w:snapToGrid w:val="0"/>
        </w:rPr>
        <w:t> </w:t>
      </w:r>
      <w:r w:rsidR="007829E4" w:rsidRPr="00376F78">
        <w:rPr>
          <w:snapToGrid w:val="0"/>
        </w:rPr>
        <w:t>2</w:t>
      </w:r>
      <w:r w:rsidR="00376F78" w:rsidRPr="00376F78">
        <w:rPr>
          <w:snapToGrid w:val="0"/>
        </w:rPr>
        <w:t>018 sea aprobado por el TC por correspondencia</w:t>
      </w:r>
      <w:r w:rsidR="007829E4">
        <w:rPr>
          <w:snapToGrid w:val="0"/>
        </w:rPr>
        <w:t xml:space="preserve">, </w:t>
      </w:r>
      <w:r w:rsidR="00376F78" w:rsidRPr="00376F78">
        <w:rPr>
          <w:snapToGrid w:val="0"/>
        </w:rPr>
        <w:t>con carácter excepcional.</w:t>
      </w:r>
    </w:p>
    <w:p w:rsidR="00273DB6" w:rsidRDefault="00273DB6" w:rsidP="00273DB6"/>
    <w:p w:rsidR="00273DB6" w:rsidRDefault="00273DB6" w:rsidP="00273DB6">
      <w:pPr>
        <w:rPr>
          <w:snapToGrid w:val="0"/>
        </w:rPr>
      </w:pPr>
    </w:p>
    <w:p w:rsidR="00273DB6" w:rsidRPr="009B196C" w:rsidRDefault="00376F78" w:rsidP="00273DB6">
      <w:pPr>
        <w:pStyle w:val="Heading2"/>
        <w:rPr>
          <w:lang w:val="es-ES"/>
        </w:rPr>
      </w:pPr>
      <w:bookmarkStart w:id="60" w:name="_Toc492290067"/>
      <w:r w:rsidRPr="00376F78">
        <w:rPr>
          <w:snapToGrid w:val="0"/>
          <w:lang w:val="es-ES_tradnl"/>
        </w:rPr>
        <w:t>Presidentes</w:t>
      </w:r>
      <w:bookmarkEnd w:id="60"/>
    </w:p>
    <w:p w:rsidR="00273DB6" w:rsidRDefault="00273DB6" w:rsidP="00273DB6">
      <w:pPr>
        <w:keepNext/>
      </w:pPr>
    </w:p>
    <w:p w:rsidR="00273DB6" w:rsidRDefault="007D43C5" w:rsidP="00273DB6">
      <w:pPr>
        <w:keepNext/>
      </w:pPr>
      <w:r>
        <w:fldChar w:fldCharType="begin"/>
      </w:r>
      <w:r w:rsidR="00273DB6">
        <w:instrText xml:space="preserve"> AUTONUM  </w:instrText>
      </w:r>
      <w:r>
        <w:fldChar w:fldCharType="end"/>
      </w:r>
      <w:r w:rsidR="00273DB6">
        <w:tab/>
      </w:r>
      <w:r w:rsidR="00376F78" w:rsidRPr="00376F78">
        <w:t>El TC convino en recomendar al Consejo la elección de las siguientes personas como próximos presidentes de los TWP:</w:t>
      </w:r>
      <w:r w:rsidR="00273DB6">
        <w:t xml:space="preserve"> </w:t>
      </w:r>
    </w:p>
    <w:p w:rsidR="00273DB6" w:rsidRDefault="00273DB6" w:rsidP="00273DB6">
      <w:pPr>
        <w:keepNext/>
        <w:jc w:val="left"/>
      </w:pPr>
    </w:p>
    <w:tbl>
      <w:tblPr>
        <w:tblStyle w:val="TableGrid"/>
        <w:tblW w:w="0" w:type="auto"/>
        <w:tblInd w:w="567" w:type="dxa"/>
        <w:tblCellMar>
          <w:top w:w="57" w:type="dxa"/>
          <w:bottom w:w="57" w:type="dxa"/>
        </w:tblCellMar>
        <w:tblLook w:val="04A0" w:firstRow="1" w:lastRow="0" w:firstColumn="1" w:lastColumn="0" w:noHBand="0" w:noVBand="1"/>
      </w:tblPr>
      <w:tblGrid>
        <w:gridCol w:w="1242"/>
        <w:gridCol w:w="3794"/>
      </w:tblGrid>
      <w:tr w:rsidR="00273DB6" w:rsidTr="00376F78">
        <w:tc>
          <w:tcPr>
            <w:tcW w:w="1242" w:type="dxa"/>
          </w:tcPr>
          <w:p w:rsidR="00273DB6" w:rsidRPr="0075339E" w:rsidRDefault="00376F78" w:rsidP="004829DF">
            <w:pPr>
              <w:keepNext/>
              <w:jc w:val="left"/>
              <w:rPr>
                <w:u w:val="single"/>
              </w:rPr>
            </w:pPr>
            <w:r w:rsidRPr="00376F78">
              <w:rPr>
                <w:u w:val="single"/>
              </w:rPr>
              <w:t>TWP</w:t>
            </w:r>
          </w:p>
        </w:tc>
        <w:tc>
          <w:tcPr>
            <w:tcW w:w="3794" w:type="dxa"/>
          </w:tcPr>
          <w:p w:rsidR="00273DB6" w:rsidRPr="0075339E" w:rsidRDefault="00376F78" w:rsidP="004829DF">
            <w:pPr>
              <w:jc w:val="left"/>
              <w:rPr>
                <w:u w:val="single"/>
              </w:rPr>
            </w:pPr>
            <w:r w:rsidRPr="00376F78">
              <w:rPr>
                <w:u w:val="single"/>
              </w:rPr>
              <w:t>Propuesta</w:t>
            </w:r>
          </w:p>
        </w:tc>
      </w:tr>
      <w:tr w:rsidR="00273DB6" w:rsidTr="00376F78">
        <w:tc>
          <w:tcPr>
            <w:tcW w:w="1242" w:type="dxa"/>
          </w:tcPr>
          <w:p w:rsidR="00273DB6" w:rsidRDefault="00376F78" w:rsidP="00BB627F">
            <w:pPr>
              <w:keepNext/>
              <w:jc w:val="left"/>
            </w:pPr>
            <w:r w:rsidRPr="00376F78">
              <w:t>BMT</w:t>
            </w:r>
          </w:p>
        </w:tc>
        <w:tc>
          <w:tcPr>
            <w:tcW w:w="3794" w:type="dxa"/>
          </w:tcPr>
          <w:p w:rsidR="00273DB6" w:rsidRDefault="00376F78" w:rsidP="00BB627F">
            <w:pPr>
              <w:keepNext/>
              <w:jc w:val="left"/>
            </w:pPr>
            <w:r w:rsidRPr="00376F78">
              <w:t>Sr. Nik Hulse (Australia)</w:t>
            </w:r>
          </w:p>
        </w:tc>
      </w:tr>
      <w:tr w:rsidR="00273DB6" w:rsidTr="00376F78">
        <w:tc>
          <w:tcPr>
            <w:tcW w:w="1242" w:type="dxa"/>
          </w:tcPr>
          <w:p w:rsidR="00273DB6" w:rsidRDefault="00376F78" w:rsidP="00BB627F">
            <w:pPr>
              <w:keepNext/>
              <w:jc w:val="left"/>
            </w:pPr>
            <w:r w:rsidRPr="00376F78">
              <w:t>TWA</w:t>
            </w:r>
          </w:p>
        </w:tc>
        <w:tc>
          <w:tcPr>
            <w:tcW w:w="3794" w:type="dxa"/>
          </w:tcPr>
          <w:p w:rsidR="00273DB6" w:rsidRDefault="00376F78" w:rsidP="00BB627F">
            <w:pPr>
              <w:keepNext/>
              <w:jc w:val="left"/>
            </w:pPr>
            <w:r w:rsidRPr="00376F78">
              <w:t>Sra. Cheryl Turnbull (Reino Unido)</w:t>
            </w:r>
          </w:p>
        </w:tc>
      </w:tr>
      <w:tr w:rsidR="00273DB6" w:rsidTr="00376F78">
        <w:tc>
          <w:tcPr>
            <w:tcW w:w="1242" w:type="dxa"/>
          </w:tcPr>
          <w:p w:rsidR="00273DB6" w:rsidRDefault="00376F78" w:rsidP="00BB627F">
            <w:pPr>
              <w:keepNext/>
              <w:jc w:val="left"/>
            </w:pPr>
            <w:r w:rsidRPr="00376F78">
              <w:t>TWC</w:t>
            </w:r>
          </w:p>
        </w:tc>
        <w:tc>
          <w:tcPr>
            <w:tcW w:w="3794" w:type="dxa"/>
          </w:tcPr>
          <w:p w:rsidR="00273DB6" w:rsidRDefault="00376F78" w:rsidP="00BB627F">
            <w:pPr>
              <w:keepNext/>
              <w:jc w:val="left"/>
            </w:pPr>
            <w:r w:rsidRPr="00376F78">
              <w:t>Sr. Christophe Chevalier (Francia)</w:t>
            </w:r>
          </w:p>
        </w:tc>
      </w:tr>
      <w:tr w:rsidR="00273DB6" w:rsidTr="00376F78">
        <w:tc>
          <w:tcPr>
            <w:tcW w:w="1242" w:type="dxa"/>
          </w:tcPr>
          <w:p w:rsidR="00273DB6" w:rsidRDefault="00376F78" w:rsidP="00BB627F">
            <w:pPr>
              <w:keepNext/>
              <w:jc w:val="left"/>
            </w:pPr>
            <w:r w:rsidRPr="00376F78">
              <w:t>TWF</w:t>
            </w:r>
          </w:p>
        </w:tc>
        <w:tc>
          <w:tcPr>
            <w:tcW w:w="3794" w:type="dxa"/>
          </w:tcPr>
          <w:p w:rsidR="00273DB6" w:rsidRDefault="00376F78" w:rsidP="00BB627F">
            <w:pPr>
              <w:keepNext/>
              <w:jc w:val="left"/>
            </w:pPr>
            <w:r w:rsidRPr="00376F78">
              <w:t>Sr. Jean Maison (Unión Europea)</w:t>
            </w:r>
          </w:p>
        </w:tc>
      </w:tr>
      <w:tr w:rsidR="00273DB6" w:rsidRPr="00D60862" w:rsidTr="00376F78">
        <w:tc>
          <w:tcPr>
            <w:tcW w:w="1242" w:type="dxa"/>
          </w:tcPr>
          <w:p w:rsidR="00273DB6" w:rsidRDefault="00376F78" w:rsidP="00BB627F">
            <w:pPr>
              <w:keepNext/>
              <w:jc w:val="left"/>
            </w:pPr>
            <w:r w:rsidRPr="00376F78">
              <w:t>TWO</w:t>
            </w:r>
          </w:p>
        </w:tc>
        <w:tc>
          <w:tcPr>
            <w:tcW w:w="3794" w:type="dxa"/>
          </w:tcPr>
          <w:p w:rsidR="00273DB6" w:rsidRPr="006E4918" w:rsidRDefault="00376F78" w:rsidP="00BB627F">
            <w:pPr>
              <w:keepNext/>
              <w:jc w:val="left"/>
              <w:rPr>
                <w:lang w:val="pt-PT"/>
              </w:rPr>
            </w:pPr>
            <w:r w:rsidRPr="006E4918">
              <w:rPr>
                <w:lang w:val="pt-PT"/>
              </w:rPr>
              <w:t>Sr. Henk de Greef (Países Bajos)</w:t>
            </w:r>
          </w:p>
        </w:tc>
      </w:tr>
      <w:tr w:rsidR="00273DB6" w:rsidTr="00376F78">
        <w:tc>
          <w:tcPr>
            <w:tcW w:w="1242" w:type="dxa"/>
          </w:tcPr>
          <w:p w:rsidR="00273DB6" w:rsidRDefault="00376F78" w:rsidP="004829DF">
            <w:pPr>
              <w:jc w:val="left"/>
            </w:pPr>
            <w:r w:rsidRPr="00376F78">
              <w:t>TWV</w:t>
            </w:r>
          </w:p>
        </w:tc>
        <w:tc>
          <w:tcPr>
            <w:tcW w:w="3794" w:type="dxa"/>
          </w:tcPr>
          <w:p w:rsidR="00273DB6" w:rsidRDefault="00376F78" w:rsidP="004829DF">
            <w:pPr>
              <w:jc w:val="left"/>
            </w:pPr>
            <w:r w:rsidRPr="00376F78">
              <w:t>Sra. Romana Bravi (Italia)</w:t>
            </w:r>
          </w:p>
        </w:tc>
      </w:tr>
    </w:tbl>
    <w:p w:rsidR="0065583E" w:rsidRDefault="0065583E" w:rsidP="0065583E">
      <w:bookmarkStart w:id="61" w:name="_Toc492290068"/>
    </w:p>
    <w:p w:rsidR="00273DB6" w:rsidRPr="009B196C" w:rsidRDefault="00DA47BE" w:rsidP="00273DB6">
      <w:pPr>
        <w:pStyle w:val="Heading2"/>
        <w:rPr>
          <w:lang w:val="es-ES"/>
        </w:rPr>
      </w:pPr>
      <w:r w:rsidRPr="00DA47BE">
        <w:rPr>
          <w:lang w:val="es-ES_tradnl"/>
        </w:rPr>
        <w:t>Orden del día de la quincuagésima cuarta reunión</w:t>
      </w:r>
      <w:bookmarkEnd w:id="61"/>
    </w:p>
    <w:p w:rsidR="00273DB6" w:rsidRDefault="00273DB6" w:rsidP="00273DB6">
      <w:pPr>
        <w:keepNext/>
        <w:jc w:val="left"/>
      </w:pPr>
    </w:p>
    <w:p w:rsidR="00273DB6" w:rsidRDefault="00273DB6" w:rsidP="00DA47BE">
      <w:pPr>
        <w:tabs>
          <w:tab w:val="left" w:pos="1134"/>
        </w:tabs>
        <w:spacing w:line="280" w:lineRule="auto"/>
        <w:ind w:left="567"/>
      </w:pPr>
      <w:r>
        <w:t>1.</w:t>
      </w:r>
      <w:r>
        <w:tab/>
      </w:r>
      <w:r w:rsidR="00DA47BE" w:rsidRPr="00DA47BE">
        <w:t>Apertura de la reunión</w:t>
      </w:r>
    </w:p>
    <w:p w:rsidR="00273DB6" w:rsidRDefault="00273DB6" w:rsidP="00DA47BE">
      <w:pPr>
        <w:tabs>
          <w:tab w:val="left" w:pos="1134"/>
        </w:tabs>
        <w:spacing w:line="280" w:lineRule="auto"/>
        <w:ind w:left="567"/>
      </w:pPr>
      <w:r>
        <w:t>2.</w:t>
      </w:r>
      <w:r>
        <w:tab/>
      </w:r>
      <w:r w:rsidR="00DA47BE" w:rsidRPr="00DA47BE">
        <w:t>Aprobación del orden del día</w:t>
      </w:r>
    </w:p>
    <w:p w:rsidR="00273DB6" w:rsidRDefault="00273DB6" w:rsidP="00DA47BE">
      <w:pPr>
        <w:tabs>
          <w:tab w:val="left" w:pos="1134"/>
        </w:tabs>
        <w:spacing w:line="280" w:lineRule="auto"/>
        <w:ind w:left="1134" w:hanging="567"/>
      </w:pPr>
      <w:r>
        <w:t>3.</w:t>
      </w:r>
      <w:r>
        <w:tab/>
      </w:r>
      <w:r w:rsidR="00DA47BE" w:rsidRPr="00DA47BE">
        <w:t>Informe sobre las novedades acaecidas en la UPOV</w:t>
      </w:r>
      <w:r w:rsidR="007829E4">
        <w:t xml:space="preserve">, </w:t>
      </w:r>
      <w:r w:rsidR="00DA47BE" w:rsidRPr="00DA47BE">
        <w:t>donde figuran las cuestiones pertinentes examinadas en las últimas sesiones del Comité Administrativo y Jurídico</w:t>
      </w:r>
      <w:r w:rsidR="007829E4">
        <w:t xml:space="preserve">, </w:t>
      </w:r>
      <w:r w:rsidR="00DA47BE" w:rsidRPr="00DA47BE">
        <w:t>el Comité Consultivo y el Consejo</w:t>
      </w:r>
      <w:r>
        <w:t xml:space="preserve"> </w:t>
      </w:r>
    </w:p>
    <w:p w:rsidR="00273DB6" w:rsidRDefault="00273DB6" w:rsidP="00DA47BE">
      <w:pPr>
        <w:tabs>
          <w:tab w:val="left" w:pos="1134"/>
        </w:tabs>
        <w:spacing w:line="280" w:lineRule="auto"/>
        <w:ind w:left="1134" w:hanging="567"/>
      </w:pPr>
      <w:r>
        <w:t>4.</w:t>
      </w:r>
      <w:r>
        <w:tab/>
      </w:r>
      <w:r w:rsidR="00DA47BE" w:rsidRPr="00DA47BE">
        <w:t>Organización de las sesiones de la UPOV</w:t>
      </w:r>
      <w:r>
        <w:t xml:space="preserve"> </w:t>
      </w:r>
    </w:p>
    <w:p w:rsidR="00273DB6" w:rsidRDefault="00273DB6" w:rsidP="00DA47BE">
      <w:pPr>
        <w:tabs>
          <w:tab w:val="left" w:pos="1134"/>
        </w:tabs>
        <w:spacing w:line="280" w:lineRule="auto"/>
        <w:ind w:left="1134" w:hanging="567"/>
      </w:pPr>
      <w:r>
        <w:t>5.</w:t>
      </w:r>
      <w:r>
        <w:tab/>
      </w:r>
      <w:r w:rsidR="00DA47BE" w:rsidRPr="00DA47BE">
        <w:t>Informes sobre la labor de los grupos de trabajo técnico</w:t>
      </w:r>
      <w:r w:rsidR="007829E4">
        <w:t xml:space="preserve">, </w:t>
      </w:r>
      <w:r w:rsidR="00DA47BE" w:rsidRPr="00DA47BE">
        <w:t>incluido el Grupo de Trabajo sobre Técnicas Bioquímicas y Moleculares</w:t>
      </w:r>
      <w:r w:rsidR="007829E4">
        <w:t xml:space="preserve">, </w:t>
      </w:r>
      <w:r w:rsidR="00DA47BE" w:rsidRPr="00DA47BE">
        <w:t>y Perfiles de ADN en particular (BMT)</w:t>
      </w:r>
      <w:r>
        <w:t xml:space="preserve"> </w:t>
      </w:r>
    </w:p>
    <w:p w:rsidR="00273DB6" w:rsidRDefault="00273DB6" w:rsidP="00DA47BE">
      <w:pPr>
        <w:tabs>
          <w:tab w:val="left" w:pos="1134"/>
        </w:tabs>
        <w:spacing w:line="280" w:lineRule="auto"/>
        <w:ind w:left="1134" w:hanging="567"/>
      </w:pPr>
      <w:r>
        <w:t>6.</w:t>
      </w:r>
      <w:r>
        <w:tab/>
      </w:r>
      <w:r w:rsidR="00DA47BE" w:rsidRPr="00DA47BE">
        <w:t>Cuestiones planteadas por los grupos de trabajo técnico</w:t>
      </w:r>
      <w:r>
        <w:t xml:space="preserve"> </w:t>
      </w:r>
    </w:p>
    <w:p w:rsidR="00273DB6" w:rsidRDefault="00273DB6" w:rsidP="00DA47BE">
      <w:pPr>
        <w:tabs>
          <w:tab w:val="left" w:pos="1134"/>
        </w:tabs>
        <w:spacing w:line="280" w:lineRule="auto"/>
        <w:ind w:left="1134" w:hanging="567"/>
      </w:pPr>
      <w:r>
        <w:t>7.</w:t>
      </w:r>
      <w:r>
        <w:tab/>
      </w:r>
      <w:r w:rsidR="00DA47BE" w:rsidRPr="00DA47BE">
        <w:t>Documentos TGP</w:t>
      </w:r>
      <w:r>
        <w:t xml:space="preserve"> </w:t>
      </w:r>
    </w:p>
    <w:p w:rsidR="00273DB6" w:rsidRDefault="00273DB6" w:rsidP="00DA47BE">
      <w:pPr>
        <w:tabs>
          <w:tab w:val="left" w:pos="1134"/>
        </w:tabs>
        <w:spacing w:line="280" w:lineRule="auto"/>
        <w:ind w:left="1134" w:hanging="567"/>
      </w:pPr>
      <w:r>
        <w:t>8.</w:t>
      </w:r>
      <w:r>
        <w:tab/>
      </w:r>
      <w:r w:rsidR="00DA47BE" w:rsidRPr="00DA47BE">
        <w:t>Cooperación en materia de examen</w:t>
      </w:r>
      <w:r>
        <w:t xml:space="preserve"> </w:t>
      </w:r>
    </w:p>
    <w:p w:rsidR="00273DB6" w:rsidRDefault="00273DB6" w:rsidP="00C77494">
      <w:pPr>
        <w:keepNext/>
        <w:tabs>
          <w:tab w:val="left" w:pos="1134"/>
        </w:tabs>
        <w:spacing w:line="280" w:lineRule="auto"/>
        <w:ind w:left="1134" w:hanging="567"/>
      </w:pPr>
      <w:r>
        <w:t>9.</w:t>
      </w:r>
      <w:r>
        <w:tab/>
      </w:r>
      <w:r w:rsidR="00DA47BE" w:rsidRPr="00C77494">
        <w:t>Información y bases de datos</w:t>
      </w:r>
    </w:p>
    <w:p w:rsidR="00273DB6" w:rsidRDefault="00AF3692" w:rsidP="00C77494">
      <w:pPr>
        <w:keepNext/>
        <w:tabs>
          <w:tab w:val="left" w:pos="1134"/>
          <w:tab w:val="left" w:pos="1701"/>
        </w:tabs>
        <w:spacing w:line="280" w:lineRule="auto"/>
        <w:ind w:left="1134"/>
      </w:pPr>
      <w:r w:rsidRPr="004829DF">
        <w:t>a)</w:t>
      </w:r>
      <w:r w:rsidRPr="004829DF">
        <w:tab/>
      </w:r>
      <w:r w:rsidR="00C77494" w:rsidRPr="00C77494">
        <w:t>bases de datos de información de la UPOV</w:t>
      </w:r>
      <w:r w:rsidR="00273DB6">
        <w:t xml:space="preserve"> </w:t>
      </w:r>
    </w:p>
    <w:p w:rsidR="00273DB6" w:rsidRDefault="00AF3692" w:rsidP="00C77494">
      <w:pPr>
        <w:tabs>
          <w:tab w:val="left" w:pos="1134"/>
          <w:tab w:val="left" w:pos="1701"/>
        </w:tabs>
        <w:spacing w:line="280" w:lineRule="auto"/>
        <w:ind w:left="1134"/>
      </w:pPr>
      <w:r w:rsidRPr="004829DF">
        <w:t>b)</w:t>
      </w:r>
      <w:r w:rsidRPr="004829DF">
        <w:tab/>
      </w:r>
      <w:r w:rsidR="00C77494" w:rsidRPr="00C77494">
        <w:t>formulario electrónico de solicitud</w:t>
      </w:r>
      <w:r w:rsidR="00273DB6">
        <w:t xml:space="preserve"> </w:t>
      </w:r>
    </w:p>
    <w:p w:rsidR="00273DB6" w:rsidRDefault="00AF3692" w:rsidP="00C77494">
      <w:pPr>
        <w:tabs>
          <w:tab w:val="left" w:pos="1134"/>
          <w:tab w:val="left" w:pos="1701"/>
        </w:tabs>
        <w:spacing w:line="280" w:lineRule="auto"/>
        <w:ind w:left="1134"/>
      </w:pPr>
      <w:r w:rsidRPr="004829DF">
        <w:t>c)</w:t>
      </w:r>
      <w:r w:rsidRPr="004829DF">
        <w:tab/>
      </w:r>
      <w:r w:rsidR="00C77494" w:rsidRPr="00C77494">
        <w:t>intercambio y uso de programas informáticos y equipos</w:t>
      </w:r>
      <w:r w:rsidR="00273DB6">
        <w:t xml:space="preserve"> </w:t>
      </w:r>
    </w:p>
    <w:p w:rsidR="00273DB6" w:rsidRDefault="00AF3692" w:rsidP="00C77494">
      <w:pPr>
        <w:tabs>
          <w:tab w:val="left" w:pos="1134"/>
          <w:tab w:val="left" w:pos="1701"/>
        </w:tabs>
        <w:spacing w:line="280" w:lineRule="auto"/>
        <w:ind w:left="1134"/>
      </w:pPr>
      <w:r w:rsidRPr="004829DF">
        <w:t>d)</w:t>
      </w:r>
      <w:r w:rsidRPr="004829DF">
        <w:tab/>
      </w:r>
      <w:r w:rsidR="00C77494" w:rsidRPr="00C77494">
        <w:t>bases de datos de descripciones de variedades</w:t>
      </w:r>
      <w:r w:rsidR="00273DB6">
        <w:t xml:space="preserve"> </w:t>
      </w:r>
    </w:p>
    <w:p w:rsidR="00273DB6" w:rsidRDefault="00273DB6" w:rsidP="00C77494">
      <w:pPr>
        <w:tabs>
          <w:tab w:val="left" w:pos="1134"/>
        </w:tabs>
        <w:spacing w:line="280" w:lineRule="auto"/>
        <w:ind w:left="567"/>
      </w:pPr>
      <w:r>
        <w:t>10.</w:t>
      </w:r>
      <w:r>
        <w:tab/>
      </w:r>
      <w:r w:rsidR="00C77494" w:rsidRPr="00C77494">
        <w:t>El número de ciclos de cultivo</w:t>
      </w:r>
      <w:r>
        <w:t xml:space="preserve"> </w:t>
      </w:r>
    </w:p>
    <w:p w:rsidR="00273DB6" w:rsidRDefault="00273DB6" w:rsidP="00C77494">
      <w:pPr>
        <w:tabs>
          <w:tab w:val="left" w:pos="1134"/>
        </w:tabs>
        <w:spacing w:line="280" w:lineRule="auto"/>
        <w:ind w:left="567"/>
      </w:pPr>
      <w:r>
        <w:t>11.</w:t>
      </w:r>
      <w:r>
        <w:tab/>
      </w:r>
      <w:r w:rsidR="00C77494" w:rsidRPr="00C77494">
        <w:t>Asuntos relativos a las descripciones de variedades</w:t>
      </w:r>
      <w:r>
        <w:t xml:space="preserve"> </w:t>
      </w:r>
    </w:p>
    <w:p w:rsidR="00273DB6" w:rsidRDefault="00273DB6" w:rsidP="00A508EA">
      <w:pPr>
        <w:tabs>
          <w:tab w:val="left" w:pos="1134"/>
        </w:tabs>
        <w:spacing w:line="280" w:lineRule="auto"/>
        <w:ind w:left="1134" w:hanging="567"/>
      </w:pPr>
      <w:r>
        <w:t>12.</w:t>
      </w:r>
      <w:r>
        <w:tab/>
      </w:r>
      <w:r w:rsidR="00C77494" w:rsidRPr="00A508EA">
        <w:t>Determinación de umbrales calculados para excluir las variedades notoriamente conocidas del segundo ciclo de cultivo cuando se emplea el COYD</w:t>
      </w:r>
      <w:r>
        <w:t xml:space="preserve"> </w:t>
      </w:r>
    </w:p>
    <w:p w:rsidR="00273DB6" w:rsidRDefault="00273DB6" w:rsidP="00A508EA">
      <w:pPr>
        <w:tabs>
          <w:tab w:val="left" w:pos="1134"/>
        </w:tabs>
        <w:spacing w:line="280" w:lineRule="auto"/>
        <w:ind w:left="567"/>
      </w:pPr>
      <w:r>
        <w:t>13.</w:t>
      </w:r>
      <w:r>
        <w:tab/>
      </w:r>
      <w:r w:rsidR="00A508EA" w:rsidRPr="00A508EA">
        <w:t>Métodos estadísticos aplicados a caracteres observados visualmente</w:t>
      </w:r>
    </w:p>
    <w:p w:rsidR="00273DB6" w:rsidRDefault="00273DB6" w:rsidP="00A508EA">
      <w:pPr>
        <w:tabs>
          <w:tab w:val="left" w:pos="1134"/>
        </w:tabs>
        <w:spacing w:line="280" w:lineRule="auto"/>
        <w:ind w:left="567"/>
      </w:pPr>
      <w:r>
        <w:t>14.</w:t>
      </w:r>
      <w:r>
        <w:tab/>
      </w:r>
      <w:r w:rsidR="00A508EA" w:rsidRPr="00A508EA">
        <w:t>Debate sobre:</w:t>
      </w:r>
      <w:r>
        <w:t xml:space="preserve"> </w:t>
      </w:r>
    </w:p>
    <w:p w:rsidR="00273DB6" w:rsidRDefault="00AF3692" w:rsidP="00A508EA">
      <w:pPr>
        <w:keepNext/>
        <w:tabs>
          <w:tab w:val="left" w:pos="1134"/>
        </w:tabs>
        <w:spacing w:line="280" w:lineRule="auto"/>
        <w:ind w:left="1134"/>
      </w:pPr>
      <w:r w:rsidRPr="004829DF">
        <w:t>a)</w:t>
      </w:r>
      <w:r w:rsidRPr="004829DF">
        <w:tab/>
      </w:r>
      <w:r w:rsidR="00A508EA" w:rsidRPr="00A508EA">
        <w:t>la distancia mínima entre las variedades</w:t>
      </w:r>
    </w:p>
    <w:p w:rsidR="00273DB6" w:rsidRDefault="00AF3692" w:rsidP="00A508EA">
      <w:pPr>
        <w:keepNext/>
        <w:tabs>
          <w:tab w:val="left" w:pos="1701"/>
        </w:tabs>
        <w:spacing w:line="280" w:lineRule="auto"/>
        <w:ind w:left="1701" w:hanging="567"/>
      </w:pPr>
      <w:r w:rsidRPr="004829DF">
        <w:t>b)</w:t>
      </w:r>
      <w:r w:rsidRPr="004829DF">
        <w:tab/>
      </w:r>
      <w:r w:rsidR="00A508EA" w:rsidRPr="00A508EA">
        <w:t>la creciente participación de nuevos miembros de la Unión en la labor del TC y los TWP (incluida la formación en el uso de los instrumentos de la UPOV a nuevos miembros de la Unión)</w:t>
      </w:r>
    </w:p>
    <w:p w:rsidR="00273DB6" w:rsidRDefault="00273DB6" w:rsidP="00A508EA">
      <w:pPr>
        <w:tabs>
          <w:tab w:val="left" w:pos="1134"/>
        </w:tabs>
        <w:spacing w:line="280" w:lineRule="auto"/>
        <w:ind w:left="567"/>
      </w:pPr>
      <w:r>
        <w:t>15.</w:t>
      </w:r>
      <w:r>
        <w:tab/>
      </w:r>
      <w:r w:rsidR="00A508EA" w:rsidRPr="00A508EA">
        <w:t>Técnicas moleculares</w:t>
      </w:r>
      <w:r>
        <w:t xml:space="preserve"> </w:t>
      </w:r>
    </w:p>
    <w:p w:rsidR="00273DB6" w:rsidRDefault="00273DB6" w:rsidP="00A508EA">
      <w:pPr>
        <w:tabs>
          <w:tab w:val="left" w:pos="1134"/>
        </w:tabs>
        <w:spacing w:line="280" w:lineRule="auto"/>
        <w:ind w:left="567"/>
      </w:pPr>
      <w:r>
        <w:t>16.</w:t>
      </w:r>
      <w:r>
        <w:tab/>
      </w:r>
      <w:r w:rsidR="00A508EA" w:rsidRPr="00A508EA">
        <w:t>Denominaciones de variedades</w:t>
      </w:r>
    </w:p>
    <w:p w:rsidR="00273DB6" w:rsidRDefault="00273DB6" w:rsidP="00A508EA">
      <w:pPr>
        <w:tabs>
          <w:tab w:val="left" w:pos="1134"/>
        </w:tabs>
        <w:spacing w:line="280" w:lineRule="auto"/>
        <w:ind w:left="567"/>
      </w:pPr>
      <w:r>
        <w:t>17.</w:t>
      </w:r>
      <w:r>
        <w:tab/>
      </w:r>
      <w:r w:rsidR="00A508EA" w:rsidRPr="00A508EA">
        <w:t>Talleres preparatorios</w:t>
      </w:r>
      <w:r>
        <w:t xml:space="preserve"> </w:t>
      </w:r>
    </w:p>
    <w:p w:rsidR="00273DB6" w:rsidRDefault="00273DB6" w:rsidP="00A508EA">
      <w:pPr>
        <w:tabs>
          <w:tab w:val="left" w:pos="1134"/>
        </w:tabs>
        <w:spacing w:line="280" w:lineRule="auto"/>
        <w:ind w:left="1134" w:hanging="567"/>
      </w:pPr>
      <w:r>
        <w:t>18.</w:t>
      </w:r>
      <w:r>
        <w:tab/>
      </w:r>
      <w:r w:rsidR="00A508EA" w:rsidRPr="00A508EA">
        <w:t>Lista de géneros y especies respecto de los cuales las autoridades poseen experiencia práctica en el examen de la distinción</w:t>
      </w:r>
      <w:r w:rsidR="007829E4">
        <w:t xml:space="preserve">, </w:t>
      </w:r>
      <w:r w:rsidR="00A508EA" w:rsidRPr="00A508EA">
        <w:t>la homogeneidad y la estabilidad</w:t>
      </w:r>
    </w:p>
    <w:p w:rsidR="00273DB6" w:rsidRDefault="00273DB6" w:rsidP="00A508EA">
      <w:pPr>
        <w:tabs>
          <w:tab w:val="left" w:pos="1134"/>
        </w:tabs>
        <w:spacing w:line="280" w:lineRule="auto"/>
        <w:ind w:left="567"/>
      </w:pPr>
      <w:r>
        <w:t>19.</w:t>
      </w:r>
      <w:r>
        <w:tab/>
      </w:r>
      <w:r w:rsidR="00A508EA" w:rsidRPr="00A508EA">
        <w:t>Plantilla en Internet de las directrices de examen</w:t>
      </w:r>
    </w:p>
    <w:p w:rsidR="00273DB6" w:rsidRDefault="00273DB6" w:rsidP="00A508EA">
      <w:pPr>
        <w:tabs>
          <w:tab w:val="left" w:pos="1134"/>
        </w:tabs>
        <w:spacing w:line="280" w:lineRule="auto"/>
        <w:ind w:left="567"/>
      </w:pPr>
      <w:r>
        <w:t>20.</w:t>
      </w:r>
      <w:r>
        <w:tab/>
      </w:r>
      <w:r w:rsidR="00A508EA" w:rsidRPr="00A508EA">
        <w:t>Directrices de examen</w:t>
      </w:r>
    </w:p>
    <w:p w:rsidR="00273DB6" w:rsidRDefault="00273DB6" w:rsidP="00A508EA">
      <w:pPr>
        <w:tabs>
          <w:tab w:val="left" w:pos="1134"/>
        </w:tabs>
        <w:spacing w:line="280" w:lineRule="auto"/>
        <w:ind w:left="567"/>
      </w:pPr>
      <w:r>
        <w:t>21.</w:t>
      </w:r>
      <w:r>
        <w:tab/>
      </w:r>
      <w:r w:rsidR="00A508EA" w:rsidRPr="00A508EA">
        <w:t>Orden del día de la quincuagésima quinta reunión</w:t>
      </w:r>
      <w:r>
        <w:t xml:space="preserve"> </w:t>
      </w:r>
    </w:p>
    <w:p w:rsidR="00273DB6" w:rsidRDefault="00273DB6" w:rsidP="00A508EA">
      <w:pPr>
        <w:tabs>
          <w:tab w:val="left" w:pos="1134"/>
        </w:tabs>
        <w:spacing w:line="280" w:lineRule="auto"/>
        <w:ind w:left="567"/>
      </w:pPr>
      <w:r>
        <w:t>22.</w:t>
      </w:r>
      <w:r>
        <w:tab/>
      </w:r>
      <w:r w:rsidR="00A508EA" w:rsidRPr="00A508EA">
        <w:t>Aprobación del informe (si se dispone de tiempo suficiente)</w:t>
      </w:r>
    </w:p>
    <w:p w:rsidR="00273DB6" w:rsidRDefault="00273DB6" w:rsidP="00A508EA">
      <w:pPr>
        <w:tabs>
          <w:tab w:val="left" w:pos="1134"/>
        </w:tabs>
        <w:spacing w:line="280" w:lineRule="auto"/>
        <w:ind w:left="567"/>
      </w:pPr>
      <w:r>
        <w:t>23.</w:t>
      </w:r>
      <w:r>
        <w:tab/>
      </w:r>
      <w:r w:rsidR="00A508EA" w:rsidRPr="00A508EA">
        <w:t>Clausura de la reunión</w:t>
      </w:r>
    </w:p>
    <w:p w:rsidR="00273DB6" w:rsidRPr="004B1215" w:rsidRDefault="00273DB6" w:rsidP="00273DB6"/>
    <w:p w:rsidR="00273DB6" w:rsidRDefault="00273DB6" w:rsidP="00273DB6"/>
    <w:p w:rsidR="00273DB6" w:rsidRDefault="00273DB6" w:rsidP="00273DB6"/>
    <w:p w:rsidR="00273DB6" w:rsidRPr="009B196C" w:rsidRDefault="00A508EA" w:rsidP="00273DB6">
      <w:pPr>
        <w:pStyle w:val="Heading1"/>
        <w:rPr>
          <w:lang w:val="es-ES"/>
        </w:rPr>
      </w:pPr>
      <w:bookmarkStart w:id="62" w:name="_Toc492290069"/>
      <w:r w:rsidRPr="00A508EA">
        <w:rPr>
          <w:lang w:val="es-ES_tradnl"/>
        </w:rPr>
        <w:t>INFORME SOBRE LA LABOR REALIZADA EN</w:t>
      </w:r>
      <w:r w:rsidR="007829E4">
        <w:rPr>
          <w:lang w:val="es-ES_tradnl"/>
        </w:rPr>
        <w:t> </w:t>
      </w:r>
      <w:r w:rsidR="007829E4" w:rsidRPr="00A508EA">
        <w:rPr>
          <w:lang w:val="es-ES_tradnl"/>
        </w:rPr>
        <w:t>2</w:t>
      </w:r>
      <w:r w:rsidRPr="00A508EA">
        <w:rPr>
          <w:lang w:val="es-ES_tradnl"/>
        </w:rPr>
        <w:t>016 POR LOS GRUPOS DE TRABAJO TÉCNICO Y EL GRUPO DE TRABAJO SOBRE TÉCNICAS BIOQUÍMICAS Y MOLECULARES</w:t>
      </w:r>
      <w:r w:rsidR="007829E4">
        <w:rPr>
          <w:lang w:val="es-ES_tradnl"/>
        </w:rPr>
        <w:t xml:space="preserve">, </w:t>
      </w:r>
      <w:r w:rsidRPr="00A508EA">
        <w:rPr>
          <w:lang w:val="es-ES_tradnl"/>
        </w:rPr>
        <w:t>Y PERFILES DE ADN EN PARTICULAR</w:t>
      </w:r>
      <w:bookmarkEnd w:id="62"/>
    </w:p>
    <w:p w:rsidR="00273DB6" w:rsidRPr="00D046F7" w:rsidRDefault="00273DB6" w:rsidP="00273DB6">
      <w:pPr>
        <w:jc w:val="left"/>
      </w:pPr>
    </w:p>
    <w:p w:rsidR="00273DB6" w:rsidRPr="00D046F7" w:rsidRDefault="007D43C5" w:rsidP="00273DB6">
      <w:r w:rsidRPr="00D046F7">
        <w:fldChar w:fldCharType="begin"/>
      </w:r>
      <w:r w:rsidR="00273DB6" w:rsidRPr="00D046F7">
        <w:instrText xml:space="preserve"> AUTONUM  </w:instrText>
      </w:r>
      <w:r w:rsidRPr="00D046F7">
        <w:fldChar w:fldCharType="end"/>
      </w:r>
      <w:r w:rsidR="00273DB6" w:rsidRPr="00D046F7">
        <w:tab/>
      </w:r>
      <w:r w:rsidR="002972DE" w:rsidRPr="002972DE">
        <w:t>En la quincuagésima tercera sesión del TC</w:t>
      </w:r>
      <w:r w:rsidR="007829E4">
        <w:t xml:space="preserve">, </w:t>
      </w:r>
      <w:r w:rsidR="002972DE" w:rsidRPr="002972DE">
        <w:t>los presidentes presentaron los siguientes informes sobre la labor del TWA</w:t>
      </w:r>
      <w:r w:rsidR="007829E4">
        <w:t xml:space="preserve">, </w:t>
      </w:r>
      <w:r w:rsidR="002972DE" w:rsidRPr="002972DE">
        <w:t>el TWC</w:t>
      </w:r>
      <w:r w:rsidR="007829E4">
        <w:t xml:space="preserve">, </w:t>
      </w:r>
      <w:r w:rsidR="002972DE" w:rsidRPr="002972DE">
        <w:t>el TWF</w:t>
      </w:r>
      <w:r w:rsidR="007829E4">
        <w:t xml:space="preserve">, </w:t>
      </w:r>
      <w:r w:rsidR="002972DE" w:rsidRPr="002972DE">
        <w:t>el TWO</w:t>
      </w:r>
      <w:r w:rsidR="007829E4">
        <w:t xml:space="preserve">, </w:t>
      </w:r>
      <w:r w:rsidR="002972DE" w:rsidRPr="002972DE">
        <w:t>el TWV y el BMT.</w:t>
      </w:r>
    </w:p>
    <w:p w:rsidR="00273DB6" w:rsidRPr="00D046F7" w:rsidRDefault="00273DB6" w:rsidP="00273DB6">
      <w:pPr>
        <w:jc w:val="left"/>
      </w:pPr>
    </w:p>
    <w:p w:rsidR="00273DB6" w:rsidRPr="009B196C" w:rsidRDefault="002972DE" w:rsidP="00273DB6">
      <w:pPr>
        <w:pStyle w:val="Heading3"/>
        <w:rPr>
          <w:lang w:val="es-ES"/>
        </w:rPr>
      </w:pPr>
      <w:bookmarkStart w:id="63" w:name="_Toc492290070"/>
      <w:r w:rsidRPr="002972DE">
        <w:rPr>
          <w:lang w:val="es-ES_tradnl"/>
        </w:rPr>
        <w:t>Grupo de Trabajo Técnico sobre Plantas Agrícolas</w:t>
      </w:r>
      <w:bookmarkEnd w:id="63"/>
      <w:r w:rsidR="00273DB6" w:rsidRPr="009B196C">
        <w:rPr>
          <w:lang w:val="es-ES"/>
        </w:rPr>
        <w:t xml:space="preserve"> </w:t>
      </w:r>
    </w:p>
    <w:p w:rsidR="00273DB6" w:rsidRPr="00D51062" w:rsidRDefault="00273DB6" w:rsidP="00273DB6">
      <w:pPr>
        <w:keepNext/>
      </w:pPr>
    </w:p>
    <w:p w:rsidR="00273DB6" w:rsidRDefault="007D43C5" w:rsidP="00273DB6">
      <w:pPr>
        <w:rPr>
          <w:rFonts w:cs="Arial"/>
        </w:rPr>
      </w:pPr>
      <w:r>
        <w:rPr>
          <w:rFonts w:cs="Arial"/>
        </w:rPr>
        <w:fldChar w:fldCharType="begin"/>
      </w:r>
      <w:r w:rsidR="00273DB6">
        <w:rPr>
          <w:rFonts w:cs="Arial"/>
        </w:rPr>
        <w:instrText xml:space="preserve"> AUTONUM  </w:instrText>
      </w:r>
      <w:r>
        <w:rPr>
          <w:rFonts w:cs="Arial"/>
        </w:rPr>
        <w:fldChar w:fldCharType="end"/>
      </w:r>
      <w:r w:rsidR="00273DB6">
        <w:rPr>
          <w:rFonts w:cs="Arial"/>
        </w:rPr>
        <w:tab/>
      </w:r>
      <w:r w:rsidR="002972DE" w:rsidRPr="002972DE">
        <w:rPr>
          <w:rFonts w:cs="Arial"/>
        </w:rPr>
        <w:t>El Grupo de Trabajo Técnico sobre Plantas Agrícolas (TWA) celebró su celebró su cuadragésima quinta reunión en México D.F. (México)</w:t>
      </w:r>
      <w:r w:rsidR="007829E4">
        <w:rPr>
          <w:rFonts w:cs="Arial"/>
        </w:rPr>
        <w:t xml:space="preserve">, </w:t>
      </w:r>
      <w:r w:rsidR="002972DE" w:rsidRPr="002972DE">
        <w:rPr>
          <w:rFonts w:cs="Arial"/>
        </w:rPr>
        <w:t>del</w:t>
      </w:r>
      <w:r w:rsidR="007829E4">
        <w:rPr>
          <w:rFonts w:cs="Arial"/>
        </w:rPr>
        <w:t> </w:t>
      </w:r>
      <w:r w:rsidR="007829E4" w:rsidRPr="002972DE">
        <w:rPr>
          <w:rFonts w:cs="Arial"/>
        </w:rPr>
        <w:t>1</w:t>
      </w:r>
      <w:r w:rsidR="002972DE" w:rsidRPr="002972DE">
        <w:rPr>
          <w:rFonts w:cs="Arial"/>
        </w:rPr>
        <w:t>1 al</w:t>
      </w:r>
      <w:r w:rsidR="007829E4">
        <w:rPr>
          <w:rFonts w:cs="Arial"/>
        </w:rPr>
        <w:t> </w:t>
      </w:r>
      <w:r w:rsidR="007829E4" w:rsidRPr="002972DE">
        <w:rPr>
          <w:rFonts w:cs="Arial"/>
        </w:rPr>
        <w:t>1</w:t>
      </w:r>
      <w:r w:rsidR="002972DE" w:rsidRPr="002972DE">
        <w:rPr>
          <w:rFonts w:cs="Arial"/>
        </w:rPr>
        <w:t>5 de julio de</w:t>
      </w:r>
      <w:r w:rsidR="007829E4">
        <w:rPr>
          <w:rFonts w:cs="Arial"/>
        </w:rPr>
        <w:t> </w:t>
      </w:r>
      <w:r w:rsidR="007829E4" w:rsidRPr="002972DE">
        <w:rPr>
          <w:rFonts w:cs="Arial"/>
        </w:rPr>
        <w:t>2</w:t>
      </w:r>
      <w:r w:rsidR="002972DE" w:rsidRPr="002972DE">
        <w:rPr>
          <w:rFonts w:cs="Arial"/>
        </w:rPr>
        <w:t>016</w:t>
      </w:r>
      <w:r w:rsidR="007829E4">
        <w:rPr>
          <w:rFonts w:cs="Arial"/>
        </w:rPr>
        <w:t xml:space="preserve">, </w:t>
      </w:r>
      <w:r w:rsidR="002972DE" w:rsidRPr="002972DE">
        <w:rPr>
          <w:rFonts w:cs="Arial"/>
        </w:rPr>
        <w:t>bajo la presidencia del Sr. Tanvir Hossain (Australia).</w:t>
      </w:r>
      <w:r w:rsidR="00273DB6">
        <w:rPr>
          <w:rFonts w:cs="Arial"/>
        </w:rPr>
        <w:t xml:space="preserve">  </w:t>
      </w:r>
      <w:r w:rsidR="002972DE" w:rsidRPr="002972DE">
        <w:rPr>
          <w:rFonts w:cs="Arial"/>
        </w:rPr>
        <w:t>El informe de la reunión figura en el documento TWF/45/25 “</w:t>
      </w:r>
      <w:r w:rsidR="002972DE" w:rsidRPr="009B196C">
        <w:rPr>
          <w:rFonts w:cs="Arial"/>
          <w:i/>
          <w:lang w:val="es-ES"/>
        </w:rPr>
        <w:t>Report</w:t>
      </w:r>
      <w:r w:rsidR="002972DE" w:rsidRPr="002972DE">
        <w:rPr>
          <w:rFonts w:cs="Arial"/>
        </w:rPr>
        <w:t>” (Informe).</w:t>
      </w:r>
    </w:p>
    <w:p w:rsidR="00273DB6" w:rsidRDefault="00273DB6" w:rsidP="00273DB6">
      <w:pPr>
        <w:rPr>
          <w:rFonts w:cs="Arial"/>
        </w:rPr>
      </w:pPr>
    </w:p>
    <w:p w:rsidR="00273DB6" w:rsidRDefault="007D43C5" w:rsidP="00273DB6">
      <w:pPr>
        <w:rPr>
          <w:rFonts w:cs="Arial"/>
        </w:rPr>
      </w:pPr>
      <w:r>
        <w:rPr>
          <w:rFonts w:cs="Arial"/>
        </w:rPr>
        <w:fldChar w:fldCharType="begin"/>
      </w:r>
      <w:r w:rsidR="00273DB6">
        <w:rPr>
          <w:rFonts w:cs="Arial"/>
        </w:rPr>
        <w:instrText xml:space="preserve"> AUTONUM  </w:instrText>
      </w:r>
      <w:r>
        <w:rPr>
          <w:rFonts w:cs="Arial"/>
        </w:rPr>
        <w:fldChar w:fldCharType="end"/>
      </w:r>
      <w:r w:rsidR="00273DB6">
        <w:rPr>
          <w:rFonts w:cs="Arial"/>
        </w:rPr>
        <w:tab/>
      </w:r>
      <w:r w:rsidR="002972DE" w:rsidRPr="002972DE">
        <w:rPr>
          <w:rFonts w:cs="Arial"/>
        </w:rPr>
        <w:t>La reunión contó con</w:t>
      </w:r>
      <w:r w:rsidR="007829E4">
        <w:rPr>
          <w:rFonts w:cs="Arial"/>
        </w:rPr>
        <w:t> </w:t>
      </w:r>
      <w:r w:rsidR="007829E4" w:rsidRPr="002972DE">
        <w:rPr>
          <w:rFonts w:cs="Arial"/>
        </w:rPr>
        <w:t>6</w:t>
      </w:r>
      <w:r w:rsidR="002972DE" w:rsidRPr="002972DE">
        <w:rPr>
          <w:rFonts w:cs="Arial"/>
        </w:rPr>
        <w:t>4 participantes de</w:t>
      </w:r>
      <w:r w:rsidR="007829E4">
        <w:rPr>
          <w:rFonts w:cs="Arial"/>
        </w:rPr>
        <w:t> </w:t>
      </w:r>
      <w:r w:rsidR="007829E4" w:rsidRPr="002972DE">
        <w:rPr>
          <w:rFonts w:cs="Arial"/>
        </w:rPr>
        <w:t>1</w:t>
      </w:r>
      <w:r w:rsidR="002972DE" w:rsidRPr="002972DE">
        <w:rPr>
          <w:rFonts w:cs="Arial"/>
        </w:rPr>
        <w:t>9 miembros de la Unión y</w:t>
      </w:r>
      <w:r w:rsidR="007829E4">
        <w:rPr>
          <w:rFonts w:cs="Arial"/>
        </w:rPr>
        <w:t> </w:t>
      </w:r>
      <w:r w:rsidR="007829E4" w:rsidRPr="002972DE">
        <w:rPr>
          <w:rFonts w:cs="Arial"/>
        </w:rPr>
        <w:t>3</w:t>
      </w:r>
      <w:r w:rsidR="002972DE" w:rsidRPr="002972DE">
        <w:rPr>
          <w:rFonts w:cs="Arial"/>
        </w:rPr>
        <w:t xml:space="preserve"> organizaciones en calidad de observadoras.</w:t>
      </w:r>
      <w:r w:rsidR="00273DB6">
        <w:rPr>
          <w:rFonts w:cs="Arial"/>
        </w:rPr>
        <w:t xml:space="preserve">  </w:t>
      </w:r>
      <w:r w:rsidR="002972DE" w:rsidRPr="002972DE">
        <w:rPr>
          <w:rFonts w:cs="Arial"/>
        </w:rPr>
        <w:t>El taller preparatorio</w:t>
      </w:r>
      <w:r w:rsidR="007829E4">
        <w:rPr>
          <w:rFonts w:cs="Arial"/>
        </w:rPr>
        <w:t xml:space="preserve">, </w:t>
      </w:r>
      <w:r w:rsidR="002972DE" w:rsidRPr="002972DE">
        <w:rPr>
          <w:rFonts w:cs="Arial"/>
        </w:rPr>
        <w:t>al que asistieron</w:t>
      </w:r>
      <w:r w:rsidR="007829E4">
        <w:rPr>
          <w:rFonts w:cs="Arial"/>
        </w:rPr>
        <w:t> </w:t>
      </w:r>
      <w:r w:rsidR="007829E4" w:rsidRPr="002972DE">
        <w:rPr>
          <w:rFonts w:cs="Arial"/>
        </w:rPr>
        <w:t>2</w:t>
      </w:r>
      <w:r w:rsidR="002972DE" w:rsidRPr="002972DE">
        <w:rPr>
          <w:rFonts w:cs="Arial"/>
        </w:rPr>
        <w:t>1 participantes de</w:t>
      </w:r>
      <w:r w:rsidR="007829E4">
        <w:rPr>
          <w:rFonts w:cs="Arial"/>
        </w:rPr>
        <w:t> </w:t>
      </w:r>
      <w:r w:rsidR="007829E4" w:rsidRPr="002972DE">
        <w:rPr>
          <w:rFonts w:cs="Arial"/>
        </w:rPr>
        <w:t>9</w:t>
      </w:r>
      <w:r w:rsidR="002972DE" w:rsidRPr="002972DE">
        <w:rPr>
          <w:rFonts w:cs="Arial"/>
        </w:rPr>
        <w:t xml:space="preserve"> miembros de la Unión y </w:t>
      </w:r>
      <w:r w:rsidR="00A92642">
        <w:rPr>
          <w:rFonts w:cs="Arial"/>
        </w:rPr>
        <w:t>una</w:t>
      </w:r>
      <w:r w:rsidR="002972DE" w:rsidRPr="002972DE">
        <w:rPr>
          <w:rFonts w:cs="Arial"/>
        </w:rPr>
        <w:t xml:space="preserve"> organización en calidad de observadora</w:t>
      </w:r>
      <w:r w:rsidR="007829E4">
        <w:rPr>
          <w:rFonts w:cs="Arial"/>
        </w:rPr>
        <w:t xml:space="preserve">, </w:t>
      </w:r>
      <w:r w:rsidR="002972DE" w:rsidRPr="002972DE">
        <w:rPr>
          <w:rFonts w:cs="Arial"/>
        </w:rPr>
        <w:t>tuvo lugar el</w:t>
      </w:r>
      <w:r w:rsidR="007829E4">
        <w:rPr>
          <w:rFonts w:cs="Arial"/>
        </w:rPr>
        <w:t> </w:t>
      </w:r>
      <w:r w:rsidR="007829E4" w:rsidRPr="002972DE">
        <w:rPr>
          <w:rFonts w:cs="Arial"/>
        </w:rPr>
        <w:t>1</w:t>
      </w:r>
      <w:r w:rsidR="002972DE" w:rsidRPr="002972DE">
        <w:rPr>
          <w:rFonts w:cs="Arial"/>
        </w:rPr>
        <w:t>0 de julio de</w:t>
      </w:r>
      <w:r w:rsidR="007829E4">
        <w:rPr>
          <w:rFonts w:cs="Arial"/>
        </w:rPr>
        <w:t> </w:t>
      </w:r>
      <w:r w:rsidR="007829E4" w:rsidRPr="002972DE">
        <w:rPr>
          <w:rFonts w:cs="Arial"/>
        </w:rPr>
        <w:t>2</w:t>
      </w:r>
      <w:r w:rsidR="002972DE" w:rsidRPr="002972DE">
        <w:rPr>
          <w:rFonts w:cs="Arial"/>
        </w:rPr>
        <w:t>016 por la tarde.</w:t>
      </w:r>
      <w:r w:rsidR="00273DB6">
        <w:rPr>
          <w:rFonts w:cs="Arial"/>
        </w:rPr>
        <w:t xml:space="preserve"> </w:t>
      </w:r>
    </w:p>
    <w:p w:rsidR="00273DB6" w:rsidRPr="00D51062" w:rsidRDefault="00273DB6" w:rsidP="00273DB6">
      <w:pPr>
        <w:contextualSpacing/>
        <w:rPr>
          <w:rFonts w:cs="Arial"/>
        </w:rPr>
      </w:pPr>
    </w:p>
    <w:p w:rsidR="00273DB6" w:rsidRPr="00D51062" w:rsidRDefault="007D43C5" w:rsidP="00273DB6">
      <w:pPr>
        <w:contextualSpacing/>
        <w:rPr>
          <w:rFonts w:cs="Arial"/>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D30237" w:rsidRPr="00D30237">
        <w:rPr>
          <w:rFonts w:cs="Arial"/>
        </w:rPr>
        <w:t>Dieron la bienvenida al TWA la Sra. Graciela Ávila Quezada en nombre del Excmo. Sr. José Eduardo Calzada Rovirosa</w:t>
      </w:r>
      <w:r w:rsidR="007829E4">
        <w:rPr>
          <w:rFonts w:cs="Arial"/>
        </w:rPr>
        <w:t xml:space="preserve">, </w:t>
      </w:r>
      <w:r w:rsidR="00D30237" w:rsidRPr="00D30237">
        <w:rPr>
          <w:rFonts w:cs="Arial"/>
        </w:rPr>
        <w:t>Secretario de Agricultura</w:t>
      </w:r>
      <w:r w:rsidR="007829E4">
        <w:rPr>
          <w:rFonts w:cs="Arial"/>
        </w:rPr>
        <w:t xml:space="preserve">, </w:t>
      </w:r>
      <w:r w:rsidR="00D30237" w:rsidRPr="00D30237">
        <w:rPr>
          <w:rFonts w:cs="Arial"/>
        </w:rPr>
        <w:t>Ganadería</w:t>
      </w:r>
      <w:r w:rsidR="007829E4">
        <w:rPr>
          <w:rFonts w:cs="Arial"/>
        </w:rPr>
        <w:t xml:space="preserve">, </w:t>
      </w:r>
      <w:r w:rsidR="00D30237" w:rsidRPr="00D30237">
        <w:rPr>
          <w:rFonts w:cs="Arial"/>
        </w:rPr>
        <w:t>Desarrollo Rural</w:t>
      </w:r>
      <w:r w:rsidR="007829E4">
        <w:rPr>
          <w:rFonts w:cs="Arial"/>
        </w:rPr>
        <w:t xml:space="preserve">, </w:t>
      </w:r>
      <w:r w:rsidR="00D30237" w:rsidRPr="00D30237">
        <w:rPr>
          <w:rFonts w:cs="Arial"/>
        </w:rPr>
        <w:t>Pesca y Alimentación</w:t>
      </w:r>
      <w:r w:rsidR="007829E4">
        <w:rPr>
          <w:rFonts w:cs="Arial"/>
        </w:rPr>
        <w:t xml:space="preserve">, </w:t>
      </w:r>
      <w:r w:rsidR="00D30237" w:rsidRPr="00D30237">
        <w:rPr>
          <w:rFonts w:cs="Arial"/>
        </w:rPr>
        <w:t>y el Sr. Manuel Rafael Villa Issa</w:t>
      </w:r>
      <w:r w:rsidR="007829E4">
        <w:rPr>
          <w:rFonts w:cs="Arial"/>
        </w:rPr>
        <w:t xml:space="preserve">, </w:t>
      </w:r>
      <w:r w:rsidR="00D30237" w:rsidRPr="00D30237">
        <w:rPr>
          <w:rFonts w:cs="Arial"/>
        </w:rPr>
        <w:t>Director General del Servicio Nacional de Inspección y Certificación de Semillas (SNICS).</w:t>
      </w:r>
      <w:r w:rsidR="00273DB6" w:rsidRPr="00D51062">
        <w:rPr>
          <w:rFonts w:cs="Arial"/>
        </w:rPr>
        <w:t xml:space="preserve">  </w:t>
      </w:r>
      <w:r w:rsidR="00D30237" w:rsidRPr="00D30237">
        <w:rPr>
          <w:rFonts w:cs="Arial"/>
        </w:rPr>
        <w:t>El TWA asistió a una ponencia sobre la protección de las obtenciones vegetales en México a cargo del Sr. Eduardo Padilla Vaca</w:t>
      </w:r>
      <w:r w:rsidR="007829E4">
        <w:rPr>
          <w:rFonts w:cs="Arial"/>
        </w:rPr>
        <w:t xml:space="preserve">, </w:t>
      </w:r>
      <w:r w:rsidR="00D30237" w:rsidRPr="00D30237">
        <w:rPr>
          <w:rFonts w:cs="Arial"/>
        </w:rPr>
        <w:t>Director de Registro de Variedades Vegetales (SNICS).</w:t>
      </w:r>
      <w:r w:rsidR="00273DB6" w:rsidRPr="00D51062">
        <w:rPr>
          <w:rFonts w:cs="Arial"/>
        </w:rPr>
        <w:t xml:space="preserve"> </w:t>
      </w:r>
    </w:p>
    <w:p w:rsidR="00273DB6" w:rsidRPr="00D51062" w:rsidRDefault="00273DB6" w:rsidP="00273DB6">
      <w:pPr>
        <w:contextualSpacing/>
        <w:rPr>
          <w:rFonts w:cs="Arial"/>
        </w:rPr>
      </w:pPr>
    </w:p>
    <w:p w:rsidR="00273DB6" w:rsidRPr="00D51062" w:rsidRDefault="007D43C5" w:rsidP="00273DB6">
      <w:pPr>
        <w:contextualSpacing/>
        <w:rPr>
          <w:rFonts w:cs="Arial"/>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D30237" w:rsidRPr="00D30237">
        <w:rPr>
          <w:rFonts w:cs="Arial"/>
        </w:rPr>
        <w:t>El TWA aprobó el orden del día que figura en el documento TWA/45/1 Rev.</w:t>
      </w:r>
    </w:p>
    <w:p w:rsidR="00273DB6" w:rsidRPr="00D51062" w:rsidRDefault="00273DB6" w:rsidP="00273DB6">
      <w:pPr>
        <w:contextualSpacing/>
        <w:rPr>
          <w:rFonts w:cs="Arial"/>
        </w:rPr>
      </w:pPr>
    </w:p>
    <w:p w:rsidR="00273DB6" w:rsidRPr="00D51062" w:rsidRDefault="007D43C5" w:rsidP="00273DB6">
      <w:pPr>
        <w:contextualSpacing/>
        <w:rPr>
          <w:rFonts w:cs="Arial"/>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A92642" w:rsidRPr="00A92642">
        <w:rPr>
          <w:rFonts w:cs="Arial"/>
        </w:rPr>
        <w:t>Con respecto a la revisión de la sección 4.3 “Carpeta de material para los redactores de directrices de examen” del documento TGP/7 “Elaboración de las Directrices de Examen”</w:t>
      </w:r>
      <w:r w:rsidR="007829E4">
        <w:rPr>
          <w:rFonts w:cs="Arial"/>
        </w:rPr>
        <w:t xml:space="preserve">, </w:t>
      </w:r>
      <w:r w:rsidR="00A92642" w:rsidRPr="00A92642">
        <w:rPr>
          <w:rFonts w:cs="Arial"/>
        </w:rPr>
        <w:t>el TWA convino en que el período establecido para que los expertos principales redacten las directrices de examen por medio de la plantilla en Internet de los documentos TG debe comenzar poco después de la correspondiente reunión del TWP a fin de evitar demoras innecesarias en la finalización del proyecto.</w:t>
      </w:r>
      <w:r w:rsidR="00273DB6" w:rsidRPr="00D51062">
        <w:rPr>
          <w:rFonts w:cs="Arial"/>
        </w:rPr>
        <w:t xml:space="preserve"> </w:t>
      </w:r>
    </w:p>
    <w:p w:rsidR="00273DB6" w:rsidRPr="00D51062" w:rsidRDefault="00273DB6" w:rsidP="00273DB6">
      <w:pPr>
        <w:contextualSpacing/>
        <w:rPr>
          <w:rFonts w:cs="Arial"/>
        </w:rPr>
      </w:pPr>
    </w:p>
    <w:p w:rsidR="00273DB6" w:rsidRPr="00D51062" w:rsidRDefault="007D43C5" w:rsidP="00273DB6">
      <w:pPr>
        <w:contextualSpacing/>
        <w:rPr>
          <w:rFonts w:cs="Arial"/>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6912BB" w:rsidRPr="006912BB">
        <w:rPr>
          <w:rFonts w:cs="Arial"/>
        </w:rPr>
        <w:t>El TWA examino la orientación propuesta para el examen DHE de muestras en bloque</w:t>
      </w:r>
      <w:r w:rsidR="007829E4">
        <w:rPr>
          <w:rFonts w:cs="Arial"/>
        </w:rPr>
        <w:t xml:space="preserve">, </w:t>
      </w:r>
      <w:r w:rsidR="006912BB" w:rsidRPr="006912BB">
        <w:rPr>
          <w:rFonts w:cs="Arial"/>
        </w:rPr>
        <w:t>con miras a incluirla como una nueva sección en una futura revisión del documento TGP/8 “Cooperación en materia de examen”.</w:t>
      </w:r>
      <w:r w:rsidR="00273DB6" w:rsidRPr="00D51062">
        <w:rPr>
          <w:rFonts w:cs="Arial"/>
        </w:rPr>
        <w:t xml:space="preserve">  </w:t>
      </w:r>
      <w:r w:rsidR="006912BB" w:rsidRPr="006912BB">
        <w:rPr>
          <w:rFonts w:cs="Arial"/>
        </w:rPr>
        <w:t>El TWA convino con el TWV en que en la orientación propuesta no se presentaron ejemplos suficientes para el examen DHE de caracteres a partir de muestras en bloque y en la necesidad de solicitar a la redactora que continúe elaborando la propuesta y que incluya más ejemplos</w:t>
      </w:r>
      <w:r w:rsidR="007829E4">
        <w:rPr>
          <w:rFonts w:cs="Arial"/>
        </w:rPr>
        <w:t xml:space="preserve">, </w:t>
      </w:r>
      <w:r w:rsidR="006912BB" w:rsidRPr="006912BB">
        <w:rPr>
          <w:rFonts w:cs="Arial"/>
        </w:rPr>
        <w:t>tal como solicitó el TC en su quincuagésima segunda sesión.</w:t>
      </w:r>
      <w:r w:rsidR="00273DB6" w:rsidRPr="00D51062">
        <w:rPr>
          <w:rFonts w:cs="Arial"/>
        </w:rPr>
        <w:t xml:space="preserve">  </w:t>
      </w:r>
      <w:r w:rsidR="006912BB" w:rsidRPr="006912BB">
        <w:rPr>
          <w:rFonts w:cs="Arial"/>
        </w:rPr>
        <w:t>El TWA convino en que la elaboración adicional de las orientaciones sobre las muestras en bloque debe supeditarse a la disponibilidad de ejemplos adecuados con datos obtenidos de la medición sistemática de caracteres tales como el contenido químico o el peso de</w:t>
      </w:r>
      <w:r w:rsidR="007829E4">
        <w:rPr>
          <w:rFonts w:cs="Arial"/>
        </w:rPr>
        <w:t> </w:t>
      </w:r>
      <w:r w:rsidR="007829E4" w:rsidRPr="006912BB">
        <w:rPr>
          <w:rFonts w:cs="Arial"/>
        </w:rPr>
        <w:t>1</w:t>
      </w:r>
      <w:r w:rsidR="006912BB" w:rsidRPr="006912BB">
        <w:rPr>
          <w:rFonts w:cs="Arial"/>
        </w:rPr>
        <w:t>.000 semillas.</w:t>
      </w:r>
    </w:p>
    <w:p w:rsidR="00273DB6" w:rsidRPr="00D51062" w:rsidRDefault="00273DB6" w:rsidP="00273DB6">
      <w:pPr>
        <w:rPr>
          <w:rFonts w:cs="Arial"/>
        </w:rPr>
      </w:pPr>
    </w:p>
    <w:p w:rsidR="00273DB6" w:rsidRPr="00D51062" w:rsidRDefault="007D43C5" w:rsidP="00273DB6">
      <w:pPr>
        <w:rPr>
          <w:rFonts w:cs="Arial"/>
          <w:lang w:eastAsia="en-GB"/>
        </w:rPr>
      </w:pPr>
      <w:r w:rsidRPr="00D51062">
        <w:rPr>
          <w:rFonts w:cs="Arial"/>
          <w:lang w:eastAsia="en-GB"/>
        </w:rPr>
        <w:fldChar w:fldCharType="begin"/>
      </w:r>
      <w:r w:rsidR="00273DB6" w:rsidRPr="00D51062">
        <w:rPr>
          <w:rFonts w:cs="Arial"/>
          <w:lang w:eastAsia="en-GB"/>
        </w:rPr>
        <w:instrText xml:space="preserve"> AUTONUM  </w:instrText>
      </w:r>
      <w:r w:rsidRPr="00D51062">
        <w:rPr>
          <w:rFonts w:cs="Arial"/>
          <w:lang w:eastAsia="en-GB"/>
        </w:rPr>
        <w:fldChar w:fldCharType="end"/>
      </w:r>
      <w:r w:rsidR="00273DB6" w:rsidRPr="00D51062">
        <w:rPr>
          <w:rFonts w:cs="Arial"/>
          <w:lang w:eastAsia="en-GB"/>
        </w:rPr>
        <w:tab/>
      </w:r>
      <w:r w:rsidR="001C323F" w:rsidRPr="001C323F">
        <w:rPr>
          <w:rFonts w:cs="Arial"/>
          <w:lang w:eastAsia="en-GB"/>
        </w:rPr>
        <w:t>El TWA asistió a una ponencia</w:t>
      </w:r>
      <w:r w:rsidR="007829E4">
        <w:rPr>
          <w:rFonts w:cs="Arial"/>
          <w:lang w:eastAsia="en-GB"/>
        </w:rPr>
        <w:t xml:space="preserve">, </w:t>
      </w:r>
      <w:r w:rsidR="001C323F" w:rsidRPr="001C323F">
        <w:rPr>
          <w:rFonts w:cs="Arial"/>
          <w:lang w:eastAsia="en-GB"/>
        </w:rPr>
        <w:t>a cargo de un experto de Italia</w:t>
      </w:r>
      <w:r w:rsidR="007829E4">
        <w:rPr>
          <w:rFonts w:cs="Arial"/>
          <w:lang w:eastAsia="en-GB"/>
        </w:rPr>
        <w:t xml:space="preserve">, </w:t>
      </w:r>
      <w:r w:rsidR="001C323F" w:rsidRPr="001C323F">
        <w:rPr>
          <w:rFonts w:cs="Arial"/>
          <w:lang w:eastAsia="en-GB"/>
        </w:rPr>
        <w:t>titulada “Interacción genotipo-medio ambiente</w:t>
      </w:r>
      <w:r w:rsidR="007829E4">
        <w:rPr>
          <w:rFonts w:cs="Arial"/>
          <w:lang w:eastAsia="en-GB"/>
        </w:rPr>
        <w:t xml:space="preserve">, </w:t>
      </w:r>
      <w:r w:rsidR="001C323F" w:rsidRPr="001C323F">
        <w:rPr>
          <w:rFonts w:cs="Arial"/>
          <w:lang w:eastAsia="en-GB"/>
        </w:rPr>
        <w:t>exámenes DHE y transformación de los datos en notas”.</w:t>
      </w:r>
      <w:r w:rsidR="00273DB6" w:rsidRPr="00D51062">
        <w:rPr>
          <w:rFonts w:cs="Arial"/>
          <w:lang w:eastAsia="en-GB"/>
        </w:rPr>
        <w:t xml:space="preserve">  </w:t>
      </w:r>
      <w:r w:rsidR="001C323F" w:rsidRPr="001C323F">
        <w:rPr>
          <w:rFonts w:cs="Arial"/>
          <w:lang w:eastAsia="en-GB"/>
        </w:rPr>
        <w:t>El TWA convino en la pertinencia de la información suministrada respecto de la interacción entre el genotipo y el medio ambiente</w:t>
      </w:r>
      <w:r w:rsidR="007829E4">
        <w:rPr>
          <w:rFonts w:cs="Arial"/>
          <w:lang w:eastAsia="en-GB"/>
        </w:rPr>
        <w:t xml:space="preserve">, </w:t>
      </w:r>
      <w:r w:rsidR="001C323F" w:rsidRPr="001C323F">
        <w:rPr>
          <w:rFonts w:cs="Arial"/>
          <w:lang w:eastAsia="en-GB"/>
        </w:rPr>
        <w:t>con vistas a una posible futura orientación sobre la transformación de observaciones en notas y a la elaboración de descripciones de variedades.</w:t>
      </w:r>
    </w:p>
    <w:p w:rsidR="00273DB6" w:rsidRPr="00D51062" w:rsidRDefault="00273DB6" w:rsidP="00273DB6">
      <w:pPr>
        <w:rPr>
          <w:lang w:eastAsia="en-GB"/>
        </w:rPr>
      </w:pPr>
    </w:p>
    <w:p w:rsidR="00273DB6" w:rsidRPr="00D51062" w:rsidRDefault="007D43C5" w:rsidP="00273DB6">
      <w:pPr>
        <w:rPr>
          <w:rFonts w:cs="Arial"/>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1C323F" w:rsidRPr="001C323F">
        <w:rPr>
          <w:rFonts w:cs="Arial"/>
        </w:rPr>
        <w:t>Con respecto a la revisión del documento TGP/10 “Examen de la homogeneidad”</w:t>
      </w:r>
      <w:r w:rsidR="007829E4">
        <w:rPr>
          <w:rFonts w:cs="Arial"/>
        </w:rPr>
        <w:t xml:space="preserve">, </w:t>
      </w:r>
      <w:r w:rsidR="001C323F" w:rsidRPr="001C323F">
        <w:rPr>
          <w:rFonts w:cs="Arial"/>
        </w:rPr>
        <w:t>el TWA escuchó una ponencia titulada “Evaluación de la homogeneidad sobre la base de las plantas fuera de tipo mediante la observación de más de un ciclo de cultivo.  Preparación de orientaciones”</w:t>
      </w:r>
      <w:r w:rsidR="007829E4">
        <w:rPr>
          <w:rFonts w:cs="Arial"/>
        </w:rPr>
        <w:t xml:space="preserve">, </w:t>
      </w:r>
      <w:r w:rsidR="001C323F" w:rsidRPr="001C323F">
        <w:rPr>
          <w:rFonts w:cs="Arial"/>
        </w:rPr>
        <w:t>a cargo de expertos de Alemania y el Reino Unido llevada a cabo por medios electrónicos.</w:t>
      </w:r>
      <w:r w:rsidR="00273DB6" w:rsidRPr="00D51062">
        <w:rPr>
          <w:rFonts w:cs="Arial"/>
          <w:lang w:eastAsia="en-GB"/>
        </w:rPr>
        <w:t xml:space="preserve">  </w:t>
      </w:r>
      <w:r w:rsidR="001C323F" w:rsidRPr="001C323F">
        <w:rPr>
          <w:rFonts w:cs="Arial"/>
          <w:snapToGrid w:val="0"/>
        </w:rPr>
        <w:t>El TWA también asistió a otra ponencia titulada “Experiencia práctica en la evaluación de la homogeneidad sobre la base de las plantas fuera de tipo en colza oleaginosa y coliflor” a cargo de un experto de Francia.</w:t>
      </w:r>
      <w:r w:rsidR="00273DB6" w:rsidRPr="00D51062">
        <w:rPr>
          <w:rFonts w:cs="Arial"/>
          <w:lang w:eastAsia="en-GB"/>
        </w:rPr>
        <w:t xml:space="preserve"> </w:t>
      </w:r>
      <w:r w:rsidR="0019398D" w:rsidRPr="0019398D">
        <w:rPr>
          <w:rFonts w:cs="Arial"/>
          <w:snapToGrid w:val="0"/>
        </w:rPr>
        <w:t>El TWA</w:t>
      </w:r>
      <w:r w:rsidR="007829E4">
        <w:rPr>
          <w:rFonts w:cs="Arial"/>
          <w:snapToGrid w:val="0"/>
        </w:rPr>
        <w:t xml:space="preserve">, </w:t>
      </w:r>
      <w:r w:rsidR="0019398D" w:rsidRPr="0019398D">
        <w:rPr>
          <w:rFonts w:cs="Arial"/>
          <w:snapToGrid w:val="0"/>
        </w:rPr>
        <w:t>en colaboración con expertos del TWC por medio de una videoconferencia</w:t>
      </w:r>
      <w:r w:rsidR="007829E4">
        <w:rPr>
          <w:rFonts w:cs="Arial"/>
          <w:snapToGrid w:val="0"/>
        </w:rPr>
        <w:t xml:space="preserve">, </w:t>
      </w:r>
      <w:r w:rsidR="0019398D" w:rsidRPr="0019398D">
        <w:rPr>
          <w:rFonts w:cs="Arial"/>
          <w:snapToGrid w:val="0"/>
        </w:rPr>
        <w:t>examinó el proyecto de orientación</w:t>
      </w:r>
      <w:r w:rsidR="007829E4">
        <w:rPr>
          <w:rFonts w:cs="Arial"/>
          <w:snapToGrid w:val="0"/>
        </w:rPr>
        <w:t xml:space="preserve">, </w:t>
      </w:r>
      <w:r w:rsidR="0019398D" w:rsidRPr="0019398D">
        <w:rPr>
          <w:rFonts w:cs="Arial"/>
          <w:snapToGrid w:val="0"/>
        </w:rPr>
        <w:t>para su inclusión en una futura revisión del documento TGP/10</w:t>
      </w:r>
      <w:r w:rsidR="007829E4">
        <w:rPr>
          <w:rFonts w:cs="Arial"/>
          <w:snapToGrid w:val="0"/>
        </w:rPr>
        <w:t xml:space="preserve">, </w:t>
      </w:r>
      <w:r w:rsidR="0019398D" w:rsidRPr="0019398D">
        <w:rPr>
          <w:rFonts w:cs="Arial"/>
          <w:snapToGrid w:val="0"/>
        </w:rPr>
        <w:t>sin olvidar el nuevo método propuesto</w:t>
      </w:r>
      <w:r w:rsidR="007829E4">
        <w:rPr>
          <w:rFonts w:cs="Arial"/>
          <w:snapToGrid w:val="0"/>
        </w:rPr>
        <w:t xml:space="preserve">, </w:t>
      </w:r>
      <w:r w:rsidR="0019398D" w:rsidRPr="0019398D">
        <w:rPr>
          <w:rFonts w:cs="Arial"/>
          <w:snapToGrid w:val="0"/>
        </w:rPr>
        <w:t>el “Método 3</w:t>
      </w:r>
      <w:r w:rsidR="007829E4">
        <w:rPr>
          <w:rFonts w:cs="Arial"/>
          <w:snapToGrid w:val="0"/>
        </w:rPr>
        <w:t xml:space="preserve">:  </w:t>
      </w:r>
      <w:r w:rsidR="0019398D" w:rsidRPr="0019398D">
        <w:rPr>
          <w:rFonts w:cs="Arial"/>
          <w:snapToGrid w:val="0"/>
        </w:rPr>
        <w:t>Combinar los resultados de dos ciclos de cultivo”.</w:t>
      </w:r>
      <w:r w:rsidR="00273DB6" w:rsidRPr="00D51062">
        <w:rPr>
          <w:rFonts w:cs="Arial"/>
          <w:snapToGrid w:val="0"/>
        </w:rPr>
        <w:t xml:space="preserve">  </w:t>
      </w:r>
      <w:r w:rsidR="0019398D" w:rsidRPr="0019398D">
        <w:rPr>
          <w:rFonts w:cs="Arial"/>
        </w:rPr>
        <w:t>El TWA convino con el TWC en que la orientación debe proporcionar criterios de decisión sobre el método más adecuado</w:t>
      </w:r>
      <w:r w:rsidR="007829E4">
        <w:rPr>
          <w:rFonts w:cs="Arial"/>
        </w:rPr>
        <w:t xml:space="preserve">, </w:t>
      </w:r>
      <w:r w:rsidR="0019398D" w:rsidRPr="0019398D">
        <w:rPr>
          <w:rFonts w:cs="Arial"/>
        </w:rPr>
        <w:t>basados en la experiencia de los miembros.</w:t>
      </w:r>
      <w:r w:rsidR="00273DB6" w:rsidRPr="00D51062">
        <w:rPr>
          <w:rFonts w:cs="Arial"/>
        </w:rPr>
        <w:t xml:space="preserve">  </w:t>
      </w:r>
      <w:r w:rsidR="0019398D" w:rsidRPr="0019398D">
        <w:rPr>
          <w:rFonts w:cs="Arial"/>
        </w:rPr>
        <w:t>El TWA convino en facilitar ejemplos en los que se compare el efecto que el método</w:t>
      </w:r>
      <w:r w:rsidR="007829E4">
        <w:rPr>
          <w:rFonts w:cs="Arial"/>
        </w:rPr>
        <w:t> </w:t>
      </w:r>
      <w:r w:rsidR="007829E4" w:rsidRPr="0019398D">
        <w:rPr>
          <w:rFonts w:cs="Arial"/>
        </w:rPr>
        <w:t>3</w:t>
      </w:r>
      <w:r w:rsidR="0019398D" w:rsidRPr="0019398D">
        <w:rPr>
          <w:rFonts w:cs="Arial"/>
        </w:rPr>
        <w:t xml:space="preserve"> y otros métodos puedan tener sobre las decisiones de homogeneidad.</w:t>
      </w:r>
      <w:r w:rsidR="00273DB6" w:rsidRPr="00D51062">
        <w:rPr>
          <w:rFonts w:cs="Arial"/>
        </w:rPr>
        <w:t xml:space="preserve">  </w:t>
      </w:r>
      <w:r w:rsidR="0019398D" w:rsidRPr="0019398D">
        <w:rPr>
          <w:rFonts w:cs="Arial"/>
        </w:rPr>
        <w:t>El TWA acogió con agrado los ofrecimientos de Alemania</w:t>
      </w:r>
      <w:r w:rsidR="007829E4">
        <w:rPr>
          <w:rFonts w:cs="Arial"/>
        </w:rPr>
        <w:t xml:space="preserve">, </w:t>
      </w:r>
      <w:r w:rsidR="0019398D" w:rsidRPr="0019398D">
        <w:rPr>
          <w:rFonts w:cs="Arial"/>
        </w:rPr>
        <w:t>Francia</w:t>
      </w:r>
      <w:r w:rsidR="007829E4">
        <w:rPr>
          <w:rFonts w:cs="Arial"/>
        </w:rPr>
        <w:t xml:space="preserve">, </w:t>
      </w:r>
      <w:r w:rsidR="0019398D" w:rsidRPr="0019398D">
        <w:rPr>
          <w:rFonts w:cs="Arial"/>
        </w:rPr>
        <w:t>los Países Bajos</w:t>
      </w:r>
      <w:r w:rsidR="007829E4">
        <w:rPr>
          <w:rFonts w:cs="Arial"/>
        </w:rPr>
        <w:t xml:space="preserve">, </w:t>
      </w:r>
      <w:r w:rsidR="0019398D" w:rsidRPr="0019398D">
        <w:rPr>
          <w:rFonts w:cs="Arial"/>
        </w:rPr>
        <w:t>Polonia y el Reino Unido de facilitar ejemplos que han de presentarse en su cuadragésima sexta reunión.</w:t>
      </w:r>
    </w:p>
    <w:p w:rsidR="00273DB6" w:rsidRPr="00D51062" w:rsidRDefault="00273DB6" w:rsidP="00273DB6">
      <w:pPr>
        <w:rPr>
          <w:rFonts w:cs="Arial"/>
        </w:rPr>
      </w:pPr>
    </w:p>
    <w:p w:rsidR="00273DB6" w:rsidRPr="00D51062" w:rsidRDefault="007D43C5" w:rsidP="00273DB6">
      <w:pPr>
        <w:rPr>
          <w:rFonts w:cs="Arial"/>
          <w:snapToGrid w:val="0"/>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335F9F" w:rsidRPr="00335F9F">
        <w:rPr>
          <w:rFonts w:cs="Arial"/>
        </w:rPr>
        <w:t>El TWA convino con el TWC en la importancia de determinar si las diferencias entre ciclos en cuanto al número de plantas fuera de tipo se deben a motivos biológicos o a las variaciones en la toma de muestras y convino en que no se deben combinar los resultados de los ciclos de cultivo en los que se utilicen diferentes lotes de material vegetal.</w:t>
      </w:r>
      <w:r w:rsidR="00273DB6" w:rsidRPr="00D51062">
        <w:rPr>
          <w:rFonts w:cs="Arial"/>
        </w:rPr>
        <w:t xml:space="preserve">  </w:t>
      </w:r>
      <w:r w:rsidR="00335F9F" w:rsidRPr="00335F9F">
        <w:rPr>
          <w:rFonts w:cs="Arial"/>
        </w:rPr>
        <w:t>El TWA convino con el TWV que</w:t>
      </w:r>
      <w:r w:rsidR="007829E4">
        <w:rPr>
          <w:rFonts w:cs="Arial"/>
        </w:rPr>
        <w:t xml:space="preserve">, </w:t>
      </w:r>
      <w:r w:rsidR="00335F9F" w:rsidRPr="00335F9F">
        <w:rPr>
          <w:rFonts w:cs="Arial"/>
        </w:rPr>
        <w:t>junto con la revisión del documento TGP/10 en lo que se refiere a la “Evaluación de la homogeneidad sobre la base de las plantas fuera de tipo mediante la observación de más de un ciclo de cultivo o mediante la observación de submuestras”</w:t>
      </w:r>
      <w:r w:rsidR="007829E4">
        <w:rPr>
          <w:rFonts w:cs="Arial"/>
        </w:rPr>
        <w:t xml:space="preserve">, </w:t>
      </w:r>
      <w:r w:rsidR="00335F9F" w:rsidRPr="00335F9F">
        <w:rPr>
          <w:rFonts w:cs="Arial"/>
        </w:rPr>
        <w:t>sería importante revisar la orientación que figura en el documento TGP/8</w:t>
      </w:r>
      <w:r w:rsidR="007829E4">
        <w:rPr>
          <w:rFonts w:cs="Arial"/>
        </w:rPr>
        <w:t xml:space="preserve">:  </w:t>
      </w:r>
      <w:r w:rsidR="00335F9F" w:rsidRPr="00335F9F">
        <w:rPr>
          <w:rFonts w:cs="Arial"/>
        </w:rPr>
        <w:t>parte II</w:t>
      </w:r>
      <w:r w:rsidR="007829E4">
        <w:rPr>
          <w:rFonts w:cs="Arial"/>
        </w:rPr>
        <w:t xml:space="preserve">:  </w:t>
      </w:r>
      <w:r w:rsidR="007829E4" w:rsidRPr="00335F9F">
        <w:rPr>
          <w:rFonts w:cs="Arial"/>
        </w:rPr>
        <w:t>8</w:t>
      </w:r>
      <w:r w:rsidR="007829E4">
        <w:rPr>
          <w:rFonts w:cs="Arial"/>
        </w:rPr>
        <w:t xml:space="preserve">:  </w:t>
      </w:r>
      <w:r w:rsidR="00335F9F" w:rsidRPr="00335F9F">
        <w:rPr>
          <w:rFonts w:cs="Arial"/>
        </w:rPr>
        <w:t>“Método de evaluación de la homogeneidad sobre la base de las plantas fuera de tipo”</w:t>
      </w:r>
      <w:r w:rsidR="007829E4">
        <w:rPr>
          <w:rFonts w:cs="Arial"/>
        </w:rPr>
        <w:t xml:space="preserve">, </w:t>
      </w:r>
      <w:r w:rsidR="00335F9F" w:rsidRPr="00335F9F">
        <w:rPr>
          <w:rFonts w:cs="Arial"/>
        </w:rPr>
        <w:t>sección</w:t>
      </w:r>
      <w:r w:rsidR="007829E4">
        <w:rPr>
          <w:rFonts w:cs="Arial"/>
        </w:rPr>
        <w:t> </w:t>
      </w:r>
      <w:r w:rsidR="007829E4" w:rsidRPr="00335F9F">
        <w:rPr>
          <w:rFonts w:cs="Arial"/>
        </w:rPr>
        <w:t>8</w:t>
      </w:r>
      <w:r w:rsidR="00335F9F" w:rsidRPr="00335F9F">
        <w:rPr>
          <w:rFonts w:cs="Arial"/>
        </w:rPr>
        <w:t>.1.7 “Método aplicado a más de un examen único (anual)”</w:t>
      </w:r>
      <w:r w:rsidR="007829E4">
        <w:rPr>
          <w:rFonts w:cs="Arial"/>
        </w:rPr>
        <w:t xml:space="preserve">, </w:t>
      </w:r>
      <w:r w:rsidR="00335F9F" w:rsidRPr="00335F9F">
        <w:rPr>
          <w:rFonts w:cs="Arial"/>
        </w:rPr>
        <w:t>porque no se corresponde con la práctica en los miembros de la Unión.</w:t>
      </w:r>
    </w:p>
    <w:p w:rsidR="00273DB6" w:rsidRPr="00D51062" w:rsidRDefault="00273DB6" w:rsidP="00273DB6">
      <w:pPr>
        <w:rPr>
          <w:rFonts w:cs="Arial"/>
          <w:snapToGrid w:val="0"/>
        </w:rPr>
      </w:pPr>
    </w:p>
    <w:p w:rsidR="00273DB6" w:rsidRPr="00D51062" w:rsidRDefault="007D43C5" w:rsidP="00273DB6">
      <w:pPr>
        <w:rPr>
          <w:rFonts w:cs="Arial"/>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335F9F" w:rsidRPr="00EF0218">
        <w:rPr>
          <w:rFonts w:cs="Arial"/>
        </w:rPr>
        <w:t>En cuanto a los asuntos relativos a las descripciones de variedades</w:t>
      </w:r>
      <w:r w:rsidR="007829E4">
        <w:rPr>
          <w:rFonts w:cs="Arial"/>
        </w:rPr>
        <w:t xml:space="preserve">, </w:t>
      </w:r>
      <w:r w:rsidR="00335F9F" w:rsidRPr="00EF0218">
        <w:rPr>
          <w:rFonts w:cs="Arial"/>
        </w:rPr>
        <w:t>el TWA convino en que la descripción de una variedad vegetal tenía limitaciones debido a su relación con las circunstancias del examen DHE;  pero estuvo de acuerdo en que era un elemento importante del sistema de protección de variedades.</w:t>
      </w:r>
      <w:r w:rsidR="00273DB6" w:rsidRPr="00D51062">
        <w:rPr>
          <w:rFonts w:cs="Arial"/>
        </w:rPr>
        <w:t xml:space="preserve">  </w:t>
      </w:r>
      <w:r w:rsidR="00EF0218" w:rsidRPr="00EF0218">
        <w:rPr>
          <w:rFonts w:cs="Arial"/>
        </w:rPr>
        <w:t>Australia</w:t>
      </w:r>
      <w:r w:rsidR="007829E4">
        <w:rPr>
          <w:rFonts w:cs="Arial"/>
        </w:rPr>
        <w:t xml:space="preserve">, </w:t>
      </w:r>
      <w:r w:rsidR="00EF0218" w:rsidRPr="00EF0218">
        <w:rPr>
          <w:rFonts w:cs="Arial"/>
        </w:rPr>
        <w:t>la Unión Europea y Alemania refirieron sus experiencias en materia de descripciones de variedades en sendas ponencias.</w:t>
      </w:r>
      <w:r w:rsidR="00273DB6" w:rsidRPr="00D51062">
        <w:rPr>
          <w:rFonts w:cs="Arial"/>
        </w:rPr>
        <w:t xml:space="preserve"> </w:t>
      </w:r>
    </w:p>
    <w:p w:rsidR="00273DB6" w:rsidRPr="00D51062" w:rsidRDefault="00273DB6" w:rsidP="00273DB6">
      <w:pPr>
        <w:ind w:right="-58"/>
        <w:rPr>
          <w:rFonts w:cs="Arial"/>
          <w:color w:val="000000"/>
        </w:rPr>
      </w:pPr>
    </w:p>
    <w:p w:rsidR="00273DB6" w:rsidRPr="00D51062" w:rsidRDefault="007D43C5" w:rsidP="00273DB6">
      <w:pPr>
        <w:ind w:right="-58"/>
        <w:rPr>
          <w:rFonts w:cs="Arial"/>
        </w:rPr>
      </w:pPr>
      <w:r w:rsidRPr="00D51062">
        <w:rPr>
          <w:rFonts w:cs="Arial"/>
          <w:color w:val="000000"/>
        </w:rPr>
        <w:fldChar w:fldCharType="begin"/>
      </w:r>
      <w:r w:rsidR="00273DB6" w:rsidRPr="00D51062">
        <w:rPr>
          <w:rFonts w:cs="Arial"/>
          <w:color w:val="000000"/>
        </w:rPr>
        <w:instrText xml:space="preserve"> AUTONUM  </w:instrText>
      </w:r>
      <w:r w:rsidRPr="00D51062">
        <w:rPr>
          <w:rFonts w:cs="Arial"/>
          <w:color w:val="000000"/>
        </w:rPr>
        <w:fldChar w:fldCharType="end"/>
      </w:r>
      <w:r w:rsidR="00273DB6" w:rsidRPr="00D51062">
        <w:rPr>
          <w:rFonts w:cs="Arial"/>
          <w:color w:val="000000"/>
        </w:rPr>
        <w:tab/>
      </w:r>
      <w:r w:rsidR="00EF0218" w:rsidRPr="00EF0218">
        <w:rPr>
          <w:rFonts w:cs="Arial"/>
          <w:color w:val="000000"/>
        </w:rPr>
        <w:t>Con respecto al número de ciclos de cultivo</w:t>
      </w:r>
      <w:r w:rsidR="007829E4">
        <w:rPr>
          <w:rFonts w:cs="Arial"/>
          <w:color w:val="000000"/>
        </w:rPr>
        <w:t xml:space="preserve">, </w:t>
      </w:r>
      <w:r w:rsidR="00EF0218" w:rsidRPr="00EF0218">
        <w:rPr>
          <w:rFonts w:cs="Arial"/>
          <w:color w:val="000000"/>
        </w:rPr>
        <w:t>el TWA asistió a una ponencia a cargo de un experto de los Países Bajos y acogió con agrado el ofrecimiento de Alemania</w:t>
      </w:r>
      <w:r w:rsidR="007829E4">
        <w:rPr>
          <w:rFonts w:cs="Arial"/>
          <w:color w:val="000000"/>
        </w:rPr>
        <w:t xml:space="preserve">, </w:t>
      </w:r>
      <w:r w:rsidR="00EF0218" w:rsidRPr="00EF0218">
        <w:rPr>
          <w:rFonts w:cs="Arial"/>
          <w:color w:val="000000"/>
        </w:rPr>
        <w:t>Francia</w:t>
      </w:r>
      <w:r w:rsidR="007829E4">
        <w:rPr>
          <w:rFonts w:cs="Arial"/>
          <w:color w:val="000000"/>
        </w:rPr>
        <w:t xml:space="preserve">, </w:t>
      </w:r>
      <w:r w:rsidR="00EF0218" w:rsidRPr="00EF0218">
        <w:rPr>
          <w:rFonts w:cs="Arial"/>
          <w:color w:val="000000"/>
        </w:rPr>
        <w:t>los Países Bajos</w:t>
      </w:r>
      <w:r w:rsidR="007829E4">
        <w:rPr>
          <w:rFonts w:cs="Arial"/>
          <w:color w:val="000000"/>
        </w:rPr>
        <w:t xml:space="preserve">, </w:t>
      </w:r>
      <w:r w:rsidR="00EF0218" w:rsidRPr="00EF0218">
        <w:rPr>
          <w:rFonts w:cs="Arial"/>
          <w:color w:val="000000"/>
        </w:rPr>
        <w:t>Polonia y el Reino Unido de simular el impacto de la utilización de diferentes números de ciclos de cultivo en las decisiones relativas a la DHE y la calidad de las descripciones de variedades empleando datos reales y de informar de sus resultados al TWA en su cuadragésima sexta reunión.</w:t>
      </w:r>
    </w:p>
    <w:p w:rsidR="00273DB6" w:rsidRPr="00D51062" w:rsidRDefault="00273DB6" w:rsidP="00273DB6">
      <w:pPr>
        <w:ind w:right="-58"/>
        <w:rPr>
          <w:rFonts w:cs="Arial"/>
        </w:rPr>
      </w:pPr>
    </w:p>
    <w:p w:rsidR="00273DB6" w:rsidRPr="00D51062" w:rsidRDefault="007D43C5" w:rsidP="00273DB6">
      <w:pPr>
        <w:contextualSpacing/>
        <w:rPr>
          <w:rFonts w:cs="Arial"/>
          <w:color w:val="000000"/>
        </w:rPr>
      </w:pPr>
      <w:r w:rsidRPr="00D51062">
        <w:rPr>
          <w:rFonts w:cs="Arial"/>
          <w:lang w:eastAsia="en-GB"/>
        </w:rPr>
        <w:fldChar w:fldCharType="begin"/>
      </w:r>
      <w:r w:rsidR="00273DB6" w:rsidRPr="00D51062">
        <w:rPr>
          <w:rFonts w:cs="Arial"/>
          <w:lang w:eastAsia="en-GB"/>
        </w:rPr>
        <w:instrText xml:space="preserve"> AUTONUM  </w:instrText>
      </w:r>
      <w:r w:rsidRPr="00D51062">
        <w:rPr>
          <w:rFonts w:cs="Arial"/>
          <w:lang w:eastAsia="en-GB"/>
        </w:rPr>
        <w:fldChar w:fldCharType="end"/>
      </w:r>
      <w:r w:rsidR="00273DB6" w:rsidRPr="00D51062">
        <w:rPr>
          <w:rFonts w:cs="Arial"/>
          <w:lang w:eastAsia="en-GB"/>
        </w:rPr>
        <w:tab/>
      </w:r>
      <w:r w:rsidR="00EF0218" w:rsidRPr="00EF0218">
        <w:rPr>
          <w:rFonts w:cs="Arial"/>
          <w:lang w:eastAsia="en-GB"/>
        </w:rPr>
        <w:t xml:space="preserve">El TWA asistió a una ponencia titulada “Análisis del efecto de los organismos endófitos en el fenotipo de variedades de </w:t>
      </w:r>
      <w:r w:rsidR="00EF0218" w:rsidRPr="00EF0218">
        <w:rPr>
          <w:rFonts w:cs="Arial"/>
          <w:i/>
          <w:lang w:eastAsia="en-GB"/>
        </w:rPr>
        <w:t>Lolium perenne</w:t>
      </w:r>
      <w:r w:rsidR="00EF0218" w:rsidRPr="00EF0218">
        <w:rPr>
          <w:rFonts w:cs="Arial"/>
          <w:lang w:eastAsia="en-GB"/>
        </w:rPr>
        <w:t xml:space="preserve"> y </w:t>
      </w:r>
      <w:r w:rsidR="00EF0218" w:rsidRPr="00EF0218">
        <w:rPr>
          <w:rFonts w:cs="Arial"/>
          <w:i/>
          <w:lang w:eastAsia="en-GB"/>
        </w:rPr>
        <w:t>Festuca arundinacea</w:t>
      </w:r>
      <w:r w:rsidR="00EF0218" w:rsidRPr="00EF0218">
        <w:rPr>
          <w:rFonts w:cs="Arial"/>
          <w:lang w:eastAsia="en-GB"/>
        </w:rPr>
        <w:t>” a cargo de un experto de la Unión Europea (OCVV).</w:t>
      </w:r>
      <w:r w:rsidR="00273DB6" w:rsidRPr="00D51062">
        <w:rPr>
          <w:rFonts w:eastAsiaTheme="minorEastAsia" w:cs="Arial"/>
          <w:lang w:eastAsia="ja-JP"/>
        </w:rPr>
        <w:t xml:space="preserve">  </w:t>
      </w:r>
      <w:r w:rsidR="00EF0218" w:rsidRPr="00EF0218">
        <w:rPr>
          <w:rFonts w:cs="Arial"/>
          <w:snapToGrid w:val="0"/>
          <w:lang w:eastAsia="ja-JP"/>
        </w:rPr>
        <w:t>El TWA tomó nota de que no había habido interacción entre los organismos endófitos estudiados y la expresión de los caracteres DHE en los cultivos estudiados.</w:t>
      </w:r>
      <w:r w:rsidR="00273DB6" w:rsidRPr="00D51062">
        <w:rPr>
          <w:rFonts w:cs="Arial"/>
        </w:rPr>
        <w:t xml:space="preserve">  </w:t>
      </w:r>
      <w:r w:rsidR="00EF0218" w:rsidRPr="00EF0218">
        <w:rPr>
          <w:rFonts w:cs="Arial"/>
        </w:rPr>
        <w:t>El TWA convino en que no sería posible hacer una recomendación general sobre el efecto de los organismos endófitos en los caracteres DHE debido a la posibilidad de una interacción positiva entre otros organismos endófitos y la expresión de dichos caracteres.</w:t>
      </w:r>
      <w:r w:rsidR="00273DB6" w:rsidRPr="00D51062">
        <w:rPr>
          <w:rFonts w:cs="Arial"/>
        </w:rPr>
        <w:t xml:space="preserve">  </w:t>
      </w:r>
      <w:r w:rsidR="00EF0218" w:rsidRPr="00EF0218">
        <w:rPr>
          <w:rFonts w:cs="Arial"/>
          <w:snapToGrid w:val="0"/>
          <w:lang w:eastAsia="ja-JP"/>
        </w:rPr>
        <w:t>El TWA tomó nota de que Nueva Zelandia examinaría el requisito de proporcionar material vegetal sin organismos endófitos para el examen DHE y agradeció su ofrecimiento de presentar una ponencia sobre el resultado de los debates en la reunión de</w:t>
      </w:r>
      <w:r w:rsidR="007829E4">
        <w:rPr>
          <w:rFonts w:cs="Arial"/>
          <w:snapToGrid w:val="0"/>
          <w:lang w:eastAsia="ja-JP"/>
        </w:rPr>
        <w:t> </w:t>
      </w:r>
      <w:r w:rsidR="007829E4" w:rsidRPr="00EF0218">
        <w:rPr>
          <w:rFonts w:cs="Arial"/>
          <w:snapToGrid w:val="0"/>
          <w:lang w:eastAsia="ja-JP"/>
        </w:rPr>
        <w:t>2</w:t>
      </w:r>
      <w:r w:rsidR="00EF0218" w:rsidRPr="00EF0218">
        <w:rPr>
          <w:rFonts w:cs="Arial"/>
          <w:snapToGrid w:val="0"/>
          <w:lang w:eastAsia="ja-JP"/>
        </w:rPr>
        <w:t>017 de este grupo de trabajo.</w:t>
      </w:r>
      <w:r w:rsidR="00273DB6" w:rsidRPr="00D51062">
        <w:rPr>
          <w:rFonts w:cs="Arial"/>
        </w:rPr>
        <w:t xml:space="preserve">  </w:t>
      </w:r>
    </w:p>
    <w:p w:rsidR="00273DB6" w:rsidRPr="00D51062" w:rsidRDefault="00273DB6" w:rsidP="00273DB6">
      <w:pPr>
        <w:contextualSpacing/>
        <w:rPr>
          <w:rFonts w:cs="Arial"/>
          <w:color w:val="000000"/>
        </w:rPr>
      </w:pPr>
    </w:p>
    <w:p w:rsidR="00273DB6" w:rsidRPr="00D51062" w:rsidRDefault="007D43C5" w:rsidP="00273DB6">
      <w:pPr>
        <w:contextualSpacing/>
        <w:rPr>
          <w:rFonts w:cs="Arial"/>
          <w:color w:val="000000"/>
        </w:rPr>
      </w:pPr>
      <w:r w:rsidRPr="00D51062">
        <w:rPr>
          <w:rFonts w:cs="Arial"/>
          <w:color w:val="000000"/>
        </w:rPr>
        <w:fldChar w:fldCharType="begin"/>
      </w:r>
      <w:r w:rsidR="00273DB6" w:rsidRPr="00D51062">
        <w:rPr>
          <w:rFonts w:cs="Arial"/>
          <w:color w:val="000000"/>
        </w:rPr>
        <w:instrText xml:space="preserve"> AUTONUM  </w:instrText>
      </w:r>
      <w:r w:rsidRPr="00D51062">
        <w:rPr>
          <w:rFonts w:cs="Arial"/>
          <w:color w:val="000000"/>
        </w:rPr>
        <w:fldChar w:fldCharType="end"/>
      </w:r>
      <w:r w:rsidR="00273DB6" w:rsidRPr="00D51062">
        <w:rPr>
          <w:rFonts w:cs="Arial"/>
          <w:color w:val="000000"/>
        </w:rPr>
        <w:tab/>
      </w:r>
      <w:r w:rsidR="00EF0218" w:rsidRPr="00EF0218">
        <w:rPr>
          <w:rFonts w:cs="Arial"/>
          <w:color w:val="000000"/>
        </w:rPr>
        <w:t>El TWA examinó los proyectos de directrices de examen de mandioca o yuca</w:t>
      </w:r>
      <w:r w:rsidR="007829E4">
        <w:rPr>
          <w:rFonts w:cs="Arial"/>
          <w:color w:val="000000"/>
        </w:rPr>
        <w:t xml:space="preserve">, </w:t>
      </w:r>
      <w:r w:rsidR="00EF0218" w:rsidRPr="00EF0218">
        <w:rPr>
          <w:rFonts w:cs="Arial"/>
          <w:i/>
          <w:color w:val="000000"/>
        </w:rPr>
        <w:t>Urochloa</w:t>
      </w:r>
      <w:r w:rsidR="007829E4">
        <w:rPr>
          <w:rFonts w:cs="Arial"/>
          <w:color w:val="000000"/>
        </w:rPr>
        <w:t xml:space="preserve">, </w:t>
      </w:r>
      <w:r w:rsidR="00EF0218" w:rsidRPr="00EF0218">
        <w:rPr>
          <w:rFonts w:cs="Arial"/>
          <w:color w:val="000000"/>
        </w:rPr>
        <w:t>cebada</w:t>
      </w:r>
      <w:r w:rsidR="007829E4">
        <w:rPr>
          <w:rFonts w:cs="Arial"/>
          <w:color w:val="000000"/>
        </w:rPr>
        <w:t xml:space="preserve">, </w:t>
      </w:r>
      <w:r w:rsidR="00EF0218" w:rsidRPr="00EF0218">
        <w:rPr>
          <w:rFonts w:cs="Arial"/>
          <w:color w:val="000000"/>
        </w:rPr>
        <w:t>ricino</w:t>
      </w:r>
      <w:r w:rsidR="007829E4">
        <w:rPr>
          <w:rFonts w:cs="Arial"/>
          <w:color w:val="000000"/>
        </w:rPr>
        <w:t xml:space="preserve">, </w:t>
      </w:r>
      <w:r w:rsidR="00EF0218" w:rsidRPr="00EF0218">
        <w:rPr>
          <w:rFonts w:cs="Arial"/>
          <w:color w:val="000000"/>
        </w:rPr>
        <w:t>algodón</w:t>
      </w:r>
      <w:r w:rsidR="007829E4">
        <w:rPr>
          <w:rFonts w:cs="Arial"/>
          <w:color w:val="000000"/>
        </w:rPr>
        <w:t xml:space="preserve">, </w:t>
      </w:r>
      <w:r w:rsidR="00EF0218" w:rsidRPr="00EF0218">
        <w:rPr>
          <w:rFonts w:cs="Arial"/>
          <w:i/>
          <w:color w:val="000000"/>
        </w:rPr>
        <w:t>Elytrigia</w:t>
      </w:r>
      <w:r w:rsidR="007829E4">
        <w:rPr>
          <w:rFonts w:cs="Arial"/>
          <w:color w:val="000000"/>
        </w:rPr>
        <w:t xml:space="preserve">, </w:t>
      </w:r>
      <w:r w:rsidR="00EF0218" w:rsidRPr="00EF0218">
        <w:rPr>
          <w:rFonts w:cs="Arial"/>
          <w:color w:val="000000"/>
        </w:rPr>
        <w:t>haboncillo</w:t>
      </w:r>
      <w:r w:rsidR="007829E4">
        <w:rPr>
          <w:rFonts w:cs="Arial"/>
          <w:color w:val="000000"/>
        </w:rPr>
        <w:t xml:space="preserve">, </w:t>
      </w:r>
      <w:r w:rsidR="00EF0218" w:rsidRPr="00EF0218">
        <w:rPr>
          <w:rFonts w:cs="Arial"/>
          <w:color w:val="000000"/>
        </w:rPr>
        <w:t>avena</w:t>
      </w:r>
      <w:r w:rsidR="007829E4">
        <w:rPr>
          <w:rFonts w:cs="Arial"/>
          <w:color w:val="000000"/>
        </w:rPr>
        <w:t xml:space="preserve">, </w:t>
      </w:r>
      <w:r w:rsidR="00EF0218" w:rsidRPr="00EF0218">
        <w:rPr>
          <w:rFonts w:cs="Arial"/>
          <w:color w:val="000000"/>
        </w:rPr>
        <w:t>quinoa</w:t>
      </w:r>
      <w:r w:rsidR="007829E4">
        <w:rPr>
          <w:rFonts w:cs="Arial"/>
          <w:color w:val="000000"/>
        </w:rPr>
        <w:t xml:space="preserve">, </w:t>
      </w:r>
      <w:r w:rsidR="00EF0218" w:rsidRPr="00EF0218">
        <w:rPr>
          <w:rFonts w:cs="Arial"/>
          <w:color w:val="000000"/>
        </w:rPr>
        <w:t>trébol rojo</w:t>
      </w:r>
      <w:r w:rsidR="007829E4">
        <w:rPr>
          <w:rFonts w:cs="Arial"/>
          <w:color w:val="000000"/>
        </w:rPr>
        <w:t xml:space="preserve">, </w:t>
      </w:r>
      <w:r w:rsidR="00EF0218" w:rsidRPr="00EF0218">
        <w:rPr>
          <w:rFonts w:cs="Arial"/>
          <w:color w:val="000000"/>
        </w:rPr>
        <w:t>phazelia</w:t>
      </w:r>
      <w:r w:rsidR="007829E4">
        <w:rPr>
          <w:rFonts w:cs="Arial"/>
          <w:color w:val="000000"/>
        </w:rPr>
        <w:t xml:space="preserve">, </w:t>
      </w:r>
      <w:r w:rsidR="00EF0218" w:rsidRPr="00EF0218">
        <w:rPr>
          <w:rFonts w:cs="Arial"/>
          <w:color w:val="000000"/>
        </w:rPr>
        <w:t>soja y trigo.</w:t>
      </w:r>
      <w:r w:rsidR="00273DB6" w:rsidRPr="00D51062">
        <w:rPr>
          <w:rFonts w:cs="Arial"/>
          <w:color w:val="000000"/>
        </w:rPr>
        <w:t xml:space="preserve"> </w:t>
      </w:r>
      <w:r w:rsidR="00EF0218">
        <w:rPr>
          <w:rFonts w:cs="Arial"/>
          <w:color w:val="000000"/>
        </w:rPr>
        <w:t xml:space="preserve"> </w:t>
      </w:r>
      <w:r w:rsidR="00985602" w:rsidRPr="00ED0EAE">
        <w:rPr>
          <w:rFonts w:cs="Arial"/>
        </w:rPr>
        <w:t>El TWA convino en que las directrices de examen de mandioca o yuca</w:t>
      </w:r>
      <w:r w:rsidR="007829E4">
        <w:rPr>
          <w:rFonts w:cs="Arial"/>
        </w:rPr>
        <w:t xml:space="preserve">, </w:t>
      </w:r>
      <w:r w:rsidR="00985602" w:rsidRPr="00ED0EAE">
        <w:rPr>
          <w:rFonts w:cs="Arial"/>
        </w:rPr>
        <w:t>phazelia</w:t>
      </w:r>
      <w:r w:rsidR="007829E4">
        <w:rPr>
          <w:rFonts w:cs="Arial"/>
        </w:rPr>
        <w:t xml:space="preserve">, </w:t>
      </w:r>
      <w:r w:rsidR="00985602" w:rsidRPr="00ED0EAE">
        <w:rPr>
          <w:rFonts w:cs="Arial"/>
          <w:i/>
        </w:rPr>
        <w:t>Urochloa</w:t>
      </w:r>
      <w:r w:rsidR="00985602" w:rsidRPr="00ED0EAE">
        <w:rPr>
          <w:rFonts w:cs="Arial"/>
        </w:rPr>
        <w:t xml:space="preserve"> y trigo se debían remitir al TC para su aprobación en su quincuagésima tercera sesión prevista en Ginebra del</w:t>
      </w:r>
      <w:r w:rsidR="007829E4">
        <w:rPr>
          <w:rFonts w:cs="Arial"/>
        </w:rPr>
        <w:t> </w:t>
      </w:r>
      <w:r w:rsidR="007829E4" w:rsidRPr="00ED0EAE">
        <w:rPr>
          <w:rFonts w:cs="Arial"/>
        </w:rPr>
        <w:t>3</w:t>
      </w:r>
      <w:r w:rsidR="00985602" w:rsidRPr="00ED0EAE">
        <w:rPr>
          <w:rFonts w:cs="Arial"/>
        </w:rPr>
        <w:t xml:space="preserve"> al</w:t>
      </w:r>
      <w:r w:rsidR="007829E4">
        <w:rPr>
          <w:rFonts w:cs="Arial"/>
        </w:rPr>
        <w:t> </w:t>
      </w:r>
      <w:r w:rsidR="007829E4" w:rsidRPr="00ED0EAE">
        <w:rPr>
          <w:rFonts w:cs="Arial"/>
        </w:rPr>
        <w:t>5</w:t>
      </w:r>
      <w:r w:rsidR="00985602" w:rsidRPr="00ED0EAE">
        <w:rPr>
          <w:rFonts w:cs="Arial"/>
        </w:rPr>
        <w:t xml:space="preserve"> de abril de</w:t>
      </w:r>
      <w:r w:rsidR="007829E4">
        <w:rPr>
          <w:rFonts w:cs="Arial"/>
        </w:rPr>
        <w:t> </w:t>
      </w:r>
      <w:r w:rsidR="007829E4" w:rsidRPr="00ED0EAE">
        <w:rPr>
          <w:rFonts w:cs="Arial"/>
        </w:rPr>
        <w:t>2</w:t>
      </w:r>
      <w:r w:rsidR="00985602" w:rsidRPr="00ED0EAE">
        <w:rPr>
          <w:rFonts w:cs="Arial"/>
        </w:rPr>
        <w:t>017.</w:t>
      </w:r>
    </w:p>
    <w:p w:rsidR="00273DB6" w:rsidRPr="00D51062" w:rsidRDefault="00273DB6" w:rsidP="00273DB6">
      <w:pPr>
        <w:contextualSpacing/>
        <w:rPr>
          <w:rFonts w:cs="Arial"/>
          <w:color w:val="000000"/>
        </w:rPr>
      </w:pPr>
    </w:p>
    <w:p w:rsidR="00273DB6" w:rsidRPr="00D51062" w:rsidRDefault="007D43C5" w:rsidP="00273DB6">
      <w:pPr>
        <w:contextualSpacing/>
        <w:rPr>
          <w:rFonts w:cs="Arial"/>
          <w:color w:val="000000"/>
        </w:rPr>
      </w:pPr>
      <w:r w:rsidRPr="00D51062">
        <w:rPr>
          <w:rFonts w:cs="Arial"/>
          <w:color w:val="000000"/>
        </w:rPr>
        <w:fldChar w:fldCharType="begin"/>
      </w:r>
      <w:r w:rsidR="00273DB6" w:rsidRPr="00D51062">
        <w:rPr>
          <w:rFonts w:cs="Arial"/>
          <w:color w:val="000000"/>
        </w:rPr>
        <w:instrText xml:space="preserve"> AUTONUM  </w:instrText>
      </w:r>
      <w:r w:rsidRPr="00D51062">
        <w:rPr>
          <w:rFonts w:cs="Arial"/>
          <w:color w:val="000000"/>
        </w:rPr>
        <w:fldChar w:fldCharType="end"/>
      </w:r>
      <w:r w:rsidR="00273DB6" w:rsidRPr="00D51062">
        <w:rPr>
          <w:rFonts w:cs="Arial"/>
          <w:color w:val="000000"/>
        </w:rPr>
        <w:tab/>
      </w:r>
      <w:r w:rsidR="00ED0EAE" w:rsidRPr="00AB3F4E">
        <w:rPr>
          <w:rFonts w:cs="Arial"/>
          <w:color w:val="000000"/>
        </w:rPr>
        <w:t xml:space="preserve">El TWA acordó continuar debatiendo </w:t>
      </w:r>
      <w:r w:rsidR="00AB3F4E" w:rsidRPr="00AB3F4E">
        <w:rPr>
          <w:rFonts w:cs="Arial"/>
          <w:color w:val="000000"/>
        </w:rPr>
        <w:t xml:space="preserve">los </w:t>
      </w:r>
      <w:r w:rsidR="00ED0EAE" w:rsidRPr="00AB3F4E">
        <w:rPr>
          <w:rFonts w:cs="Arial"/>
          <w:color w:val="000000"/>
        </w:rPr>
        <w:t>siguiente</w:t>
      </w:r>
      <w:r w:rsidR="00AB3F4E" w:rsidRPr="00AB3F4E">
        <w:rPr>
          <w:rFonts w:cs="Arial"/>
          <w:color w:val="000000"/>
        </w:rPr>
        <w:t>s</w:t>
      </w:r>
      <w:r w:rsidR="00ED0EAE" w:rsidRPr="00AB3F4E">
        <w:rPr>
          <w:rFonts w:cs="Arial"/>
          <w:color w:val="000000"/>
        </w:rPr>
        <w:t xml:space="preserve"> proyecto</w:t>
      </w:r>
      <w:r w:rsidR="00AB3F4E" w:rsidRPr="00AB3F4E">
        <w:rPr>
          <w:rFonts w:cs="Arial"/>
          <w:color w:val="000000"/>
        </w:rPr>
        <w:t>s</w:t>
      </w:r>
      <w:r w:rsidR="00ED0EAE" w:rsidRPr="00AB3F4E">
        <w:rPr>
          <w:rFonts w:cs="Arial"/>
          <w:color w:val="000000"/>
        </w:rPr>
        <w:t xml:space="preserve"> de directrices de examen en su cuadragésima sexta reunión:</w:t>
      </w:r>
      <w:r w:rsidR="00273DB6" w:rsidRPr="00D51062">
        <w:rPr>
          <w:rFonts w:cs="Arial"/>
          <w:color w:val="000000"/>
        </w:rPr>
        <w:t xml:space="preserve"> </w:t>
      </w:r>
      <w:r w:rsidR="00AB3F4E" w:rsidRPr="00AB3F4E">
        <w:rPr>
          <w:rFonts w:cs="Arial"/>
          <w:color w:val="000000"/>
        </w:rPr>
        <w:t>cebada (revisión)</w:t>
      </w:r>
      <w:r w:rsidR="007829E4">
        <w:rPr>
          <w:rFonts w:cs="Arial"/>
          <w:color w:val="000000"/>
        </w:rPr>
        <w:t xml:space="preserve">, </w:t>
      </w:r>
      <w:r w:rsidR="00AB3F4E" w:rsidRPr="00AB3F4E">
        <w:rPr>
          <w:rFonts w:cs="Arial"/>
          <w:color w:val="000000"/>
        </w:rPr>
        <w:t>ricino</w:t>
      </w:r>
      <w:r w:rsidR="007829E4">
        <w:rPr>
          <w:rFonts w:cs="Arial"/>
          <w:color w:val="000000"/>
        </w:rPr>
        <w:t xml:space="preserve">, </w:t>
      </w:r>
      <w:r w:rsidR="00AB3F4E" w:rsidRPr="00AB3F4E">
        <w:rPr>
          <w:rFonts w:cs="Arial"/>
          <w:color w:val="000000"/>
        </w:rPr>
        <w:t>algodón (revisión)</w:t>
      </w:r>
      <w:r w:rsidR="007829E4">
        <w:rPr>
          <w:rFonts w:cs="Arial"/>
          <w:color w:val="000000"/>
        </w:rPr>
        <w:t xml:space="preserve">, </w:t>
      </w:r>
      <w:r w:rsidR="00AB3F4E" w:rsidRPr="00AB3F4E">
        <w:rPr>
          <w:rFonts w:cs="Arial"/>
          <w:i/>
          <w:color w:val="000000"/>
        </w:rPr>
        <w:t>Elytrigia</w:t>
      </w:r>
      <w:r w:rsidR="007829E4">
        <w:rPr>
          <w:rFonts w:cs="Arial"/>
          <w:color w:val="000000"/>
        </w:rPr>
        <w:t xml:space="preserve">, </w:t>
      </w:r>
      <w:r w:rsidR="00AB3F4E" w:rsidRPr="00AB3F4E">
        <w:rPr>
          <w:rFonts w:cs="Arial"/>
          <w:color w:val="000000"/>
        </w:rPr>
        <w:t>haboncillo (revisión)</w:t>
      </w:r>
      <w:r w:rsidR="007829E4">
        <w:rPr>
          <w:rFonts w:cs="Arial"/>
          <w:color w:val="000000"/>
        </w:rPr>
        <w:t xml:space="preserve">, </w:t>
      </w:r>
      <w:r w:rsidR="00AB3F4E" w:rsidRPr="00AB3F4E">
        <w:rPr>
          <w:rFonts w:cs="Arial"/>
          <w:color w:val="000000"/>
        </w:rPr>
        <w:t>ginsén (revisión)</w:t>
      </w:r>
      <w:r w:rsidR="007829E4">
        <w:rPr>
          <w:rFonts w:cs="Arial"/>
          <w:color w:val="000000"/>
        </w:rPr>
        <w:t xml:space="preserve">, </w:t>
      </w:r>
      <w:r w:rsidR="00AB3F4E" w:rsidRPr="00AB3F4E">
        <w:rPr>
          <w:rFonts w:cs="Arial"/>
          <w:color w:val="000000"/>
        </w:rPr>
        <w:t>avena (revisión)</w:t>
      </w:r>
      <w:r w:rsidR="007829E4">
        <w:rPr>
          <w:rFonts w:cs="Arial"/>
          <w:color w:val="000000"/>
        </w:rPr>
        <w:t xml:space="preserve">, </w:t>
      </w:r>
      <w:r w:rsidR="00AB3F4E" w:rsidRPr="00AB3F4E">
        <w:rPr>
          <w:rFonts w:cs="Arial"/>
          <w:color w:val="000000"/>
        </w:rPr>
        <w:t>quinoa</w:t>
      </w:r>
      <w:r w:rsidR="007829E4">
        <w:rPr>
          <w:rFonts w:cs="Arial"/>
          <w:color w:val="000000"/>
        </w:rPr>
        <w:t xml:space="preserve">, </w:t>
      </w:r>
      <w:r w:rsidR="00AB3F4E" w:rsidRPr="00AB3F4E">
        <w:rPr>
          <w:rFonts w:cs="Arial"/>
          <w:color w:val="000000"/>
        </w:rPr>
        <w:t>trébol rojo (revisión)</w:t>
      </w:r>
      <w:r w:rsidR="007829E4">
        <w:rPr>
          <w:rFonts w:cs="Arial"/>
          <w:color w:val="000000"/>
        </w:rPr>
        <w:t xml:space="preserve">, </w:t>
      </w:r>
      <w:r w:rsidR="00AB3F4E" w:rsidRPr="00AB3F4E">
        <w:rPr>
          <w:rFonts w:cs="Arial"/>
          <w:color w:val="000000"/>
        </w:rPr>
        <w:t>arroz (revisión)</w:t>
      </w:r>
      <w:r w:rsidR="007829E4">
        <w:rPr>
          <w:rFonts w:cs="Arial"/>
          <w:color w:val="000000"/>
        </w:rPr>
        <w:t xml:space="preserve">, </w:t>
      </w:r>
      <w:r w:rsidR="00AB3F4E" w:rsidRPr="00AB3F4E">
        <w:rPr>
          <w:rFonts w:cs="Arial"/>
          <w:color w:val="000000"/>
        </w:rPr>
        <w:t>soja (revisión) y té (revisión).</w:t>
      </w:r>
      <w:r w:rsidR="00273DB6" w:rsidRPr="00D51062">
        <w:rPr>
          <w:rFonts w:cs="Arial"/>
          <w:color w:val="000000"/>
        </w:rPr>
        <w:t xml:space="preserve"> </w:t>
      </w:r>
    </w:p>
    <w:p w:rsidR="00273DB6" w:rsidRPr="00D51062" w:rsidRDefault="00273DB6" w:rsidP="00273DB6">
      <w:pPr>
        <w:contextualSpacing/>
        <w:rPr>
          <w:rFonts w:cs="Arial"/>
          <w:color w:val="000000"/>
        </w:rPr>
      </w:pPr>
    </w:p>
    <w:p w:rsidR="00273DB6" w:rsidRPr="00D51062" w:rsidRDefault="007D43C5" w:rsidP="00273DB6">
      <w:pPr>
        <w:rPr>
          <w:rFonts w:cs="Arial"/>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AB3F4E" w:rsidRPr="00AB3F4E">
        <w:rPr>
          <w:rFonts w:cs="Arial"/>
        </w:rPr>
        <w:t>Por invitación de Alemania</w:t>
      </w:r>
      <w:r w:rsidR="007829E4">
        <w:rPr>
          <w:rFonts w:cs="Arial"/>
        </w:rPr>
        <w:t xml:space="preserve">, </w:t>
      </w:r>
      <w:r w:rsidR="00AB3F4E" w:rsidRPr="00AB3F4E">
        <w:rPr>
          <w:rFonts w:cs="Arial"/>
        </w:rPr>
        <w:t>el TWA decidió celebrar su cuadragésima sexta reunión en Hanover del 19 al 23 de junio de 2017</w:t>
      </w:r>
      <w:r w:rsidR="007829E4">
        <w:rPr>
          <w:rFonts w:cs="Arial"/>
        </w:rPr>
        <w:t xml:space="preserve">, </w:t>
      </w:r>
      <w:r w:rsidR="00AB3F4E" w:rsidRPr="00AB3F4E">
        <w:rPr>
          <w:rFonts w:cs="Arial"/>
        </w:rPr>
        <w:t>y el taller preparatorio el 18 de junio de 2017.</w:t>
      </w:r>
    </w:p>
    <w:p w:rsidR="00273DB6" w:rsidRPr="00D51062" w:rsidRDefault="00273DB6" w:rsidP="00273DB6">
      <w:pPr>
        <w:rPr>
          <w:rFonts w:cs="Arial"/>
        </w:rPr>
      </w:pPr>
    </w:p>
    <w:p w:rsidR="00273DB6" w:rsidRPr="00D51062" w:rsidRDefault="007D43C5" w:rsidP="00273DB6">
      <w:pPr>
        <w:autoSpaceDE w:val="0"/>
        <w:autoSpaceDN w:val="0"/>
        <w:adjustRightInd w:val="0"/>
        <w:rPr>
          <w:lang w:eastAsia="ja-JP"/>
        </w:rPr>
      </w:pPr>
      <w:r w:rsidRPr="00D51062">
        <w:fldChar w:fldCharType="begin"/>
      </w:r>
      <w:r w:rsidR="00273DB6" w:rsidRPr="00D51062">
        <w:instrText xml:space="preserve"> AUTONUM  </w:instrText>
      </w:r>
      <w:r w:rsidRPr="00D51062">
        <w:fldChar w:fldCharType="end"/>
      </w:r>
      <w:r w:rsidR="00273DB6" w:rsidRPr="00D51062">
        <w:rPr>
          <w:lang w:eastAsia="ja-JP"/>
        </w:rPr>
        <w:tab/>
      </w:r>
      <w:r w:rsidR="00AB3F4E" w:rsidRPr="00AB3F4E">
        <w:rPr>
          <w:rFonts w:cs="Arial"/>
        </w:rPr>
        <w:t xml:space="preserve">El TWA acordó proponer al TC que recomiende al Consejo que se elija a </w:t>
      </w:r>
      <w:r w:rsidR="00AB3F4E" w:rsidRPr="005440E1">
        <w:rPr>
          <w:rFonts w:cs="Arial"/>
        </w:rPr>
        <w:t>la Sra. Cheryl Turnbull (Reino Unido) como próxima presidenta</w:t>
      </w:r>
      <w:r w:rsidR="00AB3F4E" w:rsidRPr="00AB3F4E">
        <w:rPr>
          <w:rFonts w:cs="Arial"/>
        </w:rPr>
        <w:t xml:space="preserve"> del TWA.</w:t>
      </w:r>
    </w:p>
    <w:p w:rsidR="00273DB6" w:rsidRPr="00D51062" w:rsidRDefault="00273DB6" w:rsidP="00273DB6">
      <w:pPr>
        <w:rPr>
          <w:rFonts w:cs="Arial"/>
        </w:rPr>
      </w:pPr>
    </w:p>
    <w:p w:rsidR="00273DB6" w:rsidRDefault="007D43C5" w:rsidP="00AB3F4E">
      <w:pPr>
        <w:spacing w:line="280" w:lineRule="auto"/>
        <w:rPr>
          <w:rFonts w:cs="Arial"/>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AB3F4E" w:rsidRPr="00AB3F4E">
        <w:rPr>
          <w:rFonts w:cs="Arial"/>
        </w:rPr>
        <w:t>El TWA propuso examinar los siguientes puntos en su próxima reunión:</w:t>
      </w:r>
    </w:p>
    <w:p w:rsidR="00273DB6" w:rsidRPr="00D51062" w:rsidRDefault="00273DB6" w:rsidP="00273DB6">
      <w:pPr>
        <w:spacing w:line="276" w:lineRule="auto"/>
        <w:rPr>
          <w:rFonts w:cs="Arial"/>
        </w:rPr>
      </w:pPr>
    </w:p>
    <w:p w:rsidR="00273DB6" w:rsidRPr="00D51062" w:rsidRDefault="00273DB6" w:rsidP="00AB3F4E">
      <w:pPr>
        <w:tabs>
          <w:tab w:val="left" w:pos="1134"/>
        </w:tabs>
        <w:spacing w:line="280" w:lineRule="auto"/>
        <w:ind w:left="567"/>
        <w:rPr>
          <w:rFonts w:cs="Arial"/>
        </w:rPr>
      </w:pPr>
      <w:r w:rsidRPr="00D51062">
        <w:rPr>
          <w:rFonts w:cs="Arial"/>
        </w:rPr>
        <w:t>1.</w:t>
      </w:r>
      <w:r w:rsidRPr="00D51062">
        <w:rPr>
          <w:rFonts w:cs="Arial"/>
        </w:rPr>
        <w:tab/>
      </w:r>
      <w:r w:rsidR="00AB3F4E" w:rsidRPr="00AB3F4E">
        <w:rPr>
          <w:rFonts w:cs="Arial"/>
        </w:rPr>
        <w:t>Apertura de la reunión</w:t>
      </w:r>
    </w:p>
    <w:p w:rsidR="00273DB6" w:rsidRPr="00D51062" w:rsidRDefault="00273DB6" w:rsidP="00AB3F4E">
      <w:pPr>
        <w:tabs>
          <w:tab w:val="left" w:pos="1134"/>
        </w:tabs>
        <w:spacing w:line="280" w:lineRule="auto"/>
        <w:ind w:left="567"/>
        <w:rPr>
          <w:rFonts w:cs="Arial"/>
        </w:rPr>
      </w:pPr>
      <w:r w:rsidRPr="00D51062">
        <w:rPr>
          <w:rFonts w:cs="Arial"/>
        </w:rPr>
        <w:t>2.</w:t>
      </w:r>
      <w:r w:rsidRPr="00D51062">
        <w:rPr>
          <w:rFonts w:cs="Arial"/>
        </w:rPr>
        <w:tab/>
      </w:r>
      <w:r w:rsidR="00AB3F4E" w:rsidRPr="00AB3F4E">
        <w:rPr>
          <w:rFonts w:cs="Arial"/>
        </w:rPr>
        <w:t>Aprobación del orden del día</w:t>
      </w:r>
    </w:p>
    <w:p w:rsidR="00273DB6" w:rsidRPr="00D51062" w:rsidRDefault="00273DB6" w:rsidP="00AB3F4E">
      <w:pPr>
        <w:tabs>
          <w:tab w:val="left" w:pos="1134"/>
        </w:tabs>
        <w:spacing w:line="280" w:lineRule="auto"/>
        <w:ind w:left="567"/>
        <w:rPr>
          <w:rFonts w:cs="Arial"/>
        </w:rPr>
      </w:pPr>
      <w:r w:rsidRPr="00D51062">
        <w:rPr>
          <w:rFonts w:cs="Arial"/>
        </w:rPr>
        <w:t>3.</w:t>
      </w:r>
      <w:r w:rsidRPr="00D51062">
        <w:rPr>
          <w:rFonts w:cs="Arial"/>
        </w:rPr>
        <w:tab/>
      </w:r>
      <w:r w:rsidR="00AB3F4E" w:rsidRPr="00AB3F4E">
        <w:rPr>
          <w:rFonts w:cs="Arial"/>
        </w:rPr>
        <w:t>Breves informes sobre los avances logrados en la protección de las variedades vegetales</w:t>
      </w:r>
    </w:p>
    <w:p w:rsidR="00273DB6" w:rsidRPr="00D51062" w:rsidRDefault="00AF3692" w:rsidP="00AB3F4E">
      <w:pPr>
        <w:spacing w:line="280" w:lineRule="auto"/>
        <w:ind w:left="1701" w:hanging="567"/>
        <w:rPr>
          <w:rFonts w:cs="Arial"/>
        </w:rPr>
      </w:pPr>
      <w:r w:rsidRPr="004829DF">
        <w:rPr>
          <w:rFonts w:cs="Arial"/>
        </w:rPr>
        <w:t>a)</w:t>
      </w:r>
      <w:r w:rsidRPr="004829DF">
        <w:rPr>
          <w:rFonts w:cs="Arial"/>
        </w:rPr>
        <w:tab/>
      </w:r>
      <w:r w:rsidR="00AB3F4E" w:rsidRPr="00AB3F4E">
        <w:rPr>
          <w:rFonts w:cs="Arial"/>
        </w:rPr>
        <w:t>Informes de los miembros y observadores (informes escritos que elaborarán los miembros y observadores)</w:t>
      </w:r>
    </w:p>
    <w:p w:rsidR="00273DB6" w:rsidRPr="00D51062" w:rsidRDefault="00AF3692" w:rsidP="00AB3F4E">
      <w:pPr>
        <w:spacing w:line="280" w:lineRule="auto"/>
        <w:ind w:left="1701" w:hanging="567"/>
        <w:rPr>
          <w:rFonts w:cs="Arial"/>
        </w:rPr>
      </w:pPr>
      <w:r w:rsidRPr="004829DF">
        <w:rPr>
          <w:rFonts w:cs="Arial"/>
        </w:rPr>
        <w:t>b)</w:t>
      </w:r>
      <w:r w:rsidRPr="004829DF">
        <w:rPr>
          <w:rFonts w:cs="Arial"/>
        </w:rPr>
        <w:tab/>
      </w:r>
      <w:r w:rsidR="00AB3F4E" w:rsidRPr="00AB3F4E">
        <w:rPr>
          <w:rFonts w:cs="Arial"/>
        </w:rPr>
        <w:t>Informes sobre los avances logrados en la UPOV (informe verbal de la Oficina de la Unión)</w:t>
      </w:r>
    </w:p>
    <w:p w:rsidR="00273DB6" w:rsidRPr="00D51062" w:rsidRDefault="00273DB6" w:rsidP="00AB3F4E">
      <w:pPr>
        <w:tabs>
          <w:tab w:val="left" w:pos="1134"/>
        </w:tabs>
        <w:spacing w:line="280" w:lineRule="auto"/>
        <w:ind w:left="567"/>
        <w:rPr>
          <w:rFonts w:cs="Arial"/>
        </w:rPr>
      </w:pPr>
      <w:r w:rsidRPr="00D51062">
        <w:rPr>
          <w:rFonts w:cs="Arial"/>
        </w:rPr>
        <w:t>4.</w:t>
      </w:r>
      <w:r w:rsidRPr="00D51062">
        <w:rPr>
          <w:rFonts w:cs="Arial"/>
        </w:rPr>
        <w:tab/>
      </w:r>
      <w:r w:rsidR="00AB3F4E" w:rsidRPr="00AB3F4E">
        <w:rPr>
          <w:rFonts w:cs="Arial"/>
        </w:rPr>
        <w:t xml:space="preserve">Técnicas moleculares (documento que elaborará la Oficina de la Unión) </w:t>
      </w:r>
    </w:p>
    <w:p w:rsidR="00273DB6" w:rsidRPr="00D51062" w:rsidRDefault="00273DB6" w:rsidP="00AB3F4E">
      <w:pPr>
        <w:tabs>
          <w:tab w:val="left" w:pos="1134"/>
        </w:tabs>
        <w:spacing w:line="280" w:lineRule="auto"/>
        <w:ind w:left="567"/>
        <w:rPr>
          <w:rFonts w:cs="Arial"/>
        </w:rPr>
      </w:pPr>
      <w:r w:rsidRPr="00D51062">
        <w:rPr>
          <w:rFonts w:cs="Arial"/>
        </w:rPr>
        <w:t>5.</w:t>
      </w:r>
      <w:r w:rsidRPr="00D51062">
        <w:rPr>
          <w:rFonts w:cs="Arial"/>
        </w:rPr>
        <w:tab/>
      </w:r>
      <w:r w:rsidR="00AB3F4E" w:rsidRPr="00AB3F4E">
        <w:rPr>
          <w:rFonts w:cs="Arial"/>
        </w:rPr>
        <w:t>Documentos TGP (documentos que elaborará la Oficina de la Unión)</w:t>
      </w:r>
    </w:p>
    <w:p w:rsidR="00273DB6" w:rsidRPr="00D51062" w:rsidRDefault="00273DB6" w:rsidP="00AB3F4E">
      <w:pPr>
        <w:tabs>
          <w:tab w:val="left" w:pos="1134"/>
        </w:tabs>
        <w:spacing w:line="280" w:lineRule="auto"/>
        <w:ind w:left="567"/>
        <w:rPr>
          <w:rFonts w:cs="Arial"/>
        </w:rPr>
      </w:pPr>
      <w:r w:rsidRPr="00D51062">
        <w:rPr>
          <w:rFonts w:cs="Arial"/>
        </w:rPr>
        <w:t>6.</w:t>
      </w:r>
      <w:r w:rsidRPr="00D51062">
        <w:rPr>
          <w:rFonts w:cs="Arial"/>
        </w:rPr>
        <w:tab/>
      </w:r>
      <w:r w:rsidR="00AB3F4E" w:rsidRPr="00AB3F4E">
        <w:rPr>
          <w:rFonts w:cs="Arial"/>
        </w:rPr>
        <w:t xml:space="preserve">Denominaciones de variedades (documento que elaborará la Oficina de la Unión) </w:t>
      </w:r>
    </w:p>
    <w:p w:rsidR="00273DB6" w:rsidRPr="00D51062" w:rsidRDefault="00273DB6" w:rsidP="00AB3F4E">
      <w:pPr>
        <w:tabs>
          <w:tab w:val="left" w:pos="1134"/>
        </w:tabs>
        <w:spacing w:line="280" w:lineRule="auto"/>
        <w:ind w:left="567"/>
        <w:rPr>
          <w:rFonts w:cs="Arial"/>
        </w:rPr>
      </w:pPr>
      <w:r w:rsidRPr="00D51062">
        <w:rPr>
          <w:rFonts w:cs="Arial"/>
        </w:rPr>
        <w:t>7.</w:t>
      </w:r>
      <w:r w:rsidRPr="00D51062">
        <w:rPr>
          <w:rFonts w:cs="Arial"/>
        </w:rPr>
        <w:tab/>
      </w:r>
      <w:r w:rsidR="00AB3F4E" w:rsidRPr="00AB3F4E">
        <w:rPr>
          <w:rFonts w:cs="Arial"/>
        </w:rPr>
        <w:t>Información y bases de datos</w:t>
      </w:r>
    </w:p>
    <w:p w:rsidR="00273DB6" w:rsidRPr="00D51062" w:rsidRDefault="00AF3692" w:rsidP="007D3050">
      <w:pPr>
        <w:spacing w:line="280" w:lineRule="auto"/>
        <w:ind w:left="1701" w:hanging="567"/>
        <w:rPr>
          <w:rFonts w:cs="Arial"/>
        </w:rPr>
      </w:pPr>
      <w:r w:rsidRPr="004829DF">
        <w:rPr>
          <w:rFonts w:cs="Arial"/>
        </w:rPr>
        <w:t>a)</w:t>
      </w:r>
      <w:r w:rsidRPr="004829DF">
        <w:rPr>
          <w:rFonts w:cs="Arial"/>
        </w:rPr>
        <w:tab/>
      </w:r>
      <w:r w:rsidR="00AB3F4E" w:rsidRPr="007D3050">
        <w:rPr>
          <w:rFonts w:cs="Arial"/>
        </w:rPr>
        <w:t xml:space="preserve">Bases de datos de información de la UPOV (documento que </w:t>
      </w:r>
      <w:r w:rsidR="007D3050" w:rsidRPr="007D3050">
        <w:rPr>
          <w:rFonts w:cs="Arial"/>
        </w:rPr>
        <w:t xml:space="preserve">elaborará </w:t>
      </w:r>
      <w:r w:rsidR="00AB3F4E" w:rsidRPr="007D3050">
        <w:rPr>
          <w:rFonts w:cs="Arial"/>
        </w:rPr>
        <w:t>la Oficina de la Unión)</w:t>
      </w:r>
    </w:p>
    <w:p w:rsidR="00273DB6" w:rsidRPr="00D51062" w:rsidRDefault="00AF3692" w:rsidP="007D3050">
      <w:pPr>
        <w:spacing w:line="280" w:lineRule="auto"/>
        <w:ind w:left="1701" w:hanging="567"/>
        <w:rPr>
          <w:rFonts w:cs="Arial"/>
        </w:rPr>
      </w:pPr>
      <w:r w:rsidRPr="004829DF">
        <w:rPr>
          <w:rFonts w:cs="Arial"/>
        </w:rPr>
        <w:t>b)</w:t>
      </w:r>
      <w:r w:rsidRPr="004829DF">
        <w:rPr>
          <w:rFonts w:cs="Arial"/>
        </w:rPr>
        <w:tab/>
      </w:r>
      <w:r w:rsidR="007D3050" w:rsidRPr="007D3050">
        <w:rPr>
          <w:rFonts w:cs="Arial"/>
        </w:rPr>
        <w:t>Bases de datos de descripciones de variedades (documento que preparará la Oficina de la Unión y otros eventuales documentos)</w:t>
      </w:r>
      <w:r w:rsidR="00273DB6" w:rsidRPr="00D51062">
        <w:rPr>
          <w:rFonts w:cs="Arial"/>
        </w:rPr>
        <w:t xml:space="preserve"> </w:t>
      </w:r>
    </w:p>
    <w:p w:rsidR="00273DB6" w:rsidRPr="00D51062" w:rsidRDefault="00AF3692" w:rsidP="007D3050">
      <w:pPr>
        <w:spacing w:line="280" w:lineRule="auto"/>
        <w:ind w:left="1701" w:hanging="567"/>
        <w:rPr>
          <w:rFonts w:cs="Arial"/>
        </w:rPr>
      </w:pPr>
      <w:r w:rsidRPr="004829DF">
        <w:rPr>
          <w:rFonts w:cs="Arial"/>
        </w:rPr>
        <w:t>c)</w:t>
      </w:r>
      <w:r w:rsidRPr="004829DF">
        <w:rPr>
          <w:rFonts w:cs="Arial"/>
        </w:rPr>
        <w:tab/>
      </w:r>
      <w:r w:rsidR="007D3050" w:rsidRPr="007D3050">
        <w:rPr>
          <w:rFonts w:cs="Arial"/>
        </w:rPr>
        <w:t>Programas informáticos para intercambio (documento que elaborará la Oficina de la Unión)</w:t>
      </w:r>
    </w:p>
    <w:p w:rsidR="00273DB6" w:rsidRPr="00D51062" w:rsidRDefault="00AF3692" w:rsidP="008629FA">
      <w:pPr>
        <w:spacing w:line="280" w:lineRule="auto"/>
        <w:ind w:left="1701" w:hanging="567"/>
        <w:rPr>
          <w:rFonts w:cs="Arial"/>
        </w:rPr>
      </w:pPr>
      <w:r w:rsidRPr="004829DF">
        <w:rPr>
          <w:rFonts w:cs="Arial"/>
        </w:rPr>
        <w:t>d)</w:t>
      </w:r>
      <w:r w:rsidRPr="004829DF">
        <w:rPr>
          <w:rFonts w:cs="Arial"/>
        </w:rPr>
        <w:tab/>
      </w:r>
      <w:r w:rsidR="007D3050" w:rsidRPr="008629FA">
        <w:rPr>
          <w:rFonts w:cs="Arial"/>
        </w:rPr>
        <w:t>Sistemas de presentación electrónica de solicitudes (documento que preparará la Oficina de la Unión y otros eventuales documentos)</w:t>
      </w:r>
    </w:p>
    <w:p w:rsidR="00273DB6" w:rsidRPr="00D51062" w:rsidRDefault="00273DB6" w:rsidP="00EB5D94">
      <w:pPr>
        <w:spacing w:line="280" w:lineRule="auto"/>
        <w:ind w:left="1134" w:hanging="567"/>
        <w:rPr>
          <w:rFonts w:cs="Arial"/>
        </w:rPr>
      </w:pPr>
      <w:r w:rsidRPr="00D51062">
        <w:rPr>
          <w:rFonts w:cs="Arial"/>
        </w:rPr>
        <w:t>8.</w:t>
      </w:r>
      <w:r w:rsidRPr="00D51062">
        <w:rPr>
          <w:rFonts w:cs="Arial"/>
        </w:rPr>
        <w:tab/>
      </w:r>
      <w:r w:rsidR="00EB5D94" w:rsidRPr="00EB5D94">
        <w:rPr>
          <w:rFonts w:cs="Arial"/>
        </w:rPr>
        <w:t>Evaluación de la homogeneidad mediante plantas fuera de tipo (documentos que elaborarán Alemania</w:t>
      </w:r>
      <w:r w:rsidR="007829E4">
        <w:rPr>
          <w:rFonts w:cs="Arial"/>
        </w:rPr>
        <w:t xml:space="preserve">, </w:t>
      </w:r>
      <w:r w:rsidR="00EB5D94" w:rsidRPr="00EB5D94">
        <w:rPr>
          <w:rFonts w:cs="Arial"/>
        </w:rPr>
        <w:t>Francia</w:t>
      </w:r>
      <w:r w:rsidR="007829E4">
        <w:rPr>
          <w:rFonts w:cs="Arial"/>
        </w:rPr>
        <w:t xml:space="preserve">, </w:t>
      </w:r>
      <w:r w:rsidR="00EB5D94" w:rsidRPr="00EB5D94">
        <w:rPr>
          <w:rFonts w:cs="Arial"/>
        </w:rPr>
        <w:t>los Países Bajos</w:t>
      </w:r>
      <w:r w:rsidR="007829E4">
        <w:rPr>
          <w:rFonts w:cs="Arial"/>
        </w:rPr>
        <w:t xml:space="preserve">, </w:t>
      </w:r>
      <w:r w:rsidR="00EB5D94" w:rsidRPr="00EB5D94">
        <w:rPr>
          <w:rFonts w:cs="Arial"/>
        </w:rPr>
        <w:t>Polonia y el Reino Unido)</w:t>
      </w:r>
    </w:p>
    <w:p w:rsidR="00273DB6" w:rsidRPr="00D51062" w:rsidRDefault="00273DB6" w:rsidP="00EB5D94">
      <w:pPr>
        <w:spacing w:line="280" w:lineRule="auto"/>
        <w:ind w:left="1134" w:hanging="567"/>
        <w:rPr>
          <w:rFonts w:cs="Arial"/>
        </w:rPr>
      </w:pPr>
      <w:r w:rsidRPr="00D51062">
        <w:rPr>
          <w:rFonts w:cs="Arial"/>
        </w:rPr>
        <w:t>9.</w:t>
      </w:r>
      <w:r w:rsidRPr="00D51062">
        <w:rPr>
          <w:rFonts w:cs="Arial"/>
        </w:rPr>
        <w:tab/>
      </w:r>
      <w:r w:rsidR="00EB5D94" w:rsidRPr="00EB5D94">
        <w:rPr>
          <w:rFonts w:cs="Arial"/>
        </w:rPr>
        <w:t>Experiencias con nuevos tipos y especies</w:t>
      </w:r>
    </w:p>
    <w:p w:rsidR="00273DB6" w:rsidRPr="00D51062" w:rsidRDefault="00273DB6" w:rsidP="00EB5D94">
      <w:pPr>
        <w:spacing w:line="280" w:lineRule="auto"/>
        <w:ind w:left="1134" w:hanging="567"/>
        <w:rPr>
          <w:rFonts w:cs="Arial"/>
        </w:rPr>
      </w:pPr>
      <w:r w:rsidRPr="00D51062">
        <w:rPr>
          <w:rFonts w:cs="Arial"/>
        </w:rPr>
        <w:t>10.</w:t>
      </w:r>
      <w:r w:rsidRPr="00D51062">
        <w:rPr>
          <w:rFonts w:cs="Arial"/>
        </w:rPr>
        <w:tab/>
      </w:r>
      <w:r w:rsidR="00EB5D94" w:rsidRPr="00EB5D94">
        <w:rPr>
          <w:rFonts w:cs="Arial"/>
        </w:rPr>
        <w:t>Efecto de los organismos endófitos en los caracteres DHE en gramíneas (documentos que elaborarán México</w:t>
      </w:r>
      <w:r w:rsidR="007829E4">
        <w:rPr>
          <w:rFonts w:cs="Arial"/>
        </w:rPr>
        <w:t xml:space="preserve">, </w:t>
      </w:r>
      <w:r w:rsidR="00EB5D94" w:rsidRPr="00EB5D94">
        <w:rPr>
          <w:rFonts w:cs="Arial"/>
        </w:rPr>
        <w:t>Nueva Zelandia y la Unión Europea e invitación a presentar documentos)</w:t>
      </w:r>
    </w:p>
    <w:p w:rsidR="00273DB6" w:rsidRPr="00D51062" w:rsidRDefault="00273DB6" w:rsidP="00EB5D94">
      <w:pPr>
        <w:spacing w:line="280" w:lineRule="auto"/>
        <w:ind w:left="1134" w:hanging="567"/>
        <w:rPr>
          <w:rFonts w:cs="Arial"/>
        </w:rPr>
      </w:pPr>
      <w:r w:rsidRPr="00D51062">
        <w:rPr>
          <w:rFonts w:cs="Arial"/>
        </w:rPr>
        <w:t>11.</w:t>
      </w:r>
      <w:r w:rsidRPr="00D51062">
        <w:rPr>
          <w:rFonts w:cs="Arial"/>
        </w:rPr>
        <w:tab/>
      </w:r>
      <w:r w:rsidR="00EB5D94" w:rsidRPr="00EB5D94">
        <w:rPr>
          <w:rFonts w:cs="Arial"/>
        </w:rPr>
        <w:t>Conjuntos regionales de variedades ejemplo en trigo para Sudamérica (documento que elaborará el Brasil)</w:t>
      </w:r>
    </w:p>
    <w:p w:rsidR="00273DB6" w:rsidRPr="00D51062" w:rsidRDefault="00273DB6" w:rsidP="004018D4">
      <w:pPr>
        <w:spacing w:line="280" w:lineRule="auto"/>
        <w:ind w:left="1134" w:hanging="567"/>
        <w:rPr>
          <w:rFonts w:cs="Arial"/>
        </w:rPr>
      </w:pPr>
      <w:r w:rsidRPr="00D51062">
        <w:rPr>
          <w:rFonts w:cs="Arial"/>
        </w:rPr>
        <w:t>12.</w:t>
      </w:r>
      <w:r w:rsidRPr="00D51062">
        <w:rPr>
          <w:rFonts w:cs="Arial"/>
        </w:rPr>
        <w:tab/>
      </w:r>
      <w:r w:rsidR="004018D4" w:rsidRPr="004018D4">
        <w:rPr>
          <w:rFonts w:cs="Arial"/>
        </w:rPr>
        <w:t>Número de ciclos de cultivo en el examen DHE (documentos que elaborarán Alemania</w:t>
      </w:r>
      <w:r w:rsidR="007829E4">
        <w:rPr>
          <w:rFonts w:cs="Arial"/>
        </w:rPr>
        <w:t xml:space="preserve">, </w:t>
      </w:r>
      <w:r w:rsidR="004018D4" w:rsidRPr="004018D4">
        <w:rPr>
          <w:rFonts w:cs="Arial"/>
        </w:rPr>
        <w:t>Francia</w:t>
      </w:r>
      <w:r w:rsidR="007829E4">
        <w:rPr>
          <w:rFonts w:cs="Arial"/>
        </w:rPr>
        <w:t xml:space="preserve">, </w:t>
      </w:r>
      <w:r w:rsidR="004018D4" w:rsidRPr="004018D4">
        <w:rPr>
          <w:rFonts w:cs="Arial"/>
        </w:rPr>
        <w:t>los Países Bajos</w:t>
      </w:r>
      <w:r w:rsidR="007829E4">
        <w:rPr>
          <w:rFonts w:cs="Arial"/>
        </w:rPr>
        <w:t xml:space="preserve">, </w:t>
      </w:r>
      <w:r w:rsidR="004018D4" w:rsidRPr="004018D4">
        <w:rPr>
          <w:rFonts w:cs="Arial"/>
        </w:rPr>
        <w:t>Polonia y el Reino Unido)</w:t>
      </w:r>
    </w:p>
    <w:p w:rsidR="00273DB6" w:rsidRPr="00D51062" w:rsidRDefault="00273DB6" w:rsidP="004018D4">
      <w:pPr>
        <w:spacing w:line="280" w:lineRule="auto"/>
        <w:ind w:left="1134" w:hanging="567"/>
        <w:rPr>
          <w:rFonts w:cs="Arial"/>
        </w:rPr>
      </w:pPr>
      <w:r w:rsidRPr="00D51062">
        <w:rPr>
          <w:rFonts w:cs="Arial"/>
        </w:rPr>
        <w:t>13.</w:t>
      </w:r>
      <w:r w:rsidRPr="00D51062">
        <w:rPr>
          <w:rFonts w:cs="Arial"/>
        </w:rPr>
        <w:tab/>
      </w:r>
      <w:r w:rsidR="004018D4" w:rsidRPr="004018D4">
        <w:rPr>
          <w:rFonts w:cs="Arial"/>
        </w:rPr>
        <w:t>La distancia mínima entre variedades (documentos que elaborarán la República de Corea y la Unión Europea)</w:t>
      </w:r>
    </w:p>
    <w:p w:rsidR="00273DB6" w:rsidRPr="00D51062" w:rsidRDefault="00273DB6" w:rsidP="004018D4">
      <w:pPr>
        <w:spacing w:line="280" w:lineRule="auto"/>
        <w:ind w:left="1134" w:hanging="567"/>
        <w:rPr>
          <w:rFonts w:cs="Arial"/>
        </w:rPr>
      </w:pPr>
      <w:r w:rsidRPr="00D51062">
        <w:rPr>
          <w:rFonts w:cs="Arial"/>
        </w:rPr>
        <w:t>14.</w:t>
      </w:r>
      <w:r w:rsidRPr="00D51062">
        <w:rPr>
          <w:rFonts w:cs="Arial"/>
        </w:rPr>
        <w:tab/>
      </w:r>
      <w:r w:rsidR="004018D4" w:rsidRPr="004018D4">
        <w:rPr>
          <w:rFonts w:cs="Arial"/>
        </w:rPr>
        <w:t>La utilización de caracteres de resistencia a las enfermedades y a los insectos en el examen DHE (documentos que elaborarán Australia</w:t>
      </w:r>
      <w:r w:rsidR="007829E4">
        <w:rPr>
          <w:rFonts w:cs="Arial"/>
        </w:rPr>
        <w:t xml:space="preserve">, </w:t>
      </w:r>
      <w:r w:rsidR="004018D4" w:rsidRPr="004018D4">
        <w:rPr>
          <w:rFonts w:cs="Arial"/>
        </w:rPr>
        <w:t>el Brasil</w:t>
      </w:r>
      <w:r w:rsidR="007829E4">
        <w:rPr>
          <w:rFonts w:cs="Arial"/>
        </w:rPr>
        <w:t xml:space="preserve">, </w:t>
      </w:r>
      <w:r w:rsidR="004018D4" w:rsidRPr="004018D4">
        <w:rPr>
          <w:rFonts w:cs="Arial"/>
        </w:rPr>
        <w:t>Francia y la Unión Europea)</w:t>
      </w:r>
    </w:p>
    <w:p w:rsidR="00273DB6" w:rsidRPr="00D51062" w:rsidRDefault="00273DB6" w:rsidP="004018D4">
      <w:pPr>
        <w:spacing w:line="280" w:lineRule="auto"/>
        <w:ind w:left="1134" w:hanging="567"/>
        <w:rPr>
          <w:rFonts w:cs="Arial"/>
        </w:rPr>
      </w:pPr>
      <w:r w:rsidRPr="00D51062">
        <w:rPr>
          <w:rFonts w:cs="Arial"/>
        </w:rPr>
        <w:t>15.</w:t>
      </w:r>
      <w:r w:rsidRPr="00D51062">
        <w:rPr>
          <w:rFonts w:cs="Arial"/>
        </w:rPr>
        <w:tab/>
      </w:r>
      <w:r w:rsidR="004018D4" w:rsidRPr="004018D4">
        <w:rPr>
          <w:rFonts w:cs="Arial"/>
        </w:rPr>
        <w:t>Cuestiones por resolver en lo que respecta a directrices de examen aprobadas por el Comité Técnico (en su caso)</w:t>
      </w:r>
    </w:p>
    <w:p w:rsidR="00273DB6" w:rsidRPr="00D51062" w:rsidRDefault="00273DB6" w:rsidP="004018D4">
      <w:pPr>
        <w:spacing w:line="280" w:lineRule="auto"/>
        <w:ind w:left="1134" w:hanging="567"/>
        <w:rPr>
          <w:rFonts w:cs="Arial"/>
        </w:rPr>
      </w:pPr>
      <w:r w:rsidRPr="00D51062">
        <w:rPr>
          <w:rFonts w:cs="Arial"/>
        </w:rPr>
        <w:t>16.</w:t>
      </w:r>
      <w:r w:rsidRPr="00D51062">
        <w:rPr>
          <w:rFonts w:cs="Arial"/>
        </w:rPr>
        <w:tab/>
      </w:r>
      <w:r w:rsidR="004018D4" w:rsidRPr="004018D4">
        <w:rPr>
          <w:rFonts w:cs="Arial"/>
        </w:rPr>
        <w:t>Debates sobre proyectos de directrices de examen (subgrupos)</w:t>
      </w:r>
    </w:p>
    <w:p w:rsidR="00273DB6" w:rsidRPr="00D51062" w:rsidRDefault="00273DB6" w:rsidP="004018D4">
      <w:pPr>
        <w:spacing w:line="280" w:lineRule="auto"/>
        <w:ind w:left="1134" w:hanging="567"/>
        <w:rPr>
          <w:rFonts w:cs="Arial"/>
        </w:rPr>
      </w:pPr>
      <w:r w:rsidRPr="00D51062">
        <w:rPr>
          <w:rFonts w:cs="Arial"/>
        </w:rPr>
        <w:t>17.</w:t>
      </w:r>
      <w:r w:rsidRPr="00D51062">
        <w:rPr>
          <w:rFonts w:cs="Arial"/>
        </w:rPr>
        <w:tab/>
      </w:r>
      <w:r w:rsidR="004018D4" w:rsidRPr="004018D4">
        <w:rPr>
          <w:rFonts w:cs="Arial"/>
        </w:rPr>
        <w:t>Recomendaciones sobre proyectos de directrices de examen</w:t>
      </w:r>
    </w:p>
    <w:p w:rsidR="00273DB6" w:rsidRPr="00D51062" w:rsidRDefault="00273DB6" w:rsidP="004018D4">
      <w:pPr>
        <w:spacing w:line="280" w:lineRule="auto"/>
        <w:ind w:left="1134" w:hanging="567"/>
        <w:rPr>
          <w:rFonts w:cs="Arial"/>
        </w:rPr>
      </w:pPr>
      <w:r w:rsidRPr="00D51062">
        <w:rPr>
          <w:rFonts w:cs="Arial"/>
        </w:rPr>
        <w:t>18.</w:t>
      </w:r>
      <w:r w:rsidRPr="00D51062">
        <w:rPr>
          <w:rFonts w:cs="Arial"/>
        </w:rPr>
        <w:tab/>
      </w:r>
      <w:r w:rsidR="004018D4" w:rsidRPr="004018D4">
        <w:rPr>
          <w:rFonts w:cs="Arial"/>
        </w:rPr>
        <w:t>Orientación para los redactores de las directrices de examen</w:t>
      </w:r>
    </w:p>
    <w:p w:rsidR="00273DB6" w:rsidRPr="00D51062" w:rsidRDefault="00273DB6" w:rsidP="004018D4">
      <w:pPr>
        <w:spacing w:line="280" w:lineRule="auto"/>
        <w:ind w:left="1134" w:hanging="567"/>
        <w:rPr>
          <w:rFonts w:cs="Arial"/>
        </w:rPr>
      </w:pPr>
      <w:r w:rsidRPr="00D51062">
        <w:rPr>
          <w:rFonts w:cs="Arial"/>
        </w:rPr>
        <w:t>19.</w:t>
      </w:r>
      <w:r w:rsidRPr="00D51062">
        <w:rPr>
          <w:rFonts w:cs="Arial"/>
        </w:rPr>
        <w:tab/>
      </w:r>
      <w:r w:rsidR="004018D4" w:rsidRPr="004018D4">
        <w:rPr>
          <w:rFonts w:cs="Arial"/>
        </w:rPr>
        <w:t>Fecha y lugar de la siguiente reunión</w:t>
      </w:r>
    </w:p>
    <w:p w:rsidR="00273DB6" w:rsidRPr="00D51062" w:rsidRDefault="00273DB6" w:rsidP="004018D4">
      <w:pPr>
        <w:spacing w:line="280" w:lineRule="auto"/>
        <w:ind w:left="1134" w:hanging="567"/>
        <w:rPr>
          <w:rFonts w:cs="Arial"/>
        </w:rPr>
      </w:pPr>
      <w:r w:rsidRPr="00D51062">
        <w:rPr>
          <w:rFonts w:cs="Arial"/>
        </w:rPr>
        <w:t>20.</w:t>
      </w:r>
      <w:r w:rsidRPr="00D51062">
        <w:rPr>
          <w:rFonts w:cs="Arial"/>
        </w:rPr>
        <w:tab/>
      </w:r>
      <w:r w:rsidR="004018D4" w:rsidRPr="004018D4">
        <w:rPr>
          <w:rFonts w:cs="Arial"/>
        </w:rPr>
        <w:t>Futuro programa</w:t>
      </w:r>
    </w:p>
    <w:p w:rsidR="00273DB6" w:rsidRPr="00D51062" w:rsidRDefault="00273DB6" w:rsidP="004018D4">
      <w:pPr>
        <w:spacing w:line="280" w:lineRule="auto"/>
        <w:ind w:left="1134" w:hanging="567"/>
        <w:rPr>
          <w:rFonts w:cs="Arial"/>
        </w:rPr>
      </w:pPr>
      <w:r w:rsidRPr="00D51062">
        <w:rPr>
          <w:rFonts w:cs="Arial"/>
        </w:rPr>
        <w:t>21.</w:t>
      </w:r>
      <w:r w:rsidRPr="00D51062">
        <w:rPr>
          <w:rFonts w:cs="Arial"/>
        </w:rPr>
        <w:tab/>
      </w:r>
      <w:r w:rsidR="004018D4" w:rsidRPr="004018D4">
        <w:rPr>
          <w:rFonts w:cs="Arial"/>
        </w:rPr>
        <w:t>Aprobación del informe de la reunión (si se dispone de tiempo suficiente)</w:t>
      </w:r>
    </w:p>
    <w:p w:rsidR="00273DB6" w:rsidRPr="00D51062" w:rsidRDefault="00273DB6" w:rsidP="004018D4">
      <w:pPr>
        <w:spacing w:line="280" w:lineRule="auto"/>
        <w:ind w:left="1134" w:hanging="567"/>
        <w:rPr>
          <w:rFonts w:cs="Arial"/>
        </w:rPr>
      </w:pPr>
      <w:r w:rsidRPr="00D51062">
        <w:rPr>
          <w:rFonts w:cs="Arial"/>
        </w:rPr>
        <w:t>22.</w:t>
      </w:r>
      <w:r w:rsidRPr="00D51062">
        <w:rPr>
          <w:rFonts w:cs="Arial"/>
        </w:rPr>
        <w:tab/>
      </w:r>
      <w:r w:rsidR="004018D4" w:rsidRPr="004018D4">
        <w:rPr>
          <w:rFonts w:cs="Arial"/>
        </w:rPr>
        <w:t>Clausura de la reunión</w:t>
      </w:r>
    </w:p>
    <w:p w:rsidR="00273DB6" w:rsidRPr="00D51062" w:rsidRDefault="00273DB6" w:rsidP="00273DB6">
      <w:pPr>
        <w:contextualSpacing/>
        <w:rPr>
          <w:rFonts w:cs="Arial"/>
          <w:color w:val="000000"/>
        </w:rPr>
      </w:pPr>
    </w:p>
    <w:p w:rsidR="00273DB6" w:rsidRDefault="007D43C5" w:rsidP="00273DB6">
      <w:pPr>
        <w:contextualSpacing/>
        <w:rPr>
          <w:rFonts w:cs="Arial"/>
          <w:shd w:val="clear" w:color="auto" w:fill="FFFFFF"/>
        </w:rPr>
      </w:pPr>
      <w:r w:rsidRPr="00D51062">
        <w:rPr>
          <w:rFonts w:cs="Arial"/>
          <w:shd w:val="clear" w:color="auto" w:fill="FFFFFF"/>
        </w:rPr>
        <w:fldChar w:fldCharType="begin"/>
      </w:r>
      <w:r w:rsidR="00273DB6" w:rsidRPr="00D51062">
        <w:rPr>
          <w:rFonts w:cs="Arial"/>
          <w:shd w:val="clear" w:color="auto" w:fill="FFFFFF"/>
        </w:rPr>
        <w:instrText xml:space="preserve"> AUTONUM  </w:instrText>
      </w:r>
      <w:r w:rsidRPr="00D51062">
        <w:rPr>
          <w:rFonts w:cs="Arial"/>
          <w:shd w:val="clear" w:color="auto" w:fill="FFFFFF"/>
        </w:rPr>
        <w:fldChar w:fldCharType="end"/>
      </w:r>
      <w:r w:rsidR="00273DB6" w:rsidRPr="00D51062">
        <w:rPr>
          <w:rFonts w:cs="Arial"/>
          <w:shd w:val="clear" w:color="auto" w:fill="FFFFFF"/>
        </w:rPr>
        <w:tab/>
      </w:r>
      <w:r w:rsidR="002A5C00" w:rsidRPr="002A5C00">
        <w:rPr>
          <w:rFonts w:cs="Arial"/>
          <w:shd w:val="clear" w:color="auto" w:fill="FFFFFF"/>
        </w:rPr>
        <w:t>El</w:t>
      </w:r>
      <w:r w:rsidR="007829E4">
        <w:rPr>
          <w:rFonts w:cs="Arial"/>
          <w:shd w:val="clear" w:color="auto" w:fill="FFFFFF"/>
        </w:rPr>
        <w:t> </w:t>
      </w:r>
      <w:r w:rsidR="007829E4" w:rsidRPr="002A5C00">
        <w:rPr>
          <w:rFonts w:cs="Arial"/>
          <w:shd w:val="clear" w:color="auto" w:fill="FFFFFF"/>
        </w:rPr>
        <w:t>1</w:t>
      </w:r>
      <w:r w:rsidR="002A5C00" w:rsidRPr="002A5C00">
        <w:rPr>
          <w:rFonts w:cs="Arial"/>
          <w:shd w:val="clear" w:color="auto" w:fill="FFFFFF"/>
        </w:rPr>
        <w:t>3 de julio de</w:t>
      </w:r>
      <w:r w:rsidR="007829E4">
        <w:rPr>
          <w:rFonts w:cs="Arial"/>
          <w:shd w:val="clear" w:color="auto" w:fill="FFFFFF"/>
        </w:rPr>
        <w:t> </w:t>
      </w:r>
      <w:r w:rsidR="007829E4" w:rsidRPr="002A5C00">
        <w:rPr>
          <w:rFonts w:cs="Arial"/>
          <w:shd w:val="clear" w:color="auto" w:fill="FFFFFF"/>
        </w:rPr>
        <w:t>2</w:t>
      </w:r>
      <w:r w:rsidR="002A5C00" w:rsidRPr="002A5C00">
        <w:rPr>
          <w:rFonts w:cs="Arial"/>
          <w:shd w:val="clear" w:color="auto" w:fill="FFFFFF"/>
        </w:rPr>
        <w:t>016</w:t>
      </w:r>
      <w:r w:rsidR="007829E4">
        <w:rPr>
          <w:rFonts w:cs="Arial"/>
          <w:shd w:val="clear" w:color="auto" w:fill="FFFFFF"/>
        </w:rPr>
        <w:t xml:space="preserve">, </w:t>
      </w:r>
      <w:r w:rsidR="002A5C00" w:rsidRPr="002A5C00">
        <w:rPr>
          <w:rFonts w:cs="Arial"/>
          <w:shd w:val="clear" w:color="auto" w:fill="FFFFFF"/>
        </w:rPr>
        <w:t>el TWA visitó el Centro Internacional para el Mejoramiento del Maíz y del Trigo (CIMMYT).</w:t>
      </w:r>
      <w:r w:rsidR="00273DB6" w:rsidRPr="00D51062">
        <w:rPr>
          <w:rFonts w:cs="Arial"/>
          <w:shd w:val="clear" w:color="auto" w:fill="FFFFFF"/>
        </w:rPr>
        <w:t xml:space="preserve">  </w:t>
      </w:r>
      <w:r w:rsidR="002A5C00" w:rsidRPr="008348D7">
        <w:rPr>
          <w:rFonts w:cs="Arial"/>
          <w:shd w:val="clear" w:color="auto" w:fill="FFFFFF"/>
        </w:rPr>
        <w:t>Tras la bienvenida de la Sra. Isabel Vianey Peña Mendoza de Relaciones Institucionales para América Latina</w:t>
      </w:r>
      <w:r w:rsidR="007829E4">
        <w:rPr>
          <w:rFonts w:cs="Arial"/>
          <w:shd w:val="clear" w:color="auto" w:fill="FFFFFF"/>
        </w:rPr>
        <w:t xml:space="preserve">, </w:t>
      </w:r>
      <w:r w:rsidR="002A5C00" w:rsidRPr="008348D7">
        <w:rPr>
          <w:rFonts w:cs="Arial"/>
          <w:shd w:val="clear" w:color="auto" w:fill="FFFFFF"/>
        </w:rPr>
        <w:t>el TWA asistió a tres ponencias:</w:t>
      </w:r>
      <w:r w:rsidR="00273DB6" w:rsidRPr="00D51062">
        <w:rPr>
          <w:rFonts w:cs="Arial"/>
          <w:shd w:val="clear" w:color="auto" w:fill="FFFFFF"/>
        </w:rPr>
        <w:t xml:space="preserve">  </w:t>
      </w:r>
      <w:r w:rsidR="008348D7" w:rsidRPr="008348D7">
        <w:rPr>
          <w:rFonts w:cs="Arial"/>
          <w:shd w:val="clear" w:color="auto" w:fill="FFFFFF"/>
        </w:rPr>
        <w:t>“El CIMMYT</w:t>
      </w:r>
      <w:r w:rsidR="007829E4">
        <w:rPr>
          <w:rFonts w:cs="Arial"/>
          <w:shd w:val="clear" w:color="auto" w:fill="FFFFFF"/>
        </w:rPr>
        <w:t xml:space="preserve">:  </w:t>
      </w:r>
      <w:r w:rsidR="008348D7" w:rsidRPr="008348D7">
        <w:rPr>
          <w:rFonts w:cs="Arial"/>
          <w:shd w:val="clear" w:color="auto" w:fill="FFFFFF"/>
        </w:rPr>
        <w:t>panorama general”</w:t>
      </w:r>
      <w:r w:rsidR="007829E4">
        <w:rPr>
          <w:rFonts w:cs="Arial"/>
          <w:shd w:val="clear" w:color="auto" w:fill="FFFFFF"/>
        </w:rPr>
        <w:t xml:space="preserve">, </w:t>
      </w:r>
      <w:r w:rsidR="008348D7" w:rsidRPr="008348D7">
        <w:rPr>
          <w:rFonts w:cs="Arial"/>
          <w:shd w:val="clear" w:color="auto" w:fill="FFFFFF"/>
        </w:rPr>
        <w:t>presentada por el Sr. Bram Govaerts</w:t>
      </w:r>
      <w:r w:rsidR="007829E4">
        <w:rPr>
          <w:rFonts w:cs="Arial"/>
          <w:shd w:val="clear" w:color="auto" w:fill="FFFFFF"/>
        </w:rPr>
        <w:t xml:space="preserve">, </w:t>
      </w:r>
      <w:r w:rsidR="008348D7" w:rsidRPr="008348D7">
        <w:rPr>
          <w:rFonts w:cs="Arial"/>
          <w:shd w:val="clear" w:color="auto" w:fill="FFFFFF"/>
        </w:rPr>
        <w:t>Representante Regional para América Latina;</w:t>
      </w:r>
      <w:r w:rsidR="00273DB6" w:rsidRPr="00D51062">
        <w:rPr>
          <w:rFonts w:cs="Arial"/>
          <w:shd w:val="clear" w:color="auto" w:fill="FFFFFF"/>
        </w:rPr>
        <w:t xml:space="preserve"> </w:t>
      </w:r>
      <w:r w:rsidR="002A5C00">
        <w:rPr>
          <w:rFonts w:cs="Arial"/>
          <w:shd w:val="clear" w:color="auto" w:fill="FFFFFF"/>
        </w:rPr>
        <w:t xml:space="preserve"> </w:t>
      </w:r>
      <w:r w:rsidR="008348D7" w:rsidRPr="008348D7">
        <w:rPr>
          <w:rFonts w:cs="Arial"/>
          <w:shd w:val="clear" w:color="auto" w:fill="FFFFFF"/>
        </w:rPr>
        <w:t>“El Programa Global de Trigo del CIMMYT”</w:t>
      </w:r>
      <w:r w:rsidR="007829E4">
        <w:rPr>
          <w:rFonts w:cs="Arial"/>
          <w:shd w:val="clear" w:color="auto" w:fill="FFFFFF"/>
        </w:rPr>
        <w:t xml:space="preserve">, </w:t>
      </w:r>
      <w:r w:rsidR="008348D7" w:rsidRPr="008348D7">
        <w:rPr>
          <w:rFonts w:cs="Arial"/>
          <w:shd w:val="clear" w:color="auto" w:fill="FFFFFF"/>
        </w:rPr>
        <w:t>presentada por el Sr. Matthew Reynolds</w:t>
      </w:r>
      <w:r w:rsidR="007829E4">
        <w:rPr>
          <w:rFonts w:cs="Arial"/>
          <w:shd w:val="clear" w:color="auto" w:fill="FFFFFF"/>
        </w:rPr>
        <w:t xml:space="preserve">, </w:t>
      </w:r>
      <w:r w:rsidR="008348D7" w:rsidRPr="008348D7">
        <w:rPr>
          <w:rFonts w:cs="Arial"/>
          <w:shd w:val="clear" w:color="auto" w:fill="FFFFFF"/>
        </w:rPr>
        <w:t>Investigador distinguido del Programa Global del Trigo;</w:t>
      </w:r>
      <w:r w:rsidR="00273DB6" w:rsidRPr="00D51062">
        <w:rPr>
          <w:rFonts w:cs="Arial"/>
          <w:shd w:val="clear" w:color="auto" w:fill="FFFFFF"/>
        </w:rPr>
        <w:t xml:space="preserve"> </w:t>
      </w:r>
      <w:r w:rsidR="008348D7">
        <w:rPr>
          <w:rFonts w:cs="Arial"/>
          <w:shd w:val="clear" w:color="auto" w:fill="FFFFFF"/>
        </w:rPr>
        <w:t xml:space="preserve"> </w:t>
      </w:r>
      <w:r w:rsidR="008348D7" w:rsidRPr="008348D7">
        <w:rPr>
          <w:rFonts w:cs="Arial"/>
          <w:shd w:val="clear" w:color="auto" w:fill="FFFFFF"/>
        </w:rPr>
        <w:t>y “La labor con el sector privado”</w:t>
      </w:r>
      <w:r w:rsidR="007829E4">
        <w:rPr>
          <w:rFonts w:cs="Arial"/>
          <w:shd w:val="clear" w:color="auto" w:fill="FFFFFF"/>
        </w:rPr>
        <w:t xml:space="preserve">, </w:t>
      </w:r>
      <w:r w:rsidR="008348D7" w:rsidRPr="008348D7">
        <w:rPr>
          <w:rFonts w:cs="Arial"/>
          <w:shd w:val="clear" w:color="auto" w:fill="FFFFFF"/>
        </w:rPr>
        <w:t>presentada por el Sr. Arturo Silva Hinojosa</w:t>
      </w:r>
      <w:r w:rsidR="007829E4">
        <w:rPr>
          <w:rFonts w:cs="Arial"/>
          <w:shd w:val="clear" w:color="auto" w:fill="FFFFFF"/>
        </w:rPr>
        <w:t xml:space="preserve">, </w:t>
      </w:r>
      <w:r w:rsidR="008348D7" w:rsidRPr="008348D7">
        <w:rPr>
          <w:rFonts w:cs="Arial"/>
          <w:shd w:val="clear" w:color="auto" w:fill="FFFFFF"/>
        </w:rPr>
        <w:t>Coordinador del Consorcio Internacional de Mejoramiento de Maíz.</w:t>
      </w:r>
      <w:r w:rsidR="00273DB6" w:rsidRPr="00D51062">
        <w:rPr>
          <w:rFonts w:cs="Arial"/>
          <w:shd w:val="clear" w:color="auto" w:fill="FFFFFF"/>
        </w:rPr>
        <w:t xml:space="preserve">  </w:t>
      </w:r>
      <w:r w:rsidR="008348D7" w:rsidRPr="008348D7">
        <w:rPr>
          <w:rFonts w:cs="Arial"/>
          <w:shd w:val="clear" w:color="auto" w:fill="FFFFFF"/>
        </w:rPr>
        <w:t>El TWA visitó el banco de germoplasma del CIMMYT donde le dio la bienvenida el jefe del Centro de Recursos Genéticos</w:t>
      </w:r>
      <w:r w:rsidR="007829E4">
        <w:rPr>
          <w:rFonts w:cs="Arial"/>
          <w:shd w:val="clear" w:color="auto" w:fill="FFFFFF"/>
        </w:rPr>
        <w:t xml:space="preserve">, </w:t>
      </w:r>
      <w:r w:rsidR="008348D7" w:rsidRPr="008348D7">
        <w:rPr>
          <w:rFonts w:cs="Arial"/>
          <w:shd w:val="clear" w:color="auto" w:fill="FFFFFF"/>
        </w:rPr>
        <w:t>el Sr. Thomas Payne.</w:t>
      </w:r>
      <w:r w:rsidR="00273DB6" w:rsidRPr="00D51062">
        <w:rPr>
          <w:rFonts w:cs="Arial"/>
          <w:shd w:val="clear" w:color="auto" w:fill="FFFFFF"/>
        </w:rPr>
        <w:t xml:space="preserve"> </w:t>
      </w:r>
      <w:r w:rsidR="008348D7" w:rsidRPr="008348D7">
        <w:rPr>
          <w:rFonts w:cs="Arial"/>
          <w:shd w:val="clear" w:color="auto" w:fill="FFFFFF"/>
        </w:rPr>
        <w:t>El TWA también visitó los ensayos de ricino y quinoa en la Universidad Autónoma Chapingo donde fue recibido por el Sr. </w:t>
      </w:r>
      <w:r w:rsidR="00D16675" w:rsidRPr="005440E1">
        <w:rPr>
          <w:rFonts w:cs="Arial"/>
          <w:shd w:val="clear" w:color="auto" w:fill="FFFFFF"/>
        </w:rPr>
        <w:t>A</w:t>
      </w:r>
      <w:r w:rsidR="008348D7" w:rsidRPr="005440E1">
        <w:rPr>
          <w:rFonts w:cs="Arial"/>
          <w:shd w:val="clear" w:color="auto" w:fill="FFFFFF"/>
        </w:rPr>
        <w:t>gustín</w:t>
      </w:r>
      <w:r w:rsidR="008348D7" w:rsidRPr="008348D7">
        <w:rPr>
          <w:rFonts w:cs="Arial"/>
          <w:shd w:val="clear" w:color="auto" w:fill="FFFFFF"/>
        </w:rPr>
        <w:t xml:space="preserve"> López Herrera</w:t>
      </w:r>
      <w:r w:rsidR="007829E4">
        <w:rPr>
          <w:rFonts w:cs="Arial"/>
          <w:shd w:val="clear" w:color="auto" w:fill="FFFFFF"/>
        </w:rPr>
        <w:t xml:space="preserve">, </w:t>
      </w:r>
      <w:r w:rsidR="008348D7" w:rsidRPr="008348D7">
        <w:rPr>
          <w:rFonts w:cs="Arial"/>
          <w:shd w:val="clear" w:color="auto" w:fill="FFFFFF"/>
        </w:rPr>
        <w:t>Profesor Investigador</w:t>
      </w:r>
      <w:r w:rsidR="007829E4">
        <w:rPr>
          <w:rFonts w:cs="Arial"/>
          <w:shd w:val="clear" w:color="auto" w:fill="FFFFFF"/>
        </w:rPr>
        <w:t xml:space="preserve">, </w:t>
      </w:r>
      <w:r w:rsidR="008348D7" w:rsidRPr="008348D7">
        <w:rPr>
          <w:rFonts w:cs="Arial"/>
          <w:shd w:val="clear" w:color="auto" w:fill="FFFFFF"/>
        </w:rPr>
        <w:t>y la Sra. María Antonieta Goytia Jiménez</w:t>
      </w:r>
      <w:r w:rsidR="007829E4">
        <w:rPr>
          <w:rFonts w:cs="Arial"/>
          <w:shd w:val="clear" w:color="auto" w:fill="FFFFFF"/>
        </w:rPr>
        <w:t xml:space="preserve">, </w:t>
      </w:r>
      <w:r w:rsidR="008348D7" w:rsidRPr="008348D7">
        <w:rPr>
          <w:rFonts w:cs="Arial"/>
          <w:shd w:val="clear" w:color="auto" w:fill="FFFFFF"/>
        </w:rPr>
        <w:t>Directora General de Administración.</w:t>
      </w:r>
    </w:p>
    <w:p w:rsidR="00273DB6" w:rsidRDefault="00273DB6" w:rsidP="00273DB6">
      <w:pPr>
        <w:contextualSpacing/>
        <w:rPr>
          <w:rFonts w:cs="Arial"/>
          <w:shd w:val="clear" w:color="auto" w:fill="FFFFFF"/>
        </w:rPr>
      </w:pPr>
    </w:p>
    <w:p w:rsidR="00273DB6" w:rsidRPr="00D51062" w:rsidRDefault="00273DB6" w:rsidP="00273DB6">
      <w:pPr>
        <w:contextualSpacing/>
        <w:rPr>
          <w:rFonts w:cs="Arial"/>
          <w:color w:val="000000"/>
        </w:rPr>
      </w:pPr>
    </w:p>
    <w:p w:rsidR="00273DB6" w:rsidRPr="009B196C" w:rsidRDefault="008348D7" w:rsidP="00273DB6">
      <w:pPr>
        <w:pStyle w:val="Heading3"/>
        <w:rPr>
          <w:lang w:val="es-ES"/>
        </w:rPr>
      </w:pPr>
      <w:bookmarkStart w:id="64" w:name="_Toc492290071"/>
      <w:r w:rsidRPr="008348D7">
        <w:rPr>
          <w:lang w:val="es-ES_tradnl"/>
        </w:rPr>
        <w:t>Grupo de Trabajo Técnico sobre Automatización y Programas Informáticos</w:t>
      </w:r>
      <w:bookmarkEnd w:id="64"/>
    </w:p>
    <w:p w:rsidR="00273DB6" w:rsidRPr="00D51062" w:rsidRDefault="00273DB6" w:rsidP="00273DB6">
      <w:pPr>
        <w:keepNext/>
      </w:pPr>
    </w:p>
    <w:p w:rsidR="00273DB6" w:rsidRPr="009B196C" w:rsidRDefault="007D43C5" w:rsidP="00273DB6">
      <w:pPr>
        <w:tabs>
          <w:tab w:val="left" w:pos="567"/>
        </w:tabs>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8348D7" w:rsidRPr="008E1311">
        <w:rPr>
          <w:rFonts w:cs="Arial"/>
        </w:rPr>
        <w:t xml:space="preserve">El Grupo de Trabajo Técnico sobre Automatización y Programas Informáticos (TWC) celebró su trigésima cuarta reunión en </w:t>
      </w:r>
      <w:r w:rsidR="00445D48" w:rsidRPr="008E1311">
        <w:rPr>
          <w:rFonts w:cs="Arial"/>
        </w:rPr>
        <w:t>Shanghái</w:t>
      </w:r>
      <w:r w:rsidR="008348D7" w:rsidRPr="008E1311">
        <w:rPr>
          <w:rFonts w:cs="Arial"/>
        </w:rPr>
        <w:t xml:space="preserve"> (China) del</w:t>
      </w:r>
      <w:r w:rsidR="007829E4">
        <w:rPr>
          <w:rFonts w:cs="Arial"/>
        </w:rPr>
        <w:t> </w:t>
      </w:r>
      <w:r w:rsidR="007829E4" w:rsidRPr="008E1311">
        <w:rPr>
          <w:rFonts w:cs="Arial"/>
        </w:rPr>
        <w:t>7</w:t>
      </w:r>
      <w:r w:rsidR="008348D7" w:rsidRPr="008E1311">
        <w:rPr>
          <w:rFonts w:cs="Arial"/>
        </w:rPr>
        <w:t xml:space="preserve"> al</w:t>
      </w:r>
      <w:r w:rsidR="007829E4">
        <w:rPr>
          <w:rFonts w:cs="Arial"/>
        </w:rPr>
        <w:t> </w:t>
      </w:r>
      <w:r w:rsidR="007829E4" w:rsidRPr="008E1311">
        <w:rPr>
          <w:rFonts w:cs="Arial"/>
        </w:rPr>
        <w:t>1</w:t>
      </w:r>
      <w:r w:rsidR="008348D7" w:rsidRPr="008E1311">
        <w:rPr>
          <w:rFonts w:cs="Arial"/>
        </w:rPr>
        <w:t>0 de junio de</w:t>
      </w:r>
      <w:r w:rsidR="007829E4">
        <w:rPr>
          <w:rFonts w:cs="Arial"/>
        </w:rPr>
        <w:t> </w:t>
      </w:r>
      <w:r w:rsidR="007829E4" w:rsidRPr="008E1311">
        <w:rPr>
          <w:rFonts w:cs="Arial"/>
        </w:rPr>
        <w:t>2</w:t>
      </w:r>
      <w:r w:rsidR="008348D7" w:rsidRPr="008E1311">
        <w:rPr>
          <w:rFonts w:cs="Arial"/>
        </w:rPr>
        <w:t>016</w:t>
      </w:r>
      <w:r w:rsidR="007829E4">
        <w:rPr>
          <w:rFonts w:cs="Arial"/>
        </w:rPr>
        <w:t xml:space="preserve">, </w:t>
      </w:r>
      <w:r w:rsidR="008348D7" w:rsidRPr="008E1311">
        <w:rPr>
          <w:rFonts w:cs="Arial"/>
        </w:rPr>
        <w:t>bajo la presidencia del Sr. Adrian Roberts (Reino Unido).</w:t>
      </w:r>
      <w:r w:rsidR="00273DB6" w:rsidRPr="009B196C">
        <w:rPr>
          <w:rFonts w:cs="Arial"/>
          <w:lang w:val="es-ES"/>
        </w:rPr>
        <w:t xml:space="preserve">  </w:t>
      </w:r>
      <w:r w:rsidR="00F501DA" w:rsidRPr="00F501DA">
        <w:rPr>
          <w:rFonts w:cs="Arial"/>
        </w:rPr>
        <w:t>El informe de la reunión figura en el documento TWC/34/32 “</w:t>
      </w:r>
      <w:r w:rsidR="00F501DA" w:rsidRPr="009B196C">
        <w:rPr>
          <w:rFonts w:cs="Arial"/>
          <w:i/>
          <w:lang w:val="es-ES"/>
        </w:rPr>
        <w:t>Report</w:t>
      </w:r>
      <w:r w:rsidR="00F501DA" w:rsidRPr="00F501DA">
        <w:rPr>
          <w:rFonts w:cs="Arial"/>
        </w:rPr>
        <w:t>” (Informe).</w:t>
      </w:r>
    </w:p>
    <w:p w:rsidR="00273DB6" w:rsidRPr="009B196C" w:rsidRDefault="00273DB6" w:rsidP="00273DB6">
      <w:pPr>
        <w:tabs>
          <w:tab w:val="left" w:pos="567"/>
        </w:tabs>
        <w:rPr>
          <w:rFonts w:cs="Arial"/>
          <w:lang w:val="es-ES"/>
        </w:rPr>
      </w:pPr>
    </w:p>
    <w:p w:rsidR="00273DB6" w:rsidRPr="009B196C" w:rsidRDefault="007D43C5" w:rsidP="00273DB6">
      <w:pPr>
        <w:tabs>
          <w:tab w:val="left" w:pos="567"/>
        </w:tabs>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F501DA" w:rsidRPr="00F501DA">
        <w:rPr>
          <w:rFonts w:cs="Arial"/>
        </w:rPr>
        <w:t>Asistieron a la reunión</w:t>
      </w:r>
      <w:r w:rsidR="007829E4">
        <w:rPr>
          <w:rFonts w:cs="Arial"/>
        </w:rPr>
        <w:t> </w:t>
      </w:r>
      <w:r w:rsidR="007829E4" w:rsidRPr="00F501DA">
        <w:rPr>
          <w:rFonts w:cs="Arial"/>
        </w:rPr>
        <w:t>3</w:t>
      </w:r>
      <w:r w:rsidR="00F501DA" w:rsidRPr="00F501DA">
        <w:rPr>
          <w:rFonts w:cs="Arial"/>
        </w:rPr>
        <w:t>4 participantes procedentes de</w:t>
      </w:r>
      <w:r w:rsidR="007829E4">
        <w:rPr>
          <w:rFonts w:cs="Arial"/>
        </w:rPr>
        <w:t> </w:t>
      </w:r>
      <w:r w:rsidR="007829E4" w:rsidRPr="00F501DA">
        <w:rPr>
          <w:rFonts w:cs="Arial"/>
        </w:rPr>
        <w:t>1</w:t>
      </w:r>
      <w:r w:rsidR="00F501DA" w:rsidRPr="00F501DA">
        <w:rPr>
          <w:rFonts w:cs="Arial"/>
        </w:rPr>
        <w:t>0 miembros de la Unión.</w:t>
      </w:r>
      <w:r w:rsidR="00273DB6" w:rsidRPr="009B196C">
        <w:rPr>
          <w:rFonts w:cs="Arial"/>
          <w:lang w:val="es-ES"/>
        </w:rPr>
        <w:t xml:space="preserve">  </w:t>
      </w:r>
      <w:r w:rsidR="00F501DA" w:rsidRPr="00F501DA">
        <w:rPr>
          <w:rFonts w:cs="Arial"/>
        </w:rPr>
        <w:t>El taller preparatorio</w:t>
      </w:r>
      <w:r w:rsidR="007829E4">
        <w:rPr>
          <w:rFonts w:cs="Arial"/>
        </w:rPr>
        <w:t xml:space="preserve">, </w:t>
      </w:r>
      <w:r w:rsidR="00F501DA" w:rsidRPr="00F501DA">
        <w:rPr>
          <w:rFonts w:cs="Arial"/>
        </w:rPr>
        <w:t>al que asistieron 8 participantes de</w:t>
      </w:r>
      <w:r w:rsidR="007829E4">
        <w:rPr>
          <w:rFonts w:cs="Arial"/>
        </w:rPr>
        <w:t> </w:t>
      </w:r>
      <w:r w:rsidR="007829E4" w:rsidRPr="00F501DA">
        <w:rPr>
          <w:rFonts w:cs="Arial"/>
        </w:rPr>
        <w:t>5</w:t>
      </w:r>
      <w:r w:rsidR="00F501DA" w:rsidRPr="00F501DA">
        <w:rPr>
          <w:rFonts w:cs="Arial"/>
        </w:rPr>
        <w:t xml:space="preserve"> miembros de la Unión</w:t>
      </w:r>
      <w:r w:rsidR="007829E4">
        <w:rPr>
          <w:rFonts w:cs="Arial"/>
        </w:rPr>
        <w:t xml:space="preserve">, </w:t>
      </w:r>
      <w:r w:rsidR="00F501DA" w:rsidRPr="00F501DA">
        <w:rPr>
          <w:rFonts w:cs="Arial"/>
        </w:rPr>
        <w:t>tuvo lugar el</w:t>
      </w:r>
      <w:r w:rsidR="007829E4">
        <w:rPr>
          <w:rFonts w:cs="Arial"/>
        </w:rPr>
        <w:t> </w:t>
      </w:r>
      <w:r w:rsidR="007829E4" w:rsidRPr="00F501DA">
        <w:rPr>
          <w:rFonts w:cs="Arial"/>
        </w:rPr>
        <w:t>6</w:t>
      </w:r>
      <w:r w:rsidR="00F501DA" w:rsidRPr="00F501DA">
        <w:rPr>
          <w:rFonts w:cs="Arial"/>
        </w:rPr>
        <w:t xml:space="preserve"> de junio por la tarde.</w:t>
      </w:r>
      <w:r w:rsidR="00273DB6" w:rsidRPr="009B196C">
        <w:rPr>
          <w:rFonts w:cs="Arial"/>
          <w:lang w:val="es-ES"/>
        </w:rPr>
        <w:t xml:space="preserve"> </w:t>
      </w:r>
    </w:p>
    <w:p w:rsidR="00273DB6" w:rsidRPr="009B196C" w:rsidRDefault="00273DB6" w:rsidP="00273DB6">
      <w:pPr>
        <w:tabs>
          <w:tab w:val="left" w:pos="567"/>
        </w:tabs>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CE64E9" w:rsidRPr="00CE64E9">
        <w:rPr>
          <w:rFonts w:cs="Arial"/>
        </w:rPr>
        <w:t>Dieron la bienvenida a los participantes el Sr. Yang Xiongnian</w:t>
      </w:r>
      <w:r w:rsidR="007829E4">
        <w:rPr>
          <w:rFonts w:cs="Arial"/>
        </w:rPr>
        <w:t xml:space="preserve">, </w:t>
      </w:r>
      <w:r w:rsidR="00CE64E9" w:rsidRPr="00CE64E9">
        <w:rPr>
          <w:rFonts w:cs="Arial"/>
        </w:rPr>
        <w:t>Director General del Centro de Desarrollo Científico y Tecnológico del Ministerio de Agricultura (Director General de la Estación de Examen DHE de Nuevas Obtenciones Vegetales de dicho Ministerio)</w:t>
      </w:r>
      <w:r w:rsidR="007829E4">
        <w:rPr>
          <w:rFonts w:cs="Arial"/>
        </w:rPr>
        <w:t xml:space="preserve">, </w:t>
      </w:r>
      <w:r w:rsidR="00CE64E9" w:rsidRPr="00CE64E9">
        <w:rPr>
          <w:rFonts w:cs="Arial"/>
        </w:rPr>
        <w:t>el Sr. Cai Youming</w:t>
      </w:r>
      <w:r w:rsidR="007829E4">
        <w:rPr>
          <w:rFonts w:cs="Arial"/>
        </w:rPr>
        <w:t xml:space="preserve">, </w:t>
      </w:r>
      <w:r w:rsidR="00CE64E9" w:rsidRPr="00CE64E9">
        <w:rPr>
          <w:rFonts w:cs="Arial"/>
        </w:rPr>
        <w:t>Presidente de la Academia de Ciencias Agrícolas de Shanghái</w:t>
      </w:r>
      <w:r w:rsidR="007829E4">
        <w:rPr>
          <w:rFonts w:cs="Arial"/>
        </w:rPr>
        <w:t xml:space="preserve">, </w:t>
      </w:r>
      <w:r w:rsidR="00CE64E9" w:rsidRPr="00CE64E9">
        <w:rPr>
          <w:rFonts w:cs="Arial"/>
        </w:rPr>
        <w:t>y el Sr. Ma Zhiqiang</w:t>
      </w:r>
      <w:r w:rsidR="007829E4">
        <w:rPr>
          <w:rFonts w:cs="Arial"/>
        </w:rPr>
        <w:t xml:space="preserve">, </w:t>
      </w:r>
      <w:r w:rsidR="00CE64E9" w:rsidRPr="00CE64E9">
        <w:rPr>
          <w:rFonts w:cs="Arial"/>
        </w:rPr>
        <w:t>Jefe de la División de Gestión de Variedades del Oficina de Gestión de Semillas del mismo Ministerio.</w:t>
      </w:r>
      <w:r w:rsidR="00273DB6" w:rsidRPr="009B196C">
        <w:rPr>
          <w:rFonts w:cs="Arial"/>
          <w:lang w:val="es-ES"/>
        </w:rPr>
        <w:t xml:space="preserve"> </w:t>
      </w:r>
      <w:r w:rsidR="00CE64E9" w:rsidRPr="009B196C">
        <w:rPr>
          <w:rFonts w:cs="Arial"/>
          <w:lang w:val="es-ES"/>
        </w:rPr>
        <w:t xml:space="preserve"> </w:t>
      </w:r>
      <w:r w:rsidR="00CE64E9" w:rsidRPr="00CE64E9">
        <w:rPr>
          <w:rFonts w:cs="Arial"/>
        </w:rPr>
        <w:t>El TWC asistió a una ponencia sobre el sistema de protección de las obtenciones vegetales en China a cargo del Sr. Cui Yehan</w:t>
      </w:r>
      <w:r w:rsidR="007829E4">
        <w:rPr>
          <w:rFonts w:cs="Arial"/>
        </w:rPr>
        <w:t xml:space="preserve">, </w:t>
      </w:r>
      <w:r w:rsidR="00CE64E9" w:rsidRPr="00CE64E9">
        <w:rPr>
          <w:rFonts w:cs="Arial"/>
        </w:rPr>
        <w:t>Profesor y Director de la División de Protección de las Obtenciones Vegetales del Centro de Desarrollo Científico y Tecnológico perteneciente al Ministerio de Agricultura.</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CE64E9" w:rsidRPr="00CE64E9">
        <w:rPr>
          <w:rFonts w:cs="Arial"/>
        </w:rPr>
        <w:t>En la tarde del</w:t>
      </w:r>
      <w:r w:rsidR="007829E4">
        <w:rPr>
          <w:rFonts w:cs="Arial"/>
        </w:rPr>
        <w:t> </w:t>
      </w:r>
      <w:r w:rsidR="007829E4" w:rsidRPr="00CE64E9">
        <w:rPr>
          <w:rFonts w:cs="Arial"/>
        </w:rPr>
        <w:t>9</w:t>
      </w:r>
      <w:r w:rsidR="00CE64E9" w:rsidRPr="00CE64E9">
        <w:rPr>
          <w:rFonts w:cs="Arial"/>
        </w:rPr>
        <w:t xml:space="preserve"> de junio de 2016</w:t>
      </w:r>
      <w:r w:rsidR="007829E4">
        <w:rPr>
          <w:rFonts w:cs="Arial"/>
        </w:rPr>
        <w:t xml:space="preserve">, </w:t>
      </w:r>
      <w:r w:rsidR="00CE64E9" w:rsidRPr="00CE64E9">
        <w:rPr>
          <w:rFonts w:cs="Arial"/>
        </w:rPr>
        <w:t>el TWC visitó la Estación experimental Zhuanghang de la Academia de Ciencias Agrícolas de Shanghái (SAAS)</w:t>
      </w:r>
      <w:r w:rsidR="007829E4">
        <w:rPr>
          <w:rFonts w:cs="Arial"/>
        </w:rPr>
        <w:t xml:space="preserve">, </w:t>
      </w:r>
      <w:r w:rsidR="00CE64E9" w:rsidRPr="00CE64E9">
        <w:rPr>
          <w:rFonts w:cs="Arial"/>
        </w:rPr>
        <w:t>en Shanghái</w:t>
      </w:r>
      <w:r w:rsidR="007829E4">
        <w:rPr>
          <w:rFonts w:cs="Arial"/>
        </w:rPr>
        <w:t xml:space="preserve">, </w:t>
      </w:r>
      <w:r w:rsidR="00CE64E9" w:rsidRPr="00CE64E9">
        <w:rPr>
          <w:rFonts w:cs="Arial"/>
        </w:rPr>
        <w:t>donde asistió a ponencias y visitó los ensayos DHE de plantas ornamentales y hortalizas</w:t>
      </w:r>
      <w:r w:rsidR="007829E4">
        <w:rPr>
          <w:rFonts w:cs="Arial"/>
        </w:rPr>
        <w:t xml:space="preserve">, </w:t>
      </w:r>
      <w:r w:rsidR="00CE64E9" w:rsidRPr="00CE64E9">
        <w:rPr>
          <w:rFonts w:cs="Arial"/>
        </w:rPr>
        <w:t>entre otros.</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841BBB" w:rsidRPr="00256232">
        <w:rPr>
          <w:rFonts w:cs="Arial"/>
        </w:rPr>
        <w:t>El TWC recibió un informe verbal del Sr. Kees van Ettekoven (Países Bajos)</w:t>
      </w:r>
      <w:r w:rsidR="007829E4">
        <w:rPr>
          <w:rFonts w:cs="Arial"/>
        </w:rPr>
        <w:t xml:space="preserve">, </w:t>
      </w:r>
      <w:r w:rsidR="007072D4" w:rsidRPr="00256232">
        <w:rPr>
          <w:rFonts w:cs="Arial"/>
        </w:rPr>
        <w:t xml:space="preserve">presidente </w:t>
      </w:r>
      <w:r w:rsidR="00841BBB" w:rsidRPr="00256232">
        <w:rPr>
          <w:rFonts w:cs="Arial"/>
        </w:rPr>
        <w:t>del BMT</w:t>
      </w:r>
      <w:r w:rsidR="007829E4">
        <w:rPr>
          <w:rFonts w:cs="Arial"/>
        </w:rPr>
        <w:t xml:space="preserve">, </w:t>
      </w:r>
      <w:r w:rsidR="00841BBB" w:rsidRPr="00256232">
        <w:rPr>
          <w:rFonts w:cs="Arial"/>
        </w:rPr>
        <w:t>sobre la decimoquinta reunión de este grupo de trabajo.</w:t>
      </w:r>
      <w:r w:rsidR="00642BCD" w:rsidRPr="009B196C">
        <w:rPr>
          <w:rFonts w:cs="Arial"/>
          <w:lang w:val="es-ES"/>
        </w:rPr>
        <w:t xml:space="preserve">  </w:t>
      </w:r>
      <w:r w:rsidR="00256232" w:rsidRPr="00256232">
        <w:rPr>
          <w:rFonts w:cs="Arial"/>
        </w:rPr>
        <w:t>El TWC también asistió a una ponencia sobre bioinformática a cargo de un experto de los Países Bajos (anexo del documento TWC/34/24).</w:t>
      </w:r>
      <w:r w:rsidR="00273DB6" w:rsidRPr="009B196C">
        <w:rPr>
          <w:rFonts w:cs="Arial"/>
          <w:lang w:val="es-ES"/>
        </w:rPr>
        <w:t xml:space="preserve">  </w:t>
      </w:r>
      <w:r w:rsidR="00256232" w:rsidRPr="00256232">
        <w:rPr>
          <w:rFonts w:cs="Arial"/>
        </w:rPr>
        <w:t>El TWC convino en que la bioinformática es un campo de trabajo muy vinculado al mandato del TWC</w:t>
      </w:r>
      <w:r w:rsidR="007829E4">
        <w:rPr>
          <w:rFonts w:cs="Arial"/>
        </w:rPr>
        <w:t xml:space="preserve">, </w:t>
      </w:r>
      <w:r w:rsidR="00256232" w:rsidRPr="00256232">
        <w:rPr>
          <w:rFonts w:cs="Arial"/>
        </w:rPr>
        <w:t>a causa de las cuestiones estadísticas y relativas a programas informáticos que se plantearon.</w:t>
      </w:r>
      <w:r w:rsidR="00642BCD" w:rsidRPr="009B196C">
        <w:rPr>
          <w:rFonts w:cs="Arial"/>
          <w:lang w:val="es-ES"/>
        </w:rPr>
        <w:t xml:space="preserve">  </w:t>
      </w:r>
      <w:r w:rsidR="00256232" w:rsidRPr="00256232">
        <w:rPr>
          <w:rFonts w:cs="Arial"/>
        </w:rPr>
        <w:t>El TWC acogió con agrado los ofrecimientos de China</w:t>
      </w:r>
      <w:r w:rsidR="007829E4">
        <w:rPr>
          <w:rFonts w:cs="Arial"/>
        </w:rPr>
        <w:t xml:space="preserve">, </w:t>
      </w:r>
      <w:r w:rsidR="00256232" w:rsidRPr="00256232">
        <w:rPr>
          <w:rFonts w:cs="Arial"/>
        </w:rPr>
        <w:t>Francia y los Países Bajos de informar sobre los proyectos y las experiencias en materia de uso de técnicas moleculares.</w:t>
      </w:r>
      <w:r w:rsidR="00642BCD" w:rsidRPr="009B196C">
        <w:rPr>
          <w:rFonts w:cs="Arial"/>
          <w:lang w:val="es-ES"/>
        </w:rPr>
        <w:t xml:space="preserve">  </w:t>
      </w:r>
      <w:r w:rsidR="00256232" w:rsidRPr="00256232">
        <w:rPr>
          <w:rFonts w:cs="Arial"/>
        </w:rPr>
        <w:t>Se invitó a los miembros a presentar ponencias</w:t>
      </w:r>
      <w:r w:rsidR="007829E4">
        <w:rPr>
          <w:rFonts w:cs="Arial"/>
        </w:rPr>
        <w:t xml:space="preserve">, </w:t>
      </w:r>
      <w:r w:rsidR="00256232" w:rsidRPr="00256232">
        <w:rPr>
          <w:rFonts w:cs="Arial"/>
        </w:rPr>
        <w:t>en la siguiente reunión</w:t>
      </w:r>
      <w:r w:rsidR="007829E4">
        <w:rPr>
          <w:rFonts w:cs="Arial"/>
        </w:rPr>
        <w:t xml:space="preserve">, </w:t>
      </w:r>
      <w:r w:rsidR="00256232" w:rsidRPr="00256232">
        <w:rPr>
          <w:rFonts w:cs="Arial"/>
        </w:rPr>
        <w:t>sobre los aspectos estadísticos del uso de marcadores moleculares en el examen DHE.</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256232" w:rsidRPr="00256232">
        <w:rPr>
          <w:rFonts w:cs="Arial"/>
        </w:rPr>
        <w:t>El TWC examinó el documento TWC/34/10 “</w:t>
      </w:r>
      <w:r w:rsidR="00256232" w:rsidRPr="009B196C">
        <w:rPr>
          <w:rFonts w:cs="Arial"/>
          <w:i/>
          <w:lang w:val="es-ES"/>
        </w:rPr>
        <w:t>Revision of document TGP/8: Part II: Section</w:t>
      </w:r>
      <w:r w:rsidR="007829E4" w:rsidRPr="009B196C">
        <w:rPr>
          <w:rFonts w:cs="Arial"/>
          <w:i/>
          <w:lang w:val="es-ES"/>
        </w:rPr>
        <w:t> 9</w:t>
      </w:r>
      <w:r w:rsidR="00256232" w:rsidRPr="009B196C">
        <w:rPr>
          <w:rFonts w:cs="Arial"/>
          <w:i/>
          <w:lang w:val="es-ES"/>
        </w:rPr>
        <w:t>: the Combined-Over-Years Uniformity Criterion (COYU)</w:t>
      </w:r>
      <w:r w:rsidR="00256232" w:rsidRPr="00256232">
        <w:rPr>
          <w:rFonts w:cs="Arial"/>
        </w:rPr>
        <w:t>” (Revisión del documento TGP/8</w:t>
      </w:r>
      <w:r w:rsidR="007829E4">
        <w:rPr>
          <w:rFonts w:cs="Arial"/>
        </w:rPr>
        <w:t xml:space="preserve">:  </w:t>
      </w:r>
      <w:r w:rsidR="00256232" w:rsidRPr="00256232">
        <w:rPr>
          <w:rFonts w:cs="Arial"/>
        </w:rPr>
        <w:t>parte </w:t>
      </w:r>
      <w:r w:rsidR="00D860B7" w:rsidRPr="00256232">
        <w:rPr>
          <w:rFonts w:cs="Arial"/>
        </w:rPr>
        <w:t>II</w:t>
      </w:r>
      <w:r w:rsidR="007829E4">
        <w:rPr>
          <w:rFonts w:cs="Arial"/>
        </w:rPr>
        <w:t xml:space="preserve">:  </w:t>
      </w:r>
      <w:r w:rsidR="00256232" w:rsidRPr="00256232">
        <w:rPr>
          <w:rFonts w:cs="Arial"/>
        </w:rPr>
        <w:t>sección 9</w:t>
      </w:r>
      <w:r w:rsidR="007829E4">
        <w:rPr>
          <w:rFonts w:cs="Arial"/>
        </w:rPr>
        <w:t xml:space="preserve">:  </w:t>
      </w:r>
      <w:r w:rsidR="00256232" w:rsidRPr="00256232">
        <w:rPr>
          <w:rFonts w:cs="Arial"/>
        </w:rPr>
        <w:t>Criterio combinado interanual de homogeneidad (COYU))</w:t>
      </w:r>
      <w:r w:rsidR="007829E4">
        <w:rPr>
          <w:rFonts w:cs="Arial"/>
        </w:rPr>
        <w:t xml:space="preserve">, </w:t>
      </w:r>
      <w:r w:rsidR="00256232" w:rsidRPr="00256232">
        <w:rPr>
          <w:rFonts w:cs="Arial"/>
        </w:rPr>
        <w:t>en el que se informa de los avances logrados en la mejora del COYU.</w:t>
      </w:r>
      <w:r w:rsidR="00642BCD" w:rsidRPr="009B196C">
        <w:rPr>
          <w:rFonts w:cs="Arial"/>
          <w:lang w:val="es-ES"/>
        </w:rPr>
        <w:t xml:space="preserve">  </w:t>
      </w:r>
      <w:r w:rsidR="00315ADC" w:rsidRPr="00315ADC">
        <w:rPr>
          <w:rFonts w:cs="Arial"/>
        </w:rPr>
        <w:t>La Oficina de la Unión había enviado una circular en la que se solicitaban más conjuntos de datos para facilitar la determinación de niveles de probabilidad del nuevo método.</w:t>
      </w:r>
      <w:r w:rsidR="00642BCD" w:rsidRPr="009B196C">
        <w:rPr>
          <w:rFonts w:cs="Arial"/>
          <w:lang w:val="es-ES"/>
        </w:rPr>
        <w:t xml:space="preserve">  </w:t>
      </w:r>
      <w:r w:rsidR="00315ADC" w:rsidRPr="00315ADC">
        <w:rPr>
          <w:rFonts w:cs="Arial"/>
        </w:rPr>
        <w:t>Un experto del Reino Unido comunicó que desde entonces Dinamarca y Eslovaquia habían ofrecido conjuntos de datos.</w:t>
      </w:r>
      <w:r w:rsidR="00642BCD" w:rsidRPr="009B196C">
        <w:rPr>
          <w:rFonts w:cs="Arial"/>
          <w:lang w:val="es-ES"/>
        </w:rPr>
        <w:t xml:space="preserve">  </w:t>
      </w:r>
      <w:r w:rsidR="00315ADC" w:rsidRPr="00315ADC">
        <w:rPr>
          <w:rFonts w:cs="Arial"/>
        </w:rPr>
        <w:t>El TWC acogió con agrado los ofrecimientos de China y Francia de proporcionar conjuntos de datos.</w:t>
      </w:r>
      <w:r w:rsidR="00642BCD" w:rsidRPr="009B196C">
        <w:rPr>
          <w:rFonts w:cs="Arial"/>
          <w:lang w:val="es-ES"/>
        </w:rPr>
        <w:t xml:space="preserve">  </w:t>
      </w:r>
      <w:r w:rsidR="00315ADC" w:rsidRPr="00315ADC">
        <w:rPr>
          <w:rFonts w:cs="Arial"/>
        </w:rPr>
        <w:t>El experto del Reino Unido convino en informar sobre los avances realizados</w:t>
      </w:r>
      <w:r w:rsidR="007829E4">
        <w:rPr>
          <w:rFonts w:cs="Arial"/>
        </w:rPr>
        <w:t xml:space="preserve">, </w:t>
      </w:r>
      <w:r w:rsidR="00315ADC" w:rsidRPr="00315ADC">
        <w:rPr>
          <w:rFonts w:cs="Arial"/>
        </w:rPr>
        <w:t>en la trigésima quinta reunión del TWC.</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315ADC" w:rsidRPr="00EE49E9">
        <w:rPr>
          <w:rFonts w:cs="Arial"/>
        </w:rPr>
        <w:t>El TWC examinó el documento redactado por un experto de Francia en el que se comparan diferentes métodos de elaboración de descripciones de variedades a partir de los caracteres cuantitativos de un conjunto de datos comunes de variedades de lino</w:t>
      </w:r>
      <w:r w:rsidR="00EE49E9" w:rsidRPr="00EE49E9">
        <w:rPr>
          <w:rFonts w:cs="Arial"/>
        </w:rPr>
        <w:t xml:space="preserve"> </w:t>
      </w:r>
      <w:r w:rsidR="00315ADC" w:rsidRPr="00EE49E9">
        <w:rPr>
          <w:rFonts w:cs="Arial"/>
        </w:rPr>
        <w:t>(anexo I del documento TWC/34/12).</w:t>
      </w:r>
      <w:r w:rsidR="00642BCD" w:rsidRPr="009B196C">
        <w:rPr>
          <w:rFonts w:cs="Arial"/>
          <w:lang w:val="es-ES"/>
        </w:rPr>
        <w:t xml:space="preserve">  </w:t>
      </w:r>
      <w:r w:rsidR="00EE49E9" w:rsidRPr="003361AB">
        <w:rPr>
          <w:rFonts w:cs="Arial"/>
        </w:rPr>
        <w:t>El desglose de las diferencias y semejanzas entre los métodos</w:t>
      </w:r>
      <w:r w:rsidR="007829E4">
        <w:rPr>
          <w:rFonts w:cs="Arial"/>
        </w:rPr>
        <w:t xml:space="preserve">, </w:t>
      </w:r>
      <w:r w:rsidR="00EE49E9" w:rsidRPr="003361AB">
        <w:rPr>
          <w:rFonts w:cs="Arial"/>
        </w:rPr>
        <w:t>expuesto en el documento</w:t>
      </w:r>
      <w:r w:rsidR="007829E4">
        <w:rPr>
          <w:rFonts w:cs="Arial"/>
        </w:rPr>
        <w:t xml:space="preserve">, </w:t>
      </w:r>
      <w:r w:rsidR="00EE49E9" w:rsidRPr="003361AB">
        <w:rPr>
          <w:rFonts w:cs="Arial"/>
        </w:rPr>
        <w:t>fue útil y el TWC solicitó que el experto de Francia siguiera profundizando el estudio a fin de aclarar más los diferentes métodos.</w:t>
      </w:r>
      <w:r w:rsidR="00642BCD" w:rsidRPr="009B196C">
        <w:rPr>
          <w:rFonts w:cs="Arial"/>
          <w:lang w:val="es-ES"/>
        </w:rPr>
        <w:t xml:space="preserve">  </w:t>
      </w:r>
      <w:r w:rsidR="003361AB" w:rsidRPr="00006FDC">
        <w:rPr>
          <w:rFonts w:cs="Arial"/>
        </w:rPr>
        <w:t>Además</w:t>
      </w:r>
      <w:r w:rsidR="007829E4">
        <w:rPr>
          <w:rFonts w:cs="Arial"/>
        </w:rPr>
        <w:t xml:space="preserve">, </w:t>
      </w:r>
      <w:r w:rsidR="003361AB" w:rsidRPr="00006FDC">
        <w:rPr>
          <w:rFonts w:cs="Arial"/>
        </w:rPr>
        <w:t>un experto del Reino Unido elaboró una descripción breve de los métodos empleados en ese país y facilitó ejemplos de situaciones en que es posible o no es posible emplearlos (documento TWC/34/12 Add.).</w:t>
      </w:r>
      <w:r w:rsidR="00642BCD" w:rsidRPr="009B196C">
        <w:rPr>
          <w:rFonts w:cs="Arial"/>
          <w:lang w:val="es-ES"/>
        </w:rPr>
        <w:t xml:space="preserve">  </w:t>
      </w:r>
      <w:r w:rsidR="00006FDC" w:rsidRPr="00006FDC">
        <w:rPr>
          <w:rFonts w:cs="Arial"/>
        </w:rPr>
        <w:t>El TWC invitó a expertos de Alemania</w:t>
      </w:r>
      <w:r w:rsidR="007829E4">
        <w:rPr>
          <w:rFonts w:cs="Arial"/>
        </w:rPr>
        <w:t xml:space="preserve">, </w:t>
      </w:r>
      <w:r w:rsidR="00006FDC" w:rsidRPr="00006FDC">
        <w:rPr>
          <w:rFonts w:cs="Arial"/>
        </w:rPr>
        <w:t>Francia</w:t>
      </w:r>
      <w:r w:rsidR="007829E4">
        <w:rPr>
          <w:rFonts w:cs="Arial"/>
        </w:rPr>
        <w:t xml:space="preserve">, </w:t>
      </w:r>
      <w:r w:rsidR="00006FDC" w:rsidRPr="00006FDC">
        <w:rPr>
          <w:rFonts w:cs="Arial"/>
        </w:rPr>
        <w:t>Italia y el Japón a proporcionar descripciones similares de sus métodos con la finalidad de incorporarlas a la orientación en un futuro.</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006FDC" w:rsidRPr="00006FDC">
        <w:rPr>
          <w:rFonts w:cs="Arial"/>
        </w:rPr>
        <w:t>Los expertos de Finlandia e Italia presentaron una ponencia titulada “Interacción genotipo-medio ambiente</w:t>
      </w:r>
      <w:r w:rsidR="007829E4">
        <w:rPr>
          <w:rFonts w:cs="Arial"/>
        </w:rPr>
        <w:t xml:space="preserve">, </w:t>
      </w:r>
      <w:r w:rsidR="00006FDC" w:rsidRPr="00006FDC">
        <w:rPr>
          <w:rFonts w:cs="Arial"/>
        </w:rPr>
        <w:t>exámenes DHE y transformación de los datos en notas” (anexo del documento TWC/34/17).</w:t>
      </w:r>
      <w:r w:rsidR="00642BCD" w:rsidRPr="009B196C">
        <w:rPr>
          <w:rFonts w:cs="Arial"/>
          <w:lang w:val="es-ES"/>
        </w:rPr>
        <w:t xml:space="preserve">  </w:t>
      </w:r>
      <w:r w:rsidR="00006FDC" w:rsidRPr="00006FDC">
        <w:rPr>
          <w:rFonts w:cs="Arial"/>
        </w:rPr>
        <w:t>Examinaron la repercusión de la interacción genotipo-medio ambiente en las descripciones de variedades elaboradas a partir de caracteres cuantitativos.</w:t>
      </w:r>
      <w:r w:rsidR="00642BCD" w:rsidRPr="009B196C">
        <w:rPr>
          <w:rFonts w:cs="Arial"/>
          <w:lang w:val="es-ES"/>
        </w:rPr>
        <w:t xml:space="preserve">  </w:t>
      </w:r>
      <w:r w:rsidR="00006FDC" w:rsidRPr="00006FDC">
        <w:rPr>
          <w:rFonts w:cs="Arial"/>
        </w:rPr>
        <w:t>Los expertos propusieron medidas para mejorar esta repercusión</w:t>
      </w:r>
      <w:r w:rsidR="007829E4">
        <w:rPr>
          <w:rFonts w:cs="Arial"/>
        </w:rPr>
        <w:t xml:space="preserve">, </w:t>
      </w:r>
      <w:r w:rsidR="00006FDC" w:rsidRPr="00006FDC">
        <w:rPr>
          <w:rFonts w:cs="Arial"/>
        </w:rPr>
        <w:t>tales como la elección cuidadosa de variedades delimitantes.</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006FDC" w:rsidRPr="00006FDC">
        <w:rPr>
          <w:rFonts w:cs="Arial"/>
        </w:rPr>
        <w:t>El TWC analizó el documento “</w:t>
      </w:r>
      <w:r w:rsidR="00006FDC" w:rsidRPr="009B196C">
        <w:rPr>
          <w:rFonts w:cs="Arial"/>
          <w:i/>
          <w:lang w:val="es-ES"/>
        </w:rPr>
        <w:t>Revision of Document TGP/10: New Section: Assessing uniformity by off-types on basis of more than one growing cycle or on the basis of sub-samples</w:t>
      </w:r>
      <w:r w:rsidR="00006FDC" w:rsidRPr="00006FDC">
        <w:rPr>
          <w:rFonts w:cs="Arial"/>
        </w:rPr>
        <w:t>” (Revisión del documento TGP/10</w:t>
      </w:r>
      <w:r w:rsidR="007829E4">
        <w:rPr>
          <w:rFonts w:cs="Arial"/>
        </w:rPr>
        <w:t xml:space="preserve">:  </w:t>
      </w:r>
      <w:r w:rsidR="00006FDC" w:rsidRPr="00006FDC">
        <w:rPr>
          <w:rFonts w:cs="Arial"/>
        </w:rPr>
        <w:t>nueva sección</w:t>
      </w:r>
      <w:r w:rsidR="007829E4">
        <w:rPr>
          <w:rFonts w:cs="Arial"/>
        </w:rPr>
        <w:t xml:space="preserve">:  </w:t>
      </w:r>
      <w:r w:rsidR="00006FDC" w:rsidRPr="00006FDC">
        <w:rPr>
          <w:rFonts w:cs="Arial"/>
        </w:rPr>
        <w:t>Evaluación de la homogeneidad sobre la base de las plantas fuera de tipo mediante la observación de más de un ciclo de cultivo o mediante la observación de submuestras) (TWC/34/13).</w:t>
      </w:r>
      <w:r w:rsidR="00642BCD" w:rsidRPr="009B196C">
        <w:rPr>
          <w:rFonts w:cs="Arial"/>
          <w:lang w:val="es-ES"/>
        </w:rPr>
        <w:t xml:space="preserve">  </w:t>
      </w:r>
      <w:r w:rsidR="00006FDC" w:rsidRPr="00006FDC">
        <w:rPr>
          <w:rFonts w:cs="Arial"/>
        </w:rPr>
        <w:t>El TWC convino en que se elaboren orientaciones que faciliten la elección del método más adecuado para cada situación</w:t>
      </w:r>
      <w:r w:rsidR="007829E4">
        <w:rPr>
          <w:rFonts w:cs="Arial"/>
        </w:rPr>
        <w:t xml:space="preserve">, </w:t>
      </w:r>
      <w:r w:rsidR="00006FDC" w:rsidRPr="00006FDC">
        <w:rPr>
          <w:rFonts w:cs="Arial"/>
        </w:rPr>
        <w:t>teniendo en cuenta tanto el costo de los ensayos</w:t>
      </w:r>
      <w:r w:rsidR="007829E4">
        <w:rPr>
          <w:rFonts w:cs="Arial"/>
        </w:rPr>
        <w:t xml:space="preserve">, </w:t>
      </w:r>
      <w:r w:rsidR="00006FDC" w:rsidRPr="00006FDC">
        <w:rPr>
          <w:rFonts w:cs="Arial"/>
        </w:rPr>
        <w:t>la coherencia de los resultados</w:t>
      </w:r>
      <w:r w:rsidR="007829E4">
        <w:rPr>
          <w:rFonts w:cs="Arial"/>
        </w:rPr>
        <w:t xml:space="preserve">, </w:t>
      </w:r>
      <w:r w:rsidR="00006FDC" w:rsidRPr="00006FDC">
        <w:rPr>
          <w:rFonts w:cs="Arial"/>
        </w:rPr>
        <w:t>el tiempo necesario para tomar decisiones como los aspectos técnicos de cada método.</w:t>
      </w:r>
      <w:r w:rsidR="00642BCD" w:rsidRPr="009B196C">
        <w:rPr>
          <w:rFonts w:cs="Arial"/>
          <w:lang w:val="es-ES"/>
        </w:rPr>
        <w:t xml:space="preserve">  </w:t>
      </w:r>
      <w:r w:rsidR="00063163" w:rsidRPr="00063163">
        <w:rPr>
          <w:rFonts w:cs="Arial"/>
        </w:rPr>
        <w:t>Un experto de Francia presentó una ponencia en la que comparó los tres métodos por medio de conjuntos de datos de colza oleaginosa y coliflor (documento TWC/34/27).</w:t>
      </w:r>
      <w:r w:rsidR="00642BCD" w:rsidRPr="009B196C">
        <w:rPr>
          <w:rFonts w:cs="Arial"/>
          <w:lang w:val="es-ES"/>
        </w:rPr>
        <w:t xml:space="preserve">  </w:t>
      </w:r>
      <w:r w:rsidR="00063163" w:rsidRPr="00063163">
        <w:rPr>
          <w:rFonts w:cs="Arial"/>
        </w:rPr>
        <w:t>En este ejercicio se puso de manifiesto que los casos de resultados divergentes entre los tres métodos no son muy frecuentes.</w:t>
      </w:r>
      <w:r w:rsidR="00273DB6" w:rsidRPr="009B196C">
        <w:rPr>
          <w:rFonts w:cs="Arial"/>
          <w:lang w:val="es-ES"/>
        </w:rPr>
        <w:t xml:space="preserve">  </w:t>
      </w:r>
      <w:r w:rsidR="00063163" w:rsidRPr="00063163">
        <w:rPr>
          <w:rFonts w:cs="Arial"/>
        </w:rPr>
        <w:t>El TWC consideró que sería útil disponer de más ejemplos para elaborar la orientación y acogió con agrado los ofrecimientos de Alemania</w:t>
      </w:r>
      <w:r w:rsidR="007829E4">
        <w:rPr>
          <w:rFonts w:cs="Arial"/>
        </w:rPr>
        <w:t xml:space="preserve">, </w:t>
      </w:r>
      <w:r w:rsidR="00063163" w:rsidRPr="00063163">
        <w:rPr>
          <w:rFonts w:cs="Arial"/>
        </w:rPr>
        <w:t>los Países Bajos y el Reino Unido de presentar ejemplos en su trigésima quinta reunión.</w:t>
      </w:r>
      <w:r w:rsidR="00642BCD" w:rsidRPr="009B196C">
        <w:rPr>
          <w:rFonts w:cs="Arial"/>
          <w:lang w:val="es-ES"/>
        </w:rPr>
        <w:t xml:space="preserve">  </w:t>
      </w:r>
      <w:r w:rsidR="00063163" w:rsidRPr="00063163">
        <w:rPr>
          <w:rFonts w:cs="Arial"/>
        </w:rPr>
        <w:t>El TWC tomó nota de que el TWA había convenido en solicitar una conexión por video con los expertos del TWC para debatir esta cuestión en su cuadragésima quinta reunión.</w:t>
      </w:r>
    </w:p>
    <w:p w:rsidR="00273DB6" w:rsidRPr="009B196C" w:rsidRDefault="00273DB6" w:rsidP="00273DB6">
      <w:pPr>
        <w:tabs>
          <w:tab w:val="left" w:pos="567"/>
        </w:tabs>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063163" w:rsidRPr="00063163">
        <w:rPr>
          <w:rFonts w:cs="Arial"/>
        </w:rPr>
        <w:t>Se presentaron varias ponencias sobre los sistemas informáticos empleados o desarrollados por los miembros</w:t>
      </w:r>
      <w:r w:rsidR="007829E4">
        <w:rPr>
          <w:rFonts w:cs="Arial"/>
        </w:rPr>
        <w:t xml:space="preserve">, </w:t>
      </w:r>
      <w:r w:rsidR="00063163" w:rsidRPr="00063163">
        <w:rPr>
          <w:rFonts w:cs="Arial"/>
        </w:rPr>
        <w:t>que comprenden:</w:t>
      </w:r>
    </w:p>
    <w:p w:rsidR="00273DB6" w:rsidRPr="009B196C" w:rsidRDefault="00273DB6" w:rsidP="00273DB6">
      <w:pPr>
        <w:autoSpaceDE w:val="0"/>
        <w:autoSpaceDN w:val="0"/>
        <w:adjustRightInd w:val="0"/>
        <w:rPr>
          <w:rFonts w:cs="Arial"/>
          <w:lang w:val="es-ES"/>
        </w:rPr>
      </w:pPr>
    </w:p>
    <w:p w:rsidR="00273DB6" w:rsidRPr="009B196C" w:rsidRDefault="003369F8" w:rsidP="00DB5A44">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s-ES"/>
        </w:rPr>
      </w:pPr>
      <w:r w:rsidRPr="003369F8">
        <w:rPr>
          <w:rFonts w:ascii="Arial" w:hAnsi="Arial" w:cs="Arial"/>
          <w:sz w:val="20"/>
          <w:szCs w:val="20"/>
          <w:lang w:val="es-ES_tradnl"/>
        </w:rPr>
        <w:t>A cargo de los Países Bajos</w:t>
      </w:r>
      <w:r w:rsidR="007829E4">
        <w:rPr>
          <w:rFonts w:ascii="Arial" w:hAnsi="Arial" w:cs="Arial"/>
          <w:sz w:val="20"/>
          <w:szCs w:val="20"/>
          <w:lang w:val="es-ES_tradnl"/>
        </w:rPr>
        <w:t xml:space="preserve">:  </w:t>
      </w:r>
      <w:r w:rsidRPr="003369F8">
        <w:rPr>
          <w:rFonts w:ascii="Arial" w:hAnsi="Arial" w:cs="Arial"/>
          <w:sz w:val="20"/>
          <w:szCs w:val="20"/>
          <w:lang w:val="es-ES_tradnl"/>
        </w:rPr>
        <w:t xml:space="preserve">“La base de datos de solicitudes e información del </w:t>
      </w:r>
      <w:r w:rsidRPr="007B7BE6">
        <w:rPr>
          <w:rFonts w:ascii="Arial" w:hAnsi="Arial" w:cs="Arial"/>
          <w:i/>
          <w:sz w:val="20"/>
          <w:szCs w:val="20"/>
          <w:lang w:val="nl-NL"/>
        </w:rPr>
        <w:t>Naktuinbouw</w:t>
      </w:r>
      <w:r w:rsidR="007829E4">
        <w:rPr>
          <w:rFonts w:ascii="Arial" w:hAnsi="Arial" w:cs="Arial"/>
          <w:sz w:val="20"/>
          <w:szCs w:val="20"/>
          <w:lang w:val="es-ES_tradnl"/>
        </w:rPr>
        <w:t xml:space="preserve">:  </w:t>
      </w:r>
      <w:r w:rsidRPr="003369F8">
        <w:rPr>
          <w:rFonts w:ascii="Arial" w:hAnsi="Arial" w:cs="Arial"/>
          <w:sz w:val="20"/>
          <w:szCs w:val="20"/>
          <w:lang w:val="es-ES_tradnl"/>
        </w:rPr>
        <w:t>un instrumento informático integrado para gestionar solicitudes</w:t>
      </w:r>
      <w:r w:rsidR="007829E4">
        <w:rPr>
          <w:rFonts w:ascii="Arial" w:hAnsi="Arial" w:cs="Arial"/>
          <w:sz w:val="20"/>
          <w:szCs w:val="20"/>
          <w:lang w:val="es-ES_tradnl"/>
        </w:rPr>
        <w:t xml:space="preserve">, </w:t>
      </w:r>
      <w:r w:rsidRPr="003369F8">
        <w:rPr>
          <w:rFonts w:ascii="Arial" w:hAnsi="Arial" w:cs="Arial"/>
          <w:sz w:val="20"/>
          <w:szCs w:val="20"/>
          <w:lang w:val="es-ES_tradnl"/>
        </w:rPr>
        <w:t>peticiones</w:t>
      </w:r>
      <w:r w:rsidR="007829E4">
        <w:rPr>
          <w:rFonts w:ascii="Arial" w:hAnsi="Arial" w:cs="Arial"/>
          <w:sz w:val="20"/>
          <w:szCs w:val="20"/>
          <w:lang w:val="es-ES_tradnl"/>
        </w:rPr>
        <w:t xml:space="preserve">, </w:t>
      </w:r>
      <w:r w:rsidRPr="003369F8">
        <w:rPr>
          <w:rFonts w:ascii="Arial" w:hAnsi="Arial" w:cs="Arial"/>
          <w:sz w:val="20"/>
          <w:szCs w:val="20"/>
          <w:lang w:val="es-ES_tradnl"/>
        </w:rPr>
        <w:t>ensayos</w:t>
      </w:r>
      <w:r w:rsidR="007829E4">
        <w:rPr>
          <w:rFonts w:ascii="Arial" w:hAnsi="Arial" w:cs="Arial"/>
          <w:sz w:val="20"/>
          <w:szCs w:val="20"/>
          <w:lang w:val="es-ES_tradnl"/>
        </w:rPr>
        <w:t xml:space="preserve">, </w:t>
      </w:r>
      <w:r w:rsidRPr="003369F8">
        <w:rPr>
          <w:rFonts w:ascii="Arial" w:hAnsi="Arial" w:cs="Arial"/>
          <w:sz w:val="20"/>
          <w:szCs w:val="20"/>
          <w:lang w:val="es-ES_tradnl"/>
        </w:rPr>
        <w:t>informes y colecciones de variedades” (documento TWC/34/22).</w:t>
      </w:r>
      <w:r w:rsidR="00642BCD" w:rsidRPr="009B196C">
        <w:rPr>
          <w:rFonts w:ascii="Arial" w:hAnsi="Arial" w:cs="Arial"/>
          <w:sz w:val="20"/>
          <w:szCs w:val="20"/>
          <w:lang w:val="es-ES"/>
        </w:rPr>
        <w:t xml:space="preserve">  </w:t>
      </w:r>
      <w:r w:rsidR="00DB5A44" w:rsidRPr="00DB5A44">
        <w:rPr>
          <w:rFonts w:ascii="Arial" w:hAnsi="Arial" w:cs="Arial"/>
          <w:sz w:val="20"/>
          <w:szCs w:val="20"/>
          <w:lang w:val="es-ES_tradnl"/>
        </w:rPr>
        <w:t>Se trata de un sistema central que se adapta a las necesidades locales.</w:t>
      </w:r>
    </w:p>
    <w:p w:rsidR="00273DB6" w:rsidRPr="009B196C" w:rsidRDefault="00DB5A44" w:rsidP="00DB5A44">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s-ES"/>
        </w:rPr>
      </w:pPr>
      <w:r w:rsidRPr="00DB5A44">
        <w:rPr>
          <w:rFonts w:ascii="Arial" w:hAnsi="Arial" w:cs="Arial"/>
          <w:sz w:val="20"/>
          <w:szCs w:val="20"/>
          <w:lang w:val="es-ES_tradnl"/>
        </w:rPr>
        <w:t>A cargo de los Países Bajos</w:t>
      </w:r>
      <w:r w:rsidR="007829E4">
        <w:rPr>
          <w:rFonts w:ascii="Arial" w:hAnsi="Arial" w:cs="Arial"/>
          <w:sz w:val="20"/>
          <w:szCs w:val="20"/>
          <w:lang w:val="es-ES_tradnl"/>
        </w:rPr>
        <w:t xml:space="preserve">:  </w:t>
      </w:r>
      <w:r w:rsidRPr="00DB5A44">
        <w:rPr>
          <w:rFonts w:ascii="Arial" w:hAnsi="Arial" w:cs="Arial"/>
          <w:sz w:val="20"/>
          <w:szCs w:val="20"/>
          <w:lang w:val="es-ES_tradnl"/>
        </w:rPr>
        <w:t>“</w:t>
      </w:r>
      <w:r w:rsidRPr="009B196C">
        <w:rPr>
          <w:rFonts w:ascii="Arial" w:hAnsi="Arial" w:cs="Arial"/>
          <w:i/>
          <w:sz w:val="20"/>
          <w:szCs w:val="20"/>
          <w:lang w:val="es-ES"/>
        </w:rPr>
        <w:t>Search Plant</w:t>
      </w:r>
      <w:r w:rsidR="007829E4">
        <w:rPr>
          <w:rFonts w:ascii="Arial" w:hAnsi="Arial" w:cs="Arial"/>
          <w:sz w:val="20"/>
          <w:szCs w:val="20"/>
          <w:lang w:val="es-ES_tradnl"/>
        </w:rPr>
        <w:t xml:space="preserve">:  </w:t>
      </w:r>
      <w:r w:rsidRPr="00DB5A44">
        <w:rPr>
          <w:rFonts w:ascii="Arial" w:hAnsi="Arial" w:cs="Arial"/>
          <w:sz w:val="20"/>
          <w:szCs w:val="20"/>
          <w:lang w:val="es-ES_tradnl"/>
        </w:rPr>
        <w:t>un portal de búsqueda para facilitar el rastreo y seguimiento de las variedades ornamentales” (documento TWC/34/20).</w:t>
      </w:r>
      <w:r w:rsidR="00642BCD" w:rsidRPr="009B196C">
        <w:rPr>
          <w:rFonts w:ascii="Arial" w:hAnsi="Arial" w:cs="Arial"/>
          <w:sz w:val="20"/>
          <w:szCs w:val="20"/>
          <w:lang w:val="es-ES"/>
        </w:rPr>
        <w:t xml:space="preserve">  </w:t>
      </w:r>
      <w:r w:rsidRPr="00DB5A44">
        <w:rPr>
          <w:rFonts w:ascii="Arial" w:hAnsi="Arial" w:cs="Arial"/>
          <w:sz w:val="20"/>
          <w:szCs w:val="20"/>
          <w:lang w:val="es-ES_tradnl"/>
        </w:rPr>
        <w:t>Este servicio por Internet permite a los usuarios buscar variedades en numerosas bases de datos de distinta estructura.</w:t>
      </w:r>
    </w:p>
    <w:p w:rsidR="00273DB6" w:rsidRPr="009B196C" w:rsidRDefault="00DB5A44" w:rsidP="00DB5A44">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s-ES"/>
        </w:rPr>
      </w:pPr>
      <w:r w:rsidRPr="00DB5A44">
        <w:rPr>
          <w:rFonts w:ascii="Arial" w:hAnsi="Arial" w:cs="Arial"/>
          <w:sz w:val="20"/>
          <w:szCs w:val="20"/>
          <w:lang w:val="es-ES_tradnl"/>
        </w:rPr>
        <w:t>A cargo de China</w:t>
      </w:r>
      <w:r w:rsidR="007829E4">
        <w:rPr>
          <w:rFonts w:ascii="Arial" w:hAnsi="Arial" w:cs="Arial"/>
          <w:sz w:val="20"/>
          <w:szCs w:val="20"/>
          <w:lang w:val="es-ES_tradnl"/>
        </w:rPr>
        <w:t xml:space="preserve">:  </w:t>
      </w:r>
      <w:r w:rsidRPr="00DB5A44">
        <w:rPr>
          <w:rFonts w:ascii="Arial" w:hAnsi="Arial" w:cs="Arial"/>
          <w:sz w:val="20"/>
          <w:szCs w:val="20"/>
          <w:lang w:val="es-ES_tradnl"/>
        </w:rPr>
        <w:t>“Métodos estadísticos utilizados en el programa informático DUSTC”.</w:t>
      </w:r>
      <w:r w:rsidR="00642BCD" w:rsidRPr="009B196C">
        <w:rPr>
          <w:rFonts w:ascii="Arial" w:hAnsi="Arial" w:cs="Arial"/>
          <w:sz w:val="20"/>
          <w:szCs w:val="20"/>
          <w:lang w:val="es-ES"/>
        </w:rPr>
        <w:t xml:space="preserve">  </w:t>
      </w:r>
      <w:r w:rsidRPr="00DB5A44">
        <w:rPr>
          <w:rFonts w:ascii="Arial" w:hAnsi="Arial" w:cs="Arial"/>
          <w:sz w:val="20"/>
          <w:szCs w:val="20"/>
          <w:lang w:val="es-ES_tradnl"/>
        </w:rPr>
        <w:t>La ponencia incluyó una demostración del funcionamiento de este conjunto de programas informáticos que incorpora procedimientos de análisis estadístico</w:t>
      </w:r>
      <w:r w:rsidR="007829E4">
        <w:rPr>
          <w:rFonts w:ascii="Arial" w:hAnsi="Arial" w:cs="Arial"/>
          <w:sz w:val="20"/>
          <w:szCs w:val="20"/>
          <w:lang w:val="es-ES_tradnl"/>
        </w:rPr>
        <w:t xml:space="preserve">, </w:t>
      </w:r>
      <w:r w:rsidRPr="00DB5A44">
        <w:rPr>
          <w:rFonts w:ascii="Arial" w:hAnsi="Arial" w:cs="Arial"/>
          <w:sz w:val="20"/>
          <w:szCs w:val="20"/>
          <w:lang w:val="es-ES_tradnl"/>
        </w:rPr>
        <w:t>como los métodos de cálculo del COYU y el COYD</w:t>
      </w:r>
      <w:r w:rsidR="007829E4">
        <w:rPr>
          <w:rFonts w:ascii="Arial" w:hAnsi="Arial" w:cs="Arial"/>
          <w:sz w:val="20"/>
          <w:szCs w:val="20"/>
          <w:lang w:val="es-ES_tradnl"/>
        </w:rPr>
        <w:t xml:space="preserve">, </w:t>
      </w:r>
      <w:r w:rsidRPr="00DB5A44">
        <w:rPr>
          <w:rFonts w:ascii="Arial" w:hAnsi="Arial" w:cs="Arial"/>
          <w:sz w:val="20"/>
          <w:szCs w:val="20"/>
          <w:lang w:val="es-ES_tradnl"/>
        </w:rPr>
        <w:t>entre otros.</w:t>
      </w:r>
    </w:p>
    <w:p w:rsidR="00273DB6" w:rsidRPr="009B196C" w:rsidRDefault="00DB5A44" w:rsidP="00DB5A44">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s-ES"/>
        </w:rPr>
      </w:pPr>
      <w:r w:rsidRPr="00DB5A44">
        <w:rPr>
          <w:rFonts w:ascii="Arial" w:hAnsi="Arial" w:cs="Arial"/>
          <w:sz w:val="20"/>
          <w:szCs w:val="20"/>
          <w:lang w:val="es-ES_tradnl"/>
        </w:rPr>
        <w:t>A cargo de China</w:t>
      </w:r>
      <w:r w:rsidR="007829E4">
        <w:rPr>
          <w:rFonts w:ascii="Arial" w:hAnsi="Arial" w:cs="Arial"/>
          <w:sz w:val="20"/>
          <w:szCs w:val="20"/>
          <w:lang w:val="es-ES_tradnl"/>
        </w:rPr>
        <w:t xml:space="preserve">:  </w:t>
      </w:r>
      <w:r w:rsidRPr="00DB5A44">
        <w:rPr>
          <w:rFonts w:ascii="Arial" w:hAnsi="Arial" w:cs="Arial"/>
          <w:sz w:val="20"/>
          <w:szCs w:val="20"/>
          <w:lang w:val="es-ES_tradnl"/>
        </w:rPr>
        <w:t>una demostración del funcionamiento de un programa informático para el análisis de imágenes.</w:t>
      </w:r>
    </w:p>
    <w:p w:rsidR="00273DB6" w:rsidRPr="009B196C" w:rsidRDefault="00DB5A44" w:rsidP="00DB5A44">
      <w:pPr>
        <w:pStyle w:val="ListParagraph"/>
        <w:numPr>
          <w:ilvl w:val="0"/>
          <w:numId w:val="3"/>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s-ES"/>
        </w:rPr>
      </w:pPr>
      <w:r w:rsidRPr="00DB5A44">
        <w:rPr>
          <w:rFonts w:ascii="Arial" w:hAnsi="Arial" w:cs="Arial"/>
          <w:sz w:val="20"/>
          <w:szCs w:val="20"/>
          <w:lang w:val="es-ES_tradnl"/>
        </w:rPr>
        <w:t>A cargo de Francia</w:t>
      </w:r>
      <w:r w:rsidR="007829E4">
        <w:rPr>
          <w:rFonts w:ascii="Arial" w:hAnsi="Arial" w:cs="Arial"/>
          <w:sz w:val="20"/>
          <w:szCs w:val="20"/>
          <w:lang w:val="es-ES_tradnl"/>
        </w:rPr>
        <w:t xml:space="preserve">:  </w:t>
      </w:r>
      <w:r w:rsidRPr="00DB5A44">
        <w:rPr>
          <w:rFonts w:ascii="Arial" w:hAnsi="Arial" w:cs="Arial"/>
          <w:sz w:val="20"/>
          <w:szCs w:val="20"/>
          <w:lang w:val="es-ES_tradnl"/>
        </w:rPr>
        <w:t>“Un instrumento para definir la colección de referencia” (documento TWC/34/28).</w:t>
      </w:r>
      <w:r w:rsidR="00642BCD" w:rsidRPr="009B196C">
        <w:rPr>
          <w:rFonts w:ascii="Arial" w:hAnsi="Arial" w:cs="Arial"/>
          <w:sz w:val="20"/>
          <w:szCs w:val="20"/>
          <w:lang w:val="es-ES"/>
        </w:rPr>
        <w:t xml:space="preserve">  </w:t>
      </w:r>
      <w:r w:rsidRPr="00DB5A44">
        <w:rPr>
          <w:rFonts w:ascii="Arial" w:hAnsi="Arial" w:cs="Arial"/>
          <w:sz w:val="20"/>
          <w:szCs w:val="20"/>
          <w:lang w:val="es-ES_tradnl"/>
        </w:rPr>
        <w:t>Este programa informático facilita la gestión de la colección de referencia desde la recopilación de variedades notoriamente conocidas hasta su selección para los ensayos.</w:t>
      </w:r>
      <w:r w:rsidR="00273DB6" w:rsidRPr="009B196C">
        <w:rPr>
          <w:rFonts w:ascii="Arial" w:hAnsi="Arial" w:cs="Arial"/>
          <w:sz w:val="20"/>
          <w:szCs w:val="20"/>
          <w:lang w:val="es-ES"/>
        </w:rPr>
        <w:t xml:space="preserve"> </w:t>
      </w:r>
    </w:p>
    <w:p w:rsidR="00273DB6" w:rsidRPr="009B196C" w:rsidRDefault="00DB5A44" w:rsidP="00273DB6">
      <w:pPr>
        <w:pStyle w:val="ListParagraph"/>
        <w:numPr>
          <w:ilvl w:val="0"/>
          <w:numId w:val="3"/>
        </w:numPr>
        <w:tabs>
          <w:tab w:val="left" w:pos="1134"/>
        </w:tabs>
        <w:autoSpaceDE w:val="0"/>
        <w:autoSpaceDN w:val="0"/>
        <w:adjustRightInd w:val="0"/>
        <w:spacing w:after="0" w:line="240" w:lineRule="auto"/>
        <w:ind w:left="1134" w:hanging="567"/>
        <w:jc w:val="both"/>
        <w:rPr>
          <w:rFonts w:ascii="Arial" w:hAnsi="Arial" w:cs="Arial"/>
          <w:sz w:val="20"/>
          <w:szCs w:val="20"/>
          <w:lang w:val="es-ES"/>
        </w:rPr>
      </w:pPr>
      <w:r w:rsidRPr="00DB5A44">
        <w:rPr>
          <w:rFonts w:ascii="Arial" w:hAnsi="Arial" w:cs="Arial"/>
          <w:sz w:val="20"/>
          <w:szCs w:val="20"/>
          <w:lang w:val="es-ES_tradnl"/>
        </w:rPr>
        <w:t>A cargo de Francia</w:t>
      </w:r>
      <w:r w:rsidR="007829E4">
        <w:rPr>
          <w:rFonts w:ascii="Arial" w:hAnsi="Arial" w:cs="Arial"/>
          <w:sz w:val="20"/>
          <w:szCs w:val="20"/>
          <w:lang w:val="es-ES_tradnl"/>
        </w:rPr>
        <w:t xml:space="preserve">:  </w:t>
      </w:r>
      <w:r w:rsidRPr="00DB5A44">
        <w:rPr>
          <w:rFonts w:ascii="Arial" w:hAnsi="Arial" w:cs="Arial"/>
          <w:sz w:val="20"/>
          <w:szCs w:val="20"/>
          <w:lang w:val="es-ES_tradnl"/>
        </w:rPr>
        <w:t>“Un único instrumento para los procesos de cálculo relativos al examen DHE” (documento TWC/34/29).</w:t>
      </w:r>
      <w:r w:rsidR="00642BCD" w:rsidRPr="009B196C">
        <w:rPr>
          <w:rFonts w:ascii="Arial" w:hAnsi="Arial" w:cs="Arial"/>
          <w:sz w:val="20"/>
          <w:szCs w:val="20"/>
          <w:lang w:val="es-ES"/>
        </w:rPr>
        <w:t xml:space="preserve">  </w:t>
      </w:r>
      <w:r w:rsidRPr="00DB5A44">
        <w:rPr>
          <w:rFonts w:ascii="Arial" w:hAnsi="Arial" w:cs="Arial"/>
          <w:sz w:val="20"/>
          <w:szCs w:val="20"/>
          <w:lang w:val="es-ES_tradnl"/>
        </w:rPr>
        <w:t>Se describieron los avances en la elaboración de un nuevo conjunto de programas informáticos</w:t>
      </w:r>
      <w:r w:rsidR="007829E4">
        <w:rPr>
          <w:rFonts w:ascii="Arial" w:hAnsi="Arial" w:cs="Arial"/>
          <w:sz w:val="20"/>
          <w:szCs w:val="20"/>
          <w:lang w:val="es-ES_tradnl"/>
        </w:rPr>
        <w:t xml:space="preserve">, </w:t>
      </w:r>
      <w:r w:rsidRPr="00DB5A44">
        <w:rPr>
          <w:rFonts w:ascii="Arial" w:hAnsi="Arial" w:cs="Arial"/>
          <w:sz w:val="20"/>
          <w:szCs w:val="20"/>
          <w:lang w:val="es-ES_tradnl"/>
        </w:rPr>
        <w:t>que incorpora el programa informático GAIA ya existente y emplea la misma interfaz para proporcionar acceso a métodos tales como el COYD y el COYU.</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DB5A44" w:rsidRPr="00DB5A44">
        <w:rPr>
          <w:rFonts w:cs="Arial"/>
        </w:rPr>
        <w:t>El TWC tomó nota de la experiencia de Alemania y Francia en materia de creación</w:t>
      </w:r>
      <w:r w:rsidR="007829E4">
        <w:rPr>
          <w:rFonts w:cs="Arial"/>
        </w:rPr>
        <w:t xml:space="preserve">, </w:t>
      </w:r>
      <w:r w:rsidR="00DB5A44" w:rsidRPr="00DB5A44">
        <w:rPr>
          <w:rFonts w:cs="Arial"/>
        </w:rPr>
        <w:t>gestión y uso compartido de diferentes bases de datos e indicó que podría ser útil para los miembros disponer de orientaciones sobre la creación y la gestión de bases de datos.</w:t>
      </w:r>
      <w:r w:rsidR="00642BCD" w:rsidRPr="009B196C">
        <w:rPr>
          <w:rFonts w:cs="Arial"/>
          <w:lang w:val="es-ES"/>
        </w:rPr>
        <w:t xml:space="preserve">  </w:t>
      </w:r>
      <w:r w:rsidR="00DB5A44" w:rsidRPr="00DB5A44">
        <w:rPr>
          <w:rFonts w:cs="Arial"/>
        </w:rPr>
        <w:t>El TWC invitó a los miembros a presentar ponencias sobre sus experiencias en el uso de bases de datos y propuestas de orientación.</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DB5A44" w:rsidRPr="00DB5A44">
        <w:rPr>
          <w:rFonts w:cs="Arial"/>
        </w:rPr>
        <w:t>China presentó una ponencia titulada “Prueba de comparación (</w:t>
      </w:r>
      <w:r w:rsidR="00DB5A44" w:rsidRPr="009B196C">
        <w:rPr>
          <w:rFonts w:cs="Arial"/>
          <w:i/>
          <w:lang w:val="es-ES"/>
        </w:rPr>
        <w:t>ring-test</w:t>
      </w:r>
      <w:r w:rsidR="00DB5A44" w:rsidRPr="00DB5A44">
        <w:rPr>
          <w:rFonts w:cs="Arial"/>
        </w:rPr>
        <w:t>) de tres programas informáticos diferentes para el COYD” (documento TWC/34/30).</w:t>
      </w:r>
      <w:r w:rsidR="00642BCD" w:rsidRPr="009B196C">
        <w:rPr>
          <w:rFonts w:cs="Arial"/>
          <w:lang w:val="es-ES"/>
        </w:rPr>
        <w:t xml:space="preserve">  </w:t>
      </w:r>
      <w:r w:rsidR="00DB5A44" w:rsidRPr="00DB5A44">
        <w:rPr>
          <w:rFonts w:cs="Arial"/>
        </w:rPr>
        <w:t>Se aplicó el COYD al mismo conjunto de datos con los diferentes programas informáticos empleados por los miembros:</w:t>
      </w:r>
      <w:r w:rsidR="00273DB6" w:rsidRPr="009B196C">
        <w:rPr>
          <w:rFonts w:cs="Arial"/>
          <w:lang w:val="es-ES"/>
        </w:rPr>
        <w:t xml:space="preserve"> </w:t>
      </w:r>
      <w:r w:rsidR="00DB5A44" w:rsidRPr="009B196C">
        <w:rPr>
          <w:rFonts w:cs="Arial"/>
          <w:lang w:val="es-ES"/>
        </w:rPr>
        <w:t xml:space="preserve"> </w:t>
      </w:r>
      <w:r w:rsidR="00DB5A44" w:rsidRPr="001960F6">
        <w:rPr>
          <w:rFonts w:cs="Arial"/>
        </w:rPr>
        <w:t>un programa informático basado en SAS (Alemania)</w:t>
      </w:r>
      <w:r w:rsidR="007829E4">
        <w:rPr>
          <w:rFonts w:cs="Arial"/>
        </w:rPr>
        <w:t xml:space="preserve">, </w:t>
      </w:r>
      <w:r w:rsidR="00DB5A44" w:rsidRPr="001960F6">
        <w:rPr>
          <w:rFonts w:cs="Arial"/>
        </w:rPr>
        <w:t>el DUSTC (China) y el DUST (Reino Unido).</w:t>
      </w:r>
      <w:r w:rsidR="00642BCD" w:rsidRPr="009B196C">
        <w:rPr>
          <w:rFonts w:cs="Arial"/>
          <w:lang w:val="es-ES"/>
        </w:rPr>
        <w:t xml:space="preserve">  </w:t>
      </w:r>
      <w:r w:rsidR="001960F6" w:rsidRPr="001960F6">
        <w:rPr>
          <w:rFonts w:cs="Arial"/>
        </w:rPr>
        <w:t>Se obtuvo el mismo resultado con los tres programas informáticos.</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1960F6" w:rsidRPr="001960F6">
        <w:rPr>
          <w:rFonts w:cs="Arial"/>
        </w:rPr>
        <w:t>Con respecto al documento UPOV/INF/22 “Programas informáticos y equipos utilizados por los miembros de la Unión”</w:t>
      </w:r>
      <w:r w:rsidR="007829E4">
        <w:rPr>
          <w:rFonts w:cs="Arial"/>
        </w:rPr>
        <w:t xml:space="preserve">, </w:t>
      </w:r>
      <w:r w:rsidR="001960F6" w:rsidRPr="001960F6">
        <w:rPr>
          <w:rFonts w:cs="Arial"/>
        </w:rPr>
        <w:t>el TWC propuso lo siguiente:</w:t>
      </w:r>
    </w:p>
    <w:p w:rsidR="00273DB6" w:rsidRPr="009B196C" w:rsidRDefault="00273DB6" w:rsidP="00273DB6">
      <w:pPr>
        <w:autoSpaceDE w:val="0"/>
        <w:autoSpaceDN w:val="0"/>
        <w:adjustRightInd w:val="0"/>
        <w:rPr>
          <w:rFonts w:cs="Arial"/>
          <w:lang w:val="es-ES"/>
        </w:rPr>
      </w:pPr>
    </w:p>
    <w:p w:rsidR="00273DB6" w:rsidRPr="009B196C" w:rsidRDefault="005D5CBA" w:rsidP="005D5CBA">
      <w:pPr>
        <w:pStyle w:val="ListParagraph"/>
        <w:numPr>
          <w:ilvl w:val="0"/>
          <w:numId w:val="4"/>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s-ES"/>
        </w:rPr>
      </w:pPr>
      <w:r w:rsidRPr="005D5CBA">
        <w:rPr>
          <w:rFonts w:ascii="Arial" w:hAnsi="Arial" w:cs="Arial"/>
          <w:sz w:val="20"/>
          <w:szCs w:val="20"/>
          <w:lang w:val="es-ES_tradnl"/>
        </w:rPr>
        <w:t>Que se añada una nota al documento para aclarar que la información que en él figura es responsabilidad de la administración que la facilita.</w:t>
      </w:r>
    </w:p>
    <w:p w:rsidR="00273DB6" w:rsidRPr="009B196C" w:rsidRDefault="005D5CBA" w:rsidP="005D5CBA">
      <w:pPr>
        <w:pStyle w:val="ListParagraph"/>
        <w:numPr>
          <w:ilvl w:val="0"/>
          <w:numId w:val="4"/>
        </w:numPr>
        <w:tabs>
          <w:tab w:val="left" w:pos="1134"/>
        </w:tabs>
        <w:autoSpaceDE w:val="0"/>
        <w:autoSpaceDN w:val="0"/>
        <w:adjustRightInd w:val="0"/>
        <w:spacing w:after="120" w:line="240" w:lineRule="auto"/>
        <w:ind w:left="1134" w:hanging="567"/>
        <w:contextualSpacing w:val="0"/>
        <w:jc w:val="both"/>
        <w:rPr>
          <w:rFonts w:ascii="Arial" w:hAnsi="Arial" w:cs="Arial"/>
          <w:sz w:val="20"/>
          <w:szCs w:val="20"/>
          <w:lang w:val="es-ES"/>
        </w:rPr>
      </w:pPr>
      <w:r w:rsidRPr="005D5CBA">
        <w:rPr>
          <w:rFonts w:ascii="Arial" w:hAnsi="Arial" w:cs="Arial"/>
          <w:sz w:val="20"/>
          <w:szCs w:val="20"/>
          <w:lang w:val="es-ES_tradnl"/>
        </w:rPr>
        <w:t>Que en los documentos UPOV/INF/16 y UPOV/INF/22 se puede hacer referencia al material de formación y las ponencias.</w:t>
      </w:r>
    </w:p>
    <w:p w:rsidR="00273DB6" w:rsidRPr="009B196C" w:rsidRDefault="005D5CBA" w:rsidP="00273DB6">
      <w:pPr>
        <w:pStyle w:val="ListParagraph"/>
        <w:numPr>
          <w:ilvl w:val="0"/>
          <w:numId w:val="4"/>
        </w:numPr>
        <w:tabs>
          <w:tab w:val="left" w:pos="1134"/>
        </w:tabs>
        <w:autoSpaceDE w:val="0"/>
        <w:autoSpaceDN w:val="0"/>
        <w:adjustRightInd w:val="0"/>
        <w:spacing w:after="0" w:line="240" w:lineRule="auto"/>
        <w:ind w:left="1134" w:hanging="567"/>
        <w:jc w:val="both"/>
        <w:rPr>
          <w:rFonts w:ascii="Arial" w:hAnsi="Arial" w:cs="Arial"/>
          <w:sz w:val="20"/>
          <w:szCs w:val="20"/>
          <w:lang w:val="es-ES"/>
        </w:rPr>
      </w:pPr>
      <w:r w:rsidRPr="005D5CBA">
        <w:rPr>
          <w:rFonts w:ascii="Arial" w:hAnsi="Arial" w:cs="Arial"/>
          <w:sz w:val="20"/>
          <w:szCs w:val="20"/>
          <w:lang w:val="es-ES_tradnl"/>
        </w:rPr>
        <w:t>Que</w:t>
      </w:r>
      <w:r w:rsidR="007829E4">
        <w:rPr>
          <w:rFonts w:ascii="Arial" w:hAnsi="Arial" w:cs="Arial"/>
          <w:sz w:val="20"/>
          <w:szCs w:val="20"/>
          <w:lang w:val="es-ES_tradnl"/>
        </w:rPr>
        <w:t xml:space="preserve">, </w:t>
      </w:r>
      <w:r w:rsidRPr="005D5CBA">
        <w:rPr>
          <w:rFonts w:ascii="Arial" w:hAnsi="Arial" w:cs="Arial"/>
          <w:sz w:val="20"/>
          <w:szCs w:val="20"/>
          <w:lang w:val="es-ES_tradnl"/>
        </w:rPr>
        <w:t>para facilitar el acceso a la información que figura en el documento UPOV/INF/22</w:t>
      </w:r>
      <w:r w:rsidR="007829E4">
        <w:rPr>
          <w:rFonts w:ascii="Arial" w:hAnsi="Arial" w:cs="Arial"/>
          <w:sz w:val="20"/>
          <w:szCs w:val="20"/>
          <w:lang w:val="es-ES_tradnl"/>
        </w:rPr>
        <w:t xml:space="preserve">, </w:t>
      </w:r>
      <w:r w:rsidRPr="005D5CBA">
        <w:rPr>
          <w:rFonts w:ascii="Arial" w:hAnsi="Arial" w:cs="Arial"/>
          <w:sz w:val="20"/>
          <w:szCs w:val="20"/>
          <w:lang w:val="es-ES_tradnl"/>
        </w:rPr>
        <w:t>se publique dicha información en otro formato como</w:t>
      </w:r>
      <w:r w:rsidR="007829E4">
        <w:rPr>
          <w:rFonts w:ascii="Arial" w:hAnsi="Arial" w:cs="Arial"/>
          <w:sz w:val="20"/>
          <w:szCs w:val="20"/>
          <w:lang w:val="es-ES_tradnl"/>
        </w:rPr>
        <w:t xml:space="preserve">, </w:t>
      </w:r>
      <w:r w:rsidRPr="005D5CBA">
        <w:rPr>
          <w:rFonts w:ascii="Arial" w:hAnsi="Arial" w:cs="Arial"/>
          <w:sz w:val="20"/>
          <w:szCs w:val="20"/>
          <w:lang w:val="es-ES_tradnl"/>
        </w:rPr>
        <w:t>por ejemplo</w:t>
      </w:r>
      <w:r w:rsidR="007829E4">
        <w:rPr>
          <w:rFonts w:ascii="Arial" w:hAnsi="Arial" w:cs="Arial"/>
          <w:sz w:val="20"/>
          <w:szCs w:val="20"/>
          <w:lang w:val="es-ES_tradnl"/>
        </w:rPr>
        <w:t xml:space="preserve">, </w:t>
      </w:r>
      <w:r w:rsidRPr="005D5CBA">
        <w:rPr>
          <w:rFonts w:ascii="Arial" w:hAnsi="Arial" w:cs="Arial"/>
          <w:sz w:val="20"/>
          <w:szCs w:val="20"/>
          <w:lang w:val="es-ES_tradnl"/>
        </w:rPr>
        <w:t>una página web.</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5D5CBA" w:rsidRPr="005D5CBA">
        <w:rPr>
          <w:rFonts w:cs="Arial"/>
        </w:rPr>
        <w:t>Un experto del Reino Unido presentó una ponencia titulada “Umbrales calculados para excluir las variedades notoriamente conocidas del segundo ciclo de cultivo cuando se emplea el COYD” (documento TWC/34/8).</w:t>
      </w:r>
      <w:r w:rsidR="00642BCD" w:rsidRPr="009B196C">
        <w:rPr>
          <w:rFonts w:cs="Arial"/>
          <w:lang w:val="es-ES"/>
        </w:rPr>
        <w:t xml:space="preserve">  </w:t>
      </w:r>
      <w:r w:rsidR="005D5CBA" w:rsidRPr="005D5CBA">
        <w:rPr>
          <w:rFonts w:cs="Arial"/>
        </w:rPr>
        <w:t>En ella se describió un método de selección de las variedades similares que se han de comparar tras el primer ciclo de cultivo</w:t>
      </w:r>
      <w:r w:rsidR="007829E4">
        <w:rPr>
          <w:rFonts w:cs="Arial"/>
        </w:rPr>
        <w:t xml:space="preserve">, </w:t>
      </w:r>
      <w:r w:rsidR="005D5CBA" w:rsidRPr="005D5CBA">
        <w:rPr>
          <w:rFonts w:cs="Arial"/>
        </w:rPr>
        <w:t>basado en caracteres cuantitativos.</w:t>
      </w:r>
      <w:r w:rsidR="00642BCD" w:rsidRPr="009B196C">
        <w:rPr>
          <w:rFonts w:cs="Arial"/>
          <w:lang w:val="es-ES"/>
        </w:rPr>
        <w:t xml:space="preserve">  </w:t>
      </w:r>
      <w:r w:rsidR="005D5CBA" w:rsidRPr="005D5CBA">
        <w:rPr>
          <w:rFonts w:cs="Arial"/>
        </w:rPr>
        <w:t>El método se evaluó con un conjunto de datos de guisante del Reino Unido.</w:t>
      </w:r>
      <w:r w:rsidR="00642BCD" w:rsidRPr="009B196C">
        <w:rPr>
          <w:rFonts w:cs="Arial"/>
          <w:lang w:val="es-ES"/>
        </w:rPr>
        <w:t xml:space="preserve">  </w:t>
      </w:r>
      <w:r w:rsidR="005D5CBA" w:rsidRPr="005D5CBA">
        <w:rPr>
          <w:rFonts w:cs="Arial"/>
        </w:rPr>
        <w:t>Se convino en que sería útil contar con más conjuntos de datos para perfeccionar el método y se acogió con agrado el ofrecimiento de Alemania</w:t>
      </w:r>
      <w:r w:rsidR="007829E4">
        <w:rPr>
          <w:rFonts w:cs="Arial"/>
        </w:rPr>
        <w:t xml:space="preserve">, </w:t>
      </w:r>
      <w:r w:rsidR="005D5CBA" w:rsidRPr="005D5CBA">
        <w:rPr>
          <w:rFonts w:cs="Arial"/>
        </w:rPr>
        <w:t>Dinamarca</w:t>
      </w:r>
      <w:r w:rsidR="007829E4">
        <w:rPr>
          <w:rFonts w:cs="Arial"/>
        </w:rPr>
        <w:t xml:space="preserve">, </w:t>
      </w:r>
      <w:r w:rsidR="005D5CBA" w:rsidRPr="005D5CBA">
        <w:rPr>
          <w:rFonts w:cs="Arial"/>
        </w:rPr>
        <w:t>Eslovaquia y Finlandia de facilitar conjuntos de datos.</w:t>
      </w:r>
      <w:r w:rsidR="00273DB6" w:rsidRPr="009B196C">
        <w:rPr>
          <w:rFonts w:cs="Arial"/>
          <w:lang w:val="es-ES"/>
        </w:rPr>
        <w:t xml:space="preserve">  </w:t>
      </w:r>
      <w:r w:rsidR="005D5CBA" w:rsidRPr="00151BB0">
        <w:rPr>
          <w:rFonts w:cs="Arial"/>
        </w:rPr>
        <w:t>El TWC tomó nota de que se desarrollarán programas informáticos para aplicar el método y se contemplará la posibilidad de integrarlos al programa informático GAIA.</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151BB0" w:rsidRPr="00151BB0">
        <w:rPr>
          <w:rFonts w:cs="Arial"/>
        </w:rPr>
        <w:t>Un experto de Finlandia presentó una ponencia titulada “Reducción al mínimo de la variación entre observadores</w:t>
      </w:r>
      <w:r w:rsidR="007829E4">
        <w:rPr>
          <w:rFonts w:cs="Arial"/>
        </w:rPr>
        <w:t xml:space="preserve">:  </w:t>
      </w:r>
      <w:r w:rsidR="00151BB0" w:rsidRPr="00151BB0">
        <w:rPr>
          <w:rFonts w:cs="Arial"/>
        </w:rPr>
        <w:t>un ejemplo práctico de Finlandia” (documento TWC/34/19).</w:t>
      </w:r>
      <w:r w:rsidR="00642BCD" w:rsidRPr="009B196C">
        <w:rPr>
          <w:rFonts w:cs="Arial"/>
          <w:lang w:val="es-ES"/>
        </w:rPr>
        <w:t xml:space="preserve">  </w:t>
      </w:r>
      <w:r w:rsidR="00151BB0" w:rsidRPr="00151BB0">
        <w:rPr>
          <w:rFonts w:cs="Arial"/>
        </w:rPr>
        <w:t>En Finlandia se han tomado medidas para reducir al mínimo la variación entre observadores en la evaluación de caracteres por medición (MS) o por observación visual (VS) en nabina.</w:t>
      </w:r>
      <w:r w:rsidR="00273DB6" w:rsidRPr="009B196C">
        <w:rPr>
          <w:rFonts w:cs="Arial"/>
          <w:lang w:val="es-ES"/>
        </w:rPr>
        <w:t xml:space="preserve">  </w:t>
      </w:r>
      <w:r w:rsidR="00151BB0" w:rsidRPr="00E121C2">
        <w:rPr>
          <w:rFonts w:cs="Arial"/>
        </w:rPr>
        <w:t>Se imparte formación antes de comenzar a trabajar y se lleva a cabo una calibración en diferentes momentos del día.</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E121C2" w:rsidRPr="00B60BF6">
        <w:rPr>
          <w:rFonts w:cs="Arial"/>
        </w:rPr>
        <w:t>El TWC asistió a una ponencia a cargo de un experto de Finlandia sobre “El número de ciclos</w:t>
      </w:r>
      <w:r w:rsidR="00B60BF6" w:rsidRPr="00B60BF6">
        <w:rPr>
          <w:rFonts w:cs="Arial"/>
        </w:rPr>
        <w:t xml:space="preserve"> </w:t>
      </w:r>
      <w:r w:rsidR="00E121C2" w:rsidRPr="00B60BF6">
        <w:rPr>
          <w:rFonts w:cs="Arial"/>
        </w:rPr>
        <w:t>de</w:t>
      </w:r>
      <w:r w:rsidR="00B60BF6" w:rsidRPr="00B60BF6">
        <w:rPr>
          <w:rFonts w:cs="Arial"/>
        </w:rPr>
        <w:t xml:space="preserve"> </w:t>
      </w:r>
      <w:r w:rsidR="00E121C2" w:rsidRPr="00B60BF6">
        <w:rPr>
          <w:rFonts w:cs="Arial"/>
        </w:rPr>
        <w:t>cultivo en el examen DHE</w:t>
      </w:r>
      <w:r w:rsidR="007829E4">
        <w:rPr>
          <w:rFonts w:cs="Arial"/>
        </w:rPr>
        <w:t xml:space="preserve">:  </w:t>
      </w:r>
      <w:r w:rsidR="00E121C2" w:rsidRPr="00B60BF6">
        <w:rPr>
          <w:rFonts w:cs="Arial"/>
        </w:rPr>
        <w:t>simulación del impacto en las decisiones relativas a la DHE” (documento TWC/34/15).</w:t>
      </w:r>
      <w:r w:rsidR="00642BCD" w:rsidRPr="009B196C">
        <w:rPr>
          <w:rFonts w:cs="Arial"/>
          <w:lang w:val="es-ES"/>
        </w:rPr>
        <w:t xml:space="preserve">  </w:t>
      </w:r>
      <w:r w:rsidR="00B90833" w:rsidRPr="00B90833">
        <w:rPr>
          <w:rFonts w:cs="Arial"/>
        </w:rPr>
        <w:t>En ella se analizó si se necesitan dos o tres ciclos de cultivo para las variedades alógamas de fleo</w:t>
      </w:r>
      <w:r w:rsidR="007829E4">
        <w:rPr>
          <w:rFonts w:cs="Arial"/>
        </w:rPr>
        <w:t xml:space="preserve">, </w:t>
      </w:r>
      <w:r w:rsidR="00B90833" w:rsidRPr="00B90833">
        <w:rPr>
          <w:rFonts w:cs="Arial"/>
        </w:rPr>
        <w:t>festuca pratense</w:t>
      </w:r>
      <w:r w:rsidR="007829E4">
        <w:rPr>
          <w:rFonts w:cs="Arial"/>
        </w:rPr>
        <w:t xml:space="preserve">, </w:t>
      </w:r>
      <w:r w:rsidR="00B90833" w:rsidRPr="00B90833">
        <w:rPr>
          <w:rFonts w:cs="Arial"/>
        </w:rPr>
        <w:t>trébol rojo</w:t>
      </w:r>
      <w:r w:rsidR="007829E4">
        <w:rPr>
          <w:rFonts w:cs="Arial"/>
        </w:rPr>
        <w:t xml:space="preserve">, </w:t>
      </w:r>
      <w:r w:rsidR="00B90833" w:rsidRPr="00B90833">
        <w:rPr>
          <w:rFonts w:cs="Arial"/>
        </w:rPr>
        <w:t>trébol blanco y nabina.</w:t>
      </w:r>
      <w:r w:rsidR="00642BCD" w:rsidRPr="009B196C">
        <w:rPr>
          <w:rFonts w:cs="Arial"/>
          <w:lang w:val="es-ES"/>
        </w:rPr>
        <w:t xml:space="preserve">  </w:t>
      </w:r>
      <w:r w:rsidR="00B90833" w:rsidRPr="00B90833">
        <w:rPr>
          <w:rFonts w:cs="Arial"/>
        </w:rPr>
        <w:t>El número predominante de ciclos necesarios dependió del cultivo.</w:t>
      </w:r>
      <w:r w:rsidR="00642BCD" w:rsidRPr="009B196C">
        <w:rPr>
          <w:rFonts w:cs="Arial"/>
          <w:lang w:val="es-ES"/>
        </w:rPr>
        <w:t xml:space="preserve">  </w:t>
      </w:r>
      <w:r w:rsidR="00B90833" w:rsidRPr="00B90833">
        <w:rPr>
          <w:rFonts w:cs="Arial"/>
        </w:rPr>
        <w:t>Un experto de los Países Bajos también presentó una ponencia titulada “El número mínimo de ciclos de cultivo” (documento TWC/34/21).</w:t>
      </w:r>
      <w:r w:rsidR="00642BCD" w:rsidRPr="009B196C">
        <w:rPr>
          <w:rFonts w:cs="Arial"/>
          <w:lang w:val="es-ES"/>
        </w:rPr>
        <w:t xml:space="preserve">  </w:t>
      </w:r>
      <w:r w:rsidR="00B90833" w:rsidRPr="00DB432A">
        <w:rPr>
          <w:rFonts w:cs="Arial"/>
        </w:rPr>
        <w:t>En ella recordó los factores que pueden determinar el número de ciclos de cultivo necesarios e indicó que para reducirlo se podrían emplear</w:t>
      </w:r>
      <w:r w:rsidR="007829E4">
        <w:rPr>
          <w:rFonts w:cs="Arial"/>
        </w:rPr>
        <w:t xml:space="preserve">, </w:t>
      </w:r>
      <w:r w:rsidR="00B90833" w:rsidRPr="00DB432A">
        <w:rPr>
          <w:rFonts w:cs="Arial"/>
        </w:rPr>
        <w:t>en algunos casos</w:t>
      </w:r>
      <w:r w:rsidR="007829E4">
        <w:rPr>
          <w:rFonts w:cs="Arial"/>
        </w:rPr>
        <w:t xml:space="preserve">, </w:t>
      </w:r>
      <w:r w:rsidR="00B90833" w:rsidRPr="00DB432A">
        <w:rPr>
          <w:rFonts w:cs="Arial"/>
        </w:rPr>
        <w:t>pruebas complementarias tales como de resistencia a enfermedades</w:t>
      </w:r>
      <w:r w:rsidR="007829E4">
        <w:rPr>
          <w:rFonts w:cs="Arial"/>
        </w:rPr>
        <w:t xml:space="preserve">, </w:t>
      </w:r>
      <w:r w:rsidR="00B90833" w:rsidRPr="00DB432A">
        <w:rPr>
          <w:rFonts w:cs="Arial"/>
        </w:rPr>
        <w:t>brotación o ADN.</w:t>
      </w:r>
      <w:r w:rsidR="00642BCD" w:rsidRPr="009B196C">
        <w:rPr>
          <w:rFonts w:cs="Arial"/>
          <w:lang w:val="es-ES"/>
        </w:rPr>
        <w:t xml:space="preserve">  </w:t>
      </w:r>
      <w:r w:rsidR="00DB432A" w:rsidRPr="00DB432A">
        <w:rPr>
          <w:rFonts w:cs="Arial"/>
        </w:rPr>
        <w:t>El TWC tomó nota de que algunos miembros de la Unión están considerando los análisis de ADN para reducir el número de ciclos de cultivo</w:t>
      </w:r>
      <w:r w:rsidR="007829E4">
        <w:rPr>
          <w:rFonts w:cs="Arial"/>
        </w:rPr>
        <w:t xml:space="preserve">, </w:t>
      </w:r>
      <w:r w:rsidR="00DB432A" w:rsidRPr="00DB432A">
        <w:rPr>
          <w:rFonts w:cs="Arial"/>
        </w:rPr>
        <w:t>sin dejar de basar las decisiones en un ensayo de cultivo.</w:t>
      </w:r>
      <w:r w:rsidR="00273DB6" w:rsidRPr="009B196C">
        <w:rPr>
          <w:rFonts w:cs="Arial"/>
          <w:lang w:val="es-ES"/>
        </w:rPr>
        <w:t xml:space="preserve">  </w:t>
      </w:r>
      <w:r w:rsidR="00DB432A" w:rsidRPr="00DB432A">
        <w:rPr>
          <w:rFonts w:cs="Arial"/>
        </w:rPr>
        <w:t>Un experto de la Argentina observó que</w:t>
      </w:r>
      <w:r w:rsidR="007829E4">
        <w:rPr>
          <w:rFonts w:cs="Arial"/>
        </w:rPr>
        <w:t xml:space="preserve">, </w:t>
      </w:r>
      <w:r w:rsidR="00DB432A" w:rsidRPr="00DB432A">
        <w:rPr>
          <w:rFonts w:cs="Arial"/>
        </w:rPr>
        <w:t>en el caso de especies de multiplicación vegetativa y autógamas</w:t>
      </w:r>
      <w:r w:rsidR="007829E4">
        <w:rPr>
          <w:rFonts w:cs="Arial"/>
        </w:rPr>
        <w:t xml:space="preserve">, </w:t>
      </w:r>
      <w:r w:rsidR="00DB432A" w:rsidRPr="00DB432A">
        <w:rPr>
          <w:rFonts w:cs="Arial"/>
        </w:rPr>
        <w:t>no sería necesario un segundo ciclo de cultivo cuando en un primer ciclo de cultivo hubiera diferencias claras entre variedades que confirmaran la distinción (p. ej. caracteres de resistencia a las enfermedades).</w:t>
      </w:r>
      <w:r w:rsidR="00642BCD" w:rsidRPr="009B196C">
        <w:rPr>
          <w:rFonts w:cs="Arial"/>
          <w:lang w:val="es-ES"/>
        </w:rPr>
        <w:t xml:space="preserve">  </w:t>
      </w:r>
      <w:r w:rsidR="00DB432A" w:rsidRPr="00DB432A">
        <w:rPr>
          <w:rFonts w:cs="Arial"/>
        </w:rPr>
        <w:t>El TWC acogió con agrado los ofrecimientos de Alemania</w:t>
      </w:r>
      <w:r w:rsidR="007829E4">
        <w:rPr>
          <w:rFonts w:cs="Arial"/>
        </w:rPr>
        <w:t xml:space="preserve">, </w:t>
      </w:r>
      <w:r w:rsidR="00DB432A" w:rsidRPr="00DB432A">
        <w:rPr>
          <w:rFonts w:cs="Arial"/>
        </w:rPr>
        <w:t>Francia y los Países Bajos de presentar ponencias sobre simulaciones que ilustren el impacto de la utilización de diferentes números de ciclos de cultivo en las decisiones relativas a la DHE</w:t>
      </w:r>
      <w:r w:rsidR="007829E4">
        <w:rPr>
          <w:rFonts w:cs="Arial"/>
        </w:rPr>
        <w:t xml:space="preserve">, </w:t>
      </w:r>
      <w:r w:rsidR="00DB432A" w:rsidRPr="00DB432A">
        <w:rPr>
          <w:rFonts w:cs="Arial"/>
        </w:rPr>
        <w:t>en su trigésima quinta reunión.</w:t>
      </w:r>
      <w:r w:rsidR="00273DB6" w:rsidRPr="009B196C">
        <w:rPr>
          <w:rFonts w:cs="Arial"/>
          <w:lang w:val="es-ES"/>
        </w:rPr>
        <w:t xml:space="preserve">  </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DB432A" w:rsidRPr="00DB432A">
        <w:rPr>
          <w:rFonts w:cs="Arial"/>
        </w:rPr>
        <w:t>El TWC convino en que los programas informáticos y las bases de datos</w:t>
      </w:r>
      <w:r w:rsidR="007829E4">
        <w:rPr>
          <w:rFonts w:cs="Arial"/>
        </w:rPr>
        <w:t xml:space="preserve">, </w:t>
      </w:r>
      <w:r w:rsidR="00DB432A" w:rsidRPr="00DB432A">
        <w:rPr>
          <w:rFonts w:cs="Arial"/>
        </w:rPr>
        <w:t>así como los métodos estadísticos asociados</w:t>
      </w:r>
      <w:r w:rsidR="007829E4">
        <w:rPr>
          <w:rFonts w:cs="Arial"/>
        </w:rPr>
        <w:t xml:space="preserve">, </w:t>
      </w:r>
      <w:r w:rsidR="00DB432A" w:rsidRPr="00DB432A">
        <w:rPr>
          <w:rFonts w:cs="Arial"/>
        </w:rPr>
        <w:t>son elementos fundamentales del examen DHE</w:t>
      </w:r>
      <w:r w:rsidR="007829E4">
        <w:rPr>
          <w:rFonts w:cs="Arial"/>
        </w:rPr>
        <w:t xml:space="preserve">, </w:t>
      </w:r>
      <w:r w:rsidR="00DB432A" w:rsidRPr="00DB432A">
        <w:rPr>
          <w:rFonts w:cs="Arial"/>
        </w:rPr>
        <w:t>de una importancia cada vez mayor para la protección de las obtenciones vegetales.</w:t>
      </w:r>
      <w:r w:rsidR="00273DB6" w:rsidRPr="009B196C">
        <w:rPr>
          <w:rFonts w:cs="Arial"/>
          <w:lang w:val="es-ES"/>
        </w:rPr>
        <w:t xml:space="preserve">  </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DB432A" w:rsidRPr="00DB432A">
        <w:rPr>
          <w:rFonts w:cs="Arial"/>
        </w:rPr>
        <w:t>El TWC acordó proponer al TC que recomiende al Consejo que se elija al Sr. Christophe Chevalier (Francia) como próximo presidente del TWC.</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DB432A" w:rsidRPr="00DB432A">
        <w:rPr>
          <w:rFonts w:cs="Arial"/>
        </w:rPr>
        <w:t>El TWC decidió celebrar su trigésima quinta reunión en Buenos Aires (Argentina) del 14 al 17 de noviembre de 2017</w:t>
      </w:r>
      <w:r w:rsidR="007829E4">
        <w:rPr>
          <w:rFonts w:cs="Arial"/>
        </w:rPr>
        <w:t xml:space="preserve">, </w:t>
      </w:r>
      <w:r w:rsidR="00DB432A" w:rsidRPr="00DB432A">
        <w:rPr>
          <w:rFonts w:cs="Arial"/>
        </w:rPr>
        <w:t>y el taller preparatorio</w:t>
      </w:r>
      <w:r w:rsidR="007829E4">
        <w:rPr>
          <w:rFonts w:cs="Arial"/>
        </w:rPr>
        <w:t xml:space="preserve">, </w:t>
      </w:r>
      <w:r w:rsidR="00DB432A" w:rsidRPr="00DB432A">
        <w:rPr>
          <w:rFonts w:cs="Arial"/>
        </w:rPr>
        <w:t>el 13 de noviembre de 2017.</w:t>
      </w:r>
    </w:p>
    <w:p w:rsidR="00273DB6" w:rsidRPr="009B196C" w:rsidRDefault="00273DB6" w:rsidP="00273DB6">
      <w:pPr>
        <w:autoSpaceDE w:val="0"/>
        <w:autoSpaceDN w:val="0"/>
        <w:adjustRightInd w:val="0"/>
        <w:rPr>
          <w:rFonts w:cs="Arial"/>
          <w:lang w:val="es-ES"/>
        </w:rPr>
      </w:pPr>
    </w:p>
    <w:p w:rsidR="00273DB6" w:rsidRPr="009B196C" w:rsidRDefault="007D43C5" w:rsidP="00273DB6">
      <w:pPr>
        <w:tabs>
          <w:tab w:val="left" w:pos="567"/>
        </w:tabs>
        <w:autoSpaceDE w:val="0"/>
        <w:autoSpaceDN w:val="0"/>
        <w:adjustRightInd w:val="0"/>
        <w:rPr>
          <w:rFonts w:cs="Arial"/>
          <w:lang w:val="es-ES"/>
        </w:rPr>
      </w:pPr>
      <w:r w:rsidRPr="00D51062">
        <w:rPr>
          <w:rFonts w:cs="Arial"/>
          <w:lang w:val="en-GB"/>
        </w:rPr>
        <w:fldChar w:fldCharType="begin"/>
      </w:r>
      <w:r w:rsidR="00273DB6" w:rsidRPr="009B196C">
        <w:rPr>
          <w:rFonts w:cs="Arial"/>
          <w:lang w:val="es-ES"/>
        </w:rPr>
        <w:instrText xml:space="preserve"> AUTONUM  </w:instrText>
      </w:r>
      <w:r w:rsidRPr="00D51062">
        <w:rPr>
          <w:rFonts w:cs="Arial"/>
          <w:lang w:val="en-GB"/>
        </w:rPr>
        <w:fldChar w:fldCharType="end"/>
      </w:r>
      <w:r w:rsidR="00273DB6" w:rsidRPr="009B196C">
        <w:rPr>
          <w:rFonts w:cs="Arial"/>
          <w:lang w:val="es-ES"/>
        </w:rPr>
        <w:tab/>
      </w:r>
      <w:r w:rsidR="00DB432A" w:rsidRPr="00DB432A">
        <w:rPr>
          <w:rFonts w:cs="Arial"/>
        </w:rPr>
        <w:t>El TWC tiene previsto examinar los siguientes puntos en su trigésima quinta reunión:</w:t>
      </w:r>
    </w:p>
    <w:p w:rsidR="00273DB6" w:rsidRPr="009B196C" w:rsidRDefault="00273DB6" w:rsidP="00273DB6">
      <w:pPr>
        <w:autoSpaceDE w:val="0"/>
        <w:autoSpaceDN w:val="0"/>
        <w:adjustRightInd w:val="0"/>
        <w:rPr>
          <w:rFonts w:cs="Arial"/>
          <w:lang w:val="es-ES"/>
        </w:rPr>
      </w:pPr>
    </w:p>
    <w:p w:rsidR="00273DB6" w:rsidRPr="00D51062" w:rsidRDefault="00DB432A" w:rsidP="00DB432A">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n-GB"/>
        </w:rPr>
      </w:pPr>
      <w:r w:rsidRPr="00DB432A">
        <w:rPr>
          <w:rFonts w:ascii="Arial" w:hAnsi="Arial" w:cs="Arial"/>
          <w:sz w:val="20"/>
          <w:szCs w:val="20"/>
          <w:lang w:val="es-ES_tradnl"/>
        </w:rPr>
        <w:t>Apertura de la reunión</w:t>
      </w:r>
    </w:p>
    <w:p w:rsidR="00273DB6" w:rsidRPr="00D51062" w:rsidRDefault="00DB432A" w:rsidP="00DB432A">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n-GB"/>
        </w:rPr>
      </w:pPr>
      <w:r w:rsidRPr="00DB432A">
        <w:rPr>
          <w:rFonts w:ascii="Arial" w:hAnsi="Arial" w:cs="Arial"/>
          <w:sz w:val="20"/>
          <w:szCs w:val="20"/>
          <w:lang w:val="es-ES_tradnl"/>
        </w:rPr>
        <w:t>Aprobación del orden del día</w:t>
      </w:r>
    </w:p>
    <w:p w:rsidR="00273DB6" w:rsidRPr="009B196C" w:rsidRDefault="00DB432A" w:rsidP="00DB432A">
      <w:pPr>
        <w:pStyle w:val="ListParagraph"/>
        <w:keepNext/>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s-ES"/>
        </w:rPr>
      </w:pPr>
      <w:r w:rsidRPr="00DB432A">
        <w:rPr>
          <w:rFonts w:ascii="Arial" w:hAnsi="Arial" w:cs="Arial"/>
          <w:sz w:val="20"/>
          <w:szCs w:val="20"/>
          <w:lang w:val="es-ES_tradnl"/>
        </w:rPr>
        <w:t>Breves informes sobre los avances logrados en la protección de las variedades vegetales</w:t>
      </w:r>
    </w:p>
    <w:p w:rsidR="00273DB6" w:rsidRPr="00D51062" w:rsidRDefault="00DB432A" w:rsidP="00DB432A">
      <w:pPr>
        <w:pStyle w:val="ListParagraph"/>
        <w:numPr>
          <w:ilvl w:val="1"/>
          <w:numId w:val="2"/>
        </w:numPr>
        <w:tabs>
          <w:tab w:val="left" w:pos="1134"/>
          <w:tab w:val="left" w:pos="1701"/>
        </w:tabs>
        <w:autoSpaceDE w:val="0"/>
        <w:autoSpaceDN w:val="0"/>
        <w:adjustRightInd w:val="0"/>
        <w:spacing w:after="0" w:line="280" w:lineRule="auto"/>
        <w:ind w:left="1134" w:firstLine="0"/>
        <w:rPr>
          <w:rFonts w:ascii="Arial" w:hAnsi="Arial" w:cs="Arial"/>
          <w:sz w:val="20"/>
          <w:szCs w:val="20"/>
          <w:lang w:val="en-GB"/>
        </w:rPr>
      </w:pPr>
      <w:r w:rsidRPr="00DB432A">
        <w:rPr>
          <w:rFonts w:ascii="Arial" w:hAnsi="Arial" w:cs="Arial"/>
          <w:sz w:val="20"/>
          <w:szCs w:val="20"/>
          <w:lang w:val="es-ES_tradnl"/>
        </w:rPr>
        <w:t>Informes de miembros y observadores</w:t>
      </w:r>
      <w:r w:rsidR="00273DB6" w:rsidRPr="00D51062">
        <w:rPr>
          <w:rFonts w:ascii="Arial" w:hAnsi="Arial" w:cs="Arial"/>
          <w:sz w:val="20"/>
          <w:szCs w:val="20"/>
          <w:lang w:val="en-GB"/>
        </w:rPr>
        <w:t xml:space="preserve"> </w:t>
      </w:r>
    </w:p>
    <w:p w:rsidR="00273DB6" w:rsidRPr="009B196C" w:rsidRDefault="00DB432A" w:rsidP="00DB432A">
      <w:pPr>
        <w:pStyle w:val="ListParagraph"/>
        <w:numPr>
          <w:ilvl w:val="1"/>
          <w:numId w:val="2"/>
        </w:numPr>
        <w:tabs>
          <w:tab w:val="left" w:pos="1134"/>
          <w:tab w:val="left" w:pos="1701"/>
        </w:tabs>
        <w:autoSpaceDE w:val="0"/>
        <w:autoSpaceDN w:val="0"/>
        <w:adjustRightInd w:val="0"/>
        <w:spacing w:after="0" w:line="280" w:lineRule="auto"/>
        <w:ind w:left="1134" w:firstLine="0"/>
        <w:rPr>
          <w:rFonts w:ascii="Arial" w:hAnsi="Arial" w:cs="Arial"/>
          <w:sz w:val="20"/>
          <w:szCs w:val="20"/>
          <w:lang w:val="es-ES"/>
        </w:rPr>
      </w:pPr>
      <w:r w:rsidRPr="00DB432A">
        <w:rPr>
          <w:rFonts w:ascii="Arial" w:hAnsi="Arial" w:cs="Arial"/>
          <w:sz w:val="20"/>
          <w:szCs w:val="20"/>
          <w:lang w:val="es-ES_tradnl"/>
        </w:rPr>
        <w:t>Informes sobre los avances logrados en la UPOV</w:t>
      </w:r>
      <w:r w:rsidR="00273DB6" w:rsidRPr="009B196C">
        <w:rPr>
          <w:rFonts w:ascii="Arial" w:hAnsi="Arial" w:cs="Arial"/>
          <w:sz w:val="20"/>
          <w:szCs w:val="20"/>
          <w:lang w:val="es-ES"/>
        </w:rPr>
        <w:t xml:space="preserve"> </w:t>
      </w:r>
    </w:p>
    <w:p w:rsidR="00273DB6" w:rsidRPr="00D51062" w:rsidRDefault="00DB432A" w:rsidP="00DB432A">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n-GB"/>
        </w:rPr>
      </w:pPr>
      <w:r w:rsidRPr="00DB432A">
        <w:rPr>
          <w:rFonts w:ascii="Arial" w:hAnsi="Arial" w:cs="Arial"/>
          <w:sz w:val="20"/>
          <w:szCs w:val="20"/>
          <w:lang w:val="es-ES_tradnl"/>
        </w:rPr>
        <w:t>Denominaciones de variedades</w:t>
      </w:r>
      <w:r w:rsidR="00273DB6" w:rsidRPr="00D51062">
        <w:rPr>
          <w:rFonts w:ascii="Arial" w:hAnsi="Arial" w:cs="Arial"/>
          <w:sz w:val="20"/>
          <w:szCs w:val="20"/>
          <w:lang w:val="en-GB"/>
        </w:rPr>
        <w:t xml:space="preserve"> </w:t>
      </w:r>
    </w:p>
    <w:p w:rsidR="00273DB6" w:rsidRPr="009B196C" w:rsidRDefault="00DB432A" w:rsidP="00DB432A">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s-ES"/>
        </w:rPr>
      </w:pPr>
      <w:r w:rsidRPr="00DB432A">
        <w:rPr>
          <w:rFonts w:ascii="Arial" w:hAnsi="Arial" w:cs="Arial"/>
          <w:sz w:val="20"/>
          <w:szCs w:val="20"/>
          <w:lang w:val="es-ES_tradnl"/>
        </w:rPr>
        <w:t>Asuntos relativos a las descripciones de variedades</w:t>
      </w:r>
    </w:p>
    <w:p w:rsidR="00273DB6" w:rsidRPr="00D51062" w:rsidRDefault="00DB432A" w:rsidP="00DB432A">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n-GB"/>
        </w:rPr>
      </w:pPr>
      <w:r w:rsidRPr="00DB432A">
        <w:rPr>
          <w:rFonts w:ascii="Arial" w:hAnsi="Arial" w:cs="Arial"/>
          <w:sz w:val="20"/>
          <w:szCs w:val="20"/>
          <w:lang w:val="es-ES_tradnl"/>
        </w:rPr>
        <w:t>Documentos TGP</w:t>
      </w:r>
      <w:r w:rsidR="00273DB6" w:rsidRPr="00D51062">
        <w:rPr>
          <w:rFonts w:ascii="Arial" w:hAnsi="Arial" w:cs="Arial"/>
          <w:sz w:val="20"/>
          <w:szCs w:val="20"/>
          <w:lang w:val="en-GB"/>
        </w:rPr>
        <w:t xml:space="preserve"> </w:t>
      </w:r>
    </w:p>
    <w:p w:rsidR="00273DB6" w:rsidRPr="009B196C" w:rsidRDefault="00744DE4" w:rsidP="00744DE4">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s-ES"/>
        </w:rPr>
      </w:pPr>
      <w:r w:rsidRPr="00744DE4">
        <w:rPr>
          <w:rFonts w:ascii="Arial" w:hAnsi="Arial" w:cs="Arial"/>
          <w:sz w:val="20"/>
          <w:szCs w:val="20"/>
          <w:lang w:val="es-ES_tradnl"/>
        </w:rPr>
        <w:t>Examen de la posibilidad de reorganizar el documento TGP/8</w:t>
      </w:r>
    </w:p>
    <w:p w:rsidR="00273DB6" w:rsidRPr="009B196C" w:rsidRDefault="00744DE4" w:rsidP="00744DE4">
      <w:pPr>
        <w:pStyle w:val="ListParagraph"/>
        <w:keepNext/>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s-ES"/>
        </w:rPr>
      </w:pPr>
      <w:r w:rsidRPr="00744DE4">
        <w:rPr>
          <w:rFonts w:ascii="Arial" w:hAnsi="Arial" w:cs="Arial"/>
          <w:sz w:val="20"/>
          <w:szCs w:val="20"/>
          <w:lang w:val="es-ES_tradnl"/>
        </w:rPr>
        <w:t>Evaluación de la homogeneidad mediante plantas fuera de tipo</w:t>
      </w:r>
    </w:p>
    <w:p w:rsidR="00273DB6" w:rsidRPr="009B196C" w:rsidRDefault="00744DE4" w:rsidP="00744DE4">
      <w:pPr>
        <w:pStyle w:val="ListParagraph"/>
        <w:numPr>
          <w:ilvl w:val="1"/>
          <w:numId w:val="2"/>
        </w:numPr>
        <w:tabs>
          <w:tab w:val="left" w:pos="1134"/>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Experiencia práctica sobre la evaluación de la homogeneidad mediante plantas fuera de tipo</w:t>
      </w:r>
      <w:r w:rsidR="00273DB6" w:rsidRPr="009B196C">
        <w:rPr>
          <w:rFonts w:ascii="Arial" w:hAnsi="Arial" w:cs="Arial"/>
          <w:sz w:val="20"/>
          <w:szCs w:val="20"/>
          <w:lang w:val="es-ES"/>
        </w:rPr>
        <w:t xml:space="preserve"> </w:t>
      </w:r>
    </w:p>
    <w:p w:rsidR="00273DB6" w:rsidRPr="009B196C" w:rsidRDefault="00744DE4" w:rsidP="00744DE4">
      <w:pPr>
        <w:pStyle w:val="ListParagraph"/>
        <w:numPr>
          <w:ilvl w:val="1"/>
          <w:numId w:val="2"/>
        </w:numPr>
        <w:tabs>
          <w:tab w:val="left" w:pos="1134"/>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Factores que afectan la elección del método para evaluar las plantas fuera de tipo en dos o más ciclos de cultivo</w:t>
      </w:r>
    </w:p>
    <w:p w:rsidR="00273DB6" w:rsidRPr="00D51062" w:rsidRDefault="00744DE4" w:rsidP="00744DE4">
      <w:pPr>
        <w:pStyle w:val="ListParagraph"/>
        <w:keepNext/>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n-GB"/>
        </w:rPr>
      </w:pPr>
      <w:r w:rsidRPr="00744DE4">
        <w:rPr>
          <w:rFonts w:ascii="Arial" w:hAnsi="Arial" w:cs="Arial"/>
          <w:sz w:val="20"/>
          <w:szCs w:val="20"/>
          <w:lang w:val="es-ES_tradnl"/>
        </w:rPr>
        <w:t>Técnicas moleculares</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Selección de variedades similares de maíz</w:t>
      </w:r>
      <w:r w:rsidR="007829E4">
        <w:rPr>
          <w:rFonts w:ascii="Arial" w:hAnsi="Arial" w:cs="Arial"/>
          <w:sz w:val="20"/>
          <w:szCs w:val="20"/>
          <w:lang w:val="es-ES_tradnl"/>
        </w:rPr>
        <w:t xml:space="preserve">, </w:t>
      </w:r>
      <w:r w:rsidRPr="00744DE4">
        <w:rPr>
          <w:rFonts w:ascii="Arial" w:hAnsi="Arial" w:cs="Arial"/>
          <w:sz w:val="20"/>
          <w:szCs w:val="20"/>
          <w:lang w:val="es-ES_tradnl"/>
        </w:rPr>
        <w:t>arroz y trigo mediante una base de datos de ADN</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Utilización de marcadores moleculares en el examen DHE</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Experiencia en la utilización de marcadores moleculares en el examen DHE</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Aspectos estadísticos (bioinformática) relativos a la utilización de marcadores moleculares en el examen DHE</w:t>
      </w:r>
    </w:p>
    <w:p w:rsidR="00273DB6" w:rsidRPr="009B196C" w:rsidRDefault="00744DE4" w:rsidP="00744DE4">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s-ES"/>
        </w:rPr>
      </w:pPr>
      <w:r w:rsidRPr="00744DE4">
        <w:rPr>
          <w:rFonts w:ascii="Arial" w:hAnsi="Arial" w:cs="Arial"/>
          <w:sz w:val="20"/>
          <w:szCs w:val="20"/>
          <w:lang w:val="es-ES_tradnl"/>
        </w:rPr>
        <w:t>Número de ciclos de cultivo en el examen DHE</w:t>
      </w:r>
      <w:r w:rsidR="00273DB6" w:rsidRPr="009B196C">
        <w:rPr>
          <w:rFonts w:ascii="Arial" w:hAnsi="Arial" w:cs="Arial"/>
          <w:sz w:val="20"/>
          <w:szCs w:val="20"/>
          <w:lang w:val="es-ES"/>
        </w:rPr>
        <w:t xml:space="preserve"> </w:t>
      </w:r>
    </w:p>
    <w:p w:rsidR="00273DB6" w:rsidRPr="009B196C" w:rsidRDefault="00744DE4" w:rsidP="00744DE4">
      <w:pPr>
        <w:pStyle w:val="ListParagraph"/>
        <w:keepNext/>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s-ES"/>
        </w:rPr>
      </w:pPr>
      <w:r w:rsidRPr="00744DE4">
        <w:rPr>
          <w:rFonts w:ascii="Arial" w:hAnsi="Arial" w:cs="Arial"/>
          <w:sz w:val="20"/>
          <w:szCs w:val="20"/>
          <w:lang w:val="es-ES_tradnl"/>
        </w:rPr>
        <w:t>Tratamiento de datos para la evaluación de la distinción y la elaboración de descripciones de variedades</w:t>
      </w:r>
    </w:p>
    <w:p w:rsidR="00273DB6" w:rsidRPr="00D51062" w:rsidRDefault="00744DE4" w:rsidP="00DC6A6B">
      <w:pPr>
        <w:pStyle w:val="ListParagraph"/>
        <w:keepNext/>
        <w:numPr>
          <w:ilvl w:val="1"/>
          <w:numId w:val="2"/>
        </w:numPr>
        <w:tabs>
          <w:tab w:val="left" w:pos="1701"/>
        </w:tabs>
        <w:autoSpaceDE w:val="0"/>
        <w:autoSpaceDN w:val="0"/>
        <w:adjustRightInd w:val="0"/>
        <w:spacing w:after="0" w:line="281" w:lineRule="auto"/>
        <w:ind w:left="1134" w:firstLine="0"/>
        <w:rPr>
          <w:rFonts w:ascii="Arial" w:hAnsi="Arial" w:cs="Arial"/>
          <w:sz w:val="20"/>
          <w:szCs w:val="20"/>
          <w:lang w:val="en-GB"/>
        </w:rPr>
      </w:pPr>
      <w:r w:rsidRPr="00744DE4">
        <w:rPr>
          <w:rFonts w:ascii="Arial" w:hAnsi="Arial" w:cs="Arial"/>
          <w:sz w:val="20"/>
          <w:szCs w:val="20"/>
          <w:lang w:val="es-ES_tradnl"/>
        </w:rPr>
        <w:t>Descripciones breves</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Análisis de los resultados de un ejercicio práctico</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Interacción genotipo-medio ambiente</w:t>
      </w:r>
      <w:r w:rsidR="007829E4">
        <w:rPr>
          <w:rFonts w:ascii="Arial" w:hAnsi="Arial" w:cs="Arial"/>
          <w:sz w:val="20"/>
          <w:szCs w:val="20"/>
          <w:lang w:val="es-ES_tradnl"/>
        </w:rPr>
        <w:t xml:space="preserve">, </w:t>
      </w:r>
      <w:r w:rsidRPr="00744DE4">
        <w:rPr>
          <w:rFonts w:ascii="Arial" w:hAnsi="Arial" w:cs="Arial"/>
          <w:sz w:val="20"/>
          <w:szCs w:val="20"/>
          <w:lang w:val="es-ES_tradnl"/>
        </w:rPr>
        <w:t>exámenes DHE y transformación de los datos en notas</w:t>
      </w:r>
    </w:p>
    <w:p w:rsidR="00273DB6" w:rsidRPr="009B196C" w:rsidRDefault="00744DE4" w:rsidP="00744DE4">
      <w:pPr>
        <w:pStyle w:val="ListParagraph"/>
        <w:keepNext/>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s-ES"/>
        </w:rPr>
      </w:pPr>
      <w:r w:rsidRPr="00744DE4">
        <w:rPr>
          <w:rFonts w:ascii="Arial" w:hAnsi="Arial" w:cs="Arial"/>
          <w:sz w:val="20"/>
          <w:szCs w:val="20"/>
          <w:lang w:val="es-ES_tradnl"/>
        </w:rPr>
        <w:t>Programas informáticos</w:t>
      </w:r>
      <w:r w:rsidR="007829E4">
        <w:rPr>
          <w:rFonts w:ascii="Arial" w:hAnsi="Arial" w:cs="Arial"/>
          <w:sz w:val="20"/>
          <w:szCs w:val="20"/>
          <w:lang w:val="es-ES_tradnl"/>
        </w:rPr>
        <w:t xml:space="preserve">, </w:t>
      </w:r>
      <w:r w:rsidRPr="00744DE4">
        <w:rPr>
          <w:rFonts w:ascii="Arial" w:hAnsi="Arial" w:cs="Arial"/>
          <w:sz w:val="20"/>
          <w:szCs w:val="20"/>
          <w:lang w:val="es-ES_tradnl"/>
        </w:rPr>
        <w:t>información y bases de datos</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Bases de datos de información de la UPOV</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Bases de datos de descripciones de variedades</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Intercambio y uso de programas informáticos y equipos</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Sistemas de presentación electrónica de solicitudes</w:t>
      </w:r>
    </w:p>
    <w:p w:rsidR="00273DB6" w:rsidRPr="009B196C" w:rsidRDefault="00744DE4" w:rsidP="00744DE4">
      <w:pPr>
        <w:pStyle w:val="ListParagraph"/>
        <w:keepNext/>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Gestión de las bases de datos</w:t>
      </w:r>
    </w:p>
    <w:p w:rsidR="00273DB6" w:rsidRPr="009B196C" w:rsidRDefault="00744DE4" w:rsidP="00744DE4">
      <w:pPr>
        <w:pStyle w:val="ListParagraph"/>
        <w:numPr>
          <w:ilvl w:val="2"/>
          <w:numId w:val="2"/>
        </w:numPr>
        <w:tabs>
          <w:tab w:val="left" w:pos="2268"/>
        </w:tabs>
        <w:autoSpaceDE w:val="0"/>
        <w:autoSpaceDN w:val="0"/>
        <w:adjustRightInd w:val="0"/>
        <w:spacing w:after="0" w:line="280" w:lineRule="auto"/>
        <w:ind w:left="1843" w:firstLine="0"/>
        <w:rPr>
          <w:rFonts w:ascii="Arial" w:hAnsi="Arial" w:cs="Arial"/>
          <w:sz w:val="20"/>
          <w:szCs w:val="20"/>
          <w:lang w:val="es-ES"/>
        </w:rPr>
      </w:pPr>
      <w:r w:rsidRPr="00744DE4">
        <w:rPr>
          <w:rFonts w:ascii="Arial" w:hAnsi="Arial" w:cs="Arial"/>
          <w:sz w:val="20"/>
          <w:szCs w:val="20"/>
          <w:lang w:val="es-ES_tradnl"/>
        </w:rPr>
        <w:t>Experiencia de los miembros en la aplicación de bases de datos</w:t>
      </w:r>
    </w:p>
    <w:p w:rsidR="00273DB6" w:rsidRPr="009B196C" w:rsidRDefault="00744DE4" w:rsidP="00744DE4">
      <w:pPr>
        <w:pStyle w:val="ListParagraph"/>
        <w:numPr>
          <w:ilvl w:val="2"/>
          <w:numId w:val="2"/>
        </w:numPr>
        <w:tabs>
          <w:tab w:val="left" w:pos="2268"/>
        </w:tabs>
        <w:autoSpaceDE w:val="0"/>
        <w:autoSpaceDN w:val="0"/>
        <w:adjustRightInd w:val="0"/>
        <w:spacing w:after="0" w:line="280" w:lineRule="auto"/>
        <w:ind w:left="1843" w:firstLine="0"/>
        <w:rPr>
          <w:rFonts w:ascii="Arial" w:hAnsi="Arial" w:cs="Arial"/>
          <w:sz w:val="20"/>
          <w:szCs w:val="20"/>
          <w:lang w:val="es-ES"/>
        </w:rPr>
      </w:pPr>
      <w:r w:rsidRPr="00744DE4">
        <w:rPr>
          <w:rFonts w:ascii="Arial" w:hAnsi="Arial" w:cs="Arial"/>
          <w:sz w:val="20"/>
          <w:szCs w:val="20"/>
          <w:lang w:val="es-ES_tradnl"/>
        </w:rPr>
        <w:t>Gestación de nuevas ideas relativas a la gestión de la información</w:t>
      </w:r>
    </w:p>
    <w:p w:rsidR="00273DB6" w:rsidRPr="009B196C" w:rsidRDefault="00744DE4" w:rsidP="00744DE4">
      <w:pPr>
        <w:pStyle w:val="ListParagraph"/>
        <w:numPr>
          <w:ilvl w:val="2"/>
          <w:numId w:val="2"/>
        </w:numPr>
        <w:tabs>
          <w:tab w:val="left" w:pos="1134"/>
          <w:tab w:val="left" w:pos="2268"/>
        </w:tabs>
        <w:autoSpaceDE w:val="0"/>
        <w:autoSpaceDN w:val="0"/>
        <w:adjustRightInd w:val="0"/>
        <w:spacing w:after="0" w:line="280" w:lineRule="auto"/>
        <w:ind w:left="1843" w:firstLine="0"/>
        <w:rPr>
          <w:rFonts w:ascii="Arial" w:hAnsi="Arial" w:cs="Arial"/>
          <w:sz w:val="20"/>
          <w:szCs w:val="20"/>
          <w:lang w:val="es-ES"/>
        </w:rPr>
      </w:pPr>
      <w:r w:rsidRPr="00744DE4">
        <w:rPr>
          <w:rFonts w:ascii="Arial" w:hAnsi="Arial" w:cs="Arial"/>
          <w:sz w:val="20"/>
          <w:szCs w:val="20"/>
          <w:lang w:val="es-ES_tradnl"/>
        </w:rPr>
        <w:t>Orientación sobre la gestión de las bases de datos</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Un único instrumento para los procesos de cálculo relativos al examen DHE</w:t>
      </w:r>
    </w:p>
    <w:p w:rsidR="00273DB6" w:rsidRPr="00D51062" w:rsidRDefault="00744DE4" w:rsidP="00744DE4">
      <w:pPr>
        <w:pStyle w:val="ListParagraph"/>
        <w:keepNext/>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n-GB"/>
        </w:rPr>
      </w:pPr>
      <w:r w:rsidRPr="00744DE4">
        <w:rPr>
          <w:rFonts w:ascii="Arial" w:hAnsi="Arial" w:cs="Arial"/>
          <w:sz w:val="20"/>
          <w:szCs w:val="20"/>
          <w:lang w:val="es-ES_tradnl"/>
        </w:rPr>
        <w:t>Métodos estadísticos</w:t>
      </w:r>
    </w:p>
    <w:p w:rsidR="00273DB6" w:rsidRPr="009B196C" w:rsidRDefault="00744DE4" w:rsidP="00744DE4">
      <w:pPr>
        <w:pStyle w:val="ListParagraph"/>
        <w:keepNext/>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Exclusión de las variedades notoriamente conocidas del segundo ciclo de cultivo</w:t>
      </w:r>
    </w:p>
    <w:p w:rsidR="00273DB6" w:rsidRPr="009B196C" w:rsidRDefault="00744DE4" w:rsidP="00744DE4">
      <w:pPr>
        <w:pStyle w:val="ListParagraph"/>
        <w:keepNext/>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Métodos estadísticos y programas informáticos aplicados a caracteres observados visualmente</w:t>
      </w:r>
    </w:p>
    <w:p w:rsidR="00273DB6" w:rsidRPr="009B196C" w:rsidRDefault="00744DE4" w:rsidP="00744DE4">
      <w:pPr>
        <w:pStyle w:val="ListParagraph"/>
        <w:numPr>
          <w:ilvl w:val="1"/>
          <w:numId w:val="2"/>
        </w:numPr>
        <w:tabs>
          <w:tab w:val="left" w:pos="1701"/>
        </w:tabs>
        <w:autoSpaceDE w:val="0"/>
        <w:autoSpaceDN w:val="0"/>
        <w:adjustRightInd w:val="0"/>
        <w:spacing w:after="0" w:line="280" w:lineRule="auto"/>
        <w:ind w:left="1134" w:firstLine="0"/>
        <w:rPr>
          <w:rFonts w:ascii="Arial" w:hAnsi="Arial" w:cs="Arial"/>
          <w:sz w:val="20"/>
          <w:szCs w:val="20"/>
          <w:lang w:val="es-ES"/>
        </w:rPr>
      </w:pPr>
      <w:r w:rsidRPr="00744DE4">
        <w:rPr>
          <w:rFonts w:ascii="Arial" w:hAnsi="Arial" w:cs="Arial"/>
          <w:sz w:val="20"/>
          <w:szCs w:val="20"/>
          <w:lang w:val="es-ES_tradnl"/>
        </w:rPr>
        <w:t>Criterio combinado interanual de homogeneidad (COYU)</w:t>
      </w:r>
    </w:p>
    <w:p w:rsidR="00273DB6" w:rsidRPr="00D51062" w:rsidRDefault="00744DE4" w:rsidP="00744DE4">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n-GB"/>
        </w:rPr>
      </w:pPr>
      <w:r w:rsidRPr="00744DE4">
        <w:rPr>
          <w:rFonts w:ascii="Arial" w:hAnsi="Arial" w:cs="Arial"/>
          <w:sz w:val="20"/>
          <w:szCs w:val="20"/>
          <w:lang w:val="es-ES_tradnl"/>
        </w:rPr>
        <w:t>Análisis de imágenes</w:t>
      </w:r>
    </w:p>
    <w:p w:rsidR="00273DB6" w:rsidRPr="009B196C" w:rsidRDefault="00744DE4" w:rsidP="00744DE4">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s-ES"/>
        </w:rPr>
      </w:pPr>
      <w:r w:rsidRPr="00744DE4">
        <w:rPr>
          <w:rFonts w:ascii="Arial" w:hAnsi="Arial" w:cs="Arial"/>
          <w:sz w:val="20"/>
          <w:szCs w:val="20"/>
          <w:lang w:val="es-ES_tradnl"/>
        </w:rPr>
        <w:t>Fecha y lugar de la siguiente reunión</w:t>
      </w:r>
    </w:p>
    <w:p w:rsidR="00273DB6" w:rsidRPr="00D51062" w:rsidRDefault="00744DE4" w:rsidP="00744DE4">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n-GB"/>
        </w:rPr>
      </w:pPr>
      <w:r w:rsidRPr="00744DE4">
        <w:rPr>
          <w:rFonts w:ascii="Arial" w:hAnsi="Arial" w:cs="Arial"/>
          <w:sz w:val="20"/>
          <w:szCs w:val="20"/>
          <w:lang w:val="es-ES_tradnl"/>
        </w:rPr>
        <w:t>Futuro programa</w:t>
      </w:r>
    </w:p>
    <w:p w:rsidR="00273DB6" w:rsidRPr="00D51062" w:rsidRDefault="00744DE4" w:rsidP="00744DE4">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n-GB"/>
        </w:rPr>
      </w:pPr>
      <w:r w:rsidRPr="00744DE4">
        <w:rPr>
          <w:rFonts w:ascii="Arial" w:hAnsi="Arial" w:cs="Arial"/>
          <w:sz w:val="20"/>
          <w:szCs w:val="20"/>
          <w:lang w:val="es-ES_tradnl"/>
        </w:rPr>
        <w:t>Informe de la reunión</w:t>
      </w:r>
      <w:r w:rsidR="00273DB6" w:rsidRPr="00D51062">
        <w:rPr>
          <w:rFonts w:ascii="Arial" w:hAnsi="Arial" w:cs="Arial"/>
          <w:sz w:val="20"/>
          <w:szCs w:val="20"/>
          <w:lang w:val="en-GB"/>
        </w:rPr>
        <w:t xml:space="preserve"> </w:t>
      </w:r>
    </w:p>
    <w:p w:rsidR="00273DB6" w:rsidRPr="00D51062" w:rsidRDefault="00744DE4" w:rsidP="00744DE4">
      <w:pPr>
        <w:pStyle w:val="ListParagraph"/>
        <w:numPr>
          <w:ilvl w:val="0"/>
          <w:numId w:val="2"/>
        </w:numPr>
        <w:tabs>
          <w:tab w:val="left" w:pos="1134"/>
        </w:tabs>
        <w:autoSpaceDE w:val="0"/>
        <w:autoSpaceDN w:val="0"/>
        <w:adjustRightInd w:val="0"/>
        <w:spacing w:after="0" w:line="280" w:lineRule="auto"/>
        <w:ind w:left="567" w:firstLine="0"/>
        <w:rPr>
          <w:rFonts w:ascii="Arial" w:hAnsi="Arial" w:cs="Arial"/>
          <w:sz w:val="20"/>
          <w:szCs w:val="20"/>
          <w:lang w:val="en-GB"/>
        </w:rPr>
      </w:pPr>
      <w:r w:rsidRPr="00744DE4">
        <w:rPr>
          <w:rFonts w:ascii="Arial" w:hAnsi="Arial" w:cs="Arial"/>
          <w:sz w:val="20"/>
          <w:szCs w:val="20"/>
          <w:lang w:val="es-ES_tradnl"/>
        </w:rPr>
        <w:t>Clausura de la reunión</w:t>
      </w:r>
    </w:p>
    <w:p w:rsidR="00273DB6" w:rsidRDefault="00273DB6" w:rsidP="00273DB6">
      <w:pPr>
        <w:contextualSpacing/>
        <w:rPr>
          <w:rFonts w:cs="Arial"/>
        </w:rPr>
      </w:pPr>
    </w:p>
    <w:p w:rsidR="00273DB6" w:rsidRPr="00D51062" w:rsidRDefault="00273DB6" w:rsidP="00273DB6">
      <w:pPr>
        <w:contextualSpacing/>
        <w:rPr>
          <w:rFonts w:cs="Arial"/>
        </w:rPr>
      </w:pPr>
    </w:p>
    <w:p w:rsidR="00273DB6" w:rsidRPr="009B196C" w:rsidRDefault="00744DE4" w:rsidP="00273DB6">
      <w:pPr>
        <w:pStyle w:val="Heading3"/>
        <w:rPr>
          <w:lang w:val="es-ES"/>
        </w:rPr>
      </w:pPr>
      <w:bookmarkStart w:id="65" w:name="_Toc492290072"/>
      <w:r w:rsidRPr="00744DE4">
        <w:rPr>
          <w:lang w:val="es-ES_tradnl"/>
        </w:rPr>
        <w:t>Grupo de Trabajo Técnico sobre Plantas Frutales</w:t>
      </w:r>
      <w:bookmarkEnd w:id="65"/>
    </w:p>
    <w:p w:rsidR="00273DB6" w:rsidRPr="00D51062" w:rsidRDefault="00273DB6" w:rsidP="00273DB6">
      <w:pPr>
        <w:keepNext/>
      </w:pPr>
    </w:p>
    <w:p w:rsidR="00273DB6" w:rsidRDefault="007D43C5" w:rsidP="00273DB6">
      <w:pPr>
        <w:rPr>
          <w:rFonts w:cs="Arial"/>
        </w:rPr>
      </w:pPr>
      <w:r>
        <w:rPr>
          <w:rFonts w:cs="Arial"/>
        </w:rPr>
        <w:fldChar w:fldCharType="begin"/>
      </w:r>
      <w:r w:rsidR="00273DB6">
        <w:rPr>
          <w:rFonts w:cs="Arial"/>
        </w:rPr>
        <w:instrText xml:space="preserve"> AUTONUM  </w:instrText>
      </w:r>
      <w:r>
        <w:rPr>
          <w:rFonts w:cs="Arial"/>
        </w:rPr>
        <w:fldChar w:fldCharType="end"/>
      </w:r>
      <w:r w:rsidR="00273DB6">
        <w:rPr>
          <w:rFonts w:cs="Arial"/>
        </w:rPr>
        <w:tab/>
      </w:r>
      <w:r w:rsidR="003D7859" w:rsidRPr="00DA4077">
        <w:rPr>
          <w:rFonts w:cs="Arial"/>
        </w:rPr>
        <w:t>El Grupo de Trabajo Técnico sobre Plantas Frutales (TWF) celebró su cuadragésima séptima reunión en Angers (Francia) del</w:t>
      </w:r>
      <w:r w:rsidR="007829E4">
        <w:rPr>
          <w:rFonts w:cs="Arial"/>
        </w:rPr>
        <w:t> </w:t>
      </w:r>
      <w:r w:rsidR="007829E4" w:rsidRPr="00DA4077">
        <w:rPr>
          <w:rFonts w:cs="Arial"/>
        </w:rPr>
        <w:t>1</w:t>
      </w:r>
      <w:r w:rsidR="003D7859" w:rsidRPr="00DA4077">
        <w:rPr>
          <w:rFonts w:cs="Arial"/>
        </w:rPr>
        <w:t>4 al</w:t>
      </w:r>
      <w:r w:rsidR="007829E4">
        <w:rPr>
          <w:rFonts w:cs="Arial"/>
        </w:rPr>
        <w:t> </w:t>
      </w:r>
      <w:r w:rsidR="007829E4" w:rsidRPr="00DA4077">
        <w:rPr>
          <w:rFonts w:cs="Arial"/>
        </w:rPr>
        <w:t>1</w:t>
      </w:r>
      <w:r w:rsidR="003D7859" w:rsidRPr="00DA4077">
        <w:rPr>
          <w:rFonts w:cs="Arial"/>
        </w:rPr>
        <w:t>8 de noviembre de</w:t>
      </w:r>
      <w:r w:rsidR="007829E4">
        <w:rPr>
          <w:rFonts w:cs="Arial"/>
        </w:rPr>
        <w:t> </w:t>
      </w:r>
      <w:r w:rsidR="007829E4" w:rsidRPr="00DA4077">
        <w:rPr>
          <w:rFonts w:cs="Arial"/>
        </w:rPr>
        <w:t>2</w:t>
      </w:r>
      <w:r w:rsidR="003D7859" w:rsidRPr="00DA4077">
        <w:rPr>
          <w:rFonts w:cs="Arial"/>
        </w:rPr>
        <w:t>016</w:t>
      </w:r>
      <w:r w:rsidR="007829E4">
        <w:rPr>
          <w:rFonts w:cs="Arial"/>
        </w:rPr>
        <w:t xml:space="preserve">, </w:t>
      </w:r>
      <w:r w:rsidR="003D7859" w:rsidRPr="00DA4077">
        <w:rPr>
          <w:rFonts w:cs="Arial"/>
        </w:rPr>
        <w:t>bajo la presidencia del Sr. Katsumi Yamaguchi (Japón).</w:t>
      </w:r>
      <w:r w:rsidR="00273DB6">
        <w:rPr>
          <w:rFonts w:cs="Arial"/>
        </w:rPr>
        <w:t xml:space="preserve">  </w:t>
      </w:r>
      <w:r w:rsidR="00DA4077" w:rsidRPr="00DA4077">
        <w:rPr>
          <w:rFonts w:cs="Arial"/>
        </w:rPr>
        <w:t>El informe de la reuni</w:t>
      </w:r>
      <w:r w:rsidR="003A048E">
        <w:rPr>
          <w:rFonts w:cs="Arial"/>
        </w:rPr>
        <w:t>ón figura en el documento TWF/47</w:t>
      </w:r>
      <w:r w:rsidR="00DA4077" w:rsidRPr="00DA4077">
        <w:rPr>
          <w:rFonts w:cs="Arial"/>
        </w:rPr>
        <w:t>/25 “</w:t>
      </w:r>
      <w:r w:rsidR="00DA4077" w:rsidRPr="009B196C">
        <w:rPr>
          <w:rFonts w:cs="Arial"/>
          <w:i/>
          <w:lang w:val="es-ES"/>
        </w:rPr>
        <w:t>Report</w:t>
      </w:r>
      <w:r w:rsidR="00DA4077" w:rsidRPr="00DA4077">
        <w:rPr>
          <w:rFonts w:cs="Arial"/>
        </w:rPr>
        <w:t>” (Informe).</w:t>
      </w:r>
    </w:p>
    <w:p w:rsidR="00273DB6" w:rsidRDefault="00273DB6" w:rsidP="00273DB6">
      <w:pPr>
        <w:rPr>
          <w:rFonts w:cs="Arial"/>
        </w:rPr>
      </w:pPr>
    </w:p>
    <w:p w:rsidR="00273DB6" w:rsidRDefault="007D43C5" w:rsidP="00273DB6">
      <w:pPr>
        <w:rPr>
          <w:rFonts w:cs="Arial"/>
        </w:rPr>
      </w:pPr>
      <w:r>
        <w:rPr>
          <w:rFonts w:cs="Arial"/>
        </w:rPr>
        <w:fldChar w:fldCharType="begin"/>
      </w:r>
      <w:r w:rsidR="00273DB6">
        <w:rPr>
          <w:rFonts w:cs="Arial"/>
        </w:rPr>
        <w:instrText xml:space="preserve"> AUTONUM  </w:instrText>
      </w:r>
      <w:r>
        <w:rPr>
          <w:rFonts w:cs="Arial"/>
        </w:rPr>
        <w:fldChar w:fldCharType="end"/>
      </w:r>
      <w:r w:rsidR="00273DB6">
        <w:rPr>
          <w:rFonts w:cs="Arial"/>
        </w:rPr>
        <w:tab/>
      </w:r>
      <w:r w:rsidR="00DA4077" w:rsidRPr="00DA4077">
        <w:rPr>
          <w:rFonts w:cs="Arial"/>
        </w:rPr>
        <w:t>Asistieron a la reunión</w:t>
      </w:r>
      <w:r w:rsidR="007829E4">
        <w:rPr>
          <w:rFonts w:cs="Arial"/>
        </w:rPr>
        <w:t> </w:t>
      </w:r>
      <w:r w:rsidR="007829E4" w:rsidRPr="00DA4077">
        <w:rPr>
          <w:rFonts w:cs="Arial"/>
        </w:rPr>
        <w:t>4</w:t>
      </w:r>
      <w:r w:rsidR="00DA4077" w:rsidRPr="00DA4077">
        <w:rPr>
          <w:rFonts w:cs="Arial"/>
        </w:rPr>
        <w:t>5 participantes de</w:t>
      </w:r>
      <w:r w:rsidR="007829E4">
        <w:rPr>
          <w:rFonts w:cs="Arial"/>
        </w:rPr>
        <w:t> </w:t>
      </w:r>
      <w:r w:rsidR="007829E4" w:rsidRPr="00DA4077">
        <w:rPr>
          <w:rFonts w:cs="Arial"/>
        </w:rPr>
        <w:t>2</w:t>
      </w:r>
      <w:r w:rsidR="00DA4077" w:rsidRPr="00DA4077">
        <w:rPr>
          <w:rFonts w:cs="Arial"/>
        </w:rPr>
        <w:t>3 miembros de la Unión y una organización en calidad de observadora.</w:t>
      </w:r>
      <w:r w:rsidR="00273DB6" w:rsidRPr="00752612">
        <w:rPr>
          <w:rFonts w:cs="Arial"/>
        </w:rPr>
        <w:t xml:space="preserve"> </w:t>
      </w:r>
      <w:r w:rsidR="00273DB6">
        <w:rPr>
          <w:rFonts w:cs="Arial"/>
        </w:rPr>
        <w:t xml:space="preserve"> </w:t>
      </w:r>
      <w:r w:rsidR="00DA4077" w:rsidRPr="004D76D2">
        <w:rPr>
          <w:rFonts w:cs="Arial"/>
        </w:rPr>
        <w:t>El taller preparatorio</w:t>
      </w:r>
      <w:r w:rsidR="007829E4">
        <w:rPr>
          <w:rFonts w:cs="Arial"/>
        </w:rPr>
        <w:t xml:space="preserve">, </w:t>
      </w:r>
      <w:r w:rsidR="00DA4077" w:rsidRPr="004D76D2">
        <w:rPr>
          <w:rFonts w:cs="Arial"/>
        </w:rPr>
        <w:t>al que asistieron</w:t>
      </w:r>
      <w:r w:rsidR="007829E4">
        <w:rPr>
          <w:rFonts w:cs="Arial"/>
        </w:rPr>
        <w:t> </w:t>
      </w:r>
      <w:r w:rsidR="007829E4" w:rsidRPr="004D76D2">
        <w:rPr>
          <w:rFonts w:cs="Arial"/>
        </w:rPr>
        <w:t>2</w:t>
      </w:r>
      <w:r w:rsidR="00DA4077" w:rsidRPr="004D76D2">
        <w:rPr>
          <w:rFonts w:cs="Arial"/>
        </w:rPr>
        <w:t>1 participantes de</w:t>
      </w:r>
      <w:r w:rsidR="007829E4">
        <w:rPr>
          <w:rFonts w:cs="Arial"/>
        </w:rPr>
        <w:t> </w:t>
      </w:r>
      <w:r w:rsidR="007829E4" w:rsidRPr="004D76D2">
        <w:rPr>
          <w:rFonts w:cs="Arial"/>
        </w:rPr>
        <w:t>1</w:t>
      </w:r>
      <w:r w:rsidR="00DA4077" w:rsidRPr="004D76D2">
        <w:rPr>
          <w:rFonts w:cs="Arial"/>
        </w:rPr>
        <w:t>6 miembros de la Unión</w:t>
      </w:r>
      <w:r w:rsidR="007829E4">
        <w:rPr>
          <w:rFonts w:cs="Arial"/>
        </w:rPr>
        <w:t xml:space="preserve">, </w:t>
      </w:r>
      <w:r w:rsidR="00DA4077" w:rsidRPr="004D76D2">
        <w:rPr>
          <w:rFonts w:cs="Arial"/>
        </w:rPr>
        <w:t>tuvo lugar el</w:t>
      </w:r>
      <w:r w:rsidR="007829E4">
        <w:rPr>
          <w:rFonts w:cs="Arial"/>
        </w:rPr>
        <w:t> </w:t>
      </w:r>
      <w:r w:rsidR="007829E4" w:rsidRPr="004D76D2">
        <w:rPr>
          <w:rFonts w:cs="Arial"/>
        </w:rPr>
        <w:t>1</w:t>
      </w:r>
      <w:r w:rsidR="004D76D2" w:rsidRPr="004D76D2">
        <w:rPr>
          <w:rFonts w:cs="Arial"/>
        </w:rPr>
        <w:t>3 de noviembre de</w:t>
      </w:r>
      <w:r w:rsidR="007829E4">
        <w:rPr>
          <w:rFonts w:cs="Arial"/>
        </w:rPr>
        <w:t> </w:t>
      </w:r>
      <w:r w:rsidR="007829E4" w:rsidRPr="004D76D2">
        <w:rPr>
          <w:rFonts w:cs="Arial"/>
        </w:rPr>
        <w:t>2</w:t>
      </w:r>
      <w:r w:rsidR="00DA4077" w:rsidRPr="004D76D2">
        <w:rPr>
          <w:rFonts w:cs="Arial"/>
        </w:rPr>
        <w:t>016 por la tarde.</w:t>
      </w:r>
    </w:p>
    <w:p w:rsidR="00273DB6" w:rsidRPr="00D51062" w:rsidRDefault="00273DB6" w:rsidP="00273DB6">
      <w:pPr>
        <w:rPr>
          <w:rFonts w:cs="Arial"/>
        </w:rPr>
      </w:pPr>
    </w:p>
    <w:p w:rsidR="00273DB6" w:rsidRPr="00D51062" w:rsidRDefault="007D43C5" w:rsidP="00273DB6">
      <w:pPr>
        <w:rPr>
          <w:rFonts w:cs="Arial"/>
          <w:shd w:val="clear" w:color="auto" w:fill="FFFFFF"/>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4D76D2" w:rsidRPr="004D76D2">
        <w:rPr>
          <w:rFonts w:cs="Arial"/>
        </w:rPr>
        <w:t>Dio la bienvenida al TWF el Sr. Martin Ekvad</w:t>
      </w:r>
      <w:r w:rsidR="007829E4">
        <w:rPr>
          <w:rFonts w:cs="Arial"/>
        </w:rPr>
        <w:t xml:space="preserve">, </w:t>
      </w:r>
      <w:r w:rsidR="004D76D2" w:rsidRPr="004D76D2">
        <w:rPr>
          <w:rFonts w:cs="Arial"/>
        </w:rPr>
        <w:t>presidente de la Oficina Comunitaria de Variedades Vegetales de la Unión Europea (OCVV)</w:t>
      </w:r>
      <w:r w:rsidR="007829E4">
        <w:rPr>
          <w:rFonts w:cs="Arial"/>
        </w:rPr>
        <w:t xml:space="preserve">, </w:t>
      </w:r>
      <w:r w:rsidR="004D76D2" w:rsidRPr="004D76D2">
        <w:rPr>
          <w:rFonts w:cs="Arial"/>
        </w:rPr>
        <w:t>que ofreció una ponencia sobre el sistema de protección de las obtenciones vegetales en la Unión Europea.</w:t>
      </w:r>
    </w:p>
    <w:p w:rsidR="00273DB6" w:rsidRPr="00D51062" w:rsidRDefault="00273DB6" w:rsidP="00273DB6">
      <w:pPr>
        <w:rPr>
          <w:rFonts w:cs="Arial"/>
        </w:rPr>
      </w:pPr>
    </w:p>
    <w:p w:rsidR="00273DB6" w:rsidRDefault="007D43C5" w:rsidP="00273DB6">
      <w:pPr>
        <w:rPr>
          <w:rFonts w:cs="Arial"/>
        </w:rPr>
      </w:pPr>
      <w:r w:rsidRPr="00D51062">
        <w:rPr>
          <w:rFonts w:cs="Arial"/>
        </w:rPr>
        <w:fldChar w:fldCharType="begin"/>
      </w:r>
      <w:r w:rsidR="00273DB6" w:rsidRPr="00D51062">
        <w:rPr>
          <w:rFonts w:cs="Arial"/>
        </w:rPr>
        <w:instrText xml:space="preserve"> AUTONUM  </w:instrText>
      </w:r>
      <w:r w:rsidRPr="00D51062">
        <w:rPr>
          <w:rFonts w:cs="Arial"/>
        </w:rPr>
        <w:fldChar w:fldCharType="end"/>
      </w:r>
      <w:r w:rsidR="00273DB6" w:rsidRPr="00D51062">
        <w:rPr>
          <w:rFonts w:cs="Arial"/>
        </w:rPr>
        <w:tab/>
      </w:r>
      <w:r w:rsidR="00A14D2C" w:rsidRPr="00A14D2C">
        <w:rPr>
          <w:rFonts w:cs="Arial"/>
        </w:rPr>
        <w:t>El TWF examinó el documento TWF/47/19 “</w:t>
      </w:r>
      <w:r w:rsidR="00A14D2C" w:rsidRPr="009B196C">
        <w:rPr>
          <w:rFonts w:cs="Arial"/>
          <w:i/>
          <w:lang w:val="es-ES"/>
        </w:rPr>
        <w:t>Duration of DUS Tests in the Fruit Sector</w:t>
      </w:r>
      <w:r w:rsidR="00A14D2C" w:rsidRPr="00A14D2C">
        <w:rPr>
          <w:rFonts w:cs="Arial"/>
        </w:rPr>
        <w:t>” (Duración de los exámenes DHE en el sector frutícola) y la propuesta de un experto de la Unión Europea y convino en proponer que se modifique el texto del documento TGP/7 como se indica a continuación</w:t>
      </w:r>
      <w:r w:rsidR="007829E4">
        <w:rPr>
          <w:rFonts w:cs="Arial"/>
        </w:rPr>
        <w:t xml:space="preserve">, </w:t>
      </w:r>
      <w:r w:rsidR="00A14D2C" w:rsidRPr="00A14D2C">
        <w:rPr>
          <w:rFonts w:cs="Arial"/>
        </w:rPr>
        <w:t>a fin de que refleje la práctica habitual en el sector frutícola (véanse los párrafos</w:t>
      </w:r>
      <w:r w:rsidR="007829E4">
        <w:rPr>
          <w:rFonts w:cs="Arial"/>
        </w:rPr>
        <w:t> </w:t>
      </w:r>
      <w:r w:rsidR="007829E4" w:rsidRPr="00A14D2C">
        <w:rPr>
          <w:rFonts w:cs="Arial"/>
        </w:rPr>
        <w:t>4</w:t>
      </w:r>
      <w:r w:rsidR="00A14D2C" w:rsidRPr="00A14D2C">
        <w:rPr>
          <w:rFonts w:cs="Arial"/>
        </w:rPr>
        <w:t>7 y</w:t>
      </w:r>
      <w:r w:rsidR="007829E4">
        <w:rPr>
          <w:rFonts w:cs="Arial"/>
        </w:rPr>
        <w:t> </w:t>
      </w:r>
      <w:r w:rsidR="007829E4" w:rsidRPr="00A14D2C">
        <w:rPr>
          <w:rFonts w:cs="Arial"/>
        </w:rPr>
        <w:t>4</w:t>
      </w:r>
      <w:r w:rsidR="00A14D2C" w:rsidRPr="00A14D2C">
        <w:rPr>
          <w:rFonts w:cs="Arial"/>
        </w:rPr>
        <w:t>8 del documento TWF/47/25 “</w:t>
      </w:r>
      <w:r w:rsidR="00A14D2C" w:rsidRPr="009B196C">
        <w:rPr>
          <w:rFonts w:cs="Arial"/>
          <w:i/>
          <w:lang w:val="es-ES"/>
        </w:rPr>
        <w:t>Report</w:t>
      </w:r>
      <w:r w:rsidR="00A14D2C" w:rsidRPr="00A14D2C">
        <w:rPr>
          <w:rFonts w:cs="Arial"/>
        </w:rPr>
        <w:t>” (Informe):</w:t>
      </w:r>
    </w:p>
    <w:p w:rsidR="00273DB6" w:rsidRPr="003C063D" w:rsidRDefault="00273DB6" w:rsidP="00273DB6">
      <w:pPr>
        <w:rPr>
          <w:rFonts w:cs="Arial"/>
        </w:rPr>
      </w:pPr>
    </w:p>
    <w:p w:rsidR="00273DB6" w:rsidRPr="00EA7A6B" w:rsidRDefault="00273DB6" w:rsidP="00273DB6">
      <w:pPr>
        <w:ind w:left="567"/>
        <w:rPr>
          <w:rFonts w:cs="Arial"/>
          <w:sz w:val="18"/>
        </w:rPr>
      </w:pPr>
      <w:r w:rsidRPr="004829DF">
        <w:rPr>
          <w:rFonts w:cs="Arial"/>
          <w:sz w:val="18"/>
        </w:rPr>
        <w:t xml:space="preserve">“3.1 </w:t>
      </w:r>
      <w:r w:rsidR="00A14D2C" w:rsidRPr="00A14D2C">
        <w:rPr>
          <w:rFonts w:cs="Arial"/>
          <w:sz w:val="18"/>
        </w:rPr>
        <w:t>Número de ciclos de cultivo</w:t>
      </w:r>
    </w:p>
    <w:p w:rsidR="00273DB6" w:rsidRPr="00EA7A6B" w:rsidRDefault="00A14D2C" w:rsidP="00273DB6">
      <w:pPr>
        <w:ind w:left="567"/>
        <w:rPr>
          <w:rFonts w:cs="Arial"/>
          <w:sz w:val="18"/>
        </w:rPr>
      </w:pPr>
      <w:r w:rsidRPr="00A14D2C">
        <w:rPr>
          <w:rFonts w:cs="Arial"/>
          <w:sz w:val="18"/>
        </w:rPr>
        <w:t>La duración mínima de los ensayos deberá ser normalmente de:</w:t>
      </w:r>
    </w:p>
    <w:p w:rsidR="00273DB6" w:rsidRPr="00EA7A6B" w:rsidRDefault="00D8457F" w:rsidP="00273DB6">
      <w:pPr>
        <w:ind w:left="567" w:right="567"/>
        <w:rPr>
          <w:rFonts w:cs="Arial"/>
          <w:sz w:val="18"/>
          <w:u w:val="single"/>
        </w:rPr>
      </w:pPr>
      <w:r w:rsidRPr="00D8457F">
        <w:rPr>
          <w:rFonts w:cs="Arial"/>
          <w:sz w:val="18"/>
          <w:highlight w:val="lightGray"/>
          <w:u w:val="single"/>
        </w:rPr>
        <w:t>En cuanto se pueda establecer con certeza que el resultado del examen DHE será negativo</w:t>
      </w:r>
      <w:r w:rsidR="007829E4">
        <w:rPr>
          <w:rFonts w:cs="Arial"/>
          <w:sz w:val="18"/>
          <w:highlight w:val="lightGray"/>
          <w:u w:val="single"/>
        </w:rPr>
        <w:t xml:space="preserve">, </w:t>
      </w:r>
      <w:r w:rsidRPr="00D8457F">
        <w:rPr>
          <w:rFonts w:cs="Arial"/>
          <w:sz w:val="18"/>
          <w:highlight w:val="lightGray"/>
          <w:u w:val="single"/>
        </w:rPr>
        <w:t>se lo puede detener independientemente del número de ciclos de cultivo llevados a cabo hasta el momento.</w:t>
      </w:r>
      <w:r w:rsidR="00273DB6" w:rsidRPr="004829DF">
        <w:rPr>
          <w:rFonts w:cs="Arial"/>
          <w:sz w:val="18"/>
        </w:rPr>
        <w:t>”</w:t>
      </w:r>
    </w:p>
    <w:p w:rsidR="00273DB6" w:rsidRDefault="00273DB6" w:rsidP="00273DB6">
      <w:pPr>
        <w:rPr>
          <w:rFonts w:cs="Arial"/>
        </w:rPr>
      </w:pPr>
    </w:p>
    <w:p w:rsidR="00273DB6" w:rsidRPr="003C063D" w:rsidRDefault="007D43C5" w:rsidP="00273DB6">
      <w:pPr>
        <w:rPr>
          <w:rFonts w:cs="Arial"/>
        </w:rPr>
      </w:pPr>
      <w:r w:rsidRPr="003C063D">
        <w:rPr>
          <w:rFonts w:cs="Arial"/>
        </w:rPr>
        <w:fldChar w:fldCharType="begin"/>
      </w:r>
      <w:r w:rsidR="00273DB6" w:rsidRPr="003C063D">
        <w:rPr>
          <w:rFonts w:cs="Arial"/>
        </w:rPr>
        <w:instrText xml:space="preserve"> AUTONUM  </w:instrText>
      </w:r>
      <w:r w:rsidRPr="003C063D">
        <w:rPr>
          <w:rFonts w:cs="Arial"/>
        </w:rPr>
        <w:fldChar w:fldCharType="end"/>
      </w:r>
      <w:r w:rsidR="00273DB6" w:rsidRPr="003C063D">
        <w:rPr>
          <w:rFonts w:cs="Arial"/>
        </w:rPr>
        <w:tab/>
      </w:r>
      <w:r w:rsidR="00D8457F" w:rsidRPr="00412209">
        <w:rPr>
          <w:rFonts w:cs="Arial"/>
        </w:rPr>
        <w:t>El TWF examinó el documento TWF/47/15 “</w:t>
      </w:r>
      <w:r w:rsidR="00D8457F" w:rsidRPr="009B196C">
        <w:rPr>
          <w:rFonts w:cs="Arial"/>
          <w:i/>
          <w:lang w:val="es-ES"/>
        </w:rPr>
        <w:t>Number of Growing Cycles in DUS Examination</w:t>
      </w:r>
      <w:r w:rsidR="00D8457F" w:rsidRPr="00412209">
        <w:rPr>
          <w:rFonts w:cs="Arial"/>
        </w:rPr>
        <w:t>” (Número de ciclos de cultivo en el examen DHE) y asistió a una ponencia titulada “El número de ciclos de cultivo en el examen DHE de especies frutales” a cargo de un experto de Francia</w:t>
      </w:r>
      <w:r w:rsidR="007829E4">
        <w:rPr>
          <w:rFonts w:cs="Arial"/>
        </w:rPr>
        <w:t xml:space="preserve">, </w:t>
      </w:r>
      <w:r w:rsidR="00D8457F" w:rsidRPr="00412209">
        <w:rPr>
          <w:rFonts w:cs="Arial"/>
        </w:rPr>
        <w:t>una ponencia titulada “La variabilidad interanual de los datos de evaluación en el manzano” a cargo de un experto de Alemania y a una ponencia titulada “La interpretación de las descripciones de variedades de manzano</w:t>
      </w:r>
      <w:r w:rsidR="007829E4">
        <w:rPr>
          <w:rFonts w:cs="Arial"/>
        </w:rPr>
        <w:t xml:space="preserve">:  </w:t>
      </w:r>
      <w:r w:rsidR="00D8457F" w:rsidRPr="00412209">
        <w:rPr>
          <w:rFonts w:cs="Arial"/>
        </w:rPr>
        <w:t>influencia del medio ambiente en los caracteres cuantitativos” a cargo de un experto de Nueva Zelandia.</w:t>
      </w:r>
      <w:r w:rsidR="00642BCD">
        <w:rPr>
          <w:rFonts w:cs="Arial"/>
        </w:rPr>
        <w:t xml:space="preserve">  </w:t>
      </w:r>
      <w:r w:rsidR="00412209" w:rsidRPr="00412209">
        <w:rPr>
          <w:rFonts w:cs="Arial"/>
        </w:rPr>
        <w:t>El TWF convino en la importancia de las colecciones de variedades para disponer de datos fiables al comparar variedades durante el examen DHE y convino en que el examen de la distinción es más eficiente con algunos caracteres que con otros.</w:t>
      </w:r>
    </w:p>
    <w:p w:rsidR="00273DB6" w:rsidRPr="003C063D" w:rsidRDefault="00273DB6" w:rsidP="00273DB6">
      <w:pPr>
        <w:rPr>
          <w:rFonts w:cs="Arial"/>
        </w:rPr>
      </w:pPr>
    </w:p>
    <w:p w:rsidR="00273DB6" w:rsidRDefault="007D43C5" w:rsidP="00273DB6">
      <w:pPr>
        <w:rPr>
          <w:rFonts w:cs="Arial"/>
        </w:rPr>
      </w:pPr>
      <w:r w:rsidRPr="003C063D">
        <w:rPr>
          <w:rFonts w:cs="Arial"/>
        </w:rPr>
        <w:fldChar w:fldCharType="begin"/>
      </w:r>
      <w:r w:rsidR="00273DB6" w:rsidRPr="003C063D">
        <w:rPr>
          <w:rFonts w:cs="Arial"/>
        </w:rPr>
        <w:instrText xml:space="preserve"> AUTONUM  </w:instrText>
      </w:r>
      <w:r w:rsidRPr="003C063D">
        <w:rPr>
          <w:rFonts w:cs="Arial"/>
        </w:rPr>
        <w:fldChar w:fldCharType="end"/>
      </w:r>
      <w:r w:rsidR="00273DB6" w:rsidRPr="003C063D">
        <w:rPr>
          <w:rFonts w:cs="Arial"/>
        </w:rPr>
        <w:tab/>
      </w:r>
      <w:r w:rsidR="00412209" w:rsidRPr="00412209">
        <w:rPr>
          <w:rFonts w:cs="Arial"/>
        </w:rPr>
        <w:t>El TWF examinó el documento TWF/47/23 “</w:t>
      </w:r>
      <w:r w:rsidR="00412209" w:rsidRPr="009B196C">
        <w:rPr>
          <w:rFonts w:cs="Arial"/>
          <w:i/>
          <w:lang w:val="es-ES"/>
        </w:rPr>
        <w:t>Calibration book for harmonized variety description in apple</w:t>
      </w:r>
      <w:r w:rsidR="00412209" w:rsidRPr="00412209">
        <w:rPr>
          <w:rFonts w:cs="Arial"/>
        </w:rPr>
        <w:t>” (Manual comparativo para la armonización de las descripciones de variedades del manzano) y asistió a una ponencia a cargo de un experto de la Unión Europea.</w:t>
      </w:r>
      <w:r w:rsidR="00642BCD">
        <w:rPr>
          <w:rFonts w:cs="Arial"/>
        </w:rPr>
        <w:t xml:space="preserve">  </w:t>
      </w:r>
      <w:r w:rsidR="00412209" w:rsidRPr="00412209">
        <w:rPr>
          <w:rFonts w:cs="Arial"/>
        </w:rPr>
        <w:t>Reconoció el uso de las directrices de examen como medio para facilitar la armonización en el examen DHE entre los miembros de la UPOV;  sin embargo</w:t>
      </w:r>
      <w:r w:rsidR="007829E4">
        <w:rPr>
          <w:rFonts w:cs="Arial"/>
        </w:rPr>
        <w:t xml:space="preserve">, </w:t>
      </w:r>
      <w:r w:rsidR="00412209" w:rsidRPr="00412209">
        <w:rPr>
          <w:rFonts w:cs="Arial"/>
        </w:rPr>
        <w:t>convino además en:</w:t>
      </w:r>
    </w:p>
    <w:p w:rsidR="00273DB6" w:rsidRPr="003C063D" w:rsidRDefault="00273DB6" w:rsidP="00273DB6">
      <w:pPr>
        <w:rPr>
          <w:rFonts w:cs="Arial"/>
        </w:rPr>
      </w:pPr>
    </w:p>
    <w:p w:rsidR="00273DB6" w:rsidRPr="003C063D" w:rsidRDefault="00273DB6" w:rsidP="00412209">
      <w:pPr>
        <w:tabs>
          <w:tab w:val="left" w:pos="1134"/>
        </w:tabs>
        <w:spacing w:after="120"/>
        <w:ind w:left="1134" w:hanging="567"/>
        <w:rPr>
          <w:rFonts w:cs="Arial"/>
        </w:rPr>
      </w:pPr>
      <w:r w:rsidRPr="003C063D">
        <w:rPr>
          <w:rFonts w:cs="Arial"/>
        </w:rPr>
        <w:t>•</w:t>
      </w:r>
      <w:r>
        <w:rPr>
          <w:rFonts w:cs="Arial"/>
        </w:rPr>
        <w:tab/>
      </w:r>
      <w:r w:rsidR="00412209" w:rsidRPr="00412209">
        <w:rPr>
          <w:rFonts w:cs="Arial"/>
        </w:rPr>
        <w:t>la importancia de que</w:t>
      </w:r>
      <w:r w:rsidR="007829E4">
        <w:rPr>
          <w:rFonts w:cs="Arial"/>
        </w:rPr>
        <w:t xml:space="preserve">, </w:t>
      </w:r>
      <w:r w:rsidR="00412209" w:rsidRPr="00412209">
        <w:rPr>
          <w:rFonts w:cs="Arial"/>
        </w:rPr>
        <w:t>durante los debates mantenidos acerca de las directrices de examen</w:t>
      </w:r>
      <w:r w:rsidR="007829E4">
        <w:rPr>
          <w:rFonts w:cs="Arial"/>
        </w:rPr>
        <w:t xml:space="preserve">, </w:t>
      </w:r>
      <w:r w:rsidR="00412209" w:rsidRPr="00412209">
        <w:rPr>
          <w:rFonts w:cs="Arial"/>
        </w:rPr>
        <w:t>los expertos se pongan de acuerdo sobre la claridad de los niveles de expresión y la escala que se ha de emplear a fin de limitar el riesgo de discrepancias en la interpretación que hagan los examinadores;</w:t>
      </w:r>
    </w:p>
    <w:p w:rsidR="00273DB6" w:rsidRPr="003C063D" w:rsidRDefault="00273DB6" w:rsidP="00412209">
      <w:pPr>
        <w:tabs>
          <w:tab w:val="left" w:pos="1134"/>
        </w:tabs>
        <w:spacing w:after="120"/>
        <w:ind w:left="1134" w:hanging="567"/>
        <w:rPr>
          <w:rFonts w:cs="Arial"/>
        </w:rPr>
      </w:pPr>
      <w:r w:rsidRPr="003C063D">
        <w:rPr>
          <w:rFonts w:cs="Arial"/>
        </w:rPr>
        <w:t>•</w:t>
      </w:r>
      <w:r>
        <w:rPr>
          <w:rFonts w:cs="Arial"/>
        </w:rPr>
        <w:tab/>
      </w:r>
      <w:r w:rsidR="00412209" w:rsidRPr="00412209">
        <w:rPr>
          <w:rFonts w:cs="Arial"/>
        </w:rPr>
        <w:t>que cada carácter debe cumplir los requisitos de los caracteres y que este cumplimiento debe seguir siendo objeto de supervisión;</w:t>
      </w:r>
    </w:p>
    <w:p w:rsidR="00273DB6" w:rsidRPr="003C063D" w:rsidRDefault="00273DB6" w:rsidP="00412209">
      <w:pPr>
        <w:tabs>
          <w:tab w:val="left" w:pos="1134"/>
        </w:tabs>
        <w:spacing w:after="120"/>
        <w:ind w:left="1134" w:hanging="567"/>
        <w:rPr>
          <w:rFonts w:cs="Arial"/>
        </w:rPr>
      </w:pPr>
      <w:r w:rsidRPr="003C063D">
        <w:rPr>
          <w:rFonts w:cs="Arial"/>
        </w:rPr>
        <w:t>•</w:t>
      </w:r>
      <w:r>
        <w:rPr>
          <w:rFonts w:cs="Arial"/>
        </w:rPr>
        <w:tab/>
      </w:r>
      <w:r w:rsidR="00412209" w:rsidRPr="00412209">
        <w:rPr>
          <w:rFonts w:cs="Arial"/>
        </w:rPr>
        <w:t>la necesidad de revisar algunas de las directrices de examen aprobadas y ajustar los niveles y las notas según proceda;</w:t>
      </w:r>
    </w:p>
    <w:p w:rsidR="00273DB6" w:rsidRPr="003C063D" w:rsidRDefault="00273DB6" w:rsidP="00412209">
      <w:pPr>
        <w:tabs>
          <w:tab w:val="left" w:pos="1134"/>
        </w:tabs>
        <w:spacing w:after="120"/>
        <w:ind w:left="1134" w:hanging="567"/>
        <w:rPr>
          <w:rFonts w:cs="Arial"/>
        </w:rPr>
      </w:pPr>
      <w:r w:rsidRPr="003C063D">
        <w:rPr>
          <w:rFonts w:cs="Arial"/>
        </w:rPr>
        <w:t>•</w:t>
      </w:r>
      <w:r>
        <w:rPr>
          <w:rFonts w:cs="Arial"/>
        </w:rPr>
        <w:tab/>
      </w:r>
      <w:r w:rsidR="00412209" w:rsidRPr="00412209">
        <w:rPr>
          <w:rFonts w:cs="Arial"/>
        </w:rPr>
        <w:t>la importancia de las variedades ejemplo asignadas a cada nivel;</w:t>
      </w:r>
    </w:p>
    <w:p w:rsidR="00273DB6" w:rsidRPr="003C063D" w:rsidRDefault="00273DB6" w:rsidP="00412209">
      <w:pPr>
        <w:tabs>
          <w:tab w:val="left" w:pos="1134"/>
        </w:tabs>
        <w:spacing w:after="120"/>
        <w:ind w:left="1134" w:hanging="567"/>
        <w:rPr>
          <w:rFonts w:cs="Arial"/>
        </w:rPr>
      </w:pPr>
      <w:r w:rsidRPr="003C063D">
        <w:rPr>
          <w:rFonts w:cs="Arial"/>
        </w:rPr>
        <w:t>•</w:t>
      </w:r>
      <w:r>
        <w:rPr>
          <w:rFonts w:cs="Arial"/>
        </w:rPr>
        <w:tab/>
      </w:r>
      <w:r w:rsidR="00412209" w:rsidRPr="00412209">
        <w:rPr>
          <w:rFonts w:cs="Arial"/>
        </w:rPr>
        <w:t>la importancia del método de observación y su explicación para que quede claro a los examinadores cuándo y dónde medir u observar a fin de reducir la variación entre observadores u observaciones;</w:t>
      </w:r>
    </w:p>
    <w:p w:rsidR="00273DB6" w:rsidRPr="003C063D" w:rsidRDefault="00273DB6" w:rsidP="00273DB6">
      <w:pPr>
        <w:tabs>
          <w:tab w:val="left" w:pos="1134"/>
        </w:tabs>
        <w:ind w:left="567"/>
        <w:rPr>
          <w:rFonts w:cs="Arial"/>
        </w:rPr>
      </w:pPr>
      <w:r w:rsidRPr="003C063D">
        <w:rPr>
          <w:rFonts w:cs="Arial"/>
        </w:rPr>
        <w:t>•</w:t>
      </w:r>
      <w:r>
        <w:rPr>
          <w:rFonts w:cs="Arial"/>
        </w:rPr>
        <w:tab/>
      </w:r>
      <w:r w:rsidR="00412209" w:rsidRPr="00412209">
        <w:rPr>
          <w:rFonts w:cs="Arial"/>
        </w:rPr>
        <w:t>la importancia de la influencia del medio ambiente en la expresión del carácter.</w:t>
      </w:r>
    </w:p>
    <w:p w:rsidR="00273DB6" w:rsidRPr="003C063D" w:rsidRDefault="00273DB6" w:rsidP="00273DB6">
      <w:pPr>
        <w:rPr>
          <w:rFonts w:cs="Arial"/>
        </w:rPr>
      </w:pPr>
    </w:p>
    <w:p w:rsidR="00273DB6" w:rsidRPr="003C063D" w:rsidRDefault="007D43C5" w:rsidP="00273DB6">
      <w:pPr>
        <w:rPr>
          <w:rFonts w:cs="Arial"/>
          <w:snapToGrid w:val="0"/>
        </w:rPr>
      </w:pPr>
      <w:r w:rsidRPr="003C063D">
        <w:rPr>
          <w:rFonts w:cs="Arial"/>
        </w:rPr>
        <w:fldChar w:fldCharType="begin"/>
      </w:r>
      <w:r w:rsidR="00273DB6" w:rsidRPr="003C063D">
        <w:rPr>
          <w:rFonts w:cs="Arial"/>
        </w:rPr>
        <w:instrText xml:space="preserve"> AUTONUM  </w:instrText>
      </w:r>
      <w:r w:rsidRPr="003C063D">
        <w:rPr>
          <w:rFonts w:cs="Arial"/>
        </w:rPr>
        <w:fldChar w:fldCharType="end"/>
      </w:r>
      <w:r w:rsidR="00273DB6" w:rsidRPr="003C063D">
        <w:rPr>
          <w:rFonts w:cs="Arial"/>
        </w:rPr>
        <w:tab/>
      </w:r>
      <w:r w:rsidR="00450932" w:rsidRPr="00450932">
        <w:rPr>
          <w:rFonts w:cs="Arial"/>
        </w:rPr>
        <w:t>El TWF tomó nota de las diferencias ilustradas entre las descripciones de una misma variedad llevadas a cabo por distintas administraciones.</w:t>
      </w:r>
      <w:r w:rsidR="00642BCD">
        <w:rPr>
          <w:rFonts w:cs="Arial"/>
        </w:rPr>
        <w:t xml:space="preserve">  </w:t>
      </w:r>
      <w:r w:rsidR="00450932" w:rsidRPr="00450932">
        <w:rPr>
          <w:rFonts w:cs="Arial"/>
        </w:rPr>
        <w:t>Convino además en que se sería interesante que se examinara esta información respecto de cada uno de los caracteres en toda futura revisión de las directrices de examen</w:t>
      </w:r>
      <w:r w:rsidR="007829E4">
        <w:rPr>
          <w:rFonts w:cs="Arial"/>
        </w:rPr>
        <w:t xml:space="preserve">, </w:t>
      </w:r>
      <w:r w:rsidR="00450932" w:rsidRPr="00450932">
        <w:rPr>
          <w:rFonts w:cs="Arial"/>
        </w:rPr>
        <w:t>en especial</w:t>
      </w:r>
      <w:r w:rsidR="007829E4">
        <w:rPr>
          <w:rFonts w:cs="Arial"/>
        </w:rPr>
        <w:t xml:space="preserve">, </w:t>
      </w:r>
      <w:r w:rsidR="00450932" w:rsidRPr="00450932">
        <w:rPr>
          <w:rFonts w:cs="Arial"/>
        </w:rPr>
        <w:t>en este caso para el manzano.</w:t>
      </w:r>
      <w:r w:rsidR="00642BCD">
        <w:rPr>
          <w:rFonts w:cs="Arial"/>
        </w:rPr>
        <w:t xml:space="preserve">  </w:t>
      </w:r>
      <w:r w:rsidR="00450932" w:rsidRPr="00450932">
        <w:rPr>
          <w:rFonts w:cs="Arial"/>
        </w:rPr>
        <w:t>El TWF aceptó la propuesta de estudiar la capacidad de discriminación de caracteres a partir de un estudio modelo presentado anteriormente por el TWV para el guisante (véase el documento TWA/47/25 “</w:t>
      </w:r>
      <w:r w:rsidR="00450932" w:rsidRPr="009B196C">
        <w:rPr>
          <w:rFonts w:cs="Arial"/>
          <w:i/>
          <w:lang w:val="es-ES"/>
        </w:rPr>
        <w:t>Pea database study</w:t>
      </w:r>
      <w:r w:rsidR="00450932" w:rsidRPr="00450932">
        <w:rPr>
          <w:rFonts w:cs="Arial"/>
        </w:rPr>
        <w:t>” (Estudio de la base de datos sobre el guisante)).</w:t>
      </w:r>
      <w:r w:rsidR="00642BCD">
        <w:rPr>
          <w:rFonts w:cs="Arial"/>
        </w:rPr>
        <w:t xml:space="preserve">  </w:t>
      </w:r>
      <w:r w:rsidR="00450932" w:rsidRPr="00450932">
        <w:rPr>
          <w:rFonts w:cs="Arial"/>
        </w:rPr>
        <w:t>La finalidad del estudio sería aclarar el uso de cada carácter en el examen DHE y su idoneidad para describir la variedad o determinar la distinción de manera eficiente.</w:t>
      </w:r>
    </w:p>
    <w:p w:rsidR="00273DB6" w:rsidRPr="003C063D" w:rsidRDefault="00273DB6" w:rsidP="00273DB6">
      <w:pPr>
        <w:rPr>
          <w:rFonts w:cs="Arial"/>
          <w:snapToGrid w:val="0"/>
        </w:rPr>
      </w:pPr>
    </w:p>
    <w:p w:rsidR="00273DB6" w:rsidRPr="003C063D" w:rsidRDefault="007D43C5" w:rsidP="00273DB6">
      <w:pPr>
        <w:rPr>
          <w:rFonts w:cs="Arial"/>
        </w:rPr>
      </w:pPr>
      <w:r w:rsidRPr="003C063D">
        <w:rPr>
          <w:rFonts w:cs="Arial"/>
        </w:rPr>
        <w:fldChar w:fldCharType="begin"/>
      </w:r>
      <w:r w:rsidR="00273DB6" w:rsidRPr="003C063D">
        <w:rPr>
          <w:rFonts w:cs="Arial"/>
        </w:rPr>
        <w:instrText xml:space="preserve"> AUTONUM  </w:instrText>
      </w:r>
      <w:r w:rsidRPr="003C063D">
        <w:rPr>
          <w:rFonts w:cs="Arial"/>
        </w:rPr>
        <w:fldChar w:fldCharType="end"/>
      </w:r>
      <w:r w:rsidR="00273DB6" w:rsidRPr="003C063D">
        <w:rPr>
          <w:rFonts w:cs="Arial"/>
        </w:rPr>
        <w:tab/>
      </w:r>
      <w:r w:rsidR="00450932" w:rsidRPr="00450932">
        <w:rPr>
          <w:rFonts w:cs="Arial"/>
        </w:rPr>
        <w:t>El TWF examinó el documento TWF/47/21 “</w:t>
      </w:r>
      <w:r w:rsidR="00450932" w:rsidRPr="009B196C">
        <w:rPr>
          <w:rFonts w:cs="Arial"/>
          <w:i/>
          <w:lang w:val="es-ES"/>
        </w:rPr>
        <w:t>DUS examination of mutant varieties of apple</w:t>
      </w:r>
      <w:r w:rsidR="00450932" w:rsidRPr="00450932">
        <w:rPr>
          <w:rFonts w:cs="Arial"/>
        </w:rPr>
        <w:t>” (Examen DHE de variedades mutantes de manzano) y asistió a una ponencia a cargo de un experto de la Unión Europea.</w:t>
      </w:r>
      <w:r w:rsidR="00642BCD">
        <w:rPr>
          <w:rFonts w:cs="Arial"/>
        </w:rPr>
        <w:t xml:space="preserve">  </w:t>
      </w:r>
      <w:r w:rsidR="00450932" w:rsidRPr="00450932">
        <w:rPr>
          <w:rFonts w:cs="Arial"/>
        </w:rPr>
        <w:t>El TWF convino en la importancia de que las oficinas de protección de las obtenciones vegetales intercambien información sobre las solicitudes recibidas</w:t>
      </w:r>
      <w:r w:rsidR="007829E4">
        <w:rPr>
          <w:rFonts w:cs="Arial"/>
        </w:rPr>
        <w:t xml:space="preserve">, </w:t>
      </w:r>
      <w:r w:rsidR="00450932" w:rsidRPr="00450932">
        <w:rPr>
          <w:rFonts w:cs="Arial"/>
        </w:rPr>
        <w:t>en especial de ciertas variedades mutantes de manzano de las que podrían haberse presentado variedades similares en diversos países.</w:t>
      </w:r>
      <w:r w:rsidR="00642BCD">
        <w:rPr>
          <w:rFonts w:cs="Arial"/>
        </w:rPr>
        <w:t xml:space="preserve">  </w:t>
      </w:r>
      <w:r w:rsidR="00450932" w:rsidRPr="00450932">
        <w:rPr>
          <w:rFonts w:cs="Arial"/>
        </w:rPr>
        <w:t>Un intercambio como tal ayudaría a que todas las variedades notoriamente conocidas pertinentes se tuvieran en cuenta y</w:t>
      </w:r>
      <w:r w:rsidR="007829E4">
        <w:rPr>
          <w:rFonts w:cs="Arial"/>
        </w:rPr>
        <w:t xml:space="preserve">, </w:t>
      </w:r>
      <w:r w:rsidR="00450932" w:rsidRPr="00450932">
        <w:rPr>
          <w:rFonts w:cs="Arial"/>
        </w:rPr>
        <w:t>si procede</w:t>
      </w:r>
      <w:r w:rsidR="007829E4">
        <w:rPr>
          <w:rFonts w:cs="Arial"/>
        </w:rPr>
        <w:t xml:space="preserve">, </w:t>
      </w:r>
      <w:r w:rsidR="00450932" w:rsidRPr="00450932">
        <w:rPr>
          <w:rFonts w:cs="Arial"/>
        </w:rPr>
        <w:t>se incluyeran en el ensayo de cultivo para el examen de la distinción.</w:t>
      </w:r>
      <w:r w:rsidR="00642BCD">
        <w:rPr>
          <w:rFonts w:cs="Arial"/>
        </w:rPr>
        <w:t xml:space="preserve">  </w:t>
      </w:r>
      <w:r w:rsidR="00450932" w:rsidRPr="00450932">
        <w:rPr>
          <w:rFonts w:cs="Arial"/>
        </w:rPr>
        <w:t>Convino además en la importancia de intercambiar información sobre las variedades rechazadas</w:t>
      </w:r>
      <w:r w:rsidR="007829E4">
        <w:rPr>
          <w:rFonts w:cs="Arial"/>
        </w:rPr>
        <w:t xml:space="preserve">, </w:t>
      </w:r>
      <w:r w:rsidR="00450932" w:rsidRPr="00450932">
        <w:rPr>
          <w:rFonts w:cs="Arial"/>
        </w:rPr>
        <w:t>que podrían ser objeto de procedimientos en curso en otros miembros de la Unión.</w:t>
      </w:r>
    </w:p>
    <w:p w:rsidR="00273DB6" w:rsidRPr="003C063D" w:rsidRDefault="00273DB6" w:rsidP="00273DB6">
      <w:pPr>
        <w:rPr>
          <w:rFonts w:cs="Arial"/>
        </w:rPr>
      </w:pPr>
    </w:p>
    <w:p w:rsidR="00273DB6" w:rsidRPr="003C063D" w:rsidRDefault="007D43C5" w:rsidP="00273DB6">
      <w:pPr>
        <w:rPr>
          <w:rFonts w:cs="Arial"/>
        </w:rPr>
      </w:pPr>
      <w:r w:rsidRPr="003C063D">
        <w:rPr>
          <w:rFonts w:cs="Arial"/>
        </w:rPr>
        <w:fldChar w:fldCharType="begin"/>
      </w:r>
      <w:r w:rsidR="00273DB6" w:rsidRPr="003C063D">
        <w:rPr>
          <w:rFonts w:cs="Arial"/>
        </w:rPr>
        <w:instrText xml:space="preserve"> AUTONUM  </w:instrText>
      </w:r>
      <w:r w:rsidRPr="003C063D">
        <w:rPr>
          <w:rFonts w:cs="Arial"/>
        </w:rPr>
        <w:fldChar w:fldCharType="end"/>
      </w:r>
      <w:r w:rsidR="00273DB6" w:rsidRPr="003C063D">
        <w:rPr>
          <w:rFonts w:cs="Arial"/>
        </w:rPr>
        <w:tab/>
      </w:r>
      <w:r w:rsidR="00083A68" w:rsidRPr="00083A68">
        <w:rPr>
          <w:rFonts w:cs="Arial"/>
        </w:rPr>
        <w:t>El TWF examinó el documento TWF/47/18 “</w:t>
      </w:r>
      <w:r w:rsidR="00083A68" w:rsidRPr="009B196C">
        <w:rPr>
          <w:rFonts w:cs="Arial"/>
          <w:i/>
          <w:lang w:val="es-ES"/>
        </w:rPr>
        <w:t>Proposal concerning the ‘Guide to the UPOV Code System’ on the Principal Botanical name for Inter-Generic and Interspecific Hybrids</w:t>
      </w:r>
      <w:r w:rsidR="00083A68" w:rsidRPr="00083A68">
        <w:rPr>
          <w:rFonts w:cs="Arial"/>
        </w:rPr>
        <w:t>” (Propuesta relativa a la ‘Orientación acerca del sistema de códigos de la UPOV’ en lo que concierne al nombre botánico principal para los híbridos intergenéricos e interespecíficos) y examinó la propuesta de presentar el nombre botánico principal para los códigos UPOV correspondientes a los géneros y especies híbridos indicando los parentales por orden alfabético.</w:t>
      </w:r>
      <w:r w:rsidR="00642BCD">
        <w:rPr>
          <w:rFonts w:cs="Arial"/>
        </w:rPr>
        <w:t xml:space="preserve">  </w:t>
      </w:r>
      <w:r w:rsidR="00083A68" w:rsidRPr="00083A68">
        <w:rPr>
          <w:rFonts w:cs="Arial"/>
        </w:rPr>
        <w:t>El TWF señaló que entre los miembros de la Unión existen diferencias en la manera de proceder y que en algunos de ellos se publica la información sobre los parentales de una variedad híbrida intergenérica o interespecífica con el parental femenino en primer lugar.</w:t>
      </w:r>
      <w:r w:rsidR="00642BCD">
        <w:rPr>
          <w:rFonts w:cs="Arial"/>
        </w:rPr>
        <w:t xml:space="preserve">  </w:t>
      </w:r>
      <w:r w:rsidR="00083A68" w:rsidRPr="00083A68">
        <w:rPr>
          <w:rFonts w:cs="Arial"/>
        </w:rPr>
        <w:t>Teniéndolo en cuenta</w:t>
      </w:r>
      <w:r w:rsidR="007829E4">
        <w:rPr>
          <w:rFonts w:cs="Arial"/>
        </w:rPr>
        <w:t xml:space="preserve">, </w:t>
      </w:r>
      <w:r w:rsidR="00083A68" w:rsidRPr="00083A68">
        <w:rPr>
          <w:rFonts w:cs="Arial"/>
        </w:rPr>
        <w:t>el TWF convino con el TWV y el TWA en que no sería conveniente modificar la orientación acerca del sistema de códigos de la UPOV en lo que respecta al nombre botánico principal para los híbridos intergenéricos e interespecíficos.</w:t>
      </w:r>
    </w:p>
    <w:p w:rsidR="00273DB6" w:rsidRPr="003C063D" w:rsidRDefault="00273DB6" w:rsidP="00273DB6">
      <w:pPr>
        <w:rPr>
          <w:rFonts w:cs="Arial"/>
        </w:rPr>
      </w:pPr>
    </w:p>
    <w:p w:rsidR="00273DB6" w:rsidRPr="003C063D" w:rsidRDefault="007D43C5" w:rsidP="00273DB6">
      <w:pPr>
        <w:rPr>
          <w:rFonts w:cs="Arial"/>
        </w:rPr>
      </w:pPr>
      <w:r w:rsidRPr="003C063D">
        <w:rPr>
          <w:rFonts w:cs="Arial"/>
        </w:rPr>
        <w:fldChar w:fldCharType="begin"/>
      </w:r>
      <w:r w:rsidR="00273DB6" w:rsidRPr="003C063D">
        <w:rPr>
          <w:rFonts w:cs="Arial"/>
        </w:rPr>
        <w:instrText xml:space="preserve"> AUTONUM  </w:instrText>
      </w:r>
      <w:r w:rsidRPr="003C063D">
        <w:rPr>
          <w:rFonts w:cs="Arial"/>
        </w:rPr>
        <w:fldChar w:fldCharType="end"/>
      </w:r>
      <w:r w:rsidR="00273DB6" w:rsidRPr="003C063D">
        <w:rPr>
          <w:rFonts w:cs="Arial"/>
        </w:rPr>
        <w:tab/>
      </w:r>
      <w:r w:rsidR="00083A68" w:rsidRPr="00083A68">
        <w:rPr>
          <w:rFonts w:cs="Arial"/>
        </w:rPr>
        <w:t>El TWF acordó presentar al TC para su aprobación los proyectos de directrices de examen de castaño</w:t>
      </w:r>
      <w:r w:rsidR="007829E4">
        <w:rPr>
          <w:rFonts w:cs="Arial"/>
        </w:rPr>
        <w:t xml:space="preserve">, </w:t>
      </w:r>
      <w:r w:rsidR="00083A68" w:rsidRPr="00083A68">
        <w:rPr>
          <w:rFonts w:cs="Arial"/>
        </w:rPr>
        <w:t>papaya y nogal.</w:t>
      </w:r>
      <w:r w:rsidR="00273DB6" w:rsidRPr="003C063D">
        <w:rPr>
          <w:rFonts w:cs="Arial"/>
          <w:iCs/>
          <w:color w:val="000000"/>
        </w:rPr>
        <w:t xml:space="preserve">  </w:t>
      </w:r>
      <w:r w:rsidR="00083A68" w:rsidRPr="00083A68">
        <w:rPr>
          <w:rFonts w:cs="Arial"/>
        </w:rPr>
        <w:t>El TWF convino en examinar</w:t>
      </w:r>
      <w:r w:rsidR="007829E4">
        <w:rPr>
          <w:rFonts w:cs="Arial"/>
        </w:rPr>
        <w:t> </w:t>
      </w:r>
      <w:r w:rsidR="007829E4" w:rsidRPr="00083A68">
        <w:rPr>
          <w:rFonts w:cs="Arial"/>
        </w:rPr>
        <w:t>1</w:t>
      </w:r>
      <w:r w:rsidR="00083A68" w:rsidRPr="00083A68">
        <w:rPr>
          <w:rFonts w:cs="Arial"/>
        </w:rPr>
        <w:t>0 proyectos de directrices de examen en su cuadragésima octava reunión.</w:t>
      </w:r>
      <w:r w:rsidR="00273DB6" w:rsidRPr="003C063D">
        <w:rPr>
          <w:rFonts w:cs="Arial"/>
        </w:rPr>
        <w:t xml:space="preserve"> </w:t>
      </w:r>
    </w:p>
    <w:p w:rsidR="00273DB6" w:rsidRPr="003C063D" w:rsidRDefault="00273DB6" w:rsidP="00273DB6">
      <w:pPr>
        <w:rPr>
          <w:rFonts w:cs="Arial"/>
        </w:rPr>
      </w:pPr>
    </w:p>
    <w:p w:rsidR="00273DB6" w:rsidRPr="003C063D" w:rsidRDefault="007D43C5" w:rsidP="00273DB6">
      <w:pPr>
        <w:rPr>
          <w:rFonts w:cs="Arial"/>
        </w:rPr>
      </w:pPr>
      <w:r w:rsidRPr="003C063D">
        <w:rPr>
          <w:rFonts w:cs="Arial"/>
        </w:rPr>
        <w:fldChar w:fldCharType="begin"/>
      </w:r>
      <w:r w:rsidR="00273DB6" w:rsidRPr="003C063D">
        <w:rPr>
          <w:rFonts w:cs="Arial"/>
        </w:rPr>
        <w:instrText xml:space="preserve"> AUTONUM  </w:instrText>
      </w:r>
      <w:r w:rsidRPr="003C063D">
        <w:rPr>
          <w:rFonts w:cs="Arial"/>
        </w:rPr>
        <w:fldChar w:fldCharType="end"/>
      </w:r>
      <w:r w:rsidR="00273DB6" w:rsidRPr="003C063D">
        <w:rPr>
          <w:rFonts w:cs="Arial"/>
        </w:rPr>
        <w:tab/>
      </w:r>
      <w:r w:rsidR="00083A68" w:rsidRPr="00083A68">
        <w:rPr>
          <w:rFonts w:cs="Arial"/>
        </w:rPr>
        <w:t>Por invitación del Canadá</w:t>
      </w:r>
      <w:r w:rsidR="007829E4">
        <w:rPr>
          <w:rFonts w:cs="Arial"/>
        </w:rPr>
        <w:t xml:space="preserve">, </w:t>
      </w:r>
      <w:r w:rsidR="00083A68" w:rsidRPr="00083A68">
        <w:rPr>
          <w:rFonts w:cs="Arial"/>
        </w:rPr>
        <w:t>el TWF decidió celebrar su cuadragésima octava reunión en Kelowna</w:t>
      </w:r>
      <w:r w:rsidR="007829E4">
        <w:rPr>
          <w:rFonts w:cs="Arial"/>
        </w:rPr>
        <w:t xml:space="preserve">, </w:t>
      </w:r>
      <w:r w:rsidR="00083A68" w:rsidRPr="00083A68">
        <w:rPr>
          <w:rFonts w:cs="Arial"/>
        </w:rPr>
        <w:t>Columbia Británica (Canadá) del 18 al 22 de septiembre de 2017</w:t>
      </w:r>
      <w:r w:rsidR="007829E4">
        <w:rPr>
          <w:rFonts w:cs="Arial"/>
        </w:rPr>
        <w:t xml:space="preserve">, </w:t>
      </w:r>
      <w:r w:rsidR="00083A68" w:rsidRPr="00083A68">
        <w:rPr>
          <w:rFonts w:cs="Arial"/>
        </w:rPr>
        <w:t>precedida de un taller preparatorio que tendrá el 17 de septiembre de 2017.</w:t>
      </w:r>
    </w:p>
    <w:p w:rsidR="00273DB6" w:rsidRPr="003C063D" w:rsidRDefault="00273DB6" w:rsidP="00273DB6">
      <w:pPr>
        <w:rPr>
          <w:rFonts w:cs="Arial"/>
        </w:rPr>
      </w:pPr>
    </w:p>
    <w:p w:rsidR="00273DB6" w:rsidRPr="003C063D" w:rsidRDefault="007D43C5" w:rsidP="00273DB6">
      <w:pPr>
        <w:rPr>
          <w:rFonts w:cs="Arial"/>
        </w:rPr>
      </w:pPr>
      <w:r w:rsidRPr="003C063D">
        <w:rPr>
          <w:rFonts w:cs="Arial"/>
        </w:rPr>
        <w:fldChar w:fldCharType="begin"/>
      </w:r>
      <w:r w:rsidR="00273DB6" w:rsidRPr="003C063D">
        <w:rPr>
          <w:rFonts w:cs="Arial"/>
        </w:rPr>
        <w:instrText xml:space="preserve"> AUTONUM  </w:instrText>
      </w:r>
      <w:r w:rsidRPr="003C063D">
        <w:rPr>
          <w:rFonts w:cs="Arial"/>
        </w:rPr>
        <w:fldChar w:fldCharType="end"/>
      </w:r>
      <w:r w:rsidR="00273DB6" w:rsidRPr="003C063D">
        <w:rPr>
          <w:rFonts w:cs="Arial"/>
        </w:rPr>
        <w:tab/>
      </w:r>
      <w:r w:rsidR="00083A68" w:rsidRPr="00083A68">
        <w:rPr>
          <w:rFonts w:cs="Arial"/>
        </w:rPr>
        <w:t>El TWF acordó proponer al TC que recomiende al Consejo que se elija al Sr. Jean Maison (Unión Europea) como próximo presidente del TWF.</w:t>
      </w:r>
    </w:p>
    <w:p w:rsidR="00273DB6" w:rsidRPr="003C063D" w:rsidRDefault="00273DB6" w:rsidP="00273DB6">
      <w:pPr>
        <w:rPr>
          <w:rFonts w:cs="Arial"/>
        </w:rPr>
      </w:pPr>
    </w:p>
    <w:p w:rsidR="00273DB6" w:rsidRPr="003C063D" w:rsidRDefault="007D43C5" w:rsidP="00273DB6">
      <w:pPr>
        <w:rPr>
          <w:rFonts w:cs="Arial"/>
        </w:rPr>
      </w:pPr>
      <w:r>
        <w:rPr>
          <w:rFonts w:cs="Arial"/>
        </w:rPr>
        <w:fldChar w:fldCharType="begin"/>
      </w:r>
      <w:r w:rsidR="00273DB6">
        <w:rPr>
          <w:rFonts w:cs="Arial"/>
        </w:rPr>
        <w:instrText xml:space="preserve"> AUTONUM  </w:instrText>
      </w:r>
      <w:r>
        <w:rPr>
          <w:rFonts w:cs="Arial"/>
        </w:rPr>
        <w:fldChar w:fldCharType="end"/>
      </w:r>
      <w:r w:rsidR="00273DB6">
        <w:rPr>
          <w:rFonts w:cs="Arial"/>
        </w:rPr>
        <w:tab/>
      </w:r>
      <w:r w:rsidR="00083A68" w:rsidRPr="00083A68">
        <w:rPr>
          <w:rFonts w:cs="Arial"/>
        </w:rPr>
        <w:t>El TWF propuso examinar los siguientes puntos en su próxima reunión:</w:t>
      </w:r>
    </w:p>
    <w:p w:rsidR="00273DB6" w:rsidRPr="003C063D" w:rsidRDefault="00273DB6" w:rsidP="00273DB6">
      <w:pPr>
        <w:rPr>
          <w:rFonts w:cs="Arial"/>
        </w:rPr>
      </w:pPr>
    </w:p>
    <w:p w:rsidR="00273DB6" w:rsidRPr="003C063D" w:rsidRDefault="00273DB6" w:rsidP="00083A68">
      <w:pPr>
        <w:tabs>
          <w:tab w:val="left" w:pos="1134"/>
        </w:tabs>
        <w:spacing w:line="280" w:lineRule="auto"/>
        <w:ind w:left="567"/>
        <w:rPr>
          <w:rFonts w:cs="Arial"/>
        </w:rPr>
      </w:pPr>
      <w:r w:rsidRPr="003C063D">
        <w:rPr>
          <w:rFonts w:cs="Arial"/>
        </w:rPr>
        <w:t>1.</w:t>
      </w:r>
      <w:r w:rsidRPr="003C063D">
        <w:rPr>
          <w:rFonts w:cs="Arial"/>
        </w:rPr>
        <w:tab/>
      </w:r>
      <w:r w:rsidR="00083A68" w:rsidRPr="00083A68">
        <w:rPr>
          <w:rFonts w:cs="Arial"/>
        </w:rPr>
        <w:t>Apertura de la reunión</w:t>
      </w:r>
    </w:p>
    <w:p w:rsidR="00273DB6" w:rsidRPr="003C063D" w:rsidRDefault="00273DB6" w:rsidP="00083A68">
      <w:pPr>
        <w:tabs>
          <w:tab w:val="left" w:pos="1134"/>
        </w:tabs>
        <w:spacing w:line="280" w:lineRule="auto"/>
        <w:ind w:left="567"/>
        <w:rPr>
          <w:rFonts w:cs="Arial"/>
        </w:rPr>
      </w:pPr>
      <w:r w:rsidRPr="003C063D">
        <w:rPr>
          <w:rFonts w:cs="Arial"/>
        </w:rPr>
        <w:t>2.</w:t>
      </w:r>
      <w:r w:rsidRPr="003C063D">
        <w:rPr>
          <w:rFonts w:cs="Arial"/>
        </w:rPr>
        <w:tab/>
      </w:r>
      <w:r w:rsidR="00083A68" w:rsidRPr="00083A68">
        <w:rPr>
          <w:rFonts w:cs="Arial"/>
        </w:rPr>
        <w:t>Aprobación del orden del día</w:t>
      </w:r>
    </w:p>
    <w:p w:rsidR="00273DB6" w:rsidRPr="003C063D" w:rsidRDefault="00273DB6" w:rsidP="00083A68">
      <w:pPr>
        <w:keepNext/>
        <w:tabs>
          <w:tab w:val="left" w:pos="1134"/>
        </w:tabs>
        <w:spacing w:line="280" w:lineRule="auto"/>
        <w:ind w:left="567"/>
        <w:rPr>
          <w:rFonts w:cs="Arial"/>
        </w:rPr>
      </w:pPr>
      <w:r w:rsidRPr="003C063D">
        <w:rPr>
          <w:rFonts w:cs="Arial"/>
        </w:rPr>
        <w:t>3.</w:t>
      </w:r>
      <w:r w:rsidRPr="003C063D">
        <w:rPr>
          <w:rFonts w:cs="Arial"/>
        </w:rPr>
        <w:tab/>
      </w:r>
      <w:r w:rsidR="00083A68" w:rsidRPr="00083A68">
        <w:rPr>
          <w:rFonts w:cs="Arial"/>
        </w:rPr>
        <w:t>Breves informes sobre los avances logrados en la protección de las variedades vegetales</w:t>
      </w:r>
    </w:p>
    <w:p w:rsidR="00273DB6" w:rsidRPr="003C063D" w:rsidRDefault="00AF3692" w:rsidP="00083A68">
      <w:pPr>
        <w:spacing w:line="280" w:lineRule="auto"/>
        <w:ind w:leftChars="566" w:left="1699" w:hanging="567"/>
        <w:rPr>
          <w:rFonts w:cs="Arial"/>
        </w:rPr>
      </w:pPr>
      <w:r w:rsidRPr="004829DF">
        <w:rPr>
          <w:rFonts w:cs="Arial"/>
        </w:rPr>
        <w:t>a)</w:t>
      </w:r>
      <w:r w:rsidRPr="004829DF">
        <w:rPr>
          <w:rFonts w:cs="Arial"/>
        </w:rPr>
        <w:tab/>
      </w:r>
      <w:r w:rsidR="00083A68" w:rsidRPr="00083A68">
        <w:rPr>
          <w:rFonts w:cs="Arial"/>
        </w:rPr>
        <w:t>Informes de los miembros y observadores (informes escritos que elaborarán los miembros y observadores)</w:t>
      </w:r>
    </w:p>
    <w:p w:rsidR="00273DB6" w:rsidRPr="003C063D" w:rsidRDefault="00AF3692" w:rsidP="00083A68">
      <w:pPr>
        <w:spacing w:line="280" w:lineRule="auto"/>
        <w:ind w:leftChars="566" w:left="1133" w:hanging="1"/>
        <w:rPr>
          <w:rFonts w:cs="Arial"/>
        </w:rPr>
      </w:pPr>
      <w:r w:rsidRPr="004829DF">
        <w:rPr>
          <w:rFonts w:cs="Arial"/>
        </w:rPr>
        <w:t>b)</w:t>
      </w:r>
      <w:r w:rsidRPr="004829DF">
        <w:rPr>
          <w:rFonts w:cs="Arial"/>
        </w:rPr>
        <w:tab/>
      </w:r>
      <w:r w:rsidR="00083A68" w:rsidRPr="00083A68">
        <w:rPr>
          <w:rFonts w:cs="Arial"/>
        </w:rPr>
        <w:t>Informes sobre los avances logrados en la UPOV (informe verbal de la Oficina de la Unión)</w:t>
      </w:r>
    </w:p>
    <w:p w:rsidR="00273DB6" w:rsidRPr="003C063D" w:rsidRDefault="00273DB6" w:rsidP="00083A68">
      <w:pPr>
        <w:spacing w:line="280" w:lineRule="auto"/>
        <w:ind w:left="567"/>
        <w:rPr>
          <w:rFonts w:cs="Arial"/>
        </w:rPr>
      </w:pPr>
      <w:r w:rsidRPr="003C063D">
        <w:rPr>
          <w:rFonts w:cs="Arial"/>
        </w:rPr>
        <w:t>4.</w:t>
      </w:r>
      <w:r w:rsidRPr="003C063D">
        <w:rPr>
          <w:rFonts w:cs="Arial"/>
        </w:rPr>
        <w:tab/>
      </w:r>
      <w:r w:rsidR="00083A68" w:rsidRPr="00083A68">
        <w:rPr>
          <w:rFonts w:cs="Arial"/>
        </w:rPr>
        <w:t xml:space="preserve">Técnicas moleculares (documento que elaborará la Oficina de la Unión) </w:t>
      </w:r>
    </w:p>
    <w:p w:rsidR="00273DB6" w:rsidRPr="003C063D" w:rsidRDefault="00273DB6" w:rsidP="008C0560">
      <w:pPr>
        <w:spacing w:line="280" w:lineRule="auto"/>
        <w:ind w:left="567"/>
        <w:rPr>
          <w:rFonts w:cs="Arial"/>
        </w:rPr>
      </w:pPr>
      <w:r w:rsidRPr="003C063D">
        <w:rPr>
          <w:rFonts w:cs="Arial"/>
        </w:rPr>
        <w:t>5.</w:t>
      </w:r>
      <w:r w:rsidRPr="003C063D">
        <w:rPr>
          <w:rFonts w:cs="Arial"/>
        </w:rPr>
        <w:tab/>
      </w:r>
      <w:r w:rsidR="00083A68" w:rsidRPr="008C0560">
        <w:rPr>
          <w:rFonts w:cs="Arial"/>
        </w:rPr>
        <w:t>Documentos TGP (documentos que elaborará la Oficina de la Unión)</w:t>
      </w:r>
    </w:p>
    <w:p w:rsidR="00273DB6" w:rsidRPr="003C063D" w:rsidRDefault="00273DB6" w:rsidP="008C0560">
      <w:pPr>
        <w:spacing w:line="280" w:lineRule="auto"/>
        <w:ind w:left="567"/>
        <w:rPr>
          <w:rFonts w:cs="Arial"/>
        </w:rPr>
      </w:pPr>
      <w:r w:rsidRPr="003C063D">
        <w:rPr>
          <w:rFonts w:cs="Arial"/>
        </w:rPr>
        <w:t>6.</w:t>
      </w:r>
      <w:r w:rsidRPr="003C063D">
        <w:rPr>
          <w:rFonts w:cs="Arial"/>
        </w:rPr>
        <w:tab/>
      </w:r>
      <w:r w:rsidR="008C0560" w:rsidRPr="008C0560">
        <w:rPr>
          <w:rFonts w:cs="Arial"/>
        </w:rPr>
        <w:t xml:space="preserve">Denominaciones de variedades (documento que elaborará la Oficina de la Unión) </w:t>
      </w:r>
    </w:p>
    <w:p w:rsidR="00273DB6" w:rsidRPr="003C063D" w:rsidRDefault="00273DB6" w:rsidP="008C0560">
      <w:pPr>
        <w:spacing w:line="280" w:lineRule="auto"/>
        <w:ind w:left="567"/>
        <w:rPr>
          <w:rFonts w:cs="Arial"/>
        </w:rPr>
      </w:pPr>
      <w:r w:rsidRPr="003C063D">
        <w:rPr>
          <w:rFonts w:cs="Arial"/>
        </w:rPr>
        <w:t>7.</w:t>
      </w:r>
      <w:r w:rsidRPr="003C063D">
        <w:rPr>
          <w:rFonts w:cs="Arial"/>
        </w:rPr>
        <w:tab/>
      </w:r>
      <w:r w:rsidR="008C0560" w:rsidRPr="008C0560">
        <w:rPr>
          <w:rFonts w:cs="Arial"/>
        </w:rPr>
        <w:t>Información y bases de datos</w:t>
      </w:r>
    </w:p>
    <w:p w:rsidR="00273DB6" w:rsidRPr="003C063D" w:rsidRDefault="00AF3692" w:rsidP="00037069">
      <w:pPr>
        <w:spacing w:line="280" w:lineRule="auto"/>
        <w:ind w:left="1134"/>
        <w:rPr>
          <w:rFonts w:cs="Arial"/>
        </w:rPr>
      </w:pPr>
      <w:r w:rsidRPr="004829DF">
        <w:rPr>
          <w:rFonts w:cs="Arial"/>
        </w:rPr>
        <w:t>a)</w:t>
      </w:r>
      <w:r w:rsidRPr="004829DF">
        <w:rPr>
          <w:rFonts w:cs="Arial"/>
        </w:rPr>
        <w:tab/>
      </w:r>
      <w:r w:rsidR="008C0560" w:rsidRPr="00037069">
        <w:rPr>
          <w:rFonts w:cs="Arial"/>
        </w:rPr>
        <w:t>Bases de datos de información de la UPOV (</w:t>
      </w:r>
      <w:r w:rsidR="00037069" w:rsidRPr="00037069">
        <w:rPr>
          <w:rFonts w:cs="Arial"/>
        </w:rPr>
        <w:t xml:space="preserve">documentos que elaborará </w:t>
      </w:r>
      <w:r w:rsidR="008C0560" w:rsidRPr="00037069">
        <w:rPr>
          <w:rFonts w:cs="Arial"/>
        </w:rPr>
        <w:t>la Oficina de la Unión)</w:t>
      </w:r>
    </w:p>
    <w:p w:rsidR="00273DB6" w:rsidRPr="003C063D" w:rsidRDefault="00AF3692" w:rsidP="00037069">
      <w:pPr>
        <w:spacing w:line="280" w:lineRule="auto"/>
        <w:ind w:left="1134"/>
        <w:rPr>
          <w:rFonts w:cs="Arial"/>
        </w:rPr>
      </w:pPr>
      <w:r w:rsidRPr="004829DF">
        <w:rPr>
          <w:rFonts w:cs="Arial"/>
        </w:rPr>
        <w:t>b)</w:t>
      </w:r>
      <w:r w:rsidRPr="004829DF">
        <w:rPr>
          <w:rFonts w:cs="Arial"/>
        </w:rPr>
        <w:tab/>
      </w:r>
      <w:r w:rsidR="00037069" w:rsidRPr="00037069">
        <w:rPr>
          <w:rFonts w:cs="Arial"/>
        </w:rPr>
        <w:t>Bases de datos de descripciones de variedades (documentos que elaborará la Oficina de la Unión)</w:t>
      </w:r>
      <w:r w:rsidR="00273DB6" w:rsidRPr="003C063D">
        <w:rPr>
          <w:rFonts w:cs="Arial"/>
        </w:rPr>
        <w:t xml:space="preserve"> </w:t>
      </w:r>
    </w:p>
    <w:p w:rsidR="00273DB6" w:rsidRPr="003C063D" w:rsidRDefault="00AF3692" w:rsidP="00037069">
      <w:pPr>
        <w:spacing w:line="280" w:lineRule="auto"/>
        <w:ind w:left="1134"/>
        <w:rPr>
          <w:rFonts w:cs="Arial"/>
        </w:rPr>
      </w:pPr>
      <w:r w:rsidRPr="004829DF">
        <w:rPr>
          <w:rFonts w:cs="Arial"/>
        </w:rPr>
        <w:t>c)</w:t>
      </w:r>
      <w:r w:rsidRPr="004829DF">
        <w:rPr>
          <w:rFonts w:cs="Arial"/>
        </w:rPr>
        <w:tab/>
      </w:r>
      <w:r w:rsidR="00037069" w:rsidRPr="00037069">
        <w:rPr>
          <w:rFonts w:cs="Arial"/>
        </w:rPr>
        <w:t>Programas informáticos para intercambio (documento que elaborará la Oficina de la Unión)</w:t>
      </w:r>
    </w:p>
    <w:p w:rsidR="00273DB6" w:rsidRPr="003C063D" w:rsidRDefault="00AF3692" w:rsidP="00037069">
      <w:pPr>
        <w:spacing w:line="280" w:lineRule="auto"/>
        <w:ind w:left="1134"/>
        <w:rPr>
          <w:rFonts w:cs="Arial"/>
        </w:rPr>
      </w:pPr>
      <w:r w:rsidRPr="004829DF">
        <w:rPr>
          <w:rFonts w:cs="Arial"/>
        </w:rPr>
        <w:t>d)</w:t>
      </w:r>
      <w:r w:rsidRPr="004829DF">
        <w:rPr>
          <w:rFonts w:cs="Arial"/>
        </w:rPr>
        <w:tab/>
      </w:r>
      <w:r w:rsidR="00037069" w:rsidRPr="00037069">
        <w:rPr>
          <w:rFonts w:cs="Arial"/>
        </w:rPr>
        <w:t>Sistemas de presentación electrónica de solicitudes (documento que elaborará la Oficina de la Unión)</w:t>
      </w:r>
    </w:p>
    <w:p w:rsidR="00273DB6" w:rsidRPr="003C063D" w:rsidRDefault="00273DB6" w:rsidP="00037069">
      <w:pPr>
        <w:tabs>
          <w:tab w:val="left" w:pos="1134"/>
        </w:tabs>
        <w:spacing w:line="280" w:lineRule="auto"/>
        <w:ind w:left="1134" w:hanging="567"/>
        <w:rPr>
          <w:rFonts w:cs="Arial"/>
        </w:rPr>
      </w:pPr>
      <w:r w:rsidRPr="003C063D">
        <w:rPr>
          <w:rFonts w:cs="Arial"/>
        </w:rPr>
        <w:t>8.</w:t>
      </w:r>
      <w:r w:rsidRPr="003C063D">
        <w:rPr>
          <w:rFonts w:cs="Arial"/>
        </w:rPr>
        <w:tab/>
      </w:r>
      <w:r w:rsidR="00037069" w:rsidRPr="00037069">
        <w:rPr>
          <w:rFonts w:cs="Arial"/>
        </w:rPr>
        <w:t>Experiencias con nuevos tipos y especies (invitación a presentar informes verbales)</w:t>
      </w:r>
    </w:p>
    <w:p w:rsidR="00273DB6" w:rsidRPr="003C063D" w:rsidRDefault="00273DB6" w:rsidP="00037069">
      <w:pPr>
        <w:tabs>
          <w:tab w:val="left" w:pos="1134"/>
        </w:tabs>
        <w:spacing w:line="280" w:lineRule="auto"/>
        <w:ind w:left="1134" w:hanging="567"/>
        <w:rPr>
          <w:rFonts w:cs="Arial"/>
        </w:rPr>
      </w:pPr>
      <w:r w:rsidRPr="003C063D">
        <w:rPr>
          <w:rFonts w:cs="Arial"/>
        </w:rPr>
        <w:t>9.</w:t>
      </w:r>
      <w:r w:rsidRPr="003C063D">
        <w:rPr>
          <w:rFonts w:cs="Arial"/>
        </w:rPr>
        <w:tab/>
      </w:r>
      <w:r w:rsidR="00037069" w:rsidRPr="00037069">
        <w:rPr>
          <w:rFonts w:cs="Arial"/>
        </w:rPr>
        <w:t>Gestión de las colecciones de variedades (invitación a presentar informes verbales)</w:t>
      </w:r>
    </w:p>
    <w:p w:rsidR="00273DB6" w:rsidRPr="003C063D" w:rsidRDefault="00273DB6" w:rsidP="00037069">
      <w:pPr>
        <w:tabs>
          <w:tab w:val="left" w:pos="1134"/>
        </w:tabs>
        <w:spacing w:line="280" w:lineRule="auto"/>
        <w:ind w:left="1134" w:hanging="567"/>
        <w:rPr>
          <w:rFonts w:cs="Arial"/>
        </w:rPr>
      </w:pPr>
      <w:r w:rsidRPr="003C063D">
        <w:rPr>
          <w:rFonts w:cs="Arial"/>
        </w:rPr>
        <w:t>10.</w:t>
      </w:r>
      <w:r w:rsidRPr="003C063D">
        <w:rPr>
          <w:rFonts w:cs="Arial"/>
        </w:rPr>
        <w:tab/>
      </w:r>
      <w:r w:rsidR="00037069" w:rsidRPr="00037069">
        <w:rPr>
          <w:rFonts w:cs="Arial"/>
        </w:rPr>
        <w:t>Manual comparativo para la armonización de las descripciones de variedades del manzano (documento que elaborará la Unión Europea)</w:t>
      </w:r>
    </w:p>
    <w:p w:rsidR="00273DB6" w:rsidRPr="003C063D" w:rsidRDefault="00273DB6" w:rsidP="00037069">
      <w:pPr>
        <w:tabs>
          <w:tab w:val="left" w:pos="1134"/>
        </w:tabs>
        <w:spacing w:line="280" w:lineRule="auto"/>
        <w:ind w:left="1134" w:hanging="567"/>
        <w:rPr>
          <w:rFonts w:cs="Arial"/>
        </w:rPr>
      </w:pPr>
      <w:r w:rsidRPr="003C063D">
        <w:rPr>
          <w:rFonts w:cs="Arial"/>
        </w:rPr>
        <w:t>11.</w:t>
      </w:r>
      <w:r w:rsidRPr="003C063D">
        <w:rPr>
          <w:rFonts w:cs="Arial"/>
        </w:rPr>
        <w:tab/>
      </w:r>
      <w:r w:rsidR="00037069" w:rsidRPr="00037069">
        <w:rPr>
          <w:rFonts w:cs="Arial"/>
        </w:rPr>
        <w:t>Examen DHE de variedades mutantes de manzano (documento que elaborará la Unión Europea)</w:t>
      </w:r>
    </w:p>
    <w:p w:rsidR="00273DB6" w:rsidRPr="003C063D" w:rsidRDefault="00273DB6" w:rsidP="00037069">
      <w:pPr>
        <w:tabs>
          <w:tab w:val="left" w:pos="1134"/>
        </w:tabs>
        <w:spacing w:line="280" w:lineRule="auto"/>
        <w:ind w:left="1134" w:hanging="567"/>
        <w:rPr>
          <w:rFonts w:cs="Arial"/>
        </w:rPr>
      </w:pPr>
      <w:r w:rsidRPr="003C063D">
        <w:rPr>
          <w:rFonts w:cs="Arial"/>
        </w:rPr>
        <w:t>12.</w:t>
      </w:r>
      <w:r w:rsidRPr="003C063D">
        <w:rPr>
          <w:rFonts w:cs="Arial"/>
        </w:rPr>
        <w:tab/>
      </w:r>
      <w:r w:rsidR="00037069" w:rsidRPr="00037069">
        <w:rPr>
          <w:rFonts w:cs="Arial"/>
        </w:rPr>
        <w:t>Repercusión de las revisiones de los niveles de expresión de caracteres existentes en la revisión de las directrices de examen (documento que elaborará Francia y otras eventuales ponencias)</w:t>
      </w:r>
    </w:p>
    <w:p w:rsidR="00273DB6" w:rsidRPr="003C063D" w:rsidRDefault="00273DB6" w:rsidP="00037069">
      <w:pPr>
        <w:tabs>
          <w:tab w:val="left" w:pos="1134"/>
        </w:tabs>
        <w:spacing w:line="280" w:lineRule="auto"/>
        <w:ind w:left="1134" w:hanging="567"/>
        <w:rPr>
          <w:rFonts w:cs="Arial"/>
        </w:rPr>
      </w:pPr>
      <w:r w:rsidRPr="003C063D">
        <w:rPr>
          <w:rFonts w:cs="Arial"/>
        </w:rPr>
        <w:t>13.</w:t>
      </w:r>
      <w:r w:rsidRPr="003C063D">
        <w:rPr>
          <w:rFonts w:cs="Arial"/>
        </w:rPr>
        <w:tab/>
      </w:r>
      <w:r w:rsidR="00037069" w:rsidRPr="00037069">
        <w:rPr>
          <w:rFonts w:cs="Arial"/>
        </w:rPr>
        <w:t>La distancia mínima entre variedades (documento que elaborará la Unión Europea)</w:t>
      </w:r>
    </w:p>
    <w:p w:rsidR="00273DB6" w:rsidRPr="003C063D" w:rsidRDefault="00273DB6" w:rsidP="00037069">
      <w:pPr>
        <w:tabs>
          <w:tab w:val="left" w:pos="1134"/>
        </w:tabs>
        <w:spacing w:line="280" w:lineRule="auto"/>
        <w:ind w:left="1134" w:hanging="567"/>
        <w:rPr>
          <w:rFonts w:cs="Arial"/>
        </w:rPr>
      </w:pPr>
      <w:r w:rsidRPr="003C063D">
        <w:rPr>
          <w:rFonts w:cs="Arial"/>
        </w:rPr>
        <w:t>14.</w:t>
      </w:r>
      <w:r w:rsidRPr="003C063D">
        <w:rPr>
          <w:rFonts w:cs="Arial"/>
        </w:rPr>
        <w:tab/>
      </w:r>
      <w:r w:rsidR="00037069" w:rsidRPr="00037069">
        <w:rPr>
          <w:rFonts w:cs="Arial"/>
        </w:rPr>
        <w:t>Orientación para los redactores de las directrices de examen</w:t>
      </w:r>
    </w:p>
    <w:p w:rsidR="00273DB6" w:rsidRPr="003C063D" w:rsidRDefault="00273DB6" w:rsidP="00037069">
      <w:pPr>
        <w:tabs>
          <w:tab w:val="left" w:pos="1134"/>
        </w:tabs>
        <w:spacing w:line="280" w:lineRule="auto"/>
        <w:ind w:left="1134" w:hanging="567"/>
        <w:rPr>
          <w:rFonts w:cs="Arial"/>
        </w:rPr>
      </w:pPr>
      <w:r w:rsidRPr="003C063D">
        <w:rPr>
          <w:rFonts w:cs="Arial"/>
        </w:rPr>
        <w:t>15.</w:t>
      </w:r>
      <w:r w:rsidRPr="003C063D">
        <w:rPr>
          <w:rFonts w:cs="Arial"/>
        </w:rPr>
        <w:tab/>
      </w:r>
      <w:r w:rsidR="00037069" w:rsidRPr="00037069">
        <w:rPr>
          <w:rFonts w:cs="Arial"/>
        </w:rPr>
        <w:t>Cuestiones por resolver en lo que respecta a directrices de examen aprobadas por el Comité Técnico</w:t>
      </w:r>
      <w:r w:rsidRPr="003C063D">
        <w:rPr>
          <w:rFonts w:cs="Arial"/>
        </w:rPr>
        <w:t xml:space="preserve"> </w:t>
      </w:r>
    </w:p>
    <w:p w:rsidR="00273DB6" w:rsidRPr="003C063D" w:rsidRDefault="00273DB6" w:rsidP="00037069">
      <w:pPr>
        <w:tabs>
          <w:tab w:val="left" w:pos="1134"/>
        </w:tabs>
        <w:spacing w:line="280" w:lineRule="auto"/>
        <w:ind w:left="1134" w:hanging="567"/>
        <w:rPr>
          <w:rFonts w:cs="Arial"/>
        </w:rPr>
      </w:pPr>
      <w:r w:rsidRPr="003C063D">
        <w:rPr>
          <w:rFonts w:cs="Arial"/>
        </w:rPr>
        <w:t>16.</w:t>
      </w:r>
      <w:r w:rsidRPr="003C063D">
        <w:rPr>
          <w:rFonts w:cs="Arial"/>
        </w:rPr>
        <w:tab/>
      </w:r>
      <w:r w:rsidR="00037069" w:rsidRPr="00037069">
        <w:rPr>
          <w:rFonts w:cs="Arial"/>
        </w:rPr>
        <w:t>Propuestas de revisión parcial/correcciones de directrices de examen</w:t>
      </w:r>
      <w:r w:rsidRPr="003C063D">
        <w:rPr>
          <w:rFonts w:cs="Arial"/>
        </w:rPr>
        <w:t xml:space="preserve"> </w:t>
      </w:r>
    </w:p>
    <w:p w:rsidR="00273DB6" w:rsidRPr="003C063D" w:rsidRDefault="00273DB6" w:rsidP="00037069">
      <w:pPr>
        <w:tabs>
          <w:tab w:val="left" w:pos="1134"/>
        </w:tabs>
        <w:spacing w:line="280" w:lineRule="auto"/>
        <w:ind w:left="1134" w:hanging="567"/>
        <w:rPr>
          <w:rFonts w:cs="Arial"/>
        </w:rPr>
      </w:pPr>
      <w:r w:rsidRPr="003C063D">
        <w:rPr>
          <w:rFonts w:cs="Arial"/>
        </w:rPr>
        <w:t>17.</w:t>
      </w:r>
      <w:r w:rsidRPr="003C063D">
        <w:rPr>
          <w:rFonts w:cs="Arial"/>
        </w:rPr>
        <w:tab/>
      </w:r>
      <w:r w:rsidR="00037069" w:rsidRPr="00037069">
        <w:rPr>
          <w:rFonts w:cs="Arial"/>
        </w:rPr>
        <w:t>Debates sobre proyectos de directrices de examen (subgrupos)</w:t>
      </w:r>
    </w:p>
    <w:p w:rsidR="00273DB6" w:rsidRPr="003C063D" w:rsidRDefault="00273DB6" w:rsidP="00037069">
      <w:pPr>
        <w:tabs>
          <w:tab w:val="left" w:pos="1134"/>
        </w:tabs>
        <w:spacing w:line="280" w:lineRule="auto"/>
        <w:ind w:left="1134" w:hanging="567"/>
        <w:rPr>
          <w:rFonts w:cs="Arial"/>
        </w:rPr>
      </w:pPr>
      <w:r w:rsidRPr="003C063D">
        <w:rPr>
          <w:rFonts w:cs="Arial"/>
        </w:rPr>
        <w:t>18.</w:t>
      </w:r>
      <w:r w:rsidRPr="003C063D">
        <w:rPr>
          <w:rFonts w:cs="Arial"/>
        </w:rPr>
        <w:tab/>
      </w:r>
      <w:r w:rsidR="00037069" w:rsidRPr="00037069">
        <w:rPr>
          <w:rFonts w:cs="Arial"/>
        </w:rPr>
        <w:t>Recomendaciones sobre proyectos de directrices de examen</w:t>
      </w:r>
    </w:p>
    <w:p w:rsidR="00273DB6" w:rsidRPr="003C063D" w:rsidRDefault="00273DB6" w:rsidP="00037069">
      <w:pPr>
        <w:tabs>
          <w:tab w:val="left" w:pos="1134"/>
        </w:tabs>
        <w:spacing w:line="280" w:lineRule="auto"/>
        <w:ind w:left="1134" w:hanging="567"/>
        <w:rPr>
          <w:rFonts w:cs="Arial"/>
        </w:rPr>
      </w:pPr>
      <w:r w:rsidRPr="003C063D">
        <w:rPr>
          <w:rFonts w:cs="Arial"/>
        </w:rPr>
        <w:t>19.</w:t>
      </w:r>
      <w:r w:rsidRPr="003C063D">
        <w:rPr>
          <w:rFonts w:cs="Arial"/>
        </w:rPr>
        <w:tab/>
      </w:r>
      <w:r w:rsidR="00037069" w:rsidRPr="00037069">
        <w:rPr>
          <w:rFonts w:cs="Arial"/>
        </w:rPr>
        <w:t>Fecha y lugar de la siguiente reunión</w:t>
      </w:r>
    </w:p>
    <w:p w:rsidR="00273DB6" w:rsidRPr="003C063D" w:rsidRDefault="00273DB6" w:rsidP="00037069">
      <w:pPr>
        <w:tabs>
          <w:tab w:val="left" w:pos="1134"/>
        </w:tabs>
        <w:spacing w:line="280" w:lineRule="auto"/>
        <w:ind w:left="1134" w:hanging="567"/>
        <w:rPr>
          <w:rFonts w:cs="Arial"/>
        </w:rPr>
      </w:pPr>
      <w:r w:rsidRPr="003C063D">
        <w:rPr>
          <w:rFonts w:cs="Arial"/>
        </w:rPr>
        <w:t>20.</w:t>
      </w:r>
      <w:r w:rsidRPr="003C063D">
        <w:rPr>
          <w:rFonts w:cs="Arial"/>
        </w:rPr>
        <w:tab/>
      </w:r>
      <w:r w:rsidR="00037069" w:rsidRPr="00037069">
        <w:rPr>
          <w:rFonts w:cs="Arial"/>
        </w:rPr>
        <w:t>Futuro programa</w:t>
      </w:r>
    </w:p>
    <w:p w:rsidR="00273DB6" w:rsidRPr="003C063D" w:rsidRDefault="00273DB6" w:rsidP="00037069">
      <w:pPr>
        <w:tabs>
          <w:tab w:val="left" w:pos="1134"/>
        </w:tabs>
        <w:spacing w:line="280" w:lineRule="auto"/>
        <w:ind w:left="1134" w:hanging="567"/>
        <w:rPr>
          <w:rFonts w:cs="Arial"/>
        </w:rPr>
      </w:pPr>
      <w:r w:rsidRPr="003C063D">
        <w:rPr>
          <w:rFonts w:cs="Arial"/>
        </w:rPr>
        <w:t>21.</w:t>
      </w:r>
      <w:r w:rsidRPr="003C063D">
        <w:rPr>
          <w:rFonts w:cs="Arial"/>
        </w:rPr>
        <w:tab/>
      </w:r>
      <w:r w:rsidR="00037069" w:rsidRPr="00037069">
        <w:rPr>
          <w:rFonts w:cs="Arial"/>
        </w:rPr>
        <w:t>Aprobación del informe de la reunión (si se dispone de tiempo suficiente)</w:t>
      </w:r>
    </w:p>
    <w:p w:rsidR="00273DB6" w:rsidRPr="003C063D" w:rsidRDefault="00273DB6" w:rsidP="00037069">
      <w:pPr>
        <w:tabs>
          <w:tab w:val="left" w:pos="1134"/>
        </w:tabs>
        <w:spacing w:line="280" w:lineRule="auto"/>
        <w:ind w:left="1134" w:hanging="567"/>
        <w:rPr>
          <w:rFonts w:cs="Arial"/>
        </w:rPr>
      </w:pPr>
      <w:r w:rsidRPr="003C063D">
        <w:rPr>
          <w:rFonts w:cs="Arial"/>
        </w:rPr>
        <w:t>22.</w:t>
      </w:r>
      <w:r w:rsidRPr="003C063D">
        <w:rPr>
          <w:rFonts w:cs="Arial"/>
        </w:rPr>
        <w:tab/>
      </w:r>
      <w:r w:rsidR="00037069" w:rsidRPr="00037069">
        <w:rPr>
          <w:rFonts w:cs="Arial"/>
        </w:rPr>
        <w:t>Clausura de la reunión</w:t>
      </w:r>
    </w:p>
    <w:p w:rsidR="00273DB6" w:rsidRPr="003C063D" w:rsidRDefault="00273DB6" w:rsidP="00273DB6">
      <w:pPr>
        <w:rPr>
          <w:rFonts w:cs="Arial"/>
        </w:rPr>
      </w:pPr>
    </w:p>
    <w:p w:rsidR="00273DB6" w:rsidRPr="003C063D" w:rsidRDefault="007D43C5" w:rsidP="00273DB6">
      <w:pPr>
        <w:rPr>
          <w:rFonts w:cs="Arial"/>
        </w:rPr>
      </w:pPr>
      <w:r>
        <w:rPr>
          <w:rFonts w:cs="Arial"/>
        </w:rPr>
        <w:fldChar w:fldCharType="begin"/>
      </w:r>
      <w:r w:rsidR="00273DB6">
        <w:rPr>
          <w:rFonts w:cs="Arial"/>
        </w:rPr>
        <w:instrText xml:space="preserve"> AUTONUM  </w:instrText>
      </w:r>
      <w:r>
        <w:rPr>
          <w:rFonts w:cs="Arial"/>
        </w:rPr>
        <w:fldChar w:fldCharType="end"/>
      </w:r>
      <w:r w:rsidR="00273DB6">
        <w:rPr>
          <w:rFonts w:cs="Arial"/>
        </w:rPr>
        <w:tab/>
      </w:r>
      <w:r w:rsidR="00037069" w:rsidRPr="00037069">
        <w:rPr>
          <w:rFonts w:cs="Arial"/>
        </w:rPr>
        <w:t>El</w:t>
      </w:r>
      <w:r w:rsidR="007829E4">
        <w:rPr>
          <w:rFonts w:cs="Arial"/>
        </w:rPr>
        <w:t> </w:t>
      </w:r>
      <w:r w:rsidR="007829E4" w:rsidRPr="00037069">
        <w:rPr>
          <w:rFonts w:cs="Arial"/>
        </w:rPr>
        <w:t>1</w:t>
      </w:r>
      <w:r w:rsidR="00037069" w:rsidRPr="00037069">
        <w:rPr>
          <w:rFonts w:cs="Arial"/>
        </w:rPr>
        <w:t>6 de noviembre de 2016 por la tarde</w:t>
      </w:r>
      <w:r w:rsidR="007829E4">
        <w:rPr>
          <w:rFonts w:cs="Arial"/>
        </w:rPr>
        <w:t xml:space="preserve">, </w:t>
      </w:r>
      <w:r w:rsidR="00037069" w:rsidRPr="00037069">
        <w:rPr>
          <w:rFonts w:cs="Arial"/>
        </w:rPr>
        <w:t>el TWF visitó al Grupo de Estudio y Control de Variedades y Semillas (</w:t>
      </w:r>
      <w:r w:rsidR="00037069" w:rsidRPr="009B196C">
        <w:rPr>
          <w:rFonts w:cs="Arial"/>
          <w:i/>
          <w:lang w:val="es-ES"/>
        </w:rPr>
        <w:t>Groupe d'étude et de contrôle des variétés et des semences</w:t>
      </w:r>
      <w:r w:rsidR="007829E4">
        <w:rPr>
          <w:rFonts w:cs="Arial"/>
        </w:rPr>
        <w:t xml:space="preserve">, </w:t>
      </w:r>
      <w:r w:rsidR="00037069" w:rsidRPr="00037069">
        <w:rPr>
          <w:rFonts w:cs="Arial"/>
        </w:rPr>
        <w:t>GEVES) en Beaucouzé cerca de Angers (Francia)</w:t>
      </w:r>
      <w:r w:rsidR="007829E4">
        <w:rPr>
          <w:rFonts w:cs="Arial"/>
        </w:rPr>
        <w:t xml:space="preserve">, </w:t>
      </w:r>
      <w:r w:rsidR="00037069" w:rsidRPr="00037069">
        <w:rPr>
          <w:rFonts w:cs="Arial"/>
        </w:rPr>
        <w:t>donde recibió la bienvenida de la Sra. Carole Dirwimmer</w:t>
      </w:r>
      <w:r w:rsidR="007829E4">
        <w:rPr>
          <w:rFonts w:cs="Arial"/>
        </w:rPr>
        <w:t xml:space="preserve">, </w:t>
      </w:r>
      <w:r w:rsidR="00037069" w:rsidRPr="00037069">
        <w:rPr>
          <w:rFonts w:cs="Arial"/>
        </w:rPr>
        <w:t>Directora del equipo de examen DHE de frutales del GEVES</w:t>
      </w:r>
      <w:r w:rsidR="007829E4">
        <w:rPr>
          <w:rFonts w:cs="Arial"/>
        </w:rPr>
        <w:t xml:space="preserve">, </w:t>
      </w:r>
      <w:r w:rsidR="00037069" w:rsidRPr="00037069">
        <w:rPr>
          <w:rFonts w:cs="Arial"/>
        </w:rPr>
        <w:t>y asistió a una ponencia a cargo de la Sra. Dirwimmer sobre las actividades del GEVES relativas a la DHE de los árboles frutales en general en Francia y al examen DHE del manzano en particular.</w:t>
      </w:r>
      <w:r w:rsidR="00642BCD">
        <w:rPr>
          <w:rFonts w:cs="Arial"/>
        </w:rPr>
        <w:t xml:space="preserve">  </w:t>
      </w:r>
      <w:r w:rsidR="00037069" w:rsidRPr="00DC4D5E">
        <w:rPr>
          <w:rFonts w:cs="Arial"/>
        </w:rPr>
        <w:t>Luego el TWF visitó la sede del Instituto Nacional de Investigación Agrícola (INRA) en Beaucouzé donde</w:t>
      </w:r>
      <w:r w:rsidR="007829E4">
        <w:rPr>
          <w:rFonts w:cs="Arial"/>
        </w:rPr>
        <w:t xml:space="preserve">, </w:t>
      </w:r>
      <w:r w:rsidR="00037069" w:rsidRPr="00DC4D5E">
        <w:rPr>
          <w:rFonts w:cs="Arial"/>
        </w:rPr>
        <w:t>tras los debates sobre variedades mutantes de manzano mantenidos el miércoles por la mañana</w:t>
      </w:r>
      <w:r w:rsidR="007829E4">
        <w:rPr>
          <w:rFonts w:cs="Arial"/>
        </w:rPr>
        <w:t xml:space="preserve">, </w:t>
      </w:r>
      <w:r w:rsidR="00037069" w:rsidRPr="00DC4D5E">
        <w:rPr>
          <w:rFonts w:cs="Arial"/>
        </w:rPr>
        <w:t>tuvo la ocasión de observar las dificultades que plantea el examen DHE en diversas variedades mutantes de Gala y Fuji</w:t>
      </w:r>
      <w:r w:rsidR="00DC4D5E" w:rsidRPr="00DC4D5E">
        <w:rPr>
          <w:rFonts w:cs="Arial"/>
        </w:rPr>
        <w:t>.</w:t>
      </w:r>
      <w:r w:rsidR="00273DB6" w:rsidRPr="003C063D">
        <w:rPr>
          <w:rFonts w:cs="Arial"/>
        </w:rPr>
        <w:t xml:space="preserve">  </w:t>
      </w:r>
      <w:r w:rsidR="00DC4D5E" w:rsidRPr="00DC4D5E">
        <w:rPr>
          <w:rFonts w:cs="Arial"/>
        </w:rPr>
        <w:t>Durante esta parte de la visita</w:t>
      </w:r>
      <w:r w:rsidR="007829E4">
        <w:rPr>
          <w:rFonts w:cs="Arial"/>
        </w:rPr>
        <w:t xml:space="preserve">, </w:t>
      </w:r>
      <w:r w:rsidR="00DC4D5E" w:rsidRPr="00DC4D5E">
        <w:rPr>
          <w:rFonts w:cs="Arial"/>
        </w:rPr>
        <w:t>acompañaron al TWF el Sr. Rémi Guisnel y el Sr. Laurence Feugey</w:t>
      </w:r>
      <w:r w:rsidR="007829E4">
        <w:rPr>
          <w:rFonts w:cs="Arial"/>
        </w:rPr>
        <w:t xml:space="preserve">, </w:t>
      </w:r>
      <w:r w:rsidR="00DC4D5E" w:rsidRPr="00DC4D5E">
        <w:rPr>
          <w:rFonts w:cs="Arial"/>
        </w:rPr>
        <w:t>examinadores franceses de variedades de manzano del Instituto de Investigaciones en Horticultura y Semillas (</w:t>
      </w:r>
      <w:r w:rsidR="00DC4D5E" w:rsidRPr="009B196C">
        <w:rPr>
          <w:rFonts w:cs="Arial"/>
          <w:i/>
          <w:lang w:val="es-ES"/>
        </w:rPr>
        <w:t>Institut de Recherche en Horticulture et Semence</w:t>
      </w:r>
      <w:r w:rsidR="007829E4">
        <w:rPr>
          <w:rFonts w:cs="Arial"/>
        </w:rPr>
        <w:t xml:space="preserve">, </w:t>
      </w:r>
      <w:r w:rsidR="00DC4D5E" w:rsidRPr="00DC4D5E">
        <w:rPr>
          <w:rFonts w:cs="Arial"/>
        </w:rPr>
        <w:t>IRHS) del INRA.</w:t>
      </w:r>
      <w:r w:rsidR="00642BCD">
        <w:rPr>
          <w:rFonts w:cs="Arial"/>
        </w:rPr>
        <w:t xml:space="preserve">  </w:t>
      </w:r>
      <w:r w:rsidR="00DC4D5E" w:rsidRPr="00DC4D5E">
        <w:rPr>
          <w:rFonts w:cs="Arial"/>
        </w:rPr>
        <w:t>El TWF también asistió a una ponencia sobre las actividades del INRA-IRHS</w:t>
      </w:r>
      <w:r w:rsidR="007829E4">
        <w:rPr>
          <w:rFonts w:cs="Arial"/>
        </w:rPr>
        <w:t xml:space="preserve">, </w:t>
      </w:r>
      <w:r w:rsidR="00DC4D5E" w:rsidRPr="00DC4D5E">
        <w:rPr>
          <w:rFonts w:cs="Arial"/>
        </w:rPr>
        <w:t>a cargo del Sr. François Laurens</w:t>
      </w:r>
      <w:r w:rsidR="007829E4">
        <w:rPr>
          <w:rFonts w:cs="Arial"/>
        </w:rPr>
        <w:t xml:space="preserve">, </w:t>
      </w:r>
      <w:r w:rsidR="00DC4D5E" w:rsidRPr="00DC4D5E">
        <w:rPr>
          <w:rFonts w:cs="Arial"/>
        </w:rPr>
        <w:t>Director Adjunto del IRHS</w:t>
      </w:r>
      <w:r w:rsidR="007829E4">
        <w:rPr>
          <w:rFonts w:cs="Arial"/>
        </w:rPr>
        <w:t xml:space="preserve">, </w:t>
      </w:r>
      <w:r w:rsidR="00DC4D5E" w:rsidRPr="00DC4D5E">
        <w:rPr>
          <w:rFonts w:cs="Arial"/>
        </w:rPr>
        <w:t>y a otra ponencia sobre las distancias mínimas</w:t>
      </w:r>
      <w:r w:rsidR="007829E4">
        <w:rPr>
          <w:rFonts w:cs="Arial"/>
        </w:rPr>
        <w:t xml:space="preserve">, </w:t>
      </w:r>
      <w:r w:rsidR="00DC4D5E" w:rsidRPr="00DC4D5E">
        <w:rPr>
          <w:rFonts w:cs="Arial"/>
        </w:rPr>
        <w:t>a cargo de la Sra. Dominique Thévenon</w:t>
      </w:r>
      <w:r w:rsidR="007829E4">
        <w:rPr>
          <w:rFonts w:cs="Arial"/>
        </w:rPr>
        <w:t xml:space="preserve">, </w:t>
      </w:r>
      <w:r w:rsidR="00DC4D5E" w:rsidRPr="00DC4D5E">
        <w:rPr>
          <w:rFonts w:cs="Arial"/>
        </w:rPr>
        <w:t>miembro de la Junta Directiva de la CIOPORA.</w:t>
      </w:r>
    </w:p>
    <w:p w:rsidR="00273DB6" w:rsidRDefault="00273DB6" w:rsidP="00273DB6">
      <w:pPr>
        <w:rPr>
          <w:rFonts w:cs="Arial"/>
        </w:rPr>
      </w:pPr>
    </w:p>
    <w:p w:rsidR="00273DB6" w:rsidRPr="003C063D" w:rsidRDefault="00273DB6" w:rsidP="00273DB6">
      <w:pPr>
        <w:rPr>
          <w:rFonts w:cs="Arial"/>
        </w:rPr>
      </w:pPr>
    </w:p>
    <w:p w:rsidR="00273DB6" w:rsidRPr="009B196C" w:rsidRDefault="00DC4D5E" w:rsidP="00273DB6">
      <w:pPr>
        <w:pStyle w:val="Heading3"/>
        <w:rPr>
          <w:lang w:val="es-ES"/>
        </w:rPr>
      </w:pPr>
      <w:bookmarkStart w:id="66" w:name="_Toc492290073"/>
      <w:r w:rsidRPr="00DC4D5E">
        <w:rPr>
          <w:lang w:val="es-ES_tradnl"/>
        </w:rPr>
        <w:t>Grupo de Trabajo Técnico sobre Plantas Ornamentales y Árboles Forestales</w:t>
      </w:r>
      <w:bookmarkEnd w:id="66"/>
    </w:p>
    <w:p w:rsidR="00273DB6" w:rsidRDefault="00273DB6" w:rsidP="00273DB6">
      <w:pPr>
        <w:contextualSpacing/>
        <w:rPr>
          <w:rFonts w:cs="Arial"/>
        </w:rPr>
      </w:pPr>
    </w:p>
    <w:p w:rsidR="00273DB6" w:rsidRDefault="007D43C5" w:rsidP="00273DB6">
      <w:pPr>
        <w:rPr>
          <w:rFonts w:cs="Arial"/>
          <w:color w:val="000000" w:themeColor="text1"/>
        </w:rPr>
      </w:pPr>
      <w:r>
        <w:rPr>
          <w:rFonts w:cs="Arial"/>
          <w:color w:val="000000" w:themeColor="text1"/>
        </w:rPr>
        <w:fldChar w:fldCharType="begin"/>
      </w:r>
      <w:r w:rsidR="00273DB6">
        <w:rPr>
          <w:rFonts w:cs="Arial"/>
          <w:color w:val="000000" w:themeColor="text1"/>
        </w:rPr>
        <w:instrText xml:space="preserve"> AUTONUM  </w:instrText>
      </w:r>
      <w:r>
        <w:rPr>
          <w:rFonts w:cs="Arial"/>
          <w:color w:val="000000" w:themeColor="text1"/>
        </w:rPr>
        <w:fldChar w:fldCharType="end"/>
      </w:r>
      <w:r w:rsidR="00273DB6">
        <w:rPr>
          <w:rFonts w:cs="Arial"/>
          <w:color w:val="000000" w:themeColor="text1"/>
        </w:rPr>
        <w:tab/>
      </w:r>
      <w:r w:rsidR="00C0269F" w:rsidRPr="00C0269F">
        <w:rPr>
          <w:rFonts w:cs="Arial"/>
          <w:color w:val="000000" w:themeColor="text1"/>
        </w:rPr>
        <w:t>El TWO celebró su cuadragésima novena reunión en Gimcheon (República de Corea) del 13 al</w:t>
      </w:r>
      <w:r w:rsidR="007829E4">
        <w:rPr>
          <w:rFonts w:cs="Arial"/>
          <w:color w:val="000000" w:themeColor="text1"/>
        </w:rPr>
        <w:t> </w:t>
      </w:r>
      <w:r w:rsidR="007829E4" w:rsidRPr="00C0269F">
        <w:rPr>
          <w:rFonts w:cs="Arial"/>
          <w:color w:val="000000" w:themeColor="text1"/>
        </w:rPr>
        <w:t>1</w:t>
      </w:r>
      <w:r w:rsidR="00C0269F" w:rsidRPr="00C0269F">
        <w:rPr>
          <w:rFonts w:cs="Arial"/>
          <w:color w:val="000000" w:themeColor="text1"/>
        </w:rPr>
        <w:t>7 de junio de 2016</w:t>
      </w:r>
      <w:r w:rsidR="007829E4">
        <w:rPr>
          <w:rFonts w:cs="Arial"/>
          <w:color w:val="000000" w:themeColor="text1"/>
        </w:rPr>
        <w:t xml:space="preserve">, </w:t>
      </w:r>
      <w:r w:rsidR="00C0269F" w:rsidRPr="00C0269F">
        <w:rPr>
          <w:rFonts w:cs="Arial"/>
          <w:color w:val="000000" w:themeColor="text1"/>
        </w:rPr>
        <w:t>bajo la presidencia del Sr. Kenji Numaguchi (Japón).</w:t>
      </w:r>
      <w:r w:rsidR="00273DB6">
        <w:rPr>
          <w:rFonts w:cs="Arial"/>
          <w:color w:val="000000" w:themeColor="text1"/>
        </w:rPr>
        <w:t xml:space="preserve">  </w:t>
      </w:r>
      <w:r w:rsidR="00C0269F" w:rsidRPr="00C0269F">
        <w:rPr>
          <w:rFonts w:cs="Arial"/>
          <w:color w:val="000000" w:themeColor="text1"/>
        </w:rPr>
        <w:t>El informe de la reunión figura en el documento TWO/49/25 Rev. “</w:t>
      </w:r>
      <w:r w:rsidR="00C0269F" w:rsidRPr="009B196C">
        <w:rPr>
          <w:rFonts w:cs="Arial"/>
          <w:i/>
          <w:color w:val="000000" w:themeColor="text1"/>
          <w:lang w:val="es-ES"/>
        </w:rPr>
        <w:t>Revised Report</w:t>
      </w:r>
      <w:r w:rsidR="00C0269F" w:rsidRPr="00C0269F">
        <w:rPr>
          <w:rFonts w:cs="Arial"/>
          <w:color w:val="000000" w:themeColor="text1"/>
        </w:rPr>
        <w:t>” (Informe revisado).</w:t>
      </w:r>
      <w:r w:rsidR="00273DB6">
        <w:rPr>
          <w:rFonts w:cs="Arial"/>
          <w:color w:val="000000" w:themeColor="text1"/>
        </w:rPr>
        <w:t xml:space="preserve"> </w:t>
      </w:r>
    </w:p>
    <w:p w:rsidR="00273DB6" w:rsidRDefault="00273DB6" w:rsidP="00273DB6">
      <w:pPr>
        <w:rPr>
          <w:rFonts w:cs="Arial"/>
          <w:color w:val="000000" w:themeColor="text1"/>
        </w:rPr>
      </w:pPr>
    </w:p>
    <w:p w:rsidR="00273DB6" w:rsidRDefault="007D43C5" w:rsidP="00273DB6">
      <w:pPr>
        <w:rPr>
          <w:rFonts w:cs="Arial"/>
          <w:color w:val="000000" w:themeColor="text1"/>
        </w:rPr>
      </w:pPr>
      <w:r>
        <w:rPr>
          <w:rFonts w:cs="Arial"/>
          <w:color w:val="000000" w:themeColor="text1"/>
        </w:rPr>
        <w:fldChar w:fldCharType="begin"/>
      </w:r>
      <w:r w:rsidR="00273DB6">
        <w:rPr>
          <w:rFonts w:cs="Arial"/>
          <w:color w:val="000000" w:themeColor="text1"/>
        </w:rPr>
        <w:instrText xml:space="preserve"> AUTONUM  </w:instrText>
      </w:r>
      <w:r>
        <w:rPr>
          <w:rFonts w:cs="Arial"/>
          <w:color w:val="000000" w:themeColor="text1"/>
        </w:rPr>
        <w:fldChar w:fldCharType="end"/>
      </w:r>
      <w:r w:rsidR="00273DB6">
        <w:rPr>
          <w:rFonts w:cs="Arial"/>
          <w:color w:val="000000" w:themeColor="text1"/>
        </w:rPr>
        <w:tab/>
      </w:r>
      <w:r w:rsidR="00C0269F" w:rsidRPr="00C0269F">
        <w:rPr>
          <w:rFonts w:cs="Arial"/>
          <w:color w:val="000000" w:themeColor="text1"/>
        </w:rPr>
        <w:t>Asistieron a la reunión</w:t>
      </w:r>
      <w:r w:rsidR="007829E4">
        <w:rPr>
          <w:rFonts w:cs="Arial"/>
          <w:color w:val="000000" w:themeColor="text1"/>
        </w:rPr>
        <w:t> </w:t>
      </w:r>
      <w:r w:rsidR="007829E4" w:rsidRPr="00C0269F">
        <w:rPr>
          <w:rFonts w:cs="Arial"/>
          <w:color w:val="000000" w:themeColor="text1"/>
        </w:rPr>
        <w:t>5</w:t>
      </w:r>
      <w:r w:rsidR="00C0269F" w:rsidRPr="00C0269F">
        <w:rPr>
          <w:rFonts w:cs="Arial"/>
          <w:color w:val="000000" w:themeColor="text1"/>
        </w:rPr>
        <w:t>3 participantes de</w:t>
      </w:r>
      <w:r w:rsidR="007829E4">
        <w:rPr>
          <w:rFonts w:cs="Arial"/>
          <w:color w:val="000000" w:themeColor="text1"/>
        </w:rPr>
        <w:t> </w:t>
      </w:r>
      <w:r w:rsidR="007829E4" w:rsidRPr="00C0269F">
        <w:rPr>
          <w:rFonts w:cs="Arial"/>
          <w:color w:val="000000" w:themeColor="text1"/>
        </w:rPr>
        <w:t>1</w:t>
      </w:r>
      <w:r w:rsidR="00C0269F" w:rsidRPr="00C0269F">
        <w:rPr>
          <w:rFonts w:cs="Arial"/>
          <w:color w:val="000000" w:themeColor="text1"/>
        </w:rPr>
        <w:t>4 miembros de la Unión y una organización en calidad de observadora.</w:t>
      </w:r>
      <w:r w:rsidR="00273DB6" w:rsidRPr="00255FB3">
        <w:rPr>
          <w:rFonts w:cs="Arial"/>
          <w:color w:val="000000" w:themeColor="text1"/>
        </w:rPr>
        <w:t xml:space="preserve"> </w:t>
      </w:r>
      <w:r w:rsidR="00273DB6">
        <w:rPr>
          <w:rFonts w:cs="Arial"/>
          <w:color w:val="000000" w:themeColor="text1"/>
        </w:rPr>
        <w:t xml:space="preserve"> </w:t>
      </w:r>
      <w:r w:rsidR="00C0269F" w:rsidRPr="00C0269F">
        <w:rPr>
          <w:rFonts w:cs="Arial"/>
          <w:color w:val="000000" w:themeColor="text1"/>
        </w:rPr>
        <w:t>El taller preparatorio</w:t>
      </w:r>
      <w:r w:rsidR="007829E4">
        <w:rPr>
          <w:rFonts w:cs="Arial"/>
          <w:color w:val="000000" w:themeColor="text1"/>
        </w:rPr>
        <w:t xml:space="preserve">, </w:t>
      </w:r>
      <w:r w:rsidR="00C0269F" w:rsidRPr="00C0269F">
        <w:rPr>
          <w:rFonts w:cs="Arial"/>
          <w:color w:val="000000" w:themeColor="text1"/>
        </w:rPr>
        <w:t>que contó con</w:t>
      </w:r>
      <w:r w:rsidR="007829E4">
        <w:rPr>
          <w:rFonts w:cs="Arial"/>
          <w:color w:val="000000" w:themeColor="text1"/>
        </w:rPr>
        <w:t> </w:t>
      </w:r>
      <w:r w:rsidR="007829E4" w:rsidRPr="00C0269F">
        <w:rPr>
          <w:rFonts w:cs="Arial"/>
          <w:color w:val="000000" w:themeColor="text1"/>
        </w:rPr>
        <w:t>2</w:t>
      </w:r>
      <w:r w:rsidR="00C0269F" w:rsidRPr="00C0269F">
        <w:rPr>
          <w:rFonts w:cs="Arial"/>
          <w:color w:val="000000" w:themeColor="text1"/>
        </w:rPr>
        <w:t>9 participantes de</w:t>
      </w:r>
      <w:r w:rsidR="007829E4">
        <w:rPr>
          <w:rFonts w:cs="Arial"/>
          <w:color w:val="000000" w:themeColor="text1"/>
        </w:rPr>
        <w:t> </w:t>
      </w:r>
      <w:r w:rsidR="007829E4" w:rsidRPr="00C0269F">
        <w:rPr>
          <w:rFonts w:cs="Arial"/>
          <w:color w:val="000000" w:themeColor="text1"/>
        </w:rPr>
        <w:t>1</w:t>
      </w:r>
      <w:r w:rsidR="00C0269F" w:rsidRPr="00C0269F">
        <w:rPr>
          <w:rFonts w:cs="Arial"/>
          <w:color w:val="000000" w:themeColor="text1"/>
        </w:rPr>
        <w:t>1 miembros de la Unión y una organización en calidad de observadora</w:t>
      </w:r>
      <w:r w:rsidR="007829E4">
        <w:rPr>
          <w:rFonts w:cs="Arial"/>
          <w:color w:val="000000" w:themeColor="text1"/>
        </w:rPr>
        <w:t xml:space="preserve">, </w:t>
      </w:r>
      <w:r w:rsidR="00C0269F" w:rsidRPr="00C0269F">
        <w:rPr>
          <w:rFonts w:cs="Arial"/>
          <w:color w:val="000000" w:themeColor="text1"/>
        </w:rPr>
        <w:t>tuvo lugar el</w:t>
      </w:r>
      <w:r w:rsidR="007829E4">
        <w:rPr>
          <w:rFonts w:cs="Arial"/>
          <w:color w:val="000000" w:themeColor="text1"/>
        </w:rPr>
        <w:t> </w:t>
      </w:r>
      <w:r w:rsidR="007829E4" w:rsidRPr="00C0269F">
        <w:rPr>
          <w:rFonts w:cs="Arial"/>
          <w:color w:val="000000" w:themeColor="text1"/>
        </w:rPr>
        <w:t>1</w:t>
      </w:r>
      <w:r w:rsidR="00C0269F" w:rsidRPr="00C0269F">
        <w:rPr>
          <w:rFonts w:cs="Arial"/>
          <w:color w:val="000000" w:themeColor="text1"/>
        </w:rPr>
        <w:t>2 de junio de</w:t>
      </w:r>
      <w:r w:rsidR="007829E4">
        <w:rPr>
          <w:rFonts w:cs="Arial"/>
          <w:color w:val="000000" w:themeColor="text1"/>
        </w:rPr>
        <w:t> </w:t>
      </w:r>
      <w:r w:rsidR="007829E4" w:rsidRPr="00C0269F">
        <w:rPr>
          <w:rFonts w:cs="Arial"/>
          <w:color w:val="000000" w:themeColor="text1"/>
        </w:rPr>
        <w:t>2</w:t>
      </w:r>
      <w:r w:rsidR="00C0269F" w:rsidRPr="00C0269F">
        <w:rPr>
          <w:rFonts w:cs="Arial"/>
          <w:color w:val="000000" w:themeColor="text1"/>
        </w:rPr>
        <w:t>016 por la tarde.</w:t>
      </w:r>
      <w:r w:rsidR="00273DB6">
        <w:rPr>
          <w:rFonts w:cs="Arial"/>
          <w:color w:val="000000" w:themeColor="text1"/>
        </w:rPr>
        <w:t xml:space="preserve"> </w:t>
      </w:r>
    </w:p>
    <w:p w:rsidR="00273DB6" w:rsidRDefault="00273DB6" w:rsidP="00273DB6">
      <w:pPr>
        <w:rPr>
          <w:rFonts w:cstheme="minorBidi"/>
          <w:szCs w:val="22"/>
        </w:rPr>
      </w:pPr>
    </w:p>
    <w:p w:rsidR="00273DB6" w:rsidRPr="0061442A" w:rsidRDefault="007D43C5" w:rsidP="00273DB6">
      <w:pPr>
        <w:tabs>
          <w:tab w:val="left" w:pos="630"/>
        </w:tabs>
        <w:rPr>
          <w:rFonts w:cs="Arial"/>
          <w:color w:val="000000" w:themeColor="text1"/>
        </w:rPr>
      </w:pPr>
      <w:r>
        <w:rPr>
          <w:rFonts w:cs="Arial"/>
          <w:color w:val="000000" w:themeColor="text1"/>
        </w:rPr>
        <w:fldChar w:fldCharType="begin"/>
      </w:r>
      <w:r w:rsidR="00273DB6">
        <w:rPr>
          <w:rFonts w:cs="Arial"/>
          <w:color w:val="000000" w:themeColor="text1"/>
        </w:rPr>
        <w:instrText xml:space="preserve"> AUTONUM  </w:instrText>
      </w:r>
      <w:r>
        <w:rPr>
          <w:rFonts w:cs="Arial"/>
          <w:color w:val="000000" w:themeColor="text1"/>
        </w:rPr>
        <w:fldChar w:fldCharType="end"/>
      </w:r>
      <w:r w:rsidR="00273DB6">
        <w:rPr>
          <w:rFonts w:cs="Arial"/>
          <w:color w:val="000000" w:themeColor="text1"/>
        </w:rPr>
        <w:tab/>
      </w:r>
      <w:r w:rsidR="00937D31" w:rsidRPr="00937D31">
        <w:rPr>
          <w:rFonts w:cs="Arial"/>
          <w:color w:val="000000" w:themeColor="text1"/>
        </w:rPr>
        <w:t>Dio la bienvenida al TWO el Sr. Byeong Seok Oh</w:t>
      </w:r>
      <w:r w:rsidR="007829E4">
        <w:rPr>
          <w:rFonts w:cs="Arial"/>
          <w:color w:val="000000" w:themeColor="text1"/>
        </w:rPr>
        <w:t xml:space="preserve">, </w:t>
      </w:r>
      <w:r w:rsidR="00937D31" w:rsidRPr="00937D31">
        <w:rPr>
          <w:rFonts w:cs="Arial"/>
          <w:color w:val="000000" w:themeColor="text1"/>
        </w:rPr>
        <w:t>Director General del Servicio de Semillas y Variedades de Corea (KSVS)</w:t>
      </w:r>
      <w:r w:rsidR="007829E4">
        <w:rPr>
          <w:rFonts w:cs="Arial"/>
          <w:color w:val="000000" w:themeColor="text1"/>
        </w:rPr>
        <w:t xml:space="preserve">, </w:t>
      </w:r>
      <w:r w:rsidR="00937D31" w:rsidRPr="00937D31">
        <w:rPr>
          <w:rFonts w:cs="Arial"/>
          <w:color w:val="000000" w:themeColor="text1"/>
        </w:rPr>
        <w:t>quien también inauguró el vigésimo aniversario del Sistema de Protección de las Obtenciones Vegetales en la República de Corea en</w:t>
      </w:r>
      <w:r w:rsidR="007829E4">
        <w:rPr>
          <w:rFonts w:cs="Arial"/>
          <w:color w:val="000000" w:themeColor="text1"/>
        </w:rPr>
        <w:t> </w:t>
      </w:r>
      <w:r w:rsidR="007829E4" w:rsidRPr="00937D31">
        <w:rPr>
          <w:rFonts w:cs="Arial"/>
          <w:color w:val="000000" w:themeColor="text1"/>
        </w:rPr>
        <w:t>2</w:t>
      </w:r>
      <w:r w:rsidR="00937D31" w:rsidRPr="00937D31">
        <w:rPr>
          <w:rFonts w:cs="Arial"/>
          <w:color w:val="000000" w:themeColor="text1"/>
        </w:rPr>
        <w:t>017.</w:t>
      </w:r>
      <w:r w:rsidR="00642BCD" w:rsidRPr="00937D31">
        <w:rPr>
          <w:rFonts w:cs="Arial"/>
        </w:rPr>
        <w:t xml:space="preserve">  </w:t>
      </w:r>
      <w:r w:rsidR="00567815" w:rsidRPr="00567815">
        <w:rPr>
          <w:rFonts w:cs="Arial"/>
          <w:color w:val="000000" w:themeColor="text1"/>
        </w:rPr>
        <w:t>El TWO asistió a una ponencia sobre la protección de las obtenciones vegetales en la Repúbli</w:t>
      </w:r>
      <w:r w:rsidR="003A048E">
        <w:rPr>
          <w:rFonts w:cs="Arial"/>
          <w:color w:val="000000" w:themeColor="text1"/>
        </w:rPr>
        <w:t>ca de Corea a cargo del Sr. </w:t>
      </w:r>
      <w:proofErr w:type="spellStart"/>
      <w:r w:rsidR="003A048E">
        <w:rPr>
          <w:rFonts w:cs="Arial"/>
          <w:color w:val="000000" w:themeColor="text1"/>
        </w:rPr>
        <w:t>Moo</w:t>
      </w:r>
      <w:r w:rsidR="007D0EDE">
        <w:rPr>
          <w:rFonts w:cs="Arial"/>
          <w:color w:val="000000" w:themeColor="text1"/>
        </w:rPr>
        <w:t>-</w:t>
      </w:r>
      <w:r w:rsidR="00567815" w:rsidRPr="00567815">
        <w:rPr>
          <w:rFonts w:cs="Arial"/>
          <w:color w:val="000000" w:themeColor="text1"/>
        </w:rPr>
        <w:t>Kyung</w:t>
      </w:r>
      <w:proofErr w:type="spellEnd"/>
      <w:r w:rsidR="00567815" w:rsidRPr="00567815">
        <w:rPr>
          <w:rFonts w:cs="Arial"/>
          <w:color w:val="000000" w:themeColor="text1"/>
        </w:rPr>
        <w:t xml:space="preserve"> </w:t>
      </w:r>
      <w:proofErr w:type="spellStart"/>
      <w:r w:rsidR="00567815" w:rsidRPr="00567815">
        <w:rPr>
          <w:rFonts w:cs="Arial"/>
          <w:color w:val="000000" w:themeColor="text1"/>
        </w:rPr>
        <w:t>Yoon</w:t>
      </w:r>
      <w:proofErr w:type="spellEnd"/>
      <w:r w:rsidR="007829E4">
        <w:rPr>
          <w:rFonts w:cs="Arial"/>
          <w:color w:val="000000" w:themeColor="text1"/>
        </w:rPr>
        <w:t xml:space="preserve">, </w:t>
      </w:r>
      <w:r w:rsidR="00567815" w:rsidRPr="00567815">
        <w:rPr>
          <w:rFonts w:cs="Arial"/>
          <w:color w:val="000000" w:themeColor="text1"/>
        </w:rPr>
        <w:t>Director de la División de Protección de las Obtenciones Vegetales del KSVS</w:t>
      </w:r>
      <w:r w:rsidR="007829E4">
        <w:rPr>
          <w:rFonts w:cs="Arial"/>
          <w:color w:val="000000" w:themeColor="text1"/>
        </w:rPr>
        <w:t xml:space="preserve">, </w:t>
      </w:r>
      <w:r w:rsidR="00567815" w:rsidRPr="00567815">
        <w:rPr>
          <w:rFonts w:cs="Arial"/>
          <w:color w:val="000000" w:themeColor="text1"/>
        </w:rPr>
        <w:t>quien informó de las últimas novedades sobre la institución</w:t>
      </w:r>
      <w:r w:rsidR="007829E4">
        <w:rPr>
          <w:rFonts w:cs="Arial"/>
          <w:color w:val="000000" w:themeColor="text1"/>
        </w:rPr>
        <w:t xml:space="preserve">, </w:t>
      </w:r>
      <w:r w:rsidR="00567815" w:rsidRPr="00567815">
        <w:rPr>
          <w:rFonts w:cs="Arial"/>
          <w:color w:val="000000" w:themeColor="text1"/>
        </w:rPr>
        <w:t>su misión</w:t>
      </w:r>
      <w:r w:rsidR="007829E4">
        <w:rPr>
          <w:rFonts w:cs="Arial"/>
          <w:color w:val="000000" w:themeColor="text1"/>
        </w:rPr>
        <w:t xml:space="preserve">, </w:t>
      </w:r>
      <w:r w:rsidR="00567815" w:rsidRPr="00567815">
        <w:rPr>
          <w:rFonts w:cs="Arial"/>
          <w:color w:val="000000" w:themeColor="text1"/>
        </w:rPr>
        <w:t>historia y estadísticas del sistema de protección de las obtenciones vegetales en su país.</w:t>
      </w:r>
    </w:p>
    <w:p w:rsidR="00273DB6" w:rsidRPr="0061442A" w:rsidRDefault="00273DB6" w:rsidP="00273DB6"/>
    <w:p w:rsidR="00273DB6" w:rsidRDefault="007D43C5" w:rsidP="00273DB6">
      <w:pPr>
        <w:rPr>
          <w:rFonts w:cs="Arial"/>
          <w:snapToGrid w:val="0"/>
          <w:color w:val="000000"/>
        </w:rPr>
      </w:pPr>
      <w:r>
        <w:rPr>
          <w:rFonts w:cs="Arial"/>
          <w:snapToGrid w:val="0"/>
        </w:rPr>
        <w:fldChar w:fldCharType="begin"/>
      </w:r>
      <w:r w:rsidR="00273DB6">
        <w:rPr>
          <w:rFonts w:cs="Arial"/>
          <w:snapToGrid w:val="0"/>
        </w:rPr>
        <w:instrText xml:space="preserve"> AUTONUM  </w:instrText>
      </w:r>
      <w:r>
        <w:rPr>
          <w:rFonts w:cs="Arial"/>
          <w:snapToGrid w:val="0"/>
        </w:rPr>
        <w:fldChar w:fldCharType="end"/>
      </w:r>
      <w:r w:rsidR="00273DB6">
        <w:rPr>
          <w:rFonts w:cs="Arial"/>
          <w:snapToGrid w:val="0"/>
        </w:rPr>
        <w:tab/>
      </w:r>
      <w:r w:rsidR="00567815" w:rsidRPr="00567815">
        <w:rPr>
          <w:rFonts w:cs="Arial"/>
          <w:snapToGrid w:val="0"/>
        </w:rPr>
        <w:t>El TWO examinó el documento TWO/49/11 “</w:t>
      </w:r>
      <w:r w:rsidR="00567815" w:rsidRPr="009B196C">
        <w:rPr>
          <w:rFonts w:cs="Arial"/>
          <w:i/>
          <w:snapToGrid w:val="0"/>
          <w:lang w:val="es-ES"/>
        </w:rPr>
        <w:t>Revision of document TGP/8: Part II: Selected Techniques used in DUS Examination</w:t>
      </w:r>
      <w:r w:rsidR="007829E4" w:rsidRPr="009B196C">
        <w:rPr>
          <w:rFonts w:cs="Arial"/>
          <w:i/>
          <w:snapToGrid w:val="0"/>
          <w:lang w:val="es-ES"/>
        </w:rPr>
        <w:t xml:space="preserve">, </w:t>
      </w:r>
      <w:r w:rsidR="00567815" w:rsidRPr="009B196C">
        <w:rPr>
          <w:rFonts w:cs="Arial"/>
          <w:i/>
          <w:snapToGrid w:val="0"/>
          <w:lang w:val="es-ES"/>
        </w:rPr>
        <w:t>New Section: Examining DUS in Bulk Samples</w:t>
      </w:r>
      <w:r w:rsidR="00567815" w:rsidRPr="00567815">
        <w:rPr>
          <w:rFonts w:cs="Arial"/>
          <w:snapToGrid w:val="0"/>
        </w:rPr>
        <w:t>” (Revisión del documento TGP/8</w:t>
      </w:r>
      <w:r w:rsidR="007829E4">
        <w:rPr>
          <w:rFonts w:cs="Arial"/>
          <w:snapToGrid w:val="0"/>
        </w:rPr>
        <w:t xml:space="preserve">:  </w:t>
      </w:r>
      <w:r w:rsidR="00567815" w:rsidRPr="00567815">
        <w:rPr>
          <w:rFonts w:cs="Arial"/>
          <w:snapToGrid w:val="0"/>
        </w:rPr>
        <w:t>parte II</w:t>
      </w:r>
      <w:r w:rsidR="007829E4">
        <w:rPr>
          <w:rFonts w:cs="Arial"/>
          <w:snapToGrid w:val="0"/>
        </w:rPr>
        <w:t xml:space="preserve">:  </w:t>
      </w:r>
      <w:r w:rsidR="00567815" w:rsidRPr="00567815">
        <w:rPr>
          <w:rFonts w:cs="Arial"/>
          <w:snapToGrid w:val="0"/>
        </w:rPr>
        <w:t>Técnicas utilizadas en el examen DHE</w:t>
      </w:r>
      <w:r w:rsidR="007829E4">
        <w:rPr>
          <w:rFonts w:cs="Arial"/>
          <w:snapToGrid w:val="0"/>
        </w:rPr>
        <w:t xml:space="preserve">, </w:t>
      </w:r>
      <w:r w:rsidR="00567815" w:rsidRPr="00567815">
        <w:rPr>
          <w:rFonts w:cs="Arial"/>
          <w:snapToGrid w:val="0"/>
        </w:rPr>
        <w:t>nueva sección</w:t>
      </w:r>
      <w:r w:rsidR="007829E4">
        <w:rPr>
          <w:rFonts w:cs="Arial"/>
          <w:snapToGrid w:val="0"/>
        </w:rPr>
        <w:t xml:space="preserve">:  </w:t>
      </w:r>
      <w:r w:rsidR="00567815" w:rsidRPr="00567815">
        <w:rPr>
          <w:rFonts w:cs="Arial"/>
          <w:snapToGrid w:val="0"/>
        </w:rPr>
        <w:t>Examen DHE de muestras en bloque).</w:t>
      </w:r>
      <w:r w:rsidR="00642BCD">
        <w:rPr>
          <w:rFonts w:cs="Arial"/>
        </w:rPr>
        <w:t xml:space="preserve">  </w:t>
      </w:r>
      <w:r w:rsidR="00567815" w:rsidRPr="00567815">
        <w:rPr>
          <w:rFonts w:cs="Arial"/>
        </w:rPr>
        <w:t>El TWO tomó nota de la orientación propuesta en relación con el examen DHE de muestras en bloque que figura en el anexo del documento TWO/49/11</w:t>
      </w:r>
      <w:r w:rsidR="007829E4">
        <w:rPr>
          <w:rFonts w:cs="Arial"/>
        </w:rPr>
        <w:t xml:space="preserve">, </w:t>
      </w:r>
      <w:r w:rsidR="00567815" w:rsidRPr="00567815">
        <w:rPr>
          <w:rFonts w:cs="Arial"/>
        </w:rPr>
        <w:t>para su inclusión en una futura revisión del documento TGP/8.</w:t>
      </w:r>
      <w:r w:rsidR="00642BCD" w:rsidRPr="00567815">
        <w:rPr>
          <w:rFonts w:cs="Arial"/>
        </w:rPr>
        <w:t xml:space="preserve">  </w:t>
      </w:r>
      <w:r w:rsidR="00567815" w:rsidRPr="00DA6E9F">
        <w:rPr>
          <w:rFonts w:cs="Arial"/>
        </w:rPr>
        <w:t>El TWO examinó el método propuesto para determinar la uniformidad de plantas individuales de diferentes variedades a fin de validar un carácter antes de utilizarlo en el examen DHE y convino en que</w:t>
      </w:r>
      <w:r w:rsidR="007829E4">
        <w:rPr>
          <w:rFonts w:cs="Arial"/>
        </w:rPr>
        <w:t xml:space="preserve">, </w:t>
      </w:r>
      <w:r w:rsidR="00567815" w:rsidRPr="00DA6E9F">
        <w:rPr>
          <w:rFonts w:cs="Arial"/>
        </w:rPr>
        <w:t>para las plantas ornamentales de multiplicación vegetativa</w:t>
      </w:r>
      <w:r w:rsidR="007829E4">
        <w:rPr>
          <w:rFonts w:cs="Arial"/>
        </w:rPr>
        <w:t xml:space="preserve">, </w:t>
      </w:r>
      <w:r w:rsidR="00567815" w:rsidRPr="00DA6E9F">
        <w:rPr>
          <w:rFonts w:cs="Arial"/>
        </w:rPr>
        <w:t>el número de solicitudes por cultivo no sería suficiente para proporcionar datos interanuales de muchas de las variedades.</w:t>
      </w:r>
    </w:p>
    <w:p w:rsidR="00273DB6" w:rsidRPr="0061442A" w:rsidRDefault="00273DB6" w:rsidP="00273DB6">
      <w:pPr>
        <w:rPr>
          <w:rFonts w:cs="Arial"/>
          <w:snapToGrid w:val="0"/>
          <w:color w:val="000000"/>
        </w:rPr>
      </w:pPr>
    </w:p>
    <w:p w:rsidR="00273DB6" w:rsidRPr="0061442A" w:rsidRDefault="007D43C5" w:rsidP="00273DB6">
      <w:pPr>
        <w:rPr>
          <w:rFonts w:cs="Arial"/>
          <w:i/>
        </w:rPr>
      </w:pPr>
      <w:r>
        <w:rPr>
          <w:rFonts w:cs="Arial"/>
          <w:snapToGrid w:val="0"/>
          <w:color w:val="000000"/>
        </w:rPr>
        <w:fldChar w:fldCharType="begin"/>
      </w:r>
      <w:r w:rsidR="00273DB6">
        <w:rPr>
          <w:rFonts w:cs="Arial"/>
          <w:snapToGrid w:val="0"/>
          <w:color w:val="000000"/>
        </w:rPr>
        <w:instrText xml:space="preserve"> AUTONUM  </w:instrText>
      </w:r>
      <w:r>
        <w:rPr>
          <w:rFonts w:cs="Arial"/>
          <w:snapToGrid w:val="0"/>
          <w:color w:val="000000"/>
        </w:rPr>
        <w:fldChar w:fldCharType="end"/>
      </w:r>
      <w:r w:rsidR="00273DB6">
        <w:rPr>
          <w:rFonts w:cs="Arial"/>
          <w:snapToGrid w:val="0"/>
          <w:color w:val="000000"/>
        </w:rPr>
        <w:tab/>
      </w:r>
      <w:r w:rsidR="00DA6E9F" w:rsidRPr="00DA6E9F">
        <w:rPr>
          <w:rFonts w:cs="Arial"/>
          <w:snapToGrid w:val="0"/>
          <w:color w:val="000000"/>
        </w:rPr>
        <w:t>El TWO tomó nota de los informes de los miembros de la Unión sobre las experiencias en la evaluación de caracteres basados en componentes químicos y convino en la dificultad técnica y la repercusión en el costo de la obtención de una cantidad suficiente de ciertos componentes químicos para determinar la uniformidad en plantas individuales.</w:t>
      </w:r>
      <w:r w:rsidR="00642BCD">
        <w:rPr>
          <w:rFonts w:cs="Arial"/>
          <w:snapToGrid w:val="0"/>
          <w:color w:val="000000"/>
        </w:rPr>
        <w:t xml:space="preserve">  </w:t>
      </w:r>
      <w:r w:rsidR="00DA6E9F" w:rsidRPr="00DA6E9F">
        <w:rPr>
          <w:rFonts w:cs="Arial"/>
          <w:snapToGrid w:val="0"/>
          <w:color w:val="000000"/>
        </w:rPr>
        <w:t>El TWO convino en que los caracteres evaluados a partir de muestras en bloque pueden proporcionar información complementaria para el análisis de la distinción en la comparación directa de pares de variedades de ciertos cultivos y estuvo de acuerdo en que</w:t>
      </w:r>
      <w:r w:rsidR="007829E4">
        <w:rPr>
          <w:rFonts w:cs="Arial"/>
          <w:snapToGrid w:val="0"/>
          <w:color w:val="000000"/>
        </w:rPr>
        <w:t xml:space="preserve">, </w:t>
      </w:r>
      <w:r w:rsidR="00DA6E9F" w:rsidRPr="00DA6E9F">
        <w:rPr>
          <w:rFonts w:cs="Arial"/>
          <w:snapToGrid w:val="0"/>
          <w:color w:val="000000"/>
        </w:rPr>
        <w:t>en las futuras orientaciones</w:t>
      </w:r>
      <w:r w:rsidR="007829E4">
        <w:rPr>
          <w:rFonts w:cs="Arial"/>
          <w:snapToGrid w:val="0"/>
          <w:color w:val="000000"/>
        </w:rPr>
        <w:t xml:space="preserve">, </w:t>
      </w:r>
      <w:r w:rsidR="00DA6E9F" w:rsidRPr="00DA6E9F">
        <w:rPr>
          <w:rFonts w:cs="Arial"/>
          <w:snapToGrid w:val="0"/>
          <w:color w:val="000000"/>
        </w:rPr>
        <w:t>se deben establecer criterios para elegir entre los métodos enumerados en el anexo del documento TWO/49/11.</w:t>
      </w:r>
    </w:p>
    <w:p w:rsidR="00273DB6" w:rsidRPr="0061442A" w:rsidRDefault="00273DB6" w:rsidP="00273DB6"/>
    <w:p w:rsidR="00273DB6" w:rsidRPr="0061442A" w:rsidRDefault="007D43C5" w:rsidP="00273DB6">
      <w:pPr>
        <w:keepLines/>
        <w:rPr>
          <w:rFonts w:eastAsia="SimSun" w:cs="Arial"/>
          <w:lang w:eastAsia="zh-CN"/>
        </w:rPr>
      </w:pPr>
      <w:r>
        <w:rPr>
          <w:rFonts w:cs="Arial"/>
          <w:snapToGrid w:val="0"/>
        </w:rPr>
        <w:fldChar w:fldCharType="begin"/>
      </w:r>
      <w:r w:rsidR="00273DB6">
        <w:rPr>
          <w:rFonts w:cs="Arial"/>
          <w:snapToGrid w:val="0"/>
        </w:rPr>
        <w:instrText xml:space="preserve"> AUTONUM  </w:instrText>
      </w:r>
      <w:r>
        <w:rPr>
          <w:rFonts w:cs="Arial"/>
          <w:snapToGrid w:val="0"/>
        </w:rPr>
        <w:fldChar w:fldCharType="end"/>
      </w:r>
      <w:r w:rsidR="00273DB6">
        <w:rPr>
          <w:rFonts w:cs="Arial"/>
          <w:snapToGrid w:val="0"/>
        </w:rPr>
        <w:tab/>
      </w:r>
      <w:r w:rsidR="00DA6E9F" w:rsidRPr="00946127">
        <w:rPr>
          <w:rFonts w:cs="Arial"/>
          <w:snapToGrid w:val="0"/>
        </w:rPr>
        <w:t>El TWO examinó el proyecto de orientación que figura en el anexo I del documento TWO/49/13 “</w:t>
      </w:r>
      <w:r w:rsidR="00DA6E9F" w:rsidRPr="009B196C">
        <w:rPr>
          <w:rFonts w:cs="Arial"/>
          <w:i/>
          <w:snapToGrid w:val="0"/>
          <w:lang w:val="es-ES"/>
        </w:rPr>
        <w:t>Revision of document TGP/10: New section: Assessing uniformity by off-types on the basis of more than one growing cycle or on the basis of sub-samples</w:t>
      </w:r>
      <w:r w:rsidR="00DA6E9F" w:rsidRPr="00946127">
        <w:rPr>
          <w:rFonts w:cs="Arial"/>
          <w:snapToGrid w:val="0"/>
        </w:rPr>
        <w:t>” (Revisión del documento TGP/10</w:t>
      </w:r>
      <w:r w:rsidR="007829E4">
        <w:rPr>
          <w:rFonts w:cs="Arial"/>
          <w:snapToGrid w:val="0"/>
        </w:rPr>
        <w:t xml:space="preserve">:  </w:t>
      </w:r>
      <w:r w:rsidR="00946127" w:rsidRPr="00946127">
        <w:rPr>
          <w:rFonts w:cs="Arial"/>
          <w:snapToGrid w:val="0"/>
        </w:rPr>
        <w:t xml:space="preserve">nueva </w:t>
      </w:r>
      <w:r w:rsidR="00DA6E9F" w:rsidRPr="00946127">
        <w:rPr>
          <w:rFonts w:cs="Arial"/>
          <w:snapToGrid w:val="0"/>
        </w:rPr>
        <w:t>sección</w:t>
      </w:r>
      <w:r w:rsidR="007829E4">
        <w:rPr>
          <w:rFonts w:cs="Arial"/>
          <w:snapToGrid w:val="0"/>
        </w:rPr>
        <w:t xml:space="preserve">:  </w:t>
      </w:r>
      <w:r w:rsidR="00DA6E9F" w:rsidRPr="00946127">
        <w:rPr>
          <w:rFonts w:cs="Arial"/>
          <w:snapToGrid w:val="0"/>
        </w:rPr>
        <w:t>Evaluación de la homogeneidad sobre la base de las plantas fuera de tipo mediante la observación de más de un ciclo de cultivo o mediante la observación de submuestras) y convino en que se debía aclarar el término “evidente” (</w:t>
      </w:r>
      <w:r w:rsidR="00DA6E9F" w:rsidRPr="009B196C">
        <w:rPr>
          <w:rFonts w:cs="Arial"/>
          <w:i/>
          <w:snapToGrid w:val="0"/>
          <w:lang w:val="es-ES"/>
        </w:rPr>
        <w:t>clear</w:t>
      </w:r>
      <w:r w:rsidR="00946127" w:rsidRPr="00946127">
        <w:rPr>
          <w:rFonts w:cs="Arial"/>
          <w:snapToGrid w:val="0"/>
        </w:rPr>
        <w:t>) en la frase:</w:t>
      </w:r>
      <w:r w:rsidR="00273DB6" w:rsidRPr="0061442A">
        <w:rPr>
          <w:rFonts w:cs="Arial"/>
        </w:rPr>
        <w:t xml:space="preserve"> </w:t>
      </w:r>
      <w:r w:rsidR="00946127" w:rsidRPr="00946127">
        <w:rPr>
          <w:rFonts w:eastAsia="SimSun" w:cs="Arial"/>
          <w:lang w:eastAsia="zh-CN"/>
        </w:rPr>
        <w:t>“Además</w:t>
      </w:r>
      <w:r w:rsidR="007829E4">
        <w:rPr>
          <w:rFonts w:eastAsia="SimSun" w:cs="Arial"/>
          <w:lang w:eastAsia="zh-CN"/>
        </w:rPr>
        <w:t xml:space="preserve">, </w:t>
      </w:r>
      <w:r w:rsidR="00946127" w:rsidRPr="00946127">
        <w:rPr>
          <w:rFonts w:eastAsia="SimSun" w:cs="Arial"/>
          <w:lang w:eastAsia="zh-CN"/>
        </w:rPr>
        <w:t>es posible rechazar una variedad tras un único ciclo de cultivo debido a una falta evidente de homogeneidad”.</w:t>
      </w:r>
      <w:r w:rsidR="00273DB6" w:rsidRPr="0061442A">
        <w:rPr>
          <w:rFonts w:eastAsia="SimSun" w:cs="Arial"/>
          <w:lang w:eastAsia="zh-CN"/>
        </w:rPr>
        <w:t xml:space="preserve">  </w:t>
      </w:r>
      <w:r w:rsidR="00946127" w:rsidRPr="00946127">
        <w:rPr>
          <w:rFonts w:eastAsia="SimSun" w:cs="Arial"/>
          <w:lang w:eastAsia="zh-CN"/>
        </w:rPr>
        <w:t>El TWO convino en proponer la siguiente redacción para la frase de los métodos</w:t>
      </w:r>
      <w:r w:rsidR="007829E4">
        <w:rPr>
          <w:rFonts w:eastAsia="SimSun" w:cs="Arial"/>
          <w:lang w:eastAsia="zh-CN"/>
        </w:rPr>
        <w:t> </w:t>
      </w:r>
      <w:r w:rsidR="007829E4" w:rsidRPr="00946127">
        <w:rPr>
          <w:rFonts w:eastAsia="SimSun" w:cs="Arial"/>
          <w:lang w:eastAsia="zh-CN"/>
        </w:rPr>
        <w:t>1</w:t>
      </w:r>
      <w:r w:rsidR="00946127" w:rsidRPr="00946127">
        <w:rPr>
          <w:rFonts w:eastAsia="SimSun" w:cs="Arial"/>
          <w:lang w:eastAsia="zh-CN"/>
        </w:rPr>
        <w:t xml:space="preserve"> y</w:t>
      </w:r>
      <w:r w:rsidR="007829E4">
        <w:rPr>
          <w:rFonts w:eastAsia="SimSun" w:cs="Arial"/>
          <w:lang w:eastAsia="zh-CN"/>
        </w:rPr>
        <w:t> </w:t>
      </w:r>
      <w:r w:rsidR="007829E4" w:rsidRPr="00946127">
        <w:rPr>
          <w:rFonts w:eastAsia="SimSun" w:cs="Arial"/>
          <w:lang w:eastAsia="zh-CN"/>
        </w:rPr>
        <w:t>2</w:t>
      </w:r>
      <w:r w:rsidR="00946127" w:rsidRPr="00946127">
        <w:rPr>
          <w:rFonts w:eastAsia="SimSun" w:cs="Arial"/>
          <w:lang w:eastAsia="zh-CN"/>
        </w:rPr>
        <w:t>:</w:t>
      </w:r>
      <w:r w:rsidR="00273DB6" w:rsidRPr="0061442A">
        <w:rPr>
          <w:rFonts w:eastAsia="SimSun" w:cs="Arial"/>
          <w:lang w:eastAsia="zh-CN"/>
        </w:rPr>
        <w:t xml:space="preserve"> </w:t>
      </w:r>
    </w:p>
    <w:p w:rsidR="00273DB6" w:rsidRPr="0061442A" w:rsidRDefault="00273DB6" w:rsidP="00273DB6">
      <w:pPr>
        <w:rPr>
          <w:rFonts w:eastAsia="SimSun" w:cs="Arial"/>
          <w:lang w:eastAsia="zh-CN"/>
        </w:rPr>
      </w:pPr>
    </w:p>
    <w:p w:rsidR="00273DB6" w:rsidRPr="00193E4F" w:rsidRDefault="00946127" w:rsidP="00273DB6">
      <w:pPr>
        <w:ind w:left="567" w:right="567"/>
        <w:rPr>
          <w:rFonts w:eastAsia="SimSun" w:cs="Arial"/>
          <w:sz w:val="18"/>
          <w:lang w:eastAsia="zh-CN"/>
        </w:rPr>
      </w:pPr>
      <w:r w:rsidRPr="00946127">
        <w:rPr>
          <w:rFonts w:eastAsia="SimSun" w:cs="Arial"/>
          <w:sz w:val="18"/>
          <w:lang w:eastAsia="zh-CN"/>
        </w:rPr>
        <w:t>“Además</w:t>
      </w:r>
      <w:r w:rsidR="007829E4">
        <w:rPr>
          <w:rFonts w:eastAsia="SimSun" w:cs="Arial"/>
          <w:sz w:val="18"/>
          <w:lang w:eastAsia="zh-CN"/>
        </w:rPr>
        <w:t xml:space="preserve">, </w:t>
      </w:r>
      <w:r w:rsidRPr="00946127">
        <w:rPr>
          <w:rFonts w:eastAsia="SimSun" w:cs="Arial"/>
          <w:sz w:val="18"/>
          <w:lang w:eastAsia="zh-CN"/>
        </w:rPr>
        <w:t>si una variedad supera en el primer ciclo de cultivo el número de plantas fuera de tipo permitido para dos ciclos de cultivo</w:t>
      </w:r>
      <w:r w:rsidR="007829E4">
        <w:rPr>
          <w:rFonts w:eastAsia="SimSun" w:cs="Arial"/>
          <w:sz w:val="18"/>
          <w:lang w:eastAsia="zh-CN"/>
        </w:rPr>
        <w:t xml:space="preserve">, </w:t>
      </w:r>
      <w:r w:rsidRPr="00946127">
        <w:rPr>
          <w:rFonts w:eastAsia="SimSun" w:cs="Arial"/>
          <w:sz w:val="18"/>
          <w:lang w:eastAsia="zh-CN"/>
        </w:rPr>
        <w:t>podrá rechazarse la variedad tras un único ciclo de cultivo”.</w:t>
      </w:r>
    </w:p>
    <w:p w:rsidR="00273DB6" w:rsidRPr="0061442A" w:rsidRDefault="00273DB6" w:rsidP="00273DB6">
      <w:pPr>
        <w:rPr>
          <w:rFonts w:eastAsia="SimSun" w:cs="Arial"/>
          <w:lang w:eastAsia="zh-CN"/>
        </w:rPr>
      </w:pPr>
    </w:p>
    <w:p w:rsidR="00273DB6" w:rsidRPr="0061442A" w:rsidRDefault="007D43C5" w:rsidP="00273DB6">
      <w:pPr>
        <w:rPr>
          <w:rFonts w:eastAsia="SimSun" w:cs="Arial"/>
          <w:lang w:eastAsia="zh-CN"/>
        </w:rPr>
      </w:pPr>
      <w:r>
        <w:rPr>
          <w:rFonts w:eastAsia="SimSun" w:cs="Arial"/>
          <w:lang w:eastAsia="zh-CN"/>
        </w:rPr>
        <w:fldChar w:fldCharType="begin"/>
      </w:r>
      <w:r w:rsidR="00273DB6">
        <w:rPr>
          <w:rFonts w:eastAsia="SimSun" w:cs="Arial"/>
          <w:lang w:eastAsia="zh-CN"/>
        </w:rPr>
        <w:instrText xml:space="preserve"> AUTONUM  </w:instrText>
      </w:r>
      <w:r>
        <w:rPr>
          <w:rFonts w:eastAsia="SimSun" w:cs="Arial"/>
          <w:lang w:eastAsia="zh-CN"/>
        </w:rPr>
        <w:fldChar w:fldCharType="end"/>
      </w:r>
      <w:r w:rsidR="00273DB6">
        <w:rPr>
          <w:rFonts w:eastAsia="SimSun" w:cs="Arial"/>
          <w:lang w:eastAsia="zh-CN"/>
        </w:rPr>
        <w:tab/>
      </w:r>
      <w:r w:rsidR="004723E2" w:rsidRPr="004C2AD5">
        <w:rPr>
          <w:rFonts w:eastAsia="SimSun" w:cs="Arial"/>
          <w:lang w:eastAsia="zh-CN"/>
        </w:rPr>
        <w:t>El TWO convino en que se debe aclarar en el proyecto de orientación si se supone que se evaluarán dos ciclos de cultivo con el material de una sola presentación realizada por el obtentor (p. ej. semillas del mismo lote).</w:t>
      </w:r>
    </w:p>
    <w:p w:rsidR="00273DB6" w:rsidRPr="0061442A" w:rsidRDefault="00273DB6" w:rsidP="00273DB6"/>
    <w:p w:rsidR="00273DB6" w:rsidRPr="0061442A" w:rsidRDefault="007D43C5" w:rsidP="00273DB6">
      <w:pPr>
        <w:rPr>
          <w:rFonts w:cs="Arial"/>
          <w:snapToGrid w:val="0"/>
        </w:rPr>
      </w:pPr>
      <w:r>
        <w:rPr>
          <w:rFonts w:cs="Arial"/>
        </w:rPr>
        <w:fldChar w:fldCharType="begin"/>
      </w:r>
      <w:r w:rsidR="00273DB6">
        <w:rPr>
          <w:rFonts w:cs="Arial"/>
        </w:rPr>
        <w:instrText xml:space="preserve"> AUTONUM  </w:instrText>
      </w:r>
      <w:r>
        <w:rPr>
          <w:rFonts w:cs="Arial"/>
        </w:rPr>
        <w:fldChar w:fldCharType="end"/>
      </w:r>
      <w:r w:rsidR="00273DB6">
        <w:rPr>
          <w:rFonts w:cs="Arial"/>
        </w:rPr>
        <w:tab/>
      </w:r>
      <w:r w:rsidR="004C2AD5" w:rsidRPr="004C2AD5">
        <w:rPr>
          <w:rFonts w:cs="Arial"/>
        </w:rPr>
        <w:t>El TWO examinó una ponencia a cargo de la Oficina de la Unión sobre las guías para las distintas funciones de usuario de la plantilla en Internet de los documentos TG.</w:t>
      </w:r>
      <w:r w:rsidR="00642BCD">
        <w:rPr>
          <w:rFonts w:cs="Arial"/>
        </w:rPr>
        <w:t xml:space="preserve">  </w:t>
      </w:r>
      <w:r w:rsidR="004C2AD5" w:rsidRPr="004C2AD5">
        <w:rPr>
          <w:rFonts w:cs="Arial"/>
        </w:rPr>
        <w:t>El TWO convino en que las guías deben seguir elaborándose a fin de incorporar las últimas observaciones remitidas por los usuarios de la plantilla en Internet de los documentos TG.</w:t>
      </w:r>
      <w:r w:rsidR="00273DB6" w:rsidRPr="0061442A">
        <w:rPr>
          <w:rFonts w:cs="Arial"/>
        </w:rPr>
        <w:t xml:space="preserve">  </w:t>
      </w:r>
      <w:r w:rsidR="004C2AD5" w:rsidRPr="004C2AD5">
        <w:rPr>
          <w:rFonts w:cs="Arial"/>
        </w:rPr>
        <w:t>El TWO convino asimismo en que las guías han de estar disponibles en la página web para los redactores de directrices de examen y en que debe incluirse un enlace en la página web de la plantilla en Internet de los documentos TG.</w:t>
      </w:r>
      <w:r w:rsidR="00642BCD">
        <w:rPr>
          <w:rFonts w:cs="Arial"/>
        </w:rPr>
        <w:t xml:space="preserve">  </w:t>
      </w:r>
      <w:r w:rsidR="004C2AD5" w:rsidRPr="004C2AD5">
        <w:rPr>
          <w:rFonts w:cs="Arial"/>
          <w:snapToGrid w:val="0"/>
        </w:rPr>
        <w:t>El TWO acogió con agrado la versión</w:t>
      </w:r>
      <w:r w:rsidR="007829E4">
        <w:rPr>
          <w:rFonts w:cs="Arial"/>
          <w:snapToGrid w:val="0"/>
        </w:rPr>
        <w:t> </w:t>
      </w:r>
      <w:r w:rsidR="007829E4" w:rsidRPr="004C2AD5">
        <w:rPr>
          <w:rFonts w:cs="Arial"/>
          <w:snapToGrid w:val="0"/>
        </w:rPr>
        <w:t>1</w:t>
      </w:r>
      <w:r w:rsidR="004C2AD5" w:rsidRPr="004C2AD5">
        <w:rPr>
          <w:rFonts w:cs="Arial"/>
          <w:snapToGrid w:val="0"/>
        </w:rPr>
        <w:t xml:space="preserve"> de la plantilla en Internet de los documentos TG y propuso que se aborden las cuestiones siguientes:</w:t>
      </w:r>
    </w:p>
    <w:p w:rsidR="00273DB6" w:rsidRPr="0061442A" w:rsidRDefault="00273DB6" w:rsidP="00273DB6">
      <w:pPr>
        <w:rPr>
          <w:rFonts w:cs="Arial"/>
          <w:snapToGrid w:val="0"/>
        </w:rPr>
      </w:pPr>
    </w:p>
    <w:p w:rsidR="00273DB6" w:rsidRPr="009B196C" w:rsidRDefault="004C2AD5" w:rsidP="00273DB6">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lang w:val="es-ES"/>
        </w:rPr>
      </w:pPr>
      <w:r w:rsidRPr="004C2AD5">
        <w:rPr>
          <w:rFonts w:ascii="Arial" w:hAnsi="Arial" w:cs="Arial"/>
          <w:snapToGrid w:val="0"/>
          <w:sz w:val="20"/>
          <w:szCs w:val="20"/>
          <w:lang w:val="es-ES_tradnl"/>
        </w:rPr>
        <w:t>lograr que las actualizaciones que el experto principal efectúe en el archivo de exportación se visualicen inmediatamente;</w:t>
      </w:r>
      <w:r w:rsidR="00273DB6" w:rsidRPr="009B196C">
        <w:rPr>
          <w:rFonts w:ascii="Arial" w:hAnsi="Arial" w:cs="Arial"/>
          <w:snapToGrid w:val="0"/>
          <w:sz w:val="20"/>
          <w:szCs w:val="20"/>
          <w:lang w:val="es-ES"/>
        </w:rPr>
        <w:t xml:space="preserve"> </w:t>
      </w:r>
    </w:p>
    <w:p w:rsidR="00273DB6" w:rsidRPr="009B196C" w:rsidRDefault="004C2AD5" w:rsidP="00273DB6">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lang w:val="es-ES"/>
        </w:rPr>
      </w:pPr>
      <w:r w:rsidRPr="004C2AD5">
        <w:rPr>
          <w:rFonts w:ascii="Arial" w:hAnsi="Arial" w:cs="Arial"/>
          <w:sz w:val="20"/>
          <w:szCs w:val="20"/>
          <w:lang w:val="es-ES_tradnl"/>
        </w:rPr>
        <w:t>mejorar la disponibilidad de las guías en Internet (por ejemplo</w:t>
      </w:r>
      <w:r w:rsidR="007829E4">
        <w:rPr>
          <w:rFonts w:ascii="Arial" w:hAnsi="Arial" w:cs="Arial"/>
          <w:sz w:val="20"/>
          <w:szCs w:val="20"/>
          <w:lang w:val="es-ES_tradnl"/>
        </w:rPr>
        <w:t xml:space="preserve">, </w:t>
      </w:r>
      <w:r w:rsidRPr="004C2AD5">
        <w:rPr>
          <w:rFonts w:ascii="Arial" w:hAnsi="Arial" w:cs="Arial"/>
          <w:sz w:val="20"/>
          <w:szCs w:val="20"/>
          <w:lang w:val="es-ES_tradnl"/>
        </w:rPr>
        <w:t>mediante un enlace en la página web para los redactores de directrices de examen y en la plantilla en Internet de los documentos TG);</w:t>
      </w:r>
    </w:p>
    <w:p w:rsidR="00273DB6" w:rsidRPr="009B196C" w:rsidRDefault="004C2AD5" w:rsidP="00273DB6">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lang w:val="es-ES"/>
        </w:rPr>
      </w:pPr>
      <w:r w:rsidRPr="004C2AD5">
        <w:rPr>
          <w:rFonts w:ascii="Arial" w:hAnsi="Arial" w:cs="Arial"/>
          <w:sz w:val="20"/>
          <w:szCs w:val="20"/>
          <w:lang w:val="es-ES_tradnl"/>
        </w:rPr>
        <w:t>poner a disposición las directrices de examen para que los expertos principales puedan redactarlas lo antes posible tras la reunión del TWP;</w:t>
      </w:r>
    </w:p>
    <w:p w:rsidR="00273DB6" w:rsidRPr="009B196C" w:rsidRDefault="004C2AD5" w:rsidP="00273DB6">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lang w:val="es-ES"/>
        </w:rPr>
      </w:pPr>
      <w:r w:rsidRPr="004C2AD5">
        <w:rPr>
          <w:rFonts w:ascii="Arial" w:hAnsi="Arial" w:cs="Arial"/>
          <w:sz w:val="20"/>
          <w:szCs w:val="20"/>
          <w:lang w:val="es-ES_tradnl"/>
        </w:rPr>
        <w:t>añadir un acceso directo al cuadro de diálogo de impresión;</w:t>
      </w:r>
    </w:p>
    <w:p w:rsidR="00273DB6" w:rsidRPr="009B196C" w:rsidRDefault="004C2AD5" w:rsidP="00273DB6">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lang w:val="es-ES"/>
        </w:rPr>
      </w:pPr>
      <w:r w:rsidRPr="00621FBD">
        <w:rPr>
          <w:rFonts w:ascii="Arial" w:hAnsi="Arial" w:cs="Arial"/>
          <w:sz w:val="20"/>
          <w:szCs w:val="20"/>
          <w:lang w:val="es-ES_tradnl"/>
        </w:rPr>
        <w:t>poder modificar los comentarios de los expertos interesados sin que desaparezca el texto escrito previamente;</w:t>
      </w:r>
    </w:p>
    <w:p w:rsidR="00A62CD4" w:rsidRPr="009B196C" w:rsidRDefault="000A36CF" w:rsidP="00A62CD4">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lang w:val="es-ES"/>
        </w:rPr>
      </w:pPr>
      <w:r w:rsidRPr="000A36CF">
        <w:rPr>
          <w:rFonts w:ascii="Arial" w:hAnsi="Arial" w:cs="Arial"/>
          <w:sz w:val="20"/>
          <w:szCs w:val="20"/>
          <w:lang w:val="es-ES_tradnl"/>
        </w:rPr>
        <w:t>generar un mensaje de confirmación cada vez que los expertos interesados introduzcan un comentario;</w:t>
      </w:r>
    </w:p>
    <w:p w:rsidR="00A62CD4" w:rsidRPr="009B196C" w:rsidRDefault="000A36CF" w:rsidP="00A62CD4">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lang w:val="es-ES"/>
        </w:rPr>
      </w:pPr>
      <w:r w:rsidRPr="000A36CF">
        <w:rPr>
          <w:rFonts w:ascii="Arial" w:hAnsi="Arial" w:cs="Arial"/>
          <w:sz w:val="20"/>
          <w:szCs w:val="20"/>
          <w:lang w:val="es-ES_tradnl"/>
        </w:rPr>
        <w:t>mejorar el formato de la sección 5 del cuestionario técnico para aclarar que</w:t>
      </w:r>
      <w:r w:rsidR="007829E4">
        <w:rPr>
          <w:rFonts w:ascii="Arial" w:hAnsi="Arial" w:cs="Arial"/>
          <w:sz w:val="20"/>
          <w:szCs w:val="20"/>
          <w:lang w:val="es-ES_tradnl"/>
        </w:rPr>
        <w:t xml:space="preserve">, </w:t>
      </w:r>
      <w:r w:rsidRPr="000A36CF">
        <w:rPr>
          <w:rFonts w:ascii="Arial" w:hAnsi="Arial" w:cs="Arial"/>
          <w:sz w:val="20"/>
          <w:szCs w:val="20"/>
          <w:lang w:val="es-ES_tradnl"/>
        </w:rPr>
        <w:t>en los caracteres relativos al color</w:t>
      </w:r>
      <w:r w:rsidR="007829E4">
        <w:rPr>
          <w:rFonts w:ascii="Arial" w:hAnsi="Arial" w:cs="Arial"/>
          <w:sz w:val="20"/>
          <w:szCs w:val="20"/>
          <w:lang w:val="es-ES_tradnl"/>
        </w:rPr>
        <w:t xml:space="preserve">, </w:t>
      </w:r>
      <w:r w:rsidRPr="000A36CF">
        <w:rPr>
          <w:rFonts w:ascii="Arial" w:hAnsi="Arial" w:cs="Arial"/>
          <w:sz w:val="20"/>
          <w:szCs w:val="20"/>
          <w:lang w:val="es-ES_tradnl"/>
        </w:rPr>
        <w:t>el solicitante puede indicar el número de la carta de colores RHS o seleccionar el grupo de color correspondiente en una lista de grupos de color;</w:t>
      </w:r>
    </w:p>
    <w:p w:rsidR="00A62CD4" w:rsidRPr="009B196C" w:rsidRDefault="000A36CF" w:rsidP="00A62CD4">
      <w:pPr>
        <w:pStyle w:val="ListParagraph"/>
        <w:numPr>
          <w:ilvl w:val="0"/>
          <w:numId w:val="5"/>
        </w:numPr>
        <w:tabs>
          <w:tab w:val="left" w:pos="1134"/>
        </w:tabs>
        <w:spacing w:after="0" w:line="240" w:lineRule="auto"/>
        <w:ind w:left="1134" w:hanging="567"/>
        <w:contextualSpacing w:val="0"/>
        <w:jc w:val="both"/>
        <w:rPr>
          <w:rFonts w:ascii="Arial" w:hAnsi="Arial" w:cs="Arial"/>
          <w:sz w:val="20"/>
          <w:szCs w:val="20"/>
          <w:lang w:val="es-ES"/>
        </w:rPr>
      </w:pPr>
      <w:r w:rsidRPr="000A36CF">
        <w:rPr>
          <w:rFonts w:ascii="Arial" w:hAnsi="Arial" w:cs="Arial"/>
          <w:sz w:val="20"/>
          <w:szCs w:val="20"/>
          <w:lang w:val="es-ES_tradnl"/>
        </w:rPr>
        <w:t>ajustar el texto estándar del material vegetal que se entrega en forma de cormos:</w:t>
      </w:r>
      <w:r w:rsidR="00A62CD4" w:rsidRPr="009B196C">
        <w:rPr>
          <w:rFonts w:ascii="Arial" w:hAnsi="Arial" w:cs="Arial"/>
          <w:sz w:val="20"/>
          <w:szCs w:val="20"/>
          <w:lang w:val="es-ES"/>
        </w:rPr>
        <w:t xml:space="preserve"> </w:t>
      </w:r>
      <w:r w:rsidRPr="000A36CF">
        <w:rPr>
          <w:rFonts w:ascii="Arial" w:eastAsia="Arial" w:hAnsi="Arial" w:cs="Arial"/>
          <w:color w:val="000000"/>
          <w:sz w:val="20"/>
          <w:szCs w:val="20"/>
          <w:lang w:val="es-ES_tradnl"/>
        </w:rPr>
        <w:t xml:space="preserve">“El material se entregará en forma de cormos capaces de </w:t>
      </w:r>
      <w:r w:rsidRPr="000A36CF">
        <w:rPr>
          <w:rFonts w:ascii="Arial" w:eastAsia="Arial" w:hAnsi="Arial" w:cs="Arial"/>
          <w:color w:val="000000"/>
          <w:sz w:val="20"/>
          <w:szCs w:val="20"/>
          <w:u w:val="single"/>
          <w:lang w:val="es-ES_tradnl"/>
        </w:rPr>
        <w:t>producir plantas</w:t>
      </w:r>
      <w:r w:rsidRPr="000A36CF">
        <w:rPr>
          <w:rFonts w:ascii="Arial" w:eastAsia="Arial" w:hAnsi="Arial" w:cs="Arial"/>
          <w:color w:val="000000"/>
          <w:sz w:val="20"/>
          <w:szCs w:val="20"/>
          <w:lang w:val="es-ES_tradnl"/>
        </w:rPr>
        <w:t xml:space="preserve"> que expresen todos sus caracteres en el primer año de examen.”</w:t>
      </w:r>
    </w:p>
    <w:p w:rsidR="00A62CD4" w:rsidRDefault="00A62CD4" w:rsidP="00A62CD4">
      <w:pPr>
        <w:rPr>
          <w:rFonts w:cs="Arial"/>
          <w:color w:val="000000" w:themeColor="text1"/>
        </w:rPr>
      </w:pPr>
    </w:p>
    <w:p w:rsidR="00273DB6" w:rsidRPr="00547E2B" w:rsidRDefault="007D43C5" w:rsidP="00273DB6">
      <w:pPr>
        <w:rPr>
          <w:rFonts w:cs="Arial"/>
        </w:rPr>
      </w:pPr>
      <w:r>
        <w:rPr>
          <w:rFonts w:cs="Arial"/>
          <w:snapToGrid w:val="0"/>
        </w:rPr>
        <w:fldChar w:fldCharType="begin"/>
      </w:r>
      <w:r w:rsidR="00273DB6">
        <w:rPr>
          <w:rFonts w:cs="Arial"/>
          <w:snapToGrid w:val="0"/>
        </w:rPr>
        <w:instrText xml:space="preserve"> AUTONUM  </w:instrText>
      </w:r>
      <w:r>
        <w:rPr>
          <w:rFonts w:cs="Arial"/>
          <w:snapToGrid w:val="0"/>
        </w:rPr>
        <w:fldChar w:fldCharType="end"/>
      </w:r>
      <w:r w:rsidR="00273DB6">
        <w:rPr>
          <w:rFonts w:cs="Arial"/>
          <w:snapToGrid w:val="0"/>
        </w:rPr>
        <w:tab/>
      </w:r>
      <w:r w:rsidR="003D6908" w:rsidRPr="003D6908">
        <w:rPr>
          <w:rFonts w:cs="Arial"/>
          <w:snapToGrid w:val="0"/>
        </w:rPr>
        <w:t>El TWO examinó el documento TWO/49/20 “</w:t>
      </w:r>
      <w:r w:rsidR="003D6908" w:rsidRPr="009B196C">
        <w:rPr>
          <w:rFonts w:cs="Arial"/>
          <w:i/>
          <w:snapToGrid w:val="0"/>
          <w:lang w:val="es-ES"/>
        </w:rPr>
        <w:t>Definition of color groups from RHS Colour Charts</w:t>
      </w:r>
      <w:r w:rsidR="003D6908" w:rsidRPr="003D6908">
        <w:rPr>
          <w:rFonts w:cs="Arial"/>
          <w:snapToGrid w:val="0"/>
        </w:rPr>
        <w:t>” (Definición de grupos de color en referencia a la carta de colores RHS).</w:t>
      </w:r>
      <w:r w:rsidR="00642BCD">
        <w:rPr>
          <w:rFonts w:cs="Arial"/>
        </w:rPr>
        <w:t xml:space="preserve">  </w:t>
      </w:r>
      <w:r w:rsidR="003D6908" w:rsidRPr="003D6908">
        <w:rPr>
          <w:rFonts w:cs="Arial"/>
        </w:rPr>
        <w:t>El TWO tuvo en cuenta que los nombres de los colores empleados en la sexta edición de la carta de colores RHS no siempre expresan la similitud de colores entre diferentes manchas.</w:t>
      </w:r>
      <w:r w:rsidR="00273DB6" w:rsidRPr="00547E2B">
        <w:rPr>
          <w:rFonts w:cs="Arial"/>
        </w:rPr>
        <w:t xml:space="preserve">  </w:t>
      </w:r>
      <w:r w:rsidR="00412A88" w:rsidRPr="006F5D4F">
        <w:rPr>
          <w:rFonts w:cs="Arial"/>
        </w:rPr>
        <w:t>El TWO tomó nota de que colores similares de la carta de colores RHS estaban comprendidos en el mismo grupo de color UPOV y convino en que el sistema actual de la UPOV era más adecuado a los efectos de la descripción de variedades.</w:t>
      </w:r>
      <w:r w:rsidR="00642BCD">
        <w:rPr>
          <w:rFonts w:cs="Arial"/>
        </w:rPr>
        <w:t xml:space="preserve">  </w:t>
      </w:r>
      <w:r w:rsidR="006F5D4F" w:rsidRPr="006F5D4F">
        <w:rPr>
          <w:rFonts w:cs="Arial"/>
        </w:rPr>
        <w:t>El TWO examinó los términos utilizados en los nombres de los colores de la sexta edición de la carta de colores RHS y convino en que no eran adecuados para emplearlos en el examen DHE y para elaborar descripciones de variedades (p. ej. “</w:t>
      </w:r>
      <w:r w:rsidR="006F5D4F" w:rsidRPr="009B196C">
        <w:rPr>
          <w:rFonts w:cs="Arial"/>
          <w:i/>
          <w:lang w:val="es-ES"/>
        </w:rPr>
        <w:t>pale</w:t>
      </w:r>
      <w:r w:rsidR="006F5D4F" w:rsidRPr="006F5D4F">
        <w:rPr>
          <w:rFonts w:cs="Arial"/>
        </w:rPr>
        <w:t>” (pálido)</w:t>
      </w:r>
      <w:r w:rsidR="007829E4">
        <w:rPr>
          <w:rFonts w:cs="Arial"/>
        </w:rPr>
        <w:t xml:space="preserve">, </w:t>
      </w:r>
      <w:r w:rsidR="006F5D4F" w:rsidRPr="006F5D4F">
        <w:rPr>
          <w:rFonts w:cs="Arial"/>
        </w:rPr>
        <w:t>“</w:t>
      </w:r>
      <w:r w:rsidR="006F5D4F" w:rsidRPr="009B196C">
        <w:rPr>
          <w:rFonts w:cs="Arial"/>
          <w:i/>
          <w:lang w:val="es-ES"/>
        </w:rPr>
        <w:t>moderate</w:t>
      </w:r>
      <w:r w:rsidR="006F5D4F" w:rsidRPr="006F5D4F">
        <w:rPr>
          <w:rFonts w:cs="Arial"/>
        </w:rPr>
        <w:t>” (moderado)</w:t>
      </w:r>
      <w:r w:rsidR="007829E4">
        <w:rPr>
          <w:rFonts w:cs="Arial"/>
        </w:rPr>
        <w:t xml:space="preserve">, </w:t>
      </w:r>
      <w:r w:rsidR="006F5D4F" w:rsidRPr="006F5D4F">
        <w:rPr>
          <w:rFonts w:cs="Arial"/>
        </w:rPr>
        <w:t>“</w:t>
      </w:r>
      <w:r w:rsidR="006F5D4F" w:rsidRPr="009B196C">
        <w:rPr>
          <w:rFonts w:cs="Arial"/>
          <w:i/>
          <w:lang w:val="es-ES"/>
        </w:rPr>
        <w:t>vivid</w:t>
      </w:r>
      <w:r w:rsidR="006F5D4F" w:rsidRPr="006F5D4F">
        <w:rPr>
          <w:rFonts w:cs="Arial"/>
        </w:rPr>
        <w:t>” (vivo)</w:t>
      </w:r>
      <w:r w:rsidR="007829E4">
        <w:rPr>
          <w:rFonts w:cs="Arial"/>
        </w:rPr>
        <w:t xml:space="preserve">, </w:t>
      </w:r>
      <w:r w:rsidR="006F5D4F" w:rsidRPr="006F5D4F">
        <w:rPr>
          <w:rFonts w:cs="Arial"/>
        </w:rPr>
        <w:t>“</w:t>
      </w:r>
      <w:r w:rsidR="006F5D4F" w:rsidRPr="009B196C">
        <w:rPr>
          <w:rFonts w:cs="Arial"/>
          <w:i/>
          <w:lang w:val="es-ES"/>
        </w:rPr>
        <w:t>brilliant</w:t>
      </w:r>
      <w:r w:rsidR="006F5D4F" w:rsidRPr="006F5D4F">
        <w:rPr>
          <w:rFonts w:cs="Arial"/>
        </w:rPr>
        <w:t>” (brillante)</w:t>
      </w:r>
      <w:r w:rsidR="007829E4">
        <w:rPr>
          <w:rFonts w:cs="Arial"/>
        </w:rPr>
        <w:t xml:space="preserve">, </w:t>
      </w:r>
      <w:r w:rsidR="006F5D4F" w:rsidRPr="006F5D4F">
        <w:rPr>
          <w:rFonts w:cs="Arial"/>
        </w:rPr>
        <w:t>“</w:t>
      </w:r>
      <w:r w:rsidR="006F5D4F" w:rsidRPr="009B196C">
        <w:rPr>
          <w:rFonts w:cs="Arial"/>
          <w:i/>
          <w:lang w:val="es-ES"/>
        </w:rPr>
        <w:t>deep</w:t>
      </w:r>
      <w:r w:rsidR="006F5D4F" w:rsidRPr="006F5D4F">
        <w:rPr>
          <w:rFonts w:cs="Arial"/>
        </w:rPr>
        <w:t>” (oscuro) y “</w:t>
      </w:r>
      <w:r w:rsidR="006F5D4F" w:rsidRPr="009B196C">
        <w:rPr>
          <w:rFonts w:cs="Arial"/>
          <w:i/>
          <w:lang w:val="es-ES"/>
        </w:rPr>
        <w:t>strong</w:t>
      </w:r>
      <w:r w:rsidR="006F5D4F" w:rsidRPr="006F5D4F">
        <w:rPr>
          <w:rFonts w:cs="Arial"/>
        </w:rPr>
        <w:t>” (intenso)).</w:t>
      </w:r>
    </w:p>
    <w:p w:rsidR="00273DB6" w:rsidRPr="00547E2B" w:rsidRDefault="00273DB6" w:rsidP="00273DB6"/>
    <w:p w:rsidR="00273DB6" w:rsidRPr="0061442A" w:rsidRDefault="007D43C5" w:rsidP="00273DB6">
      <w:pPr>
        <w:rPr>
          <w:rFonts w:cs="Arial"/>
        </w:rPr>
      </w:pPr>
      <w:r w:rsidRPr="00547E2B">
        <w:rPr>
          <w:rFonts w:cs="Arial"/>
        </w:rPr>
        <w:fldChar w:fldCharType="begin"/>
      </w:r>
      <w:r w:rsidR="00273DB6" w:rsidRPr="00547E2B">
        <w:rPr>
          <w:rFonts w:cs="Arial"/>
        </w:rPr>
        <w:instrText xml:space="preserve"> AUTONUM  </w:instrText>
      </w:r>
      <w:r w:rsidRPr="00547E2B">
        <w:rPr>
          <w:rFonts w:cs="Arial"/>
        </w:rPr>
        <w:fldChar w:fldCharType="end"/>
      </w:r>
      <w:r w:rsidR="00273DB6" w:rsidRPr="00547E2B">
        <w:rPr>
          <w:rFonts w:cs="Arial"/>
        </w:rPr>
        <w:tab/>
      </w:r>
      <w:r w:rsidR="004F44EC" w:rsidRPr="004F44EC">
        <w:rPr>
          <w:rFonts w:cs="Arial"/>
        </w:rPr>
        <w:t>El TWO convino en emplear la sexta edición como base para crear una nueva lista revisada en sustitución de los grupos de color UPOV que figuran actualmente en el documento TGP/14 “Glosario de términos utilizados en los documentos de la UPOV”.</w:t>
      </w:r>
      <w:r w:rsidR="00273DB6" w:rsidRPr="0061442A">
        <w:rPr>
          <w:rFonts w:cs="Arial"/>
        </w:rPr>
        <w:t xml:space="preserve"> </w:t>
      </w:r>
      <w:r w:rsidR="004F44EC">
        <w:rPr>
          <w:rFonts w:cs="Arial"/>
        </w:rPr>
        <w:t xml:space="preserve"> </w:t>
      </w:r>
      <w:r w:rsidR="004F44EC" w:rsidRPr="004F44EC">
        <w:rPr>
          <w:rFonts w:cs="Arial"/>
        </w:rPr>
        <w:t>El TWO convino en solicitar al experto de Alemania que</w:t>
      </w:r>
      <w:r w:rsidR="007829E4">
        <w:rPr>
          <w:rFonts w:cs="Arial"/>
        </w:rPr>
        <w:t xml:space="preserve">, </w:t>
      </w:r>
      <w:r w:rsidR="004F44EC" w:rsidRPr="004F44EC">
        <w:rPr>
          <w:rFonts w:cs="Arial"/>
        </w:rPr>
        <w:t>con el apoyo de los expertos de Australia</w:t>
      </w:r>
      <w:r w:rsidR="007829E4">
        <w:rPr>
          <w:rFonts w:cs="Arial"/>
        </w:rPr>
        <w:t xml:space="preserve">, </w:t>
      </w:r>
      <w:r w:rsidR="004F44EC" w:rsidRPr="004F44EC">
        <w:rPr>
          <w:rFonts w:cs="Arial"/>
        </w:rPr>
        <w:t>el Canadá</w:t>
      </w:r>
      <w:r w:rsidR="007829E4">
        <w:rPr>
          <w:rFonts w:cs="Arial"/>
        </w:rPr>
        <w:t xml:space="preserve">, </w:t>
      </w:r>
      <w:r w:rsidR="004F44EC" w:rsidRPr="004F44EC">
        <w:rPr>
          <w:rFonts w:cs="Arial"/>
        </w:rPr>
        <w:t>Nueva Zelandia</w:t>
      </w:r>
      <w:r w:rsidR="007829E4">
        <w:rPr>
          <w:rFonts w:cs="Arial"/>
        </w:rPr>
        <w:t xml:space="preserve">, </w:t>
      </w:r>
      <w:r w:rsidR="004F44EC" w:rsidRPr="004F44EC">
        <w:rPr>
          <w:rFonts w:cs="Arial"/>
        </w:rPr>
        <w:t>los Países Bajos</w:t>
      </w:r>
      <w:r w:rsidR="007829E4">
        <w:rPr>
          <w:rFonts w:cs="Arial"/>
        </w:rPr>
        <w:t xml:space="preserve">, </w:t>
      </w:r>
      <w:r w:rsidR="004F44EC" w:rsidRPr="004F44EC">
        <w:rPr>
          <w:rFonts w:cs="Arial"/>
        </w:rPr>
        <w:t>el Reino Unido y la Unión Europea</w:t>
      </w:r>
      <w:r w:rsidR="007829E4">
        <w:rPr>
          <w:rFonts w:cs="Arial"/>
        </w:rPr>
        <w:t xml:space="preserve">, </w:t>
      </w:r>
      <w:r w:rsidR="004F44EC" w:rsidRPr="004F44EC">
        <w:rPr>
          <w:rFonts w:cs="Arial"/>
        </w:rPr>
        <w:t>elabore un proyecto de orientación sobre los factores que se han de tener en cuenta al crear grupos de color a efectos de agrupar variedades y organizar el ensayo de cultivo (p. ej. reconocer el grado de variación entre especies y la diferencia necesaria entre colores para que las variedades se consideren diferentes).</w:t>
      </w:r>
    </w:p>
    <w:p w:rsidR="00273DB6" w:rsidRPr="0061442A" w:rsidRDefault="00273DB6" w:rsidP="00273DB6">
      <w:pPr>
        <w:rPr>
          <w:rFonts w:cs="Arial"/>
        </w:rPr>
      </w:pPr>
    </w:p>
    <w:p w:rsidR="00273DB6" w:rsidRPr="0061442A" w:rsidRDefault="007D43C5" w:rsidP="00273DB6">
      <w:pPr>
        <w:rPr>
          <w:rFonts w:cs="Arial"/>
          <w:color w:val="000000" w:themeColor="text1"/>
        </w:rPr>
      </w:pPr>
      <w:r>
        <w:rPr>
          <w:rFonts w:cs="Arial"/>
          <w:color w:val="000000" w:themeColor="text1"/>
        </w:rPr>
        <w:fldChar w:fldCharType="begin"/>
      </w:r>
      <w:r w:rsidR="00273DB6">
        <w:rPr>
          <w:rFonts w:cs="Arial"/>
          <w:color w:val="000000" w:themeColor="text1"/>
        </w:rPr>
        <w:instrText xml:space="preserve"> AUTONUM  </w:instrText>
      </w:r>
      <w:r>
        <w:rPr>
          <w:rFonts w:cs="Arial"/>
          <w:color w:val="000000" w:themeColor="text1"/>
        </w:rPr>
        <w:fldChar w:fldCharType="end"/>
      </w:r>
      <w:r w:rsidR="00273DB6">
        <w:rPr>
          <w:rFonts w:cs="Arial"/>
          <w:color w:val="000000" w:themeColor="text1"/>
        </w:rPr>
        <w:tab/>
      </w:r>
      <w:r w:rsidR="004F44EC" w:rsidRPr="004F44EC">
        <w:rPr>
          <w:rFonts w:cs="Arial"/>
          <w:color w:val="000000" w:themeColor="text1"/>
        </w:rPr>
        <w:t>El TWO acordó presentar seis proyectos de directrices de examen al Comité Técnico para su aprobación:</w:t>
      </w:r>
      <w:r w:rsidR="00273DB6" w:rsidRPr="0061442A">
        <w:rPr>
          <w:rFonts w:cs="Arial"/>
          <w:color w:val="000000" w:themeColor="text1"/>
        </w:rPr>
        <w:t xml:space="preserve"> </w:t>
      </w:r>
      <w:r w:rsidR="004F44EC" w:rsidRPr="004F44EC">
        <w:rPr>
          <w:rFonts w:cs="Arial"/>
          <w:color w:val="000000" w:themeColor="text1"/>
        </w:rPr>
        <w:t>abelia;  aglaonema;  dianella (revisión parcial);  fresia (revisión);  lavanda (revisión parcial);  y petunia (revisión).</w:t>
      </w:r>
      <w:r w:rsidR="00642BCD">
        <w:rPr>
          <w:rFonts w:cs="Arial"/>
          <w:color w:val="000000" w:themeColor="text1"/>
        </w:rPr>
        <w:t xml:space="preserve">  </w:t>
      </w:r>
      <w:r w:rsidR="004F44EC" w:rsidRPr="004F44EC">
        <w:rPr>
          <w:rFonts w:cs="Arial"/>
          <w:color w:val="000000" w:themeColor="text1"/>
        </w:rPr>
        <w:t>El TWO tiene previsto examinar</w:t>
      </w:r>
      <w:r w:rsidR="007829E4">
        <w:rPr>
          <w:rFonts w:cs="Arial"/>
          <w:color w:val="000000" w:themeColor="text1"/>
        </w:rPr>
        <w:t> </w:t>
      </w:r>
      <w:r w:rsidR="007829E4" w:rsidRPr="004F44EC">
        <w:rPr>
          <w:rFonts w:cs="Arial"/>
          <w:color w:val="000000" w:themeColor="text1"/>
        </w:rPr>
        <w:t>1</w:t>
      </w:r>
      <w:r w:rsidR="004F44EC" w:rsidRPr="004F44EC">
        <w:rPr>
          <w:rFonts w:cs="Arial"/>
          <w:color w:val="000000" w:themeColor="text1"/>
        </w:rPr>
        <w:t>6 directrices de examen</w:t>
      </w:r>
      <w:r w:rsidR="007829E4">
        <w:rPr>
          <w:rFonts w:cs="Arial"/>
          <w:color w:val="000000" w:themeColor="text1"/>
        </w:rPr>
        <w:t xml:space="preserve">, </w:t>
      </w:r>
      <w:r w:rsidR="004F44EC" w:rsidRPr="004F44EC">
        <w:rPr>
          <w:rFonts w:cs="Arial"/>
          <w:color w:val="000000" w:themeColor="text1"/>
        </w:rPr>
        <w:t>de las que</w:t>
      </w:r>
      <w:r w:rsidR="007829E4">
        <w:rPr>
          <w:rFonts w:cs="Arial"/>
          <w:color w:val="000000" w:themeColor="text1"/>
        </w:rPr>
        <w:t> </w:t>
      </w:r>
      <w:r w:rsidR="007829E4" w:rsidRPr="004F44EC">
        <w:rPr>
          <w:rFonts w:cs="Arial"/>
          <w:color w:val="000000" w:themeColor="text1"/>
        </w:rPr>
        <w:t>2</w:t>
      </w:r>
      <w:r w:rsidR="004F44EC" w:rsidRPr="004F44EC">
        <w:rPr>
          <w:rFonts w:cs="Arial"/>
          <w:color w:val="000000" w:themeColor="text1"/>
        </w:rPr>
        <w:t xml:space="preserve"> son revisiones parciales</w:t>
      </w:r>
      <w:r w:rsidR="007829E4">
        <w:rPr>
          <w:rFonts w:cs="Arial"/>
          <w:color w:val="000000" w:themeColor="text1"/>
        </w:rPr>
        <w:t xml:space="preserve">, </w:t>
      </w:r>
      <w:r w:rsidR="007829E4" w:rsidRPr="004F44EC">
        <w:rPr>
          <w:rFonts w:cs="Arial"/>
          <w:color w:val="000000" w:themeColor="text1"/>
        </w:rPr>
        <w:t>5</w:t>
      </w:r>
      <w:r w:rsidR="004F44EC" w:rsidRPr="004F44EC">
        <w:rPr>
          <w:rFonts w:cs="Arial"/>
          <w:color w:val="000000" w:themeColor="text1"/>
        </w:rPr>
        <w:t xml:space="preserve"> son revisiones y</w:t>
      </w:r>
      <w:r w:rsidR="007829E4">
        <w:rPr>
          <w:rFonts w:cs="Arial"/>
          <w:color w:val="000000" w:themeColor="text1"/>
        </w:rPr>
        <w:t> </w:t>
      </w:r>
      <w:r w:rsidR="007829E4" w:rsidRPr="004F44EC">
        <w:rPr>
          <w:rFonts w:cs="Arial"/>
          <w:color w:val="000000" w:themeColor="text1"/>
        </w:rPr>
        <w:t>9</w:t>
      </w:r>
      <w:r w:rsidR="004F44EC" w:rsidRPr="004F44EC">
        <w:rPr>
          <w:rFonts w:cs="Arial"/>
          <w:color w:val="000000" w:themeColor="text1"/>
        </w:rPr>
        <w:t xml:space="preserve"> son nuevas directrices de examen</w:t>
      </w:r>
      <w:r w:rsidR="007829E4">
        <w:rPr>
          <w:rFonts w:cs="Arial"/>
          <w:color w:val="000000" w:themeColor="text1"/>
        </w:rPr>
        <w:t xml:space="preserve">, </w:t>
      </w:r>
      <w:r w:rsidR="004F44EC" w:rsidRPr="004F44EC">
        <w:rPr>
          <w:rFonts w:cs="Arial"/>
          <w:color w:val="000000" w:themeColor="text1"/>
        </w:rPr>
        <w:t>en su quincuagésima reunión</w:t>
      </w:r>
      <w:r w:rsidR="007829E4">
        <w:rPr>
          <w:rFonts w:cs="Arial"/>
          <w:color w:val="000000" w:themeColor="text1"/>
        </w:rPr>
        <w:t xml:space="preserve">, </w:t>
      </w:r>
      <w:r w:rsidR="004F44EC" w:rsidRPr="004F44EC">
        <w:rPr>
          <w:rFonts w:cs="Arial"/>
          <w:color w:val="000000" w:themeColor="text1"/>
        </w:rPr>
        <w:t>que se celebrará en 2017.</w:t>
      </w:r>
      <w:r w:rsidR="00273DB6" w:rsidRPr="0061442A">
        <w:rPr>
          <w:rFonts w:cs="Arial"/>
          <w:color w:val="000000" w:themeColor="text1"/>
        </w:rPr>
        <w:t xml:space="preserve"> </w:t>
      </w:r>
    </w:p>
    <w:p w:rsidR="00273DB6" w:rsidRPr="0061442A" w:rsidRDefault="00273DB6" w:rsidP="00273DB6">
      <w:pPr>
        <w:rPr>
          <w:rFonts w:cs="Arial"/>
          <w:i/>
          <w:color w:val="000000" w:themeColor="text1"/>
        </w:rPr>
      </w:pPr>
    </w:p>
    <w:p w:rsidR="00273DB6" w:rsidRPr="0061442A" w:rsidRDefault="007D43C5" w:rsidP="00273DB6">
      <w:pPr>
        <w:rPr>
          <w:rFonts w:cs="Arial"/>
          <w:color w:val="000000" w:themeColor="text1"/>
        </w:rPr>
      </w:pPr>
      <w:r>
        <w:rPr>
          <w:rFonts w:cs="Arial"/>
          <w:color w:val="000000" w:themeColor="text1"/>
        </w:rPr>
        <w:fldChar w:fldCharType="begin"/>
      </w:r>
      <w:r w:rsidR="00273DB6">
        <w:rPr>
          <w:rFonts w:cs="Arial"/>
          <w:color w:val="000000" w:themeColor="text1"/>
        </w:rPr>
        <w:instrText xml:space="preserve"> AUTONUM  </w:instrText>
      </w:r>
      <w:r>
        <w:rPr>
          <w:rFonts w:cs="Arial"/>
          <w:color w:val="000000" w:themeColor="text1"/>
        </w:rPr>
        <w:fldChar w:fldCharType="end"/>
      </w:r>
      <w:r w:rsidR="00273DB6">
        <w:rPr>
          <w:rFonts w:cs="Arial"/>
          <w:color w:val="000000" w:themeColor="text1"/>
        </w:rPr>
        <w:tab/>
      </w:r>
      <w:r w:rsidR="004F44EC" w:rsidRPr="004F44EC">
        <w:rPr>
          <w:rFonts w:cs="Arial"/>
          <w:color w:val="000000" w:themeColor="text1"/>
        </w:rPr>
        <w:t>Por invitación del Canadá</w:t>
      </w:r>
      <w:r w:rsidR="007829E4">
        <w:rPr>
          <w:rFonts w:cs="Arial"/>
          <w:color w:val="000000" w:themeColor="text1"/>
        </w:rPr>
        <w:t xml:space="preserve">, </w:t>
      </w:r>
      <w:r w:rsidR="004F44EC" w:rsidRPr="004F44EC">
        <w:rPr>
          <w:rFonts w:cs="Arial"/>
          <w:color w:val="000000" w:themeColor="text1"/>
        </w:rPr>
        <w:t>el TWO convino en celebrar su quincuagésima reunión en Victoria</w:t>
      </w:r>
      <w:r w:rsidR="007829E4">
        <w:rPr>
          <w:rFonts w:cs="Arial"/>
          <w:color w:val="000000" w:themeColor="text1"/>
        </w:rPr>
        <w:t xml:space="preserve">, </w:t>
      </w:r>
      <w:r w:rsidR="004F44EC" w:rsidRPr="004F44EC">
        <w:rPr>
          <w:rFonts w:cs="Arial"/>
          <w:color w:val="000000" w:themeColor="text1"/>
        </w:rPr>
        <w:t>Columbia Británica (Canadá) del 11 al 15 de septiembre de 2017</w:t>
      </w:r>
      <w:r w:rsidR="007829E4">
        <w:rPr>
          <w:rFonts w:cs="Arial"/>
          <w:color w:val="000000" w:themeColor="text1"/>
        </w:rPr>
        <w:t xml:space="preserve">, </w:t>
      </w:r>
      <w:r w:rsidR="004F44EC" w:rsidRPr="004F44EC">
        <w:rPr>
          <w:rFonts w:cs="Arial"/>
          <w:color w:val="000000" w:themeColor="text1"/>
        </w:rPr>
        <w:t>precedida de un taller preparatorio que tendrá lugar el 10 de septiembre de 2017.</w:t>
      </w:r>
    </w:p>
    <w:p w:rsidR="00273DB6" w:rsidRPr="0061442A" w:rsidRDefault="00273DB6" w:rsidP="00273DB6">
      <w:pPr>
        <w:rPr>
          <w:rFonts w:cs="Arial"/>
        </w:rPr>
      </w:pPr>
    </w:p>
    <w:p w:rsidR="00273DB6" w:rsidRPr="0061442A" w:rsidRDefault="007D43C5" w:rsidP="00273DB6">
      <w:pPr>
        <w:rPr>
          <w:rFonts w:eastAsia="Arial Unicode MS" w:cs="Arial"/>
        </w:rPr>
      </w:pPr>
      <w:r>
        <w:rPr>
          <w:rFonts w:eastAsia="Arial Unicode MS" w:cs="Arial"/>
        </w:rPr>
        <w:fldChar w:fldCharType="begin"/>
      </w:r>
      <w:r w:rsidR="00273DB6">
        <w:rPr>
          <w:rFonts w:eastAsia="Arial Unicode MS" w:cs="Arial"/>
        </w:rPr>
        <w:instrText xml:space="preserve"> AUTONUM  </w:instrText>
      </w:r>
      <w:r>
        <w:rPr>
          <w:rFonts w:eastAsia="Arial Unicode MS" w:cs="Arial"/>
        </w:rPr>
        <w:fldChar w:fldCharType="end"/>
      </w:r>
      <w:r w:rsidR="00273DB6">
        <w:rPr>
          <w:rFonts w:eastAsia="Arial Unicode MS" w:cs="Arial"/>
        </w:rPr>
        <w:tab/>
      </w:r>
      <w:r w:rsidR="004F44EC" w:rsidRPr="004F44EC">
        <w:rPr>
          <w:rFonts w:eastAsia="Arial Unicode MS" w:cs="Arial"/>
        </w:rPr>
        <w:t>El TWO acordó proponer al TC que recomiende al Consejo que se elija al Sr. Henk de Greef (Países Bajos) como próximo presidente de este grupo de trabajo.</w:t>
      </w:r>
    </w:p>
    <w:p w:rsidR="00273DB6" w:rsidRPr="0061442A" w:rsidRDefault="00273DB6" w:rsidP="00273DB6">
      <w:pPr>
        <w:rPr>
          <w:rFonts w:cs="Arial"/>
          <w:color w:val="000000" w:themeColor="text1"/>
        </w:rPr>
      </w:pPr>
    </w:p>
    <w:p w:rsidR="00273DB6" w:rsidRDefault="007D43C5" w:rsidP="00273DB6">
      <w:pPr>
        <w:keepNext/>
        <w:rPr>
          <w:rFonts w:cs="Arial"/>
          <w:color w:val="000000" w:themeColor="text1"/>
        </w:rPr>
      </w:pPr>
      <w:r>
        <w:rPr>
          <w:rFonts w:cs="Arial"/>
          <w:color w:val="000000" w:themeColor="text1"/>
        </w:rPr>
        <w:fldChar w:fldCharType="begin"/>
      </w:r>
      <w:r w:rsidR="00273DB6">
        <w:rPr>
          <w:rFonts w:cs="Arial"/>
          <w:color w:val="000000" w:themeColor="text1"/>
        </w:rPr>
        <w:instrText xml:space="preserve"> AUTONUM  </w:instrText>
      </w:r>
      <w:r>
        <w:rPr>
          <w:rFonts w:cs="Arial"/>
          <w:color w:val="000000" w:themeColor="text1"/>
        </w:rPr>
        <w:fldChar w:fldCharType="end"/>
      </w:r>
      <w:r w:rsidR="00273DB6">
        <w:rPr>
          <w:rFonts w:cs="Arial"/>
          <w:color w:val="000000" w:themeColor="text1"/>
        </w:rPr>
        <w:tab/>
      </w:r>
      <w:r w:rsidR="004F44EC" w:rsidRPr="004F44EC">
        <w:rPr>
          <w:rFonts w:cs="Arial"/>
          <w:color w:val="000000" w:themeColor="text1"/>
        </w:rPr>
        <w:t>El TWO convino en examinar los siguientes puntos en su próxima reunión:</w:t>
      </w:r>
    </w:p>
    <w:p w:rsidR="00273DB6" w:rsidRPr="0061442A" w:rsidRDefault="00273DB6" w:rsidP="00273DB6">
      <w:pPr>
        <w:keepNext/>
        <w:rPr>
          <w:rFonts w:cs="Arial"/>
          <w:color w:val="000000" w:themeColor="text1"/>
        </w:rPr>
      </w:pPr>
    </w:p>
    <w:p w:rsidR="00273DB6" w:rsidRPr="0061442A" w:rsidRDefault="00273DB6" w:rsidP="004F44EC">
      <w:pPr>
        <w:spacing w:line="280" w:lineRule="auto"/>
        <w:ind w:left="567"/>
        <w:rPr>
          <w:rFonts w:cs="Arial"/>
          <w:color w:val="000000" w:themeColor="text1"/>
        </w:rPr>
      </w:pPr>
      <w:r w:rsidRPr="0061442A">
        <w:rPr>
          <w:rFonts w:cs="Arial"/>
          <w:color w:val="000000" w:themeColor="text1"/>
        </w:rPr>
        <w:t>1.</w:t>
      </w:r>
      <w:r w:rsidRPr="0061442A">
        <w:rPr>
          <w:rFonts w:cs="Arial"/>
          <w:color w:val="000000" w:themeColor="text1"/>
        </w:rPr>
        <w:tab/>
      </w:r>
      <w:r w:rsidR="004F44EC" w:rsidRPr="004F44EC">
        <w:rPr>
          <w:rFonts w:cs="Arial"/>
          <w:color w:val="000000" w:themeColor="text1"/>
        </w:rPr>
        <w:t>Apertura de la reunión</w:t>
      </w:r>
    </w:p>
    <w:p w:rsidR="00273DB6" w:rsidRPr="0061442A" w:rsidRDefault="00273DB6" w:rsidP="004F44EC">
      <w:pPr>
        <w:spacing w:line="280" w:lineRule="auto"/>
        <w:ind w:left="567"/>
        <w:rPr>
          <w:rFonts w:cs="Arial"/>
          <w:color w:val="000000" w:themeColor="text1"/>
        </w:rPr>
      </w:pPr>
      <w:r w:rsidRPr="0061442A">
        <w:rPr>
          <w:rFonts w:cs="Arial"/>
          <w:color w:val="000000" w:themeColor="text1"/>
        </w:rPr>
        <w:t>2.</w:t>
      </w:r>
      <w:r>
        <w:rPr>
          <w:rFonts w:cs="Arial"/>
          <w:color w:val="000000" w:themeColor="text1"/>
        </w:rPr>
        <w:tab/>
      </w:r>
      <w:r w:rsidR="004F44EC" w:rsidRPr="004F44EC">
        <w:rPr>
          <w:rFonts w:cs="Arial"/>
          <w:color w:val="000000" w:themeColor="text1"/>
        </w:rPr>
        <w:t>Aprobación del orden del día</w:t>
      </w:r>
    </w:p>
    <w:p w:rsidR="00273DB6" w:rsidRPr="0061442A" w:rsidRDefault="00273DB6" w:rsidP="004F44EC">
      <w:pPr>
        <w:keepNext/>
        <w:keepLines/>
        <w:spacing w:line="280" w:lineRule="auto"/>
        <w:ind w:left="567"/>
        <w:rPr>
          <w:rFonts w:cs="Arial"/>
        </w:rPr>
      </w:pPr>
      <w:r w:rsidRPr="0061442A">
        <w:rPr>
          <w:rFonts w:cs="Arial"/>
        </w:rPr>
        <w:t>3.</w:t>
      </w:r>
      <w:r w:rsidRPr="0061442A">
        <w:rPr>
          <w:rFonts w:cs="Arial"/>
        </w:rPr>
        <w:tab/>
      </w:r>
      <w:r w:rsidR="004F44EC" w:rsidRPr="004F44EC">
        <w:rPr>
          <w:rFonts w:cs="Arial"/>
        </w:rPr>
        <w:t>Breves informes sobre los avances logrados en la protección de las variedades vegetales</w:t>
      </w:r>
    </w:p>
    <w:p w:rsidR="00273DB6" w:rsidRPr="0061442A" w:rsidRDefault="00AF3692" w:rsidP="004F44EC">
      <w:pPr>
        <w:keepNext/>
        <w:keepLines/>
        <w:spacing w:line="280" w:lineRule="auto"/>
        <w:ind w:left="1701" w:hanging="567"/>
        <w:rPr>
          <w:rFonts w:cs="Arial"/>
        </w:rPr>
      </w:pPr>
      <w:r w:rsidRPr="004829DF">
        <w:rPr>
          <w:rFonts w:cs="Arial"/>
        </w:rPr>
        <w:t>a)</w:t>
      </w:r>
      <w:r w:rsidRPr="004829DF">
        <w:rPr>
          <w:rFonts w:cs="Arial"/>
        </w:rPr>
        <w:tab/>
      </w:r>
      <w:r w:rsidR="004F44EC" w:rsidRPr="004F44EC">
        <w:rPr>
          <w:rFonts w:cs="Arial"/>
        </w:rPr>
        <w:t>Informes de los miembros y observadores (informes escritos que elaborarán los miembros y observadores)</w:t>
      </w:r>
    </w:p>
    <w:p w:rsidR="00273DB6" w:rsidRPr="0061442A" w:rsidRDefault="00AF3692" w:rsidP="004F44EC">
      <w:pPr>
        <w:keepNext/>
        <w:keepLines/>
        <w:spacing w:line="280" w:lineRule="auto"/>
        <w:ind w:left="1134"/>
        <w:rPr>
          <w:rFonts w:cs="Arial"/>
        </w:rPr>
      </w:pPr>
      <w:r w:rsidRPr="004829DF">
        <w:rPr>
          <w:rFonts w:cs="Arial"/>
        </w:rPr>
        <w:t>b)</w:t>
      </w:r>
      <w:r w:rsidRPr="004829DF">
        <w:rPr>
          <w:rFonts w:cs="Arial"/>
        </w:rPr>
        <w:tab/>
      </w:r>
      <w:r w:rsidR="004F44EC" w:rsidRPr="004F44EC">
        <w:rPr>
          <w:rFonts w:cs="Arial"/>
        </w:rPr>
        <w:t>Informes sobre los avances logrados en la UPOV (informe verbal de la Oficina de la Unión)</w:t>
      </w:r>
    </w:p>
    <w:p w:rsidR="00273DB6" w:rsidRPr="0061442A" w:rsidRDefault="00273DB6" w:rsidP="004F44EC">
      <w:pPr>
        <w:spacing w:line="280" w:lineRule="auto"/>
        <w:ind w:left="567"/>
        <w:rPr>
          <w:rFonts w:cs="Arial"/>
        </w:rPr>
      </w:pPr>
      <w:r w:rsidRPr="0061442A">
        <w:rPr>
          <w:rFonts w:cs="Arial"/>
        </w:rPr>
        <w:t>4.</w:t>
      </w:r>
      <w:r w:rsidRPr="0061442A">
        <w:rPr>
          <w:rFonts w:cs="Arial"/>
        </w:rPr>
        <w:tab/>
      </w:r>
      <w:r w:rsidR="004F44EC" w:rsidRPr="004F44EC">
        <w:rPr>
          <w:rFonts w:cs="Arial"/>
        </w:rPr>
        <w:t xml:space="preserve">Técnicas moleculares (documento que elaborará la Oficina de la Unión) </w:t>
      </w:r>
    </w:p>
    <w:p w:rsidR="00273DB6" w:rsidRPr="0061442A" w:rsidRDefault="00273DB6" w:rsidP="004F44EC">
      <w:pPr>
        <w:spacing w:line="280" w:lineRule="auto"/>
        <w:ind w:left="567"/>
        <w:rPr>
          <w:rFonts w:cs="Arial"/>
        </w:rPr>
      </w:pPr>
      <w:r w:rsidRPr="0061442A">
        <w:rPr>
          <w:rFonts w:cs="Arial"/>
        </w:rPr>
        <w:t>5.</w:t>
      </w:r>
      <w:r w:rsidRPr="0061442A">
        <w:rPr>
          <w:rFonts w:cs="Arial"/>
        </w:rPr>
        <w:tab/>
      </w:r>
      <w:r w:rsidR="004F44EC" w:rsidRPr="004F44EC">
        <w:rPr>
          <w:rFonts w:cs="Arial"/>
        </w:rPr>
        <w:t>Documentos TGP (documentos que elaborará la Oficina de la Unión)</w:t>
      </w:r>
    </w:p>
    <w:p w:rsidR="00273DB6" w:rsidRPr="0061442A" w:rsidRDefault="00273DB6" w:rsidP="004F44EC">
      <w:pPr>
        <w:spacing w:line="280" w:lineRule="auto"/>
        <w:ind w:left="567"/>
        <w:rPr>
          <w:rFonts w:cs="Arial"/>
        </w:rPr>
      </w:pPr>
      <w:r w:rsidRPr="0061442A">
        <w:rPr>
          <w:rFonts w:cs="Arial"/>
        </w:rPr>
        <w:t>6.</w:t>
      </w:r>
      <w:r w:rsidRPr="0061442A">
        <w:rPr>
          <w:rFonts w:cs="Arial"/>
        </w:rPr>
        <w:tab/>
      </w:r>
      <w:r w:rsidR="004F44EC" w:rsidRPr="004F44EC">
        <w:rPr>
          <w:rFonts w:cs="Arial"/>
        </w:rPr>
        <w:t xml:space="preserve">Denominaciones de variedades (documento que elaborará la Oficina de la Unión) </w:t>
      </w:r>
    </w:p>
    <w:p w:rsidR="00273DB6" w:rsidRPr="0061442A" w:rsidRDefault="00273DB6" w:rsidP="004F44EC">
      <w:pPr>
        <w:keepNext/>
        <w:spacing w:line="280" w:lineRule="auto"/>
        <w:ind w:left="567"/>
        <w:rPr>
          <w:rFonts w:cs="Arial"/>
        </w:rPr>
      </w:pPr>
      <w:r w:rsidRPr="0061442A">
        <w:rPr>
          <w:rFonts w:cs="Arial"/>
        </w:rPr>
        <w:t>7.</w:t>
      </w:r>
      <w:r w:rsidRPr="0061442A">
        <w:rPr>
          <w:rFonts w:cs="Arial"/>
        </w:rPr>
        <w:tab/>
      </w:r>
      <w:r w:rsidR="004F44EC" w:rsidRPr="004F44EC">
        <w:rPr>
          <w:rFonts w:cs="Arial"/>
        </w:rPr>
        <w:t>Información y bases de datos</w:t>
      </w:r>
    </w:p>
    <w:p w:rsidR="00273DB6" w:rsidRPr="0061442A" w:rsidRDefault="00AF3692" w:rsidP="00D95E2E">
      <w:pPr>
        <w:spacing w:line="280" w:lineRule="auto"/>
        <w:ind w:left="1701" w:hanging="567"/>
        <w:rPr>
          <w:rFonts w:cs="Arial"/>
        </w:rPr>
      </w:pPr>
      <w:r w:rsidRPr="004829DF">
        <w:rPr>
          <w:rFonts w:cs="Arial"/>
        </w:rPr>
        <w:t>a)</w:t>
      </w:r>
      <w:r w:rsidRPr="004829DF">
        <w:rPr>
          <w:rFonts w:cs="Arial"/>
        </w:rPr>
        <w:tab/>
      </w:r>
      <w:r w:rsidR="004F44EC" w:rsidRPr="00D95E2E">
        <w:rPr>
          <w:rFonts w:cs="Arial"/>
        </w:rPr>
        <w:t>Bases de datos de información de la UPOV (documento que elaborará la Oficina de la Unión)</w:t>
      </w:r>
    </w:p>
    <w:p w:rsidR="00273DB6" w:rsidRPr="0061442A" w:rsidRDefault="00AF3692" w:rsidP="00D95E2E">
      <w:pPr>
        <w:spacing w:line="280" w:lineRule="auto"/>
        <w:ind w:left="1701" w:hanging="567"/>
        <w:rPr>
          <w:rFonts w:cs="Arial"/>
        </w:rPr>
      </w:pPr>
      <w:r w:rsidRPr="004829DF">
        <w:rPr>
          <w:rFonts w:cs="Arial"/>
        </w:rPr>
        <w:t>b)</w:t>
      </w:r>
      <w:r w:rsidRPr="004829DF">
        <w:rPr>
          <w:rFonts w:cs="Arial"/>
        </w:rPr>
        <w:tab/>
      </w:r>
      <w:r w:rsidR="00D95E2E" w:rsidRPr="00D95E2E">
        <w:rPr>
          <w:rFonts w:cs="Arial"/>
        </w:rPr>
        <w:t>Bases de datos de descripciones de variedades (documento que preparará la Oficina de la Unión y otros eventuales documentos)</w:t>
      </w:r>
      <w:r w:rsidR="00273DB6" w:rsidRPr="0061442A">
        <w:rPr>
          <w:rFonts w:cs="Arial"/>
        </w:rPr>
        <w:t xml:space="preserve"> </w:t>
      </w:r>
    </w:p>
    <w:p w:rsidR="00273DB6" w:rsidRPr="0061442A" w:rsidRDefault="00AF3692" w:rsidP="00D95E2E">
      <w:pPr>
        <w:spacing w:line="280" w:lineRule="auto"/>
        <w:ind w:left="1701" w:hanging="567"/>
        <w:rPr>
          <w:rFonts w:cs="Arial"/>
        </w:rPr>
      </w:pPr>
      <w:r w:rsidRPr="004829DF">
        <w:rPr>
          <w:rFonts w:cs="Arial"/>
        </w:rPr>
        <w:t>c)</w:t>
      </w:r>
      <w:r w:rsidRPr="004829DF">
        <w:rPr>
          <w:rFonts w:cs="Arial"/>
        </w:rPr>
        <w:tab/>
      </w:r>
      <w:r w:rsidR="00D95E2E" w:rsidRPr="00D95E2E">
        <w:rPr>
          <w:rFonts w:cs="Arial"/>
        </w:rPr>
        <w:t>Programas informáticos para intercambio (documento que elaborará la Oficina de la Unión)</w:t>
      </w:r>
    </w:p>
    <w:p w:rsidR="00273DB6" w:rsidRPr="0061442A" w:rsidRDefault="00AF3692" w:rsidP="0083006B">
      <w:pPr>
        <w:spacing w:line="280" w:lineRule="auto"/>
        <w:ind w:left="1701" w:hanging="567"/>
        <w:rPr>
          <w:rFonts w:cs="Arial"/>
        </w:rPr>
      </w:pPr>
      <w:r w:rsidRPr="004829DF">
        <w:rPr>
          <w:rFonts w:cs="Arial"/>
        </w:rPr>
        <w:t>d)</w:t>
      </w:r>
      <w:r w:rsidRPr="004829DF">
        <w:rPr>
          <w:rFonts w:cs="Arial"/>
        </w:rPr>
        <w:tab/>
      </w:r>
      <w:r w:rsidR="00D95E2E" w:rsidRPr="0083006B">
        <w:rPr>
          <w:rFonts w:cs="Arial"/>
        </w:rPr>
        <w:t>Sistemas de presentación electrónica de solicitudes (documento que preparará la Oficina de la Unión y otros eventuales documentos)</w:t>
      </w:r>
    </w:p>
    <w:p w:rsidR="00273DB6" w:rsidRPr="0061442A" w:rsidRDefault="00273DB6" w:rsidP="0083006B">
      <w:pPr>
        <w:spacing w:line="280" w:lineRule="auto"/>
        <w:ind w:left="1134" w:hanging="567"/>
        <w:rPr>
          <w:rFonts w:cs="Arial"/>
          <w:color w:val="000000"/>
        </w:rPr>
      </w:pPr>
      <w:r w:rsidRPr="0061442A">
        <w:rPr>
          <w:rFonts w:cs="Arial"/>
          <w:color w:val="000000"/>
        </w:rPr>
        <w:t>8.</w:t>
      </w:r>
      <w:r w:rsidRPr="0061442A">
        <w:rPr>
          <w:rFonts w:cs="Arial"/>
          <w:color w:val="000000"/>
        </w:rPr>
        <w:tab/>
      </w:r>
      <w:r w:rsidR="0083006B" w:rsidRPr="0083006B">
        <w:rPr>
          <w:rFonts w:cs="Arial"/>
          <w:color w:val="000000"/>
        </w:rPr>
        <w:t>Estudio de casos sobre las distancias mínimas entre las variedades ornamentales y frutales de multiplicación vegetativa (presentación a cargo de la Unión Europea y eventuales presentaciones)</w:t>
      </w:r>
    </w:p>
    <w:p w:rsidR="00273DB6" w:rsidRPr="0061442A" w:rsidRDefault="00273DB6" w:rsidP="0083006B">
      <w:pPr>
        <w:spacing w:line="280" w:lineRule="auto"/>
        <w:ind w:left="1134" w:hanging="567"/>
        <w:rPr>
          <w:rFonts w:cs="Arial"/>
        </w:rPr>
      </w:pPr>
      <w:r w:rsidRPr="0061442A">
        <w:rPr>
          <w:rFonts w:cs="Arial"/>
        </w:rPr>
        <w:t>9.</w:t>
      </w:r>
      <w:r w:rsidRPr="0061442A">
        <w:rPr>
          <w:rFonts w:cs="Arial"/>
        </w:rPr>
        <w:tab/>
      </w:r>
      <w:r w:rsidR="0083006B" w:rsidRPr="0083006B">
        <w:rPr>
          <w:rFonts w:cs="Arial"/>
        </w:rPr>
        <w:t>Número de ciclos de cultivo en el examen DHE (documento que preparará la Oficina de la Unión y otros eventuales documentos)</w:t>
      </w:r>
      <w:r w:rsidRPr="0061442A">
        <w:rPr>
          <w:rFonts w:cs="Arial"/>
        </w:rPr>
        <w:t xml:space="preserve"> </w:t>
      </w:r>
    </w:p>
    <w:p w:rsidR="00273DB6" w:rsidRPr="0061442A" w:rsidRDefault="00273DB6" w:rsidP="0083006B">
      <w:pPr>
        <w:spacing w:line="280" w:lineRule="auto"/>
        <w:ind w:left="1170" w:hanging="603"/>
        <w:rPr>
          <w:rFonts w:cs="Arial"/>
        </w:rPr>
      </w:pPr>
      <w:r w:rsidRPr="0061442A">
        <w:rPr>
          <w:rFonts w:cs="Arial"/>
        </w:rPr>
        <w:t>10.</w:t>
      </w:r>
      <w:r w:rsidRPr="0061442A">
        <w:rPr>
          <w:rFonts w:cs="Arial"/>
        </w:rPr>
        <w:tab/>
      </w:r>
      <w:r w:rsidR="0083006B" w:rsidRPr="0083006B">
        <w:rPr>
          <w:rFonts w:cs="Arial"/>
        </w:rPr>
        <w:t>Expresión interanual e interambiental de caracteres en plantas ornamentales (documento que prepararán Australia y Nueva Zelandia y otros eventuales documentos)</w:t>
      </w:r>
    </w:p>
    <w:p w:rsidR="00273DB6" w:rsidRPr="0061442A" w:rsidRDefault="00273DB6" w:rsidP="0083006B">
      <w:pPr>
        <w:spacing w:line="280" w:lineRule="auto"/>
        <w:ind w:left="1134" w:hanging="567"/>
        <w:rPr>
          <w:rFonts w:cs="Arial"/>
        </w:rPr>
      </w:pPr>
      <w:r w:rsidRPr="0061442A">
        <w:rPr>
          <w:rFonts w:cs="Arial"/>
        </w:rPr>
        <w:t>11.</w:t>
      </w:r>
      <w:r w:rsidRPr="0061442A">
        <w:rPr>
          <w:rFonts w:cs="Arial"/>
        </w:rPr>
        <w:tab/>
      </w:r>
      <w:r w:rsidR="0083006B" w:rsidRPr="0083006B">
        <w:rPr>
          <w:rFonts w:cs="Arial"/>
        </w:rPr>
        <w:t>Informe sobre causas judiciales en que se abordaron cuestiones técnicas (documento que preparará la Unión Europea y otros eventuales documentos)</w:t>
      </w:r>
    </w:p>
    <w:p w:rsidR="00273DB6" w:rsidRPr="0061442A" w:rsidRDefault="00273DB6" w:rsidP="0083006B">
      <w:pPr>
        <w:spacing w:line="280" w:lineRule="auto"/>
        <w:ind w:left="1134" w:hanging="567"/>
        <w:rPr>
          <w:rFonts w:cs="Arial"/>
        </w:rPr>
      </w:pPr>
      <w:r w:rsidRPr="0061442A">
        <w:rPr>
          <w:rFonts w:cs="Arial"/>
        </w:rPr>
        <w:t>12.</w:t>
      </w:r>
      <w:r w:rsidRPr="0061442A">
        <w:rPr>
          <w:rFonts w:cs="Arial"/>
        </w:rPr>
        <w:tab/>
      </w:r>
      <w:r w:rsidR="0083006B" w:rsidRPr="0083006B">
        <w:rPr>
          <w:rFonts w:cs="Arial"/>
        </w:rPr>
        <w:t>Definición de grupos de color a efectos de agrupar variedades y organizar el ensayo de cultivo (documento que preparará Alemania)</w:t>
      </w:r>
    </w:p>
    <w:p w:rsidR="00273DB6" w:rsidRPr="0061442A" w:rsidRDefault="00273DB6" w:rsidP="00B84D24">
      <w:pPr>
        <w:spacing w:line="280" w:lineRule="auto"/>
        <w:ind w:firstLine="567"/>
        <w:rPr>
          <w:rFonts w:cs="Arial"/>
        </w:rPr>
      </w:pPr>
      <w:r w:rsidRPr="0061442A">
        <w:rPr>
          <w:rFonts w:cs="Arial"/>
        </w:rPr>
        <w:t>13.</w:t>
      </w:r>
      <w:r>
        <w:rPr>
          <w:rFonts w:cs="Arial"/>
        </w:rPr>
        <w:tab/>
      </w:r>
      <w:r w:rsidR="00B84D24" w:rsidRPr="00B84D24">
        <w:rPr>
          <w:rFonts w:cs="Arial"/>
        </w:rPr>
        <w:t>Experiencia con la carta de colores RHS y posible añadidura futura de colores</w:t>
      </w:r>
    </w:p>
    <w:p w:rsidR="00273DB6" w:rsidRPr="0061442A" w:rsidRDefault="00273DB6" w:rsidP="00B84D24">
      <w:pPr>
        <w:spacing w:line="280" w:lineRule="auto"/>
        <w:ind w:left="1134" w:hanging="567"/>
        <w:rPr>
          <w:rFonts w:cs="Arial"/>
        </w:rPr>
      </w:pPr>
      <w:r w:rsidRPr="0061442A">
        <w:rPr>
          <w:rFonts w:cs="Arial"/>
        </w:rPr>
        <w:t>14.</w:t>
      </w:r>
      <w:r w:rsidRPr="0061442A">
        <w:rPr>
          <w:rFonts w:cs="Arial"/>
        </w:rPr>
        <w:tab/>
      </w:r>
      <w:r w:rsidR="00B84D24" w:rsidRPr="00B84D24">
        <w:rPr>
          <w:rFonts w:cs="Arial"/>
        </w:rPr>
        <w:t>Orientación sobre ilustraciones de caracteres pseudocualitativos de forma (documento que preparará la Oficina de la Unión)</w:t>
      </w:r>
    </w:p>
    <w:p w:rsidR="00273DB6" w:rsidRPr="0061442A" w:rsidRDefault="00273DB6" w:rsidP="00B84D24">
      <w:pPr>
        <w:spacing w:line="280" w:lineRule="auto"/>
        <w:ind w:left="1134" w:hanging="567"/>
        <w:rPr>
          <w:rFonts w:cs="Arial"/>
        </w:rPr>
      </w:pPr>
      <w:r w:rsidRPr="0061442A">
        <w:rPr>
          <w:rFonts w:cs="Arial"/>
        </w:rPr>
        <w:t>15.</w:t>
      </w:r>
      <w:r w:rsidRPr="0061442A">
        <w:rPr>
          <w:rFonts w:cs="Arial"/>
        </w:rPr>
        <w:tab/>
      </w:r>
      <w:r w:rsidR="00B84D24" w:rsidRPr="00B84D24">
        <w:rPr>
          <w:rFonts w:cs="Arial"/>
        </w:rPr>
        <w:t>Propuesta sobre el nombre botánico principal para los híbridos intergenéricos e interespecíficos y posible efecto en la “Orientación acerca del sistema de códigos de la UPOV”</w:t>
      </w:r>
      <w:r w:rsidRPr="0061442A">
        <w:rPr>
          <w:rFonts w:cs="Arial"/>
        </w:rPr>
        <w:t xml:space="preserve"> </w:t>
      </w:r>
    </w:p>
    <w:p w:rsidR="00273DB6" w:rsidRPr="0061442A" w:rsidRDefault="00273DB6" w:rsidP="00B84D24">
      <w:pPr>
        <w:spacing w:line="280" w:lineRule="auto"/>
        <w:ind w:left="567"/>
        <w:rPr>
          <w:rFonts w:cs="Arial"/>
        </w:rPr>
      </w:pPr>
      <w:r w:rsidRPr="0061442A">
        <w:rPr>
          <w:rFonts w:cs="Arial"/>
        </w:rPr>
        <w:t>16.</w:t>
      </w:r>
      <w:r>
        <w:rPr>
          <w:rFonts w:cs="Arial"/>
        </w:rPr>
        <w:tab/>
      </w:r>
      <w:r w:rsidR="00B84D24" w:rsidRPr="00B84D24">
        <w:rPr>
          <w:rFonts w:cs="Arial"/>
        </w:rPr>
        <w:t>Experiencias con nuevos tipos y especies (invitación a presentar informes verbales)</w:t>
      </w:r>
      <w:r w:rsidRPr="0061442A">
        <w:rPr>
          <w:rFonts w:cs="Arial"/>
        </w:rPr>
        <w:t xml:space="preserve"> </w:t>
      </w:r>
    </w:p>
    <w:p w:rsidR="00273DB6" w:rsidRPr="0061442A" w:rsidRDefault="00273DB6" w:rsidP="00B84D24">
      <w:pPr>
        <w:spacing w:line="280" w:lineRule="auto"/>
        <w:ind w:left="567"/>
        <w:rPr>
          <w:rFonts w:cs="Arial"/>
        </w:rPr>
      </w:pPr>
      <w:r w:rsidRPr="0061442A">
        <w:rPr>
          <w:rFonts w:cs="Arial"/>
        </w:rPr>
        <w:t>17.</w:t>
      </w:r>
      <w:r>
        <w:rPr>
          <w:rFonts w:cs="Arial"/>
        </w:rPr>
        <w:tab/>
      </w:r>
      <w:r w:rsidR="00B84D24" w:rsidRPr="00B84D24">
        <w:rPr>
          <w:rFonts w:cs="Arial"/>
        </w:rPr>
        <w:t>Cuestiones por resolver en lo que respecta a directrices de examen aprobadas por el Comité Técnico</w:t>
      </w:r>
      <w:r w:rsidRPr="0061442A">
        <w:rPr>
          <w:rFonts w:cs="Arial"/>
        </w:rPr>
        <w:t xml:space="preserve"> </w:t>
      </w:r>
    </w:p>
    <w:p w:rsidR="00273DB6" w:rsidRPr="0061442A" w:rsidRDefault="00273DB6" w:rsidP="00B84D24">
      <w:pPr>
        <w:spacing w:line="280" w:lineRule="auto"/>
        <w:ind w:left="567"/>
        <w:rPr>
          <w:rFonts w:cs="Arial"/>
        </w:rPr>
      </w:pPr>
      <w:r w:rsidRPr="0061442A">
        <w:rPr>
          <w:rFonts w:cs="Arial"/>
        </w:rPr>
        <w:t>18.</w:t>
      </w:r>
      <w:r>
        <w:rPr>
          <w:rFonts w:cs="Arial"/>
        </w:rPr>
        <w:tab/>
      </w:r>
      <w:r w:rsidR="00B84D24" w:rsidRPr="00B84D24">
        <w:rPr>
          <w:rFonts w:cs="Arial"/>
        </w:rPr>
        <w:t>Propuestas de revisión parcial/correcciones de directrices de examen</w:t>
      </w:r>
    </w:p>
    <w:p w:rsidR="00273DB6" w:rsidRPr="0061442A" w:rsidRDefault="00273DB6" w:rsidP="00B84D24">
      <w:pPr>
        <w:spacing w:line="280" w:lineRule="auto"/>
        <w:ind w:left="567"/>
        <w:rPr>
          <w:rFonts w:cs="Arial"/>
        </w:rPr>
      </w:pPr>
      <w:r w:rsidRPr="0061442A">
        <w:rPr>
          <w:rFonts w:cs="Arial"/>
        </w:rPr>
        <w:t>19.</w:t>
      </w:r>
      <w:r>
        <w:rPr>
          <w:rFonts w:cs="Arial"/>
        </w:rPr>
        <w:tab/>
      </w:r>
      <w:r w:rsidR="00B84D24" w:rsidRPr="00B84D24">
        <w:rPr>
          <w:rFonts w:cs="Arial"/>
        </w:rPr>
        <w:t>Debates sobre proyectos de directrices de examen (subgrupos)</w:t>
      </w:r>
    </w:p>
    <w:p w:rsidR="00273DB6" w:rsidRPr="0061442A" w:rsidRDefault="00273DB6" w:rsidP="00B84D24">
      <w:pPr>
        <w:spacing w:line="280" w:lineRule="auto"/>
        <w:ind w:left="567"/>
        <w:rPr>
          <w:rFonts w:cs="Arial"/>
        </w:rPr>
      </w:pPr>
      <w:r w:rsidRPr="0061442A">
        <w:rPr>
          <w:rFonts w:cs="Arial"/>
        </w:rPr>
        <w:t>20.</w:t>
      </w:r>
      <w:r>
        <w:rPr>
          <w:rFonts w:cs="Arial"/>
        </w:rPr>
        <w:tab/>
      </w:r>
      <w:r w:rsidR="00B84D24" w:rsidRPr="00B84D24">
        <w:rPr>
          <w:rFonts w:cs="Arial"/>
        </w:rPr>
        <w:t>Recomendaciones sobre proyectos de directrices de examen</w:t>
      </w:r>
    </w:p>
    <w:p w:rsidR="00273DB6" w:rsidRPr="0061442A" w:rsidRDefault="00273DB6" w:rsidP="00B84D24">
      <w:pPr>
        <w:spacing w:line="280" w:lineRule="auto"/>
        <w:ind w:left="567"/>
        <w:rPr>
          <w:rFonts w:cs="Arial"/>
        </w:rPr>
      </w:pPr>
      <w:r w:rsidRPr="0061442A">
        <w:rPr>
          <w:rFonts w:cs="Arial"/>
        </w:rPr>
        <w:t>21.</w:t>
      </w:r>
      <w:r>
        <w:rPr>
          <w:rFonts w:cs="Arial"/>
        </w:rPr>
        <w:tab/>
      </w:r>
      <w:r w:rsidR="00B84D24" w:rsidRPr="00B84D24">
        <w:rPr>
          <w:rFonts w:cs="Arial"/>
        </w:rPr>
        <w:t>Orientación para los redactores de las directrices de examen</w:t>
      </w:r>
      <w:r w:rsidRPr="0061442A">
        <w:rPr>
          <w:rFonts w:cs="Arial"/>
        </w:rPr>
        <w:t xml:space="preserve"> </w:t>
      </w:r>
    </w:p>
    <w:p w:rsidR="00273DB6" w:rsidRPr="0061442A" w:rsidRDefault="00273DB6" w:rsidP="00B84D24">
      <w:pPr>
        <w:spacing w:line="280" w:lineRule="auto"/>
        <w:ind w:left="567"/>
        <w:rPr>
          <w:rFonts w:cs="Arial"/>
        </w:rPr>
      </w:pPr>
      <w:r w:rsidRPr="0061442A">
        <w:rPr>
          <w:rFonts w:cs="Arial"/>
        </w:rPr>
        <w:t>22.</w:t>
      </w:r>
      <w:r>
        <w:rPr>
          <w:rFonts w:cs="Arial"/>
        </w:rPr>
        <w:tab/>
      </w:r>
      <w:r w:rsidR="00B84D24" w:rsidRPr="00B84D24">
        <w:rPr>
          <w:rFonts w:cs="Arial"/>
        </w:rPr>
        <w:t>Fecha y lugar de la siguiente reunión</w:t>
      </w:r>
    </w:p>
    <w:p w:rsidR="00273DB6" w:rsidRPr="0061442A" w:rsidRDefault="00273DB6" w:rsidP="00B84D24">
      <w:pPr>
        <w:spacing w:line="280" w:lineRule="auto"/>
        <w:ind w:left="567"/>
        <w:rPr>
          <w:rFonts w:cs="Arial"/>
        </w:rPr>
      </w:pPr>
      <w:r w:rsidRPr="0061442A">
        <w:rPr>
          <w:rFonts w:cs="Arial"/>
        </w:rPr>
        <w:t>23.</w:t>
      </w:r>
      <w:r>
        <w:rPr>
          <w:rFonts w:cs="Arial"/>
        </w:rPr>
        <w:tab/>
      </w:r>
      <w:r w:rsidR="00B84D24" w:rsidRPr="00B84D24">
        <w:rPr>
          <w:rFonts w:cs="Arial"/>
        </w:rPr>
        <w:t>Futuro programa</w:t>
      </w:r>
    </w:p>
    <w:p w:rsidR="00273DB6" w:rsidRPr="0061442A" w:rsidRDefault="00273DB6" w:rsidP="00B84D24">
      <w:pPr>
        <w:spacing w:line="280" w:lineRule="auto"/>
        <w:ind w:left="567"/>
        <w:rPr>
          <w:rFonts w:cs="Arial"/>
        </w:rPr>
      </w:pPr>
      <w:r w:rsidRPr="0061442A">
        <w:rPr>
          <w:rFonts w:cs="Arial"/>
        </w:rPr>
        <w:t>24.</w:t>
      </w:r>
      <w:r>
        <w:rPr>
          <w:rFonts w:cs="Arial"/>
        </w:rPr>
        <w:tab/>
      </w:r>
      <w:r w:rsidR="00B84D24" w:rsidRPr="00B84D24">
        <w:rPr>
          <w:rFonts w:cs="Arial"/>
        </w:rPr>
        <w:t>Aprobación del informe de la reunión (si se dispone de tiempo suficiente)</w:t>
      </w:r>
    </w:p>
    <w:p w:rsidR="00273DB6" w:rsidRPr="0061442A" w:rsidRDefault="00273DB6" w:rsidP="00B84D24">
      <w:pPr>
        <w:spacing w:line="280" w:lineRule="auto"/>
        <w:ind w:left="567"/>
        <w:rPr>
          <w:rFonts w:cs="Arial"/>
        </w:rPr>
      </w:pPr>
      <w:r w:rsidRPr="0061442A">
        <w:rPr>
          <w:rFonts w:cs="Arial"/>
        </w:rPr>
        <w:t>25.</w:t>
      </w:r>
      <w:r>
        <w:rPr>
          <w:rFonts w:cs="Arial"/>
        </w:rPr>
        <w:tab/>
      </w:r>
      <w:r w:rsidR="00B84D24" w:rsidRPr="00B84D24">
        <w:rPr>
          <w:rFonts w:cs="Arial"/>
        </w:rPr>
        <w:t>Clausura de la reunión</w:t>
      </w:r>
    </w:p>
    <w:p w:rsidR="00273DB6" w:rsidRPr="0061442A" w:rsidRDefault="00273DB6" w:rsidP="00273DB6">
      <w:pPr>
        <w:rPr>
          <w:rFonts w:cs="Arial"/>
        </w:rPr>
      </w:pPr>
    </w:p>
    <w:p w:rsidR="00273DB6" w:rsidRDefault="007D43C5" w:rsidP="00273DB6">
      <w:pPr>
        <w:rPr>
          <w:shd w:val="clear" w:color="auto" w:fill="FFFFFF"/>
        </w:rPr>
      </w:pPr>
      <w:r>
        <w:rPr>
          <w:shd w:val="clear" w:color="auto" w:fill="FFFFFF"/>
        </w:rPr>
        <w:fldChar w:fldCharType="begin"/>
      </w:r>
      <w:r w:rsidR="00273DB6">
        <w:rPr>
          <w:shd w:val="clear" w:color="auto" w:fill="FFFFFF"/>
        </w:rPr>
        <w:instrText xml:space="preserve"> AUTONUM  </w:instrText>
      </w:r>
      <w:r>
        <w:rPr>
          <w:shd w:val="clear" w:color="auto" w:fill="FFFFFF"/>
        </w:rPr>
        <w:fldChar w:fldCharType="end"/>
      </w:r>
      <w:r w:rsidR="00273DB6">
        <w:rPr>
          <w:shd w:val="clear" w:color="auto" w:fill="FFFFFF"/>
        </w:rPr>
        <w:tab/>
      </w:r>
      <w:r w:rsidR="00290B2E" w:rsidRPr="00290B2E">
        <w:rPr>
          <w:shd w:val="clear" w:color="auto" w:fill="FFFFFF"/>
        </w:rPr>
        <w:t>El</w:t>
      </w:r>
      <w:r w:rsidR="007829E4">
        <w:rPr>
          <w:shd w:val="clear" w:color="auto" w:fill="FFFFFF"/>
        </w:rPr>
        <w:t> </w:t>
      </w:r>
      <w:r w:rsidR="007829E4" w:rsidRPr="00290B2E">
        <w:rPr>
          <w:shd w:val="clear" w:color="auto" w:fill="FFFFFF"/>
        </w:rPr>
        <w:t>1</w:t>
      </w:r>
      <w:r w:rsidR="00290B2E" w:rsidRPr="00290B2E">
        <w:rPr>
          <w:shd w:val="clear" w:color="auto" w:fill="FFFFFF"/>
        </w:rPr>
        <w:t>5 de junio de</w:t>
      </w:r>
      <w:r w:rsidR="007829E4">
        <w:rPr>
          <w:shd w:val="clear" w:color="auto" w:fill="FFFFFF"/>
        </w:rPr>
        <w:t> </w:t>
      </w:r>
      <w:r w:rsidR="007829E4" w:rsidRPr="00290B2E">
        <w:rPr>
          <w:shd w:val="clear" w:color="auto" w:fill="FFFFFF"/>
        </w:rPr>
        <w:t>2</w:t>
      </w:r>
      <w:r w:rsidR="00290B2E" w:rsidRPr="00290B2E">
        <w:rPr>
          <w:shd w:val="clear" w:color="auto" w:fill="FFFFFF"/>
        </w:rPr>
        <w:t>016 por la tarde</w:t>
      </w:r>
      <w:r w:rsidR="007829E4">
        <w:rPr>
          <w:shd w:val="clear" w:color="auto" w:fill="FFFFFF"/>
        </w:rPr>
        <w:t xml:space="preserve">, </w:t>
      </w:r>
      <w:r w:rsidR="00290B2E" w:rsidRPr="00290B2E">
        <w:rPr>
          <w:shd w:val="clear" w:color="auto" w:fill="FFFFFF"/>
        </w:rPr>
        <w:t>el TWO visitó Gang San Orchids</w:t>
      </w:r>
      <w:r w:rsidR="007829E4">
        <w:rPr>
          <w:shd w:val="clear" w:color="auto" w:fill="FFFFFF"/>
        </w:rPr>
        <w:t xml:space="preserve">, </w:t>
      </w:r>
      <w:r w:rsidR="00290B2E" w:rsidRPr="00290B2E">
        <w:rPr>
          <w:shd w:val="clear" w:color="auto" w:fill="FFFFFF"/>
        </w:rPr>
        <w:t>una empresa dedicada al fitomejoramiento y la producción de orquídeas situada en Busan (República de Corea).</w:t>
      </w:r>
      <w:r w:rsidR="00273DB6" w:rsidRPr="0061442A">
        <w:rPr>
          <w:shd w:val="clear" w:color="auto" w:fill="FFFFFF"/>
        </w:rPr>
        <w:t xml:space="preserve">  </w:t>
      </w:r>
      <w:r w:rsidR="00290B2E" w:rsidRPr="00290B2E">
        <w:rPr>
          <w:shd w:val="clear" w:color="auto" w:fill="FFFFFF"/>
        </w:rPr>
        <w:t>El TWO fue recibido por el Sr. Jae Hwan Soe</w:t>
      </w:r>
      <w:r w:rsidR="007829E4">
        <w:rPr>
          <w:shd w:val="clear" w:color="auto" w:fill="FFFFFF"/>
        </w:rPr>
        <w:t xml:space="preserve">, </w:t>
      </w:r>
      <w:r w:rsidR="00290B2E" w:rsidRPr="00290B2E">
        <w:rPr>
          <w:shd w:val="clear" w:color="auto" w:fill="FFFFFF"/>
        </w:rPr>
        <w:t xml:space="preserve">Director General de la empresa y asistió a una ponencia sobre el fitomejoramiento de </w:t>
      </w:r>
      <w:r w:rsidR="00290B2E" w:rsidRPr="00290B2E">
        <w:rPr>
          <w:i/>
          <w:shd w:val="clear" w:color="auto" w:fill="FFFFFF"/>
        </w:rPr>
        <w:t xml:space="preserve">Phalaenopsis </w:t>
      </w:r>
      <w:r w:rsidR="00290B2E" w:rsidRPr="00290B2E">
        <w:rPr>
          <w:shd w:val="clear" w:color="auto" w:fill="FFFFFF"/>
        </w:rPr>
        <w:t>en Gang San Orchids</w:t>
      </w:r>
      <w:r w:rsidR="007829E4">
        <w:rPr>
          <w:shd w:val="clear" w:color="auto" w:fill="FFFFFF"/>
        </w:rPr>
        <w:t xml:space="preserve">, </w:t>
      </w:r>
      <w:r w:rsidR="00290B2E" w:rsidRPr="00290B2E">
        <w:rPr>
          <w:shd w:val="clear" w:color="auto" w:fill="FFFFFF"/>
        </w:rPr>
        <w:t>que se reproduce en el anexo IV del documento TWO/49/25 Rev. “</w:t>
      </w:r>
      <w:r w:rsidR="00290B2E" w:rsidRPr="009B196C">
        <w:rPr>
          <w:i/>
          <w:shd w:val="clear" w:color="auto" w:fill="FFFFFF"/>
          <w:lang w:val="es-ES"/>
        </w:rPr>
        <w:t>Revised Report</w:t>
      </w:r>
      <w:r w:rsidR="00290B2E" w:rsidRPr="00290B2E">
        <w:rPr>
          <w:shd w:val="clear" w:color="auto" w:fill="FFFFFF"/>
        </w:rPr>
        <w:t>” (Informe revisado).</w:t>
      </w:r>
      <w:r w:rsidR="00273DB6" w:rsidRPr="0061442A">
        <w:rPr>
          <w:shd w:val="clear" w:color="auto" w:fill="FFFFFF"/>
        </w:rPr>
        <w:t xml:space="preserve">  </w:t>
      </w:r>
      <w:r w:rsidR="00290B2E" w:rsidRPr="00290B2E">
        <w:rPr>
          <w:shd w:val="clear" w:color="auto" w:fill="FFFFFF"/>
        </w:rPr>
        <w:t xml:space="preserve">El TWO recibió información sobre los programas de fitomejoramiento y las técnicas empleadas para la obtención de nuevas variedades de </w:t>
      </w:r>
      <w:r w:rsidR="00290B2E" w:rsidRPr="00290B2E">
        <w:rPr>
          <w:i/>
          <w:shd w:val="clear" w:color="auto" w:fill="FFFFFF"/>
        </w:rPr>
        <w:t xml:space="preserve">Phalaenopsis </w:t>
      </w:r>
      <w:r w:rsidR="00290B2E" w:rsidRPr="00290B2E">
        <w:rPr>
          <w:shd w:val="clear" w:color="auto" w:fill="FFFFFF"/>
        </w:rPr>
        <w:t>que dieron lugar a 23 variedades protegidas en la República de Corea y en el extranjero.</w:t>
      </w:r>
    </w:p>
    <w:p w:rsidR="00273DB6" w:rsidRDefault="00273DB6" w:rsidP="00273DB6">
      <w:pPr>
        <w:rPr>
          <w:rFonts w:cs="Arial"/>
        </w:rPr>
      </w:pPr>
    </w:p>
    <w:p w:rsidR="00273DB6" w:rsidRDefault="00273DB6" w:rsidP="00273DB6">
      <w:pPr>
        <w:rPr>
          <w:rFonts w:cs="Arial"/>
        </w:rPr>
      </w:pPr>
    </w:p>
    <w:p w:rsidR="00273DB6" w:rsidRPr="009B196C" w:rsidRDefault="00290B2E" w:rsidP="00273DB6">
      <w:pPr>
        <w:pStyle w:val="Heading3"/>
        <w:rPr>
          <w:lang w:val="es-ES"/>
        </w:rPr>
      </w:pPr>
      <w:bookmarkStart w:id="67" w:name="_Toc492290074"/>
      <w:r w:rsidRPr="00290B2E">
        <w:rPr>
          <w:lang w:val="es-ES_tradnl"/>
        </w:rPr>
        <w:t>Grupo de Trabajo Técnico sobre Hortalizas</w:t>
      </w:r>
      <w:bookmarkEnd w:id="67"/>
    </w:p>
    <w:p w:rsidR="00273DB6" w:rsidRDefault="00273DB6" w:rsidP="00273DB6">
      <w:pPr>
        <w:keepNext/>
      </w:pPr>
    </w:p>
    <w:p w:rsidR="00273DB6" w:rsidRDefault="007D43C5" w:rsidP="00273DB6">
      <w:pPr>
        <w:tabs>
          <w:tab w:val="left" w:pos="567"/>
        </w:tabs>
      </w:pPr>
      <w:r>
        <w:fldChar w:fldCharType="begin"/>
      </w:r>
      <w:r w:rsidR="00273DB6">
        <w:instrText xml:space="preserve"> AUTONUM  </w:instrText>
      </w:r>
      <w:r>
        <w:fldChar w:fldCharType="end"/>
      </w:r>
      <w:r w:rsidR="00273DB6">
        <w:tab/>
      </w:r>
      <w:r w:rsidR="00290B2E" w:rsidRPr="009772E8">
        <w:t xml:space="preserve">El Grupo de Trabajo Técnico sobre Hortalizas (TWV) celebró su quincuagésima reunión </w:t>
      </w:r>
      <w:r w:rsidR="007E4173" w:rsidRPr="009772E8">
        <w:t>del</w:t>
      </w:r>
      <w:r w:rsidR="007829E4">
        <w:t> </w:t>
      </w:r>
      <w:r w:rsidR="007829E4" w:rsidRPr="009772E8">
        <w:t>2</w:t>
      </w:r>
      <w:r w:rsidR="007E4173" w:rsidRPr="009772E8">
        <w:t>7 de junio al</w:t>
      </w:r>
      <w:r w:rsidR="007829E4">
        <w:t> </w:t>
      </w:r>
      <w:r w:rsidR="007829E4" w:rsidRPr="009772E8">
        <w:t>1</w:t>
      </w:r>
      <w:r w:rsidR="007E4173" w:rsidRPr="009772E8">
        <w:t xml:space="preserve"> de julio de</w:t>
      </w:r>
      <w:r w:rsidR="007829E4">
        <w:t> </w:t>
      </w:r>
      <w:r w:rsidR="007829E4" w:rsidRPr="009772E8">
        <w:t>2</w:t>
      </w:r>
      <w:r w:rsidR="007E4173" w:rsidRPr="009772E8">
        <w:t>016 en Brno (República Checa)</w:t>
      </w:r>
      <w:r w:rsidR="007829E4">
        <w:t xml:space="preserve">, </w:t>
      </w:r>
      <w:r w:rsidR="00290B2E" w:rsidRPr="009772E8">
        <w:t xml:space="preserve">bajo la presidencia </w:t>
      </w:r>
      <w:r w:rsidR="00124237" w:rsidRPr="009772E8">
        <w:t>de la</w:t>
      </w:r>
      <w:r w:rsidR="00290B2E" w:rsidRPr="009772E8">
        <w:t xml:space="preserve"> Sra</w:t>
      </w:r>
      <w:r w:rsidR="00124237" w:rsidRPr="009772E8">
        <w:t>. </w:t>
      </w:r>
      <w:r w:rsidR="00290B2E" w:rsidRPr="009772E8">
        <w:t>Swenja Tams (Alemania).</w:t>
      </w:r>
      <w:r w:rsidR="00290B2E">
        <w:t xml:space="preserve">  </w:t>
      </w:r>
      <w:r w:rsidR="009772E8" w:rsidRPr="009772E8">
        <w:t>El informe de la reunión figura en el documento TWV/50/25 “</w:t>
      </w:r>
      <w:r w:rsidR="009772E8" w:rsidRPr="009B196C">
        <w:rPr>
          <w:i/>
          <w:lang w:val="es-ES"/>
        </w:rPr>
        <w:t>Report</w:t>
      </w:r>
      <w:r w:rsidR="009772E8" w:rsidRPr="009772E8">
        <w:t>” (Informe).</w:t>
      </w:r>
    </w:p>
    <w:p w:rsidR="00273DB6" w:rsidRDefault="00273DB6" w:rsidP="00273DB6">
      <w:pPr>
        <w:tabs>
          <w:tab w:val="left" w:pos="567"/>
        </w:tabs>
      </w:pPr>
    </w:p>
    <w:p w:rsidR="00273DB6" w:rsidRDefault="007D43C5" w:rsidP="00273DB6">
      <w:pPr>
        <w:tabs>
          <w:tab w:val="left" w:pos="567"/>
        </w:tabs>
      </w:pPr>
      <w:r>
        <w:fldChar w:fldCharType="begin"/>
      </w:r>
      <w:r w:rsidR="00273DB6">
        <w:instrText xml:space="preserve"> AUTONUM  </w:instrText>
      </w:r>
      <w:r>
        <w:fldChar w:fldCharType="end"/>
      </w:r>
      <w:r w:rsidR="00273DB6">
        <w:tab/>
      </w:r>
      <w:r w:rsidR="009772E8" w:rsidRPr="00C333BF">
        <w:t>A la reunión asistieron</w:t>
      </w:r>
      <w:r w:rsidR="007829E4">
        <w:t> </w:t>
      </w:r>
      <w:r w:rsidR="007829E4" w:rsidRPr="00C333BF">
        <w:t>3</w:t>
      </w:r>
      <w:r w:rsidR="009772E8" w:rsidRPr="00C333BF">
        <w:t>7 participantes de 15 miembros de la Unión y</w:t>
      </w:r>
      <w:r w:rsidR="007829E4">
        <w:t> </w:t>
      </w:r>
      <w:r w:rsidR="007829E4" w:rsidRPr="00C333BF">
        <w:t>3</w:t>
      </w:r>
      <w:r w:rsidR="009772E8" w:rsidRPr="00C333BF">
        <w:t xml:space="preserve"> organizaciones en calidad de observadoras.</w:t>
      </w:r>
      <w:r w:rsidR="00273DB6" w:rsidRPr="008964B6">
        <w:t xml:space="preserve"> </w:t>
      </w:r>
      <w:r w:rsidR="00273DB6">
        <w:t xml:space="preserve"> </w:t>
      </w:r>
      <w:r w:rsidR="0085763E" w:rsidRPr="0085763E">
        <w:t>El taller preparatorio se llevó a cabo el</w:t>
      </w:r>
      <w:r w:rsidR="007829E4">
        <w:t> </w:t>
      </w:r>
      <w:r w:rsidR="007829E4" w:rsidRPr="0085763E">
        <w:t>2</w:t>
      </w:r>
      <w:r w:rsidR="0085763E" w:rsidRPr="0085763E">
        <w:t>6 de junio de</w:t>
      </w:r>
      <w:r w:rsidR="007829E4">
        <w:t> </w:t>
      </w:r>
      <w:r w:rsidR="007829E4" w:rsidRPr="0085763E">
        <w:t>2</w:t>
      </w:r>
      <w:r w:rsidR="0085763E" w:rsidRPr="0085763E">
        <w:t>016 [por la tarde] y contó con la asistencia de 19 participantes de</w:t>
      </w:r>
      <w:r w:rsidR="007829E4">
        <w:t> </w:t>
      </w:r>
      <w:r w:rsidR="007829E4" w:rsidRPr="0085763E">
        <w:t>8</w:t>
      </w:r>
      <w:r w:rsidR="0085763E" w:rsidRPr="0085763E">
        <w:t xml:space="preserve"> miembros de la Unión.</w:t>
      </w:r>
      <w:r w:rsidR="00273DB6">
        <w:t xml:space="preserve"> </w:t>
      </w:r>
    </w:p>
    <w:p w:rsidR="00273DB6" w:rsidRDefault="00273DB6" w:rsidP="00273DB6">
      <w:pPr>
        <w:tabs>
          <w:tab w:val="left" w:pos="567"/>
        </w:tabs>
      </w:pPr>
    </w:p>
    <w:p w:rsidR="00273DB6" w:rsidRDefault="007D43C5" w:rsidP="00273DB6">
      <w:pPr>
        <w:tabs>
          <w:tab w:val="left" w:pos="567"/>
        </w:tabs>
      </w:pPr>
      <w:r>
        <w:fldChar w:fldCharType="begin"/>
      </w:r>
      <w:r w:rsidR="00273DB6">
        <w:instrText xml:space="preserve"> AUTONUM  </w:instrText>
      </w:r>
      <w:r>
        <w:fldChar w:fldCharType="end"/>
      </w:r>
      <w:r w:rsidR="00273DB6">
        <w:tab/>
      </w:r>
      <w:r w:rsidR="0085763E" w:rsidRPr="00375376">
        <w:t>Dio la bienvenida al TWV el Sr.</w:t>
      </w:r>
      <w:r w:rsidR="00375376" w:rsidRPr="00375376">
        <w:t> </w:t>
      </w:r>
      <w:r w:rsidR="0085763E" w:rsidRPr="00375376">
        <w:t>Daniel Jurečka</w:t>
      </w:r>
      <w:r w:rsidR="007829E4">
        <w:t xml:space="preserve">, </w:t>
      </w:r>
      <w:r w:rsidR="0085763E" w:rsidRPr="00375376">
        <w:t xml:space="preserve">Director General del </w:t>
      </w:r>
      <w:r w:rsidR="00375376" w:rsidRPr="00375376">
        <w:t>Instituto Central de Supervisión y Exámenes Agrícolas (</w:t>
      </w:r>
      <w:r w:rsidR="0085763E" w:rsidRPr="00375376">
        <w:t>ÚKZÚZ</w:t>
      </w:r>
      <w:r w:rsidR="00375376" w:rsidRPr="00375376">
        <w:t>).</w:t>
      </w:r>
      <w:r w:rsidR="00273DB6">
        <w:t xml:space="preserve">  </w:t>
      </w:r>
      <w:r w:rsidR="00375376" w:rsidRPr="00375376">
        <w:t>El Sr. Jiří Urban</w:t>
      </w:r>
      <w:r w:rsidR="007829E4">
        <w:t xml:space="preserve">, </w:t>
      </w:r>
      <w:r w:rsidR="00375376" w:rsidRPr="00375376">
        <w:t>Director del Departamento de Producción Vegetal del ÚKZÚZ</w:t>
      </w:r>
      <w:r w:rsidR="007829E4">
        <w:t xml:space="preserve">, </w:t>
      </w:r>
      <w:r w:rsidR="00375376" w:rsidRPr="00375376">
        <w:t>presentó una ponencia sobre su departamento y el Sr. Tomáš Mezlík</w:t>
      </w:r>
      <w:r w:rsidR="007829E4">
        <w:t xml:space="preserve">, </w:t>
      </w:r>
      <w:r w:rsidR="00375376" w:rsidRPr="00375376">
        <w:t>Director la Oficina Nacional de Variedades Vegetales</w:t>
      </w:r>
      <w:r w:rsidR="007829E4">
        <w:t xml:space="preserve">, </w:t>
      </w:r>
      <w:r w:rsidR="00375376" w:rsidRPr="00375376">
        <w:t>presentó una ponencia sobre esta oficina.</w:t>
      </w:r>
    </w:p>
    <w:p w:rsidR="00273DB6" w:rsidRPr="00D16B35" w:rsidRDefault="00273DB6" w:rsidP="00273DB6">
      <w:pPr>
        <w:tabs>
          <w:tab w:val="left" w:pos="567"/>
        </w:tabs>
      </w:pPr>
    </w:p>
    <w:p w:rsidR="00273DB6" w:rsidRDefault="007D43C5" w:rsidP="00273DB6">
      <w:pPr>
        <w:tabs>
          <w:tab w:val="left" w:pos="567"/>
        </w:tabs>
        <w:rPr>
          <w:color w:val="000000"/>
        </w:rPr>
      </w:pPr>
      <w:r>
        <w:rPr>
          <w:color w:val="000000"/>
        </w:rPr>
        <w:fldChar w:fldCharType="begin"/>
      </w:r>
      <w:r w:rsidR="00273DB6">
        <w:rPr>
          <w:color w:val="000000"/>
        </w:rPr>
        <w:instrText xml:space="preserve"> AUTONUM  </w:instrText>
      </w:r>
      <w:r>
        <w:rPr>
          <w:color w:val="000000"/>
        </w:rPr>
        <w:fldChar w:fldCharType="end"/>
      </w:r>
      <w:r w:rsidR="00273DB6">
        <w:rPr>
          <w:color w:val="000000"/>
        </w:rPr>
        <w:tab/>
      </w:r>
      <w:r w:rsidR="00F9764D" w:rsidRPr="00F9764D">
        <w:rPr>
          <w:color w:val="000000"/>
        </w:rPr>
        <w:t>El</w:t>
      </w:r>
      <w:r w:rsidR="007829E4">
        <w:rPr>
          <w:color w:val="000000"/>
        </w:rPr>
        <w:t> </w:t>
      </w:r>
      <w:r w:rsidR="007829E4" w:rsidRPr="00F9764D">
        <w:rPr>
          <w:color w:val="000000"/>
        </w:rPr>
        <w:t>2</w:t>
      </w:r>
      <w:r w:rsidR="00F9764D" w:rsidRPr="00F9764D">
        <w:rPr>
          <w:color w:val="000000"/>
        </w:rPr>
        <w:t>9 de junio de</w:t>
      </w:r>
      <w:r w:rsidR="007829E4">
        <w:rPr>
          <w:color w:val="000000"/>
        </w:rPr>
        <w:t> </w:t>
      </w:r>
      <w:r w:rsidR="007829E4" w:rsidRPr="00F9764D">
        <w:rPr>
          <w:color w:val="000000"/>
        </w:rPr>
        <w:t>2</w:t>
      </w:r>
      <w:r w:rsidR="00F9764D" w:rsidRPr="00F9764D">
        <w:rPr>
          <w:color w:val="000000"/>
        </w:rPr>
        <w:t>016</w:t>
      </w:r>
      <w:r w:rsidR="007829E4">
        <w:rPr>
          <w:color w:val="000000"/>
        </w:rPr>
        <w:t xml:space="preserve">, </w:t>
      </w:r>
      <w:r w:rsidR="00F9764D" w:rsidRPr="00F9764D">
        <w:rPr>
          <w:color w:val="000000"/>
        </w:rPr>
        <w:t>por la tarde</w:t>
      </w:r>
      <w:r w:rsidR="007829E4">
        <w:rPr>
          <w:color w:val="000000"/>
        </w:rPr>
        <w:t xml:space="preserve">, </w:t>
      </w:r>
      <w:r w:rsidR="00F9764D" w:rsidRPr="00F9764D">
        <w:rPr>
          <w:color w:val="000000"/>
        </w:rPr>
        <w:t>el TWV visitó la estación experimental de Chrlice</w:t>
      </w:r>
      <w:r w:rsidR="007829E4">
        <w:rPr>
          <w:color w:val="000000"/>
        </w:rPr>
        <w:t xml:space="preserve">, </w:t>
      </w:r>
      <w:r w:rsidR="00F9764D" w:rsidRPr="00F9764D">
        <w:rPr>
          <w:color w:val="000000"/>
        </w:rPr>
        <w:t>una de las 15 estaciones experimentales del ÚKZÚZ</w:t>
      </w:r>
      <w:r w:rsidR="007829E4">
        <w:rPr>
          <w:color w:val="000000"/>
        </w:rPr>
        <w:t xml:space="preserve">, </w:t>
      </w:r>
      <w:r w:rsidR="00F9764D" w:rsidRPr="00F9764D">
        <w:rPr>
          <w:color w:val="000000"/>
        </w:rPr>
        <w:t>en que principalmente se llevan a cabo exámenes DHE y ensayos de determinación del valor para el cultivo y la utilización (VCU) de cultivos extensivos y hortícolas.</w:t>
      </w:r>
      <w:r w:rsidR="00273DB6" w:rsidRPr="00D16B35">
        <w:rPr>
          <w:color w:val="000000"/>
        </w:rPr>
        <w:t xml:space="preserve">  </w:t>
      </w:r>
      <w:r w:rsidR="00F9764D" w:rsidRPr="00F9764D">
        <w:rPr>
          <w:color w:val="000000"/>
        </w:rPr>
        <w:t>Dio la bienvenida al TWV el Sr. Tomáš Jan</w:t>
      </w:r>
      <w:r w:rsidR="007829E4">
        <w:rPr>
          <w:color w:val="000000"/>
        </w:rPr>
        <w:t xml:space="preserve">, </w:t>
      </w:r>
      <w:r w:rsidR="00F9764D" w:rsidRPr="00F9764D">
        <w:rPr>
          <w:color w:val="000000"/>
        </w:rPr>
        <w:t>Director de la estación experimental del ÚKZÚZ.</w:t>
      </w:r>
      <w:r w:rsidR="00273DB6" w:rsidRPr="00D16B35">
        <w:rPr>
          <w:color w:val="000000"/>
        </w:rPr>
        <w:t xml:space="preserve">  </w:t>
      </w:r>
      <w:r w:rsidR="00F9764D" w:rsidRPr="00F9764D">
        <w:rPr>
          <w:color w:val="000000"/>
        </w:rPr>
        <w:t>El TWV visitó varios ensayos DHE de coliflor</w:t>
      </w:r>
      <w:r w:rsidR="007829E4">
        <w:rPr>
          <w:color w:val="000000"/>
        </w:rPr>
        <w:t xml:space="preserve">, </w:t>
      </w:r>
      <w:r w:rsidR="00F9764D" w:rsidRPr="00F9764D">
        <w:rPr>
          <w:color w:val="000000"/>
        </w:rPr>
        <w:t>pepino y pepinillo</w:t>
      </w:r>
      <w:r w:rsidR="007829E4">
        <w:rPr>
          <w:color w:val="000000"/>
        </w:rPr>
        <w:t xml:space="preserve">, </w:t>
      </w:r>
      <w:r w:rsidR="00F9764D" w:rsidRPr="00F9764D">
        <w:rPr>
          <w:color w:val="000000"/>
        </w:rPr>
        <w:t>tomate</w:t>
      </w:r>
      <w:r w:rsidR="007829E4">
        <w:rPr>
          <w:color w:val="000000"/>
        </w:rPr>
        <w:t xml:space="preserve">, </w:t>
      </w:r>
      <w:r w:rsidR="00F9764D" w:rsidRPr="00F9764D">
        <w:rPr>
          <w:color w:val="000000"/>
        </w:rPr>
        <w:t>ajo</w:t>
      </w:r>
      <w:r w:rsidR="007829E4">
        <w:rPr>
          <w:color w:val="000000"/>
        </w:rPr>
        <w:t xml:space="preserve">, </w:t>
      </w:r>
      <w:r w:rsidR="00F9764D" w:rsidRPr="00F9764D">
        <w:rPr>
          <w:color w:val="000000"/>
        </w:rPr>
        <w:t>cebolla</w:t>
      </w:r>
      <w:r w:rsidR="007829E4">
        <w:rPr>
          <w:color w:val="000000"/>
        </w:rPr>
        <w:t xml:space="preserve">, </w:t>
      </w:r>
      <w:r w:rsidR="00F9764D" w:rsidRPr="00F9764D">
        <w:rPr>
          <w:color w:val="000000"/>
        </w:rPr>
        <w:t>guisante</w:t>
      </w:r>
      <w:r w:rsidR="007829E4">
        <w:rPr>
          <w:color w:val="000000"/>
        </w:rPr>
        <w:t xml:space="preserve">, </w:t>
      </w:r>
      <w:r w:rsidR="00F9764D" w:rsidRPr="00F9764D">
        <w:rPr>
          <w:color w:val="000000"/>
        </w:rPr>
        <w:t>pimiento y alfalfa</w:t>
      </w:r>
      <w:r w:rsidR="007829E4">
        <w:rPr>
          <w:color w:val="000000"/>
        </w:rPr>
        <w:t xml:space="preserve">, </w:t>
      </w:r>
      <w:r w:rsidR="00F9764D" w:rsidRPr="00F9764D">
        <w:rPr>
          <w:color w:val="000000"/>
        </w:rPr>
        <w:t>entre otros cultivos.</w:t>
      </w:r>
    </w:p>
    <w:p w:rsidR="00273DB6" w:rsidRPr="00D16B35" w:rsidRDefault="00273DB6" w:rsidP="00273DB6">
      <w:pPr>
        <w:tabs>
          <w:tab w:val="left" w:pos="567"/>
        </w:tabs>
        <w:rPr>
          <w:color w:val="000000"/>
        </w:rPr>
      </w:pPr>
    </w:p>
    <w:p w:rsidR="00273DB6" w:rsidRDefault="007D43C5" w:rsidP="00273DB6">
      <w:pPr>
        <w:tabs>
          <w:tab w:val="left" w:pos="567"/>
        </w:tabs>
        <w:rPr>
          <w:color w:val="000000"/>
        </w:rPr>
      </w:pPr>
      <w:r>
        <w:rPr>
          <w:color w:val="000000"/>
        </w:rPr>
        <w:fldChar w:fldCharType="begin"/>
      </w:r>
      <w:r w:rsidR="00273DB6">
        <w:rPr>
          <w:color w:val="000000"/>
        </w:rPr>
        <w:instrText xml:space="preserve"> AUTONUM  </w:instrText>
      </w:r>
      <w:r>
        <w:rPr>
          <w:color w:val="000000"/>
        </w:rPr>
        <w:fldChar w:fldCharType="end"/>
      </w:r>
      <w:r w:rsidR="00273DB6">
        <w:rPr>
          <w:color w:val="000000"/>
        </w:rPr>
        <w:tab/>
      </w:r>
      <w:r w:rsidR="00F9764D" w:rsidRPr="00F9764D">
        <w:rPr>
          <w:color w:val="000000"/>
        </w:rPr>
        <w:t>El TWV también visitó la empresa SEMO dedicada al fitomejoramiento de hortalizas en Smržice</w:t>
      </w:r>
      <w:r w:rsidR="007829E4">
        <w:rPr>
          <w:color w:val="000000"/>
        </w:rPr>
        <w:t xml:space="preserve">, </w:t>
      </w:r>
      <w:r w:rsidR="00F9764D" w:rsidRPr="00F9764D">
        <w:rPr>
          <w:color w:val="000000"/>
        </w:rPr>
        <w:t>donde lo recibió el Sr. Jan Prášil</w:t>
      </w:r>
      <w:r w:rsidR="007829E4">
        <w:rPr>
          <w:color w:val="000000"/>
        </w:rPr>
        <w:t xml:space="preserve">, </w:t>
      </w:r>
      <w:r w:rsidR="00F9764D" w:rsidRPr="00F9764D">
        <w:rPr>
          <w:color w:val="000000"/>
        </w:rPr>
        <w:t>Director de SEMO</w:t>
      </w:r>
      <w:r w:rsidR="007829E4">
        <w:rPr>
          <w:color w:val="000000"/>
        </w:rPr>
        <w:t xml:space="preserve">, </w:t>
      </w:r>
      <w:r w:rsidR="00F9764D" w:rsidRPr="00F9764D">
        <w:rPr>
          <w:color w:val="000000"/>
        </w:rPr>
        <w:t>el Sr. Vladislav Janeček</w:t>
      </w:r>
      <w:r w:rsidR="007829E4">
        <w:rPr>
          <w:color w:val="000000"/>
        </w:rPr>
        <w:t xml:space="preserve">, </w:t>
      </w:r>
      <w:r w:rsidR="00F9764D" w:rsidRPr="00F9764D">
        <w:rPr>
          <w:color w:val="000000"/>
        </w:rPr>
        <w:t>Director de Mercado de Hortalizas</w:t>
      </w:r>
      <w:r w:rsidR="007829E4">
        <w:rPr>
          <w:color w:val="000000"/>
        </w:rPr>
        <w:t xml:space="preserve">, </w:t>
      </w:r>
      <w:r w:rsidR="00F9764D" w:rsidRPr="00F9764D">
        <w:rPr>
          <w:color w:val="000000"/>
        </w:rPr>
        <w:t>y el Sr. Jan Zavadil</w:t>
      </w:r>
      <w:r w:rsidR="007829E4">
        <w:rPr>
          <w:color w:val="000000"/>
        </w:rPr>
        <w:t xml:space="preserve">, </w:t>
      </w:r>
      <w:r w:rsidR="00F9764D" w:rsidRPr="00F9764D">
        <w:rPr>
          <w:color w:val="000000"/>
        </w:rPr>
        <w:t>obtentor de pimiento y lechuga.</w:t>
      </w:r>
      <w:r w:rsidR="00273DB6" w:rsidRPr="00D16B35">
        <w:rPr>
          <w:color w:val="000000"/>
        </w:rPr>
        <w:t xml:space="preserve">  </w:t>
      </w:r>
      <w:r w:rsidR="00C82F83" w:rsidRPr="0035091A">
        <w:rPr>
          <w:color w:val="000000"/>
        </w:rPr>
        <w:t>En las instalaciones de SEMO</w:t>
      </w:r>
      <w:r w:rsidR="007829E4">
        <w:rPr>
          <w:color w:val="000000"/>
        </w:rPr>
        <w:t xml:space="preserve">, </w:t>
      </w:r>
      <w:r w:rsidR="00C82F83" w:rsidRPr="0035091A">
        <w:rPr>
          <w:color w:val="000000"/>
        </w:rPr>
        <w:t>el TWV visitó ensayos de fitomejoramiento de diversas especies hortícolas y debatió la repercusión de caracteres específicos de resistencia a las enfermedades en las iniciativas de los fitomejoradores durante la obtención de una variedad.</w:t>
      </w:r>
    </w:p>
    <w:p w:rsidR="00273DB6" w:rsidRPr="00D16B35" w:rsidRDefault="00273DB6" w:rsidP="00273DB6">
      <w:pPr>
        <w:tabs>
          <w:tab w:val="left" w:pos="567"/>
        </w:tabs>
        <w:rPr>
          <w:color w:val="000000"/>
        </w:rPr>
      </w:pPr>
    </w:p>
    <w:p w:rsidR="00273DB6" w:rsidRDefault="007D43C5" w:rsidP="00273DB6">
      <w:pPr>
        <w:tabs>
          <w:tab w:val="left" w:pos="567"/>
        </w:tabs>
      </w:pPr>
      <w:r>
        <w:fldChar w:fldCharType="begin"/>
      </w:r>
      <w:r w:rsidR="00273DB6">
        <w:instrText xml:space="preserve"> AUTONUM  </w:instrText>
      </w:r>
      <w:r>
        <w:fldChar w:fldCharType="end"/>
      </w:r>
      <w:r w:rsidR="00273DB6">
        <w:tab/>
      </w:r>
      <w:r w:rsidR="0035091A" w:rsidRPr="0035091A">
        <w:t>El TWV examinó las revisiones de los documentos TGP.</w:t>
      </w:r>
      <w:r w:rsidR="00642BCD">
        <w:t xml:space="preserve">  </w:t>
      </w:r>
      <w:r w:rsidR="0035091A" w:rsidRPr="0035091A">
        <w:t>En general</w:t>
      </w:r>
      <w:r w:rsidR="007829E4">
        <w:t xml:space="preserve">, </w:t>
      </w:r>
      <w:r w:rsidR="0035091A" w:rsidRPr="0035091A">
        <w:t>a continuación no hubo un debate controvertido.</w:t>
      </w:r>
      <w:r w:rsidR="00642BCD">
        <w:t xml:space="preserve">  </w:t>
      </w:r>
      <w:r w:rsidR="0035091A" w:rsidRPr="0035091A">
        <w:t>El TWV analizó la orientación propuesta para el examen DHE de muestras en bloque (documento TWV/50/11) y destacó la necesidad de contar con plantas suficientes para disponer de una gama completa de expresiones de variación de un carácter y</w:t>
      </w:r>
      <w:r w:rsidR="007829E4">
        <w:t xml:space="preserve">, </w:t>
      </w:r>
      <w:r w:rsidR="0035091A" w:rsidRPr="0035091A">
        <w:t>por lo tanto</w:t>
      </w:r>
      <w:r w:rsidR="007829E4">
        <w:t xml:space="preserve">, </w:t>
      </w:r>
      <w:r w:rsidR="0035091A" w:rsidRPr="0035091A">
        <w:t>manifestó que no era partidario del planteamiento de reducir el número de plantas.</w:t>
      </w:r>
      <w:r w:rsidR="00273DB6" w:rsidRPr="00D16B35">
        <w:t xml:space="preserve"> </w:t>
      </w:r>
    </w:p>
    <w:p w:rsidR="00273DB6" w:rsidRPr="00D16B35" w:rsidRDefault="00273DB6" w:rsidP="00273DB6">
      <w:pPr>
        <w:tabs>
          <w:tab w:val="left" w:pos="567"/>
        </w:tabs>
      </w:pPr>
    </w:p>
    <w:p w:rsidR="00273DB6" w:rsidRDefault="007D43C5" w:rsidP="00273DB6">
      <w:pPr>
        <w:tabs>
          <w:tab w:val="left" w:pos="567"/>
        </w:tabs>
      </w:pPr>
      <w:r>
        <w:fldChar w:fldCharType="begin"/>
      </w:r>
      <w:r w:rsidR="00273DB6">
        <w:instrText xml:space="preserve"> AUTONUM  </w:instrText>
      </w:r>
      <w:r>
        <w:fldChar w:fldCharType="end"/>
      </w:r>
      <w:r w:rsidR="00273DB6">
        <w:tab/>
      </w:r>
      <w:r w:rsidR="005A7D01" w:rsidRPr="005A7D01">
        <w:t>El TWV asistió a ponencias</w:t>
      </w:r>
      <w:r w:rsidR="007829E4">
        <w:t xml:space="preserve">, </w:t>
      </w:r>
      <w:r w:rsidR="005A7D01" w:rsidRPr="005A7D01">
        <w:t>seguidas de debate</w:t>
      </w:r>
      <w:r w:rsidR="007829E4">
        <w:t xml:space="preserve">, </w:t>
      </w:r>
      <w:r w:rsidR="005A7D01" w:rsidRPr="005A7D01">
        <w:t>en el marco del punto del orden del día “Nuevas cuestiones que se plantean en relación con el examen DHE”.</w:t>
      </w:r>
      <w:r w:rsidR="00642BCD">
        <w:t xml:space="preserve">  </w:t>
      </w:r>
      <w:r w:rsidR="005A7D01" w:rsidRPr="005A7D01">
        <w:t>El TWV expresó preocupaciones acerca de la rapidez con que se llevan a cabo las revisiones parciales de las directrices de examen</w:t>
      </w:r>
      <w:r w:rsidR="007829E4">
        <w:t xml:space="preserve">, </w:t>
      </w:r>
      <w:r w:rsidR="005A7D01" w:rsidRPr="005A7D01">
        <w:t>en especial las relativas a los caracteres de resistencia a las enfermedades.</w:t>
      </w:r>
      <w:r w:rsidR="00642BCD">
        <w:t xml:space="preserve">  </w:t>
      </w:r>
      <w:r w:rsidR="005A7D01" w:rsidRPr="00A81A25">
        <w:t>El TWV convino en que sería importante tener la oportunidad de proponer revisiones parciales en el período posterior a la sesión del TC y anterior a la reunión de este grupo de trabajo técnico.</w:t>
      </w:r>
      <w:r w:rsidR="00273DB6" w:rsidRPr="00D16B35">
        <w:t xml:space="preserve">  </w:t>
      </w:r>
    </w:p>
    <w:p w:rsidR="00273DB6" w:rsidRPr="00D16B35" w:rsidRDefault="00273DB6" w:rsidP="00273DB6">
      <w:pPr>
        <w:tabs>
          <w:tab w:val="left" w:pos="567"/>
        </w:tabs>
      </w:pPr>
    </w:p>
    <w:p w:rsidR="00273DB6" w:rsidRDefault="007D43C5" w:rsidP="00273DB6">
      <w:pPr>
        <w:tabs>
          <w:tab w:val="left" w:pos="567"/>
        </w:tabs>
      </w:pPr>
      <w:r>
        <w:fldChar w:fldCharType="begin"/>
      </w:r>
      <w:r w:rsidR="00273DB6">
        <w:instrText xml:space="preserve"> AUTONUM  </w:instrText>
      </w:r>
      <w:r>
        <w:fldChar w:fldCharType="end"/>
      </w:r>
      <w:r w:rsidR="00273DB6">
        <w:tab/>
      </w:r>
      <w:r w:rsidR="00A81A25" w:rsidRPr="00A81A25">
        <w:t>El TWV asistió a ponencias</w:t>
      </w:r>
      <w:r w:rsidR="007829E4">
        <w:t xml:space="preserve">, </w:t>
      </w:r>
      <w:r w:rsidR="00A81A25" w:rsidRPr="00A81A25">
        <w:t>seguidas de debate</w:t>
      </w:r>
      <w:r w:rsidR="007829E4">
        <w:t xml:space="preserve">, </w:t>
      </w:r>
      <w:r w:rsidR="00A81A25" w:rsidRPr="00A81A25">
        <w:t>sobre “El número mínimo de ciclos de cultivo” a cargo de Francia y los Países Bajos.</w:t>
      </w:r>
      <w:r w:rsidR="00642BCD">
        <w:t xml:space="preserve">  </w:t>
      </w:r>
      <w:r w:rsidR="00A81A25" w:rsidRPr="00A81A25">
        <w:t>El TWV convino en que el número de ciclos de cultivo se debía analizar caso por caso para diseñar el examen DHE de la manera más eficiente y eficaz posible.</w:t>
      </w:r>
      <w:r w:rsidR="00273DB6" w:rsidRPr="00D16B35">
        <w:t xml:space="preserve">  </w:t>
      </w:r>
    </w:p>
    <w:p w:rsidR="00273DB6" w:rsidRPr="00D16B35" w:rsidRDefault="00273DB6" w:rsidP="00273DB6">
      <w:pPr>
        <w:tabs>
          <w:tab w:val="left" w:pos="567"/>
        </w:tabs>
      </w:pPr>
    </w:p>
    <w:p w:rsidR="00273DB6" w:rsidRDefault="007D43C5" w:rsidP="00273DB6">
      <w:pPr>
        <w:tabs>
          <w:tab w:val="left" w:pos="567"/>
        </w:tabs>
      </w:pPr>
      <w:r>
        <w:fldChar w:fldCharType="begin"/>
      </w:r>
      <w:r w:rsidR="00273DB6">
        <w:instrText xml:space="preserve"> AUTONUM  </w:instrText>
      </w:r>
      <w:r>
        <w:fldChar w:fldCharType="end"/>
      </w:r>
      <w:r w:rsidR="00273DB6">
        <w:tab/>
      </w:r>
      <w:r w:rsidR="00673B15" w:rsidRPr="00673B15">
        <w:t>Se revisaron los proyectos de directrices de examen del champiñón</w:t>
      </w:r>
      <w:r w:rsidR="007829E4">
        <w:t xml:space="preserve">, </w:t>
      </w:r>
      <w:r w:rsidR="00673B15" w:rsidRPr="00673B15">
        <w:t>la achicoria de hoja</w:t>
      </w:r>
      <w:r w:rsidR="007829E4">
        <w:t xml:space="preserve">, </w:t>
      </w:r>
      <w:r w:rsidR="00673B15" w:rsidRPr="00673B15">
        <w:t>la endivia y la lechuga y se sometieron a la aprobación del TC.</w:t>
      </w:r>
      <w:r w:rsidR="00642BCD">
        <w:t xml:space="preserve">  </w:t>
      </w:r>
      <w:r w:rsidR="00673B15" w:rsidRPr="00673B15">
        <w:t>Se acordaron revisiones parciales de los caracteres de resistencia a las enfermedades en las directrices de examen del tomate y una revisión parcial relativa a la cobertura de las directrices de examen del portainjertos de tomate.</w:t>
      </w:r>
      <w:r w:rsidR="00273DB6" w:rsidRPr="00D16B35">
        <w:t xml:space="preserve"> </w:t>
      </w:r>
    </w:p>
    <w:p w:rsidR="00273DB6" w:rsidRPr="00D16B35" w:rsidRDefault="00273DB6" w:rsidP="00273DB6">
      <w:pPr>
        <w:tabs>
          <w:tab w:val="left" w:pos="567"/>
        </w:tabs>
      </w:pPr>
    </w:p>
    <w:p w:rsidR="00273DB6" w:rsidRDefault="007D43C5" w:rsidP="00273DB6">
      <w:pPr>
        <w:tabs>
          <w:tab w:val="left" w:pos="567"/>
        </w:tabs>
      </w:pPr>
      <w:r>
        <w:fldChar w:fldCharType="begin"/>
      </w:r>
      <w:r w:rsidR="00273DB6">
        <w:instrText xml:space="preserve"> AUTONUM  </w:instrText>
      </w:r>
      <w:r>
        <w:fldChar w:fldCharType="end"/>
      </w:r>
      <w:r w:rsidR="00273DB6">
        <w:tab/>
      </w:r>
      <w:r w:rsidR="00673B15" w:rsidRPr="00673B15">
        <w:t>En su quincuagésima primera reunión</w:t>
      </w:r>
      <w:r w:rsidR="007829E4">
        <w:t xml:space="preserve">, </w:t>
      </w:r>
      <w:r w:rsidR="00673B15" w:rsidRPr="00673B15">
        <w:t>el TWV tiene previsto examinar tres nuevas directrices de examen</w:t>
      </w:r>
      <w:r w:rsidR="007829E4">
        <w:t xml:space="preserve">, </w:t>
      </w:r>
      <w:r w:rsidR="007829E4" w:rsidRPr="00673B15">
        <w:t>3</w:t>
      </w:r>
      <w:r w:rsidR="00673B15" w:rsidRPr="00673B15">
        <w:t xml:space="preserve"> revisiones de directrices de examen</w:t>
      </w:r>
      <w:r w:rsidR="007829E4">
        <w:t xml:space="preserve">, </w:t>
      </w:r>
      <w:r w:rsidR="00673B15" w:rsidRPr="00673B15">
        <w:t>y</w:t>
      </w:r>
      <w:r w:rsidR="007829E4">
        <w:t> </w:t>
      </w:r>
      <w:r w:rsidR="007829E4" w:rsidRPr="00673B15">
        <w:t>8</w:t>
      </w:r>
      <w:r w:rsidR="00673B15" w:rsidRPr="00673B15">
        <w:t xml:space="preserve"> revisiones parciales (principalmente relativas a caracteres de resistencia a las enfermedades).</w:t>
      </w:r>
      <w:r w:rsidR="00273DB6" w:rsidRPr="00D16B35">
        <w:t xml:space="preserve"> </w:t>
      </w:r>
    </w:p>
    <w:p w:rsidR="00273DB6" w:rsidRPr="00D16B35" w:rsidRDefault="00273DB6" w:rsidP="00273DB6">
      <w:pPr>
        <w:tabs>
          <w:tab w:val="left" w:pos="567"/>
        </w:tabs>
      </w:pPr>
    </w:p>
    <w:p w:rsidR="00273DB6" w:rsidRDefault="007D43C5" w:rsidP="00273DB6">
      <w:pPr>
        <w:tabs>
          <w:tab w:val="left" w:pos="567"/>
        </w:tabs>
      </w:pPr>
      <w:r>
        <w:fldChar w:fldCharType="begin"/>
      </w:r>
      <w:r w:rsidR="00273DB6">
        <w:instrText xml:space="preserve"> AUTONUM  </w:instrText>
      </w:r>
      <w:r>
        <w:fldChar w:fldCharType="end"/>
      </w:r>
      <w:r w:rsidR="00273DB6">
        <w:tab/>
      </w:r>
      <w:r w:rsidR="00673B15" w:rsidRPr="00673B15">
        <w:t>Por invitación de los Países Bajos</w:t>
      </w:r>
      <w:r w:rsidR="007829E4">
        <w:t xml:space="preserve">, </w:t>
      </w:r>
      <w:r w:rsidR="00673B15" w:rsidRPr="00673B15">
        <w:t>el TWV convino en celebrar su quincuagésima primera reunión cerca de Roelofarendsveen del</w:t>
      </w:r>
      <w:r w:rsidR="007829E4">
        <w:t> </w:t>
      </w:r>
      <w:r w:rsidR="007829E4" w:rsidRPr="00673B15">
        <w:t>3</w:t>
      </w:r>
      <w:r w:rsidR="00673B15" w:rsidRPr="00673B15">
        <w:t xml:space="preserve"> al</w:t>
      </w:r>
      <w:r w:rsidR="007829E4">
        <w:t> </w:t>
      </w:r>
      <w:r w:rsidR="007829E4" w:rsidRPr="00673B15">
        <w:t>7</w:t>
      </w:r>
      <w:r w:rsidR="00673B15" w:rsidRPr="00673B15">
        <w:t xml:space="preserve"> de julio de</w:t>
      </w:r>
      <w:r w:rsidR="007829E4">
        <w:t> </w:t>
      </w:r>
      <w:r w:rsidR="007829E4" w:rsidRPr="00673B15">
        <w:t>2</w:t>
      </w:r>
      <w:r w:rsidR="00673B15" w:rsidRPr="00673B15">
        <w:t>017.</w:t>
      </w:r>
      <w:r w:rsidR="00642BCD" w:rsidRPr="00673B15">
        <w:t xml:space="preserve">  </w:t>
      </w:r>
      <w:r w:rsidR="00673B15" w:rsidRPr="00673B15">
        <w:t>El taller preparatorio tendrá lugar el</w:t>
      </w:r>
      <w:r w:rsidR="007829E4">
        <w:t> </w:t>
      </w:r>
      <w:r w:rsidR="007829E4" w:rsidRPr="00673B15">
        <w:t>2</w:t>
      </w:r>
      <w:r w:rsidR="00673B15" w:rsidRPr="00673B15">
        <w:t xml:space="preserve"> de julio de 2017.</w:t>
      </w:r>
      <w:r w:rsidR="00273DB6" w:rsidRPr="00D16B35">
        <w:t xml:space="preserve"> </w:t>
      </w:r>
    </w:p>
    <w:p w:rsidR="00273DB6" w:rsidRPr="00D16B35" w:rsidRDefault="00273DB6" w:rsidP="00273DB6">
      <w:pPr>
        <w:tabs>
          <w:tab w:val="left" w:pos="567"/>
        </w:tabs>
      </w:pPr>
    </w:p>
    <w:p w:rsidR="00273DB6" w:rsidRDefault="007D43C5" w:rsidP="00273DB6">
      <w:pPr>
        <w:tabs>
          <w:tab w:val="left" w:pos="567"/>
        </w:tabs>
      </w:pPr>
      <w:r>
        <w:fldChar w:fldCharType="begin"/>
      </w:r>
      <w:r w:rsidR="00273DB6">
        <w:instrText xml:space="preserve"> AUTONUM  </w:instrText>
      </w:r>
      <w:r>
        <w:fldChar w:fldCharType="end"/>
      </w:r>
      <w:r w:rsidR="00273DB6">
        <w:tab/>
      </w:r>
      <w:r w:rsidR="00673B15" w:rsidRPr="00673B15">
        <w:t>El TWV propuso al TC que recomiende al Consejo que se elija a la Sra. Romana Bravi (Italia) como próxima presidenta del TWV.</w:t>
      </w:r>
    </w:p>
    <w:p w:rsidR="00273DB6" w:rsidRPr="00D16B35" w:rsidRDefault="00273DB6" w:rsidP="00273DB6">
      <w:pPr>
        <w:tabs>
          <w:tab w:val="left" w:pos="567"/>
        </w:tabs>
      </w:pPr>
    </w:p>
    <w:p w:rsidR="00273DB6" w:rsidRDefault="007D43C5" w:rsidP="00273DB6">
      <w:pPr>
        <w:keepNext/>
        <w:tabs>
          <w:tab w:val="left" w:pos="567"/>
        </w:tabs>
        <w:ind w:right="-425"/>
      </w:pPr>
      <w:r>
        <w:fldChar w:fldCharType="begin"/>
      </w:r>
      <w:r w:rsidR="00273DB6">
        <w:instrText xml:space="preserve"> AUTONUM  </w:instrText>
      </w:r>
      <w:r>
        <w:fldChar w:fldCharType="end"/>
      </w:r>
      <w:r w:rsidR="00273DB6">
        <w:tab/>
      </w:r>
      <w:r w:rsidR="00673B15" w:rsidRPr="00673B15">
        <w:t>El TWV propuso examinar los siguientes puntos en su próxima reunión:</w:t>
      </w:r>
    </w:p>
    <w:p w:rsidR="00273DB6" w:rsidRPr="00D16B35" w:rsidRDefault="00273DB6" w:rsidP="00273DB6">
      <w:pPr>
        <w:keepNext/>
        <w:tabs>
          <w:tab w:val="left" w:pos="567"/>
        </w:tabs>
        <w:ind w:right="-425"/>
      </w:pPr>
    </w:p>
    <w:p w:rsidR="00273DB6" w:rsidRPr="00D16B35" w:rsidRDefault="00273DB6" w:rsidP="00673B15">
      <w:pPr>
        <w:keepNext/>
        <w:tabs>
          <w:tab w:val="left" w:pos="1134"/>
        </w:tabs>
        <w:spacing w:line="280" w:lineRule="auto"/>
        <w:ind w:left="567" w:right="-425"/>
      </w:pPr>
      <w:r w:rsidRPr="00D16B35">
        <w:t>1.</w:t>
      </w:r>
      <w:r w:rsidRPr="00D16B35">
        <w:tab/>
      </w:r>
      <w:r w:rsidR="00673B15" w:rsidRPr="00673B15">
        <w:t>Apertura de la reunión</w:t>
      </w:r>
    </w:p>
    <w:p w:rsidR="00273DB6" w:rsidRPr="00D16B35" w:rsidRDefault="00273DB6" w:rsidP="00673B15">
      <w:pPr>
        <w:keepNext/>
        <w:tabs>
          <w:tab w:val="left" w:pos="1134"/>
        </w:tabs>
        <w:spacing w:line="280" w:lineRule="auto"/>
        <w:ind w:left="567" w:right="-425"/>
      </w:pPr>
      <w:r w:rsidRPr="00D16B35">
        <w:t>2.</w:t>
      </w:r>
      <w:r w:rsidRPr="00D16B35">
        <w:tab/>
      </w:r>
      <w:r w:rsidR="00673B15" w:rsidRPr="00673B15">
        <w:t>Aprobación del orden del día</w:t>
      </w:r>
    </w:p>
    <w:p w:rsidR="00273DB6" w:rsidRPr="00D16B35" w:rsidRDefault="00273DB6" w:rsidP="00FC4ECC">
      <w:pPr>
        <w:keepNext/>
        <w:tabs>
          <w:tab w:val="left" w:pos="1134"/>
        </w:tabs>
        <w:spacing w:line="280" w:lineRule="auto"/>
        <w:ind w:left="567" w:right="-425"/>
      </w:pPr>
      <w:r w:rsidRPr="00D16B35">
        <w:t>3.</w:t>
      </w:r>
      <w:r w:rsidRPr="00D16B35">
        <w:tab/>
      </w:r>
      <w:r w:rsidR="00673B15" w:rsidRPr="00FC4ECC">
        <w:t>Breves informes sobre los avances logrados en la protección de las variedades vegetales</w:t>
      </w:r>
    </w:p>
    <w:p w:rsidR="00273DB6" w:rsidRPr="00D16B35" w:rsidRDefault="00273DB6" w:rsidP="009D6444">
      <w:pPr>
        <w:tabs>
          <w:tab w:val="left" w:pos="1134"/>
          <w:tab w:val="left" w:pos="1701"/>
        </w:tabs>
        <w:spacing w:line="280" w:lineRule="auto"/>
        <w:ind w:left="1134" w:right="-425"/>
      </w:pPr>
      <w:r w:rsidRPr="004829DF">
        <w:t>a)</w:t>
      </w:r>
      <w:r w:rsidRPr="004829DF">
        <w:tab/>
      </w:r>
      <w:r w:rsidR="00FC4ECC" w:rsidRPr="009D6444">
        <w:t xml:space="preserve">Informes de </w:t>
      </w:r>
      <w:r w:rsidR="009D6444" w:rsidRPr="009D6444">
        <w:t xml:space="preserve">los </w:t>
      </w:r>
      <w:r w:rsidR="00FC4ECC" w:rsidRPr="009D6444">
        <w:t>miembros y observadores</w:t>
      </w:r>
      <w:r w:rsidRPr="00D16B35">
        <w:t xml:space="preserve"> </w:t>
      </w:r>
    </w:p>
    <w:p w:rsidR="00273DB6" w:rsidRPr="00D16B35" w:rsidRDefault="00273DB6" w:rsidP="009D6444">
      <w:pPr>
        <w:tabs>
          <w:tab w:val="left" w:pos="1701"/>
        </w:tabs>
        <w:spacing w:line="280" w:lineRule="auto"/>
        <w:ind w:left="1134" w:right="-425"/>
      </w:pPr>
      <w:r w:rsidRPr="004829DF">
        <w:t>b)</w:t>
      </w:r>
      <w:r w:rsidRPr="004829DF">
        <w:tab/>
      </w:r>
      <w:r w:rsidR="009D6444" w:rsidRPr="009D6444">
        <w:t>Informes sobre los avances logrados en la UPOV (informe verbal de la Oficina de la Unión)</w:t>
      </w:r>
    </w:p>
    <w:p w:rsidR="00273DB6" w:rsidRPr="00D16B35" w:rsidRDefault="00273DB6" w:rsidP="009D6444">
      <w:pPr>
        <w:keepNext/>
        <w:tabs>
          <w:tab w:val="left" w:pos="1134"/>
        </w:tabs>
        <w:spacing w:line="280" w:lineRule="auto"/>
        <w:ind w:left="567" w:right="-425"/>
      </w:pPr>
      <w:r w:rsidRPr="00D16B35">
        <w:t>4.</w:t>
      </w:r>
      <w:r w:rsidRPr="00D16B35">
        <w:tab/>
      </w:r>
      <w:r w:rsidR="009D6444" w:rsidRPr="009D6444">
        <w:t>Técnicas moleculares</w:t>
      </w:r>
      <w:r w:rsidRPr="00D16B35">
        <w:t xml:space="preserve"> </w:t>
      </w:r>
    </w:p>
    <w:p w:rsidR="00273DB6" w:rsidRPr="00D16B35" w:rsidRDefault="00273DB6" w:rsidP="009D6444">
      <w:pPr>
        <w:tabs>
          <w:tab w:val="left" w:pos="1701"/>
        </w:tabs>
        <w:spacing w:line="280" w:lineRule="auto"/>
        <w:ind w:left="1701" w:right="-425" w:hanging="567"/>
      </w:pPr>
      <w:r w:rsidRPr="004829DF">
        <w:t>a)</w:t>
      </w:r>
      <w:r w:rsidRPr="004829DF">
        <w:tab/>
      </w:r>
      <w:r w:rsidR="009D6444" w:rsidRPr="009D6444">
        <w:t>Novedades acaecidas en la UPOV (documento que preparará la Oficina de la Unión)</w:t>
      </w:r>
    </w:p>
    <w:p w:rsidR="00273DB6" w:rsidRPr="00D16B35" w:rsidRDefault="00273DB6" w:rsidP="009D6444">
      <w:pPr>
        <w:tabs>
          <w:tab w:val="left" w:pos="1701"/>
        </w:tabs>
        <w:spacing w:line="280" w:lineRule="auto"/>
        <w:ind w:left="1701" w:right="-425" w:hanging="567"/>
      </w:pPr>
      <w:r w:rsidRPr="004829DF">
        <w:t>b)</w:t>
      </w:r>
      <w:r w:rsidRPr="004829DF">
        <w:tab/>
      </w:r>
      <w:r w:rsidR="009D6444" w:rsidRPr="009D6444">
        <w:t>Ponencia sobre la utilización de técnicas moleculares en el examen DHE (eventuales presentaciones de los miembros de la Unión)</w:t>
      </w:r>
    </w:p>
    <w:p w:rsidR="00273DB6" w:rsidRPr="00D16B35" w:rsidRDefault="00273DB6" w:rsidP="009D6444">
      <w:pPr>
        <w:tabs>
          <w:tab w:val="left" w:pos="1134"/>
        </w:tabs>
        <w:spacing w:line="280" w:lineRule="auto"/>
        <w:ind w:left="567" w:right="-425"/>
      </w:pPr>
      <w:r w:rsidRPr="00D16B35">
        <w:t>5.</w:t>
      </w:r>
      <w:r w:rsidRPr="00D16B35">
        <w:tab/>
      </w:r>
      <w:r w:rsidR="009D6444" w:rsidRPr="009D6444">
        <w:t>Documentos TGP</w:t>
      </w:r>
      <w:r w:rsidRPr="00D16B35">
        <w:t xml:space="preserve"> </w:t>
      </w:r>
    </w:p>
    <w:p w:rsidR="00273DB6" w:rsidRPr="00D16B35" w:rsidRDefault="00273DB6" w:rsidP="009D6444">
      <w:pPr>
        <w:tabs>
          <w:tab w:val="left" w:pos="1134"/>
        </w:tabs>
        <w:spacing w:line="280" w:lineRule="auto"/>
        <w:ind w:left="567" w:right="-425"/>
      </w:pPr>
      <w:r w:rsidRPr="00D16B35">
        <w:t>6.</w:t>
      </w:r>
      <w:r w:rsidRPr="00D16B35">
        <w:tab/>
      </w:r>
      <w:r w:rsidR="009D6444" w:rsidRPr="009D6444">
        <w:t xml:space="preserve">Denominaciones de variedades (documento que elaborará la Oficina de la Unión) </w:t>
      </w:r>
    </w:p>
    <w:p w:rsidR="00273DB6" w:rsidRPr="00D16B35" w:rsidRDefault="00273DB6" w:rsidP="009D6444">
      <w:pPr>
        <w:keepNext/>
        <w:tabs>
          <w:tab w:val="left" w:pos="1134"/>
        </w:tabs>
        <w:spacing w:line="280" w:lineRule="auto"/>
        <w:ind w:left="567" w:right="-425"/>
      </w:pPr>
      <w:r w:rsidRPr="00D16B35">
        <w:t>7.</w:t>
      </w:r>
      <w:r w:rsidRPr="00D16B35">
        <w:tab/>
      </w:r>
      <w:r w:rsidR="009D6444" w:rsidRPr="009D6444">
        <w:t>Información y bases de datos</w:t>
      </w:r>
    </w:p>
    <w:p w:rsidR="00273DB6" w:rsidRPr="00D16B35" w:rsidRDefault="00273DB6" w:rsidP="009D6444">
      <w:pPr>
        <w:tabs>
          <w:tab w:val="left" w:pos="1134"/>
          <w:tab w:val="left" w:pos="1701"/>
        </w:tabs>
        <w:spacing w:line="280" w:lineRule="auto"/>
        <w:ind w:left="1701" w:right="-425" w:hanging="567"/>
      </w:pPr>
      <w:r w:rsidRPr="004829DF">
        <w:t>a)</w:t>
      </w:r>
      <w:r w:rsidRPr="004829DF">
        <w:tab/>
      </w:r>
      <w:r w:rsidR="009D6444" w:rsidRPr="009D6444">
        <w:t>Bases de datos de información de la UPOV (documento que elaborará la Oficina de la Unión)</w:t>
      </w:r>
    </w:p>
    <w:p w:rsidR="00273DB6" w:rsidRPr="00D16B35" w:rsidRDefault="00273DB6" w:rsidP="009D6444">
      <w:pPr>
        <w:tabs>
          <w:tab w:val="left" w:pos="1134"/>
          <w:tab w:val="left" w:pos="1701"/>
        </w:tabs>
        <w:spacing w:line="280" w:lineRule="auto"/>
        <w:ind w:left="1701" w:right="-425" w:hanging="567"/>
      </w:pPr>
      <w:r w:rsidRPr="004829DF">
        <w:t>b)</w:t>
      </w:r>
      <w:r w:rsidRPr="004829DF">
        <w:tab/>
      </w:r>
      <w:r w:rsidR="009D6444" w:rsidRPr="009D6444">
        <w:t>Bases de datos de descripciones de variedades (documento que preparará la Oficina de la Unión y otros eventuales documentos)</w:t>
      </w:r>
    </w:p>
    <w:p w:rsidR="00273DB6" w:rsidRPr="00D16B35" w:rsidRDefault="00273DB6" w:rsidP="009D6444">
      <w:pPr>
        <w:tabs>
          <w:tab w:val="left" w:pos="1701"/>
        </w:tabs>
        <w:spacing w:line="280" w:lineRule="auto"/>
        <w:ind w:left="1701" w:right="-425" w:hanging="567"/>
      </w:pPr>
      <w:r w:rsidRPr="004829DF">
        <w:t>c)</w:t>
      </w:r>
      <w:r w:rsidRPr="004829DF">
        <w:tab/>
      </w:r>
      <w:r w:rsidR="009D6444" w:rsidRPr="009D6444">
        <w:t>Intercambio y uso de programas informáticos y equipos (documento que elaborará la Oficina de la Unión)</w:t>
      </w:r>
    </w:p>
    <w:p w:rsidR="00273DB6" w:rsidRPr="00D16B35" w:rsidRDefault="00273DB6" w:rsidP="009D6444">
      <w:pPr>
        <w:tabs>
          <w:tab w:val="left" w:pos="1701"/>
        </w:tabs>
        <w:spacing w:line="280" w:lineRule="auto"/>
        <w:ind w:left="1134" w:right="-425"/>
      </w:pPr>
      <w:r w:rsidRPr="004829DF">
        <w:t>d)</w:t>
      </w:r>
      <w:r w:rsidRPr="004829DF">
        <w:tab/>
      </w:r>
      <w:r w:rsidR="009D6444" w:rsidRPr="009D6444">
        <w:t>Sistemas de presentación electrónica de solicitudes (documento que elaborará la Oficina de la Unión)</w:t>
      </w:r>
    </w:p>
    <w:p w:rsidR="00273DB6" w:rsidRPr="00D16B35" w:rsidRDefault="00273DB6" w:rsidP="009D6444">
      <w:pPr>
        <w:tabs>
          <w:tab w:val="left" w:pos="1134"/>
        </w:tabs>
        <w:spacing w:line="280" w:lineRule="auto"/>
        <w:ind w:left="567" w:right="-425"/>
      </w:pPr>
      <w:r w:rsidRPr="00D16B35">
        <w:t>8.</w:t>
      </w:r>
      <w:r w:rsidRPr="00D16B35">
        <w:tab/>
      </w:r>
      <w:r w:rsidR="009D6444" w:rsidRPr="009D6444">
        <w:t>Experiencias con nuevos tipos y especies (invitación a presentar informes verbales)</w:t>
      </w:r>
    </w:p>
    <w:p w:rsidR="00273DB6" w:rsidRPr="00D16B35" w:rsidRDefault="00273DB6" w:rsidP="009D6444">
      <w:pPr>
        <w:tabs>
          <w:tab w:val="left" w:pos="1134"/>
        </w:tabs>
        <w:spacing w:line="280" w:lineRule="auto"/>
        <w:ind w:left="567" w:right="-425"/>
      </w:pPr>
      <w:r w:rsidRPr="00D16B35">
        <w:t>9.</w:t>
      </w:r>
      <w:r w:rsidRPr="00D16B35">
        <w:tab/>
      </w:r>
      <w:r w:rsidR="009D6444" w:rsidRPr="009D6444">
        <w:t>Nuevas cuestiones que se plantean en relación con el examen DHE (eventuales presentaciones a cargo de miembros de la Unión)</w:t>
      </w:r>
    </w:p>
    <w:p w:rsidR="00273DB6" w:rsidRPr="00D16B35" w:rsidRDefault="00273DB6" w:rsidP="009D6444">
      <w:pPr>
        <w:tabs>
          <w:tab w:val="left" w:pos="1134"/>
        </w:tabs>
        <w:spacing w:line="280" w:lineRule="auto"/>
        <w:ind w:left="1134" w:right="-425" w:hanging="567"/>
      </w:pPr>
      <w:r w:rsidRPr="00D16B35">
        <w:t>10.</w:t>
      </w:r>
      <w:r w:rsidRPr="00D16B35">
        <w:tab/>
      </w:r>
      <w:r w:rsidR="009D6444" w:rsidRPr="009D6444">
        <w:t>Cuestiones por resolver en lo que respecta a directrices de examen aprobadas por el Comité Técnico (en su caso)</w:t>
      </w:r>
    </w:p>
    <w:p w:rsidR="00273DB6" w:rsidRPr="00D16B35" w:rsidRDefault="00273DB6" w:rsidP="009D6444">
      <w:pPr>
        <w:tabs>
          <w:tab w:val="left" w:pos="1134"/>
        </w:tabs>
        <w:spacing w:line="280" w:lineRule="auto"/>
        <w:ind w:left="567" w:right="-425"/>
      </w:pPr>
      <w:r w:rsidRPr="00D16B35">
        <w:t>11.</w:t>
      </w:r>
      <w:r w:rsidRPr="00D16B35">
        <w:tab/>
      </w:r>
      <w:r w:rsidR="009D6444" w:rsidRPr="009D6444">
        <w:t>Debates sobre proyectos de directrices de examen (subgrupos)</w:t>
      </w:r>
    </w:p>
    <w:p w:rsidR="00273DB6" w:rsidRPr="00D16B35" w:rsidRDefault="00273DB6" w:rsidP="009D6444">
      <w:pPr>
        <w:tabs>
          <w:tab w:val="left" w:pos="1134"/>
        </w:tabs>
        <w:spacing w:line="280" w:lineRule="auto"/>
        <w:ind w:left="567" w:right="-425"/>
      </w:pPr>
      <w:r w:rsidRPr="00D16B35">
        <w:t>12.</w:t>
      </w:r>
      <w:r w:rsidRPr="00D16B35">
        <w:tab/>
      </w:r>
      <w:r w:rsidR="009D6444" w:rsidRPr="009D6444">
        <w:t>Recomendaciones sobre proyectos de directrices de examen</w:t>
      </w:r>
    </w:p>
    <w:p w:rsidR="00273DB6" w:rsidRPr="00D16B35" w:rsidRDefault="00273DB6" w:rsidP="009D6444">
      <w:pPr>
        <w:tabs>
          <w:tab w:val="left" w:pos="1134"/>
        </w:tabs>
        <w:spacing w:line="280" w:lineRule="auto"/>
        <w:ind w:left="567" w:right="-425"/>
      </w:pPr>
      <w:r w:rsidRPr="00D16B35">
        <w:t>13.</w:t>
      </w:r>
      <w:r w:rsidRPr="00D16B35">
        <w:tab/>
      </w:r>
      <w:r w:rsidR="009D6444" w:rsidRPr="009D6444">
        <w:t>Orientación para los redactores de las directrices de examen</w:t>
      </w:r>
    </w:p>
    <w:p w:rsidR="00273DB6" w:rsidRPr="00D16B35" w:rsidRDefault="00273DB6" w:rsidP="009D6444">
      <w:pPr>
        <w:tabs>
          <w:tab w:val="left" w:pos="1134"/>
        </w:tabs>
        <w:spacing w:line="280" w:lineRule="auto"/>
        <w:ind w:left="567" w:right="-425"/>
      </w:pPr>
      <w:r w:rsidRPr="00D16B35">
        <w:t>14.</w:t>
      </w:r>
      <w:r w:rsidRPr="00D16B35">
        <w:tab/>
      </w:r>
      <w:r w:rsidR="009D6444" w:rsidRPr="009D6444">
        <w:t>Fecha y lugar de la siguiente reunión</w:t>
      </w:r>
    </w:p>
    <w:p w:rsidR="00273DB6" w:rsidRPr="00D16B35" w:rsidRDefault="00273DB6" w:rsidP="009D6444">
      <w:pPr>
        <w:keepNext/>
        <w:tabs>
          <w:tab w:val="left" w:pos="1134"/>
        </w:tabs>
        <w:spacing w:line="280" w:lineRule="auto"/>
        <w:ind w:left="567" w:right="-425"/>
      </w:pPr>
      <w:r w:rsidRPr="00D16B35">
        <w:t>15.</w:t>
      </w:r>
      <w:r w:rsidRPr="00D16B35">
        <w:tab/>
      </w:r>
      <w:r w:rsidR="009D6444" w:rsidRPr="009D6444">
        <w:t>Futuro programa</w:t>
      </w:r>
    </w:p>
    <w:p w:rsidR="00273DB6" w:rsidRPr="00D16B35" w:rsidRDefault="00273DB6" w:rsidP="009D6444">
      <w:pPr>
        <w:keepNext/>
        <w:tabs>
          <w:tab w:val="left" w:pos="1134"/>
        </w:tabs>
        <w:spacing w:line="280" w:lineRule="auto"/>
        <w:ind w:left="567" w:right="-425"/>
      </w:pPr>
      <w:r w:rsidRPr="00D16B35">
        <w:t>16.</w:t>
      </w:r>
      <w:r w:rsidRPr="00D16B35">
        <w:tab/>
      </w:r>
      <w:r w:rsidR="009D6444" w:rsidRPr="009D6444">
        <w:t>Informe de la reunión (si se dispone de tiempo suficiente)</w:t>
      </w:r>
    </w:p>
    <w:p w:rsidR="00273DB6" w:rsidRPr="00D16B35" w:rsidRDefault="00273DB6" w:rsidP="009D6444">
      <w:pPr>
        <w:tabs>
          <w:tab w:val="left" w:pos="1134"/>
        </w:tabs>
        <w:spacing w:line="280" w:lineRule="auto"/>
        <w:ind w:left="567" w:right="-425"/>
      </w:pPr>
      <w:r w:rsidRPr="00D16B35">
        <w:t>17.</w:t>
      </w:r>
      <w:r w:rsidRPr="00D16B35">
        <w:tab/>
      </w:r>
      <w:r w:rsidR="009D6444" w:rsidRPr="009D6444">
        <w:t>Clausura de la reunión</w:t>
      </w:r>
    </w:p>
    <w:p w:rsidR="00273DB6" w:rsidRDefault="00273DB6" w:rsidP="00273DB6">
      <w:pPr>
        <w:rPr>
          <w:rFonts w:cs="Arial"/>
        </w:rPr>
      </w:pPr>
    </w:p>
    <w:p w:rsidR="00273DB6" w:rsidRDefault="00273DB6" w:rsidP="00273DB6">
      <w:pPr>
        <w:rPr>
          <w:rFonts w:cs="Arial"/>
        </w:rPr>
      </w:pPr>
    </w:p>
    <w:p w:rsidR="00273DB6" w:rsidRPr="009B196C" w:rsidRDefault="009D6444" w:rsidP="00273DB6">
      <w:pPr>
        <w:pStyle w:val="Heading3"/>
        <w:rPr>
          <w:lang w:val="es-ES"/>
        </w:rPr>
      </w:pPr>
      <w:bookmarkStart w:id="68" w:name="_Toc492290075"/>
      <w:r w:rsidRPr="009D6444">
        <w:rPr>
          <w:lang w:val="es-ES_tradnl"/>
        </w:rPr>
        <w:t>Grupo de Trabajo sobre Técnicas Bioquímicas y Moleculares</w:t>
      </w:r>
      <w:r w:rsidR="007829E4">
        <w:rPr>
          <w:lang w:val="es-ES_tradnl"/>
        </w:rPr>
        <w:t xml:space="preserve">, </w:t>
      </w:r>
      <w:r w:rsidRPr="009D6444">
        <w:rPr>
          <w:lang w:val="es-ES_tradnl"/>
        </w:rPr>
        <w:t>y Perfiles de ADN en particular</w:t>
      </w:r>
      <w:bookmarkEnd w:id="68"/>
    </w:p>
    <w:p w:rsidR="00273DB6" w:rsidRDefault="00273DB6" w:rsidP="00273DB6">
      <w:pPr>
        <w:keepNext/>
      </w:pPr>
    </w:p>
    <w:p w:rsidR="00273DB6" w:rsidRDefault="007D43C5" w:rsidP="00273DB6">
      <w:pPr>
        <w:rPr>
          <w:rFonts w:cs="Arial"/>
          <w:snapToGrid w:val="0"/>
        </w:rPr>
      </w:pPr>
      <w:r>
        <w:fldChar w:fldCharType="begin"/>
      </w:r>
      <w:r w:rsidR="00273DB6">
        <w:instrText xml:space="preserve"> AUTONUM  </w:instrText>
      </w:r>
      <w:r>
        <w:fldChar w:fldCharType="end"/>
      </w:r>
      <w:r w:rsidR="00273DB6">
        <w:tab/>
      </w:r>
      <w:r w:rsidR="00983FB6" w:rsidRPr="00983FB6">
        <w:rPr>
          <w:rFonts w:cs="Arial"/>
          <w:snapToGrid w:val="0"/>
        </w:rPr>
        <w:t>El Grupo de Trabajo sobre Técnicas Bioquímicas y Moleculares</w:t>
      </w:r>
      <w:r w:rsidR="007829E4">
        <w:rPr>
          <w:rFonts w:cs="Arial"/>
          <w:snapToGrid w:val="0"/>
        </w:rPr>
        <w:t xml:space="preserve">, </w:t>
      </w:r>
      <w:r w:rsidR="00983FB6" w:rsidRPr="00983FB6">
        <w:rPr>
          <w:rFonts w:cs="Arial"/>
          <w:snapToGrid w:val="0"/>
        </w:rPr>
        <w:t>y Perfiles de ADN en particular (BMT)</w:t>
      </w:r>
      <w:r w:rsidR="00B07F42" w:rsidRPr="00983FB6">
        <w:rPr>
          <w:rFonts w:cs="Arial"/>
          <w:snapToGrid w:val="0"/>
        </w:rPr>
        <w:t xml:space="preserve"> celebró </w:t>
      </w:r>
      <w:r w:rsidR="00983FB6" w:rsidRPr="00983FB6">
        <w:rPr>
          <w:rFonts w:cs="Arial"/>
          <w:snapToGrid w:val="0"/>
        </w:rPr>
        <w:t>su decimoquinta reunión en Moscú (Federación de Rusia)</w:t>
      </w:r>
      <w:r w:rsidR="007829E4">
        <w:rPr>
          <w:rFonts w:cs="Arial"/>
          <w:snapToGrid w:val="0"/>
        </w:rPr>
        <w:t xml:space="preserve">, </w:t>
      </w:r>
      <w:r w:rsidR="00983FB6" w:rsidRPr="00983FB6">
        <w:rPr>
          <w:rFonts w:cs="Arial"/>
          <w:snapToGrid w:val="0"/>
        </w:rPr>
        <w:t>del 24 al</w:t>
      </w:r>
      <w:r w:rsidR="007829E4">
        <w:rPr>
          <w:rFonts w:cs="Arial"/>
          <w:snapToGrid w:val="0"/>
        </w:rPr>
        <w:t> </w:t>
      </w:r>
      <w:r w:rsidR="007829E4" w:rsidRPr="00983FB6">
        <w:rPr>
          <w:rFonts w:cs="Arial"/>
          <w:snapToGrid w:val="0"/>
        </w:rPr>
        <w:t>2</w:t>
      </w:r>
      <w:r w:rsidR="00983FB6" w:rsidRPr="00983FB6">
        <w:rPr>
          <w:rFonts w:cs="Arial"/>
          <w:snapToGrid w:val="0"/>
        </w:rPr>
        <w:t>7 de mayo de 2016</w:t>
      </w:r>
      <w:r w:rsidR="007829E4">
        <w:rPr>
          <w:rFonts w:cs="Arial"/>
          <w:snapToGrid w:val="0"/>
        </w:rPr>
        <w:t xml:space="preserve">, </w:t>
      </w:r>
      <w:r w:rsidR="00B07F42" w:rsidRPr="00983FB6">
        <w:rPr>
          <w:rFonts w:cs="Arial"/>
          <w:snapToGrid w:val="0"/>
        </w:rPr>
        <w:t xml:space="preserve">bajo la presidencia </w:t>
      </w:r>
      <w:r w:rsidR="00983FB6" w:rsidRPr="00983FB6">
        <w:rPr>
          <w:rFonts w:cs="Arial"/>
          <w:snapToGrid w:val="0"/>
        </w:rPr>
        <w:t xml:space="preserve">del </w:t>
      </w:r>
      <w:r w:rsidR="00B07F42" w:rsidRPr="00983FB6">
        <w:rPr>
          <w:rFonts w:cs="Arial"/>
          <w:snapToGrid w:val="0"/>
        </w:rPr>
        <w:t>Sr.</w:t>
      </w:r>
      <w:r w:rsidR="00983FB6" w:rsidRPr="00983FB6">
        <w:rPr>
          <w:rFonts w:cs="Arial"/>
          <w:snapToGrid w:val="0"/>
        </w:rPr>
        <w:t> </w:t>
      </w:r>
      <w:r w:rsidR="00B07F42" w:rsidRPr="00983FB6">
        <w:rPr>
          <w:rFonts w:cs="Arial"/>
          <w:snapToGrid w:val="0"/>
        </w:rPr>
        <w:t>K</w:t>
      </w:r>
      <w:r w:rsidR="00983FB6" w:rsidRPr="00983FB6">
        <w:rPr>
          <w:rFonts w:cs="Arial"/>
          <w:snapToGrid w:val="0"/>
        </w:rPr>
        <w:t>ees van </w:t>
      </w:r>
      <w:r w:rsidR="00B07F42" w:rsidRPr="00983FB6">
        <w:rPr>
          <w:rFonts w:cs="Arial"/>
          <w:snapToGrid w:val="0"/>
        </w:rPr>
        <w:t>Ettekoven (Países Bajos).</w:t>
      </w:r>
      <w:r w:rsidR="00273DB6">
        <w:rPr>
          <w:rFonts w:cs="Arial"/>
          <w:snapToGrid w:val="0"/>
        </w:rPr>
        <w:t xml:space="preserve">  </w:t>
      </w:r>
      <w:r w:rsidR="00983FB6" w:rsidRPr="00983FB6">
        <w:rPr>
          <w:rFonts w:cs="Arial"/>
          <w:snapToGrid w:val="0"/>
        </w:rPr>
        <w:t>El informe de la reunión figura en el documento BMT/15/28 Rev. “</w:t>
      </w:r>
      <w:r w:rsidR="00983FB6" w:rsidRPr="009B196C">
        <w:rPr>
          <w:rFonts w:cs="Arial"/>
          <w:i/>
          <w:snapToGrid w:val="0"/>
          <w:lang w:val="es-ES"/>
        </w:rPr>
        <w:t>Revised Report</w:t>
      </w:r>
      <w:r w:rsidR="00983FB6" w:rsidRPr="00983FB6">
        <w:rPr>
          <w:rFonts w:cs="Arial"/>
          <w:snapToGrid w:val="0"/>
        </w:rPr>
        <w:t>” (Informe revisado).</w:t>
      </w:r>
    </w:p>
    <w:p w:rsidR="00273DB6" w:rsidRDefault="00273DB6" w:rsidP="00273DB6">
      <w:pPr>
        <w:rPr>
          <w:rFonts w:cs="Arial"/>
          <w:snapToGrid w:val="0"/>
        </w:rPr>
      </w:pPr>
    </w:p>
    <w:p w:rsidR="00273DB6" w:rsidRDefault="007D43C5" w:rsidP="00273DB6">
      <w:pPr>
        <w:rPr>
          <w:rFonts w:cs="Arial"/>
          <w:snapToGrid w:val="0"/>
        </w:rPr>
      </w:pPr>
      <w:r>
        <w:fldChar w:fldCharType="begin"/>
      </w:r>
      <w:r w:rsidR="00273DB6">
        <w:instrText xml:space="preserve"> AUTONUM  </w:instrText>
      </w:r>
      <w:r>
        <w:fldChar w:fldCharType="end"/>
      </w:r>
      <w:r w:rsidR="00273DB6">
        <w:tab/>
      </w:r>
      <w:r w:rsidR="00983FB6" w:rsidRPr="00983FB6">
        <w:rPr>
          <w:rFonts w:cs="Arial"/>
          <w:snapToGrid w:val="0"/>
        </w:rPr>
        <w:t>Asistieron a la reunión</w:t>
      </w:r>
      <w:r w:rsidR="007829E4">
        <w:rPr>
          <w:rFonts w:cs="Arial"/>
          <w:snapToGrid w:val="0"/>
        </w:rPr>
        <w:t> </w:t>
      </w:r>
      <w:r w:rsidR="007829E4" w:rsidRPr="00983FB6">
        <w:rPr>
          <w:rFonts w:cs="Arial"/>
          <w:snapToGrid w:val="0"/>
        </w:rPr>
        <w:t>1</w:t>
      </w:r>
      <w:r w:rsidR="00983FB6" w:rsidRPr="00983FB6">
        <w:rPr>
          <w:rFonts w:cs="Arial"/>
          <w:snapToGrid w:val="0"/>
        </w:rPr>
        <w:t>07 participantes de</w:t>
      </w:r>
      <w:r w:rsidR="007829E4">
        <w:rPr>
          <w:rFonts w:cs="Arial"/>
          <w:snapToGrid w:val="0"/>
        </w:rPr>
        <w:t> </w:t>
      </w:r>
      <w:r w:rsidR="007829E4" w:rsidRPr="00983FB6">
        <w:rPr>
          <w:rFonts w:cs="Arial"/>
          <w:snapToGrid w:val="0"/>
        </w:rPr>
        <w:t>1</w:t>
      </w:r>
      <w:r w:rsidR="00983FB6" w:rsidRPr="00983FB6">
        <w:rPr>
          <w:rFonts w:cs="Arial"/>
          <w:snapToGrid w:val="0"/>
        </w:rPr>
        <w:t>5 miembros de la Unión y</w:t>
      </w:r>
      <w:r w:rsidR="007829E4">
        <w:rPr>
          <w:rFonts w:cs="Arial"/>
          <w:snapToGrid w:val="0"/>
        </w:rPr>
        <w:t> </w:t>
      </w:r>
      <w:r w:rsidR="007829E4" w:rsidRPr="00983FB6">
        <w:rPr>
          <w:rFonts w:cs="Arial"/>
          <w:snapToGrid w:val="0"/>
        </w:rPr>
        <w:t>7</w:t>
      </w:r>
      <w:r w:rsidR="00983FB6" w:rsidRPr="00983FB6">
        <w:rPr>
          <w:rFonts w:cs="Arial"/>
          <w:snapToGrid w:val="0"/>
        </w:rPr>
        <w:t xml:space="preserve"> organizaciones observadoras.</w:t>
      </w:r>
      <w:r w:rsidR="00273DB6">
        <w:rPr>
          <w:rFonts w:cs="Arial"/>
          <w:snapToGrid w:val="0"/>
        </w:rPr>
        <w:t xml:space="preserve">  </w:t>
      </w:r>
      <w:r w:rsidR="00983FB6" w:rsidRPr="00983FB6">
        <w:rPr>
          <w:rFonts w:cs="Arial"/>
          <w:snapToGrid w:val="0"/>
        </w:rPr>
        <w:t>El 23 de mayo de 2016 tuvo lugar un taller preparatorio al que asistieron 48 participantes procedentes de 12 miembros de la Unión y</w:t>
      </w:r>
      <w:r w:rsidR="007829E4">
        <w:rPr>
          <w:rFonts w:cs="Arial"/>
          <w:snapToGrid w:val="0"/>
        </w:rPr>
        <w:t> </w:t>
      </w:r>
      <w:r w:rsidR="007829E4" w:rsidRPr="00983FB6">
        <w:rPr>
          <w:rFonts w:cs="Arial"/>
          <w:snapToGrid w:val="0"/>
        </w:rPr>
        <w:t>2</w:t>
      </w:r>
      <w:r w:rsidR="00983FB6" w:rsidRPr="00983FB6">
        <w:rPr>
          <w:rFonts w:cs="Arial"/>
          <w:snapToGrid w:val="0"/>
        </w:rPr>
        <w:t> organizaciones en calidad de observadoras.</w:t>
      </w:r>
      <w:r w:rsidR="00273DB6">
        <w:rPr>
          <w:rFonts w:cs="Arial"/>
          <w:snapToGrid w:val="0"/>
        </w:rPr>
        <w:t xml:space="preserve"> </w:t>
      </w:r>
    </w:p>
    <w:p w:rsidR="00273DB6" w:rsidRDefault="00273DB6" w:rsidP="00273DB6">
      <w:pPr>
        <w:rPr>
          <w:rFonts w:cs="Arial"/>
          <w:snapToGrid w:val="0"/>
        </w:rPr>
      </w:pPr>
    </w:p>
    <w:p w:rsidR="00273DB6" w:rsidRDefault="007D43C5" w:rsidP="00273DB6">
      <w:pPr>
        <w:rPr>
          <w:rFonts w:cs="Arial"/>
          <w:snapToGrid w:val="0"/>
        </w:rPr>
      </w:pPr>
      <w:r>
        <w:rPr>
          <w:rFonts w:cs="Arial"/>
          <w:snapToGrid w:val="0"/>
        </w:rPr>
        <w:fldChar w:fldCharType="begin"/>
      </w:r>
      <w:r w:rsidR="00273DB6">
        <w:rPr>
          <w:rFonts w:cs="Arial"/>
          <w:snapToGrid w:val="0"/>
        </w:rPr>
        <w:instrText xml:space="preserve"> AUTONUM  </w:instrText>
      </w:r>
      <w:r>
        <w:rPr>
          <w:rFonts w:cs="Arial"/>
          <w:snapToGrid w:val="0"/>
        </w:rPr>
        <w:fldChar w:fldCharType="end"/>
      </w:r>
      <w:r w:rsidR="00273DB6">
        <w:rPr>
          <w:rFonts w:cs="Arial"/>
          <w:snapToGrid w:val="0"/>
        </w:rPr>
        <w:tab/>
      </w:r>
      <w:r w:rsidR="00983FB6" w:rsidRPr="00983FB6">
        <w:rPr>
          <w:rFonts w:cs="Arial"/>
          <w:snapToGrid w:val="0"/>
        </w:rPr>
        <w:t>Dio la bienvenida al BMT el Sr. Evgeny V. Gromyko</w:t>
      </w:r>
      <w:r w:rsidR="007829E4">
        <w:rPr>
          <w:rFonts w:cs="Arial"/>
          <w:snapToGrid w:val="0"/>
        </w:rPr>
        <w:t xml:space="preserve">, </w:t>
      </w:r>
      <w:r w:rsidR="00983FB6" w:rsidRPr="00983FB6">
        <w:rPr>
          <w:rFonts w:cs="Arial"/>
          <w:snapToGrid w:val="0"/>
        </w:rPr>
        <w:t>Primer Viceministro del Ministerio de Agricultura de la Federación de Rusia</w:t>
      </w:r>
      <w:r w:rsidR="007829E4">
        <w:rPr>
          <w:rFonts w:cs="Arial"/>
          <w:snapToGrid w:val="0"/>
        </w:rPr>
        <w:t xml:space="preserve">, </w:t>
      </w:r>
      <w:r w:rsidR="00983FB6" w:rsidRPr="00983FB6">
        <w:rPr>
          <w:rFonts w:cs="Arial"/>
          <w:snapToGrid w:val="0"/>
        </w:rPr>
        <w:t>el Sr. Vitaly S. Voloshchenko</w:t>
      </w:r>
      <w:r w:rsidR="007829E4">
        <w:rPr>
          <w:rFonts w:cs="Arial"/>
          <w:snapToGrid w:val="0"/>
        </w:rPr>
        <w:t xml:space="preserve">, </w:t>
      </w:r>
      <w:r w:rsidR="00983FB6" w:rsidRPr="00983FB6">
        <w:rPr>
          <w:rFonts w:cs="Arial"/>
          <w:snapToGrid w:val="0"/>
        </w:rPr>
        <w:t>Presidente de la Comisión Estatal de la Federación de Rusia encargada del Examen y la Protección de las Obtenciones Vegetales</w:t>
      </w:r>
      <w:r w:rsidR="007829E4">
        <w:rPr>
          <w:rFonts w:cs="Arial"/>
          <w:snapToGrid w:val="0"/>
        </w:rPr>
        <w:t xml:space="preserve">, </w:t>
      </w:r>
      <w:r w:rsidR="00983FB6" w:rsidRPr="00983FB6">
        <w:rPr>
          <w:rFonts w:cs="Arial"/>
          <w:snapToGrid w:val="0"/>
        </w:rPr>
        <w:t>el Sr. Vladimir M. Kosolapov</w:t>
      </w:r>
      <w:r w:rsidR="007829E4">
        <w:rPr>
          <w:rFonts w:cs="Arial"/>
          <w:snapToGrid w:val="0"/>
        </w:rPr>
        <w:t xml:space="preserve">, </w:t>
      </w:r>
      <w:r w:rsidR="00983FB6" w:rsidRPr="00983FB6">
        <w:rPr>
          <w:rFonts w:cs="Arial"/>
          <w:snapToGrid w:val="0"/>
        </w:rPr>
        <w:t>Director del Departamento de Producción Vegetal</w:t>
      </w:r>
      <w:r w:rsidR="007829E4">
        <w:rPr>
          <w:rFonts w:cs="Arial"/>
          <w:snapToGrid w:val="0"/>
        </w:rPr>
        <w:t xml:space="preserve">, </w:t>
      </w:r>
      <w:r w:rsidR="00983FB6" w:rsidRPr="00983FB6">
        <w:rPr>
          <w:rFonts w:cs="Arial"/>
          <w:snapToGrid w:val="0"/>
        </w:rPr>
        <w:t>Protección y Biotecnología de la Academia Rusa de las Ciencias</w:t>
      </w:r>
      <w:r w:rsidR="007829E4">
        <w:rPr>
          <w:rFonts w:cs="Arial"/>
          <w:snapToGrid w:val="0"/>
        </w:rPr>
        <w:t xml:space="preserve">, </w:t>
      </w:r>
      <w:r w:rsidR="00983FB6" w:rsidRPr="00983FB6">
        <w:rPr>
          <w:rFonts w:cs="Arial"/>
          <w:snapToGrid w:val="0"/>
        </w:rPr>
        <w:t>el Sr. Igor A. Lobach</w:t>
      </w:r>
      <w:r w:rsidR="007829E4">
        <w:rPr>
          <w:rFonts w:cs="Arial"/>
          <w:snapToGrid w:val="0"/>
        </w:rPr>
        <w:t xml:space="preserve">, </w:t>
      </w:r>
      <w:r w:rsidR="00983FB6" w:rsidRPr="00983FB6">
        <w:rPr>
          <w:rFonts w:cs="Arial"/>
          <w:snapToGrid w:val="0"/>
        </w:rPr>
        <w:t>Presidente de la Asociación Nacional de Productores de Semillas de Maíz y Girasol</w:t>
      </w:r>
      <w:r w:rsidR="007829E4">
        <w:rPr>
          <w:rFonts w:cs="Arial"/>
          <w:snapToGrid w:val="0"/>
        </w:rPr>
        <w:t xml:space="preserve">, </w:t>
      </w:r>
      <w:r w:rsidR="00983FB6" w:rsidRPr="00983FB6">
        <w:rPr>
          <w:rFonts w:cs="Arial"/>
          <w:snapToGrid w:val="0"/>
        </w:rPr>
        <w:t>la Sra. Ekaterina V. Zhuravleva</w:t>
      </w:r>
      <w:r w:rsidR="007829E4">
        <w:rPr>
          <w:rFonts w:cs="Arial"/>
          <w:snapToGrid w:val="0"/>
        </w:rPr>
        <w:t xml:space="preserve">, </w:t>
      </w:r>
      <w:r w:rsidR="00983FB6" w:rsidRPr="00983FB6">
        <w:rPr>
          <w:rFonts w:cs="Arial"/>
          <w:snapToGrid w:val="0"/>
        </w:rPr>
        <w:t>Jefa Adjunta del Departamento de Cooperación y Ayuda a Organizaciones del Ámbito de las Ciencias Agrícolas de la Agencia Federal de Organizaciones Científicas</w:t>
      </w:r>
      <w:r w:rsidR="007829E4">
        <w:rPr>
          <w:rFonts w:cs="Arial"/>
          <w:snapToGrid w:val="0"/>
        </w:rPr>
        <w:t xml:space="preserve">, </w:t>
      </w:r>
      <w:r w:rsidR="00983FB6" w:rsidRPr="00983FB6">
        <w:rPr>
          <w:rFonts w:cs="Arial"/>
          <w:snapToGrid w:val="0"/>
        </w:rPr>
        <w:t>y el Sr. Sergey Lupekhin</w:t>
      </w:r>
      <w:r w:rsidR="007829E4">
        <w:rPr>
          <w:rFonts w:cs="Arial"/>
          <w:snapToGrid w:val="0"/>
        </w:rPr>
        <w:t xml:space="preserve">, </w:t>
      </w:r>
      <w:r w:rsidR="00983FB6" w:rsidRPr="00983FB6">
        <w:rPr>
          <w:rFonts w:cs="Arial"/>
          <w:snapToGrid w:val="0"/>
        </w:rPr>
        <w:t>Presidente de la Unión Rusa de la Patata.</w:t>
      </w:r>
      <w:r w:rsidR="00273DB6">
        <w:rPr>
          <w:rFonts w:cs="Arial"/>
          <w:snapToGrid w:val="0"/>
        </w:rPr>
        <w:t xml:space="preserve">  </w:t>
      </w:r>
      <w:r w:rsidR="00983FB6" w:rsidRPr="00983FB6">
        <w:rPr>
          <w:rFonts w:cs="Arial"/>
          <w:snapToGrid w:val="0"/>
        </w:rPr>
        <w:t>El Sr. Peter Button</w:t>
      </w:r>
      <w:r w:rsidR="007829E4">
        <w:rPr>
          <w:rFonts w:cs="Arial"/>
          <w:snapToGrid w:val="0"/>
        </w:rPr>
        <w:t xml:space="preserve">, </w:t>
      </w:r>
      <w:r w:rsidR="00983FB6" w:rsidRPr="00983FB6">
        <w:rPr>
          <w:rFonts w:cs="Arial"/>
          <w:snapToGrid w:val="0"/>
        </w:rPr>
        <w:t>secretario general adjunto de la UPOV</w:t>
      </w:r>
      <w:r w:rsidR="007829E4">
        <w:rPr>
          <w:rFonts w:cs="Arial"/>
          <w:snapToGrid w:val="0"/>
        </w:rPr>
        <w:t xml:space="preserve">, </w:t>
      </w:r>
      <w:r w:rsidR="00983FB6" w:rsidRPr="00983FB6">
        <w:rPr>
          <w:rFonts w:cs="Arial"/>
          <w:snapToGrid w:val="0"/>
        </w:rPr>
        <w:t>también hizo una observación preliminar.</w:t>
      </w:r>
    </w:p>
    <w:p w:rsidR="00273DB6" w:rsidRDefault="00273DB6" w:rsidP="00273DB6">
      <w:pPr>
        <w:rPr>
          <w:rFonts w:cs="Arial"/>
          <w:snapToGrid w:val="0"/>
        </w:rPr>
      </w:pPr>
    </w:p>
    <w:p w:rsidR="00273DB6" w:rsidRPr="00C63981" w:rsidRDefault="007D43C5" w:rsidP="00273DB6">
      <w:pPr>
        <w:rPr>
          <w:rFonts w:cs="Arial"/>
          <w:snapToGrid w:val="0"/>
        </w:rPr>
      </w:pPr>
      <w:r>
        <w:fldChar w:fldCharType="begin"/>
      </w:r>
      <w:r w:rsidR="00273DB6">
        <w:instrText xml:space="preserve"> AUTONUM  </w:instrText>
      </w:r>
      <w:r>
        <w:fldChar w:fldCharType="end"/>
      </w:r>
      <w:r w:rsidR="00273DB6">
        <w:tab/>
      </w:r>
      <w:r w:rsidR="00983FB6" w:rsidRPr="00983FB6">
        <w:rPr>
          <w:rFonts w:cs="Arial"/>
          <w:snapToGrid w:val="0"/>
        </w:rPr>
        <w:t>El BMT asistió a las siguientes ponencias sobre los avances en las técnicas bioquímicas y moleculares a cargo de expertos en el examen DHE</w:t>
      </w:r>
      <w:r w:rsidR="007829E4">
        <w:rPr>
          <w:rFonts w:cs="Arial"/>
          <w:snapToGrid w:val="0"/>
        </w:rPr>
        <w:t xml:space="preserve">, </w:t>
      </w:r>
      <w:r w:rsidR="00983FB6" w:rsidRPr="00983FB6">
        <w:rPr>
          <w:rFonts w:cs="Arial"/>
          <w:snapToGrid w:val="0"/>
        </w:rPr>
        <w:t>especialistas en técnicas bioquímicas y moleculares</w:t>
      </w:r>
      <w:r w:rsidR="007829E4">
        <w:rPr>
          <w:rFonts w:cs="Arial"/>
          <w:snapToGrid w:val="0"/>
        </w:rPr>
        <w:t xml:space="preserve">, </w:t>
      </w:r>
      <w:r w:rsidR="00983FB6" w:rsidRPr="00983FB6">
        <w:rPr>
          <w:rFonts w:cs="Arial"/>
          <w:snapToGrid w:val="0"/>
        </w:rPr>
        <w:t>y obtentores y organizaciones internacionales pertinentes:</w:t>
      </w:r>
    </w:p>
    <w:p w:rsidR="00273DB6" w:rsidRPr="00C63981" w:rsidRDefault="00273DB6" w:rsidP="00273DB6">
      <w:pPr>
        <w:rPr>
          <w:rFonts w:cs="Arial"/>
          <w:snapToGrid w:val="0"/>
        </w:rPr>
      </w:pP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49344C">
        <w:rPr>
          <w:rFonts w:cs="Arial"/>
          <w:snapToGrid w:val="0"/>
        </w:rPr>
        <w:t>La creación del nuevo grupo de trabajo sobre técnicas biomoleculares de la OCVV denominado “IMODDUS”</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49344C">
        <w:rPr>
          <w:rFonts w:cs="Arial"/>
          <w:snapToGrid w:val="0"/>
        </w:rPr>
        <w:t>Utilización de marcadores moleculares en el proceso de solicitud de derechos de obtentor en los Estados Unidos de América</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49344C">
        <w:rPr>
          <w:rFonts w:cs="Arial"/>
          <w:snapToGrid w:val="0"/>
        </w:rPr>
        <w:t>Evaluación de marcadores moleculares de la soja de uso público para su posible aplicación en la protección de las obtenciones vegetales</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49344C">
        <w:rPr>
          <w:rFonts w:cs="Arial"/>
          <w:snapToGrid w:val="0"/>
        </w:rPr>
        <w:t>Comparación de datos genotípicos y fenotípicos para determinar la distinción de líneas endógamas de maíz a efectos de la concesión de derechos de obtentor</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49344C">
        <w:rPr>
          <w:rFonts w:cs="Arial"/>
          <w:snapToGrid w:val="0"/>
        </w:rPr>
        <w:t>Un eficiente examen DHE de la judía común gracias al empleo de datos moleculares</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49344C">
        <w:rPr>
          <w:rFonts w:cs="Arial"/>
          <w:snapToGrid w:val="0"/>
        </w:rPr>
        <w:t>¿Puede utilizarse la distancia molecular como un carácter?</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49344C">
        <w:rPr>
          <w:rFonts w:cs="Arial"/>
          <w:snapToGrid w:val="0"/>
        </w:rPr>
        <w:t>Labor sobre las técnicas moleculares aplicadas al examen DHE de diferentes especies frutales</w:t>
      </w:r>
      <w:r w:rsidRPr="00C63981">
        <w:rPr>
          <w:rFonts w:cs="Arial"/>
          <w:snapToGrid w:val="0"/>
        </w:rPr>
        <w:t xml:space="preserve">  </w:t>
      </w:r>
    </w:p>
    <w:p w:rsidR="00273DB6" w:rsidRPr="00C63981" w:rsidRDefault="00273DB6" w:rsidP="00273DB6">
      <w:pPr>
        <w:rPr>
          <w:rFonts w:cs="Arial"/>
          <w:snapToGrid w:val="0"/>
        </w:rPr>
      </w:pPr>
    </w:p>
    <w:p w:rsidR="00273DB6" w:rsidRDefault="007D43C5" w:rsidP="00273DB6">
      <w:pPr>
        <w:rPr>
          <w:rFonts w:cs="Arial"/>
          <w:snapToGrid w:val="0"/>
        </w:rPr>
      </w:pPr>
      <w:r>
        <w:fldChar w:fldCharType="begin"/>
      </w:r>
      <w:r w:rsidR="00273DB6">
        <w:instrText xml:space="preserve"> AUTONUM  </w:instrText>
      </w:r>
      <w:r>
        <w:fldChar w:fldCharType="end"/>
      </w:r>
      <w:r w:rsidR="00273DB6">
        <w:tab/>
      </w:r>
      <w:r w:rsidR="0049344C" w:rsidRPr="0049344C">
        <w:rPr>
          <w:rFonts w:cs="Arial"/>
          <w:snapToGrid w:val="0"/>
        </w:rPr>
        <w:t>El BMT escuchó las siguientes ponencias relativas a las directrices internacionales sobre metodologías moleculares:</w:t>
      </w:r>
    </w:p>
    <w:p w:rsidR="00CB3DD9" w:rsidRPr="00C63981" w:rsidRDefault="00CB3DD9" w:rsidP="00273DB6">
      <w:pPr>
        <w:rPr>
          <w:rFonts w:cs="Arial"/>
          <w:snapToGrid w:val="0"/>
        </w:rPr>
      </w:pP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49344C">
        <w:rPr>
          <w:rFonts w:cs="Arial"/>
          <w:snapToGrid w:val="0"/>
        </w:rPr>
        <w:t>La UPOV y el TC</w:t>
      </w:r>
      <w:r w:rsidR="007829E4">
        <w:rPr>
          <w:rFonts w:cs="Arial"/>
          <w:snapToGrid w:val="0"/>
        </w:rPr>
        <w:t> </w:t>
      </w:r>
      <w:r w:rsidR="007829E4" w:rsidRPr="0049344C">
        <w:rPr>
          <w:rFonts w:cs="Arial"/>
          <w:snapToGrid w:val="0"/>
        </w:rPr>
        <w:t>3</w:t>
      </w:r>
      <w:r w:rsidR="0049344C" w:rsidRPr="0049344C">
        <w:rPr>
          <w:rFonts w:cs="Arial"/>
          <w:snapToGrid w:val="0"/>
        </w:rPr>
        <w:t>4/SC</w:t>
      </w:r>
      <w:r w:rsidR="007829E4">
        <w:rPr>
          <w:rFonts w:cs="Arial"/>
          <w:snapToGrid w:val="0"/>
        </w:rPr>
        <w:t> </w:t>
      </w:r>
      <w:r w:rsidR="007829E4" w:rsidRPr="0049344C">
        <w:rPr>
          <w:rFonts w:cs="Arial"/>
          <w:snapToGrid w:val="0"/>
        </w:rPr>
        <w:t>1</w:t>
      </w:r>
      <w:r w:rsidR="0049344C" w:rsidRPr="0049344C">
        <w:rPr>
          <w:rFonts w:cs="Arial"/>
          <w:snapToGrid w:val="0"/>
        </w:rPr>
        <w:t>6 de la ISO</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49344C">
        <w:rPr>
          <w:rFonts w:cs="Arial"/>
          <w:snapToGrid w:val="0"/>
        </w:rPr>
        <w:t>Método de examen de variedades basado en el ADN:</w:t>
      </w:r>
      <w:r w:rsidR="0049344C">
        <w:rPr>
          <w:rFonts w:cs="Arial"/>
          <w:snapToGrid w:val="0"/>
        </w:rPr>
        <w:t xml:space="preserve"> </w:t>
      </w:r>
      <w:r w:rsidRPr="00C63981">
        <w:rPr>
          <w:rFonts w:cs="Arial"/>
          <w:snapToGrid w:val="0"/>
        </w:rPr>
        <w:t xml:space="preserve"> </w:t>
      </w:r>
      <w:r w:rsidR="0049344C" w:rsidRPr="0049344C">
        <w:rPr>
          <w:rFonts w:cs="Arial"/>
          <w:snapToGrid w:val="0"/>
        </w:rPr>
        <w:t>el enfoque de la ISTA</w:t>
      </w:r>
      <w:r w:rsidRPr="00C63981">
        <w:rPr>
          <w:rFonts w:cs="Arial"/>
          <w:snapToGrid w:val="0"/>
        </w:rPr>
        <w:t xml:space="preserve">  </w:t>
      </w:r>
    </w:p>
    <w:p w:rsidR="00273DB6" w:rsidRPr="00C63981" w:rsidRDefault="00273DB6" w:rsidP="00273DB6">
      <w:pPr>
        <w:rPr>
          <w:rFonts w:cs="Arial"/>
          <w:snapToGrid w:val="0"/>
        </w:rPr>
      </w:pPr>
    </w:p>
    <w:p w:rsidR="00273DB6" w:rsidRPr="00C63981" w:rsidRDefault="007D43C5" w:rsidP="00273DB6">
      <w:pPr>
        <w:rPr>
          <w:rFonts w:cs="Arial"/>
          <w:snapToGrid w:val="0"/>
        </w:rPr>
      </w:pPr>
      <w:r>
        <w:fldChar w:fldCharType="begin"/>
      </w:r>
      <w:r w:rsidR="00273DB6">
        <w:instrText xml:space="preserve"> AUTONUM  </w:instrText>
      </w:r>
      <w:r>
        <w:fldChar w:fldCharType="end"/>
      </w:r>
      <w:r w:rsidR="00273DB6">
        <w:tab/>
      </w:r>
      <w:r w:rsidR="0049344C" w:rsidRPr="0049344C">
        <w:rPr>
          <w:rFonts w:cs="Arial"/>
          <w:snapToGrid w:val="0"/>
        </w:rPr>
        <w:t>El BMT escuchó las siguientes ponencias relativas a la utilización de técnicas moleculares en la identificación y el fitomejoramiento de variedades:</w:t>
      </w:r>
    </w:p>
    <w:p w:rsidR="00273DB6" w:rsidRPr="00C63981" w:rsidRDefault="00273DB6" w:rsidP="00273DB6">
      <w:pPr>
        <w:rPr>
          <w:rFonts w:cs="Arial"/>
          <w:snapToGrid w:val="0"/>
        </w:rPr>
      </w:pP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49344C">
        <w:rPr>
          <w:rFonts w:cs="Arial"/>
          <w:snapToGrid w:val="0"/>
        </w:rPr>
        <w:t>Aplicación de las técnicas de análisis mediante marcadores de ADN en el fitomejoramiento de hortalizas</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49344C">
        <w:rPr>
          <w:rFonts w:cs="Arial"/>
          <w:snapToGrid w:val="0"/>
        </w:rPr>
        <w:t>Modificación de genes y del genoma con CRISPR-cas9</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49344C" w:rsidRPr="00393409">
        <w:rPr>
          <w:rFonts w:cs="Arial"/>
          <w:snapToGrid w:val="0"/>
        </w:rPr>
        <w:t>Identificación de variedades de cebada med</w:t>
      </w:r>
      <w:r w:rsidR="00393409" w:rsidRPr="00393409">
        <w:rPr>
          <w:rFonts w:cs="Arial"/>
          <w:snapToGrid w:val="0"/>
        </w:rPr>
        <w:t>iante genotipificación por KASP</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393409" w:rsidRPr="00393409">
        <w:rPr>
          <w:rFonts w:cs="Arial"/>
          <w:snapToGrid w:val="0"/>
        </w:rPr>
        <w:t>Detección e identificación rápidas</w:t>
      </w:r>
      <w:r w:rsidR="007829E4">
        <w:rPr>
          <w:rFonts w:cs="Arial"/>
          <w:snapToGrid w:val="0"/>
        </w:rPr>
        <w:t xml:space="preserve">, </w:t>
      </w:r>
      <w:r w:rsidR="00393409" w:rsidRPr="00393409">
        <w:rPr>
          <w:rFonts w:cs="Arial"/>
          <w:snapToGrid w:val="0"/>
        </w:rPr>
        <w:t>en una sola etapa</w:t>
      </w:r>
      <w:r w:rsidR="007829E4">
        <w:rPr>
          <w:rFonts w:cs="Arial"/>
          <w:snapToGrid w:val="0"/>
        </w:rPr>
        <w:t xml:space="preserve">, </w:t>
      </w:r>
      <w:r w:rsidR="00393409" w:rsidRPr="00393409">
        <w:rPr>
          <w:rFonts w:cs="Arial"/>
          <w:snapToGrid w:val="0"/>
        </w:rPr>
        <w:t>de múltiples agentes fitopatógenos y organismos modificados genéticamente mediante la técnica de matrices de PCR en tiempo real</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393409" w:rsidRPr="00393409">
        <w:rPr>
          <w:rFonts w:cs="Arial"/>
          <w:snapToGrid w:val="0"/>
        </w:rPr>
        <w:t>Control analítico de las semillas de cultivares de cebada</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393409" w:rsidRPr="00393409">
        <w:rPr>
          <w:rFonts w:cs="Arial"/>
          <w:snapToGrid w:val="0"/>
        </w:rPr>
        <w:t>Avances producidos en Belarús en materia de técnicas bioquímicas y moleculares</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393409" w:rsidRPr="00393409">
        <w:rPr>
          <w:rFonts w:cs="Arial"/>
          <w:snapToGrid w:val="0"/>
        </w:rPr>
        <w:t>Uso de técnicas basadas en marcadores de ADN para la identificación de variedades y la determinación del perfil de los recursos genéticos de plantas frutales y la vid</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393409" w:rsidRPr="00393409">
        <w:rPr>
          <w:rFonts w:cs="Arial"/>
          <w:snapToGrid w:val="0"/>
        </w:rPr>
        <w:t>Botánica forense:</w:t>
      </w:r>
      <w:r w:rsidRPr="00C63981">
        <w:rPr>
          <w:rFonts w:cs="Arial"/>
          <w:snapToGrid w:val="0"/>
        </w:rPr>
        <w:t xml:space="preserve"> </w:t>
      </w:r>
      <w:r w:rsidR="00393409" w:rsidRPr="00393409">
        <w:rPr>
          <w:rFonts w:cs="Arial"/>
          <w:snapToGrid w:val="0"/>
        </w:rPr>
        <w:t>la secuenciación del genoma completo en la defensa del derecho de obtentor</w:t>
      </w:r>
      <w:r w:rsidRPr="00C63981">
        <w:rPr>
          <w:rFonts w:cs="Arial"/>
          <w:snapToGrid w:val="0"/>
        </w:rPr>
        <w:t xml:space="preserve"> </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393409" w:rsidRPr="00393409">
        <w:rPr>
          <w:rFonts w:cs="Arial"/>
          <w:snapToGrid w:val="0"/>
        </w:rPr>
        <w:t>Evaluación y clasificación de accesiones de obtenciones de hortalizas mediante marcadores de ADN</w:t>
      </w:r>
    </w:p>
    <w:p w:rsidR="00273DB6" w:rsidRPr="00C63981" w:rsidRDefault="00273DB6" w:rsidP="00273DB6">
      <w:pPr>
        <w:rPr>
          <w:rFonts w:cs="Arial"/>
          <w:snapToGrid w:val="0"/>
        </w:rPr>
      </w:pPr>
    </w:p>
    <w:p w:rsidR="00273DB6" w:rsidRPr="00C63981" w:rsidRDefault="007D43C5" w:rsidP="00273DB6">
      <w:pPr>
        <w:keepNext/>
        <w:keepLines/>
        <w:rPr>
          <w:rFonts w:cs="Arial"/>
          <w:snapToGrid w:val="0"/>
        </w:rPr>
      </w:pPr>
      <w:r>
        <w:fldChar w:fldCharType="begin"/>
      </w:r>
      <w:r w:rsidR="00273DB6">
        <w:instrText xml:space="preserve"> AUTONUM  </w:instrText>
      </w:r>
      <w:r>
        <w:fldChar w:fldCharType="end"/>
      </w:r>
      <w:r w:rsidR="00273DB6">
        <w:tab/>
      </w:r>
      <w:r w:rsidR="00393409" w:rsidRPr="000B4225">
        <w:rPr>
          <w:rFonts w:cs="Arial"/>
          <w:snapToGrid w:val="0"/>
        </w:rPr>
        <w:t>La cooperación entre la OCDE</w:t>
      </w:r>
      <w:r w:rsidR="007829E4">
        <w:rPr>
          <w:rFonts w:cs="Arial"/>
          <w:snapToGrid w:val="0"/>
        </w:rPr>
        <w:t xml:space="preserve">, </w:t>
      </w:r>
      <w:r w:rsidR="00393409" w:rsidRPr="000B4225">
        <w:rPr>
          <w:rFonts w:cs="Arial"/>
          <w:snapToGrid w:val="0"/>
        </w:rPr>
        <w:t>la UPOV</w:t>
      </w:r>
      <w:r w:rsidR="007829E4">
        <w:rPr>
          <w:rFonts w:cs="Arial"/>
          <w:snapToGrid w:val="0"/>
        </w:rPr>
        <w:t xml:space="preserve">, </w:t>
      </w:r>
      <w:r w:rsidR="00393409" w:rsidRPr="000B4225">
        <w:rPr>
          <w:rFonts w:cs="Arial"/>
          <w:snapToGrid w:val="0"/>
        </w:rPr>
        <w:t>la ISTA y la ISO:</w:t>
      </w:r>
    </w:p>
    <w:p w:rsidR="00273DB6" w:rsidRPr="00C63981" w:rsidRDefault="00273DB6" w:rsidP="00273DB6">
      <w:pPr>
        <w:keepNext/>
        <w:keepLines/>
        <w:rPr>
          <w:rFonts w:cs="Arial"/>
          <w:snapToGrid w:val="0"/>
        </w:rPr>
      </w:pPr>
    </w:p>
    <w:p w:rsidR="00273DB6" w:rsidRPr="00C63981" w:rsidRDefault="00273DB6" w:rsidP="00273DB6">
      <w:pPr>
        <w:keepNext/>
        <w:keepLines/>
        <w:ind w:left="1134" w:hanging="567"/>
        <w:rPr>
          <w:rFonts w:cs="Arial"/>
          <w:snapToGrid w:val="0"/>
        </w:rPr>
      </w:pPr>
      <w:r w:rsidRPr="00C63981">
        <w:rPr>
          <w:rFonts w:cs="Arial"/>
          <w:snapToGrid w:val="0"/>
        </w:rPr>
        <w:t>•</w:t>
      </w:r>
      <w:r w:rsidRPr="00C63981">
        <w:rPr>
          <w:rFonts w:cs="Arial"/>
          <w:snapToGrid w:val="0"/>
        </w:rPr>
        <w:tab/>
      </w:r>
      <w:r w:rsidR="000B4225" w:rsidRPr="000B4225">
        <w:rPr>
          <w:rFonts w:cs="Arial"/>
          <w:snapToGrid w:val="0"/>
        </w:rPr>
        <w:t>El BMT observó que la elaboración de un documento conjunto de la UPOV</w:t>
      </w:r>
      <w:r w:rsidR="007829E4">
        <w:rPr>
          <w:rFonts w:cs="Arial"/>
          <w:snapToGrid w:val="0"/>
        </w:rPr>
        <w:t xml:space="preserve">, </w:t>
      </w:r>
      <w:r w:rsidR="000B4225" w:rsidRPr="000B4225">
        <w:rPr>
          <w:rFonts w:cs="Arial"/>
          <w:snapToGrid w:val="0"/>
        </w:rPr>
        <w:t>la OCDE y la ISTA que contenga un inventario sobre la utilización de técnicas basadas en marcadores moleculares</w:t>
      </w:r>
      <w:r w:rsidR="007829E4">
        <w:rPr>
          <w:rFonts w:cs="Arial"/>
          <w:snapToGrid w:val="0"/>
        </w:rPr>
        <w:t xml:space="preserve">, </w:t>
      </w:r>
      <w:r w:rsidR="000B4225" w:rsidRPr="000B4225">
        <w:rPr>
          <w:rFonts w:cs="Arial"/>
          <w:snapToGrid w:val="0"/>
        </w:rPr>
        <w:t>por cultivos</w:t>
      </w:r>
      <w:r w:rsidR="007829E4">
        <w:rPr>
          <w:rFonts w:cs="Arial"/>
          <w:snapToGrid w:val="0"/>
        </w:rPr>
        <w:t xml:space="preserve">, </w:t>
      </w:r>
      <w:r w:rsidR="000B4225" w:rsidRPr="000B4225">
        <w:rPr>
          <w:rFonts w:cs="Arial"/>
          <w:snapToGrid w:val="0"/>
        </w:rPr>
        <w:t>no podrá iniciarse hasta que la OCDE y la ISTA hayan dado su conformidad.</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0B4225" w:rsidRPr="000B4225">
        <w:rPr>
          <w:rFonts w:cs="Arial"/>
          <w:snapToGrid w:val="0"/>
        </w:rPr>
        <w:t>El BMT acogió con satisfacción la propuesta de los Países Bajos de organizar</w:t>
      </w:r>
      <w:r w:rsidR="007829E4">
        <w:rPr>
          <w:rFonts w:cs="Arial"/>
          <w:snapToGrid w:val="0"/>
        </w:rPr>
        <w:t xml:space="preserve">, </w:t>
      </w:r>
      <w:r w:rsidR="000B4225" w:rsidRPr="000B4225">
        <w:rPr>
          <w:rFonts w:cs="Arial"/>
          <w:snapToGrid w:val="0"/>
        </w:rPr>
        <w:t>con el apoyo de la UPOV</w:t>
      </w:r>
      <w:r w:rsidR="007829E4">
        <w:rPr>
          <w:rFonts w:cs="Arial"/>
          <w:snapToGrid w:val="0"/>
        </w:rPr>
        <w:t xml:space="preserve">, </w:t>
      </w:r>
      <w:r w:rsidR="000B4225" w:rsidRPr="000B4225">
        <w:rPr>
          <w:rFonts w:cs="Arial"/>
          <w:snapToGrid w:val="0"/>
        </w:rPr>
        <w:t>la OCDE y la ISTA</w:t>
      </w:r>
      <w:r w:rsidR="007829E4">
        <w:rPr>
          <w:rFonts w:cs="Arial"/>
          <w:snapToGrid w:val="0"/>
        </w:rPr>
        <w:t xml:space="preserve">, </w:t>
      </w:r>
      <w:r w:rsidR="000B4225" w:rsidRPr="000B4225">
        <w:rPr>
          <w:rFonts w:cs="Arial"/>
          <w:snapToGrid w:val="0"/>
        </w:rPr>
        <w:t>un taller práctico en</w:t>
      </w:r>
      <w:r w:rsidR="007829E4">
        <w:rPr>
          <w:rFonts w:cs="Arial"/>
          <w:snapToGrid w:val="0"/>
        </w:rPr>
        <w:t> </w:t>
      </w:r>
      <w:r w:rsidR="007829E4" w:rsidRPr="000B4225">
        <w:rPr>
          <w:rFonts w:cs="Arial"/>
          <w:snapToGrid w:val="0"/>
        </w:rPr>
        <w:t>2</w:t>
      </w:r>
      <w:r w:rsidR="000B4225" w:rsidRPr="000B4225">
        <w:rPr>
          <w:rFonts w:cs="Arial"/>
          <w:snapToGrid w:val="0"/>
        </w:rPr>
        <w:t>017 para determinar modos eficientes de aplicación de las técnicas moleculares a los fines de dichas organizaciones.</w:t>
      </w:r>
    </w:p>
    <w:p w:rsidR="00273DB6" w:rsidRPr="00C63981" w:rsidRDefault="00273DB6" w:rsidP="00273DB6">
      <w:pPr>
        <w:ind w:left="1134" w:hanging="567"/>
        <w:rPr>
          <w:rFonts w:cs="Arial"/>
          <w:snapToGrid w:val="0"/>
        </w:rPr>
      </w:pPr>
      <w:r w:rsidRPr="00C63981">
        <w:rPr>
          <w:rFonts w:cs="Arial"/>
          <w:snapToGrid w:val="0"/>
        </w:rPr>
        <w:t>•</w:t>
      </w:r>
      <w:r w:rsidRPr="00C63981">
        <w:rPr>
          <w:rFonts w:cs="Arial"/>
          <w:snapToGrid w:val="0"/>
        </w:rPr>
        <w:tab/>
      </w:r>
      <w:r w:rsidR="000B4225" w:rsidRPr="000B4225">
        <w:rPr>
          <w:rFonts w:cs="Arial"/>
          <w:snapToGrid w:val="0"/>
        </w:rPr>
        <w:t>El BMT convino en que la eventual colaboración entre la UPOV</w:t>
      </w:r>
      <w:r w:rsidR="007829E4">
        <w:rPr>
          <w:rFonts w:cs="Arial"/>
          <w:snapToGrid w:val="0"/>
        </w:rPr>
        <w:t xml:space="preserve">, </w:t>
      </w:r>
      <w:r w:rsidR="000B4225" w:rsidRPr="000B4225">
        <w:rPr>
          <w:rFonts w:cs="Arial"/>
          <w:snapToGrid w:val="0"/>
        </w:rPr>
        <w:t>la OCDE y la ISTA en el futuro podría incluir</w:t>
      </w:r>
      <w:r w:rsidR="007829E4">
        <w:rPr>
          <w:rFonts w:cs="Arial"/>
          <w:snapToGrid w:val="0"/>
        </w:rPr>
        <w:t xml:space="preserve">, </w:t>
      </w:r>
      <w:r w:rsidR="000B4225" w:rsidRPr="000B4225">
        <w:rPr>
          <w:rFonts w:cs="Arial"/>
          <w:snapToGrid w:val="0"/>
        </w:rPr>
        <w:t>previo acuerdo de dichas organizaciones</w:t>
      </w:r>
      <w:r w:rsidR="007829E4">
        <w:rPr>
          <w:rFonts w:cs="Arial"/>
          <w:snapToGrid w:val="0"/>
        </w:rPr>
        <w:t xml:space="preserve">, </w:t>
      </w:r>
      <w:r w:rsidR="000B4225" w:rsidRPr="000B4225">
        <w:rPr>
          <w:rFonts w:cs="Arial"/>
          <w:snapToGrid w:val="0"/>
        </w:rPr>
        <w:t>la armonización de los términos y métodos empleados en distintos cultivos y la elaboración de normas.</w:t>
      </w:r>
    </w:p>
    <w:p w:rsidR="00273DB6" w:rsidRPr="00C63981" w:rsidRDefault="00273DB6" w:rsidP="00273DB6">
      <w:pPr>
        <w:rPr>
          <w:rFonts w:cs="Arial"/>
          <w:snapToGrid w:val="0"/>
        </w:rPr>
      </w:pPr>
    </w:p>
    <w:p w:rsidR="00273DB6" w:rsidRPr="00C63981" w:rsidRDefault="007D43C5" w:rsidP="00273DB6">
      <w:pPr>
        <w:rPr>
          <w:rFonts w:cs="Arial"/>
          <w:snapToGrid w:val="0"/>
        </w:rPr>
      </w:pPr>
      <w:r>
        <w:fldChar w:fldCharType="begin"/>
      </w:r>
      <w:r w:rsidR="00273DB6">
        <w:instrText xml:space="preserve"> AUTONUM  </w:instrText>
      </w:r>
      <w:r>
        <w:fldChar w:fldCharType="end"/>
      </w:r>
      <w:r w:rsidR="00273DB6">
        <w:tab/>
      </w:r>
      <w:r w:rsidR="000B4225" w:rsidRPr="000B4225">
        <w:rPr>
          <w:rFonts w:cs="Arial"/>
          <w:snapToGrid w:val="0"/>
        </w:rPr>
        <w:t>El BMT escuchó las siguientes ponencias sobre las bases de datos con información molecular:</w:t>
      </w:r>
    </w:p>
    <w:p w:rsidR="00273DB6" w:rsidRPr="00C63981" w:rsidRDefault="00273DB6" w:rsidP="00273DB6">
      <w:pPr>
        <w:rPr>
          <w:rFonts w:cs="Arial"/>
          <w:snapToGrid w:val="0"/>
        </w:rPr>
      </w:pPr>
    </w:p>
    <w:p w:rsidR="00273DB6" w:rsidRPr="00C63981" w:rsidRDefault="00273DB6" w:rsidP="00273DB6">
      <w:pPr>
        <w:ind w:left="567"/>
        <w:rPr>
          <w:rFonts w:cs="Arial"/>
          <w:snapToGrid w:val="0"/>
        </w:rPr>
      </w:pPr>
      <w:r w:rsidRPr="00C63981">
        <w:rPr>
          <w:rFonts w:cs="Arial"/>
          <w:snapToGrid w:val="0"/>
        </w:rPr>
        <w:t>•</w:t>
      </w:r>
      <w:r w:rsidRPr="00C63981">
        <w:rPr>
          <w:rFonts w:cs="Arial"/>
          <w:snapToGrid w:val="0"/>
        </w:rPr>
        <w:tab/>
      </w:r>
      <w:r w:rsidR="000B4225" w:rsidRPr="000B4225">
        <w:rPr>
          <w:rFonts w:cs="Arial"/>
          <w:snapToGrid w:val="0"/>
        </w:rPr>
        <w:t>Creación de bases permanentes de datos de ADN que sirvan de apoyo al examen DHE</w:t>
      </w:r>
    </w:p>
    <w:p w:rsidR="00273DB6" w:rsidRPr="00C63981" w:rsidRDefault="00273DB6" w:rsidP="00273DB6">
      <w:pPr>
        <w:ind w:left="567"/>
        <w:rPr>
          <w:rFonts w:cs="Arial"/>
          <w:snapToGrid w:val="0"/>
        </w:rPr>
      </w:pPr>
      <w:r w:rsidRPr="00C63981">
        <w:rPr>
          <w:rFonts w:cs="Arial"/>
          <w:snapToGrid w:val="0"/>
        </w:rPr>
        <w:t>•</w:t>
      </w:r>
      <w:r w:rsidRPr="00C63981">
        <w:rPr>
          <w:rFonts w:cs="Arial"/>
          <w:snapToGrid w:val="0"/>
        </w:rPr>
        <w:tab/>
      </w:r>
      <w:r w:rsidR="000B4225" w:rsidRPr="000B4225">
        <w:rPr>
          <w:rFonts w:cs="Arial"/>
          <w:snapToGrid w:val="0"/>
        </w:rPr>
        <w:t>Avances en la elaboración y la aplicación de una base de datos de perfiles de ADN del maíz</w:t>
      </w:r>
    </w:p>
    <w:p w:rsidR="00273DB6" w:rsidRPr="00C63981" w:rsidRDefault="00273DB6" w:rsidP="00273DB6">
      <w:pPr>
        <w:rPr>
          <w:rFonts w:cs="Arial"/>
          <w:snapToGrid w:val="0"/>
        </w:rPr>
      </w:pPr>
    </w:p>
    <w:p w:rsidR="00273DB6" w:rsidRPr="00C63981" w:rsidRDefault="007D43C5" w:rsidP="00273DB6">
      <w:pPr>
        <w:rPr>
          <w:rFonts w:cs="Arial"/>
          <w:snapToGrid w:val="0"/>
        </w:rPr>
      </w:pPr>
      <w:r>
        <w:fldChar w:fldCharType="begin"/>
      </w:r>
      <w:r w:rsidR="00273DB6">
        <w:instrText xml:space="preserve"> AUTONUM  </w:instrText>
      </w:r>
      <w:r>
        <w:fldChar w:fldCharType="end"/>
      </w:r>
      <w:r w:rsidR="00273DB6">
        <w:tab/>
      </w:r>
      <w:r w:rsidR="000B4225" w:rsidRPr="000B4225">
        <w:rPr>
          <w:rFonts w:cs="Arial"/>
          <w:snapToGrid w:val="0"/>
        </w:rPr>
        <w:t>Atendiendo a la invitación de Francia</w:t>
      </w:r>
      <w:r w:rsidR="007829E4">
        <w:rPr>
          <w:rFonts w:cs="Arial"/>
          <w:snapToGrid w:val="0"/>
        </w:rPr>
        <w:t xml:space="preserve">, </w:t>
      </w:r>
      <w:r w:rsidR="000B4225" w:rsidRPr="000B4225">
        <w:rPr>
          <w:rFonts w:cs="Arial"/>
          <w:snapToGrid w:val="0"/>
        </w:rPr>
        <w:t>el BMT convino en celebrar su decimosexta reunión y un taller preparatorio en dicho país (en La Rochelle</w:t>
      </w:r>
      <w:r w:rsidR="007829E4">
        <w:rPr>
          <w:rFonts w:cs="Arial"/>
          <w:snapToGrid w:val="0"/>
        </w:rPr>
        <w:t xml:space="preserve">, </w:t>
      </w:r>
      <w:r w:rsidR="000B4225" w:rsidRPr="000B4225">
        <w:rPr>
          <w:rFonts w:cs="Arial"/>
          <w:snapToGrid w:val="0"/>
        </w:rPr>
        <w:t>según se confirmó más tarde) a finales de septiembre o principios de octubre (más tarde se modificó la fecha</w:t>
      </w:r>
      <w:r w:rsidR="007829E4">
        <w:rPr>
          <w:rFonts w:cs="Arial"/>
          <w:snapToGrid w:val="0"/>
        </w:rPr>
        <w:t xml:space="preserve">:  </w:t>
      </w:r>
      <w:r w:rsidR="000B4225" w:rsidRPr="000B4225">
        <w:rPr>
          <w:rFonts w:cs="Arial"/>
          <w:snapToGrid w:val="0"/>
        </w:rPr>
        <w:t>del</w:t>
      </w:r>
      <w:r w:rsidR="007829E4">
        <w:rPr>
          <w:rFonts w:cs="Arial"/>
          <w:snapToGrid w:val="0"/>
        </w:rPr>
        <w:t> </w:t>
      </w:r>
      <w:r w:rsidR="007829E4" w:rsidRPr="000B4225">
        <w:rPr>
          <w:rFonts w:cs="Arial"/>
          <w:snapToGrid w:val="0"/>
        </w:rPr>
        <w:t>7</w:t>
      </w:r>
      <w:r w:rsidR="000B4225" w:rsidRPr="000B4225">
        <w:rPr>
          <w:rFonts w:cs="Arial"/>
          <w:snapToGrid w:val="0"/>
        </w:rPr>
        <w:t xml:space="preserve"> al</w:t>
      </w:r>
      <w:r w:rsidR="007829E4">
        <w:rPr>
          <w:rFonts w:cs="Arial"/>
          <w:snapToGrid w:val="0"/>
        </w:rPr>
        <w:t> </w:t>
      </w:r>
      <w:r w:rsidR="007829E4" w:rsidRPr="000B4225">
        <w:rPr>
          <w:rFonts w:cs="Arial"/>
          <w:snapToGrid w:val="0"/>
        </w:rPr>
        <w:t>1</w:t>
      </w:r>
      <w:r w:rsidR="000B4225" w:rsidRPr="000B4225">
        <w:rPr>
          <w:rFonts w:cs="Arial"/>
          <w:snapToGrid w:val="0"/>
        </w:rPr>
        <w:t>0 de noviembre de</w:t>
      </w:r>
      <w:r w:rsidR="007829E4">
        <w:rPr>
          <w:rFonts w:cs="Arial"/>
          <w:snapToGrid w:val="0"/>
        </w:rPr>
        <w:t> </w:t>
      </w:r>
      <w:r w:rsidR="007829E4" w:rsidRPr="000B4225">
        <w:rPr>
          <w:rFonts w:cs="Arial"/>
          <w:snapToGrid w:val="0"/>
        </w:rPr>
        <w:t>2</w:t>
      </w:r>
      <w:r w:rsidR="000B4225" w:rsidRPr="000B4225">
        <w:rPr>
          <w:rFonts w:cs="Arial"/>
          <w:snapToGrid w:val="0"/>
        </w:rPr>
        <w:t>017;  el taller preparatorio tendrá lugar un día antes de la reunión del BMT).</w:t>
      </w:r>
    </w:p>
    <w:p w:rsidR="00273DB6" w:rsidRPr="00C63981" w:rsidRDefault="00273DB6" w:rsidP="00273DB6">
      <w:pPr>
        <w:rPr>
          <w:rFonts w:cs="Arial"/>
          <w:snapToGrid w:val="0"/>
        </w:rPr>
      </w:pPr>
    </w:p>
    <w:p w:rsidR="00273DB6" w:rsidRPr="00C63981" w:rsidRDefault="007D43C5" w:rsidP="00273DB6">
      <w:pPr>
        <w:keepNext/>
        <w:rPr>
          <w:rFonts w:cs="Arial"/>
          <w:snapToGrid w:val="0"/>
        </w:rPr>
      </w:pPr>
      <w:r>
        <w:fldChar w:fldCharType="begin"/>
      </w:r>
      <w:r w:rsidR="00273DB6">
        <w:instrText xml:space="preserve"> AUTONUM  </w:instrText>
      </w:r>
      <w:r>
        <w:fldChar w:fldCharType="end"/>
      </w:r>
      <w:r w:rsidR="00273DB6">
        <w:tab/>
      </w:r>
      <w:r w:rsidR="000B4225" w:rsidRPr="000B4225">
        <w:rPr>
          <w:rFonts w:cs="Arial"/>
          <w:snapToGrid w:val="0"/>
        </w:rPr>
        <w:t>El BMT propuso examinar los puntos siguientes en su decimosexta reunión:</w:t>
      </w:r>
    </w:p>
    <w:p w:rsidR="00273DB6" w:rsidRPr="00C63981" w:rsidRDefault="00273DB6" w:rsidP="00273DB6">
      <w:pPr>
        <w:rPr>
          <w:rFonts w:cs="Arial"/>
          <w:snapToGrid w:val="0"/>
        </w:rPr>
      </w:pPr>
    </w:p>
    <w:p w:rsidR="00273DB6" w:rsidRPr="00C63981" w:rsidRDefault="00273DB6" w:rsidP="00273DB6">
      <w:pPr>
        <w:spacing w:after="60"/>
        <w:ind w:left="1134" w:hanging="567"/>
        <w:rPr>
          <w:rFonts w:cs="Arial"/>
          <w:snapToGrid w:val="0"/>
        </w:rPr>
      </w:pPr>
      <w:r w:rsidRPr="00C63981">
        <w:rPr>
          <w:rFonts w:cs="Arial"/>
          <w:snapToGrid w:val="0"/>
        </w:rPr>
        <w:t>1.</w:t>
      </w:r>
      <w:r w:rsidRPr="00C63981">
        <w:rPr>
          <w:rFonts w:cs="Arial"/>
          <w:snapToGrid w:val="0"/>
        </w:rPr>
        <w:tab/>
      </w:r>
      <w:r w:rsidR="000B4225" w:rsidRPr="000B4225">
        <w:rPr>
          <w:rFonts w:cs="Arial"/>
          <w:snapToGrid w:val="0"/>
        </w:rPr>
        <w:t>Apertura de la reunión</w:t>
      </w:r>
      <w:r w:rsidRPr="00C63981">
        <w:rPr>
          <w:rFonts w:cs="Arial"/>
          <w:snapToGrid w:val="0"/>
        </w:rPr>
        <w:t xml:space="preserve"> </w:t>
      </w:r>
    </w:p>
    <w:p w:rsidR="00273DB6" w:rsidRPr="00C63981" w:rsidRDefault="00273DB6" w:rsidP="00273DB6">
      <w:pPr>
        <w:spacing w:after="60"/>
        <w:ind w:left="1134" w:hanging="567"/>
        <w:rPr>
          <w:rFonts w:cs="Arial"/>
          <w:snapToGrid w:val="0"/>
        </w:rPr>
      </w:pPr>
      <w:r w:rsidRPr="00C63981">
        <w:rPr>
          <w:rFonts w:cs="Arial"/>
          <w:snapToGrid w:val="0"/>
        </w:rPr>
        <w:t>2.</w:t>
      </w:r>
      <w:r w:rsidRPr="00C63981">
        <w:rPr>
          <w:rFonts w:cs="Arial"/>
          <w:snapToGrid w:val="0"/>
        </w:rPr>
        <w:tab/>
      </w:r>
      <w:r w:rsidR="000B4225" w:rsidRPr="000B4225">
        <w:rPr>
          <w:rFonts w:cs="Arial"/>
          <w:snapToGrid w:val="0"/>
        </w:rPr>
        <w:t>Aprobación del orden del día</w:t>
      </w:r>
    </w:p>
    <w:p w:rsidR="00273DB6" w:rsidRPr="00C63981" w:rsidRDefault="00273DB6" w:rsidP="00273DB6">
      <w:pPr>
        <w:spacing w:after="60"/>
        <w:ind w:left="1134" w:hanging="567"/>
        <w:rPr>
          <w:rFonts w:cs="Arial"/>
          <w:snapToGrid w:val="0"/>
        </w:rPr>
      </w:pPr>
      <w:r w:rsidRPr="00C63981">
        <w:rPr>
          <w:rFonts w:cs="Arial"/>
          <w:snapToGrid w:val="0"/>
        </w:rPr>
        <w:t>3.</w:t>
      </w:r>
      <w:r w:rsidRPr="00C63981">
        <w:rPr>
          <w:rFonts w:cs="Arial"/>
          <w:snapToGrid w:val="0"/>
        </w:rPr>
        <w:tab/>
      </w:r>
      <w:r w:rsidR="000B4225" w:rsidRPr="000B4225">
        <w:rPr>
          <w:rFonts w:cs="Arial"/>
          <w:snapToGrid w:val="0"/>
        </w:rPr>
        <w:t>Informe sobre las novedades acaecidas en la UPOV en relación con las técnicas bioquímicas y moleculares</w:t>
      </w:r>
    </w:p>
    <w:p w:rsidR="00273DB6" w:rsidRPr="00C63981" w:rsidRDefault="00273DB6" w:rsidP="00273DB6">
      <w:pPr>
        <w:spacing w:after="60"/>
        <w:ind w:left="1134" w:hanging="567"/>
        <w:rPr>
          <w:rFonts w:cs="Arial"/>
          <w:snapToGrid w:val="0"/>
        </w:rPr>
      </w:pPr>
      <w:r w:rsidRPr="00C63981">
        <w:rPr>
          <w:rFonts w:cs="Arial"/>
          <w:snapToGrid w:val="0"/>
        </w:rPr>
        <w:t>4.</w:t>
      </w:r>
      <w:r w:rsidRPr="00C63981">
        <w:rPr>
          <w:rFonts w:cs="Arial"/>
          <w:snapToGrid w:val="0"/>
        </w:rPr>
        <w:tab/>
      </w:r>
      <w:r w:rsidR="000B4225" w:rsidRPr="000B4225">
        <w:rPr>
          <w:rFonts w:cs="Arial"/>
          <w:snapToGrid w:val="0"/>
        </w:rPr>
        <w:t>Breves ponencias sobre los avances en las técnicas bioquímicas y moleculares a cargo de expertos en el examen DHE</w:t>
      </w:r>
      <w:r w:rsidR="007829E4">
        <w:rPr>
          <w:rFonts w:cs="Arial"/>
          <w:snapToGrid w:val="0"/>
        </w:rPr>
        <w:t xml:space="preserve">, </w:t>
      </w:r>
      <w:r w:rsidR="000B4225" w:rsidRPr="000B4225">
        <w:rPr>
          <w:rFonts w:cs="Arial"/>
          <w:snapToGrid w:val="0"/>
        </w:rPr>
        <w:t>especialistas en técnicas bioquímicas y moleculares</w:t>
      </w:r>
      <w:r w:rsidR="007829E4">
        <w:rPr>
          <w:rFonts w:cs="Arial"/>
          <w:snapToGrid w:val="0"/>
        </w:rPr>
        <w:t xml:space="preserve">, </w:t>
      </w:r>
      <w:r w:rsidR="000B4225" w:rsidRPr="000B4225">
        <w:rPr>
          <w:rFonts w:cs="Arial"/>
          <w:snapToGrid w:val="0"/>
        </w:rPr>
        <w:t>y obtentores y organizaciones internacionales pertinentes</w:t>
      </w:r>
      <w:r w:rsidRPr="00C63981">
        <w:rPr>
          <w:rFonts w:cs="Arial"/>
          <w:snapToGrid w:val="0"/>
        </w:rPr>
        <w:t xml:space="preserve"> </w:t>
      </w:r>
    </w:p>
    <w:p w:rsidR="00273DB6" w:rsidRPr="00C63981" w:rsidRDefault="00273DB6" w:rsidP="00273DB6">
      <w:pPr>
        <w:spacing w:after="60"/>
        <w:ind w:left="1134" w:hanging="567"/>
        <w:rPr>
          <w:rFonts w:cs="Arial"/>
          <w:snapToGrid w:val="0"/>
        </w:rPr>
      </w:pPr>
      <w:r w:rsidRPr="00C63981">
        <w:rPr>
          <w:rFonts w:cs="Arial"/>
          <w:snapToGrid w:val="0"/>
        </w:rPr>
        <w:t>5.</w:t>
      </w:r>
      <w:r w:rsidRPr="00C63981">
        <w:rPr>
          <w:rFonts w:cs="Arial"/>
          <w:snapToGrid w:val="0"/>
        </w:rPr>
        <w:tab/>
      </w:r>
      <w:r w:rsidR="000B4225" w:rsidRPr="000B4225">
        <w:rPr>
          <w:rFonts w:cs="Arial"/>
          <w:snapToGrid w:val="0"/>
        </w:rPr>
        <w:t>Informe sobre la labor relativa a las técnicas moleculares en relación con el examen DHE</w:t>
      </w:r>
    </w:p>
    <w:p w:rsidR="00273DB6" w:rsidRPr="00C63981" w:rsidRDefault="00273DB6" w:rsidP="00273DB6">
      <w:pPr>
        <w:spacing w:after="60"/>
        <w:ind w:left="1134" w:hanging="567"/>
        <w:rPr>
          <w:rFonts w:cs="Arial"/>
          <w:snapToGrid w:val="0"/>
        </w:rPr>
      </w:pPr>
      <w:r w:rsidRPr="00C63981">
        <w:rPr>
          <w:rFonts w:cs="Arial"/>
          <w:snapToGrid w:val="0"/>
        </w:rPr>
        <w:t>6.</w:t>
      </w:r>
      <w:r w:rsidRPr="00C63981">
        <w:rPr>
          <w:rFonts w:cs="Arial"/>
          <w:snapToGrid w:val="0"/>
        </w:rPr>
        <w:tab/>
      </w:r>
      <w:r w:rsidR="000B4225" w:rsidRPr="000B4225">
        <w:rPr>
          <w:rFonts w:cs="Arial"/>
          <w:snapToGrid w:val="0"/>
        </w:rPr>
        <w:t>Directrices internacionales sobre metodologías moleculares</w:t>
      </w:r>
    </w:p>
    <w:p w:rsidR="00273DB6" w:rsidRPr="00C63981" w:rsidRDefault="00273DB6" w:rsidP="00273DB6">
      <w:pPr>
        <w:spacing w:after="60"/>
        <w:ind w:left="1134" w:hanging="567"/>
        <w:rPr>
          <w:rFonts w:cs="Arial"/>
          <w:snapToGrid w:val="0"/>
        </w:rPr>
      </w:pPr>
      <w:r w:rsidRPr="00C63981">
        <w:rPr>
          <w:rFonts w:cs="Arial"/>
          <w:snapToGrid w:val="0"/>
        </w:rPr>
        <w:t>7.</w:t>
      </w:r>
      <w:r w:rsidRPr="00C63981">
        <w:rPr>
          <w:rFonts w:cs="Arial"/>
          <w:snapToGrid w:val="0"/>
        </w:rPr>
        <w:tab/>
      </w:r>
      <w:r w:rsidR="000B4225" w:rsidRPr="000B4225">
        <w:rPr>
          <w:rFonts w:cs="Arial"/>
          <w:snapToGrid w:val="0"/>
        </w:rPr>
        <w:t>Bases de datos de descripciones de variedades</w:t>
      </w:r>
    </w:p>
    <w:p w:rsidR="00273DB6" w:rsidRPr="00C63981" w:rsidRDefault="00273DB6" w:rsidP="00273DB6">
      <w:pPr>
        <w:spacing w:after="60"/>
        <w:ind w:left="1134" w:hanging="567"/>
        <w:rPr>
          <w:rFonts w:cs="Arial"/>
          <w:snapToGrid w:val="0"/>
        </w:rPr>
      </w:pPr>
      <w:r w:rsidRPr="00C63981">
        <w:rPr>
          <w:rFonts w:cs="Arial"/>
          <w:snapToGrid w:val="0"/>
        </w:rPr>
        <w:t>8.</w:t>
      </w:r>
      <w:r w:rsidRPr="00C63981">
        <w:rPr>
          <w:rFonts w:cs="Arial"/>
          <w:snapToGrid w:val="0"/>
        </w:rPr>
        <w:tab/>
      </w:r>
      <w:r w:rsidR="000B4225" w:rsidRPr="000B4225">
        <w:rPr>
          <w:rFonts w:cs="Arial"/>
          <w:snapToGrid w:val="0"/>
        </w:rPr>
        <w:t>Métodos de análisis de datos moleculares</w:t>
      </w:r>
      <w:r w:rsidRPr="00C63981">
        <w:rPr>
          <w:rFonts w:cs="Arial"/>
          <w:snapToGrid w:val="0"/>
        </w:rPr>
        <w:t xml:space="preserve"> </w:t>
      </w:r>
    </w:p>
    <w:p w:rsidR="00273DB6" w:rsidRPr="00C63981" w:rsidRDefault="00273DB6" w:rsidP="00273DB6">
      <w:pPr>
        <w:spacing w:after="60"/>
        <w:ind w:left="1134" w:hanging="567"/>
        <w:rPr>
          <w:rFonts w:cs="Arial"/>
          <w:snapToGrid w:val="0"/>
        </w:rPr>
      </w:pPr>
      <w:r w:rsidRPr="00C63981">
        <w:rPr>
          <w:rFonts w:cs="Arial"/>
          <w:snapToGrid w:val="0"/>
        </w:rPr>
        <w:t>9.</w:t>
      </w:r>
      <w:r w:rsidRPr="00C63981">
        <w:rPr>
          <w:rFonts w:cs="Arial"/>
          <w:snapToGrid w:val="0"/>
        </w:rPr>
        <w:tab/>
      </w:r>
      <w:r w:rsidR="000B4225" w:rsidRPr="000B4225">
        <w:rPr>
          <w:rFonts w:cs="Arial"/>
          <w:snapToGrid w:val="0"/>
        </w:rPr>
        <w:t>La utilización de técnicas moleculares en el examen de las variedades esencialmente derivadas</w:t>
      </w:r>
      <w:r w:rsidRPr="00C63981">
        <w:rPr>
          <w:rFonts w:cs="Arial"/>
          <w:snapToGrid w:val="0"/>
        </w:rPr>
        <w:t xml:space="preserve">  </w:t>
      </w:r>
    </w:p>
    <w:p w:rsidR="00273DB6" w:rsidRPr="00C63981" w:rsidRDefault="00273DB6" w:rsidP="00273DB6">
      <w:pPr>
        <w:spacing w:after="60"/>
        <w:ind w:left="1134" w:hanging="567"/>
        <w:rPr>
          <w:rFonts w:cs="Arial"/>
          <w:snapToGrid w:val="0"/>
        </w:rPr>
      </w:pPr>
      <w:r w:rsidRPr="00C63981">
        <w:rPr>
          <w:rFonts w:cs="Arial"/>
          <w:snapToGrid w:val="0"/>
        </w:rPr>
        <w:t>10.</w:t>
      </w:r>
      <w:r w:rsidRPr="00C63981">
        <w:rPr>
          <w:rFonts w:cs="Arial"/>
          <w:snapToGrid w:val="0"/>
        </w:rPr>
        <w:tab/>
      </w:r>
      <w:r w:rsidR="000B4225" w:rsidRPr="000B4225">
        <w:rPr>
          <w:rFonts w:cs="Arial"/>
          <w:snapToGrid w:val="0"/>
        </w:rPr>
        <w:t>La utilización de técnicas moleculares en la identificación de variedades</w:t>
      </w:r>
    </w:p>
    <w:p w:rsidR="00273DB6" w:rsidRPr="00C63981" w:rsidRDefault="00273DB6" w:rsidP="00273DB6">
      <w:pPr>
        <w:spacing w:after="60"/>
        <w:ind w:left="1134" w:hanging="567"/>
        <w:rPr>
          <w:rFonts w:cs="Arial"/>
          <w:snapToGrid w:val="0"/>
        </w:rPr>
      </w:pPr>
      <w:r w:rsidRPr="00C63981">
        <w:rPr>
          <w:rFonts w:cs="Arial"/>
          <w:snapToGrid w:val="0"/>
        </w:rPr>
        <w:t>11.</w:t>
      </w:r>
      <w:r w:rsidRPr="00C63981">
        <w:rPr>
          <w:rFonts w:cs="Arial"/>
          <w:snapToGrid w:val="0"/>
        </w:rPr>
        <w:tab/>
      </w:r>
      <w:r w:rsidR="000B4225" w:rsidRPr="000B4225">
        <w:rPr>
          <w:rFonts w:cs="Arial"/>
          <w:snapToGrid w:val="0"/>
        </w:rPr>
        <w:t>Revisión del documento UPOV/INF/17 “Directrices para los perfiles de ADN:</w:t>
      </w:r>
      <w:r w:rsidRPr="00C63981">
        <w:rPr>
          <w:rFonts w:cs="Arial"/>
          <w:snapToGrid w:val="0"/>
        </w:rPr>
        <w:t xml:space="preserve"> </w:t>
      </w:r>
      <w:r w:rsidR="000B4225">
        <w:rPr>
          <w:rFonts w:cs="Arial"/>
          <w:snapToGrid w:val="0"/>
        </w:rPr>
        <w:t xml:space="preserve"> </w:t>
      </w:r>
      <w:r w:rsidR="000B4225" w:rsidRPr="000B4225">
        <w:rPr>
          <w:rFonts w:cs="Arial"/>
          <w:snapToGrid w:val="0"/>
        </w:rPr>
        <w:t>selección de marcadores moleculares y creación de una base de datos (“Directrices BMT”)”</w:t>
      </w:r>
    </w:p>
    <w:p w:rsidR="00273DB6" w:rsidRPr="00C63981" w:rsidRDefault="00273DB6" w:rsidP="00273DB6">
      <w:pPr>
        <w:spacing w:after="60"/>
        <w:ind w:left="1134" w:hanging="567"/>
        <w:rPr>
          <w:rFonts w:cs="Arial"/>
          <w:snapToGrid w:val="0"/>
        </w:rPr>
      </w:pPr>
      <w:r w:rsidRPr="00C63981">
        <w:rPr>
          <w:rFonts w:cs="Arial"/>
          <w:snapToGrid w:val="0"/>
        </w:rPr>
        <w:t>12.</w:t>
      </w:r>
      <w:r w:rsidRPr="00C63981">
        <w:rPr>
          <w:rFonts w:cs="Arial"/>
          <w:snapToGrid w:val="0"/>
        </w:rPr>
        <w:tab/>
      </w:r>
      <w:r w:rsidR="000B4225" w:rsidRPr="000B4225">
        <w:rPr>
          <w:rFonts w:cs="Arial"/>
          <w:snapToGrid w:val="0"/>
        </w:rPr>
        <w:t>Fecha y lugar de la siguiente reunión</w:t>
      </w:r>
    </w:p>
    <w:p w:rsidR="00273DB6" w:rsidRPr="00C63981" w:rsidRDefault="00273DB6" w:rsidP="00273DB6">
      <w:pPr>
        <w:spacing w:after="60"/>
        <w:ind w:left="1134" w:hanging="567"/>
        <w:rPr>
          <w:rFonts w:cs="Arial"/>
          <w:snapToGrid w:val="0"/>
        </w:rPr>
      </w:pPr>
      <w:r w:rsidRPr="00C63981">
        <w:rPr>
          <w:rFonts w:cs="Arial"/>
          <w:snapToGrid w:val="0"/>
        </w:rPr>
        <w:t>13.</w:t>
      </w:r>
      <w:r w:rsidRPr="00C63981">
        <w:rPr>
          <w:rFonts w:cs="Arial"/>
          <w:snapToGrid w:val="0"/>
        </w:rPr>
        <w:tab/>
      </w:r>
      <w:r w:rsidR="000B4225" w:rsidRPr="000B4225">
        <w:rPr>
          <w:rFonts w:cs="Arial"/>
          <w:snapToGrid w:val="0"/>
        </w:rPr>
        <w:t>Futuro programa</w:t>
      </w:r>
    </w:p>
    <w:p w:rsidR="00273DB6" w:rsidRPr="00C63981" w:rsidRDefault="00273DB6" w:rsidP="00273DB6">
      <w:pPr>
        <w:spacing w:after="60"/>
        <w:ind w:left="1134" w:hanging="567"/>
        <w:rPr>
          <w:rFonts w:cs="Arial"/>
          <w:snapToGrid w:val="0"/>
        </w:rPr>
      </w:pPr>
      <w:r w:rsidRPr="00C63981">
        <w:rPr>
          <w:rFonts w:cs="Arial"/>
          <w:snapToGrid w:val="0"/>
        </w:rPr>
        <w:t>14.</w:t>
      </w:r>
      <w:r w:rsidRPr="00C63981">
        <w:rPr>
          <w:rFonts w:cs="Arial"/>
          <w:snapToGrid w:val="0"/>
        </w:rPr>
        <w:tab/>
      </w:r>
      <w:r w:rsidR="000B4225" w:rsidRPr="000B4225">
        <w:rPr>
          <w:rFonts w:cs="Arial"/>
          <w:snapToGrid w:val="0"/>
        </w:rPr>
        <w:t>Informe de la reunión (si se dispone de tiempo)</w:t>
      </w:r>
    </w:p>
    <w:p w:rsidR="00273DB6" w:rsidRPr="00C63981" w:rsidRDefault="00273DB6" w:rsidP="00273DB6">
      <w:pPr>
        <w:spacing w:after="60"/>
        <w:ind w:left="1134" w:hanging="567"/>
        <w:rPr>
          <w:rFonts w:cs="Arial"/>
          <w:snapToGrid w:val="0"/>
        </w:rPr>
      </w:pPr>
      <w:r w:rsidRPr="00C63981">
        <w:rPr>
          <w:rFonts w:cs="Arial"/>
          <w:snapToGrid w:val="0"/>
        </w:rPr>
        <w:t>15.</w:t>
      </w:r>
      <w:r w:rsidRPr="00C63981">
        <w:rPr>
          <w:rFonts w:cs="Arial"/>
          <w:snapToGrid w:val="0"/>
        </w:rPr>
        <w:tab/>
      </w:r>
      <w:r w:rsidR="000B4225" w:rsidRPr="000B4225">
        <w:rPr>
          <w:rFonts w:cs="Arial"/>
          <w:snapToGrid w:val="0"/>
        </w:rPr>
        <w:t>Clausura de la reunión</w:t>
      </w:r>
      <w:r w:rsidRPr="00C63981">
        <w:rPr>
          <w:rFonts w:cs="Arial"/>
          <w:snapToGrid w:val="0"/>
        </w:rPr>
        <w:t xml:space="preserve"> </w:t>
      </w:r>
    </w:p>
    <w:p w:rsidR="00273DB6" w:rsidRPr="00C63981" w:rsidRDefault="00273DB6" w:rsidP="00273DB6">
      <w:pPr>
        <w:rPr>
          <w:rFonts w:cs="Arial"/>
          <w:snapToGrid w:val="0"/>
        </w:rPr>
      </w:pPr>
    </w:p>
    <w:p w:rsidR="00273DB6" w:rsidRDefault="007D43C5" w:rsidP="00273DB6">
      <w:pPr>
        <w:rPr>
          <w:rFonts w:cs="Arial"/>
          <w:snapToGrid w:val="0"/>
        </w:rPr>
      </w:pPr>
      <w:r>
        <w:fldChar w:fldCharType="begin"/>
      </w:r>
      <w:r w:rsidR="00273DB6">
        <w:instrText xml:space="preserve"> AUTONUM  </w:instrText>
      </w:r>
      <w:r>
        <w:fldChar w:fldCharType="end"/>
      </w:r>
      <w:r w:rsidR="00273DB6">
        <w:tab/>
      </w:r>
      <w:r w:rsidR="000B4225" w:rsidRPr="000B4225">
        <w:rPr>
          <w:rFonts w:cs="Arial"/>
          <w:snapToGrid w:val="0"/>
        </w:rPr>
        <w:t>El BMT visitó la Universidad Estatal Rusa de Ciencias Agrarias de Moscú</w:t>
      </w:r>
      <w:r w:rsidR="007829E4">
        <w:rPr>
          <w:rFonts w:cs="Arial"/>
          <w:snapToGrid w:val="0"/>
        </w:rPr>
        <w:t xml:space="preserve">, </w:t>
      </w:r>
      <w:r w:rsidR="000B4225" w:rsidRPr="000B4225">
        <w:rPr>
          <w:rFonts w:cs="Arial"/>
          <w:snapToGrid w:val="0"/>
        </w:rPr>
        <w:t>que lleva el nombre de K. A. Timiryazev (RGAU-MSHA)</w:t>
      </w:r>
      <w:r w:rsidR="007829E4">
        <w:rPr>
          <w:rFonts w:cs="Arial"/>
          <w:snapToGrid w:val="0"/>
        </w:rPr>
        <w:t xml:space="preserve">, </w:t>
      </w:r>
      <w:r w:rsidR="000B4225" w:rsidRPr="000B4225">
        <w:rPr>
          <w:rFonts w:cs="Arial"/>
          <w:snapToGrid w:val="0"/>
        </w:rPr>
        <w:t>y visitó el monumento conmemorativo de N. I. Vavilov</w:t>
      </w:r>
      <w:r w:rsidR="007829E4">
        <w:rPr>
          <w:rFonts w:cs="Arial"/>
          <w:snapToGrid w:val="0"/>
        </w:rPr>
        <w:t xml:space="preserve">, </w:t>
      </w:r>
      <w:r w:rsidR="000B4225" w:rsidRPr="000B4225">
        <w:rPr>
          <w:rFonts w:cs="Arial"/>
          <w:snapToGrid w:val="0"/>
        </w:rPr>
        <w:t>donde el BMT rindió homenaje al Sr. Vavilov en una ceremonia en que tuvo lugar una ofrenda floral.</w:t>
      </w:r>
    </w:p>
    <w:p w:rsidR="00273DB6" w:rsidRDefault="00273DB6" w:rsidP="00273DB6">
      <w:pPr>
        <w:ind w:left="567" w:hanging="567"/>
        <w:rPr>
          <w:rFonts w:cs="Arial"/>
          <w:snapToGrid w:val="0"/>
        </w:rPr>
      </w:pPr>
    </w:p>
    <w:p w:rsidR="00795DAC" w:rsidRDefault="00795DAC">
      <w:pPr>
        <w:jc w:val="left"/>
        <w:rPr>
          <w:rFonts w:cs="Arial"/>
          <w:snapToGrid w:val="0"/>
        </w:rPr>
      </w:pPr>
      <w:r>
        <w:rPr>
          <w:rFonts w:cs="Arial"/>
          <w:snapToGrid w:val="0"/>
        </w:rPr>
        <w:br w:type="page"/>
      </w:r>
    </w:p>
    <w:p w:rsidR="00273DB6" w:rsidRPr="00314487" w:rsidRDefault="007D43C5" w:rsidP="00273DB6">
      <w:pPr>
        <w:ind w:left="4820"/>
        <w:rPr>
          <w:i/>
          <w:szCs w:val="24"/>
        </w:rPr>
      </w:pPr>
      <w:r w:rsidRPr="00314487">
        <w:rPr>
          <w:i/>
          <w:szCs w:val="24"/>
        </w:rPr>
        <w:fldChar w:fldCharType="begin"/>
      </w:r>
      <w:r w:rsidR="00273DB6" w:rsidRPr="00314487">
        <w:rPr>
          <w:i/>
          <w:szCs w:val="24"/>
        </w:rPr>
        <w:instrText xml:space="preserve"> AUTONUM  </w:instrText>
      </w:r>
      <w:r w:rsidRPr="00314487">
        <w:rPr>
          <w:i/>
          <w:szCs w:val="24"/>
        </w:rPr>
        <w:fldChar w:fldCharType="end"/>
      </w:r>
      <w:r w:rsidR="00273DB6" w:rsidRPr="00314487">
        <w:rPr>
          <w:i/>
          <w:szCs w:val="24"/>
        </w:rPr>
        <w:tab/>
      </w:r>
      <w:r w:rsidR="000B4225" w:rsidRPr="000B4225">
        <w:rPr>
          <w:i/>
          <w:szCs w:val="24"/>
        </w:rPr>
        <w:t xml:space="preserve">Se </w:t>
      </w:r>
      <w:r w:rsidR="00D60862">
        <w:rPr>
          <w:i/>
          <w:szCs w:val="24"/>
        </w:rPr>
        <w:t>invita</w:t>
      </w:r>
      <w:bookmarkStart w:id="69" w:name="_GoBack"/>
      <w:bookmarkEnd w:id="69"/>
      <w:r w:rsidR="000B4225" w:rsidRPr="000B4225">
        <w:rPr>
          <w:i/>
          <w:szCs w:val="24"/>
        </w:rPr>
        <w:t xml:space="preserve"> al Consejo a:</w:t>
      </w:r>
    </w:p>
    <w:p w:rsidR="00273DB6" w:rsidRPr="00314487" w:rsidRDefault="00273DB6" w:rsidP="00273DB6">
      <w:pPr>
        <w:ind w:left="4820"/>
        <w:rPr>
          <w:i/>
          <w:szCs w:val="24"/>
        </w:rPr>
      </w:pPr>
    </w:p>
    <w:p w:rsidR="00273DB6" w:rsidRPr="00314487" w:rsidRDefault="00C755AF" w:rsidP="00273DB6">
      <w:pPr>
        <w:tabs>
          <w:tab w:val="left" w:pos="5387"/>
          <w:tab w:val="left" w:pos="5954"/>
        </w:tabs>
        <w:ind w:left="4820"/>
        <w:rPr>
          <w:i/>
          <w:szCs w:val="24"/>
        </w:rPr>
      </w:pPr>
      <w:r w:rsidRPr="004829DF">
        <w:rPr>
          <w:i/>
          <w:szCs w:val="24"/>
        </w:rPr>
        <w:tab/>
      </w:r>
      <w:r w:rsidR="00273DB6" w:rsidRPr="004829DF">
        <w:rPr>
          <w:i/>
          <w:szCs w:val="24"/>
        </w:rPr>
        <w:t>a)</w:t>
      </w:r>
      <w:r w:rsidR="00273DB6" w:rsidRPr="004829DF">
        <w:rPr>
          <w:i/>
          <w:szCs w:val="24"/>
        </w:rPr>
        <w:tab/>
      </w:r>
      <w:r w:rsidR="000B4225" w:rsidRPr="000B4225">
        <w:rPr>
          <w:i/>
          <w:szCs w:val="24"/>
        </w:rPr>
        <w:t>tomar nota de la labor realizada por el TC y de la labor realizada por los TWP y el BMT y presentada al TC</w:t>
      </w:r>
      <w:r w:rsidR="007829E4">
        <w:rPr>
          <w:i/>
          <w:szCs w:val="24"/>
        </w:rPr>
        <w:t xml:space="preserve">, </w:t>
      </w:r>
      <w:r w:rsidR="000B4225" w:rsidRPr="000B4225">
        <w:rPr>
          <w:i/>
          <w:szCs w:val="24"/>
        </w:rPr>
        <w:t>según se expone en el presente documento;  y</w:t>
      </w:r>
    </w:p>
    <w:p w:rsidR="00273DB6" w:rsidRPr="00314487" w:rsidRDefault="00273DB6" w:rsidP="00273DB6">
      <w:pPr>
        <w:tabs>
          <w:tab w:val="left" w:pos="5387"/>
          <w:tab w:val="left" w:pos="5954"/>
        </w:tabs>
        <w:ind w:left="4820"/>
        <w:rPr>
          <w:i/>
          <w:szCs w:val="24"/>
        </w:rPr>
      </w:pPr>
    </w:p>
    <w:p w:rsidR="00273DB6" w:rsidRPr="00314487" w:rsidRDefault="00C755AF" w:rsidP="00273DB6">
      <w:pPr>
        <w:tabs>
          <w:tab w:val="left" w:pos="5387"/>
          <w:tab w:val="left" w:pos="5954"/>
        </w:tabs>
        <w:ind w:left="4820"/>
        <w:rPr>
          <w:i/>
          <w:szCs w:val="24"/>
        </w:rPr>
      </w:pPr>
      <w:r w:rsidRPr="004829DF">
        <w:rPr>
          <w:i/>
          <w:szCs w:val="24"/>
        </w:rPr>
        <w:tab/>
      </w:r>
      <w:r w:rsidR="00273DB6" w:rsidRPr="004829DF">
        <w:rPr>
          <w:i/>
          <w:szCs w:val="24"/>
        </w:rPr>
        <w:t>b)</w:t>
      </w:r>
      <w:r w:rsidR="00273DB6" w:rsidRPr="004829DF">
        <w:rPr>
          <w:i/>
          <w:szCs w:val="24"/>
        </w:rPr>
        <w:tab/>
      </w:r>
      <w:r w:rsidR="000B4225" w:rsidRPr="000B4225">
        <w:rPr>
          <w:i/>
          <w:szCs w:val="24"/>
        </w:rPr>
        <w:t>aprobar el programa de trabajo del TC y los programas de trabajo de los TWP y el BMT presentados al TC</w:t>
      </w:r>
      <w:r w:rsidR="007829E4">
        <w:rPr>
          <w:i/>
          <w:szCs w:val="24"/>
        </w:rPr>
        <w:t xml:space="preserve">, </w:t>
      </w:r>
      <w:r w:rsidR="000B4225" w:rsidRPr="000B4225">
        <w:rPr>
          <w:i/>
          <w:szCs w:val="24"/>
        </w:rPr>
        <w:t>según se expone en el presente documento.</w:t>
      </w:r>
    </w:p>
    <w:p w:rsidR="00273DB6" w:rsidRPr="00E514D4" w:rsidRDefault="00273DB6" w:rsidP="00273DB6">
      <w:pPr>
        <w:rPr>
          <w:szCs w:val="24"/>
        </w:rPr>
      </w:pPr>
    </w:p>
    <w:p w:rsidR="00273DB6" w:rsidRDefault="00273DB6" w:rsidP="00273DB6">
      <w:pPr>
        <w:jc w:val="left"/>
      </w:pPr>
    </w:p>
    <w:p w:rsidR="00273DB6" w:rsidRDefault="00273DB6" w:rsidP="00273DB6"/>
    <w:p w:rsidR="00050E16" w:rsidRDefault="000B4225" w:rsidP="000B4225">
      <w:pPr>
        <w:pStyle w:val="endofdoc"/>
      </w:pPr>
      <w:r w:rsidRPr="000B4225">
        <w:rPr>
          <w:lang w:val="es-ES_tradnl"/>
        </w:rPr>
        <w:t>[Sigue el anexo]</w:t>
      </w:r>
    </w:p>
    <w:p w:rsidR="00273DB6" w:rsidRDefault="00273DB6" w:rsidP="00273DB6">
      <w:pPr>
        <w:pStyle w:val="Header"/>
        <w:jc w:val="both"/>
        <w:rPr>
          <w:lang w:val="en-US"/>
        </w:rPr>
      </w:pPr>
    </w:p>
    <w:p w:rsidR="00273DB6" w:rsidRDefault="00273DB6" w:rsidP="00273DB6">
      <w:pPr>
        <w:pStyle w:val="Header"/>
        <w:jc w:val="both"/>
        <w:rPr>
          <w:lang w:val="en-US"/>
        </w:rPr>
        <w:sectPr w:rsidR="00273DB6" w:rsidSect="00906DDC">
          <w:headerReference w:type="default" r:id="rId12"/>
          <w:pgSz w:w="11907" w:h="16840" w:code="9"/>
          <w:pgMar w:top="510" w:right="1134" w:bottom="1134" w:left="1134" w:header="510" w:footer="680" w:gutter="0"/>
          <w:cols w:space="720"/>
          <w:titlePg/>
        </w:sectPr>
      </w:pPr>
    </w:p>
    <w:p w:rsidR="00273DB6" w:rsidRPr="00273DB6" w:rsidRDefault="001A51F6" w:rsidP="00273DB6">
      <w:r w:rsidRPr="001A51F6">
        <w:rPr>
          <w:noProof/>
          <w:lang w:val="en-US"/>
        </w:rPr>
        <w:drawing>
          <wp:inline distT="0" distB="0" distL="0" distR="0">
            <wp:extent cx="9646735" cy="6214533"/>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srcRect/>
                    <a:stretch>
                      <a:fillRect/>
                    </a:stretch>
                  </pic:blipFill>
                  <pic:spPr bwMode="auto">
                    <a:xfrm>
                      <a:off x="0" y="0"/>
                      <a:ext cx="9652185" cy="6218044"/>
                    </a:xfrm>
                    <a:prstGeom prst="rect">
                      <a:avLst/>
                    </a:prstGeom>
                    <a:noFill/>
                    <a:ln w="9525">
                      <a:noFill/>
                      <a:miter lim="800000"/>
                      <a:headEnd/>
                      <a:tailEnd/>
                    </a:ln>
                  </pic:spPr>
                </pic:pic>
              </a:graphicData>
            </a:graphic>
          </wp:inline>
        </w:drawing>
      </w:r>
    </w:p>
    <w:sectPr w:rsidR="00273DB6" w:rsidRPr="00273DB6" w:rsidSect="00273DB6">
      <w:headerReference w:type="first" r:id="rId14"/>
      <w:footerReference w:type="first" r:id="rId15"/>
      <w:pgSz w:w="16840" w:h="11907" w:orient="landscape" w:code="9"/>
      <w:pgMar w:top="993" w:right="510" w:bottom="993" w:left="1134" w:header="426"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18" w:rsidRDefault="006E4918" w:rsidP="006655D3">
      <w:r>
        <w:separator/>
      </w:r>
    </w:p>
    <w:p w:rsidR="006E4918" w:rsidRDefault="006E4918" w:rsidP="006655D3"/>
    <w:p w:rsidR="006E4918" w:rsidRDefault="006E4918" w:rsidP="006655D3"/>
  </w:endnote>
  <w:endnote w:type="continuationSeparator" w:id="0">
    <w:p w:rsidR="006E4918" w:rsidRDefault="006E4918" w:rsidP="006655D3">
      <w:r>
        <w:separator/>
      </w:r>
    </w:p>
    <w:p w:rsidR="006E4918" w:rsidRPr="009B196C" w:rsidRDefault="006E4918" w:rsidP="00273DB6">
      <w:pPr>
        <w:pStyle w:val="Footer"/>
        <w:rPr>
          <w:lang w:val="fr-FR"/>
        </w:rPr>
      </w:pPr>
      <w:r w:rsidRPr="009B196C">
        <w:rPr>
          <w:lang w:val="fr-FR"/>
        </w:rPr>
        <w:t>[Suite de la note de la page précédente]</w:t>
      </w:r>
    </w:p>
    <w:p w:rsidR="006E4918" w:rsidRPr="00294751" w:rsidRDefault="006E4918" w:rsidP="006655D3">
      <w:pPr>
        <w:rPr>
          <w:lang w:val="fr-FR"/>
        </w:rPr>
      </w:pPr>
    </w:p>
    <w:p w:rsidR="006E4918" w:rsidRPr="00294751" w:rsidRDefault="006E4918" w:rsidP="006655D3">
      <w:pPr>
        <w:rPr>
          <w:lang w:val="fr-FR"/>
        </w:rPr>
      </w:pPr>
    </w:p>
  </w:endnote>
  <w:endnote w:type="continuationNotice" w:id="1">
    <w:p w:rsidR="006E4918" w:rsidRPr="00294751" w:rsidRDefault="006E4918" w:rsidP="006655D3">
      <w:pPr>
        <w:rPr>
          <w:lang w:val="fr-FR"/>
        </w:rPr>
      </w:pPr>
      <w:r w:rsidRPr="00294751">
        <w:rPr>
          <w:lang w:val="fr-FR"/>
        </w:rPr>
        <w:t>[Suite de la note page suivante]</w:t>
      </w:r>
    </w:p>
    <w:p w:rsidR="006E4918" w:rsidRPr="00294751" w:rsidRDefault="006E4918" w:rsidP="006655D3">
      <w:pPr>
        <w:rPr>
          <w:lang w:val="fr-FR"/>
        </w:rPr>
      </w:pPr>
    </w:p>
    <w:p w:rsidR="006E4918" w:rsidRPr="00294751" w:rsidRDefault="006E491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8" w:rsidRPr="00826891" w:rsidRDefault="006E4918" w:rsidP="00273DB6">
    <w:pPr>
      <w:pStyle w:val="Footer"/>
      <w:rPr>
        <w:lang w:val="es-ES_tradnl"/>
      </w:rPr>
    </w:pPr>
    <w:r w:rsidRPr="00826891">
      <w:rPr>
        <w:lang w:val="es-ES_tradnl"/>
      </w:rPr>
      <w:t>[Fin del anexo y del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18" w:rsidRDefault="006E4918" w:rsidP="006655D3">
      <w:r>
        <w:separator/>
      </w:r>
    </w:p>
  </w:footnote>
  <w:footnote w:type="continuationSeparator" w:id="0">
    <w:p w:rsidR="006E4918" w:rsidRDefault="006E4918" w:rsidP="006655D3">
      <w:r>
        <w:separator/>
      </w:r>
    </w:p>
  </w:footnote>
  <w:footnote w:type="continuationNotice" w:id="1">
    <w:p w:rsidR="006E4918" w:rsidRPr="00AB530F" w:rsidRDefault="006E4918" w:rsidP="00273DB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8" w:rsidRPr="000A23DC" w:rsidRDefault="006E4918" w:rsidP="000A23DC">
    <w:pPr>
      <w:pStyle w:val="Header"/>
      <w:rPr>
        <w:rStyle w:val="PageNumber"/>
      </w:rPr>
    </w:pPr>
    <w:r>
      <w:rPr>
        <w:rStyle w:val="PageNumber"/>
      </w:rPr>
      <w:t>C/51</w:t>
    </w:r>
    <w:r w:rsidRPr="000A23DC">
      <w:rPr>
        <w:rStyle w:val="PageNumber"/>
      </w:rPr>
      <w:t>/</w:t>
    </w:r>
    <w:r>
      <w:rPr>
        <w:rStyle w:val="PageNumber"/>
      </w:rPr>
      <w:t>10</w:t>
    </w:r>
  </w:p>
  <w:p w:rsidR="006E4918" w:rsidRPr="00202E38" w:rsidRDefault="006E4918"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D60862">
      <w:rPr>
        <w:rStyle w:val="PageNumber"/>
        <w:noProof/>
        <w:lang w:val="de-DE"/>
      </w:rPr>
      <w:t>38</w:t>
    </w:r>
    <w:r w:rsidRPr="00202E38">
      <w:rPr>
        <w:rStyle w:val="PageNumber"/>
        <w:lang w:val="de-DE"/>
      </w:rPr>
      <w:fldChar w:fldCharType="end"/>
    </w:r>
  </w:p>
  <w:p w:rsidR="006E4918" w:rsidRDefault="006E4918" w:rsidP="00273DB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918" w:rsidRPr="009B196C" w:rsidRDefault="006E4918">
    <w:pPr>
      <w:pStyle w:val="Header"/>
      <w:rPr>
        <w:lang w:val="es-ES"/>
      </w:rPr>
    </w:pPr>
    <w:r w:rsidRPr="009B196C">
      <w:rPr>
        <w:lang w:val="es-ES"/>
      </w:rPr>
      <w:t>C/51/10</w:t>
    </w:r>
  </w:p>
  <w:p w:rsidR="006E4918" w:rsidRPr="009B196C" w:rsidRDefault="006E4918">
    <w:pPr>
      <w:pStyle w:val="Header"/>
      <w:rPr>
        <w:lang w:val="es-ES"/>
      </w:rPr>
    </w:pPr>
    <w:r w:rsidRPr="004A709F">
      <w:t>ANEXO - PROGRAMA PARA LA ELABORACIÓN DE LOS DOCUMENTOS TGP</w:t>
    </w:r>
  </w:p>
  <w:p w:rsidR="006E4918" w:rsidRPr="009B196C" w:rsidRDefault="006E4918">
    <w:pPr>
      <w:pStyle w:val="Header"/>
      <w:rPr>
        <w:sz w:val="14"/>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659A"/>
    <w:multiLevelType w:val="hybridMultilevel"/>
    <w:tmpl w:val="339E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546DF6"/>
    <w:multiLevelType w:val="hybridMultilevel"/>
    <w:tmpl w:val="85D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3396A"/>
    <w:multiLevelType w:val="hybridMultilevel"/>
    <w:tmpl w:val="E0280974"/>
    <w:lvl w:ilvl="0" w:tplc="4336D4C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45FFF"/>
    <w:multiLevelType w:val="hybridMultilevel"/>
    <w:tmpl w:val="AF7EFEA0"/>
    <w:lvl w:ilvl="0" w:tplc="81BA62BC">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5">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4CE3247"/>
    <w:multiLevelType w:val="hybridMultilevel"/>
    <w:tmpl w:val="847ABB42"/>
    <w:lvl w:ilvl="0" w:tplc="CEB2FE3A">
      <w:start w:val="1"/>
      <w:numFmt w:val="lowerLetter"/>
      <w:lvlText w:val="(%1)"/>
      <w:lvlJc w:val="left"/>
      <w:pPr>
        <w:ind w:left="720" w:hanging="360"/>
      </w:pPr>
      <w:rPr>
        <w:rFonts w:eastAsia="MS Mincho"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33F20"/>
    <w:multiLevelType w:val="hybridMultilevel"/>
    <w:tmpl w:val="AC305D88"/>
    <w:lvl w:ilvl="0" w:tplc="F000BA2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1408B"/>
    <w:multiLevelType w:val="hybridMultilevel"/>
    <w:tmpl w:val="61789BF6"/>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38377D0"/>
    <w:multiLevelType w:val="hybridMultilevel"/>
    <w:tmpl w:val="E7F0A628"/>
    <w:lvl w:ilvl="0" w:tplc="D7080B1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353D1D31"/>
    <w:multiLevelType w:val="hybridMultilevel"/>
    <w:tmpl w:val="E122527C"/>
    <w:lvl w:ilvl="0" w:tplc="00B0DD6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0BC2E13"/>
    <w:multiLevelType w:val="hybridMultilevel"/>
    <w:tmpl w:val="BA24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15D02"/>
    <w:multiLevelType w:val="hybridMultilevel"/>
    <w:tmpl w:val="F7ECAA1A"/>
    <w:lvl w:ilvl="0" w:tplc="733C26C0">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7">
    <w:nsid w:val="42AB6514"/>
    <w:multiLevelType w:val="hybridMultilevel"/>
    <w:tmpl w:val="815C1E18"/>
    <w:lvl w:ilvl="0" w:tplc="674A11A0">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DC4844"/>
    <w:multiLevelType w:val="hybridMultilevel"/>
    <w:tmpl w:val="E8268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4EB95E5B"/>
    <w:multiLevelType w:val="hybridMultilevel"/>
    <w:tmpl w:val="613243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F3859E1"/>
    <w:multiLevelType w:val="hybridMultilevel"/>
    <w:tmpl w:val="8C58AC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FDF5FAD"/>
    <w:multiLevelType w:val="hybridMultilevel"/>
    <w:tmpl w:val="948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3C35E4"/>
    <w:multiLevelType w:val="hybridMultilevel"/>
    <w:tmpl w:val="4F8866A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EF7AF1"/>
    <w:multiLevelType w:val="hybridMultilevel"/>
    <w:tmpl w:val="2458C148"/>
    <w:lvl w:ilvl="0" w:tplc="B342783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96590B"/>
    <w:multiLevelType w:val="hybridMultilevel"/>
    <w:tmpl w:val="9ABEF550"/>
    <w:lvl w:ilvl="0" w:tplc="B6B260D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30">
    <w:nsid w:val="5EA4008B"/>
    <w:multiLevelType w:val="hybridMultilevel"/>
    <w:tmpl w:val="6B3076D6"/>
    <w:lvl w:ilvl="0" w:tplc="9E825CD2">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1">
    <w:nsid w:val="5F8708DA"/>
    <w:multiLevelType w:val="hybridMultilevel"/>
    <w:tmpl w:val="9D3A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657B6F7F"/>
    <w:multiLevelType w:val="hybridMultilevel"/>
    <w:tmpl w:val="AC9A0D6E"/>
    <w:lvl w:ilvl="0" w:tplc="42BC8250">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nsid w:val="681E0910"/>
    <w:multiLevelType w:val="hybridMultilevel"/>
    <w:tmpl w:val="BC127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5F35BB"/>
    <w:multiLevelType w:val="hybridMultilevel"/>
    <w:tmpl w:val="4F609A4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50919CD"/>
    <w:multiLevelType w:val="hybridMultilevel"/>
    <w:tmpl w:val="F1641C36"/>
    <w:lvl w:ilvl="0" w:tplc="3250B48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3"/>
  </w:num>
  <w:num w:numId="2">
    <w:abstractNumId w:val="12"/>
  </w:num>
  <w:num w:numId="3">
    <w:abstractNumId w:val="0"/>
  </w:num>
  <w:num w:numId="4">
    <w:abstractNumId w:val="24"/>
  </w:num>
  <w:num w:numId="5">
    <w:abstractNumId w:val="1"/>
  </w:num>
  <w:num w:numId="6">
    <w:abstractNumId w:val="36"/>
  </w:num>
  <w:num w:numId="7">
    <w:abstractNumId w:val="13"/>
  </w:num>
  <w:num w:numId="8">
    <w:abstractNumId w:val="16"/>
  </w:num>
  <w:num w:numId="9">
    <w:abstractNumId w:val="30"/>
  </w:num>
  <w:num w:numId="10">
    <w:abstractNumId w:val="4"/>
  </w:num>
  <w:num w:numId="11">
    <w:abstractNumId w:val="34"/>
  </w:num>
  <w:num w:numId="12">
    <w:abstractNumId w:val="11"/>
  </w:num>
  <w:num w:numId="13">
    <w:abstractNumId w:val="35"/>
  </w:num>
  <w:num w:numId="14">
    <w:abstractNumId w:val="23"/>
  </w:num>
  <w:num w:numId="15">
    <w:abstractNumId w:val="10"/>
  </w:num>
  <w:num w:numId="16">
    <w:abstractNumId w:val="31"/>
  </w:num>
  <w:num w:numId="17">
    <w:abstractNumId w:val="22"/>
  </w:num>
  <w:num w:numId="18">
    <w:abstractNumId w:val="15"/>
  </w:num>
  <w:num w:numId="19">
    <w:abstractNumId w:val="29"/>
  </w:num>
  <w:num w:numId="20">
    <w:abstractNumId w:val="7"/>
  </w:num>
  <w:num w:numId="21">
    <w:abstractNumId w:val="21"/>
  </w:num>
  <w:num w:numId="22">
    <w:abstractNumId w:val="37"/>
  </w:num>
  <w:num w:numId="23">
    <w:abstractNumId w:val="5"/>
  </w:num>
  <w:num w:numId="24">
    <w:abstractNumId w:val="32"/>
  </w:num>
  <w:num w:numId="25">
    <w:abstractNumId w:val="28"/>
  </w:num>
  <w:num w:numId="26">
    <w:abstractNumId w:val="3"/>
  </w:num>
  <w:num w:numId="27">
    <w:abstractNumId w:val="19"/>
  </w:num>
  <w:num w:numId="28">
    <w:abstractNumId w:val="8"/>
  </w:num>
  <w:num w:numId="29">
    <w:abstractNumId w:val="6"/>
  </w:num>
  <w:num w:numId="30">
    <w:abstractNumId w:val="20"/>
  </w:num>
  <w:num w:numId="31">
    <w:abstractNumId w:val="25"/>
  </w:num>
  <w:num w:numId="32">
    <w:abstractNumId w:val="27"/>
  </w:num>
  <w:num w:numId="33">
    <w:abstractNumId w:val="2"/>
  </w:num>
  <w:num w:numId="34">
    <w:abstractNumId w:val="14"/>
  </w:num>
  <w:num w:numId="35">
    <w:abstractNumId w:val="26"/>
  </w:num>
  <w:num w:numId="36">
    <w:abstractNumId w:val="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DB6"/>
    <w:rsid w:val="00006FDC"/>
    <w:rsid w:val="00010CF3"/>
    <w:rsid w:val="00011E27"/>
    <w:rsid w:val="000148BC"/>
    <w:rsid w:val="00024AB8"/>
    <w:rsid w:val="00030854"/>
    <w:rsid w:val="00034AFE"/>
    <w:rsid w:val="00036028"/>
    <w:rsid w:val="000361C3"/>
    <w:rsid w:val="00037069"/>
    <w:rsid w:val="00044642"/>
    <w:rsid w:val="000446B9"/>
    <w:rsid w:val="00046A8E"/>
    <w:rsid w:val="00047E21"/>
    <w:rsid w:val="00050E16"/>
    <w:rsid w:val="00063163"/>
    <w:rsid w:val="000638A9"/>
    <w:rsid w:val="00066385"/>
    <w:rsid w:val="00071220"/>
    <w:rsid w:val="00083A68"/>
    <w:rsid w:val="00085505"/>
    <w:rsid w:val="000A23DC"/>
    <w:rsid w:val="000A36CF"/>
    <w:rsid w:val="000A5723"/>
    <w:rsid w:val="000B01CA"/>
    <w:rsid w:val="000B4225"/>
    <w:rsid w:val="000B42DE"/>
    <w:rsid w:val="000C4E25"/>
    <w:rsid w:val="000C7021"/>
    <w:rsid w:val="000D6BBC"/>
    <w:rsid w:val="000D7780"/>
    <w:rsid w:val="000E636A"/>
    <w:rsid w:val="000F2F11"/>
    <w:rsid w:val="00105929"/>
    <w:rsid w:val="00105965"/>
    <w:rsid w:val="00110C36"/>
    <w:rsid w:val="001131D5"/>
    <w:rsid w:val="00117F21"/>
    <w:rsid w:val="00124237"/>
    <w:rsid w:val="00141DB8"/>
    <w:rsid w:val="00150480"/>
    <w:rsid w:val="00151BB0"/>
    <w:rsid w:val="00161B63"/>
    <w:rsid w:val="001707DB"/>
    <w:rsid w:val="00172084"/>
    <w:rsid w:val="0017474A"/>
    <w:rsid w:val="001758C6"/>
    <w:rsid w:val="00182B99"/>
    <w:rsid w:val="0019398D"/>
    <w:rsid w:val="001960F6"/>
    <w:rsid w:val="001A51F6"/>
    <w:rsid w:val="001B1993"/>
    <w:rsid w:val="001C323F"/>
    <w:rsid w:val="001D5696"/>
    <w:rsid w:val="001E6FDA"/>
    <w:rsid w:val="001E70E6"/>
    <w:rsid w:val="001F64BF"/>
    <w:rsid w:val="00202E38"/>
    <w:rsid w:val="0021332C"/>
    <w:rsid w:val="00213982"/>
    <w:rsid w:val="00234155"/>
    <w:rsid w:val="00234FAB"/>
    <w:rsid w:val="0024416D"/>
    <w:rsid w:val="0024644C"/>
    <w:rsid w:val="002464A3"/>
    <w:rsid w:val="00247597"/>
    <w:rsid w:val="0025228B"/>
    <w:rsid w:val="00256232"/>
    <w:rsid w:val="00271911"/>
    <w:rsid w:val="00273DB6"/>
    <w:rsid w:val="002800A0"/>
    <w:rsid w:val="002801B3"/>
    <w:rsid w:val="00281060"/>
    <w:rsid w:val="00284609"/>
    <w:rsid w:val="00290B2E"/>
    <w:rsid w:val="002940E8"/>
    <w:rsid w:val="00294751"/>
    <w:rsid w:val="002972DE"/>
    <w:rsid w:val="002A5C00"/>
    <w:rsid w:val="002A6E50"/>
    <w:rsid w:val="002B4298"/>
    <w:rsid w:val="002C256A"/>
    <w:rsid w:val="002E5944"/>
    <w:rsid w:val="002F12B9"/>
    <w:rsid w:val="00305A7F"/>
    <w:rsid w:val="003152FE"/>
    <w:rsid w:val="00315ADC"/>
    <w:rsid w:val="00323ADA"/>
    <w:rsid w:val="00326F7B"/>
    <w:rsid w:val="00327436"/>
    <w:rsid w:val="00335F9F"/>
    <w:rsid w:val="003361AB"/>
    <w:rsid w:val="003369F8"/>
    <w:rsid w:val="00337F6E"/>
    <w:rsid w:val="00344BD6"/>
    <w:rsid w:val="0035091A"/>
    <w:rsid w:val="00354567"/>
    <w:rsid w:val="0035528D"/>
    <w:rsid w:val="003578E4"/>
    <w:rsid w:val="00357D43"/>
    <w:rsid w:val="00361821"/>
    <w:rsid w:val="00361E9E"/>
    <w:rsid w:val="00375376"/>
    <w:rsid w:val="003755BA"/>
    <w:rsid w:val="00376F78"/>
    <w:rsid w:val="00393351"/>
    <w:rsid w:val="00393409"/>
    <w:rsid w:val="003A048E"/>
    <w:rsid w:val="003A7B69"/>
    <w:rsid w:val="003B031A"/>
    <w:rsid w:val="003C7FBE"/>
    <w:rsid w:val="003D227C"/>
    <w:rsid w:val="003D2B4D"/>
    <w:rsid w:val="003D5DCC"/>
    <w:rsid w:val="003D6908"/>
    <w:rsid w:val="003D7859"/>
    <w:rsid w:val="003E6AE5"/>
    <w:rsid w:val="00401303"/>
    <w:rsid w:val="004018D4"/>
    <w:rsid w:val="00401DDB"/>
    <w:rsid w:val="0040557F"/>
    <w:rsid w:val="00412209"/>
    <w:rsid w:val="00412A88"/>
    <w:rsid w:val="004354BB"/>
    <w:rsid w:val="00436A16"/>
    <w:rsid w:val="00440FFB"/>
    <w:rsid w:val="00444A88"/>
    <w:rsid w:val="00445D48"/>
    <w:rsid w:val="00450932"/>
    <w:rsid w:val="00450CC0"/>
    <w:rsid w:val="004723E2"/>
    <w:rsid w:val="00474DA4"/>
    <w:rsid w:val="00476B4D"/>
    <w:rsid w:val="004805FA"/>
    <w:rsid w:val="004829DF"/>
    <w:rsid w:val="0049344C"/>
    <w:rsid w:val="004935D2"/>
    <w:rsid w:val="00496343"/>
    <w:rsid w:val="004A0F95"/>
    <w:rsid w:val="004A6041"/>
    <w:rsid w:val="004A709F"/>
    <w:rsid w:val="004B1215"/>
    <w:rsid w:val="004C2AD5"/>
    <w:rsid w:val="004D047D"/>
    <w:rsid w:val="004D1E64"/>
    <w:rsid w:val="004D76D2"/>
    <w:rsid w:val="004E1006"/>
    <w:rsid w:val="004F1E9E"/>
    <w:rsid w:val="004F305A"/>
    <w:rsid w:val="004F44EC"/>
    <w:rsid w:val="00512164"/>
    <w:rsid w:val="00520297"/>
    <w:rsid w:val="00532648"/>
    <w:rsid w:val="005338F9"/>
    <w:rsid w:val="0054281C"/>
    <w:rsid w:val="005440E1"/>
    <w:rsid w:val="00544581"/>
    <w:rsid w:val="00545E42"/>
    <w:rsid w:val="0055268D"/>
    <w:rsid w:val="00567815"/>
    <w:rsid w:val="00576BE4"/>
    <w:rsid w:val="00576CA0"/>
    <w:rsid w:val="005A400A"/>
    <w:rsid w:val="005A7D01"/>
    <w:rsid w:val="005D5CBA"/>
    <w:rsid w:val="005F7B92"/>
    <w:rsid w:val="00606025"/>
    <w:rsid w:val="00612379"/>
    <w:rsid w:val="00614850"/>
    <w:rsid w:val="006153B6"/>
    <w:rsid w:val="0061555F"/>
    <w:rsid w:val="00621FBD"/>
    <w:rsid w:val="00623AA3"/>
    <w:rsid w:val="00631447"/>
    <w:rsid w:val="00636CA6"/>
    <w:rsid w:val="00637EDD"/>
    <w:rsid w:val="00641200"/>
    <w:rsid w:val="00642BCD"/>
    <w:rsid w:val="00645CA8"/>
    <w:rsid w:val="0065583E"/>
    <w:rsid w:val="006655D3"/>
    <w:rsid w:val="00667404"/>
    <w:rsid w:val="00673B15"/>
    <w:rsid w:val="0067562A"/>
    <w:rsid w:val="00687EB4"/>
    <w:rsid w:val="006912BB"/>
    <w:rsid w:val="00695C56"/>
    <w:rsid w:val="006A32E5"/>
    <w:rsid w:val="006A5CDE"/>
    <w:rsid w:val="006A6020"/>
    <w:rsid w:val="006A644A"/>
    <w:rsid w:val="006A7520"/>
    <w:rsid w:val="006B17D2"/>
    <w:rsid w:val="006C224E"/>
    <w:rsid w:val="006C4A03"/>
    <w:rsid w:val="006D1E43"/>
    <w:rsid w:val="006D780A"/>
    <w:rsid w:val="006E3334"/>
    <w:rsid w:val="006E4918"/>
    <w:rsid w:val="006F1101"/>
    <w:rsid w:val="006F5151"/>
    <w:rsid w:val="006F5D4F"/>
    <w:rsid w:val="007072D4"/>
    <w:rsid w:val="0071271E"/>
    <w:rsid w:val="00732DEC"/>
    <w:rsid w:val="00735BD5"/>
    <w:rsid w:val="00744DE4"/>
    <w:rsid w:val="00751613"/>
    <w:rsid w:val="007556F6"/>
    <w:rsid w:val="00760EEF"/>
    <w:rsid w:val="0076153B"/>
    <w:rsid w:val="00773FC5"/>
    <w:rsid w:val="00777EE5"/>
    <w:rsid w:val="007829E4"/>
    <w:rsid w:val="00783722"/>
    <w:rsid w:val="00784598"/>
    <w:rsid w:val="00784836"/>
    <w:rsid w:val="00786E2A"/>
    <w:rsid w:val="0079023E"/>
    <w:rsid w:val="00790DA0"/>
    <w:rsid w:val="00792EF4"/>
    <w:rsid w:val="00793819"/>
    <w:rsid w:val="00795DAC"/>
    <w:rsid w:val="007A2854"/>
    <w:rsid w:val="007B7BE6"/>
    <w:rsid w:val="007C1C66"/>
    <w:rsid w:val="007C1D92"/>
    <w:rsid w:val="007C4CB9"/>
    <w:rsid w:val="007D0B9D"/>
    <w:rsid w:val="007D0EDE"/>
    <w:rsid w:val="007D19B0"/>
    <w:rsid w:val="007D3050"/>
    <w:rsid w:val="007D43C5"/>
    <w:rsid w:val="007D5DB2"/>
    <w:rsid w:val="007E4173"/>
    <w:rsid w:val="007F498F"/>
    <w:rsid w:val="00804B24"/>
    <w:rsid w:val="0080679D"/>
    <w:rsid w:val="008108B0"/>
    <w:rsid w:val="00811B20"/>
    <w:rsid w:val="008211B5"/>
    <w:rsid w:val="0082296E"/>
    <w:rsid w:val="00824099"/>
    <w:rsid w:val="00826891"/>
    <w:rsid w:val="0083006B"/>
    <w:rsid w:val="00832F8B"/>
    <w:rsid w:val="008348D7"/>
    <w:rsid w:val="00841BBB"/>
    <w:rsid w:val="008439A7"/>
    <w:rsid w:val="00846D7C"/>
    <w:rsid w:val="00850653"/>
    <w:rsid w:val="008574A4"/>
    <w:rsid w:val="0085763E"/>
    <w:rsid w:val="008629FA"/>
    <w:rsid w:val="00864C55"/>
    <w:rsid w:val="00867AC1"/>
    <w:rsid w:val="00890DF8"/>
    <w:rsid w:val="008958AD"/>
    <w:rsid w:val="008A743F"/>
    <w:rsid w:val="008B3D8D"/>
    <w:rsid w:val="008B499B"/>
    <w:rsid w:val="008B6572"/>
    <w:rsid w:val="008B7694"/>
    <w:rsid w:val="008C0560"/>
    <w:rsid w:val="008C0970"/>
    <w:rsid w:val="008D0BC5"/>
    <w:rsid w:val="008D2CF7"/>
    <w:rsid w:val="008E1311"/>
    <w:rsid w:val="00900C26"/>
    <w:rsid w:val="0090197F"/>
    <w:rsid w:val="00906DDC"/>
    <w:rsid w:val="00911A1F"/>
    <w:rsid w:val="00915F26"/>
    <w:rsid w:val="00921A34"/>
    <w:rsid w:val="009248BE"/>
    <w:rsid w:val="00926B27"/>
    <w:rsid w:val="00930834"/>
    <w:rsid w:val="00934E09"/>
    <w:rsid w:val="00936253"/>
    <w:rsid w:val="00937D31"/>
    <w:rsid w:val="00940D46"/>
    <w:rsid w:val="00946127"/>
    <w:rsid w:val="009466BA"/>
    <w:rsid w:val="00952DD4"/>
    <w:rsid w:val="0095517D"/>
    <w:rsid w:val="0096175D"/>
    <w:rsid w:val="00961C1F"/>
    <w:rsid w:val="00965AE7"/>
    <w:rsid w:val="00970FED"/>
    <w:rsid w:val="009772E8"/>
    <w:rsid w:val="0098119A"/>
    <w:rsid w:val="00983FB6"/>
    <w:rsid w:val="00985602"/>
    <w:rsid w:val="00992D82"/>
    <w:rsid w:val="00997029"/>
    <w:rsid w:val="009A7339"/>
    <w:rsid w:val="009B196C"/>
    <w:rsid w:val="009B440E"/>
    <w:rsid w:val="009B664B"/>
    <w:rsid w:val="009C165D"/>
    <w:rsid w:val="009C4A6D"/>
    <w:rsid w:val="009D2DC1"/>
    <w:rsid w:val="009D6444"/>
    <w:rsid w:val="009D690D"/>
    <w:rsid w:val="009E65B6"/>
    <w:rsid w:val="009F4502"/>
    <w:rsid w:val="00A14D2C"/>
    <w:rsid w:val="00A20FB2"/>
    <w:rsid w:val="00A24C10"/>
    <w:rsid w:val="00A42AC3"/>
    <w:rsid w:val="00A430CF"/>
    <w:rsid w:val="00A44EC4"/>
    <w:rsid w:val="00A508EA"/>
    <w:rsid w:val="00A54309"/>
    <w:rsid w:val="00A60571"/>
    <w:rsid w:val="00A62CD4"/>
    <w:rsid w:val="00A706D3"/>
    <w:rsid w:val="00A71DA4"/>
    <w:rsid w:val="00A731CD"/>
    <w:rsid w:val="00A81A25"/>
    <w:rsid w:val="00A9119D"/>
    <w:rsid w:val="00A92642"/>
    <w:rsid w:val="00AA278C"/>
    <w:rsid w:val="00AB10D9"/>
    <w:rsid w:val="00AB2B93"/>
    <w:rsid w:val="00AB3F4E"/>
    <w:rsid w:val="00AB530F"/>
    <w:rsid w:val="00AB7E5B"/>
    <w:rsid w:val="00AC2883"/>
    <w:rsid w:val="00AE0EF1"/>
    <w:rsid w:val="00AE2937"/>
    <w:rsid w:val="00AF3692"/>
    <w:rsid w:val="00B07301"/>
    <w:rsid w:val="00B07F42"/>
    <w:rsid w:val="00B11F3E"/>
    <w:rsid w:val="00B2032B"/>
    <w:rsid w:val="00B224DE"/>
    <w:rsid w:val="00B30B27"/>
    <w:rsid w:val="00B30E6B"/>
    <w:rsid w:val="00B324D4"/>
    <w:rsid w:val="00B46575"/>
    <w:rsid w:val="00B60BF6"/>
    <w:rsid w:val="00B61777"/>
    <w:rsid w:val="00B84BBD"/>
    <w:rsid w:val="00B84D24"/>
    <w:rsid w:val="00B90833"/>
    <w:rsid w:val="00BA43FB"/>
    <w:rsid w:val="00BA7D01"/>
    <w:rsid w:val="00BB627F"/>
    <w:rsid w:val="00BC0BD4"/>
    <w:rsid w:val="00BC127D"/>
    <w:rsid w:val="00BC1FE6"/>
    <w:rsid w:val="00BE09F0"/>
    <w:rsid w:val="00BF30AD"/>
    <w:rsid w:val="00C0269F"/>
    <w:rsid w:val="00C061B6"/>
    <w:rsid w:val="00C22ED1"/>
    <w:rsid w:val="00C2446C"/>
    <w:rsid w:val="00C27145"/>
    <w:rsid w:val="00C333BF"/>
    <w:rsid w:val="00C36AE5"/>
    <w:rsid w:val="00C36FEB"/>
    <w:rsid w:val="00C41F17"/>
    <w:rsid w:val="00C527FA"/>
    <w:rsid w:val="00C5280D"/>
    <w:rsid w:val="00C53EB3"/>
    <w:rsid w:val="00C5791C"/>
    <w:rsid w:val="00C66290"/>
    <w:rsid w:val="00C72B7A"/>
    <w:rsid w:val="00C755AF"/>
    <w:rsid w:val="00C75963"/>
    <w:rsid w:val="00C77494"/>
    <w:rsid w:val="00C82F83"/>
    <w:rsid w:val="00C86DDE"/>
    <w:rsid w:val="00C94BDF"/>
    <w:rsid w:val="00C973F2"/>
    <w:rsid w:val="00CA304C"/>
    <w:rsid w:val="00CA774A"/>
    <w:rsid w:val="00CB3DD9"/>
    <w:rsid w:val="00CB741A"/>
    <w:rsid w:val="00CC11B0"/>
    <w:rsid w:val="00CC2841"/>
    <w:rsid w:val="00CE64E9"/>
    <w:rsid w:val="00CF1330"/>
    <w:rsid w:val="00CF7E36"/>
    <w:rsid w:val="00D03C3B"/>
    <w:rsid w:val="00D10817"/>
    <w:rsid w:val="00D16675"/>
    <w:rsid w:val="00D27E5F"/>
    <w:rsid w:val="00D30237"/>
    <w:rsid w:val="00D312C0"/>
    <w:rsid w:val="00D3708D"/>
    <w:rsid w:val="00D40426"/>
    <w:rsid w:val="00D46E2D"/>
    <w:rsid w:val="00D57C96"/>
    <w:rsid w:val="00D57D18"/>
    <w:rsid w:val="00D60862"/>
    <w:rsid w:val="00D8457F"/>
    <w:rsid w:val="00D860B7"/>
    <w:rsid w:val="00D91203"/>
    <w:rsid w:val="00D92B60"/>
    <w:rsid w:val="00D95174"/>
    <w:rsid w:val="00D95816"/>
    <w:rsid w:val="00D95E2E"/>
    <w:rsid w:val="00DA1BB0"/>
    <w:rsid w:val="00DA4077"/>
    <w:rsid w:val="00DA47BE"/>
    <w:rsid w:val="00DA4973"/>
    <w:rsid w:val="00DA6E9F"/>
    <w:rsid w:val="00DA6F36"/>
    <w:rsid w:val="00DA6F54"/>
    <w:rsid w:val="00DB432A"/>
    <w:rsid w:val="00DB596E"/>
    <w:rsid w:val="00DB5A44"/>
    <w:rsid w:val="00DB7773"/>
    <w:rsid w:val="00DC00EA"/>
    <w:rsid w:val="00DC3802"/>
    <w:rsid w:val="00DC4D5E"/>
    <w:rsid w:val="00DC6A6B"/>
    <w:rsid w:val="00DD2D81"/>
    <w:rsid w:val="00DD3028"/>
    <w:rsid w:val="00DD3BA6"/>
    <w:rsid w:val="00E07D87"/>
    <w:rsid w:val="00E121C2"/>
    <w:rsid w:val="00E12ABB"/>
    <w:rsid w:val="00E31806"/>
    <w:rsid w:val="00E32F7E"/>
    <w:rsid w:val="00E5267B"/>
    <w:rsid w:val="00E63C0E"/>
    <w:rsid w:val="00E72D49"/>
    <w:rsid w:val="00E7593C"/>
    <w:rsid w:val="00E7678A"/>
    <w:rsid w:val="00E935F1"/>
    <w:rsid w:val="00E94A81"/>
    <w:rsid w:val="00E968D3"/>
    <w:rsid w:val="00EA1FFB"/>
    <w:rsid w:val="00EA305C"/>
    <w:rsid w:val="00EA65D2"/>
    <w:rsid w:val="00EA7E0A"/>
    <w:rsid w:val="00EB048E"/>
    <w:rsid w:val="00EB3C4C"/>
    <w:rsid w:val="00EB47D3"/>
    <w:rsid w:val="00EB4E9C"/>
    <w:rsid w:val="00EB5D94"/>
    <w:rsid w:val="00EB7224"/>
    <w:rsid w:val="00EC2265"/>
    <w:rsid w:val="00ED0EAE"/>
    <w:rsid w:val="00EE34DF"/>
    <w:rsid w:val="00EE49E9"/>
    <w:rsid w:val="00EF0218"/>
    <w:rsid w:val="00EF2F89"/>
    <w:rsid w:val="00EF475B"/>
    <w:rsid w:val="00F03E98"/>
    <w:rsid w:val="00F0709C"/>
    <w:rsid w:val="00F1237A"/>
    <w:rsid w:val="00F1363F"/>
    <w:rsid w:val="00F22CBD"/>
    <w:rsid w:val="00F272F1"/>
    <w:rsid w:val="00F3703D"/>
    <w:rsid w:val="00F3736C"/>
    <w:rsid w:val="00F43526"/>
    <w:rsid w:val="00F45372"/>
    <w:rsid w:val="00F501DA"/>
    <w:rsid w:val="00F51342"/>
    <w:rsid w:val="00F560F7"/>
    <w:rsid w:val="00F62275"/>
    <w:rsid w:val="00F6334D"/>
    <w:rsid w:val="00F72999"/>
    <w:rsid w:val="00F9764D"/>
    <w:rsid w:val="00FA49AB"/>
    <w:rsid w:val="00FC4ECC"/>
    <w:rsid w:val="00FD3F87"/>
    <w:rsid w:val="00FE39C7"/>
    <w:rsid w:val="00FE5B2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273DB6"/>
    <w:pPr>
      <w:outlineLvl w:val="5"/>
    </w:pPr>
  </w:style>
  <w:style w:type="paragraph" w:styleId="Heading7">
    <w:name w:val="heading 7"/>
    <w:basedOn w:val="Normal"/>
    <w:next w:val="Normal"/>
    <w:link w:val="Heading7Char"/>
    <w:qFormat/>
    <w:rsid w:val="00273DB6"/>
    <w:pPr>
      <w:spacing w:before="240" w:after="60"/>
      <w:outlineLvl w:val="6"/>
    </w:pPr>
    <w:rPr>
      <w:szCs w:val="24"/>
      <w:lang w:val="en-US"/>
    </w:rPr>
  </w:style>
  <w:style w:type="paragraph" w:styleId="Heading8">
    <w:name w:val="heading 8"/>
    <w:basedOn w:val="Normal"/>
    <w:next w:val="Normal"/>
    <w:link w:val="Heading8Char"/>
    <w:qFormat/>
    <w:rsid w:val="00273DB6"/>
    <w:pPr>
      <w:keepNext/>
      <w:jc w:val="center"/>
      <w:outlineLvl w:val="7"/>
    </w:pPr>
    <w:rPr>
      <w:u w:val="single"/>
      <w:lang w:val="en-U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273DB6"/>
    <w:rPr>
      <w:rFonts w:ascii="Arial" w:hAnsi="Arial"/>
      <w:caps/>
    </w:rPr>
  </w:style>
  <w:style w:type="character" w:customStyle="1" w:styleId="Heading2Char">
    <w:name w:val="Heading 2 Char"/>
    <w:aliases w:val="VARIETY Char,variety Char"/>
    <w:link w:val="Heading2"/>
    <w:rsid w:val="00273DB6"/>
    <w:rPr>
      <w:rFonts w:ascii="Arial" w:hAnsi="Arial"/>
      <w:u w:val="single"/>
    </w:rPr>
  </w:style>
  <w:style w:type="character" w:customStyle="1" w:styleId="Heading4Char">
    <w:name w:val="Heading 4 Char"/>
    <w:link w:val="Heading4"/>
    <w:rsid w:val="00273DB6"/>
    <w:rPr>
      <w:rFonts w:ascii="Arial" w:hAnsi="Arial"/>
      <w:u w:val="single"/>
      <w:lang w:val="fr-FR"/>
    </w:rPr>
  </w:style>
  <w:style w:type="character" w:customStyle="1" w:styleId="Heading5Char">
    <w:name w:val="Heading 5 Char"/>
    <w:link w:val="Heading5"/>
    <w:rsid w:val="00273DB6"/>
    <w:rPr>
      <w:rFonts w:ascii="Arial" w:hAnsi="Arial"/>
      <w:i/>
    </w:rPr>
  </w:style>
  <w:style w:type="character" w:customStyle="1" w:styleId="Heading6Char">
    <w:name w:val="Heading 6 Char"/>
    <w:basedOn w:val="DefaultParagraphFont"/>
    <w:link w:val="Heading6"/>
    <w:rsid w:val="00273DB6"/>
    <w:rPr>
      <w:rFonts w:ascii="Arial" w:hAnsi="Arial"/>
      <w:lang w:val="es-ES_tradnl"/>
    </w:rPr>
  </w:style>
  <w:style w:type="character" w:customStyle="1" w:styleId="Heading7Char">
    <w:name w:val="Heading 7 Char"/>
    <w:basedOn w:val="DefaultParagraphFont"/>
    <w:link w:val="Heading7"/>
    <w:rsid w:val="00273DB6"/>
    <w:rPr>
      <w:rFonts w:ascii="Arial" w:hAnsi="Arial"/>
      <w:szCs w:val="24"/>
    </w:rPr>
  </w:style>
  <w:style w:type="character" w:customStyle="1" w:styleId="Heading8Char">
    <w:name w:val="Heading 8 Char"/>
    <w:basedOn w:val="DefaultParagraphFont"/>
    <w:link w:val="Heading8"/>
    <w:rsid w:val="00273DB6"/>
    <w:rPr>
      <w:rFonts w:ascii="Arial" w:hAnsi="Arial"/>
      <w:u w:val="single"/>
    </w:rPr>
  </w:style>
  <w:style w:type="paragraph" w:styleId="Header">
    <w:name w:val="header"/>
    <w:rsid w:val="008B3D8D"/>
    <w:pPr>
      <w:jc w:val="center"/>
    </w:pPr>
    <w:rPr>
      <w:rFonts w:ascii="Arial" w:hAnsi="Arial"/>
      <w:lang w:val="es-ES_tradnl"/>
    </w:rPr>
  </w:style>
  <w:style w:type="paragraph" w:styleId="Footer">
    <w:name w:val="footer"/>
    <w:aliases w:val="doc_path_name"/>
    <w:link w:val="FooterChar"/>
    <w:autoRedefine/>
    <w:rsid w:val="00273DB6"/>
    <w:pPr>
      <w:jc w:val="right"/>
    </w:pPr>
    <w:rPr>
      <w:rFonts w:ascii="Arial" w:hAnsi="Arial"/>
    </w:rPr>
  </w:style>
  <w:style w:type="character" w:customStyle="1" w:styleId="FooterChar">
    <w:name w:val="Footer Char"/>
    <w:aliases w:val="doc_path_name Char"/>
    <w:link w:val="Footer"/>
    <w:rsid w:val="00273DB6"/>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401DDB"/>
    <w:pPr>
      <w:tabs>
        <w:tab w:val="left" w:pos="5387"/>
        <w:tab w:val="left" w:pos="5954"/>
      </w:tabs>
      <w:ind w:left="4820"/>
    </w:pPr>
    <w:rPr>
      <w:i/>
    </w:rPr>
  </w:style>
  <w:style w:type="character" w:customStyle="1" w:styleId="DecisionParagraphsChar">
    <w:name w:val="DecisionParagraphs Char"/>
    <w:basedOn w:val="DefaultParagraphFont"/>
    <w:link w:val="DecisionParagraphs"/>
    <w:rsid w:val="00273DB6"/>
    <w:rPr>
      <w:rFonts w:ascii="Arial" w:hAnsi="Arial"/>
      <w:i/>
      <w:lang w:val="es-ES_tradnl"/>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customStyle="1" w:styleId="FootnoteTextChar">
    <w:name w:val="Footnote Text Char"/>
    <w:basedOn w:val="DefaultParagraphFont"/>
    <w:link w:val="FootnoteText"/>
    <w:rsid w:val="00273DB6"/>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273DB6"/>
    <w:rPr>
      <w:rFonts w:ascii="Arial" w:hAnsi="Arial"/>
      <w:caps/>
      <w:noProof/>
      <w:snapToGrid w:val="0"/>
      <w:u w:val="single"/>
      <w:lang w:val="es-ES_tradnl"/>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locked/>
    <w:rsid w:val="00273DB6"/>
    <w:rPr>
      <w:rFonts w:ascii="Arial" w:hAnsi="Arial"/>
      <w:noProof/>
      <w:snapToGrid w:val="0"/>
      <w:lang w:val="es-ES_tradnl"/>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EB47D3"/>
    <w:pPr>
      <w:tabs>
        <w:tab w:val="right" w:leader="dot" w:pos="9639"/>
      </w:tabs>
      <w:spacing w:after="120"/>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2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DB6"/>
    <w:pPr>
      <w:spacing w:after="200" w:line="276" w:lineRule="auto"/>
      <w:ind w:left="720"/>
      <w:contextualSpacing/>
      <w:jc w:val="left"/>
    </w:pPr>
    <w:rPr>
      <w:rFonts w:asciiTheme="minorHAnsi" w:eastAsiaTheme="minorEastAsia" w:hAnsiTheme="minorHAnsi" w:cstheme="minorBidi"/>
      <w:sz w:val="22"/>
      <w:szCs w:val="22"/>
      <w:lang w:val="en-US"/>
    </w:rPr>
  </w:style>
  <w:style w:type="character" w:styleId="Emphasis">
    <w:name w:val="Emphasis"/>
    <w:basedOn w:val="DefaultParagraphFont"/>
    <w:qFormat/>
    <w:rsid w:val="00273DB6"/>
    <w:rPr>
      <w:i/>
      <w:iCs/>
    </w:rPr>
  </w:style>
  <w:style w:type="paragraph" w:customStyle="1" w:styleId="DecisionInvitingPara">
    <w:name w:val="Decision Inviting Para."/>
    <w:basedOn w:val="Normal"/>
    <w:rsid w:val="00273DB6"/>
    <w:pPr>
      <w:ind w:left="4536"/>
    </w:pPr>
    <w:rPr>
      <w:rFonts w:eastAsiaTheme="minorEastAsia"/>
      <w:i/>
    </w:rPr>
  </w:style>
  <w:style w:type="paragraph" w:styleId="NormalWeb">
    <w:name w:val="Normal (Web)"/>
    <w:basedOn w:val="Normal"/>
    <w:rsid w:val="00273DB6"/>
    <w:pPr>
      <w:spacing w:before="100" w:beforeAutospacing="1" w:after="100" w:afterAutospacing="1"/>
      <w:jc w:val="left"/>
    </w:pPr>
    <w:rPr>
      <w:szCs w:val="24"/>
      <w:lang w:val="en-US"/>
    </w:rPr>
  </w:style>
  <w:style w:type="paragraph" w:customStyle="1" w:styleId="pdflink">
    <w:name w:val="pdflink"/>
    <w:basedOn w:val="Normal"/>
    <w:next w:val="Normal"/>
    <w:rsid w:val="00273DB6"/>
    <w:rPr>
      <w:color w:val="800000"/>
      <w:u w:val="words"/>
      <w:lang w:val="en-US"/>
    </w:rPr>
  </w:style>
  <w:style w:type="paragraph" w:customStyle="1" w:styleId="Draft">
    <w:name w:val="Draft"/>
    <w:basedOn w:val="Normal"/>
    <w:next w:val="preparedby"/>
    <w:rsid w:val="00273DB6"/>
    <w:pPr>
      <w:spacing w:before="720" w:after="480"/>
      <w:jc w:val="center"/>
    </w:pPr>
    <w:rPr>
      <w:caps/>
      <w:sz w:val="28"/>
      <w:lang w:val="en-US"/>
    </w:rPr>
  </w:style>
  <w:style w:type="paragraph" w:customStyle="1" w:styleId="tqparabox">
    <w:name w:val="tqparabox"/>
    <w:basedOn w:val="Normal"/>
    <w:rsid w:val="00273DB6"/>
    <w:pPr>
      <w:tabs>
        <w:tab w:val="left" w:pos="567"/>
        <w:tab w:val="left" w:pos="1134"/>
        <w:tab w:val="left" w:pos="2976"/>
        <w:tab w:val="left" w:pos="5856"/>
        <w:tab w:val="left" w:pos="7296"/>
      </w:tabs>
      <w:spacing w:before="40" w:after="40"/>
      <w:ind w:left="567"/>
      <w:jc w:val="left"/>
    </w:pPr>
    <w:rPr>
      <w:lang w:val="en-US"/>
    </w:rPr>
  </w:style>
  <w:style w:type="paragraph" w:styleId="TOC6">
    <w:name w:val="toc 6"/>
    <w:basedOn w:val="Normal"/>
    <w:next w:val="Normal"/>
    <w:autoRedefine/>
    <w:rsid w:val="00273DB6"/>
    <w:pPr>
      <w:ind w:left="1200"/>
    </w:pPr>
    <w:rPr>
      <w:lang w:val="en-US"/>
    </w:rPr>
  </w:style>
  <w:style w:type="paragraph" w:styleId="BodyTextIndent">
    <w:name w:val="Body Text Indent"/>
    <w:basedOn w:val="Normal"/>
    <w:link w:val="BodyTextIndentChar"/>
    <w:rsid w:val="00273DB6"/>
    <w:pPr>
      <w:ind w:left="567"/>
    </w:pPr>
  </w:style>
  <w:style w:type="character" w:customStyle="1" w:styleId="BodyTextIndentChar">
    <w:name w:val="Body Text Indent Char"/>
    <w:basedOn w:val="DefaultParagraphFont"/>
    <w:link w:val="BodyTextIndent"/>
    <w:rsid w:val="00273DB6"/>
    <w:rPr>
      <w:rFonts w:ascii="Arial" w:hAnsi="Arial"/>
      <w:lang w:val="es-ES_tradnl"/>
    </w:rPr>
  </w:style>
  <w:style w:type="paragraph" w:customStyle="1" w:styleId="twpcheck">
    <w:name w:val="twpcheck"/>
    <w:basedOn w:val="Normal"/>
    <w:rsid w:val="00273DB6"/>
    <w:pPr>
      <w:spacing w:before="80" w:after="80"/>
      <w:jc w:val="left"/>
    </w:pPr>
    <w:rPr>
      <w:rFonts w:cs="Arial"/>
      <w:snapToGrid w:val="0"/>
      <w:sz w:val="16"/>
      <w:szCs w:val="16"/>
      <w:lang w:val="en-US"/>
    </w:rPr>
  </w:style>
  <w:style w:type="paragraph" w:customStyle="1" w:styleId="Enttepair">
    <w:name w:val="Entête_pair"/>
    <w:basedOn w:val="Normal"/>
    <w:next w:val="Normal"/>
    <w:rsid w:val="00273DB6"/>
    <w:pPr>
      <w:pBdr>
        <w:bottom w:val="single" w:sz="4" w:space="1" w:color="auto"/>
      </w:pBdr>
      <w:jc w:val="left"/>
    </w:pPr>
    <w:rPr>
      <w:szCs w:val="24"/>
      <w:lang w:val="en-US"/>
    </w:rPr>
  </w:style>
  <w:style w:type="paragraph" w:customStyle="1" w:styleId="Entteimpair">
    <w:name w:val="Entête_impair"/>
    <w:basedOn w:val="Normal"/>
    <w:next w:val="Normal"/>
    <w:rsid w:val="00273DB6"/>
    <w:pPr>
      <w:pBdr>
        <w:bottom w:val="single" w:sz="4" w:space="1" w:color="auto"/>
      </w:pBdr>
      <w:jc w:val="right"/>
    </w:pPr>
    <w:rPr>
      <w:lang w:val="en-US"/>
    </w:rPr>
  </w:style>
  <w:style w:type="paragraph" w:styleId="E-mailSignature">
    <w:name w:val="E-mail Signature"/>
    <w:basedOn w:val="Normal"/>
    <w:link w:val="E-mailSignatureChar"/>
    <w:rsid w:val="00273DB6"/>
    <w:rPr>
      <w:lang w:val="en-US"/>
    </w:rPr>
  </w:style>
  <w:style w:type="character" w:customStyle="1" w:styleId="E-mailSignatureChar">
    <w:name w:val="E-mail Signature Char"/>
    <w:basedOn w:val="DefaultParagraphFont"/>
    <w:link w:val="E-mailSignature"/>
    <w:rsid w:val="00273DB6"/>
    <w:rPr>
      <w:rFonts w:ascii="Arial" w:hAnsi="Arial"/>
    </w:rPr>
  </w:style>
  <w:style w:type="paragraph" w:styleId="EnvelopeAddress">
    <w:name w:val="envelope address"/>
    <w:basedOn w:val="Normal"/>
    <w:rsid w:val="00273DB6"/>
    <w:pPr>
      <w:framePr w:w="7920" w:h="1980" w:hRule="exact" w:hSpace="180" w:wrap="auto" w:hAnchor="page" w:xAlign="center" w:yAlign="bottom"/>
      <w:ind w:left="2880"/>
    </w:pPr>
    <w:rPr>
      <w:rFonts w:cs="Arial"/>
      <w:szCs w:val="24"/>
      <w:lang w:val="en-US"/>
    </w:rPr>
  </w:style>
  <w:style w:type="paragraph" w:styleId="EnvelopeReturn">
    <w:name w:val="envelope return"/>
    <w:basedOn w:val="Normal"/>
    <w:rsid w:val="00273DB6"/>
    <w:rPr>
      <w:rFonts w:cs="Arial"/>
      <w:lang w:val="en-US"/>
    </w:rPr>
  </w:style>
  <w:style w:type="character" w:styleId="HTMLAcronym">
    <w:name w:val="HTML Acronym"/>
    <w:basedOn w:val="DefaultParagraphFont"/>
    <w:rsid w:val="00273DB6"/>
  </w:style>
  <w:style w:type="paragraph" w:styleId="HTMLAddress">
    <w:name w:val="HTML Address"/>
    <w:basedOn w:val="Normal"/>
    <w:link w:val="HTMLAddressChar"/>
    <w:rsid w:val="00273DB6"/>
    <w:rPr>
      <w:i/>
      <w:iCs/>
      <w:lang w:val="en-US"/>
    </w:rPr>
  </w:style>
  <w:style w:type="character" w:customStyle="1" w:styleId="HTMLAddressChar">
    <w:name w:val="HTML Address Char"/>
    <w:basedOn w:val="DefaultParagraphFont"/>
    <w:link w:val="HTMLAddress"/>
    <w:rsid w:val="00273DB6"/>
    <w:rPr>
      <w:rFonts w:ascii="Arial" w:hAnsi="Arial"/>
      <w:i/>
      <w:iCs/>
    </w:rPr>
  </w:style>
  <w:style w:type="character" w:styleId="HTMLCite">
    <w:name w:val="HTML Cite"/>
    <w:basedOn w:val="DefaultParagraphFont"/>
    <w:rsid w:val="00273DB6"/>
    <w:rPr>
      <w:i/>
      <w:iCs/>
    </w:rPr>
  </w:style>
  <w:style w:type="character" w:styleId="HTMLCode">
    <w:name w:val="HTML Code"/>
    <w:basedOn w:val="DefaultParagraphFont"/>
    <w:rsid w:val="00273DB6"/>
    <w:rPr>
      <w:rFonts w:ascii="Courier New" w:hAnsi="Courier New" w:cs="Courier New"/>
      <w:sz w:val="20"/>
      <w:szCs w:val="20"/>
    </w:rPr>
  </w:style>
  <w:style w:type="character" w:styleId="HTMLDefinition">
    <w:name w:val="HTML Definition"/>
    <w:basedOn w:val="DefaultParagraphFont"/>
    <w:rsid w:val="00273DB6"/>
    <w:rPr>
      <w:i/>
      <w:iCs/>
    </w:rPr>
  </w:style>
  <w:style w:type="character" w:styleId="HTMLKeyboard">
    <w:name w:val="HTML Keyboard"/>
    <w:basedOn w:val="DefaultParagraphFont"/>
    <w:rsid w:val="00273DB6"/>
    <w:rPr>
      <w:rFonts w:ascii="Courier New" w:hAnsi="Courier New" w:cs="Courier New"/>
      <w:sz w:val="20"/>
      <w:szCs w:val="20"/>
    </w:rPr>
  </w:style>
  <w:style w:type="paragraph" w:styleId="HTMLPreformatted">
    <w:name w:val="HTML Preformatted"/>
    <w:basedOn w:val="Normal"/>
    <w:link w:val="HTMLPreformattedChar"/>
    <w:rsid w:val="00273DB6"/>
    <w:rPr>
      <w:rFonts w:ascii="Courier New" w:hAnsi="Courier New" w:cs="Courier New"/>
      <w:lang w:val="en-US"/>
    </w:rPr>
  </w:style>
  <w:style w:type="character" w:customStyle="1" w:styleId="HTMLPreformattedChar">
    <w:name w:val="HTML Preformatted Char"/>
    <w:basedOn w:val="DefaultParagraphFont"/>
    <w:link w:val="HTMLPreformatted"/>
    <w:rsid w:val="00273DB6"/>
    <w:rPr>
      <w:rFonts w:ascii="Courier New" w:hAnsi="Courier New" w:cs="Courier New"/>
    </w:rPr>
  </w:style>
  <w:style w:type="character" w:styleId="HTMLSample">
    <w:name w:val="HTML Sample"/>
    <w:basedOn w:val="DefaultParagraphFont"/>
    <w:rsid w:val="00273DB6"/>
    <w:rPr>
      <w:rFonts w:ascii="Courier New" w:hAnsi="Courier New" w:cs="Courier New"/>
    </w:rPr>
  </w:style>
  <w:style w:type="character" w:styleId="HTMLTypewriter">
    <w:name w:val="HTML Typewriter"/>
    <w:basedOn w:val="DefaultParagraphFont"/>
    <w:rsid w:val="00273DB6"/>
    <w:rPr>
      <w:rFonts w:ascii="Courier New" w:hAnsi="Courier New" w:cs="Courier New"/>
      <w:sz w:val="20"/>
      <w:szCs w:val="20"/>
    </w:rPr>
  </w:style>
  <w:style w:type="character" w:styleId="HTMLVariable">
    <w:name w:val="HTML Variable"/>
    <w:basedOn w:val="DefaultParagraphFont"/>
    <w:rsid w:val="00273DB6"/>
    <w:rPr>
      <w:i/>
      <w:iCs/>
    </w:rPr>
  </w:style>
  <w:style w:type="character" w:styleId="LineNumber">
    <w:name w:val="line number"/>
    <w:basedOn w:val="DefaultParagraphFont"/>
    <w:rsid w:val="00273DB6"/>
  </w:style>
  <w:style w:type="paragraph" w:styleId="List">
    <w:name w:val="List"/>
    <w:basedOn w:val="Normal"/>
    <w:rsid w:val="00273DB6"/>
    <w:pPr>
      <w:ind w:left="360" w:hanging="360"/>
    </w:pPr>
    <w:rPr>
      <w:lang w:val="en-US"/>
    </w:rPr>
  </w:style>
  <w:style w:type="paragraph" w:styleId="List2">
    <w:name w:val="List 2"/>
    <w:basedOn w:val="Normal"/>
    <w:rsid w:val="00273DB6"/>
    <w:pPr>
      <w:ind w:left="720" w:hanging="360"/>
    </w:pPr>
    <w:rPr>
      <w:lang w:val="en-US"/>
    </w:rPr>
  </w:style>
  <w:style w:type="paragraph" w:styleId="List3">
    <w:name w:val="List 3"/>
    <w:basedOn w:val="Normal"/>
    <w:rsid w:val="00273DB6"/>
    <w:pPr>
      <w:ind w:left="1080" w:hanging="360"/>
    </w:pPr>
    <w:rPr>
      <w:lang w:val="en-US"/>
    </w:rPr>
  </w:style>
  <w:style w:type="paragraph" w:styleId="List4">
    <w:name w:val="List 4"/>
    <w:basedOn w:val="Normal"/>
    <w:rsid w:val="00273DB6"/>
    <w:pPr>
      <w:ind w:left="1440" w:hanging="360"/>
    </w:pPr>
    <w:rPr>
      <w:lang w:val="en-US"/>
    </w:rPr>
  </w:style>
  <w:style w:type="paragraph" w:styleId="List5">
    <w:name w:val="List 5"/>
    <w:basedOn w:val="Normal"/>
    <w:rsid w:val="00273DB6"/>
    <w:pPr>
      <w:ind w:left="1800" w:hanging="360"/>
    </w:pPr>
    <w:rPr>
      <w:lang w:val="en-US"/>
    </w:rPr>
  </w:style>
  <w:style w:type="paragraph" w:styleId="ListBullet">
    <w:name w:val="List Bullet"/>
    <w:basedOn w:val="Normal"/>
    <w:autoRedefine/>
    <w:rsid w:val="00273DB6"/>
    <w:pPr>
      <w:tabs>
        <w:tab w:val="num" w:pos="360"/>
      </w:tabs>
      <w:ind w:left="360" w:hanging="360"/>
    </w:pPr>
    <w:rPr>
      <w:bCs/>
      <w:szCs w:val="24"/>
      <w:lang w:val="es-ES" w:eastAsia="zh-CN"/>
    </w:rPr>
  </w:style>
  <w:style w:type="paragraph" w:styleId="ListBullet2">
    <w:name w:val="List Bullet 2"/>
    <w:basedOn w:val="Normal"/>
    <w:rsid w:val="00273DB6"/>
    <w:pPr>
      <w:tabs>
        <w:tab w:val="num" w:pos="720"/>
      </w:tabs>
      <w:ind w:left="720" w:hanging="360"/>
    </w:pPr>
    <w:rPr>
      <w:lang w:val="en-US"/>
    </w:rPr>
  </w:style>
  <w:style w:type="paragraph" w:styleId="ListBullet3">
    <w:name w:val="List Bullet 3"/>
    <w:basedOn w:val="Normal"/>
    <w:rsid w:val="00273DB6"/>
    <w:pPr>
      <w:tabs>
        <w:tab w:val="num" w:pos="1080"/>
      </w:tabs>
      <w:ind w:left="1080" w:hanging="360"/>
    </w:pPr>
    <w:rPr>
      <w:lang w:val="en-US"/>
    </w:rPr>
  </w:style>
  <w:style w:type="paragraph" w:styleId="ListBullet4">
    <w:name w:val="List Bullet 4"/>
    <w:basedOn w:val="Normal"/>
    <w:rsid w:val="00273DB6"/>
    <w:pPr>
      <w:tabs>
        <w:tab w:val="num" w:pos="1440"/>
      </w:tabs>
      <w:ind w:left="1440" w:hanging="360"/>
    </w:pPr>
    <w:rPr>
      <w:lang w:val="en-US"/>
    </w:rPr>
  </w:style>
  <w:style w:type="paragraph" w:styleId="ListBullet5">
    <w:name w:val="List Bullet 5"/>
    <w:basedOn w:val="Normal"/>
    <w:rsid w:val="00273DB6"/>
    <w:pPr>
      <w:tabs>
        <w:tab w:val="num" w:pos="1800"/>
      </w:tabs>
      <w:ind w:left="1800" w:hanging="360"/>
    </w:pPr>
    <w:rPr>
      <w:lang w:val="en-US"/>
    </w:rPr>
  </w:style>
  <w:style w:type="paragraph" w:styleId="ListContinue">
    <w:name w:val="List Continue"/>
    <w:basedOn w:val="Normal"/>
    <w:rsid w:val="00273DB6"/>
    <w:pPr>
      <w:spacing w:after="120"/>
      <w:ind w:left="360"/>
    </w:pPr>
    <w:rPr>
      <w:lang w:val="en-US"/>
    </w:rPr>
  </w:style>
  <w:style w:type="paragraph" w:styleId="ListContinue2">
    <w:name w:val="List Continue 2"/>
    <w:basedOn w:val="Normal"/>
    <w:rsid w:val="00273DB6"/>
    <w:pPr>
      <w:spacing w:after="120"/>
      <w:ind w:left="720"/>
    </w:pPr>
    <w:rPr>
      <w:lang w:val="en-US"/>
    </w:rPr>
  </w:style>
  <w:style w:type="paragraph" w:styleId="ListContinue3">
    <w:name w:val="List Continue 3"/>
    <w:basedOn w:val="Normal"/>
    <w:rsid w:val="00273DB6"/>
    <w:pPr>
      <w:spacing w:after="120"/>
      <w:ind w:left="1080"/>
    </w:pPr>
    <w:rPr>
      <w:lang w:val="en-US"/>
    </w:rPr>
  </w:style>
  <w:style w:type="paragraph" w:styleId="ListContinue4">
    <w:name w:val="List Continue 4"/>
    <w:basedOn w:val="Normal"/>
    <w:rsid w:val="00273DB6"/>
    <w:pPr>
      <w:spacing w:after="120"/>
      <w:ind w:left="1440"/>
    </w:pPr>
    <w:rPr>
      <w:lang w:val="en-US"/>
    </w:rPr>
  </w:style>
  <w:style w:type="paragraph" w:styleId="ListContinue5">
    <w:name w:val="List Continue 5"/>
    <w:basedOn w:val="Normal"/>
    <w:rsid w:val="00273DB6"/>
    <w:pPr>
      <w:spacing w:after="120"/>
      <w:ind w:left="1800"/>
    </w:pPr>
    <w:rPr>
      <w:lang w:val="en-US"/>
    </w:rPr>
  </w:style>
  <w:style w:type="paragraph" w:styleId="ListNumber">
    <w:name w:val="List Number"/>
    <w:basedOn w:val="Normal"/>
    <w:rsid w:val="00273DB6"/>
    <w:pPr>
      <w:tabs>
        <w:tab w:val="num" w:pos="360"/>
      </w:tabs>
      <w:ind w:left="360" w:hanging="360"/>
    </w:pPr>
    <w:rPr>
      <w:lang w:val="en-US"/>
    </w:rPr>
  </w:style>
  <w:style w:type="paragraph" w:styleId="ListNumber2">
    <w:name w:val="List Number 2"/>
    <w:basedOn w:val="Normal"/>
    <w:rsid w:val="00273DB6"/>
    <w:pPr>
      <w:tabs>
        <w:tab w:val="num" w:pos="720"/>
      </w:tabs>
      <w:ind w:left="720" w:hanging="360"/>
    </w:pPr>
    <w:rPr>
      <w:lang w:val="en-US"/>
    </w:rPr>
  </w:style>
  <w:style w:type="paragraph" w:styleId="ListNumber3">
    <w:name w:val="List Number 3"/>
    <w:basedOn w:val="Normal"/>
    <w:rsid w:val="00273DB6"/>
    <w:pPr>
      <w:tabs>
        <w:tab w:val="num" w:pos="1080"/>
      </w:tabs>
      <w:ind w:left="1080" w:hanging="360"/>
    </w:pPr>
    <w:rPr>
      <w:lang w:val="en-US"/>
    </w:rPr>
  </w:style>
  <w:style w:type="paragraph" w:styleId="ListNumber4">
    <w:name w:val="List Number 4"/>
    <w:basedOn w:val="Normal"/>
    <w:rsid w:val="00273DB6"/>
    <w:pPr>
      <w:tabs>
        <w:tab w:val="num" w:pos="1440"/>
      </w:tabs>
      <w:ind w:left="1440" w:hanging="360"/>
    </w:pPr>
    <w:rPr>
      <w:lang w:val="en-US"/>
    </w:rPr>
  </w:style>
  <w:style w:type="paragraph" w:styleId="ListNumber5">
    <w:name w:val="List Number 5"/>
    <w:basedOn w:val="Normal"/>
    <w:rsid w:val="00273DB6"/>
    <w:pPr>
      <w:tabs>
        <w:tab w:val="num" w:pos="1800"/>
      </w:tabs>
      <w:ind w:left="1800" w:hanging="360"/>
    </w:pPr>
    <w:rPr>
      <w:lang w:val="en-US"/>
    </w:rPr>
  </w:style>
  <w:style w:type="paragraph" w:styleId="MessageHeader">
    <w:name w:val="Message Header"/>
    <w:basedOn w:val="Normal"/>
    <w:link w:val="MessageHeaderChar"/>
    <w:rsid w:val="00273DB6"/>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lang w:val="en-US"/>
    </w:rPr>
  </w:style>
  <w:style w:type="character" w:customStyle="1" w:styleId="MessageHeaderChar">
    <w:name w:val="Message Header Char"/>
    <w:basedOn w:val="DefaultParagraphFont"/>
    <w:link w:val="MessageHeader"/>
    <w:rsid w:val="00273DB6"/>
    <w:rPr>
      <w:rFonts w:ascii="Arial" w:hAnsi="Arial" w:cs="Arial"/>
      <w:szCs w:val="24"/>
      <w:shd w:val="pct20" w:color="auto" w:fill="auto"/>
    </w:rPr>
  </w:style>
  <w:style w:type="paragraph" w:styleId="NoteHeading">
    <w:name w:val="Note Heading"/>
    <w:basedOn w:val="Normal"/>
    <w:next w:val="Normal"/>
    <w:link w:val="NoteHeadingChar"/>
    <w:rsid w:val="00273DB6"/>
    <w:rPr>
      <w:lang w:val="en-US"/>
    </w:rPr>
  </w:style>
  <w:style w:type="character" w:customStyle="1" w:styleId="NoteHeadingChar">
    <w:name w:val="Note Heading Char"/>
    <w:basedOn w:val="DefaultParagraphFont"/>
    <w:link w:val="NoteHeading"/>
    <w:rsid w:val="00273DB6"/>
    <w:rPr>
      <w:rFonts w:ascii="Arial" w:hAnsi="Arial"/>
    </w:rPr>
  </w:style>
  <w:style w:type="paragraph" w:styleId="Salutation">
    <w:name w:val="Salutation"/>
    <w:basedOn w:val="Normal"/>
    <w:next w:val="Normal"/>
    <w:link w:val="SalutationChar"/>
    <w:rsid w:val="00273DB6"/>
    <w:rPr>
      <w:lang w:val="en-US"/>
    </w:rPr>
  </w:style>
  <w:style w:type="character" w:customStyle="1" w:styleId="SalutationChar">
    <w:name w:val="Salutation Char"/>
    <w:basedOn w:val="DefaultParagraphFont"/>
    <w:link w:val="Salutation"/>
    <w:rsid w:val="00273DB6"/>
    <w:rPr>
      <w:rFonts w:ascii="Arial" w:hAnsi="Arial"/>
    </w:rPr>
  </w:style>
  <w:style w:type="character" w:styleId="Strong">
    <w:name w:val="Strong"/>
    <w:basedOn w:val="DefaultParagraphFont"/>
    <w:qFormat/>
    <w:rsid w:val="00273DB6"/>
    <w:rPr>
      <w:b/>
      <w:bCs/>
    </w:rPr>
  </w:style>
  <w:style w:type="paragraph" w:styleId="Subtitle">
    <w:name w:val="Subtitle"/>
    <w:basedOn w:val="Normal"/>
    <w:link w:val="SubtitleChar"/>
    <w:qFormat/>
    <w:rsid w:val="00273DB6"/>
    <w:pPr>
      <w:spacing w:after="60"/>
      <w:jc w:val="center"/>
      <w:outlineLvl w:val="1"/>
    </w:pPr>
    <w:rPr>
      <w:rFonts w:cs="Arial"/>
      <w:szCs w:val="24"/>
      <w:lang w:val="en-US"/>
    </w:rPr>
  </w:style>
  <w:style w:type="character" w:customStyle="1" w:styleId="SubtitleChar">
    <w:name w:val="Subtitle Char"/>
    <w:basedOn w:val="DefaultParagraphFont"/>
    <w:link w:val="Subtitle"/>
    <w:rsid w:val="00273DB6"/>
    <w:rPr>
      <w:rFonts w:ascii="Arial" w:hAnsi="Arial" w:cs="Arial"/>
      <w:szCs w:val="24"/>
    </w:rPr>
  </w:style>
  <w:style w:type="paragraph" w:styleId="TOC7">
    <w:name w:val="toc 7"/>
    <w:basedOn w:val="Normal"/>
    <w:next w:val="Normal"/>
    <w:autoRedefine/>
    <w:rsid w:val="00273DB6"/>
    <w:pPr>
      <w:ind w:left="1440"/>
    </w:pPr>
    <w:rPr>
      <w:lang w:val="en-US"/>
    </w:rPr>
  </w:style>
  <w:style w:type="paragraph" w:styleId="TOC8">
    <w:name w:val="toc 8"/>
    <w:basedOn w:val="Normal"/>
    <w:next w:val="Normal"/>
    <w:autoRedefine/>
    <w:rsid w:val="00273DB6"/>
    <w:pPr>
      <w:ind w:left="1680"/>
    </w:pPr>
    <w:rPr>
      <w:lang w:val="en-US"/>
    </w:rPr>
  </w:style>
  <w:style w:type="paragraph" w:styleId="TOC9">
    <w:name w:val="toc 9"/>
    <w:basedOn w:val="Normal"/>
    <w:next w:val="Normal"/>
    <w:autoRedefine/>
    <w:rsid w:val="00273DB6"/>
    <w:pPr>
      <w:ind w:left="1920"/>
    </w:pPr>
    <w:rPr>
      <w:lang w:val="en-US"/>
    </w:rPr>
  </w:style>
  <w:style w:type="character" w:styleId="FollowedHyperlink">
    <w:name w:val="FollowedHyperlink"/>
    <w:basedOn w:val="DefaultParagraphFont"/>
    <w:rsid w:val="00273DB6"/>
    <w:rPr>
      <w:color w:val="606420"/>
      <w:u w:val="single"/>
    </w:rPr>
  </w:style>
  <w:style w:type="paragraph" w:styleId="BlockText">
    <w:name w:val="Block Text"/>
    <w:basedOn w:val="Normal"/>
    <w:rsid w:val="00273DB6"/>
    <w:pPr>
      <w:ind w:left="567" w:right="566"/>
    </w:pPr>
    <w:rPr>
      <w:sz w:val="22"/>
      <w:lang w:val="en-US"/>
    </w:rPr>
  </w:style>
  <w:style w:type="paragraph" w:styleId="Caption">
    <w:name w:val="caption"/>
    <w:basedOn w:val="Normal"/>
    <w:next w:val="Normal"/>
    <w:qFormat/>
    <w:rsid w:val="00273DB6"/>
    <w:pPr>
      <w:framePr w:w="11102" w:hSpace="181" w:wrap="around" w:vAnchor="page" w:hAnchor="page" w:x="438" w:y="15985" w:anchorLock="1"/>
      <w:jc w:val="center"/>
    </w:pPr>
    <w:rPr>
      <w:b/>
      <w:snapToGrid w:val="0"/>
      <w:lang w:val="en-US"/>
    </w:rPr>
  </w:style>
  <w:style w:type="paragraph" w:styleId="CommentText">
    <w:name w:val="annotation text"/>
    <w:basedOn w:val="Normal"/>
    <w:link w:val="CommentTextChar"/>
    <w:rsid w:val="00273DB6"/>
    <w:rPr>
      <w:sz w:val="22"/>
    </w:rPr>
  </w:style>
  <w:style w:type="character" w:customStyle="1" w:styleId="CommentTextChar">
    <w:name w:val="Comment Text Char"/>
    <w:basedOn w:val="DefaultParagraphFont"/>
    <w:link w:val="CommentText"/>
    <w:rsid w:val="00273DB6"/>
    <w:rPr>
      <w:rFonts w:ascii="Arial" w:hAnsi="Arial"/>
      <w:sz w:val="22"/>
      <w:lang w:val="es-ES_tradnl"/>
    </w:rPr>
  </w:style>
  <w:style w:type="paragraph" w:customStyle="1" w:styleId="Committee">
    <w:name w:val="Committee"/>
    <w:basedOn w:val="Title"/>
    <w:rsid w:val="00273DB6"/>
    <w:rPr>
      <w:caps w:val="0"/>
      <w:lang w:val="en-US"/>
    </w:rPr>
  </w:style>
  <w:style w:type="paragraph" w:customStyle="1" w:styleId="n">
    <w:name w:val="n"/>
    <w:basedOn w:val="Header"/>
    <w:rsid w:val="00273DB6"/>
    <w:rPr>
      <w:lang w:val="fr-FR"/>
    </w:rPr>
  </w:style>
  <w:style w:type="paragraph" w:customStyle="1" w:styleId="TitleofSection">
    <w:name w:val="Title of Section"/>
    <w:basedOn w:val="TitleofDoc"/>
    <w:rsid w:val="00273DB6"/>
    <w:pPr>
      <w:spacing w:before="120" w:after="120"/>
    </w:pPr>
    <w:rPr>
      <w:b/>
      <w:caps w:val="0"/>
      <w:lang w:val="en-US" w:eastAsia="de-DE"/>
    </w:rPr>
  </w:style>
  <w:style w:type="paragraph" w:customStyle="1" w:styleId="TOCAnnex">
    <w:name w:val="TOC Annex"/>
    <w:basedOn w:val="Normal"/>
    <w:rsid w:val="00273DB6"/>
    <w:pPr>
      <w:tabs>
        <w:tab w:val="right" w:pos="9061"/>
      </w:tabs>
      <w:spacing w:before="240" w:after="120"/>
      <w:ind w:left="1021" w:right="567" w:hanging="1021"/>
      <w:jc w:val="left"/>
      <w:outlineLvl w:val="0"/>
    </w:pPr>
    <w:rPr>
      <w:b/>
      <w:noProof/>
      <w:sz w:val="22"/>
      <w:szCs w:val="22"/>
      <w:lang w:val="en-US"/>
    </w:rPr>
  </w:style>
  <w:style w:type="paragraph" w:styleId="PlainText">
    <w:name w:val="Plain Text"/>
    <w:basedOn w:val="Normal"/>
    <w:link w:val="PlainTextChar"/>
    <w:rsid w:val="00273DB6"/>
    <w:rPr>
      <w:rFonts w:ascii="Courier New" w:hAnsi="Courier New" w:cs="Courier New"/>
      <w:lang w:val="en-US" w:eastAsia="fr-FR"/>
    </w:rPr>
  </w:style>
  <w:style w:type="character" w:customStyle="1" w:styleId="PlainTextChar">
    <w:name w:val="Plain Text Char"/>
    <w:basedOn w:val="DefaultParagraphFont"/>
    <w:link w:val="PlainText"/>
    <w:rsid w:val="00273DB6"/>
    <w:rPr>
      <w:rFonts w:ascii="Courier New" w:hAnsi="Courier New" w:cs="Courier New"/>
      <w:lang w:eastAsia="fr-FR"/>
    </w:rPr>
  </w:style>
  <w:style w:type="character" w:styleId="CommentReference">
    <w:name w:val="annotation reference"/>
    <w:basedOn w:val="DefaultParagraphFont"/>
    <w:rsid w:val="00273DB6"/>
    <w:rPr>
      <w:rFonts w:cs="Times New Roman"/>
      <w:sz w:val="16"/>
      <w:szCs w:val="16"/>
    </w:rPr>
  </w:style>
  <w:style w:type="paragraph" w:customStyle="1" w:styleId="Default">
    <w:name w:val="Default"/>
    <w:rsid w:val="00273DB6"/>
    <w:pPr>
      <w:autoSpaceDE w:val="0"/>
      <w:autoSpaceDN w:val="0"/>
      <w:adjustRightInd w:val="0"/>
    </w:pPr>
    <w:rPr>
      <w:rFonts w:ascii="Arial" w:eastAsiaTheme="minorHAnsi" w:hAnsi="Arial" w:cs="Arial"/>
      <w:color w:val="000000"/>
      <w:sz w:val="24"/>
      <w:szCs w:val="24"/>
      <w:lang w:val="fi-FI"/>
    </w:rPr>
  </w:style>
  <w:style w:type="paragraph" w:styleId="CommentSubject">
    <w:name w:val="annotation subject"/>
    <w:basedOn w:val="CommentText"/>
    <w:next w:val="CommentText"/>
    <w:link w:val="CommentSubjectChar"/>
    <w:rsid w:val="00273DB6"/>
    <w:rPr>
      <w:b/>
      <w:bCs/>
      <w:sz w:val="20"/>
      <w:lang w:val="en-US"/>
    </w:rPr>
  </w:style>
  <w:style w:type="character" w:customStyle="1" w:styleId="CommentSubjectChar">
    <w:name w:val="Comment Subject Char"/>
    <w:basedOn w:val="CommentTextChar"/>
    <w:link w:val="CommentSubject"/>
    <w:rsid w:val="00273DB6"/>
    <w:rPr>
      <w:rFonts w:ascii="Arial" w:hAnsi="Arial"/>
      <w:b/>
      <w:bCs/>
      <w:sz w:val="22"/>
      <w:lang w:val="es-ES_tradnl"/>
    </w:rPr>
  </w:style>
  <w:style w:type="paragraph" w:customStyle="1" w:styleId="Normaltg">
    <w:name w:val="Normaltg"/>
    <w:basedOn w:val="Normal"/>
    <w:link w:val="NormaltgChar"/>
    <w:uiPriority w:val="99"/>
    <w:rsid w:val="00273DB6"/>
    <w:rPr>
      <w:rFonts w:cs="Angsana New"/>
      <w:szCs w:val="24"/>
      <w:lang w:val="en-US" w:eastAsia="ja-JP" w:bidi="th-TH"/>
    </w:rPr>
  </w:style>
  <w:style w:type="character" w:customStyle="1" w:styleId="NormaltgChar">
    <w:name w:val="Normaltg Char"/>
    <w:link w:val="Normaltg"/>
    <w:uiPriority w:val="99"/>
    <w:rsid w:val="00273DB6"/>
    <w:rPr>
      <w:rFonts w:ascii="Arial" w:hAnsi="Arial" w:cs="Angsana New"/>
      <w:szCs w:val="24"/>
      <w:lang w:eastAsia="ja-JP" w:bidi="th-TH"/>
    </w:rPr>
  </w:style>
  <w:style w:type="character" w:customStyle="1" w:styleId="hps">
    <w:name w:val="hps"/>
    <w:basedOn w:val="DefaultParagraphFont"/>
    <w:rsid w:val="00273DB6"/>
  </w:style>
  <w:style w:type="character" w:customStyle="1" w:styleId="Standaardalinea-lettertype">
    <w:name w:val="Standaardalinea-lettertype"/>
    <w:rsid w:val="00273DB6"/>
  </w:style>
  <w:style w:type="table" w:styleId="TableSimple1">
    <w:name w:val="Table Simple 1"/>
    <w:basedOn w:val="TableNormal"/>
    <w:rsid w:val="00273DB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ZchnZchn1">
    <w:name w:val="Zchn Zchn1"/>
    <w:basedOn w:val="Normal"/>
    <w:rsid w:val="00273DB6"/>
    <w:pPr>
      <w:spacing w:after="160" w:line="240" w:lineRule="exact"/>
      <w:jc w:val="left"/>
    </w:pPr>
    <w:rPr>
      <w:rFonts w:ascii="Verdana" w:eastAsia="PMingLiU" w:hAnsi="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273DB6"/>
    <w:pPr>
      <w:outlineLvl w:val="5"/>
    </w:pPr>
  </w:style>
  <w:style w:type="paragraph" w:styleId="Heading7">
    <w:name w:val="heading 7"/>
    <w:basedOn w:val="Normal"/>
    <w:next w:val="Normal"/>
    <w:link w:val="Heading7Char"/>
    <w:qFormat/>
    <w:rsid w:val="00273DB6"/>
    <w:pPr>
      <w:spacing w:before="240" w:after="60"/>
      <w:outlineLvl w:val="6"/>
    </w:pPr>
    <w:rPr>
      <w:szCs w:val="24"/>
      <w:lang w:val="en-US"/>
    </w:rPr>
  </w:style>
  <w:style w:type="paragraph" w:styleId="Heading8">
    <w:name w:val="heading 8"/>
    <w:basedOn w:val="Normal"/>
    <w:next w:val="Normal"/>
    <w:link w:val="Heading8Char"/>
    <w:qFormat/>
    <w:rsid w:val="00273DB6"/>
    <w:pPr>
      <w:keepNext/>
      <w:jc w:val="center"/>
      <w:outlineLvl w:val="7"/>
    </w:pPr>
    <w:rPr>
      <w:u w:val="single"/>
      <w:lang w:val="en-U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273DB6"/>
    <w:rPr>
      <w:rFonts w:ascii="Arial" w:hAnsi="Arial"/>
      <w:caps/>
    </w:rPr>
  </w:style>
  <w:style w:type="character" w:customStyle="1" w:styleId="Heading2Char">
    <w:name w:val="Heading 2 Char"/>
    <w:aliases w:val="VARIETY Char,variety Char"/>
    <w:link w:val="Heading2"/>
    <w:rsid w:val="00273DB6"/>
    <w:rPr>
      <w:rFonts w:ascii="Arial" w:hAnsi="Arial"/>
      <w:u w:val="single"/>
    </w:rPr>
  </w:style>
  <w:style w:type="character" w:customStyle="1" w:styleId="Heading4Char">
    <w:name w:val="Heading 4 Char"/>
    <w:link w:val="Heading4"/>
    <w:rsid w:val="00273DB6"/>
    <w:rPr>
      <w:rFonts w:ascii="Arial" w:hAnsi="Arial"/>
      <w:u w:val="single"/>
      <w:lang w:val="fr-FR"/>
    </w:rPr>
  </w:style>
  <w:style w:type="character" w:customStyle="1" w:styleId="Heading5Char">
    <w:name w:val="Heading 5 Char"/>
    <w:link w:val="Heading5"/>
    <w:rsid w:val="00273DB6"/>
    <w:rPr>
      <w:rFonts w:ascii="Arial" w:hAnsi="Arial"/>
      <w:i/>
    </w:rPr>
  </w:style>
  <w:style w:type="character" w:customStyle="1" w:styleId="Heading6Char">
    <w:name w:val="Heading 6 Char"/>
    <w:basedOn w:val="DefaultParagraphFont"/>
    <w:link w:val="Heading6"/>
    <w:rsid w:val="00273DB6"/>
    <w:rPr>
      <w:rFonts w:ascii="Arial" w:hAnsi="Arial"/>
      <w:lang w:val="es-ES_tradnl"/>
    </w:rPr>
  </w:style>
  <w:style w:type="character" w:customStyle="1" w:styleId="Heading7Char">
    <w:name w:val="Heading 7 Char"/>
    <w:basedOn w:val="DefaultParagraphFont"/>
    <w:link w:val="Heading7"/>
    <w:rsid w:val="00273DB6"/>
    <w:rPr>
      <w:rFonts w:ascii="Arial" w:hAnsi="Arial"/>
      <w:szCs w:val="24"/>
    </w:rPr>
  </w:style>
  <w:style w:type="character" w:customStyle="1" w:styleId="Heading8Char">
    <w:name w:val="Heading 8 Char"/>
    <w:basedOn w:val="DefaultParagraphFont"/>
    <w:link w:val="Heading8"/>
    <w:rsid w:val="00273DB6"/>
    <w:rPr>
      <w:rFonts w:ascii="Arial" w:hAnsi="Arial"/>
      <w:u w:val="single"/>
    </w:rPr>
  </w:style>
  <w:style w:type="paragraph" w:styleId="Header">
    <w:name w:val="header"/>
    <w:rsid w:val="008B3D8D"/>
    <w:pPr>
      <w:jc w:val="center"/>
    </w:pPr>
    <w:rPr>
      <w:rFonts w:ascii="Arial" w:hAnsi="Arial"/>
      <w:lang w:val="es-ES_tradnl"/>
    </w:rPr>
  </w:style>
  <w:style w:type="paragraph" w:styleId="Footer">
    <w:name w:val="footer"/>
    <w:aliases w:val="doc_path_name"/>
    <w:link w:val="FooterChar"/>
    <w:autoRedefine/>
    <w:rsid w:val="00273DB6"/>
    <w:pPr>
      <w:jc w:val="right"/>
    </w:pPr>
    <w:rPr>
      <w:rFonts w:ascii="Arial" w:hAnsi="Arial"/>
    </w:rPr>
  </w:style>
  <w:style w:type="character" w:customStyle="1" w:styleId="FooterChar">
    <w:name w:val="Footer Char"/>
    <w:aliases w:val="doc_path_name Char"/>
    <w:link w:val="Footer"/>
    <w:rsid w:val="00273DB6"/>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401DDB"/>
    <w:pPr>
      <w:tabs>
        <w:tab w:val="left" w:pos="5387"/>
        <w:tab w:val="left" w:pos="5954"/>
      </w:tabs>
      <w:ind w:left="4820"/>
    </w:pPr>
    <w:rPr>
      <w:i/>
    </w:rPr>
  </w:style>
  <w:style w:type="character" w:customStyle="1" w:styleId="DecisionParagraphsChar">
    <w:name w:val="DecisionParagraphs Char"/>
    <w:basedOn w:val="DefaultParagraphFont"/>
    <w:link w:val="DecisionParagraphs"/>
    <w:rsid w:val="00273DB6"/>
    <w:rPr>
      <w:rFonts w:ascii="Arial" w:hAnsi="Arial"/>
      <w:i/>
      <w:lang w:val="es-ES_tradnl"/>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customStyle="1" w:styleId="FootnoteTextChar">
    <w:name w:val="Footnote Text Char"/>
    <w:basedOn w:val="DefaultParagraphFont"/>
    <w:link w:val="FootnoteText"/>
    <w:rsid w:val="00273DB6"/>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273DB6"/>
    <w:rPr>
      <w:rFonts w:ascii="Arial" w:hAnsi="Arial"/>
      <w:caps/>
      <w:noProof/>
      <w:snapToGrid w:val="0"/>
      <w:u w:val="single"/>
      <w:lang w:val="es-ES_tradnl"/>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locked/>
    <w:rsid w:val="00273DB6"/>
    <w:rPr>
      <w:rFonts w:ascii="Arial" w:hAnsi="Arial"/>
      <w:noProof/>
      <w:snapToGrid w:val="0"/>
      <w:lang w:val="es-ES_tradnl"/>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EB47D3"/>
    <w:pPr>
      <w:tabs>
        <w:tab w:val="right" w:leader="dot" w:pos="9639"/>
      </w:tabs>
      <w:spacing w:after="120"/>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2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DB6"/>
    <w:pPr>
      <w:spacing w:after="200" w:line="276" w:lineRule="auto"/>
      <w:ind w:left="720"/>
      <w:contextualSpacing/>
      <w:jc w:val="left"/>
    </w:pPr>
    <w:rPr>
      <w:rFonts w:asciiTheme="minorHAnsi" w:eastAsiaTheme="minorEastAsia" w:hAnsiTheme="minorHAnsi" w:cstheme="minorBidi"/>
      <w:sz w:val="22"/>
      <w:szCs w:val="22"/>
      <w:lang w:val="en-US"/>
    </w:rPr>
  </w:style>
  <w:style w:type="character" w:styleId="Emphasis">
    <w:name w:val="Emphasis"/>
    <w:basedOn w:val="DefaultParagraphFont"/>
    <w:qFormat/>
    <w:rsid w:val="00273DB6"/>
    <w:rPr>
      <w:i/>
      <w:iCs/>
    </w:rPr>
  </w:style>
  <w:style w:type="paragraph" w:customStyle="1" w:styleId="DecisionInvitingPara">
    <w:name w:val="Decision Inviting Para."/>
    <w:basedOn w:val="Normal"/>
    <w:rsid w:val="00273DB6"/>
    <w:pPr>
      <w:ind w:left="4536"/>
    </w:pPr>
    <w:rPr>
      <w:rFonts w:eastAsiaTheme="minorEastAsia"/>
      <w:i/>
    </w:rPr>
  </w:style>
  <w:style w:type="paragraph" w:styleId="NormalWeb">
    <w:name w:val="Normal (Web)"/>
    <w:basedOn w:val="Normal"/>
    <w:rsid w:val="00273DB6"/>
    <w:pPr>
      <w:spacing w:before="100" w:beforeAutospacing="1" w:after="100" w:afterAutospacing="1"/>
      <w:jc w:val="left"/>
    </w:pPr>
    <w:rPr>
      <w:szCs w:val="24"/>
      <w:lang w:val="en-US"/>
    </w:rPr>
  </w:style>
  <w:style w:type="paragraph" w:customStyle="1" w:styleId="pdflink">
    <w:name w:val="pdflink"/>
    <w:basedOn w:val="Normal"/>
    <w:next w:val="Normal"/>
    <w:rsid w:val="00273DB6"/>
    <w:rPr>
      <w:color w:val="800000"/>
      <w:u w:val="words"/>
      <w:lang w:val="en-US"/>
    </w:rPr>
  </w:style>
  <w:style w:type="paragraph" w:customStyle="1" w:styleId="Draft">
    <w:name w:val="Draft"/>
    <w:basedOn w:val="Normal"/>
    <w:next w:val="preparedby"/>
    <w:rsid w:val="00273DB6"/>
    <w:pPr>
      <w:spacing w:before="720" w:after="480"/>
      <w:jc w:val="center"/>
    </w:pPr>
    <w:rPr>
      <w:caps/>
      <w:sz w:val="28"/>
      <w:lang w:val="en-US"/>
    </w:rPr>
  </w:style>
  <w:style w:type="paragraph" w:customStyle="1" w:styleId="tqparabox">
    <w:name w:val="tqparabox"/>
    <w:basedOn w:val="Normal"/>
    <w:rsid w:val="00273DB6"/>
    <w:pPr>
      <w:tabs>
        <w:tab w:val="left" w:pos="567"/>
        <w:tab w:val="left" w:pos="1134"/>
        <w:tab w:val="left" w:pos="2976"/>
        <w:tab w:val="left" w:pos="5856"/>
        <w:tab w:val="left" w:pos="7296"/>
      </w:tabs>
      <w:spacing w:before="40" w:after="40"/>
      <w:ind w:left="567"/>
      <w:jc w:val="left"/>
    </w:pPr>
    <w:rPr>
      <w:lang w:val="en-US"/>
    </w:rPr>
  </w:style>
  <w:style w:type="paragraph" w:styleId="TOC6">
    <w:name w:val="toc 6"/>
    <w:basedOn w:val="Normal"/>
    <w:next w:val="Normal"/>
    <w:autoRedefine/>
    <w:rsid w:val="00273DB6"/>
    <w:pPr>
      <w:ind w:left="1200"/>
    </w:pPr>
    <w:rPr>
      <w:lang w:val="en-US"/>
    </w:rPr>
  </w:style>
  <w:style w:type="paragraph" w:styleId="BodyTextIndent">
    <w:name w:val="Body Text Indent"/>
    <w:basedOn w:val="Normal"/>
    <w:link w:val="BodyTextIndentChar"/>
    <w:rsid w:val="00273DB6"/>
    <w:pPr>
      <w:ind w:left="567"/>
    </w:pPr>
  </w:style>
  <w:style w:type="character" w:customStyle="1" w:styleId="BodyTextIndentChar">
    <w:name w:val="Body Text Indent Char"/>
    <w:basedOn w:val="DefaultParagraphFont"/>
    <w:link w:val="BodyTextIndent"/>
    <w:rsid w:val="00273DB6"/>
    <w:rPr>
      <w:rFonts w:ascii="Arial" w:hAnsi="Arial"/>
      <w:lang w:val="es-ES_tradnl"/>
    </w:rPr>
  </w:style>
  <w:style w:type="paragraph" w:customStyle="1" w:styleId="twpcheck">
    <w:name w:val="twpcheck"/>
    <w:basedOn w:val="Normal"/>
    <w:rsid w:val="00273DB6"/>
    <w:pPr>
      <w:spacing w:before="80" w:after="80"/>
      <w:jc w:val="left"/>
    </w:pPr>
    <w:rPr>
      <w:rFonts w:cs="Arial"/>
      <w:snapToGrid w:val="0"/>
      <w:sz w:val="16"/>
      <w:szCs w:val="16"/>
      <w:lang w:val="en-US"/>
    </w:rPr>
  </w:style>
  <w:style w:type="paragraph" w:customStyle="1" w:styleId="Enttepair">
    <w:name w:val="Entête_pair"/>
    <w:basedOn w:val="Normal"/>
    <w:next w:val="Normal"/>
    <w:rsid w:val="00273DB6"/>
    <w:pPr>
      <w:pBdr>
        <w:bottom w:val="single" w:sz="4" w:space="1" w:color="auto"/>
      </w:pBdr>
      <w:jc w:val="left"/>
    </w:pPr>
    <w:rPr>
      <w:szCs w:val="24"/>
      <w:lang w:val="en-US"/>
    </w:rPr>
  </w:style>
  <w:style w:type="paragraph" w:customStyle="1" w:styleId="Entteimpair">
    <w:name w:val="Entête_impair"/>
    <w:basedOn w:val="Normal"/>
    <w:next w:val="Normal"/>
    <w:rsid w:val="00273DB6"/>
    <w:pPr>
      <w:pBdr>
        <w:bottom w:val="single" w:sz="4" w:space="1" w:color="auto"/>
      </w:pBdr>
      <w:jc w:val="right"/>
    </w:pPr>
    <w:rPr>
      <w:lang w:val="en-US"/>
    </w:rPr>
  </w:style>
  <w:style w:type="paragraph" w:styleId="E-mailSignature">
    <w:name w:val="E-mail Signature"/>
    <w:basedOn w:val="Normal"/>
    <w:link w:val="E-mailSignatureChar"/>
    <w:rsid w:val="00273DB6"/>
    <w:rPr>
      <w:lang w:val="en-US"/>
    </w:rPr>
  </w:style>
  <w:style w:type="character" w:customStyle="1" w:styleId="E-mailSignatureChar">
    <w:name w:val="E-mail Signature Char"/>
    <w:basedOn w:val="DefaultParagraphFont"/>
    <w:link w:val="E-mailSignature"/>
    <w:rsid w:val="00273DB6"/>
    <w:rPr>
      <w:rFonts w:ascii="Arial" w:hAnsi="Arial"/>
    </w:rPr>
  </w:style>
  <w:style w:type="paragraph" w:styleId="EnvelopeAddress">
    <w:name w:val="envelope address"/>
    <w:basedOn w:val="Normal"/>
    <w:rsid w:val="00273DB6"/>
    <w:pPr>
      <w:framePr w:w="7920" w:h="1980" w:hRule="exact" w:hSpace="180" w:wrap="auto" w:hAnchor="page" w:xAlign="center" w:yAlign="bottom"/>
      <w:ind w:left="2880"/>
    </w:pPr>
    <w:rPr>
      <w:rFonts w:cs="Arial"/>
      <w:szCs w:val="24"/>
      <w:lang w:val="en-US"/>
    </w:rPr>
  </w:style>
  <w:style w:type="paragraph" w:styleId="EnvelopeReturn">
    <w:name w:val="envelope return"/>
    <w:basedOn w:val="Normal"/>
    <w:rsid w:val="00273DB6"/>
    <w:rPr>
      <w:rFonts w:cs="Arial"/>
      <w:lang w:val="en-US"/>
    </w:rPr>
  </w:style>
  <w:style w:type="character" w:styleId="HTMLAcronym">
    <w:name w:val="HTML Acronym"/>
    <w:basedOn w:val="DefaultParagraphFont"/>
    <w:rsid w:val="00273DB6"/>
  </w:style>
  <w:style w:type="paragraph" w:styleId="HTMLAddress">
    <w:name w:val="HTML Address"/>
    <w:basedOn w:val="Normal"/>
    <w:link w:val="HTMLAddressChar"/>
    <w:rsid w:val="00273DB6"/>
    <w:rPr>
      <w:i/>
      <w:iCs/>
      <w:lang w:val="en-US"/>
    </w:rPr>
  </w:style>
  <w:style w:type="character" w:customStyle="1" w:styleId="HTMLAddressChar">
    <w:name w:val="HTML Address Char"/>
    <w:basedOn w:val="DefaultParagraphFont"/>
    <w:link w:val="HTMLAddress"/>
    <w:rsid w:val="00273DB6"/>
    <w:rPr>
      <w:rFonts w:ascii="Arial" w:hAnsi="Arial"/>
      <w:i/>
      <w:iCs/>
    </w:rPr>
  </w:style>
  <w:style w:type="character" w:styleId="HTMLCite">
    <w:name w:val="HTML Cite"/>
    <w:basedOn w:val="DefaultParagraphFont"/>
    <w:rsid w:val="00273DB6"/>
    <w:rPr>
      <w:i/>
      <w:iCs/>
    </w:rPr>
  </w:style>
  <w:style w:type="character" w:styleId="HTMLCode">
    <w:name w:val="HTML Code"/>
    <w:basedOn w:val="DefaultParagraphFont"/>
    <w:rsid w:val="00273DB6"/>
    <w:rPr>
      <w:rFonts w:ascii="Courier New" w:hAnsi="Courier New" w:cs="Courier New"/>
      <w:sz w:val="20"/>
      <w:szCs w:val="20"/>
    </w:rPr>
  </w:style>
  <w:style w:type="character" w:styleId="HTMLDefinition">
    <w:name w:val="HTML Definition"/>
    <w:basedOn w:val="DefaultParagraphFont"/>
    <w:rsid w:val="00273DB6"/>
    <w:rPr>
      <w:i/>
      <w:iCs/>
    </w:rPr>
  </w:style>
  <w:style w:type="character" w:styleId="HTMLKeyboard">
    <w:name w:val="HTML Keyboard"/>
    <w:basedOn w:val="DefaultParagraphFont"/>
    <w:rsid w:val="00273DB6"/>
    <w:rPr>
      <w:rFonts w:ascii="Courier New" w:hAnsi="Courier New" w:cs="Courier New"/>
      <w:sz w:val="20"/>
      <w:szCs w:val="20"/>
    </w:rPr>
  </w:style>
  <w:style w:type="paragraph" w:styleId="HTMLPreformatted">
    <w:name w:val="HTML Preformatted"/>
    <w:basedOn w:val="Normal"/>
    <w:link w:val="HTMLPreformattedChar"/>
    <w:rsid w:val="00273DB6"/>
    <w:rPr>
      <w:rFonts w:ascii="Courier New" w:hAnsi="Courier New" w:cs="Courier New"/>
      <w:lang w:val="en-US"/>
    </w:rPr>
  </w:style>
  <w:style w:type="character" w:customStyle="1" w:styleId="HTMLPreformattedChar">
    <w:name w:val="HTML Preformatted Char"/>
    <w:basedOn w:val="DefaultParagraphFont"/>
    <w:link w:val="HTMLPreformatted"/>
    <w:rsid w:val="00273DB6"/>
    <w:rPr>
      <w:rFonts w:ascii="Courier New" w:hAnsi="Courier New" w:cs="Courier New"/>
    </w:rPr>
  </w:style>
  <w:style w:type="character" w:styleId="HTMLSample">
    <w:name w:val="HTML Sample"/>
    <w:basedOn w:val="DefaultParagraphFont"/>
    <w:rsid w:val="00273DB6"/>
    <w:rPr>
      <w:rFonts w:ascii="Courier New" w:hAnsi="Courier New" w:cs="Courier New"/>
    </w:rPr>
  </w:style>
  <w:style w:type="character" w:styleId="HTMLTypewriter">
    <w:name w:val="HTML Typewriter"/>
    <w:basedOn w:val="DefaultParagraphFont"/>
    <w:rsid w:val="00273DB6"/>
    <w:rPr>
      <w:rFonts w:ascii="Courier New" w:hAnsi="Courier New" w:cs="Courier New"/>
      <w:sz w:val="20"/>
      <w:szCs w:val="20"/>
    </w:rPr>
  </w:style>
  <w:style w:type="character" w:styleId="HTMLVariable">
    <w:name w:val="HTML Variable"/>
    <w:basedOn w:val="DefaultParagraphFont"/>
    <w:rsid w:val="00273DB6"/>
    <w:rPr>
      <w:i/>
      <w:iCs/>
    </w:rPr>
  </w:style>
  <w:style w:type="character" w:styleId="LineNumber">
    <w:name w:val="line number"/>
    <w:basedOn w:val="DefaultParagraphFont"/>
    <w:rsid w:val="00273DB6"/>
  </w:style>
  <w:style w:type="paragraph" w:styleId="List">
    <w:name w:val="List"/>
    <w:basedOn w:val="Normal"/>
    <w:rsid w:val="00273DB6"/>
    <w:pPr>
      <w:ind w:left="360" w:hanging="360"/>
    </w:pPr>
    <w:rPr>
      <w:lang w:val="en-US"/>
    </w:rPr>
  </w:style>
  <w:style w:type="paragraph" w:styleId="List2">
    <w:name w:val="List 2"/>
    <w:basedOn w:val="Normal"/>
    <w:rsid w:val="00273DB6"/>
    <w:pPr>
      <w:ind w:left="720" w:hanging="360"/>
    </w:pPr>
    <w:rPr>
      <w:lang w:val="en-US"/>
    </w:rPr>
  </w:style>
  <w:style w:type="paragraph" w:styleId="List3">
    <w:name w:val="List 3"/>
    <w:basedOn w:val="Normal"/>
    <w:rsid w:val="00273DB6"/>
    <w:pPr>
      <w:ind w:left="1080" w:hanging="360"/>
    </w:pPr>
    <w:rPr>
      <w:lang w:val="en-US"/>
    </w:rPr>
  </w:style>
  <w:style w:type="paragraph" w:styleId="List4">
    <w:name w:val="List 4"/>
    <w:basedOn w:val="Normal"/>
    <w:rsid w:val="00273DB6"/>
    <w:pPr>
      <w:ind w:left="1440" w:hanging="360"/>
    </w:pPr>
    <w:rPr>
      <w:lang w:val="en-US"/>
    </w:rPr>
  </w:style>
  <w:style w:type="paragraph" w:styleId="List5">
    <w:name w:val="List 5"/>
    <w:basedOn w:val="Normal"/>
    <w:rsid w:val="00273DB6"/>
    <w:pPr>
      <w:ind w:left="1800" w:hanging="360"/>
    </w:pPr>
    <w:rPr>
      <w:lang w:val="en-US"/>
    </w:rPr>
  </w:style>
  <w:style w:type="paragraph" w:styleId="ListBullet">
    <w:name w:val="List Bullet"/>
    <w:basedOn w:val="Normal"/>
    <w:autoRedefine/>
    <w:rsid w:val="00273DB6"/>
    <w:pPr>
      <w:tabs>
        <w:tab w:val="num" w:pos="360"/>
      </w:tabs>
      <w:ind w:left="360" w:hanging="360"/>
    </w:pPr>
    <w:rPr>
      <w:bCs/>
      <w:szCs w:val="24"/>
      <w:lang w:val="es-ES" w:eastAsia="zh-CN"/>
    </w:rPr>
  </w:style>
  <w:style w:type="paragraph" w:styleId="ListBullet2">
    <w:name w:val="List Bullet 2"/>
    <w:basedOn w:val="Normal"/>
    <w:rsid w:val="00273DB6"/>
    <w:pPr>
      <w:tabs>
        <w:tab w:val="num" w:pos="720"/>
      </w:tabs>
      <w:ind w:left="720" w:hanging="360"/>
    </w:pPr>
    <w:rPr>
      <w:lang w:val="en-US"/>
    </w:rPr>
  </w:style>
  <w:style w:type="paragraph" w:styleId="ListBullet3">
    <w:name w:val="List Bullet 3"/>
    <w:basedOn w:val="Normal"/>
    <w:rsid w:val="00273DB6"/>
    <w:pPr>
      <w:tabs>
        <w:tab w:val="num" w:pos="1080"/>
      </w:tabs>
      <w:ind w:left="1080" w:hanging="360"/>
    </w:pPr>
    <w:rPr>
      <w:lang w:val="en-US"/>
    </w:rPr>
  </w:style>
  <w:style w:type="paragraph" w:styleId="ListBullet4">
    <w:name w:val="List Bullet 4"/>
    <w:basedOn w:val="Normal"/>
    <w:rsid w:val="00273DB6"/>
    <w:pPr>
      <w:tabs>
        <w:tab w:val="num" w:pos="1440"/>
      </w:tabs>
      <w:ind w:left="1440" w:hanging="360"/>
    </w:pPr>
    <w:rPr>
      <w:lang w:val="en-US"/>
    </w:rPr>
  </w:style>
  <w:style w:type="paragraph" w:styleId="ListBullet5">
    <w:name w:val="List Bullet 5"/>
    <w:basedOn w:val="Normal"/>
    <w:rsid w:val="00273DB6"/>
    <w:pPr>
      <w:tabs>
        <w:tab w:val="num" w:pos="1800"/>
      </w:tabs>
      <w:ind w:left="1800" w:hanging="360"/>
    </w:pPr>
    <w:rPr>
      <w:lang w:val="en-US"/>
    </w:rPr>
  </w:style>
  <w:style w:type="paragraph" w:styleId="ListContinue">
    <w:name w:val="List Continue"/>
    <w:basedOn w:val="Normal"/>
    <w:rsid w:val="00273DB6"/>
    <w:pPr>
      <w:spacing w:after="120"/>
      <w:ind w:left="360"/>
    </w:pPr>
    <w:rPr>
      <w:lang w:val="en-US"/>
    </w:rPr>
  </w:style>
  <w:style w:type="paragraph" w:styleId="ListContinue2">
    <w:name w:val="List Continue 2"/>
    <w:basedOn w:val="Normal"/>
    <w:rsid w:val="00273DB6"/>
    <w:pPr>
      <w:spacing w:after="120"/>
      <w:ind w:left="720"/>
    </w:pPr>
    <w:rPr>
      <w:lang w:val="en-US"/>
    </w:rPr>
  </w:style>
  <w:style w:type="paragraph" w:styleId="ListContinue3">
    <w:name w:val="List Continue 3"/>
    <w:basedOn w:val="Normal"/>
    <w:rsid w:val="00273DB6"/>
    <w:pPr>
      <w:spacing w:after="120"/>
      <w:ind w:left="1080"/>
    </w:pPr>
    <w:rPr>
      <w:lang w:val="en-US"/>
    </w:rPr>
  </w:style>
  <w:style w:type="paragraph" w:styleId="ListContinue4">
    <w:name w:val="List Continue 4"/>
    <w:basedOn w:val="Normal"/>
    <w:rsid w:val="00273DB6"/>
    <w:pPr>
      <w:spacing w:after="120"/>
      <w:ind w:left="1440"/>
    </w:pPr>
    <w:rPr>
      <w:lang w:val="en-US"/>
    </w:rPr>
  </w:style>
  <w:style w:type="paragraph" w:styleId="ListContinue5">
    <w:name w:val="List Continue 5"/>
    <w:basedOn w:val="Normal"/>
    <w:rsid w:val="00273DB6"/>
    <w:pPr>
      <w:spacing w:after="120"/>
      <w:ind w:left="1800"/>
    </w:pPr>
    <w:rPr>
      <w:lang w:val="en-US"/>
    </w:rPr>
  </w:style>
  <w:style w:type="paragraph" w:styleId="ListNumber">
    <w:name w:val="List Number"/>
    <w:basedOn w:val="Normal"/>
    <w:rsid w:val="00273DB6"/>
    <w:pPr>
      <w:tabs>
        <w:tab w:val="num" w:pos="360"/>
      </w:tabs>
      <w:ind w:left="360" w:hanging="360"/>
    </w:pPr>
    <w:rPr>
      <w:lang w:val="en-US"/>
    </w:rPr>
  </w:style>
  <w:style w:type="paragraph" w:styleId="ListNumber2">
    <w:name w:val="List Number 2"/>
    <w:basedOn w:val="Normal"/>
    <w:rsid w:val="00273DB6"/>
    <w:pPr>
      <w:tabs>
        <w:tab w:val="num" w:pos="720"/>
      </w:tabs>
      <w:ind w:left="720" w:hanging="360"/>
    </w:pPr>
    <w:rPr>
      <w:lang w:val="en-US"/>
    </w:rPr>
  </w:style>
  <w:style w:type="paragraph" w:styleId="ListNumber3">
    <w:name w:val="List Number 3"/>
    <w:basedOn w:val="Normal"/>
    <w:rsid w:val="00273DB6"/>
    <w:pPr>
      <w:tabs>
        <w:tab w:val="num" w:pos="1080"/>
      </w:tabs>
      <w:ind w:left="1080" w:hanging="360"/>
    </w:pPr>
    <w:rPr>
      <w:lang w:val="en-US"/>
    </w:rPr>
  </w:style>
  <w:style w:type="paragraph" w:styleId="ListNumber4">
    <w:name w:val="List Number 4"/>
    <w:basedOn w:val="Normal"/>
    <w:rsid w:val="00273DB6"/>
    <w:pPr>
      <w:tabs>
        <w:tab w:val="num" w:pos="1440"/>
      </w:tabs>
      <w:ind w:left="1440" w:hanging="360"/>
    </w:pPr>
    <w:rPr>
      <w:lang w:val="en-US"/>
    </w:rPr>
  </w:style>
  <w:style w:type="paragraph" w:styleId="ListNumber5">
    <w:name w:val="List Number 5"/>
    <w:basedOn w:val="Normal"/>
    <w:rsid w:val="00273DB6"/>
    <w:pPr>
      <w:tabs>
        <w:tab w:val="num" w:pos="1800"/>
      </w:tabs>
      <w:ind w:left="1800" w:hanging="360"/>
    </w:pPr>
    <w:rPr>
      <w:lang w:val="en-US"/>
    </w:rPr>
  </w:style>
  <w:style w:type="paragraph" w:styleId="MessageHeader">
    <w:name w:val="Message Header"/>
    <w:basedOn w:val="Normal"/>
    <w:link w:val="MessageHeaderChar"/>
    <w:rsid w:val="00273DB6"/>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lang w:val="en-US"/>
    </w:rPr>
  </w:style>
  <w:style w:type="character" w:customStyle="1" w:styleId="MessageHeaderChar">
    <w:name w:val="Message Header Char"/>
    <w:basedOn w:val="DefaultParagraphFont"/>
    <w:link w:val="MessageHeader"/>
    <w:rsid w:val="00273DB6"/>
    <w:rPr>
      <w:rFonts w:ascii="Arial" w:hAnsi="Arial" w:cs="Arial"/>
      <w:szCs w:val="24"/>
      <w:shd w:val="pct20" w:color="auto" w:fill="auto"/>
    </w:rPr>
  </w:style>
  <w:style w:type="paragraph" w:styleId="NoteHeading">
    <w:name w:val="Note Heading"/>
    <w:basedOn w:val="Normal"/>
    <w:next w:val="Normal"/>
    <w:link w:val="NoteHeadingChar"/>
    <w:rsid w:val="00273DB6"/>
    <w:rPr>
      <w:lang w:val="en-US"/>
    </w:rPr>
  </w:style>
  <w:style w:type="character" w:customStyle="1" w:styleId="NoteHeadingChar">
    <w:name w:val="Note Heading Char"/>
    <w:basedOn w:val="DefaultParagraphFont"/>
    <w:link w:val="NoteHeading"/>
    <w:rsid w:val="00273DB6"/>
    <w:rPr>
      <w:rFonts w:ascii="Arial" w:hAnsi="Arial"/>
    </w:rPr>
  </w:style>
  <w:style w:type="paragraph" w:styleId="Salutation">
    <w:name w:val="Salutation"/>
    <w:basedOn w:val="Normal"/>
    <w:next w:val="Normal"/>
    <w:link w:val="SalutationChar"/>
    <w:rsid w:val="00273DB6"/>
    <w:rPr>
      <w:lang w:val="en-US"/>
    </w:rPr>
  </w:style>
  <w:style w:type="character" w:customStyle="1" w:styleId="SalutationChar">
    <w:name w:val="Salutation Char"/>
    <w:basedOn w:val="DefaultParagraphFont"/>
    <w:link w:val="Salutation"/>
    <w:rsid w:val="00273DB6"/>
    <w:rPr>
      <w:rFonts w:ascii="Arial" w:hAnsi="Arial"/>
    </w:rPr>
  </w:style>
  <w:style w:type="character" w:styleId="Strong">
    <w:name w:val="Strong"/>
    <w:basedOn w:val="DefaultParagraphFont"/>
    <w:qFormat/>
    <w:rsid w:val="00273DB6"/>
    <w:rPr>
      <w:b/>
      <w:bCs/>
    </w:rPr>
  </w:style>
  <w:style w:type="paragraph" w:styleId="Subtitle">
    <w:name w:val="Subtitle"/>
    <w:basedOn w:val="Normal"/>
    <w:link w:val="SubtitleChar"/>
    <w:qFormat/>
    <w:rsid w:val="00273DB6"/>
    <w:pPr>
      <w:spacing w:after="60"/>
      <w:jc w:val="center"/>
      <w:outlineLvl w:val="1"/>
    </w:pPr>
    <w:rPr>
      <w:rFonts w:cs="Arial"/>
      <w:szCs w:val="24"/>
      <w:lang w:val="en-US"/>
    </w:rPr>
  </w:style>
  <w:style w:type="character" w:customStyle="1" w:styleId="SubtitleChar">
    <w:name w:val="Subtitle Char"/>
    <w:basedOn w:val="DefaultParagraphFont"/>
    <w:link w:val="Subtitle"/>
    <w:rsid w:val="00273DB6"/>
    <w:rPr>
      <w:rFonts w:ascii="Arial" w:hAnsi="Arial" w:cs="Arial"/>
      <w:szCs w:val="24"/>
    </w:rPr>
  </w:style>
  <w:style w:type="paragraph" w:styleId="TOC7">
    <w:name w:val="toc 7"/>
    <w:basedOn w:val="Normal"/>
    <w:next w:val="Normal"/>
    <w:autoRedefine/>
    <w:rsid w:val="00273DB6"/>
    <w:pPr>
      <w:ind w:left="1440"/>
    </w:pPr>
    <w:rPr>
      <w:lang w:val="en-US"/>
    </w:rPr>
  </w:style>
  <w:style w:type="paragraph" w:styleId="TOC8">
    <w:name w:val="toc 8"/>
    <w:basedOn w:val="Normal"/>
    <w:next w:val="Normal"/>
    <w:autoRedefine/>
    <w:rsid w:val="00273DB6"/>
    <w:pPr>
      <w:ind w:left="1680"/>
    </w:pPr>
    <w:rPr>
      <w:lang w:val="en-US"/>
    </w:rPr>
  </w:style>
  <w:style w:type="paragraph" w:styleId="TOC9">
    <w:name w:val="toc 9"/>
    <w:basedOn w:val="Normal"/>
    <w:next w:val="Normal"/>
    <w:autoRedefine/>
    <w:rsid w:val="00273DB6"/>
    <w:pPr>
      <w:ind w:left="1920"/>
    </w:pPr>
    <w:rPr>
      <w:lang w:val="en-US"/>
    </w:rPr>
  </w:style>
  <w:style w:type="character" w:styleId="FollowedHyperlink">
    <w:name w:val="FollowedHyperlink"/>
    <w:basedOn w:val="DefaultParagraphFont"/>
    <w:rsid w:val="00273DB6"/>
    <w:rPr>
      <w:color w:val="606420"/>
      <w:u w:val="single"/>
    </w:rPr>
  </w:style>
  <w:style w:type="paragraph" w:styleId="BlockText">
    <w:name w:val="Block Text"/>
    <w:basedOn w:val="Normal"/>
    <w:rsid w:val="00273DB6"/>
    <w:pPr>
      <w:ind w:left="567" w:right="566"/>
    </w:pPr>
    <w:rPr>
      <w:sz w:val="22"/>
      <w:lang w:val="en-US"/>
    </w:rPr>
  </w:style>
  <w:style w:type="paragraph" w:styleId="Caption">
    <w:name w:val="caption"/>
    <w:basedOn w:val="Normal"/>
    <w:next w:val="Normal"/>
    <w:qFormat/>
    <w:rsid w:val="00273DB6"/>
    <w:pPr>
      <w:framePr w:w="11102" w:hSpace="181" w:wrap="around" w:vAnchor="page" w:hAnchor="page" w:x="438" w:y="15985" w:anchorLock="1"/>
      <w:jc w:val="center"/>
    </w:pPr>
    <w:rPr>
      <w:b/>
      <w:snapToGrid w:val="0"/>
      <w:lang w:val="en-US"/>
    </w:rPr>
  </w:style>
  <w:style w:type="paragraph" w:styleId="CommentText">
    <w:name w:val="annotation text"/>
    <w:basedOn w:val="Normal"/>
    <w:link w:val="CommentTextChar"/>
    <w:rsid w:val="00273DB6"/>
    <w:rPr>
      <w:sz w:val="22"/>
    </w:rPr>
  </w:style>
  <w:style w:type="character" w:customStyle="1" w:styleId="CommentTextChar">
    <w:name w:val="Comment Text Char"/>
    <w:basedOn w:val="DefaultParagraphFont"/>
    <w:link w:val="CommentText"/>
    <w:rsid w:val="00273DB6"/>
    <w:rPr>
      <w:rFonts w:ascii="Arial" w:hAnsi="Arial"/>
      <w:sz w:val="22"/>
      <w:lang w:val="es-ES_tradnl"/>
    </w:rPr>
  </w:style>
  <w:style w:type="paragraph" w:customStyle="1" w:styleId="Committee">
    <w:name w:val="Committee"/>
    <w:basedOn w:val="Title"/>
    <w:rsid w:val="00273DB6"/>
    <w:rPr>
      <w:caps w:val="0"/>
      <w:lang w:val="en-US"/>
    </w:rPr>
  </w:style>
  <w:style w:type="paragraph" w:customStyle="1" w:styleId="n">
    <w:name w:val="n"/>
    <w:basedOn w:val="Header"/>
    <w:rsid w:val="00273DB6"/>
    <w:rPr>
      <w:lang w:val="fr-FR"/>
    </w:rPr>
  </w:style>
  <w:style w:type="paragraph" w:customStyle="1" w:styleId="TitleofSection">
    <w:name w:val="Title of Section"/>
    <w:basedOn w:val="TitleofDoc"/>
    <w:rsid w:val="00273DB6"/>
    <w:pPr>
      <w:spacing w:before="120" w:after="120"/>
    </w:pPr>
    <w:rPr>
      <w:b/>
      <w:caps w:val="0"/>
      <w:lang w:val="en-US" w:eastAsia="de-DE"/>
    </w:rPr>
  </w:style>
  <w:style w:type="paragraph" w:customStyle="1" w:styleId="TOCAnnex">
    <w:name w:val="TOC Annex"/>
    <w:basedOn w:val="Normal"/>
    <w:rsid w:val="00273DB6"/>
    <w:pPr>
      <w:tabs>
        <w:tab w:val="right" w:pos="9061"/>
      </w:tabs>
      <w:spacing w:before="240" w:after="120"/>
      <w:ind w:left="1021" w:right="567" w:hanging="1021"/>
      <w:jc w:val="left"/>
      <w:outlineLvl w:val="0"/>
    </w:pPr>
    <w:rPr>
      <w:b/>
      <w:noProof/>
      <w:sz w:val="22"/>
      <w:szCs w:val="22"/>
      <w:lang w:val="en-US"/>
    </w:rPr>
  </w:style>
  <w:style w:type="paragraph" w:styleId="PlainText">
    <w:name w:val="Plain Text"/>
    <w:basedOn w:val="Normal"/>
    <w:link w:val="PlainTextChar"/>
    <w:rsid w:val="00273DB6"/>
    <w:rPr>
      <w:rFonts w:ascii="Courier New" w:hAnsi="Courier New" w:cs="Courier New"/>
      <w:lang w:val="en-US" w:eastAsia="fr-FR"/>
    </w:rPr>
  </w:style>
  <w:style w:type="character" w:customStyle="1" w:styleId="PlainTextChar">
    <w:name w:val="Plain Text Char"/>
    <w:basedOn w:val="DefaultParagraphFont"/>
    <w:link w:val="PlainText"/>
    <w:rsid w:val="00273DB6"/>
    <w:rPr>
      <w:rFonts w:ascii="Courier New" w:hAnsi="Courier New" w:cs="Courier New"/>
      <w:lang w:eastAsia="fr-FR"/>
    </w:rPr>
  </w:style>
  <w:style w:type="character" w:styleId="CommentReference">
    <w:name w:val="annotation reference"/>
    <w:basedOn w:val="DefaultParagraphFont"/>
    <w:rsid w:val="00273DB6"/>
    <w:rPr>
      <w:rFonts w:cs="Times New Roman"/>
      <w:sz w:val="16"/>
      <w:szCs w:val="16"/>
    </w:rPr>
  </w:style>
  <w:style w:type="paragraph" w:customStyle="1" w:styleId="Default">
    <w:name w:val="Default"/>
    <w:rsid w:val="00273DB6"/>
    <w:pPr>
      <w:autoSpaceDE w:val="0"/>
      <w:autoSpaceDN w:val="0"/>
      <w:adjustRightInd w:val="0"/>
    </w:pPr>
    <w:rPr>
      <w:rFonts w:ascii="Arial" w:eastAsiaTheme="minorHAnsi" w:hAnsi="Arial" w:cs="Arial"/>
      <w:color w:val="000000"/>
      <w:sz w:val="24"/>
      <w:szCs w:val="24"/>
      <w:lang w:val="fi-FI"/>
    </w:rPr>
  </w:style>
  <w:style w:type="paragraph" w:styleId="CommentSubject">
    <w:name w:val="annotation subject"/>
    <w:basedOn w:val="CommentText"/>
    <w:next w:val="CommentText"/>
    <w:link w:val="CommentSubjectChar"/>
    <w:rsid w:val="00273DB6"/>
    <w:rPr>
      <w:b/>
      <w:bCs/>
      <w:sz w:val="20"/>
      <w:lang w:val="en-US"/>
    </w:rPr>
  </w:style>
  <w:style w:type="character" w:customStyle="1" w:styleId="CommentSubjectChar">
    <w:name w:val="Comment Subject Char"/>
    <w:basedOn w:val="CommentTextChar"/>
    <w:link w:val="CommentSubject"/>
    <w:rsid w:val="00273DB6"/>
    <w:rPr>
      <w:rFonts w:ascii="Arial" w:hAnsi="Arial"/>
      <w:b/>
      <w:bCs/>
      <w:sz w:val="22"/>
      <w:lang w:val="es-ES_tradnl"/>
    </w:rPr>
  </w:style>
  <w:style w:type="paragraph" w:customStyle="1" w:styleId="Normaltg">
    <w:name w:val="Normaltg"/>
    <w:basedOn w:val="Normal"/>
    <w:link w:val="NormaltgChar"/>
    <w:uiPriority w:val="99"/>
    <w:rsid w:val="00273DB6"/>
    <w:rPr>
      <w:rFonts w:cs="Angsana New"/>
      <w:szCs w:val="24"/>
      <w:lang w:val="en-US" w:eastAsia="ja-JP" w:bidi="th-TH"/>
    </w:rPr>
  </w:style>
  <w:style w:type="character" w:customStyle="1" w:styleId="NormaltgChar">
    <w:name w:val="Normaltg Char"/>
    <w:link w:val="Normaltg"/>
    <w:uiPriority w:val="99"/>
    <w:rsid w:val="00273DB6"/>
    <w:rPr>
      <w:rFonts w:ascii="Arial" w:hAnsi="Arial" w:cs="Angsana New"/>
      <w:szCs w:val="24"/>
      <w:lang w:eastAsia="ja-JP" w:bidi="th-TH"/>
    </w:rPr>
  </w:style>
  <w:style w:type="character" w:customStyle="1" w:styleId="hps">
    <w:name w:val="hps"/>
    <w:basedOn w:val="DefaultParagraphFont"/>
    <w:rsid w:val="00273DB6"/>
  </w:style>
  <w:style w:type="character" w:customStyle="1" w:styleId="Standaardalinea-lettertype">
    <w:name w:val="Standaardalinea-lettertype"/>
    <w:rsid w:val="00273DB6"/>
  </w:style>
  <w:style w:type="table" w:styleId="TableSimple1">
    <w:name w:val="Table Simple 1"/>
    <w:basedOn w:val="TableNormal"/>
    <w:rsid w:val="00273DB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ZchnZchn1">
    <w:name w:val="Zchn Zchn1"/>
    <w:basedOn w:val="Normal"/>
    <w:rsid w:val="00273DB6"/>
    <w:pPr>
      <w:spacing w:after="160" w:line="240" w:lineRule="exact"/>
      <w:jc w:val="left"/>
    </w:pPr>
    <w:rPr>
      <w:rFonts w:ascii="Verdana" w:eastAsia="PMingLiU"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7938">
      <w:bodyDiv w:val="1"/>
      <w:marLeft w:val="0"/>
      <w:marRight w:val="0"/>
      <w:marTop w:val="0"/>
      <w:marBottom w:val="0"/>
      <w:divBdr>
        <w:top w:val="none" w:sz="0" w:space="0" w:color="auto"/>
        <w:left w:val="none" w:sz="0" w:space="0" w:color="auto"/>
        <w:bottom w:val="none" w:sz="0" w:space="0" w:color="auto"/>
        <w:right w:val="none" w:sz="0" w:space="0" w:color="auto"/>
      </w:divBdr>
    </w:div>
    <w:div w:id="194152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edocs/mdocs/upov/es/tc_50/tc_50_3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roberts@bioss.ac.uk" TargetMode="External"/><Relationship Id="rId4" Type="http://schemas.openxmlformats.org/officeDocument/2006/relationships/settings" Target="settings.xml"/><Relationship Id="rId9" Type="http://schemas.openxmlformats.org/officeDocument/2006/relationships/hyperlink" Target="http://www.upov.int/upovea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39</Pages>
  <Words>21534</Words>
  <Characters>115608</Characters>
  <Application>Microsoft Office Word</Application>
  <DocSecurity>0</DocSecurity>
  <Lines>963</Lines>
  <Paragraphs>273</Paragraphs>
  <ScaleCrop>false</ScaleCrop>
  <HeadingPairs>
    <vt:vector size="2" baseType="variant">
      <vt:variant>
        <vt:lpstr>Title</vt:lpstr>
      </vt:variant>
      <vt:variant>
        <vt:i4>1</vt:i4>
      </vt:variant>
    </vt:vector>
  </HeadingPairs>
  <TitlesOfParts>
    <vt:vector size="1" baseType="lpstr">
      <vt:lpstr>C/51/10</vt:lpstr>
    </vt:vector>
  </TitlesOfParts>
  <Company>UPOV</Company>
  <LinksUpToDate>false</LinksUpToDate>
  <CharactersWithSpaces>136869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C/51/10</dc:title>
  <dc:creator>Toni Sanguino</dc:creator>
  <dc:description>AS (trad.ext.) - 15/8/2017</dc:description>
  <cp:lastModifiedBy>SANTOS Carla Marina</cp:lastModifiedBy>
  <cp:revision>8</cp:revision>
  <cp:lastPrinted>2016-11-22T15:41:00Z</cp:lastPrinted>
  <dcterms:created xsi:type="dcterms:W3CDTF">2017-09-04T12:25:00Z</dcterms:created>
  <dcterms:modified xsi:type="dcterms:W3CDTF">2017-10-05T15:40:00Z</dcterms:modified>
</cp:coreProperties>
</file>