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AC67A0" w:rsidTr="00C13808">
        <w:trPr>
          <w:trHeight w:val="1760"/>
        </w:trPr>
        <w:tc>
          <w:tcPr>
            <w:tcW w:w="4243" w:type="dxa"/>
          </w:tcPr>
          <w:p w:rsidR="000D7780" w:rsidRPr="00194B80" w:rsidRDefault="000D7780" w:rsidP="00F45372">
            <w:pPr>
              <w:rPr>
                <w:lang w:val="es-ES"/>
              </w:rPr>
            </w:pPr>
          </w:p>
        </w:tc>
        <w:tc>
          <w:tcPr>
            <w:tcW w:w="1646" w:type="dxa"/>
            <w:vAlign w:val="center"/>
          </w:tcPr>
          <w:p w:rsidR="000D7780" w:rsidRPr="007D1D09" w:rsidRDefault="00745D66" w:rsidP="00F45372">
            <w:pPr>
              <w:pStyle w:val="LogoUPOV"/>
              <w:rPr>
                <w:lang w:val="es-ES"/>
              </w:rPr>
            </w:pPr>
            <w:r w:rsidRPr="007D1D09">
              <w:rPr>
                <w:noProof/>
              </w:rPr>
              <w:drawing>
                <wp:inline distT="0" distB="0" distL="0" distR="0" wp14:anchorId="3B3CD7C4" wp14:editId="282E3BFE">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7D1D09" w:rsidRDefault="00A47CDB" w:rsidP="00F45372">
            <w:pPr>
              <w:pStyle w:val="Lettrine"/>
              <w:rPr>
                <w:lang w:val="es-ES"/>
              </w:rPr>
            </w:pPr>
            <w:r w:rsidRPr="007D1D09">
              <w:rPr>
                <w:lang w:val="es-ES"/>
              </w:rPr>
              <w:t>S</w:t>
            </w:r>
          </w:p>
          <w:p w:rsidR="000D7780" w:rsidRPr="007D1D09" w:rsidRDefault="001B4E8A" w:rsidP="003E7998">
            <w:pPr>
              <w:pStyle w:val="Docoriginal"/>
              <w:ind w:left="880"/>
              <w:rPr>
                <w:lang w:val="es-ES"/>
              </w:rPr>
            </w:pPr>
            <w:r w:rsidRPr="007D1D09">
              <w:rPr>
                <w:lang w:val="es-ES"/>
              </w:rPr>
              <w:t>C/50/</w:t>
            </w:r>
            <w:bookmarkStart w:id="0" w:name="Code"/>
            <w:bookmarkEnd w:id="0"/>
            <w:r w:rsidR="00113590" w:rsidRPr="007D1D09">
              <w:rPr>
                <w:lang w:val="es-ES"/>
              </w:rPr>
              <w:t>10</w:t>
            </w:r>
          </w:p>
          <w:p w:rsidR="000D7780" w:rsidRPr="007D1D09" w:rsidRDefault="0061555F" w:rsidP="003E7998">
            <w:pPr>
              <w:pStyle w:val="Docoriginal"/>
              <w:ind w:left="880"/>
              <w:rPr>
                <w:b w:val="0"/>
                <w:spacing w:val="0"/>
                <w:lang w:val="es-ES"/>
              </w:rPr>
            </w:pPr>
            <w:r w:rsidRPr="007D1D09">
              <w:rPr>
                <w:rStyle w:val="StyleDoclangBold"/>
                <w:b/>
                <w:bCs/>
                <w:spacing w:val="0"/>
                <w:lang w:val="es-ES"/>
              </w:rPr>
              <w:t>ORIGINAL</w:t>
            </w:r>
            <w:r w:rsidR="000D7780" w:rsidRPr="007D1D09">
              <w:rPr>
                <w:rStyle w:val="StyleDoclangBold"/>
                <w:b/>
                <w:bCs/>
                <w:spacing w:val="0"/>
                <w:lang w:val="es-ES"/>
              </w:rPr>
              <w:t>:</w:t>
            </w:r>
            <w:r w:rsidRPr="007D1D09">
              <w:rPr>
                <w:rStyle w:val="StyleDocoriginalNotBold1"/>
                <w:spacing w:val="0"/>
                <w:lang w:val="es-ES"/>
              </w:rPr>
              <w:t xml:space="preserve"> </w:t>
            </w:r>
            <w:r w:rsidR="000D7780" w:rsidRPr="007D1D09">
              <w:rPr>
                <w:rStyle w:val="StyleDocoriginalNotBold1"/>
                <w:spacing w:val="0"/>
                <w:lang w:val="es-ES"/>
              </w:rPr>
              <w:t xml:space="preserve"> </w:t>
            </w:r>
            <w:bookmarkStart w:id="1" w:name="Original"/>
            <w:bookmarkEnd w:id="1"/>
            <w:r w:rsidR="00A47CDB" w:rsidRPr="007D1D09">
              <w:rPr>
                <w:b w:val="0"/>
                <w:spacing w:val="0"/>
                <w:lang w:val="es-ES"/>
              </w:rPr>
              <w:t>Inglés</w:t>
            </w:r>
          </w:p>
          <w:p w:rsidR="000D7780" w:rsidRPr="00194B80" w:rsidRDefault="00A47CDB" w:rsidP="007D1D09">
            <w:pPr>
              <w:pStyle w:val="Docoriginal"/>
              <w:ind w:left="880"/>
              <w:rPr>
                <w:lang w:val="es-ES"/>
              </w:rPr>
            </w:pPr>
            <w:r w:rsidRPr="007D1D09">
              <w:rPr>
                <w:spacing w:val="0"/>
                <w:lang w:val="es-ES"/>
              </w:rPr>
              <w:t>FECHA</w:t>
            </w:r>
            <w:r w:rsidR="000D7780" w:rsidRPr="007D1D09">
              <w:rPr>
                <w:spacing w:val="0"/>
                <w:lang w:val="es-ES"/>
              </w:rPr>
              <w:t>:</w:t>
            </w:r>
            <w:r w:rsidR="0061555F" w:rsidRPr="007D1D09">
              <w:rPr>
                <w:b w:val="0"/>
                <w:spacing w:val="0"/>
                <w:lang w:val="es-ES"/>
              </w:rPr>
              <w:t xml:space="preserve"> </w:t>
            </w:r>
            <w:r w:rsidR="000D7780" w:rsidRPr="007D1D09">
              <w:rPr>
                <w:rStyle w:val="StyleDocoriginalNotBold1"/>
                <w:spacing w:val="0"/>
                <w:lang w:val="es-ES"/>
              </w:rPr>
              <w:t xml:space="preserve"> </w:t>
            </w:r>
            <w:bookmarkStart w:id="2" w:name="Date"/>
            <w:bookmarkEnd w:id="2"/>
            <w:r w:rsidR="007D1D09" w:rsidRPr="007D1D09">
              <w:rPr>
                <w:b w:val="0"/>
                <w:spacing w:val="0"/>
                <w:lang w:val="es-ES"/>
              </w:rPr>
              <w:t>5 de agosto</w:t>
            </w:r>
            <w:r w:rsidR="003252C5" w:rsidRPr="007D1D09">
              <w:rPr>
                <w:b w:val="0"/>
                <w:spacing w:val="0"/>
                <w:lang w:val="es-ES"/>
              </w:rPr>
              <w:t xml:space="preserve"> </w:t>
            </w:r>
            <w:r w:rsidRPr="007D1D09">
              <w:rPr>
                <w:b w:val="0"/>
                <w:spacing w:val="0"/>
                <w:lang w:val="es-ES"/>
              </w:rPr>
              <w:t xml:space="preserve">de </w:t>
            </w:r>
            <w:r w:rsidR="001131D5" w:rsidRPr="007D1D09">
              <w:rPr>
                <w:b w:val="0"/>
                <w:spacing w:val="0"/>
                <w:lang w:val="es-ES"/>
              </w:rPr>
              <w:t>201</w:t>
            </w:r>
            <w:r w:rsidR="001B4E8A" w:rsidRPr="007D1D09">
              <w:rPr>
                <w:b w:val="0"/>
                <w:spacing w:val="0"/>
                <w:lang w:val="es-ES"/>
              </w:rPr>
              <w:t>6</w:t>
            </w:r>
          </w:p>
        </w:tc>
      </w:tr>
      <w:tr w:rsidR="000D7780" w:rsidRPr="00AC67A0" w:rsidTr="00C13808">
        <w:tc>
          <w:tcPr>
            <w:tcW w:w="10131" w:type="dxa"/>
            <w:gridSpan w:val="3"/>
          </w:tcPr>
          <w:p w:rsidR="000D7780" w:rsidRPr="00194B80" w:rsidRDefault="00A47CDB" w:rsidP="00F45372">
            <w:pPr>
              <w:pStyle w:val="upove"/>
              <w:rPr>
                <w:sz w:val="28"/>
                <w:lang w:val="es-ES"/>
              </w:rPr>
            </w:pPr>
            <w:r w:rsidRPr="00194B80">
              <w:rPr>
                <w:spacing w:val="2"/>
                <w:lang w:val="es-ES"/>
              </w:rPr>
              <w:t>UNIÓN INTERNACIONAL PARA LA PROTECCIÓN DE LAS OBTENCIONES VEGETALES</w:t>
            </w:r>
          </w:p>
        </w:tc>
      </w:tr>
      <w:tr w:rsidR="000D7780" w:rsidRPr="00194B80" w:rsidTr="00C13808">
        <w:tc>
          <w:tcPr>
            <w:tcW w:w="10131" w:type="dxa"/>
            <w:gridSpan w:val="3"/>
          </w:tcPr>
          <w:p w:rsidR="000D7780" w:rsidRPr="00194B80" w:rsidRDefault="00A47CDB" w:rsidP="00F45372">
            <w:pPr>
              <w:pStyle w:val="Country"/>
              <w:rPr>
                <w:lang w:val="es-ES"/>
              </w:rPr>
            </w:pPr>
            <w:r w:rsidRPr="00194B80">
              <w:rPr>
                <w:lang w:val="es-ES"/>
              </w:rPr>
              <w:t>Ginebra</w:t>
            </w:r>
          </w:p>
        </w:tc>
      </w:tr>
    </w:tbl>
    <w:p w:rsidR="000D7780" w:rsidRPr="00194B80" w:rsidRDefault="00E80F31" w:rsidP="00F45372">
      <w:pPr>
        <w:pStyle w:val="Sessiontc"/>
        <w:rPr>
          <w:lang w:val="es-ES"/>
        </w:rPr>
      </w:pPr>
      <w:r w:rsidRPr="00194B80">
        <w:rPr>
          <w:lang w:val="es-ES"/>
        </w:rPr>
        <w:t>CONSEJO</w:t>
      </w:r>
    </w:p>
    <w:p w:rsidR="00361821" w:rsidRPr="00194B80" w:rsidRDefault="001B4E8A" w:rsidP="00F45372">
      <w:pPr>
        <w:pStyle w:val="Sessiontcplacedate"/>
        <w:rPr>
          <w:lang w:val="es-ES"/>
        </w:rPr>
      </w:pPr>
      <w:r w:rsidRPr="00194B80">
        <w:rPr>
          <w:lang w:val="es-ES"/>
        </w:rPr>
        <w:t xml:space="preserve">Quincuagésima </w:t>
      </w:r>
      <w:r w:rsidR="00142198" w:rsidRPr="00194B80">
        <w:rPr>
          <w:lang w:val="es-ES"/>
        </w:rPr>
        <w:t>sesión ordinaria</w:t>
      </w:r>
      <w:r w:rsidR="00A47CDB" w:rsidRPr="00194B80">
        <w:rPr>
          <w:lang w:val="es-ES"/>
        </w:rPr>
        <w:br/>
        <w:t xml:space="preserve">Ginebra, </w:t>
      </w:r>
      <w:r w:rsidR="009A0B1E" w:rsidRPr="00194B80">
        <w:rPr>
          <w:lang w:val="es-ES"/>
        </w:rPr>
        <w:t>2</w:t>
      </w:r>
      <w:r w:rsidRPr="00194B80">
        <w:rPr>
          <w:lang w:val="es-ES"/>
        </w:rPr>
        <w:t>8</w:t>
      </w:r>
      <w:r w:rsidR="00E80F31" w:rsidRPr="00194B80">
        <w:rPr>
          <w:lang w:val="es-ES"/>
        </w:rPr>
        <w:t xml:space="preserve"> de </w:t>
      </w:r>
      <w:r w:rsidR="00F73179" w:rsidRPr="00194B80">
        <w:rPr>
          <w:lang w:val="es-ES"/>
        </w:rPr>
        <w:t xml:space="preserve">octubre </w:t>
      </w:r>
      <w:r w:rsidR="00E80F31" w:rsidRPr="00194B80">
        <w:rPr>
          <w:lang w:val="es-ES"/>
        </w:rPr>
        <w:t xml:space="preserve">de </w:t>
      </w:r>
      <w:r w:rsidR="00A47CDB" w:rsidRPr="00194B80">
        <w:rPr>
          <w:lang w:val="es-ES"/>
        </w:rPr>
        <w:t>201</w:t>
      </w:r>
      <w:r w:rsidRPr="00194B80">
        <w:rPr>
          <w:lang w:val="es-ES"/>
        </w:rPr>
        <w:t>6</w:t>
      </w:r>
    </w:p>
    <w:p w:rsidR="00194B80" w:rsidRPr="00194B80" w:rsidRDefault="00194B80" w:rsidP="00194B80">
      <w:pPr>
        <w:pStyle w:val="Titleofdoc0"/>
        <w:rPr>
          <w:lang w:val="es-ES"/>
        </w:rPr>
      </w:pPr>
      <w:bookmarkStart w:id="3" w:name="TitleOfDoc"/>
      <w:bookmarkStart w:id="4" w:name="Prepared"/>
      <w:bookmarkEnd w:id="3"/>
      <w:bookmarkEnd w:id="4"/>
      <w:r w:rsidRPr="00194B80">
        <w:rPr>
          <w:lang w:val="es-ES"/>
        </w:rPr>
        <w:t xml:space="preserve">Informe sobre la marcha de los trabajos del Comité Técnico, </w:t>
      </w:r>
      <w:r w:rsidRPr="00194B80">
        <w:rPr>
          <w:lang w:val="es-ES"/>
        </w:rPr>
        <w:br/>
        <w:t>de los Grupos de Trabajo Técnico y del Grupo de Trabajo sobre Técnicas Bioquímicas y Moleculares, y Perfiles de ADN en Particular</w:t>
      </w:r>
    </w:p>
    <w:p w:rsidR="000D7780" w:rsidRPr="00194B80" w:rsidRDefault="00A47CDB" w:rsidP="00F45372">
      <w:pPr>
        <w:pStyle w:val="preparedby1"/>
        <w:rPr>
          <w:lang w:val="es-ES"/>
        </w:rPr>
      </w:pPr>
      <w:r w:rsidRPr="00194B80">
        <w:rPr>
          <w:lang w:val="es-ES"/>
        </w:rPr>
        <w:t>Documento preparado por la Oficina de la Unión</w:t>
      </w:r>
      <w:r w:rsidR="0000571E" w:rsidRPr="00194B80">
        <w:rPr>
          <w:lang w:val="es-ES"/>
        </w:rPr>
        <w:br/>
      </w:r>
      <w:r w:rsidR="0000571E" w:rsidRPr="00194B80">
        <w:rPr>
          <w:lang w:val="es-ES"/>
        </w:rPr>
        <w:br/>
      </w:r>
      <w:r w:rsidR="001C5971" w:rsidRPr="00194B80">
        <w:rPr>
          <w:color w:val="A6A6A6"/>
          <w:lang w:val="es-ES"/>
        </w:rPr>
        <w:t>Descargo de responsabilidad:  el presente documento no constituye</w:t>
      </w:r>
      <w:r w:rsidR="001C5971" w:rsidRPr="00194B80">
        <w:rPr>
          <w:color w:val="A6A6A6"/>
          <w:lang w:val="es-ES"/>
        </w:rPr>
        <w:br/>
        <w:t>un documento de política u orientación de la UPOV</w:t>
      </w:r>
    </w:p>
    <w:p w:rsidR="00194B80" w:rsidRPr="00194B80" w:rsidRDefault="00194B80" w:rsidP="00194B80">
      <w:pPr>
        <w:pStyle w:val="Heading1"/>
        <w:rPr>
          <w:lang w:val="es-ES"/>
        </w:rPr>
      </w:pPr>
      <w:bookmarkStart w:id="5" w:name="_Toc429150753"/>
      <w:bookmarkStart w:id="6" w:name="_Toc463512494"/>
      <w:r w:rsidRPr="00194B80">
        <w:rPr>
          <w:lang w:val="es-ES"/>
        </w:rPr>
        <w:t>Resumen</w:t>
      </w:r>
      <w:bookmarkEnd w:id="5"/>
      <w:bookmarkEnd w:id="6"/>
    </w:p>
    <w:p w:rsidR="00194B80" w:rsidRPr="00194B80" w:rsidRDefault="00194B80" w:rsidP="00194B80">
      <w:pPr>
        <w:rPr>
          <w:lang w:val="es-ES"/>
        </w:rPr>
      </w:pPr>
    </w:p>
    <w:p w:rsidR="00194B80" w:rsidRPr="00194B80" w:rsidRDefault="00194B80" w:rsidP="00194B80">
      <w:pPr>
        <w:rPr>
          <w:szCs w:val="24"/>
          <w:lang w:val="es-ES"/>
        </w:rPr>
      </w:pPr>
      <w:r w:rsidRPr="00194B80">
        <w:rPr>
          <w:lang w:val="es-ES"/>
        </w:rPr>
        <w:fldChar w:fldCharType="begin"/>
      </w:r>
      <w:r w:rsidRPr="00194B80">
        <w:rPr>
          <w:lang w:val="es-ES"/>
        </w:rPr>
        <w:instrText xml:space="preserve"> AUTONUM  </w:instrText>
      </w:r>
      <w:r w:rsidRPr="00194B80">
        <w:rPr>
          <w:lang w:val="es-ES"/>
        </w:rPr>
        <w:fldChar w:fldCharType="end"/>
      </w:r>
      <w:r w:rsidRPr="00194B80">
        <w:rPr>
          <w:lang w:val="es-ES"/>
        </w:rPr>
        <w:tab/>
      </w:r>
      <w:r w:rsidRPr="00194B80">
        <w:rPr>
          <w:szCs w:val="24"/>
          <w:lang w:val="es-ES"/>
        </w:rPr>
        <w:t xml:space="preserve">En el presente documento se </w:t>
      </w:r>
      <w:bookmarkStart w:id="7" w:name="_GoBack"/>
      <w:bookmarkEnd w:id="7"/>
      <w:r w:rsidRPr="00194B80">
        <w:rPr>
          <w:szCs w:val="24"/>
          <w:lang w:val="es-ES"/>
        </w:rPr>
        <w:t>expone un informe sobre la marcha de la labor del Comité Técnico (TC) y sus Grupos de Trabajo Técnico (TWP), incluido el Grupo de Trabajo sobre Técnicas Bioquímicas y Moleculares, y Perfiles de ADN en particular (BMT).</w:t>
      </w:r>
    </w:p>
    <w:p w:rsidR="00194B80" w:rsidRPr="00194B80" w:rsidRDefault="00194B80" w:rsidP="00194B80">
      <w:pPr>
        <w:rPr>
          <w:szCs w:val="24"/>
          <w:lang w:val="es-ES"/>
        </w:rPr>
      </w:pPr>
    </w:p>
    <w:p w:rsidR="00194B80" w:rsidRPr="00194B80" w:rsidRDefault="00194B80" w:rsidP="00194B80">
      <w:pPr>
        <w:rPr>
          <w:lang w:val="es-ES"/>
        </w:rPr>
      </w:pPr>
      <w:r w:rsidRPr="00194B80">
        <w:rPr>
          <w:lang w:val="es-ES"/>
        </w:rPr>
        <w:fldChar w:fldCharType="begin"/>
      </w:r>
      <w:r w:rsidRPr="00194B80">
        <w:rPr>
          <w:lang w:val="es-ES"/>
        </w:rPr>
        <w:instrText xml:space="preserve"> AUTONUM  </w:instrText>
      </w:r>
      <w:r w:rsidRPr="00194B80">
        <w:rPr>
          <w:lang w:val="es-ES"/>
        </w:rPr>
        <w:fldChar w:fldCharType="end"/>
      </w:r>
      <w:r w:rsidRPr="00194B80">
        <w:rPr>
          <w:lang w:val="es-ES"/>
        </w:rPr>
        <w:tab/>
        <w:t>Se invitará al Consejo a:</w:t>
      </w:r>
    </w:p>
    <w:p w:rsidR="00194B80" w:rsidRPr="00194B80" w:rsidRDefault="00194B80" w:rsidP="00194B80">
      <w:pPr>
        <w:rPr>
          <w:lang w:val="es-ES"/>
        </w:rPr>
      </w:pPr>
    </w:p>
    <w:p w:rsidR="00194B80" w:rsidRPr="00194B80" w:rsidRDefault="00194B80" w:rsidP="00194B80">
      <w:pPr>
        <w:rPr>
          <w:lang w:val="es-ES"/>
        </w:rPr>
      </w:pPr>
      <w:r w:rsidRPr="00194B80">
        <w:rPr>
          <w:lang w:val="es-ES"/>
        </w:rPr>
        <w:tab/>
        <w:t>a)</w:t>
      </w:r>
      <w:r w:rsidRPr="00194B80">
        <w:rPr>
          <w:lang w:val="es-ES"/>
        </w:rPr>
        <w:tab/>
        <w:t>tomar nota de la labor realizada por el TC y de la labor realizada por los TWP y el BMT y presentada al TC, según se expone en el presente documento;  y</w:t>
      </w:r>
    </w:p>
    <w:p w:rsidR="00194B80" w:rsidRPr="00194B80" w:rsidRDefault="00194B80" w:rsidP="00194B80">
      <w:pPr>
        <w:rPr>
          <w:lang w:val="es-ES"/>
        </w:rPr>
      </w:pPr>
    </w:p>
    <w:p w:rsidR="00194B80" w:rsidRPr="00194B80" w:rsidRDefault="00194B80" w:rsidP="00194B80">
      <w:pPr>
        <w:rPr>
          <w:lang w:val="es-ES"/>
        </w:rPr>
      </w:pPr>
      <w:r w:rsidRPr="00194B80">
        <w:rPr>
          <w:lang w:val="es-ES"/>
        </w:rPr>
        <w:tab/>
        <w:t>b)</w:t>
      </w:r>
      <w:r w:rsidRPr="00194B80">
        <w:rPr>
          <w:lang w:val="es-ES"/>
        </w:rPr>
        <w:tab/>
        <w:t>aprobar el programa de trabajo del TC y los programas de trabajo de los TWP y el BMT presentados al TC, según se expone en el presente documento.</w:t>
      </w:r>
    </w:p>
    <w:p w:rsidR="00194B80" w:rsidRPr="00194B80" w:rsidRDefault="00194B80" w:rsidP="00194B80">
      <w:pPr>
        <w:rPr>
          <w:szCs w:val="24"/>
          <w:lang w:val="es-ES"/>
        </w:rPr>
      </w:pPr>
    </w:p>
    <w:p w:rsidR="00194B80" w:rsidRPr="00194B80" w:rsidRDefault="00194B80" w:rsidP="00194B80">
      <w:pPr>
        <w:rPr>
          <w:lang w:val="es-ES"/>
        </w:rPr>
      </w:pPr>
      <w:r w:rsidRPr="00194B80">
        <w:rPr>
          <w:lang w:val="es-ES"/>
        </w:rPr>
        <w:fldChar w:fldCharType="begin"/>
      </w:r>
      <w:r w:rsidRPr="00194B80">
        <w:rPr>
          <w:lang w:val="es-ES"/>
        </w:rPr>
        <w:instrText xml:space="preserve"> AUTONUM  </w:instrText>
      </w:r>
      <w:r w:rsidRPr="00194B80">
        <w:rPr>
          <w:lang w:val="es-ES"/>
        </w:rPr>
        <w:fldChar w:fldCharType="end"/>
      </w:r>
      <w:r w:rsidRPr="00194B80">
        <w:rPr>
          <w:lang w:val="es-ES"/>
        </w:rPr>
        <w:tab/>
        <w:t>En el presente documento se utilizan las abreviaturas siguientes:</w:t>
      </w:r>
    </w:p>
    <w:p w:rsidR="00194B80" w:rsidRPr="00194B80" w:rsidRDefault="00194B80" w:rsidP="00194B80">
      <w:pPr>
        <w:rPr>
          <w:lang w:val="es-ES"/>
        </w:rPr>
      </w:pPr>
    </w:p>
    <w:p w:rsidR="00194B80" w:rsidRPr="00194B80" w:rsidRDefault="00194B80" w:rsidP="00194B80">
      <w:pPr>
        <w:tabs>
          <w:tab w:val="left" w:pos="567"/>
        </w:tabs>
        <w:ind w:left="2552" w:right="-1" w:hanging="2552"/>
        <w:jc w:val="left"/>
        <w:rPr>
          <w:lang w:val="es-ES"/>
        </w:rPr>
      </w:pPr>
      <w:r w:rsidRPr="00194B80">
        <w:rPr>
          <w:lang w:val="es-ES"/>
        </w:rPr>
        <w:tab/>
        <w:t>CAJ:</w:t>
      </w:r>
      <w:r w:rsidRPr="00194B80">
        <w:rPr>
          <w:lang w:val="es-ES"/>
        </w:rPr>
        <w:tab/>
        <w:t xml:space="preserve">Comité Administrativo y Jurídico </w:t>
      </w:r>
    </w:p>
    <w:p w:rsidR="00194B80" w:rsidRPr="00194B80" w:rsidRDefault="00194B80" w:rsidP="00194B80">
      <w:pPr>
        <w:tabs>
          <w:tab w:val="left" w:pos="567"/>
        </w:tabs>
        <w:ind w:left="2552" w:right="-1" w:hanging="2552"/>
        <w:jc w:val="left"/>
        <w:rPr>
          <w:lang w:val="es-ES"/>
        </w:rPr>
      </w:pPr>
      <w:r w:rsidRPr="00194B80">
        <w:rPr>
          <w:lang w:val="es-ES"/>
        </w:rPr>
        <w:tab/>
        <w:t>TC:</w:t>
      </w:r>
      <w:r w:rsidRPr="00194B80">
        <w:rPr>
          <w:lang w:val="es-ES"/>
        </w:rPr>
        <w:tab/>
        <w:t>Comité Técnico</w:t>
      </w:r>
    </w:p>
    <w:p w:rsidR="00194B80" w:rsidRPr="00194B80" w:rsidRDefault="00194B80" w:rsidP="00194B80">
      <w:pPr>
        <w:tabs>
          <w:tab w:val="left" w:pos="567"/>
        </w:tabs>
        <w:ind w:left="2552" w:right="-1" w:hanging="2552"/>
        <w:jc w:val="left"/>
        <w:rPr>
          <w:lang w:val="es-ES"/>
        </w:rPr>
      </w:pPr>
      <w:r w:rsidRPr="00194B80">
        <w:rPr>
          <w:lang w:val="es-ES"/>
        </w:rPr>
        <w:tab/>
        <w:t>TC</w:t>
      </w:r>
      <w:r w:rsidRPr="00194B80">
        <w:rPr>
          <w:lang w:val="es-ES"/>
        </w:rPr>
        <w:noBreakHyphen/>
        <w:t>EDC:</w:t>
      </w:r>
      <w:r w:rsidRPr="00194B80">
        <w:rPr>
          <w:lang w:val="es-ES"/>
        </w:rPr>
        <w:tab/>
        <w:t>Comité de Redacción Ampliado</w:t>
      </w:r>
    </w:p>
    <w:p w:rsidR="00194B80" w:rsidRPr="00194B80" w:rsidRDefault="00194B80" w:rsidP="00194B80">
      <w:pPr>
        <w:tabs>
          <w:tab w:val="left" w:pos="567"/>
        </w:tabs>
        <w:ind w:left="2552" w:right="-1" w:hanging="2552"/>
        <w:jc w:val="left"/>
        <w:rPr>
          <w:lang w:val="es-ES"/>
        </w:rPr>
      </w:pPr>
      <w:r w:rsidRPr="00194B80">
        <w:rPr>
          <w:lang w:val="es-ES"/>
        </w:rPr>
        <w:tab/>
        <w:t>TWP:</w:t>
      </w:r>
      <w:r w:rsidRPr="00194B80">
        <w:rPr>
          <w:lang w:val="es-ES"/>
        </w:rPr>
        <w:tab/>
        <w:t>Grupos de Trabajo Técnico</w:t>
      </w:r>
    </w:p>
    <w:p w:rsidR="00194B80" w:rsidRPr="00194B80" w:rsidRDefault="00194B80" w:rsidP="00194B80">
      <w:pPr>
        <w:tabs>
          <w:tab w:val="left" w:pos="567"/>
        </w:tabs>
        <w:ind w:left="2552" w:right="-1" w:hanging="2552"/>
        <w:jc w:val="left"/>
        <w:rPr>
          <w:lang w:val="es-ES"/>
        </w:rPr>
      </w:pPr>
      <w:r w:rsidRPr="00194B80">
        <w:rPr>
          <w:lang w:val="es-ES"/>
        </w:rPr>
        <w:tab/>
        <w:t>TWA:</w:t>
      </w:r>
      <w:r w:rsidRPr="00194B80">
        <w:rPr>
          <w:lang w:val="es-ES"/>
        </w:rPr>
        <w:tab/>
        <w:t>Grupo de Trabajo Técnico sobre Plantas Agrícolas</w:t>
      </w:r>
    </w:p>
    <w:p w:rsidR="00194B80" w:rsidRPr="00194B80" w:rsidRDefault="00194B80" w:rsidP="00194B80">
      <w:pPr>
        <w:tabs>
          <w:tab w:val="left" w:pos="567"/>
        </w:tabs>
        <w:ind w:left="2552" w:right="-1" w:hanging="2552"/>
        <w:jc w:val="left"/>
        <w:rPr>
          <w:lang w:val="es-ES"/>
        </w:rPr>
      </w:pPr>
      <w:r w:rsidRPr="00194B80">
        <w:rPr>
          <w:lang w:val="es-ES"/>
        </w:rPr>
        <w:tab/>
        <w:t>TWC:</w:t>
      </w:r>
      <w:r w:rsidRPr="00194B80">
        <w:rPr>
          <w:lang w:val="es-ES"/>
        </w:rPr>
        <w:tab/>
        <w:t>Grupo de Trabajo Técnico sobre Automatización y Programas Informáticos</w:t>
      </w:r>
    </w:p>
    <w:p w:rsidR="00194B80" w:rsidRPr="00194B80" w:rsidRDefault="00194B80" w:rsidP="00194B80">
      <w:pPr>
        <w:tabs>
          <w:tab w:val="left" w:pos="567"/>
        </w:tabs>
        <w:ind w:left="2552" w:right="-1" w:hanging="2552"/>
        <w:jc w:val="left"/>
        <w:rPr>
          <w:lang w:val="es-ES"/>
        </w:rPr>
      </w:pPr>
      <w:r w:rsidRPr="00194B80">
        <w:rPr>
          <w:lang w:val="es-ES"/>
        </w:rPr>
        <w:tab/>
        <w:t xml:space="preserve">TWF:  </w:t>
      </w:r>
      <w:r w:rsidRPr="00194B80">
        <w:rPr>
          <w:lang w:val="es-ES"/>
        </w:rPr>
        <w:tab/>
        <w:t>Grupo de Trabajo Técnico sobre Plantas Frutales</w:t>
      </w:r>
    </w:p>
    <w:p w:rsidR="00194B80" w:rsidRPr="00194B80" w:rsidRDefault="00194B80" w:rsidP="00194B80">
      <w:pPr>
        <w:tabs>
          <w:tab w:val="left" w:pos="567"/>
        </w:tabs>
        <w:ind w:left="2552" w:right="-1" w:hanging="2552"/>
        <w:jc w:val="left"/>
        <w:rPr>
          <w:lang w:val="es-ES"/>
        </w:rPr>
      </w:pPr>
      <w:r w:rsidRPr="00194B80">
        <w:rPr>
          <w:lang w:val="es-ES"/>
        </w:rPr>
        <w:tab/>
        <w:t>TWO:</w:t>
      </w:r>
      <w:r w:rsidRPr="00194B80">
        <w:rPr>
          <w:lang w:val="es-ES"/>
        </w:rPr>
        <w:tab/>
        <w:t>Grupo de Trabajo Técnico sobre Plantas Ornamentales y Árboles Forestales</w:t>
      </w:r>
    </w:p>
    <w:p w:rsidR="00194B80" w:rsidRPr="00194B80" w:rsidRDefault="00194B80" w:rsidP="00194B80">
      <w:pPr>
        <w:tabs>
          <w:tab w:val="left" w:pos="567"/>
        </w:tabs>
        <w:ind w:left="2552" w:right="-1" w:hanging="2552"/>
        <w:jc w:val="left"/>
        <w:rPr>
          <w:lang w:val="es-ES"/>
        </w:rPr>
      </w:pPr>
      <w:r w:rsidRPr="00194B80">
        <w:rPr>
          <w:lang w:val="es-ES"/>
        </w:rPr>
        <w:tab/>
        <w:t>TWV:</w:t>
      </w:r>
      <w:r w:rsidRPr="00194B80">
        <w:rPr>
          <w:lang w:val="es-ES"/>
        </w:rPr>
        <w:tab/>
        <w:t>Grupo de Trabajo Técnico sobre Hortalizas</w:t>
      </w:r>
    </w:p>
    <w:p w:rsidR="00194B80" w:rsidRPr="00194B80" w:rsidRDefault="00194B80" w:rsidP="00194B80">
      <w:pPr>
        <w:tabs>
          <w:tab w:val="left" w:pos="567"/>
        </w:tabs>
        <w:ind w:left="2552" w:right="-1" w:hanging="2552"/>
        <w:jc w:val="left"/>
        <w:rPr>
          <w:lang w:val="es-ES"/>
        </w:rPr>
      </w:pPr>
      <w:r w:rsidRPr="00194B80">
        <w:rPr>
          <w:lang w:val="es-ES"/>
        </w:rPr>
        <w:tab/>
        <w:t>BMT:</w:t>
      </w:r>
      <w:r w:rsidRPr="00194B80">
        <w:rPr>
          <w:lang w:val="es-ES"/>
        </w:rPr>
        <w:tab/>
        <w:t>Grupo de Trabajo sobre Técnicas Bioquímicas y Moleculares, y Perfiles de ADN en particular</w:t>
      </w:r>
    </w:p>
    <w:p w:rsidR="00194B80" w:rsidRPr="00194B80" w:rsidRDefault="00194B80" w:rsidP="00194B80">
      <w:pPr>
        <w:tabs>
          <w:tab w:val="left" w:pos="567"/>
        </w:tabs>
        <w:ind w:left="2552" w:right="-1" w:hanging="2552"/>
        <w:jc w:val="left"/>
        <w:rPr>
          <w:rFonts w:cs="Arial"/>
          <w:lang w:val="es-ES"/>
        </w:rPr>
      </w:pPr>
      <w:r w:rsidRPr="00194B80">
        <w:rPr>
          <w:rFonts w:cs="Arial"/>
          <w:lang w:val="es-ES"/>
        </w:rPr>
        <w:tab/>
        <w:t>DHE:</w:t>
      </w:r>
      <w:r w:rsidRPr="00194B80">
        <w:rPr>
          <w:rFonts w:cs="Arial"/>
          <w:lang w:val="es-ES"/>
        </w:rPr>
        <w:tab/>
        <w:t xml:space="preserve">Distinción, Homogeneidad y Estabilidad </w:t>
      </w:r>
    </w:p>
    <w:p w:rsidR="00194B80" w:rsidRPr="00194B80" w:rsidRDefault="00194B80" w:rsidP="00194B80">
      <w:pPr>
        <w:tabs>
          <w:tab w:val="left" w:pos="567"/>
        </w:tabs>
        <w:ind w:left="2552" w:right="-1" w:hanging="2552"/>
        <w:jc w:val="left"/>
        <w:rPr>
          <w:rFonts w:cs="Arial"/>
          <w:lang w:val="es-ES"/>
        </w:rPr>
      </w:pPr>
      <w:r w:rsidRPr="00194B80">
        <w:rPr>
          <w:rFonts w:cs="Arial"/>
          <w:lang w:val="es-ES"/>
        </w:rPr>
        <w:tab/>
        <w:t>Oficina:</w:t>
      </w:r>
      <w:r w:rsidRPr="00194B80">
        <w:rPr>
          <w:rFonts w:cs="Arial"/>
          <w:lang w:val="es-ES"/>
        </w:rPr>
        <w:tab/>
        <w:t>Oficina de la Unión</w:t>
      </w:r>
    </w:p>
    <w:p w:rsidR="000E71FA" w:rsidRPr="00194B80" w:rsidRDefault="000E71FA" w:rsidP="00463CB3">
      <w:pPr>
        <w:spacing w:line="360" w:lineRule="auto"/>
        <w:rPr>
          <w:rFonts w:cs="Arial"/>
          <w:lang w:val="es-ES"/>
        </w:rPr>
      </w:pPr>
    </w:p>
    <w:p w:rsidR="000E71FA" w:rsidRPr="00194B80" w:rsidRDefault="000E71FA" w:rsidP="000E71FA">
      <w:pPr>
        <w:rPr>
          <w:lang w:val="es-ES"/>
        </w:rPr>
      </w:pPr>
    </w:p>
    <w:p w:rsidR="000E71FA" w:rsidRPr="00194B80" w:rsidRDefault="000E71FA" w:rsidP="000E71FA">
      <w:pPr>
        <w:rPr>
          <w:rFonts w:cs="Arial"/>
          <w:lang w:val="es-ES"/>
        </w:rPr>
      </w:pPr>
      <w:r w:rsidRPr="00194B80">
        <w:rPr>
          <w:rFonts w:cs="Arial"/>
          <w:lang w:val="es-ES"/>
        </w:rPr>
        <w:br w:type="page"/>
      </w:r>
    </w:p>
    <w:p w:rsidR="000E71FA" w:rsidRPr="00194B80" w:rsidRDefault="004C070C" w:rsidP="000E71FA">
      <w:pPr>
        <w:rPr>
          <w:u w:val="single"/>
          <w:lang w:val="es-ES"/>
        </w:rPr>
      </w:pPr>
      <w:r>
        <w:rPr>
          <w:u w:val="single"/>
          <w:lang w:val="es-ES"/>
        </w:rPr>
        <w:lastRenderedPageBreak/>
        <w:t>ÍNDICE</w:t>
      </w:r>
    </w:p>
    <w:p w:rsidR="000E71FA" w:rsidRPr="00194B80" w:rsidRDefault="000E71FA" w:rsidP="000E71FA">
      <w:pPr>
        <w:rPr>
          <w:highlight w:val="cyan"/>
          <w:lang w:val="es-ES"/>
        </w:rPr>
      </w:pPr>
    </w:p>
    <w:p w:rsidR="007D1D09" w:rsidRDefault="000E71FA" w:rsidP="006D6EC4">
      <w:pPr>
        <w:pStyle w:val="TOC1"/>
        <w:rPr>
          <w:rFonts w:asciiTheme="minorHAnsi" w:eastAsiaTheme="minorEastAsia" w:hAnsiTheme="minorHAnsi" w:cstheme="minorBidi"/>
          <w:sz w:val="22"/>
          <w:szCs w:val="22"/>
        </w:rPr>
      </w:pPr>
      <w:r w:rsidRPr="00463CB3">
        <w:rPr>
          <w:snapToGrid w:val="0"/>
          <w:highlight w:val="cyan"/>
          <w:lang w:val="es-ES"/>
        </w:rPr>
        <w:fldChar w:fldCharType="begin"/>
      </w:r>
      <w:r w:rsidRPr="00463CB3">
        <w:rPr>
          <w:snapToGrid w:val="0"/>
          <w:highlight w:val="cyan"/>
          <w:lang w:val="es-ES"/>
        </w:rPr>
        <w:instrText xml:space="preserve"> TOC \o "1-3" \h \z \u </w:instrText>
      </w:r>
      <w:r w:rsidRPr="00463CB3">
        <w:rPr>
          <w:snapToGrid w:val="0"/>
          <w:highlight w:val="cyan"/>
          <w:lang w:val="es-ES"/>
        </w:rPr>
        <w:fldChar w:fldCharType="separate"/>
      </w:r>
      <w:hyperlink w:anchor="_Toc463512494" w:history="1">
        <w:r w:rsidR="007D1D09" w:rsidRPr="00660DBD">
          <w:rPr>
            <w:rStyle w:val="Hyperlink"/>
            <w:lang w:val="es-ES"/>
          </w:rPr>
          <w:t>Resumen</w:t>
        </w:r>
        <w:r w:rsidR="007D1D09">
          <w:rPr>
            <w:webHidden/>
          </w:rPr>
          <w:tab/>
        </w:r>
        <w:r w:rsidR="007D1D09">
          <w:rPr>
            <w:webHidden/>
          </w:rPr>
          <w:fldChar w:fldCharType="begin"/>
        </w:r>
        <w:r w:rsidR="007D1D09">
          <w:rPr>
            <w:webHidden/>
          </w:rPr>
          <w:instrText xml:space="preserve"> PAGEREF _Toc463512494 \h </w:instrText>
        </w:r>
        <w:r w:rsidR="007D1D09">
          <w:rPr>
            <w:webHidden/>
          </w:rPr>
        </w:r>
        <w:r w:rsidR="007D1D09">
          <w:rPr>
            <w:webHidden/>
          </w:rPr>
          <w:fldChar w:fldCharType="separate"/>
        </w:r>
        <w:r w:rsidR="00C868E7">
          <w:rPr>
            <w:webHidden/>
          </w:rPr>
          <w:t>1</w:t>
        </w:r>
        <w:r w:rsidR="007D1D09">
          <w:rPr>
            <w:webHidden/>
          </w:rPr>
          <w:fldChar w:fldCharType="end"/>
        </w:r>
      </w:hyperlink>
    </w:p>
    <w:p w:rsidR="007D1D09" w:rsidRDefault="00C868E7" w:rsidP="006D6EC4">
      <w:pPr>
        <w:pStyle w:val="TOC1"/>
        <w:rPr>
          <w:rFonts w:asciiTheme="minorHAnsi" w:eastAsiaTheme="minorEastAsia" w:hAnsiTheme="minorHAnsi" w:cstheme="minorBidi"/>
          <w:sz w:val="22"/>
          <w:szCs w:val="22"/>
        </w:rPr>
      </w:pPr>
      <w:hyperlink w:anchor="_Toc463512495" w:history="1">
        <w:r w:rsidR="007D1D09" w:rsidRPr="00660DBD">
          <w:rPr>
            <w:rStyle w:val="Hyperlink"/>
            <w:lang w:val="es-ES"/>
          </w:rPr>
          <w:t>INFORME SOBRE LA MARCHA DE LA LABOR DEL COMITÉ TÉCNICO</w:t>
        </w:r>
        <w:r w:rsidR="007D1D09">
          <w:rPr>
            <w:webHidden/>
          </w:rPr>
          <w:tab/>
        </w:r>
        <w:r w:rsidR="007D1D09">
          <w:rPr>
            <w:webHidden/>
          </w:rPr>
          <w:fldChar w:fldCharType="begin"/>
        </w:r>
        <w:r w:rsidR="007D1D09">
          <w:rPr>
            <w:webHidden/>
          </w:rPr>
          <w:instrText xml:space="preserve"> PAGEREF _Toc463512495 \h </w:instrText>
        </w:r>
        <w:r w:rsidR="007D1D09">
          <w:rPr>
            <w:webHidden/>
          </w:rPr>
        </w:r>
        <w:r w:rsidR="007D1D09">
          <w:rPr>
            <w:webHidden/>
          </w:rPr>
          <w:fldChar w:fldCharType="separate"/>
        </w:r>
        <w:r>
          <w:rPr>
            <w:webHidden/>
          </w:rPr>
          <w:t>3</w:t>
        </w:r>
        <w:r w:rsidR="007D1D09">
          <w:rPr>
            <w:webHidden/>
          </w:rPr>
          <w:fldChar w:fldCharType="end"/>
        </w:r>
      </w:hyperlink>
    </w:p>
    <w:p w:rsidR="007D1D09" w:rsidRDefault="00C868E7" w:rsidP="007D1D09">
      <w:pPr>
        <w:pStyle w:val="TOC2"/>
        <w:rPr>
          <w:rFonts w:asciiTheme="minorHAnsi" w:eastAsiaTheme="minorEastAsia" w:hAnsiTheme="minorHAnsi" w:cstheme="minorBidi"/>
          <w:sz w:val="22"/>
          <w:szCs w:val="22"/>
        </w:rPr>
      </w:pPr>
      <w:hyperlink w:anchor="_Toc463512496" w:history="1">
        <w:r w:rsidR="007D1D09" w:rsidRPr="00660DBD">
          <w:rPr>
            <w:rStyle w:val="Hyperlink"/>
            <w:lang w:val="es-ES"/>
          </w:rPr>
          <w:t>Informe sobre las novedades acaecidas en la UPOV, donde figuran las cuestiones pertinentes examinadas en las últimas sesiones de Comité Administrativo y Jurídico, el Comité Consultivo y el Consejo (informe verbal del Secretario General Adjunto)</w:t>
        </w:r>
        <w:r w:rsidR="007D1D09">
          <w:rPr>
            <w:webHidden/>
          </w:rPr>
          <w:tab/>
        </w:r>
        <w:r w:rsidR="007D1D09">
          <w:rPr>
            <w:webHidden/>
          </w:rPr>
          <w:fldChar w:fldCharType="begin"/>
        </w:r>
        <w:r w:rsidR="007D1D09">
          <w:rPr>
            <w:webHidden/>
          </w:rPr>
          <w:instrText xml:space="preserve"> PAGEREF _Toc463512496 \h </w:instrText>
        </w:r>
        <w:r w:rsidR="007D1D09">
          <w:rPr>
            <w:webHidden/>
          </w:rPr>
        </w:r>
        <w:r w:rsidR="007D1D09">
          <w:rPr>
            <w:webHidden/>
          </w:rPr>
          <w:fldChar w:fldCharType="separate"/>
        </w:r>
        <w:r>
          <w:rPr>
            <w:webHidden/>
          </w:rPr>
          <w:t>3</w:t>
        </w:r>
        <w:r w:rsidR="007D1D09">
          <w:rPr>
            <w:webHidden/>
          </w:rPr>
          <w:fldChar w:fldCharType="end"/>
        </w:r>
      </w:hyperlink>
    </w:p>
    <w:p w:rsidR="007D1D09" w:rsidRDefault="00C868E7" w:rsidP="007D1D09">
      <w:pPr>
        <w:pStyle w:val="TOC3"/>
        <w:rPr>
          <w:rFonts w:asciiTheme="minorHAnsi" w:eastAsiaTheme="minorEastAsia" w:hAnsiTheme="minorHAnsi" w:cstheme="minorBidi"/>
          <w:sz w:val="22"/>
          <w:szCs w:val="22"/>
          <w:lang w:val="en-US"/>
        </w:rPr>
      </w:pPr>
      <w:hyperlink w:anchor="_Toc463512497" w:history="1">
        <w:r w:rsidR="007D1D09" w:rsidRPr="00660DBD">
          <w:rPr>
            <w:rStyle w:val="Hyperlink"/>
            <w:lang w:val="es-ES_tradnl"/>
          </w:rPr>
          <w:t>Asuntos sujetos a aprobación por el consejo en 2016</w:t>
        </w:r>
        <w:r w:rsidR="007D1D09">
          <w:rPr>
            <w:webHidden/>
          </w:rPr>
          <w:tab/>
        </w:r>
        <w:r w:rsidR="007D1D09">
          <w:rPr>
            <w:webHidden/>
          </w:rPr>
          <w:fldChar w:fldCharType="begin"/>
        </w:r>
        <w:r w:rsidR="007D1D09">
          <w:rPr>
            <w:webHidden/>
          </w:rPr>
          <w:instrText xml:space="preserve"> PAGEREF _Toc463512497 \h </w:instrText>
        </w:r>
        <w:r w:rsidR="007D1D09">
          <w:rPr>
            <w:webHidden/>
          </w:rPr>
        </w:r>
        <w:r w:rsidR="007D1D09">
          <w:rPr>
            <w:webHidden/>
          </w:rPr>
          <w:fldChar w:fldCharType="separate"/>
        </w:r>
        <w:r>
          <w:rPr>
            <w:webHidden/>
          </w:rPr>
          <w:t>4</w:t>
        </w:r>
        <w:r w:rsidR="007D1D09">
          <w:rPr>
            <w:webHidden/>
          </w:rPr>
          <w:fldChar w:fldCharType="end"/>
        </w:r>
      </w:hyperlink>
    </w:p>
    <w:p w:rsidR="007D1D09" w:rsidRDefault="00C868E7" w:rsidP="007D1D09">
      <w:pPr>
        <w:pStyle w:val="TOC3"/>
        <w:rPr>
          <w:rFonts w:asciiTheme="minorHAnsi" w:eastAsiaTheme="minorEastAsia" w:hAnsiTheme="minorHAnsi" w:cstheme="minorBidi"/>
          <w:sz w:val="22"/>
          <w:szCs w:val="22"/>
          <w:lang w:val="en-US"/>
        </w:rPr>
      </w:pPr>
      <w:hyperlink w:anchor="_Toc463512498" w:history="1">
        <w:r w:rsidR="007D1D09" w:rsidRPr="00660DBD">
          <w:rPr>
            <w:rStyle w:val="Hyperlink"/>
            <w:lang w:val="es-ES_tradnl"/>
          </w:rPr>
          <w:t>Posible futura revisión de documentos TGP</w:t>
        </w:r>
        <w:r w:rsidR="007D1D09">
          <w:rPr>
            <w:webHidden/>
          </w:rPr>
          <w:tab/>
        </w:r>
        <w:r w:rsidR="007D1D09">
          <w:rPr>
            <w:webHidden/>
          </w:rPr>
          <w:fldChar w:fldCharType="begin"/>
        </w:r>
        <w:r w:rsidR="007D1D09">
          <w:rPr>
            <w:webHidden/>
          </w:rPr>
          <w:instrText xml:space="preserve"> PAGEREF _Toc463512498 \h </w:instrText>
        </w:r>
        <w:r w:rsidR="007D1D09">
          <w:rPr>
            <w:webHidden/>
          </w:rPr>
        </w:r>
        <w:r w:rsidR="007D1D09">
          <w:rPr>
            <w:webHidden/>
          </w:rPr>
          <w:fldChar w:fldCharType="separate"/>
        </w:r>
        <w:r>
          <w:rPr>
            <w:webHidden/>
          </w:rPr>
          <w:t>5</w:t>
        </w:r>
        <w:r w:rsidR="007D1D09">
          <w:rPr>
            <w:webHidden/>
          </w:rPr>
          <w:fldChar w:fldCharType="end"/>
        </w:r>
      </w:hyperlink>
    </w:p>
    <w:p w:rsidR="007D1D09" w:rsidRDefault="00C868E7" w:rsidP="007D1D09">
      <w:pPr>
        <w:pStyle w:val="TOC3"/>
        <w:rPr>
          <w:rFonts w:asciiTheme="minorHAnsi" w:eastAsiaTheme="minorEastAsia" w:hAnsiTheme="minorHAnsi" w:cstheme="minorBidi"/>
          <w:sz w:val="22"/>
          <w:szCs w:val="22"/>
          <w:lang w:val="en-US"/>
        </w:rPr>
      </w:pPr>
      <w:hyperlink w:anchor="_Toc463512499" w:history="1">
        <w:r w:rsidR="007D1D09" w:rsidRPr="00660DBD">
          <w:rPr>
            <w:rStyle w:val="Hyperlink"/>
            <w:lang w:val="es-ES_tradnl"/>
          </w:rPr>
          <w:t>Nuevas propuestas de revisión de documentos TGP</w:t>
        </w:r>
        <w:r w:rsidR="007D1D09">
          <w:rPr>
            <w:webHidden/>
          </w:rPr>
          <w:tab/>
        </w:r>
        <w:r w:rsidR="007D1D09">
          <w:rPr>
            <w:webHidden/>
          </w:rPr>
          <w:fldChar w:fldCharType="begin"/>
        </w:r>
        <w:r w:rsidR="007D1D09">
          <w:rPr>
            <w:webHidden/>
          </w:rPr>
          <w:instrText xml:space="preserve"> PAGEREF _Toc463512499 \h </w:instrText>
        </w:r>
        <w:r w:rsidR="007D1D09">
          <w:rPr>
            <w:webHidden/>
          </w:rPr>
        </w:r>
        <w:r w:rsidR="007D1D09">
          <w:rPr>
            <w:webHidden/>
          </w:rPr>
          <w:fldChar w:fldCharType="separate"/>
        </w:r>
        <w:r>
          <w:rPr>
            <w:webHidden/>
          </w:rPr>
          <w:t>8</w:t>
        </w:r>
        <w:r w:rsidR="007D1D09">
          <w:rPr>
            <w:webHidden/>
          </w:rPr>
          <w:fldChar w:fldCharType="end"/>
        </w:r>
      </w:hyperlink>
    </w:p>
    <w:p w:rsidR="007D1D09" w:rsidRDefault="00C868E7" w:rsidP="007D1D09">
      <w:pPr>
        <w:pStyle w:val="TOC3"/>
        <w:rPr>
          <w:rFonts w:asciiTheme="minorHAnsi" w:eastAsiaTheme="minorEastAsia" w:hAnsiTheme="minorHAnsi" w:cstheme="minorBidi"/>
          <w:sz w:val="22"/>
          <w:szCs w:val="22"/>
          <w:lang w:val="en-US"/>
        </w:rPr>
      </w:pPr>
      <w:hyperlink w:anchor="_Toc463512500" w:history="1">
        <w:r w:rsidR="007D1D09" w:rsidRPr="00660DBD">
          <w:rPr>
            <w:rStyle w:val="Hyperlink"/>
            <w:lang w:val="es-ES_tradnl"/>
          </w:rPr>
          <w:t>Programa para la elaboración de los documentos TGP</w:t>
        </w:r>
        <w:r w:rsidR="007D1D09">
          <w:rPr>
            <w:webHidden/>
          </w:rPr>
          <w:tab/>
        </w:r>
        <w:r w:rsidR="007D1D09">
          <w:rPr>
            <w:webHidden/>
          </w:rPr>
          <w:fldChar w:fldCharType="begin"/>
        </w:r>
        <w:r w:rsidR="007D1D09">
          <w:rPr>
            <w:webHidden/>
          </w:rPr>
          <w:instrText xml:space="preserve"> PAGEREF _Toc463512500 \h </w:instrText>
        </w:r>
        <w:r w:rsidR="007D1D09">
          <w:rPr>
            <w:webHidden/>
          </w:rPr>
        </w:r>
        <w:r w:rsidR="007D1D09">
          <w:rPr>
            <w:webHidden/>
          </w:rPr>
          <w:fldChar w:fldCharType="separate"/>
        </w:r>
        <w:r>
          <w:rPr>
            <w:webHidden/>
          </w:rPr>
          <w:t>8</w:t>
        </w:r>
        <w:r w:rsidR="007D1D09">
          <w:rPr>
            <w:webHidden/>
          </w:rPr>
          <w:fldChar w:fldCharType="end"/>
        </w:r>
      </w:hyperlink>
    </w:p>
    <w:p w:rsidR="007D1D09" w:rsidRDefault="00C868E7" w:rsidP="007D1D09">
      <w:pPr>
        <w:pStyle w:val="TOC2"/>
        <w:rPr>
          <w:rFonts w:asciiTheme="minorHAnsi" w:eastAsiaTheme="minorEastAsia" w:hAnsiTheme="minorHAnsi" w:cstheme="minorBidi"/>
          <w:sz w:val="22"/>
          <w:szCs w:val="22"/>
        </w:rPr>
      </w:pPr>
      <w:hyperlink w:anchor="_Toc463512501" w:history="1">
        <w:r w:rsidR="007D1D09" w:rsidRPr="00660DBD">
          <w:rPr>
            <w:rStyle w:val="Hyperlink"/>
            <w:lang w:val="es-ES_tradnl"/>
          </w:rPr>
          <w:t>Técnicas moleculares</w:t>
        </w:r>
        <w:r w:rsidR="007D1D09">
          <w:rPr>
            <w:webHidden/>
          </w:rPr>
          <w:tab/>
        </w:r>
        <w:r w:rsidR="007D1D09">
          <w:rPr>
            <w:webHidden/>
          </w:rPr>
          <w:fldChar w:fldCharType="begin"/>
        </w:r>
        <w:r w:rsidR="007D1D09">
          <w:rPr>
            <w:webHidden/>
          </w:rPr>
          <w:instrText xml:space="preserve"> PAGEREF _Toc463512501 \h </w:instrText>
        </w:r>
        <w:r w:rsidR="007D1D09">
          <w:rPr>
            <w:webHidden/>
          </w:rPr>
        </w:r>
        <w:r w:rsidR="007D1D09">
          <w:rPr>
            <w:webHidden/>
          </w:rPr>
          <w:fldChar w:fldCharType="separate"/>
        </w:r>
        <w:r>
          <w:rPr>
            <w:webHidden/>
          </w:rPr>
          <w:t>8</w:t>
        </w:r>
        <w:r w:rsidR="007D1D09">
          <w:rPr>
            <w:webHidden/>
          </w:rPr>
          <w:fldChar w:fldCharType="end"/>
        </w:r>
      </w:hyperlink>
    </w:p>
    <w:p w:rsidR="007D1D09" w:rsidRDefault="00C868E7" w:rsidP="007D1D09">
      <w:pPr>
        <w:pStyle w:val="TOC2"/>
        <w:rPr>
          <w:rFonts w:asciiTheme="minorHAnsi" w:eastAsiaTheme="minorEastAsia" w:hAnsiTheme="minorHAnsi" w:cstheme="minorBidi"/>
          <w:sz w:val="22"/>
          <w:szCs w:val="22"/>
        </w:rPr>
      </w:pPr>
      <w:hyperlink w:anchor="_Toc463512502" w:history="1">
        <w:r w:rsidR="007D1D09" w:rsidRPr="00660DBD">
          <w:rPr>
            <w:rStyle w:val="Hyperlink"/>
            <w:lang w:val="es-ES_tradnl"/>
          </w:rPr>
          <w:t>Sesión de debate</w:t>
        </w:r>
        <w:r w:rsidR="007D1D09">
          <w:rPr>
            <w:webHidden/>
          </w:rPr>
          <w:tab/>
        </w:r>
        <w:r w:rsidR="007D1D09">
          <w:rPr>
            <w:webHidden/>
          </w:rPr>
          <w:fldChar w:fldCharType="begin"/>
        </w:r>
        <w:r w:rsidR="007D1D09">
          <w:rPr>
            <w:webHidden/>
          </w:rPr>
          <w:instrText xml:space="preserve"> PAGEREF _Toc463512502 \h </w:instrText>
        </w:r>
        <w:r w:rsidR="007D1D09">
          <w:rPr>
            <w:webHidden/>
          </w:rPr>
        </w:r>
        <w:r w:rsidR="007D1D09">
          <w:rPr>
            <w:webHidden/>
          </w:rPr>
          <w:fldChar w:fldCharType="separate"/>
        </w:r>
        <w:r>
          <w:rPr>
            <w:webHidden/>
          </w:rPr>
          <w:t>9</w:t>
        </w:r>
        <w:r w:rsidR="007D1D09">
          <w:rPr>
            <w:webHidden/>
          </w:rPr>
          <w:fldChar w:fldCharType="end"/>
        </w:r>
      </w:hyperlink>
    </w:p>
    <w:p w:rsidR="007D1D09" w:rsidRDefault="00C868E7" w:rsidP="007D1D09">
      <w:pPr>
        <w:pStyle w:val="TOC3"/>
        <w:rPr>
          <w:rFonts w:asciiTheme="minorHAnsi" w:eastAsiaTheme="minorEastAsia" w:hAnsiTheme="minorHAnsi" w:cstheme="minorBidi"/>
          <w:sz w:val="22"/>
          <w:szCs w:val="22"/>
          <w:lang w:val="en-US"/>
        </w:rPr>
      </w:pPr>
      <w:hyperlink w:anchor="_Toc463512503" w:history="1">
        <w:r w:rsidR="007D1D09" w:rsidRPr="00660DBD">
          <w:rPr>
            <w:rStyle w:val="Hyperlink"/>
            <w:lang w:val="es-ES"/>
          </w:rPr>
          <w:t>a)</w:t>
        </w:r>
        <w:r w:rsidR="007D1D09">
          <w:rPr>
            <w:rFonts w:asciiTheme="minorHAnsi" w:eastAsiaTheme="minorEastAsia" w:hAnsiTheme="minorHAnsi" w:cstheme="minorBidi"/>
            <w:sz w:val="22"/>
            <w:szCs w:val="22"/>
            <w:lang w:val="en-US"/>
          </w:rPr>
          <w:tab/>
        </w:r>
        <w:r w:rsidR="007D1D09" w:rsidRPr="00660DBD">
          <w:rPr>
            <w:rStyle w:val="Hyperlink"/>
            <w:lang w:val="es-ES_tradnl"/>
          </w:rPr>
          <w:t>Debate sobre las descripciones de variedades y la función del material vegetal, incluido el número mínimo de ciclos de cultivo para el examen DHE</w:t>
        </w:r>
        <w:r w:rsidR="007D1D09">
          <w:rPr>
            <w:webHidden/>
          </w:rPr>
          <w:tab/>
        </w:r>
        <w:r w:rsidR="007D1D09">
          <w:rPr>
            <w:webHidden/>
          </w:rPr>
          <w:fldChar w:fldCharType="begin"/>
        </w:r>
        <w:r w:rsidR="007D1D09">
          <w:rPr>
            <w:webHidden/>
          </w:rPr>
          <w:instrText xml:space="preserve"> PAGEREF _Toc463512503 \h </w:instrText>
        </w:r>
        <w:r w:rsidR="007D1D09">
          <w:rPr>
            <w:webHidden/>
          </w:rPr>
        </w:r>
        <w:r w:rsidR="007D1D09">
          <w:rPr>
            <w:webHidden/>
          </w:rPr>
          <w:fldChar w:fldCharType="separate"/>
        </w:r>
        <w:r>
          <w:rPr>
            <w:webHidden/>
          </w:rPr>
          <w:t>9</w:t>
        </w:r>
        <w:r w:rsidR="007D1D09">
          <w:rPr>
            <w:webHidden/>
          </w:rPr>
          <w:fldChar w:fldCharType="end"/>
        </w:r>
      </w:hyperlink>
    </w:p>
    <w:p w:rsidR="007D1D09" w:rsidRDefault="00C868E7" w:rsidP="007D1D09">
      <w:pPr>
        <w:pStyle w:val="TOC3"/>
        <w:rPr>
          <w:rFonts w:asciiTheme="minorHAnsi" w:eastAsiaTheme="minorEastAsia" w:hAnsiTheme="minorHAnsi" w:cstheme="minorBidi"/>
          <w:sz w:val="22"/>
          <w:szCs w:val="22"/>
          <w:lang w:val="en-US"/>
        </w:rPr>
      </w:pPr>
      <w:hyperlink w:anchor="_Toc463512504" w:history="1">
        <w:r w:rsidR="007D1D09" w:rsidRPr="00660DBD">
          <w:rPr>
            <w:rStyle w:val="Hyperlink"/>
            <w:lang w:val="es-ES"/>
          </w:rPr>
          <w:t>b)</w:t>
        </w:r>
        <w:r w:rsidR="007D1D09">
          <w:rPr>
            <w:rFonts w:asciiTheme="minorHAnsi" w:eastAsiaTheme="minorEastAsia" w:hAnsiTheme="minorHAnsi" w:cstheme="minorBidi"/>
            <w:sz w:val="22"/>
            <w:szCs w:val="22"/>
            <w:lang w:val="en-US"/>
          </w:rPr>
          <w:tab/>
        </w:r>
        <w:r w:rsidR="007D1D09" w:rsidRPr="00660DBD">
          <w:rPr>
            <w:rStyle w:val="Hyperlink"/>
            <w:lang w:val="es-ES_tradnl"/>
          </w:rPr>
          <w:t>Debate sobre los parámetros de calidad en el examen DHE</w:t>
        </w:r>
        <w:r w:rsidR="007D1D09">
          <w:rPr>
            <w:webHidden/>
          </w:rPr>
          <w:tab/>
        </w:r>
        <w:r w:rsidR="007D1D09">
          <w:rPr>
            <w:webHidden/>
          </w:rPr>
          <w:fldChar w:fldCharType="begin"/>
        </w:r>
        <w:r w:rsidR="007D1D09">
          <w:rPr>
            <w:webHidden/>
          </w:rPr>
          <w:instrText xml:space="preserve"> PAGEREF _Toc463512504 \h </w:instrText>
        </w:r>
        <w:r w:rsidR="007D1D09">
          <w:rPr>
            <w:webHidden/>
          </w:rPr>
        </w:r>
        <w:r w:rsidR="007D1D09">
          <w:rPr>
            <w:webHidden/>
          </w:rPr>
          <w:fldChar w:fldCharType="separate"/>
        </w:r>
        <w:r>
          <w:rPr>
            <w:webHidden/>
          </w:rPr>
          <w:t>9</w:t>
        </w:r>
        <w:r w:rsidR="007D1D09">
          <w:rPr>
            <w:webHidden/>
          </w:rPr>
          <w:fldChar w:fldCharType="end"/>
        </w:r>
      </w:hyperlink>
    </w:p>
    <w:p w:rsidR="007D1D09" w:rsidRDefault="00C868E7" w:rsidP="007D1D09">
      <w:pPr>
        <w:pStyle w:val="TOC3"/>
        <w:rPr>
          <w:rFonts w:asciiTheme="minorHAnsi" w:eastAsiaTheme="minorEastAsia" w:hAnsiTheme="minorHAnsi" w:cstheme="minorBidi"/>
          <w:sz w:val="22"/>
          <w:szCs w:val="22"/>
          <w:lang w:val="en-US"/>
        </w:rPr>
      </w:pPr>
      <w:hyperlink w:anchor="_Toc463512505" w:history="1">
        <w:r w:rsidR="007D1D09" w:rsidRPr="00660DBD">
          <w:rPr>
            <w:rStyle w:val="Hyperlink"/>
            <w:lang w:val="es-ES"/>
          </w:rPr>
          <w:t>c)</w:t>
        </w:r>
        <w:r w:rsidR="007D1D09">
          <w:rPr>
            <w:rFonts w:asciiTheme="minorHAnsi" w:eastAsiaTheme="minorEastAsia" w:hAnsiTheme="minorHAnsi" w:cstheme="minorBidi"/>
            <w:sz w:val="22"/>
            <w:szCs w:val="22"/>
            <w:lang w:val="en-US"/>
          </w:rPr>
          <w:tab/>
        </w:r>
        <w:r w:rsidR="007D1D09" w:rsidRPr="00660DBD">
          <w:rPr>
            <w:rStyle w:val="Hyperlink"/>
            <w:lang w:val="es-ES_tradnl"/>
          </w:rPr>
          <w:t>Debate sobre el fomento de la elaboración de bases de datos</w:t>
        </w:r>
        <w:r w:rsidR="007D1D09">
          <w:rPr>
            <w:webHidden/>
          </w:rPr>
          <w:tab/>
        </w:r>
        <w:r w:rsidR="007D1D09">
          <w:rPr>
            <w:webHidden/>
          </w:rPr>
          <w:fldChar w:fldCharType="begin"/>
        </w:r>
        <w:r w:rsidR="007D1D09">
          <w:rPr>
            <w:webHidden/>
          </w:rPr>
          <w:instrText xml:space="preserve"> PAGEREF _Toc463512505 \h </w:instrText>
        </w:r>
        <w:r w:rsidR="007D1D09">
          <w:rPr>
            <w:webHidden/>
          </w:rPr>
        </w:r>
        <w:r w:rsidR="007D1D09">
          <w:rPr>
            <w:webHidden/>
          </w:rPr>
          <w:fldChar w:fldCharType="separate"/>
        </w:r>
        <w:r>
          <w:rPr>
            <w:webHidden/>
          </w:rPr>
          <w:t>9</w:t>
        </w:r>
        <w:r w:rsidR="007D1D09">
          <w:rPr>
            <w:webHidden/>
          </w:rPr>
          <w:fldChar w:fldCharType="end"/>
        </w:r>
      </w:hyperlink>
    </w:p>
    <w:p w:rsidR="007D1D09" w:rsidRDefault="00C868E7" w:rsidP="007D1D09">
      <w:pPr>
        <w:pStyle w:val="TOC3"/>
        <w:rPr>
          <w:rFonts w:asciiTheme="minorHAnsi" w:eastAsiaTheme="minorEastAsia" w:hAnsiTheme="minorHAnsi" w:cstheme="minorBidi"/>
          <w:sz w:val="22"/>
          <w:szCs w:val="22"/>
          <w:lang w:val="en-US"/>
        </w:rPr>
      </w:pPr>
      <w:hyperlink w:anchor="_Toc463512506" w:history="1">
        <w:r w:rsidR="007D1D09" w:rsidRPr="00660DBD">
          <w:rPr>
            <w:rStyle w:val="Hyperlink"/>
            <w:lang w:val="es-ES"/>
          </w:rPr>
          <w:t>d)</w:t>
        </w:r>
        <w:r w:rsidR="007D1D09">
          <w:rPr>
            <w:rFonts w:asciiTheme="minorHAnsi" w:eastAsiaTheme="minorEastAsia" w:hAnsiTheme="minorHAnsi" w:cstheme="minorBidi"/>
            <w:sz w:val="22"/>
            <w:szCs w:val="22"/>
            <w:lang w:val="en-US"/>
          </w:rPr>
          <w:tab/>
        </w:r>
        <w:r w:rsidR="007D1D09" w:rsidRPr="00660DBD">
          <w:rPr>
            <w:rStyle w:val="Hyperlink"/>
            <w:lang w:val="es-ES_tradnl"/>
          </w:rPr>
          <w:t>Debate sobre la distancia mínima entre las variedades</w:t>
        </w:r>
        <w:r w:rsidR="007D1D09">
          <w:rPr>
            <w:webHidden/>
          </w:rPr>
          <w:tab/>
        </w:r>
        <w:r w:rsidR="007D1D09">
          <w:rPr>
            <w:webHidden/>
          </w:rPr>
          <w:fldChar w:fldCharType="begin"/>
        </w:r>
        <w:r w:rsidR="007D1D09">
          <w:rPr>
            <w:webHidden/>
          </w:rPr>
          <w:instrText xml:space="preserve"> PAGEREF _Toc463512506 \h </w:instrText>
        </w:r>
        <w:r w:rsidR="007D1D09">
          <w:rPr>
            <w:webHidden/>
          </w:rPr>
        </w:r>
        <w:r w:rsidR="007D1D09">
          <w:rPr>
            <w:webHidden/>
          </w:rPr>
          <w:fldChar w:fldCharType="separate"/>
        </w:r>
        <w:r>
          <w:rPr>
            <w:webHidden/>
          </w:rPr>
          <w:t>10</w:t>
        </w:r>
        <w:r w:rsidR="007D1D09">
          <w:rPr>
            <w:webHidden/>
          </w:rPr>
          <w:fldChar w:fldCharType="end"/>
        </w:r>
      </w:hyperlink>
    </w:p>
    <w:p w:rsidR="007D1D09" w:rsidRDefault="00C868E7" w:rsidP="007D1D09">
      <w:pPr>
        <w:pStyle w:val="TOC2"/>
        <w:rPr>
          <w:rFonts w:asciiTheme="minorHAnsi" w:eastAsiaTheme="minorEastAsia" w:hAnsiTheme="minorHAnsi" w:cstheme="minorBidi"/>
          <w:sz w:val="22"/>
          <w:szCs w:val="22"/>
        </w:rPr>
      </w:pPr>
      <w:hyperlink w:anchor="_Toc463512507" w:history="1">
        <w:r w:rsidR="007D1D09" w:rsidRPr="00660DBD">
          <w:rPr>
            <w:rStyle w:val="Hyperlink"/>
            <w:lang w:val="es-ES_tradnl"/>
          </w:rPr>
          <w:t>Asuntos relativos a las descripciones de variedades</w:t>
        </w:r>
        <w:r w:rsidR="007D1D09">
          <w:rPr>
            <w:webHidden/>
          </w:rPr>
          <w:tab/>
        </w:r>
        <w:r w:rsidR="007D1D09">
          <w:rPr>
            <w:webHidden/>
          </w:rPr>
          <w:fldChar w:fldCharType="begin"/>
        </w:r>
        <w:r w:rsidR="007D1D09">
          <w:rPr>
            <w:webHidden/>
          </w:rPr>
          <w:instrText xml:space="preserve"> PAGEREF _Toc463512507 \h </w:instrText>
        </w:r>
        <w:r w:rsidR="007D1D09">
          <w:rPr>
            <w:webHidden/>
          </w:rPr>
        </w:r>
        <w:r w:rsidR="007D1D09">
          <w:rPr>
            <w:webHidden/>
          </w:rPr>
          <w:fldChar w:fldCharType="separate"/>
        </w:r>
        <w:r>
          <w:rPr>
            <w:webHidden/>
          </w:rPr>
          <w:t>10</w:t>
        </w:r>
        <w:r w:rsidR="007D1D09">
          <w:rPr>
            <w:webHidden/>
          </w:rPr>
          <w:fldChar w:fldCharType="end"/>
        </w:r>
      </w:hyperlink>
    </w:p>
    <w:p w:rsidR="007D1D09" w:rsidRDefault="00C868E7" w:rsidP="007D1D09">
      <w:pPr>
        <w:pStyle w:val="TOC2"/>
        <w:rPr>
          <w:rFonts w:asciiTheme="minorHAnsi" w:eastAsiaTheme="minorEastAsia" w:hAnsiTheme="minorHAnsi" w:cstheme="minorBidi"/>
          <w:sz w:val="22"/>
          <w:szCs w:val="22"/>
        </w:rPr>
      </w:pPr>
      <w:hyperlink w:anchor="_Toc463512508" w:history="1">
        <w:r w:rsidR="007D1D09" w:rsidRPr="00660DBD">
          <w:rPr>
            <w:rStyle w:val="Hyperlink"/>
            <w:snapToGrid w:val="0"/>
            <w:lang w:val="es-ES_tradnl"/>
          </w:rPr>
          <w:t>Definición de grupos de color en referencia a la carta de colores RHS</w:t>
        </w:r>
        <w:r w:rsidR="007D1D09">
          <w:rPr>
            <w:webHidden/>
          </w:rPr>
          <w:tab/>
        </w:r>
        <w:r w:rsidR="007D1D09">
          <w:rPr>
            <w:webHidden/>
          </w:rPr>
          <w:fldChar w:fldCharType="begin"/>
        </w:r>
        <w:r w:rsidR="007D1D09">
          <w:rPr>
            <w:webHidden/>
          </w:rPr>
          <w:instrText xml:space="preserve"> PAGEREF _Toc463512508 \h </w:instrText>
        </w:r>
        <w:r w:rsidR="007D1D09">
          <w:rPr>
            <w:webHidden/>
          </w:rPr>
        </w:r>
        <w:r w:rsidR="007D1D09">
          <w:rPr>
            <w:webHidden/>
          </w:rPr>
          <w:fldChar w:fldCharType="separate"/>
        </w:r>
        <w:r>
          <w:rPr>
            <w:webHidden/>
          </w:rPr>
          <w:t>12</w:t>
        </w:r>
        <w:r w:rsidR="007D1D09">
          <w:rPr>
            <w:webHidden/>
          </w:rPr>
          <w:fldChar w:fldCharType="end"/>
        </w:r>
      </w:hyperlink>
    </w:p>
    <w:p w:rsidR="007D1D09" w:rsidRDefault="00C868E7" w:rsidP="007D1D09">
      <w:pPr>
        <w:pStyle w:val="TOC2"/>
        <w:rPr>
          <w:rFonts w:asciiTheme="minorHAnsi" w:eastAsiaTheme="minorEastAsia" w:hAnsiTheme="minorHAnsi" w:cstheme="minorBidi"/>
          <w:sz w:val="22"/>
          <w:szCs w:val="22"/>
        </w:rPr>
      </w:pPr>
      <w:hyperlink w:anchor="_Toc463512509" w:history="1">
        <w:r w:rsidR="007D1D09" w:rsidRPr="00660DBD">
          <w:rPr>
            <w:rStyle w:val="Hyperlink"/>
            <w:snapToGrid w:val="0"/>
            <w:lang w:val="es-ES_tradnl"/>
          </w:rPr>
          <w:t>Métodos estadísticos aplicados a caracteres observados visualmente</w:t>
        </w:r>
        <w:r w:rsidR="007D1D09">
          <w:rPr>
            <w:webHidden/>
          </w:rPr>
          <w:tab/>
        </w:r>
        <w:r w:rsidR="007D1D09">
          <w:rPr>
            <w:webHidden/>
          </w:rPr>
          <w:fldChar w:fldCharType="begin"/>
        </w:r>
        <w:r w:rsidR="007D1D09">
          <w:rPr>
            <w:webHidden/>
          </w:rPr>
          <w:instrText xml:space="preserve"> PAGEREF _Toc463512509 \h </w:instrText>
        </w:r>
        <w:r w:rsidR="007D1D09">
          <w:rPr>
            <w:webHidden/>
          </w:rPr>
        </w:r>
        <w:r w:rsidR="007D1D09">
          <w:rPr>
            <w:webHidden/>
          </w:rPr>
          <w:fldChar w:fldCharType="separate"/>
        </w:r>
        <w:r>
          <w:rPr>
            <w:webHidden/>
          </w:rPr>
          <w:t>12</w:t>
        </w:r>
        <w:r w:rsidR="007D1D09">
          <w:rPr>
            <w:webHidden/>
          </w:rPr>
          <w:fldChar w:fldCharType="end"/>
        </w:r>
      </w:hyperlink>
    </w:p>
    <w:p w:rsidR="007D1D09" w:rsidRDefault="00C868E7" w:rsidP="007D1D09">
      <w:pPr>
        <w:pStyle w:val="TOC2"/>
        <w:rPr>
          <w:rFonts w:asciiTheme="minorHAnsi" w:eastAsiaTheme="minorEastAsia" w:hAnsiTheme="minorHAnsi" w:cstheme="minorBidi"/>
          <w:sz w:val="22"/>
          <w:szCs w:val="22"/>
        </w:rPr>
      </w:pPr>
      <w:hyperlink w:anchor="_Toc463512510" w:history="1">
        <w:r w:rsidR="007D1D09" w:rsidRPr="00660DBD">
          <w:rPr>
            <w:rStyle w:val="Hyperlink"/>
            <w:lang w:val="es-ES_tradnl"/>
          </w:rPr>
          <w:t>Denominaciones de variedades</w:t>
        </w:r>
        <w:r w:rsidR="007D1D09">
          <w:rPr>
            <w:webHidden/>
          </w:rPr>
          <w:tab/>
        </w:r>
        <w:r w:rsidR="007D1D09">
          <w:rPr>
            <w:webHidden/>
          </w:rPr>
          <w:fldChar w:fldCharType="begin"/>
        </w:r>
        <w:r w:rsidR="007D1D09">
          <w:rPr>
            <w:webHidden/>
          </w:rPr>
          <w:instrText xml:space="preserve"> PAGEREF _Toc463512510 \h </w:instrText>
        </w:r>
        <w:r w:rsidR="007D1D09">
          <w:rPr>
            <w:webHidden/>
          </w:rPr>
        </w:r>
        <w:r w:rsidR="007D1D09">
          <w:rPr>
            <w:webHidden/>
          </w:rPr>
          <w:fldChar w:fldCharType="separate"/>
        </w:r>
        <w:r>
          <w:rPr>
            <w:webHidden/>
          </w:rPr>
          <w:t>12</w:t>
        </w:r>
        <w:r w:rsidR="007D1D09">
          <w:rPr>
            <w:webHidden/>
          </w:rPr>
          <w:fldChar w:fldCharType="end"/>
        </w:r>
      </w:hyperlink>
    </w:p>
    <w:p w:rsidR="007D1D09" w:rsidRDefault="00C868E7" w:rsidP="007D1D09">
      <w:pPr>
        <w:pStyle w:val="TOC2"/>
        <w:rPr>
          <w:rFonts w:asciiTheme="minorHAnsi" w:eastAsiaTheme="minorEastAsia" w:hAnsiTheme="minorHAnsi" w:cstheme="minorBidi"/>
          <w:sz w:val="22"/>
          <w:szCs w:val="22"/>
        </w:rPr>
      </w:pPr>
      <w:hyperlink w:anchor="_Toc463512511" w:history="1">
        <w:r w:rsidR="007D1D09" w:rsidRPr="00660DBD">
          <w:rPr>
            <w:rStyle w:val="Hyperlink"/>
            <w:lang w:val="es-ES_tradnl"/>
          </w:rPr>
          <w:t>Información y bases de datos</w:t>
        </w:r>
        <w:r w:rsidR="007D1D09">
          <w:rPr>
            <w:webHidden/>
          </w:rPr>
          <w:tab/>
        </w:r>
        <w:r w:rsidR="007D1D09">
          <w:rPr>
            <w:webHidden/>
          </w:rPr>
          <w:fldChar w:fldCharType="begin"/>
        </w:r>
        <w:r w:rsidR="007D1D09">
          <w:rPr>
            <w:webHidden/>
          </w:rPr>
          <w:instrText xml:space="preserve"> PAGEREF _Toc463512511 \h </w:instrText>
        </w:r>
        <w:r w:rsidR="007D1D09">
          <w:rPr>
            <w:webHidden/>
          </w:rPr>
        </w:r>
        <w:r w:rsidR="007D1D09">
          <w:rPr>
            <w:webHidden/>
          </w:rPr>
          <w:fldChar w:fldCharType="separate"/>
        </w:r>
        <w:r>
          <w:rPr>
            <w:webHidden/>
          </w:rPr>
          <w:t>13</w:t>
        </w:r>
        <w:r w:rsidR="007D1D09">
          <w:rPr>
            <w:webHidden/>
          </w:rPr>
          <w:fldChar w:fldCharType="end"/>
        </w:r>
      </w:hyperlink>
    </w:p>
    <w:p w:rsidR="007D1D09" w:rsidRDefault="00C868E7" w:rsidP="007D1D09">
      <w:pPr>
        <w:pStyle w:val="TOC3"/>
        <w:rPr>
          <w:rFonts w:asciiTheme="minorHAnsi" w:eastAsiaTheme="minorEastAsia" w:hAnsiTheme="minorHAnsi" w:cstheme="minorBidi"/>
          <w:sz w:val="22"/>
          <w:szCs w:val="22"/>
          <w:lang w:val="en-US"/>
        </w:rPr>
      </w:pPr>
      <w:hyperlink w:anchor="_Toc463512512" w:history="1">
        <w:r w:rsidR="007D1D09" w:rsidRPr="00660DBD">
          <w:rPr>
            <w:rStyle w:val="Hyperlink"/>
            <w:lang w:val="es-ES_tradnl"/>
          </w:rPr>
          <w:t>Bases de datos de información de la UPOV</w:t>
        </w:r>
        <w:r w:rsidR="007D1D09">
          <w:rPr>
            <w:webHidden/>
          </w:rPr>
          <w:tab/>
        </w:r>
        <w:r w:rsidR="007D1D09">
          <w:rPr>
            <w:webHidden/>
          </w:rPr>
          <w:fldChar w:fldCharType="begin"/>
        </w:r>
        <w:r w:rsidR="007D1D09">
          <w:rPr>
            <w:webHidden/>
          </w:rPr>
          <w:instrText xml:space="preserve"> PAGEREF _Toc463512512 \h </w:instrText>
        </w:r>
        <w:r w:rsidR="007D1D09">
          <w:rPr>
            <w:webHidden/>
          </w:rPr>
        </w:r>
        <w:r w:rsidR="007D1D09">
          <w:rPr>
            <w:webHidden/>
          </w:rPr>
          <w:fldChar w:fldCharType="separate"/>
        </w:r>
        <w:r>
          <w:rPr>
            <w:webHidden/>
          </w:rPr>
          <w:t>13</w:t>
        </w:r>
        <w:r w:rsidR="007D1D09">
          <w:rPr>
            <w:webHidden/>
          </w:rPr>
          <w:fldChar w:fldCharType="end"/>
        </w:r>
      </w:hyperlink>
    </w:p>
    <w:p w:rsidR="007D1D09" w:rsidRDefault="00C868E7" w:rsidP="007D1D09">
      <w:pPr>
        <w:pStyle w:val="TOC3"/>
        <w:rPr>
          <w:rFonts w:asciiTheme="minorHAnsi" w:eastAsiaTheme="minorEastAsia" w:hAnsiTheme="minorHAnsi" w:cstheme="minorBidi"/>
          <w:sz w:val="22"/>
          <w:szCs w:val="22"/>
          <w:lang w:val="en-US"/>
        </w:rPr>
      </w:pPr>
      <w:hyperlink w:anchor="_Toc463512513" w:history="1">
        <w:r w:rsidR="007D1D09" w:rsidRPr="00660DBD">
          <w:rPr>
            <w:rStyle w:val="Hyperlink"/>
            <w:lang w:val="es-ES_tradnl"/>
          </w:rPr>
          <w:t>Formulario electrónico de solicitud</w:t>
        </w:r>
        <w:r w:rsidR="007D1D09">
          <w:rPr>
            <w:webHidden/>
          </w:rPr>
          <w:tab/>
        </w:r>
        <w:r w:rsidR="007D1D09">
          <w:rPr>
            <w:webHidden/>
          </w:rPr>
          <w:fldChar w:fldCharType="begin"/>
        </w:r>
        <w:r w:rsidR="007D1D09">
          <w:rPr>
            <w:webHidden/>
          </w:rPr>
          <w:instrText xml:space="preserve"> PAGEREF _Toc463512513 \h </w:instrText>
        </w:r>
        <w:r w:rsidR="007D1D09">
          <w:rPr>
            <w:webHidden/>
          </w:rPr>
        </w:r>
        <w:r w:rsidR="007D1D09">
          <w:rPr>
            <w:webHidden/>
          </w:rPr>
          <w:fldChar w:fldCharType="separate"/>
        </w:r>
        <w:r>
          <w:rPr>
            <w:webHidden/>
          </w:rPr>
          <w:t>14</w:t>
        </w:r>
        <w:r w:rsidR="007D1D09">
          <w:rPr>
            <w:webHidden/>
          </w:rPr>
          <w:fldChar w:fldCharType="end"/>
        </w:r>
      </w:hyperlink>
    </w:p>
    <w:p w:rsidR="007D1D09" w:rsidRDefault="00C868E7" w:rsidP="007D1D09">
      <w:pPr>
        <w:pStyle w:val="TOC3"/>
        <w:rPr>
          <w:rFonts w:asciiTheme="minorHAnsi" w:eastAsiaTheme="minorEastAsia" w:hAnsiTheme="minorHAnsi" w:cstheme="minorBidi"/>
          <w:sz w:val="22"/>
          <w:szCs w:val="22"/>
          <w:lang w:val="en-US"/>
        </w:rPr>
      </w:pPr>
      <w:hyperlink w:anchor="_Toc463512514" w:history="1">
        <w:r w:rsidR="007D1D09" w:rsidRPr="00660DBD">
          <w:rPr>
            <w:rStyle w:val="Hyperlink"/>
            <w:lang w:val="es-ES_tradnl"/>
          </w:rPr>
          <w:t>Intercambio y uso de programas informáticos y equipos</w:t>
        </w:r>
        <w:r w:rsidR="007D1D09">
          <w:rPr>
            <w:webHidden/>
          </w:rPr>
          <w:tab/>
        </w:r>
        <w:r w:rsidR="007D1D09">
          <w:rPr>
            <w:webHidden/>
          </w:rPr>
          <w:fldChar w:fldCharType="begin"/>
        </w:r>
        <w:r w:rsidR="007D1D09">
          <w:rPr>
            <w:webHidden/>
          </w:rPr>
          <w:instrText xml:space="preserve"> PAGEREF _Toc463512514 \h </w:instrText>
        </w:r>
        <w:r w:rsidR="007D1D09">
          <w:rPr>
            <w:webHidden/>
          </w:rPr>
        </w:r>
        <w:r w:rsidR="007D1D09">
          <w:rPr>
            <w:webHidden/>
          </w:rPr>
          <w:fldChar w:fldCharType="separate"/>
        </w:r>
        <w:r>
          <w:rPr>
            <w:webHidden/>
          </w:rPr>
          <w:t>14</w:t>
        </w:r>
        <w:r w:rsidR="007D1D09">
          <w:rPr>
            <w:webHidden/>
          </w:rPr>
          <w:fldChar w:fldCharType="end"/>
        </w:r>
      </w:hyperlink>
    </w:p>
    <w:p w:rsidR="007D1D09" w:rsidRDefault="00C868E7" w:rsidP="007D1D09">
      <w:pPr>
        <w:pStyle w:val="TOC3"/>
        <w:rPr>
          <w:rFonts w:asciiTheme="minorHAnsi" w:eastAsiaTheme="minorEastAsia" w:hAnsiTheme="minorHAnsi" w:cstheme="minorBidi"/>
          <w:sz w:val="22"/>
          <w:szCs w:val="22"/>
          <w:lang w:val="en-US"/>
        </w:rPr>
      </w:pPr>
      <w:hyperlink w:anchor="_Toc463512515" w:history="1">
        <w:r w:rsidR="007D1D09" w:rsidRPr="00660DBD">
          <w:rPr>
            <w:rStyle w:val="Hyperlink"/>
            <w:lang w:val="es-ES_tradnl"/>
          </w:rPr>
          <w:t>Bases de datos de descripciones de variedades</w:t>
        </w:r>
        <w:r w:rsidR="007D1D09">
          <w:rPr>
            <w:webHidden/>
          </w:rPr>
          <w:tab/>
        </w:r>
        <w:r w:rsidR="007D1D09">
          <w:rPr>
            <w:webHidden/>
          </w:rPr>
          <w:fldChar w:fldCharType="begin"/>
        </w:r>
        <w:r w:rsidR="007D1D09">
          <w:rPr>
            <w:webHidden/>
          </w:rPr>
          <w:instrText xml:space="preserve"> PAGEREF _Toc463512515 \h </w:instrText>
        </w:r>
        <w:r w:rsidR="007D1D09">
          <w:rPr>
            <w:webHidden/>
          </w:rPr>
        </w:r>
        <w:r w:rsidR="007D1D09">
          <w:rPr>
            <w:webHidden/>
          </w:rPr>
          <w:fldChar w:fldCharType="separate"/>
        </w:r>
        <w:r>
          <w:rPr>
            <w:webHidden/>
          </w:rPr>
          <w:t>15</w:t>
        </w:r>
        <w:r w:rsidR="007D1D09">
          <w:rPr>
            <w:webHidden/>
          </w:rPr>
          <w:fldChar w:fldCharType="end"/>
        </w:r>
      </w:hyperlink>
    </w:p>
    <w:p w:rsidR="007D1D09" w:rsidRDefault="00C868E7" w:rsidP="007D1D09">
      <w:pPr>
        <w:pStyle w:val="TOC2"/>
        <w:rPr>
          <w:rFonts w:asciiTheme="minorHAnsi" w:eastAsiaTheme="minorEastAsia" w:hAnsiTheme="minorHAnsi" w:cstheme="minorBidi"/>
          <w:sz w:val="22"/>
          <w:szCs w:val="22"/>
        </w:rPr>
      </w:pPr>
      <w:hyperlink w:anchor="_Toc463512516" w:history="1">
        <w:r w:rsidR="007D1D09" w:rsidRPr="00660DBD">
          <w:rPr>
            <w:rStyle w:val="Hyperlink"/>
            <w:lang w:val="es-ES_tradnl"/>
          </w:rPr>
          <w:t>Talleres preparatorios</w:t>
        </w:r>
        <w:r w:rsidR="007D1D09">
          <w:rPr>
            <w:webHidden/>
          </w:rPr>
          <w:tab/>
        </w:r>
        <w:r w:rsidR="007D1D09">
          <w:rPr>
            <w:webHidden/>
          </w:rPr>
          <w:fldChar w:fldCharType="begin"/>
        </w:r>
        <w:r w:rsidR="007D1D09">
          <w:rPr>
            <w:webHidden/>
          </w:rPr>
          <w:instrText xml:space="preserve"> PAGEREF _Toc463512516 \h </w:instrText>
        </w:r>
        <w:r w:rsidR="007D1D09">
          <w:rPr>
            <w:webHidden/>
          </w:rPr>
        </w:r>
        <w:r w:rsidR="007D1D09">
          <w:rPr>
            <w:webHidden/>
          </w:rPr>
          <w:fldChar w:fldCharType="separate"/>
        </w:r>
        <w:r>
          <w:rPr>
            <w:webHidden/>
          </w:rPr>
          <w:t>15</w:t>
        </w:r>
        <w:r w:rsidR="007D1D09">
          <w:rPr>
            <w:webHidden/>
          </w:rPr>
          <w:fldChar w:fldCharType="end"/>
        </w:r>
      </w:hyperlink>
    </w:p>
    <w:p w:rsidR="007D1D09" w:rsidRDefault="00C868E7" w:rsidP="007D1D09">
      <w:pPr>
        <w:pStyle w:val="TOC2"/>
        <w:rPr>
          <w:rFonts w:asciiTheme="minorHAnsi" w:eastAsiaTheme="minorEastAsia" w:hAnsiTheme="minorHAnsi" w:cstheme="minorBidi"/>
          <w:sz w:val="22"/>
          <w:szCs w:val="22"/>
        </w:rPr>
      </w:pPr>
      <w:hyperlink w:anchor="_Toc463512517" w:history="1">
        <w:r w:rsidR="007D1D09" w:rsidRPr="00660DBD">
          <w:rPr>
            <w:rStyle w:val="Hyperlink"/>
            <w:lang w:val="es-ES_tradnl"/>
          </w:rPr>
          <w:t>Directrices de examen</w:t>
        </w:r>
        <w:r w:rsidR="007D1D09">
          <w:rPr>
            <w:webHidden/>
          </w:rPr>
          <w:tab/>
        </w:r>
        <w:r w:rsidR="007D1D09">
          <w:rPr>
            <w:webHidden/>
          </w:rPr>
          <w:fldChar w:fldCharType="begin"/>
        </w:r>
        <w:r w:rsidR="007D1D09">
          <w:rPr>
            <w:webHidden/>
          </w:rPr>
          <w:instrText xml:space="preserve"> PAGEREF _Toc463512517 \h </w:instrText>
        </w:r>
        <w:r w:rsidR="007D1D09">
          <w:rPr>
            <w:webHidden/>
          </w:rPr>
        </w:r>
        <w:r w:rsidR="007D1D09">
          <w:rPr>
            <w:webHidden/>
          </w:rPr>
          <w:fldChar w:fldCharType="separate"/>
        </w:r>
        <w:r>
          <w:rPr>
            <w:webHidden/>
          </w:rPr>
          <w:t>15</w:t>
        </w:r>
        <w:r w:rsidR="007D1D09">
          <w:rPr>
            <w:webHidden/>
          </w:rPr>
          <w:fldChar w:fldCharType="end"/>
        </w:r>
      </w:hyperlink>
    </w:p>
    <w:p w:rsidR="007D1D09" w:rsidRDefault="00C868E7" w:rsidP="007D1D09">
      <w:pPr>
        <w:pStyle w:val="TOC3"/>
        <w:rPr>
          <w:rFonts w:asciiTheme="minorHAnsi" w:eastAsiaTheme="minorEastAsia" w:hAnsiTheme="minorHAnsi" w:cstheme="minorBidi"/>
          <w:sz w:val="22"/>
          <w:szCs w:val="22"/>
          <w:lang w:val="en-US"/>
        </w:rPr>
      </w:pPr>
      <w:hyperlink w:anchor="_Toc463512518" w:history="1">
        <w:r w:rsidR="007D1D09" w:rsidRPr="00660DBD">
          <w:rPr>
            <w:rStyle w:val="Hyperlink"/>
            <w:lang w:val="es-ES_tradnl"/>
          </w:rPr>
          <w:t>Correcciones de directrices de examen</w:t>
        </w:r>
        <w:r w:rsidR="007D1D09">
          <w:rPr>
            <w:webHidden/>
          </w:rPr>
          <w:tab/>
        </w:r>
        <w:r w:rsidR="007D1D09">
          <w:rPr>
            <w:webHidden/>
          </w:rPr>
          <w:fldChar w:fldCharType="begin"/>
        </w:r>
        <w:r w:rsidR="007D1D09">
          <w:rPr>
            <w:webHidden/>
          </w:rPr>
          <w:instrText xml:space="preserve"> PAGEREF _Toc463512518 \h </w:instrText>
        </w:r>
        <w:r w:rsidR="007D1D09">
          <w:rPr>
            <w:webHidden/>
          </w:rPr>
        </w:r>
        <w:r w:rsidR="007D1D09">
          <w:rPr>
            <w:webHidden/>
          </w:rPr>
          <w:fldChar w:fldCharType="separate"/>
        </w:r>
        <w:r>
          <w:rPr>
            <w:webHidden/>
          </w:rPr>
          <w:t>17</w:t>
        </w:r>
        <w:r w:rsidR="007D1D09">
          <w:rPr>
            <w:webHidden/>
          </w:rPr>
          <w:fldChar w:fldCharType="end"/>
        </w:r>
      </w:hyperlink>
    </w:p>
    <w:p w:rsidR="007D1D09" w:rsidRDefault="00C868E7" w:rsidP="007D1D09">
      <w:pPr>
        <w:pStyle w:val="TOC3"/>
        <w:rPr>
          <w:rFonts w:asciiTheme="minorHAnsi" w:eastAsiaTheme="minorEastAsia" w:hAnsiTheme="minorHAnsi" w:cstheme="minorBidi"/>
          <w:sz w:val="22"/>
          <w:szCs w:val="22"/>
          <w:lang w:val="en-US"/>
        </w:rPr>
      </w:pPr>
      <w:hyperlink w:anchor="_Toc463512519" w:history="1">
        <w:r w:rsidR="007D1D09" w:rsidRPr="00660DBD">
          <w:rPr>
            <w:rStyle w:val="Hyperlink"/>
            <w:lang w:val="es-ES_tradnl"/>
          </w:rPr>
          <w:t>Proyectos de directrices de examen debatidos en los Grupos de Trabajo Técnico en 2015</w:t>
        </w:r>
        <w:r w:rsidR="007D1D09">
          <w:rPr>
            <w:webHidden/>
          </w:rPr>
          <w:tab/>
        </w:r>
        <w:r w:rsidR="007D1D09">
          <w:rPr>
            <w:webHidden/>
          </w:rPr>
          <w:fldChar w:fldCharType="begin"/>
        </w:r>
        <w:r w:rsidR="007D1D09">
          <w:rPr>
            <w:webHidden/>
          </w:rPr>
          <w:instrText xml:space="preserve"> PAGEREF _Toc463512519 \h </w:instrText>
        </w:r>
        <w:r w:rsidR="007D1D09">
          <w:rPr>
            <w:webHidden/>
          </w:rPr>
        </w:r>
        <w:r w:rsidR="007D1D09">
          <w:rPr>
            <w:webHidden/>
          </w:rPr>
          <w:fldChar w:fldCharType="separate"/>
        </w:r>
        <w:r>
          <w:rPr>
            <w:webHidden/>
          </w:rPr>
          <w:t>17</w:t>
        </w:r>
        <w:r w:rsidR="007D1D09">
          <w:rPr>
            <w:webHidden/>
          </w:rPr>
          <w:fldChar w:fldCharType="end"/>
        </w:r>
      </w:hyperlink>
    </w:p>
    <w:p w:rsidR="007D1D09" w:rsidRDefault="00C868E7" w:rsidP="007D1D09">
      <w:pPr>
        <w:pStyle w:val="TOC3"/>
        <w:rPr>
          <w:rFonts w:asciiTheme="minorHAnsi" w:eastAsiaTheme="minorEastAsia" w:hAnsiTheme="minorHAnsi" w:cstheme="minorBidi"/>
          <w:sz w:val="22"/>
          <w:szCs w:val="22"/>
          <w:lang w:val="en-US"/>
        </w:rPr>
      </w:pPr>
      <w:hyperlink w:anchor="_Toc463512520" w:history="1">
        <w:r w:rsidR="007D1D09" w:rsidRPr="00660DBD">
          <w:rPr>
            <w:rStyle w:val="Hyperlink"/>
            <w:lang w:val="es-ES_tradnl"/>
          </w:rPr>
          <w:t>Proyectos de directrices de examen que han de debatirse en los Grupos de Trabajo Técnico en 2016</w:t>
        </w:r>
        <w:r w:rsidR="007D1D09">
          <w:rPr>
            <w:webHidden/>
          </w:rPr>
          <w:tab/>
        </w:r>
        <w:r w:rsidR="007D1D09">
          <w:rPr>
            <w:webHidden/>
          </w:rPr>
          <w:fldChar w:fldCharType="begin"/>
        </w:r>
        <w:r w:rsidR="007D1D09">
          <w:rPr>
            <w:webHidden/>
          </w:rPr>
          <w:instrText xml:space="preserve"> PAGEREF _Toc463512520 \h </w:instrText>
        </w:r>
        <w:r w:rsidR="007D1D09">
          <w:rPr>
            <w:webHidden/>
          </w:rPr>
        </w:r>
        <w:r w:rsidR="007D1D09">
          <w:rPr>
            <w:webHidden/>
          </w:rPr>
          <w:fldChar w:fldCharType="separate"/>
        </w:r>
        <w:r>
          <w:rPr>
            <w:webHidden/>
          </w:rPr>
          <w:t>17</w:t>
        </w:r>
        <w:r w:rsidR="007D1D09">
          <w:rPr>
            <w:webHidden/>
          </w:rPr>
          <w:fldChar w:fldCharType="end"/>
        </w:r>
      </w:hyperlink>
    </w:p>
    <w:p w:rsidR="007D1D09" w:rsidRDefault="00C868E7" w:rsidP="007D1D09">
      <w:pPr>
        <w:pStyle w:val="TOC3"/>
        <w:rPr>
          <w:rFonts w:asciiTheme="minorHAnsi" w:eastAsiaTheme="minorEastAsia" w:hAnsiTheme="minorHAnsi" w:cstheme="minorBidi"/>
          <w:sz w:val="22"/>
          <w:szCs w:val="22"/>
          <w:lang w:val="en-US"/>
        </w:rPr>
      </w:pPr>
      <w:hyperlink w:anchor="_Toc463512521" w:history="1">
        <w:r w:rsidR="007D1D09" w:rsidRPr="00660DBD">
          <w:rPr>
            <w:rStyle w:val="Hyperlink"/>
            <w:lang w:val="es-ES_tradnl"/>
          </w:rPr>
          <w:t>Estado de las actuales directrices de examen o proyectos de directrices de examen</w:t>
        </w:r>
        <w:r w:rsidR="007D1D09">
          <w:rPr>
            <w:webHidden/>
          </w:rPr>
          <w:tab/>
        </w:r>
        <w:r w:rsidR="007D1D09">
          <w:rPr>
            <w:webHidden/>
          </w:rPr>
          <w:fldChar w:fldCharType="begin"/>
        </w:r>
        <w:r w:rsidR="007D1D09">
          <w:rPr>
            <w:webHidden/>
          </w:rPr>
          <w:instrText xml:space="preserve"> PAGEREF _Toc463512521 \h </w:instrText>
        </w:r>
        <w:r w:rsidR="007D1D09">
          <w:rPr>
            <w:webHidden/>
          </w:rPr>
        </w:r>
        <w:r w:rsidR="007D1D09">
          <w:rPr>
            <w:webHidden/>
          </w:rPr>
          <w:fldChar w:fldCharType="separate"/>
        </w:r>
        <w:r>
          <w:rPr>
            <w:webHidden/>
          </w:rPr>
          <w:t>17</w:t>
        </w:r>
        <w:r w:rsidR="007D1D09">
          <w:rPr>
            <w:webHidden/>
          </w:rPr>
          <w:fldChar w:fldCharType="end"/>
        </w:r>
      </w:hyperlink>
    </w:p>
    <w:p w:rsidR="007D1D09" w:rsidRDefault="00C868E7" w:rsidP="007D1D09">
      <w:pPr>
        <w:pStyle w:val="TOC3"/>
        <w:rPr>
          <w:rFonts w:asciiTheme="minorHAnsi" w:eastAsiaTheme="minorEastAsia" w:hAnsiTheme="minorHAnsi" w:cstheme="minorBidi"/>
          <w:sz w:val="22"/>
          <w:szCs w:val="22"/>
          <w:lang w:val="en-US"/>
        </w:rPr>
      </w:pPr>
      <w:hyperlink w:anchor="_Toc463512522" w:history="1">
        <w:r w:rsidR="007D1D09" w:rsidRPr="00660DBD">
          <w:rPr>
            <w:rStyle w:val="Hyperlink"/>
            <w:lang w:val="es-ES_tradnl"/>
          </w:rPr>
          <w:t>Directrices de examen reemplazadas</w:t>
        </w:r>
        <w:r w:rsidR="007D1D09">
          <w:rPr>
            <w:webHidden/>
          </w:rPr>
          <w:tab/>
        </w:r>
        <w:r w:rsidR="007D1D09">
          <w:rPr>
            <w:webHidden/>
          </w:rPr>
          <w:fldChar w:fldCharType="begin"/>
        </w:r>
        <w:r w:rsidR="007D1D09">
          <w:rPr>
            <w:webHidden/>
          </w:rPr>
          <w:instrText xml:space="preserve"> PAGEREF _Toc463512522 \h </w:instrText>
        </w:r>
        <w:r w:rsidR="007D1D09">
          <w:rPr>
            <w:webHidden/>
          </w:rPr>
        </w:r>
        <w:r w:rsidR="007D1D09">
          <w:rPr>
            <w:webHidden/>
          </w:rPr>
          <w:fldChar w:fldCharType="separate"/>
        </w:r>
        <w:r>
          <w:rPr>
            <w:webHidden/>
          </w:rPr>
          <w:t>18</w:t>
        </w:r>
        <w:r w:rsidR="007D1D09">
          <w:rPr>
            <w:webHidden/>
          </w:rPr>
          <w:fldChar w:fldCharType="end"/>
        </w:r>
      </w:hyperlink>
    </w:p>
    <w:p w:rsidR="007D1D09" w:rsidRDefault="00C868E7" w:rsidP="007D1D09">
      <w:pPr>
        <w:pStyle w:val="TOC3"/>
        <w:rPr>
          <w:rFonts w:asciiTheme="minorHAnsi" w:eastAsiaTheme="minorEastAsia" w:hAnsiTheme="minorHAnsi" w:cstheme="minorBidi"/>
          <w:sz w:val="22"/>
          <w:szCs w:val="22"/>
          <w:lang w:val="en-US"/>
        </w:rPr>
      </w:pPr>
      <w:hyperlink w:anchor="_Toc463512523" w:history="1">
        <w:r w:rsidR="007D1D09" w:rsidRPr="00660DBD">
          <w:rPr>
            <w:rStyle w:val="Hyperlink"/>
            <w:lang w:val="es-ES_tradnl"/>
          </w:rPr>
          <w:t>Publicación de las directrices de examen en el sitio web de la UPOV</w:t>
        </w:r>
        <w:r w:rsidR="007D1D09">
          <w:rPr>
            <w:webHidden/>
          </w:rPr>
          <w:tab/>
        </w:r>
        <w:r w:rsidR="007D1D09">
          <w:rPr>
            <w:webHidden/>
          </w:rPr>
          <w:fldChar w:fldCharType="begin"/>
        </w:r>
        <w:r w:rsidR="007D1D09">
          <w:rPr>
            <w:webHidden/>
          </w:rPr>
          <w:instrText xml:space="preserve"> PAGEREF _Toc463512523 \h </w:instrText>
        </w:r>
        <w:r w:rsidR="007D1D09">
          <w:rPr>
            <w:webHidden/>
          </w:rPr>
        </w:r>
        <w:r w:rsidR="007D1D09">
          <w:rPr>
            <w:webHidden/>
          </w:rPr>
          <w:fldChar w:fldCharType="separate"/>
        </w:r>
        <w:r>
          <w:rPr>
            <w:webHidden/>
          </w:rPr>
          <w:t>18</w:t>
        </w:r>
        <w:r w:rsidR="007D1D09">
          <w:rPr>
            <w:webHidden/>
          </w:rPr>
          <w:fldChar w:fldCharType="end"/>
        </w:r>
      </w:hyperlink>
    </w:p>
    <w:p w:rsidR="007D1D09" w:rsidRDefault="00C868E7" w:rsidP="007D1D09">
      <w:pPr>
        <w:pStyle w:val="TOC2"/>
        <w:rPr>
          <w:rFonts w:asciiTheme="minorHAnsi" w:eastAsiaTheme="minorEastAsia" w:hAnsiTheme="minorHAnsi" w:cstheme="minorBidi"/>
          <w:sz w:val="22"/>
          <w:szCs w:val="22"/>
        </w:rPr>
      </w:pPr>
      <w:hyperlink w:anchor="_Toc463512524" w:history="1">
        <w:r w:rsidR="007D1D09" w:rsidRPr="00660DBD">
          <w:rPr>
            <w:rStyle w:val="Hyperlink"/>
            <w:lang w:val="es-ES_tradnl"/>
          </w:rPr>
          <w:t>Lista de géneros y especies respecto de los cuales las autoridades poseen experiencia práctica en el examen de la distinción, la homogeneidad y la estabilidad</w:t>
        </w:r>
        <w:r w:rsidR="007D1D09">
          <w:rPr>
            <w:webHidden/>
          </w:rPr>
          <w:tab/>
        </w:r>
        <w:r w:rsidR="007D1D09">
          <w:rPr>
            <w:webHidden/>
          </w:rPr>
          <w:fldChar w:fldCharType="begin"/>
        </w:r>
        <w:r w:rsidR="007D1D09">
          <w:rPr>
            <w:webHidden/>
          </w:rPr>
          <w:instrText xml:space="preserve"> PAGEREF _Toc463512524 \h </w:instrText>
        </w:r>
        <w:r w:rsidR="007D1D09">
          <w:rPr>
            <w:webHidden/>
          </w:rPr>
        </w:r>
        <w:r w:rsidR="007D1D09">
          <w:rPr>
            <w:webHidden/>
          </w:rPr>
          <w:fldChar w:fldCharType="separate"/>
        </w:r>
        <w:r>
          <w:rPr>
            <w:webHidden/>
          </w:rPr>
          <w:t>18</w:t>
        </w:r>
        <w:r w:rsidR="007D1D09">
          <w:rPr>
            <w:webHidden/>
          </w:rPr>
          <w:fldChar w:fldCharType="end"/>
        </w:r>
      </w:hyperlink>
    </w:p>
    <w:p w:rsidR="007D1D09" w:rsidRDefault="00C868E7" w:rsidP="007D1D09">
      <w:pPr>
        <w:pStyle w:val="TOC2"/>
        <w:rPr>
          <w:rFonts w:asciiTheme="minorHAnsi" w:eastAsiaTheme="minorEastAsia" w:hAnsiTheme="minorHAnsi" w:cstheme="minorBidi"/>
          <w:sz w:val="22"/>
          <w:szCs w:val="22"/>
        </w:rPr>
      </w:pPr>
      <w:hyperlink w:anchor="_Toc463512525" w:history="1">
        <w:r w:rsidR="007D1D09" w:rsidRPr="00660DBD">
          <w:rPr>
            <w:rStyle w:val="Hyperlink"/>
            <w:lang w:val="es-ES_tradnl"/>
          </w:rPr>
          <w:t>Medalla de la UPOV</w:t>
        </w:r>
        <w:r w:rsidR="007D1D09">
          <w:rPr>
            <w:webHidden/>
          </w:rPr>
          <w:tab/>
        </w:r>
        <w:r w:rsidR="007D1D09">
          <w:rPr>
            <w:webHidden/>
          </w:rPr>
          <w:fldChar w:fldCharType="begin"/>
        </w:r>
        <w:r w:rsidR="007D1D09">
          <w:rPr>
            <w:webHidden/>
          </w:rPr>
          <w:instrText xml:space="preserve"> PAGEREF _Toc463512525 \h </w:instrText>
        </w:r>
        <w:r w:rsidR="007D1D09">
          <w:rPr>
            <w:webHidden/>
          </w:rPr>
        </w:r>
        <w:r w:rsidR="007D1D09">
          <w:rPr>
            <w:webHidden/>
          </w:rPr>
          <w:fldChar w:fldCharType="separate"/>
        </w:r>
        <w:r>
          <w:rPr>
            <w:webHidden/>
          </w:rPr>
          <w:t>19</w:t>
        </w:r>
        <w:r w:rsidR="007D1D09">
          <w:rPr>
            <w:webHidden/>
          </w:rPr>
          <w:fldChar w:fldCharType="end"/>
        </w:r>
      </w:hyperlink>
    </w:p>
    <w:p w:rsidR="007D1D09" w:rsidRDefault="00C868E7" w:rsidP="006D6EC4">
      <w:pPr>
        <w:pStyle w:val="TOC1"/>
        <w:rPr>
          <w:rFonts w:asciiTheme="minorHAnsi" w:eastAsiaTheme="minorEastAsia" w:hAnsiTheme="minorHAnsi" w:cstheme="minorBidi"/>
          <w:sz w:val="22"/>
          <w:szCs w:val="22"/>
        </w:rPr>
      </w:pPr>
      <w:hyperlink w:anchor="_Toc463512526" w:history="1">
        <w:r w:rsidR="007D1D09" w:rsidRPr="00660DBD">
          <w:rPr>
            <w:rStyle w:val="Hyperlink"/>
            <w:lang w:val="es-ES_tradnl"/>
          </w:rPr>
          <w:t>Informes sobre la labor de los Grupos de Trabajo Técnico, incluido el Grupo de Trabajo sobre Técnicas Bioquímicas y Moleculares, y Perfiles de ADN en particular (BMT) E</w:t>
        </w:r>
        <w:r w:rsidR="007D1D09" w:rsidRPr="00660DBD">
          <w:rPr>
            <w:rStyle w:val="Hyperlink"/>
            <w:lang w:val="es-ES"/>
          </w:rPr>
          <w:t>n 2015</w:t>
        </w:r>
        <w:r w:rsidR="007D1D09">
          <w:rPr>
            <w:webHidden/>
          </w:rPr>
          <w:tab/>
        </w:r>
        <w:r w:rsidR="007D1D09">
          <w:rPr>
            <w:webHidden/>
          </w:rPr>
          <w:fldChar w:fldCharType="begin"/>
        </w:r>
        <w:r w:rsidR="007D1D09">
          <w:rPr>
            <w:webHidden/>
          </w:rPr>
          <w:instrText xml:space="preserve"> PAGEREF _Toc463512526 \h </w:instrText>
        </w:r>
        <w:r w:rsidR="007D1D09">
          <w:rPr>
            <w:webHidden/>
          </w:rPr>
        </w:r>
        <w:r w:rsidR="007D1D09">
          <w:rPr>
            <w:webHidden/>
          </w:rPr>
          <w:fldChar w:fldCharType="separate"/>
        </w:r>
        <w:r>
          <w:rPr>
            <w:webHidden/>
          </w:rPr>
          <w:t>20</w:t>
        </w:r>
        <w:r w:rsidR="007D1D09">
          <w:rPr>
            <w:webHidden/>
          </w:rPr>
          <w:fldChar w:fldCharType="end"/>
        </w:r>
      </w:hyperlink>
    </w:p>
    <w:p w:rsidR="007D1D09" w:rsidRDefault="00C868E7" w:rsidP="007D1D09">
      <w:pPr>
        <w:pStyle w:val="TOC3"/>
        <w:rPr>
          <w:rFonts w:asciiTheme="minorHAnsi" w:eastAsiaTheme="minorEastAsia" w:hAnsiTheme="minorHAnsi" w:cstheme="minorBidi"/>
          <w:sz w:val="22"/>
          <w:szCs w:val="22"/>
          <w:lang w:val="en-US"/>
        </w:rPr>
      </w:pPr>
      <w:hyperlink w:anchor="_Toc463512527" w:history="1">
        <w:r w:rsidR="007D1D09" w:rsidRPr="00660DBD">
          <w:rPr>
            <w:rStyle w:val="Hyperlink"/>
            <w:lang w:val="es-ES_tradnl"/>
          </w:rPr>
          <w:t>Grupo de Trabajo Técnico sobre Plantas Agrícolas</w:t>
        </w:r>
        <w:r w:rsidR="007D1D09">
          <w:rPr>
            <w:webHidden/>
          </w:rPr>
          <w:tab/>
        </w:r>
        <w:r w:rsidR="007D1D09">
          <w:rPr>
            <w:webHidden/>
          </w:rPr>
          <w:fldChar w:fldCharType="begin"/>
        </w:r>
        <w:r w:rsidR="007D1D09">
          <w:rPr>
            <w:webHidden/>
          </w:rPr>
          <w:instrText xml:space="preserve"> PAGEREF _Toc463512527 \h </w:instrText>
        </w:r>
        <w:r w:rsidR="007D1D09">
          <w:rPr>
            <w:webHidden/>
          </w:rPr>
        </w:r>
        <w:r w:rsidR="007D1D09">
          <w:rPr>
            <w:webHidden/>
          </w:rPr>
          <w:fldChar w:fldCharType="separate"/>
        </w:r>
        <w:r>
          <w:rPr>
            <w:webHidden/>
          </w:rPr>
          <w:t>20</w:t>
        </w:r>
        <w:r w:rsidR="007D1D09">
          <w:rPr>
            <w:webHidden/>
          </w:rPr>
          <w:fldChar w:fldCharType="end"/>
        </w:r>
      </w:hyperlink>
    </w:p>
    <w:p w:rsidR="007D1D09" w:rsidRDefault="00C868E7" w:rsidP="007D1D09">
      <w:pPr>
        <w:pStyle w:val="TOC3"/>
        <w:rPr>
          <w:rFonts w:asciiTheme="minorHAnsi" w:eastAsiaTheme="minorEastAsia" w:hAnsiTheme="minorHAnsi" w:cstheme="minorBidi"/>
          <w:sz w:val="22"/>
          <w:szCs w:val="22"/>
          <w:lang w:val="en-US"/>
        </w:rPr>
      </w:pPr>
      <w:hyperlink w:anchor="_Toc463512528" w:history="1">
        <w:r w:rsidR="007D1D09" w:rsidRPr="00660DBD">
          <w:rPr>
            <w:rStyle w:val="Hyperlink"/>
            <w:lang w:val="es-ES_tradnl"/>
          </w:rPr>
          <w:t>Grupo de Trabajo Técnico sobre Automatización y Programas Informáticos</w:t>
        </w:r>
        <w:r w:rsidR="007D1D09">
          <w:rPr>
            <w:webHidden/>
          </w:rPr>
          <w:tab/>
        </w:r>
        <w:r w:rsidR="007D1D09">
          <w:rPr>
            <w:webHidden/>
          </w:rPr>
          <w:fldChar w:fldCharType="begin"/>
        </w:r>
        <w:r w:rsidR="007D1D09">
          <w:rPr>
            <w:webHidden/>
          </w:rPr>
          <w:instrText xml:space="preserve"> PAGEREF _Toc463512528 \h </w:instrText>
        </w:r>
        <w:r w:rsidR="007D1D09">
          <w:rPr>
            <w:webHidden/>
          </w:rPr>
        </w:r>
        <w:r w:rsidR="007D1D09">
          <w:rPr>
            <w:webHidden/>
          </w:rPr>
          <w:fldChar w:fldCharType="separate"/>
        </w:r>
        <w:r>
          <w:rPr>
            <w:webHidden/>
          </w:rPr>
          <w:t>22</w:t>
        </w:r>
        <w:r w:rsidR="007D1D09">
          <w:rPr>
            <w:webHidden/>
          </w:rPr>
          <w:fldChar w:fldCharType="end"/>
        </w:r>
      </w:hyperlink>
    </w:p>
    <w:p w:rsidR="007D1D09" w:rsidRDefault="00C868E7" w:rsidP="007D1D09">
      <w:pPr>
        <w:pStyle w:val="TOC3"/>
        <w:rPr>
          <w:rFonts w:asciiTheme="minorHAnsi" w:eastAsiaTheme="minorEastAsia" w:hAnsiTheme="minorHAnsi" w:cstheme="minorBidi"/>
          <w:sz w:val="22"/>
          <w:szCs w:val="22"/>
          <w:lang w:val="en-US"/>
        </w:rPr>
      </w:pPr>
      <w:hyperlink w:anchor="_Toc463512529" w:history="1">
        <w:r w:rsidR="007D1D09" w:rsidRPr="00660DBD">
          <w:rPr>
            <w:rStyle w:val="Hyperlink"/>
            <w:lang w:val="es-ES_tradnl"/>
          </w:rPr>
          <w:t>Grupo de Trabajo Técnico sobre Plantas Frutales</w:t>
        </w:r>
        <w:r w:rsidR="007D1D09">
          <w:rPr>
            <w:webHidden/>
          </w:rPr>
          <w:tab/>
        </w:r>
        <w:r w:rsidR="007D1D09">
          <w:rPr>
            <w:webHidden/>
          </w:rPr>
          <w:fldChar w:fldCharType="begin"/>
        </w:r>
        <w:r w:rsidR="007D1D09">
          <w:rPr>
            <w:webHidden/>
          </w:rPr>
          <w:instrText xml:space="preserve"> PAGEREF _Toc463512529 \h </w:instrText>
        </w:r>
        <w:r w:rsidR="007D1D09">
          <w:rPr>
            <w:webHidden/>
          </w:rPr>
        </w:r>
        <w:r w:rsidR="007D1D09">
          <w:rPr>
            <w:webHidden/>
          </w:rPr>
          <w:fldChar w:fldCharType="separate"/>
        </w:r>
        <w:r>
          <w:rPr>
            <w:webHidden/>
          </w:rPr>
          <w:t>24</w:t>
        </w:r>
        <w:r w:rsidR="007D1D09">
          <w:rPr>
            <w:webHidden/>
          </w:rPr>
          <w:fldChar w:fldCharType="end"/>
        </w:r>
      </w:hyperlink>
    </w:p>
    <w:p w:rsidR="007D1D09" w:rsidRDefault="00C868E7" w:rsidP="007D1D09">
      <w:pPr>
        <w:pStyle w:val="TOC3"/>
        <w:rPr>
          <w:rFonts w:asciiTheme="minorHAnsi" w:eastAsiaTheme="minorEastAsia" w:hAnsiTheme="minorHAnsi" w:cstheme="minorBidi"/>
          <w:sz w:val="22"/>
          <w:szCs w:val="22"/>
          <w:lang w:val="en-US"/>
        </w:rPr>
      </w:pPr>
      <w:hyperlink w:anchor="_Toc463512530" w:history="1">
        <w:r w:rsidR="007D1D09" w:rsidRPr="00660DBD">
          <w:rPr>
            <w:rStyle w:val="Hyperlink"/>
            <w:lang w:val="es-ES_tradnl"/>
          </w:rPr>
          <w:t>Grupo de Trabajo Técnico sobre Plantas Ornamentales y Árboles Forestales</w:t>
        </w:r>
        <w:r w:rsidR="007D1D09">
          <w:rPr>
            <w:webHidden/>
          </w:rPr>
          <w:tab/>
        </w:r>
        <w:r w:rsidR="007D1D09">
          <w:rPr>
            <w:webHidden/>
          </w:rPr>
          <w:fldChar w:fldCharType="begin"/>
        </w:r>
        <w:r w:rsidR="007D1D09">
          <w:rPr>
            <w:webHidden/>
          </w:rPr>
          <w:instrText xml:space="preserve"> PAGEREF _Toc463512530 \h </w:instrText>
        </w:r>
        <w:r w:rsidR="007D1D09">
          <w:rPr>
            <w:webHidden/>
          </w:rPr>
        </w:r>
        <w:r w:rsidR="007D1D09">
          <w:rPr>
            <w:webHidden/>
          </w:rPr>
          <w:fldChar w:fldCharType="separate"/>
        </w:r>
        <w:r>
          <w:rPr>
            <w:webHidden/>
          </w:rPr>
          <w:t>27</w:t>
        </w:r>
        <w:r w:rsidR="007D1D09">
          <w:rPr>
            <w:webHidden/>
          </w:rPr>
          <w:fldChar w:fldCharType="end"/>
        </w:r>
      </w:hyperlink>
    </w:p>
    <w:p w:rsidR="007D1D09" w:rsidRDefault="00C868E7" w:rsidP="007D1D09">
      <w:pPr>
        <w:pStyle w:val="TOC3"/>
        <w:rPr>
          <w:rFonts w:asciiTheme="minorHAnsi" w:eastAsiaTheme="minorEastAsia" w:hAnsiTheme="minorHAnsi" w:cstheme="minorBidi"/>
          <w:sz w:val="22"/>
          <w:szCs w:val="22"/>
          <w:lang w:val="en-US"/>
        </w:rPr>
      </w:pPr>
      <w:hyperlink w:anchor="_Toc463512531" w:history="1">
        <w:r w:rsidR="007D1D09" w:rsidRPr="00660DBD">
          <w:rPr>
            <w:rStyle w:val="Hyperlink"/>
            <w:lang w:val="es-ES_tradnl"/>
          </w:rPr>
          <w:t>Grupo de Trabajo Técnico sobre Hortalizas</w:t>
        </w:r>
        <w:r w:rsidR="007D1D09">
          <w:rPr>
            <w:webHidden/>
          </w:rPr>
          <w:tab/>
        </w:r>
        <w:r w:rsidR="007D1D09">
          <w:rPr>
            <w:webHidden/>
          </w:rPr>
          <w:fldChar w:fldCharType="begin"/>
        </w:r>
        <w:r w:rsidR="007D1D09">
          <w:rPr>
            <w:webHidden/>
          </w:rPr>
          <w:instrText xml:space="preserve"> PAGEREF _Toc463512531 \h </w:instrText>
        </w:r>
        <w:r w:rsidR="007D1D09">
          <w:rPr>
            <w:webHidden/>
          </w:rPr>
        </w:r>
        <w:r w:rsidR="007D1D09">
          <w:rPr>
            <w:webHidden/>
          </w:rPr>
          <w:fldChar w:fldCharType="separate"/>
        </w:r>
        <w:r>
          <w:rPr>
            <w:webHidden/>
          </w:rPr>
          <w:t>29</w:t>
        </w:r>
        <w:r w:rsidR="007D1D09">
          <w:rPr>
            <w:webHidden/>
          </w:rPr>
          <w:fldChar w:fldCharType="end"/>
        </w:r>
      </w:hyperlink>
    </w:p>
    <w:p w:rsidR="007D1D09" w:rsidRDefault="00C868E7" w:rsidP="007D1D09">
      <w:pPr>
        <w:pStyle w:val="TOC3"/>
        <w:rPr>
          <w:rFonts w:asciiTheme="minorHAnsi" w:eastAsiaTheme="minorEastAsia" w:hAnsiTheme="minorHAnsi" w:cstheme="minorBidi"/>
          <w:sz w:val="22"/>
          <w:szCs w:val="22"/>
          <w:lang w:val="en-US"/>
        </w:rPr>
      </w:pPr>
      <w:hyperlink w:anchor="_Toc463512532" w:history="1">
        <w:r w:rsidR="007D1D09" w:rsidRPr="00660DBD">
          <w:rPr>
            <w:rStyle w:val="Hyperlink"/>
            <w:lang w:val="es-ES_tradnl"/>
          </w:rPr>
          <w:t>Grupo de Trabajo sobre Técnicas Bioquímicas y Moleculares y Perfiles de ADN en particular</w:t>
        </w:r>
        <w:r w:rsidR="007D1D09">
          <w:rPr>
            <w:webHidden/>
          </w:rPr>
          <w:tab/>
        </w:r>
        <w:r w:rsidR="007D1D09">
          <w:rPr>
            <w:webHidden/>
          </w:rPr>
          <w:fldChar w:fldCharType="begin"/>
        </w:r>
        <w:r w:rsidR="007D1D09">
          <w:rPr>
            <w:webHidden/>
          </w:rPr>
          <w:instrText xml:space="preserve"> PAGEREF _Toc463512532 \h </w:instrText>
        </w:r>
        <w:r w:rsidR="007D1D09">
          <w:rPr>
            <w:webHidden/>
          </w:rPr>
        </w:r>
        <w:r w:rsidR="007D1D09">
          <w:rPr>
            <w:webHidden/>
          </w:rPr>
          <w:fldChar w:fldCharType="separate"/>
        </w:r>
        <w:r>
          <w:rPr>
            <w:webHidden/>
          </w:rPr>
          <w:t>30</w:t>
        </w:r>
        <w:r w:rsidR="007D1D09">
          <w:rPr>
            <w:webHidden/>
          </w:rPr>
          <w:fldChar w:fldCharType="end"/>
        </w:r>
      </w:hyperlink>
    </w:p>
    <w:p w:rsidR="000E71FA" w:rsidRPr="00463CB3" w:rsidRDefault="000E71FA" w:rsidP="006D6EC4">
      <w:pPr>
        <w:pStyle w:val="TOC1"/>
        <w:rPr>
          <w:snapToGrid w:val="0"/>
          <w:highlight w:val="cyan"/>
          <w:lang w:val="es-ES"/>
        </w:rPr>
      </w:pPr>
      <w:r w:rsidRPr="00463CB3">
        <w:rPr>
          <w:snapToGrid w:val="0"/>
          <w:highlight w:val="cyan"/>
          <w:lang w:val="es-ES"/>
        </w:rPr>
        <w:fldChar w:fldCharType="end"/>
      </w:r>
    </w:p>
    <w:p w:rsidR="00194B80" w:rsidRPr="00463CB3" w:rsidRDefault="00194B80" w:rsidP="00194B80">
      <w:pPr>
        <w:tabs>
          <w:tab w:val="left" w:pos="1418"/>
        </w:tabs>
        <w:rPr>
          <w:lang w:val="es-ES_tradnl"/>
        </w:rPr>
      </w:pPr>
      <w:r w:rsidRPr="00463CB3">
        <w:rPr>
          <w:lang w:val="es-ES_tradnl"/>
        </w:rPr>
        <w:t>ANEXO:</w:t>
      </w:r>
      <w:r w:rsidRPr="00463CB3">
        <w:rPr>
          <w:lang w:val="es-ES_tradnl"/>
        </w:rPr>
        <w:tab/>
        <w:t>PROGRAMA PARA LA ELABORACIÓN DE LOS DOCUMENTOS TGP</w:t>
      </w:r>
    </w:p>
    <w:p w:rsidR="000E71FA" w:rsidRPr="00463CB3" w:rsidRDefault="000E71FA" w:rsidP="000E71FA">
      <w:pPr>
        <w:tabs>
          <w:tab w:val="left" w:pos="1418"/>
        </w:tabs>
        <w:rPr>
          <w:highlight w:val="cyan"/>
          <w:lang w:val="es-ES"/>
        </w:rPr>
      </w:pPr>
    </w:p>
    <w:p w:rsidR="00FD65CE" w:rsidRDefault="00FD65CE">
      <w:pPr>
        <w:jc w:val="left"/>
        <w:rPr>
          <w:caps/>
          <w:lang w:val="es-ES"/>
        </w:rPr>
      </w:pPr>
      <w:bookmarkStart w:id="8" w:name="_Toc429150754"/>
      <w:r>
        <w:rPr>
          <w:lang w:val="es-ES"/>
        </w:rPr>
        <w:br w:type="page"/>
      </w:r>
    </w:p>
    <w:p w:rsidR="00194B80" w:rsidRPr="00194B80" w:rsidRDefault="00194B80" w:rsidP="00194B80">
      <w:pPr>
        <w:pStyle w:val="Heading1"/>
        <w:rPr>
          <w:highlight w:val="lightGray"/>
          <w:lang w:val="es-ES"/>
        </w:rPr>
      </w:pPr>
      <w:bookmarkStart w:id="9" w:name="_Toc463512495"/>
      <w:r w:rsidRPr="00194B80">
        <w:rPr>
          <w:lang w:val="es-ES"/>
        </w:rPr>
        <w:lastRenderedPageBreak/>
        <w:t>INFORME SOBRE LA MARCHA DE LA LABOR DEL COMITÉ TÉCNICO</w:t>
      </w:r>
      <w:bookmarkEnd w:id="8"/>
      <w:bookmarkEnd w:id="9"/>
    </w:p>
    <w:p w:rsidR="00194B80" w:rsidRPr="00194B80" w:rsidRDefault="00194B80" w:rsidP="00194B80">
      <w:pPr>
        <w:rPr>
          <w:snapToGrid w:val="0"/>
          <w:highlight w:val="lightGray"/>
          <w:u w:val="single"/>
          <w:lang w:val="es-ES"/>
        </w:rPr>
      </w:pPr>
    </w:p>
    <w:p w:rsidR="00194B80" w:rsidRPr="00194B80" w:rsidRDefault="00194B80" w:rsidP="00194B80">
      <w:pPr>
        <w:rPr>
          <w:lang w:val="es-ES"/>
        </w:rPr>
      </w:pPr>
      <w:r w:rsidRPr="00194B80">
        <w:rPr>
          <w:lang w:val="es-ES"/>
        </w:rPr>
        <w:fldChar w:fldCharType="begin"/>
      </w:r>
      <w:r w:rsidRPr="00194B80">
        <w:rPr>
          <w:lang w:val="es-ES"/>
        </w:rPr>
        <w:instrText xml:space="preserve"> AUTONUM  \* Arabic </w:instrText>
      </w:r>
      <w:r w:rsidRPr="00194B80">
        <w:rPr>
          <w:lang w:val="es-ES"/>
        </w:rPr>
        <w:fldChar w:fldCharType="end"/>
      </w:r>
      <w:r w:rsidRPr="00194B80">
        <w:rPr>
          <w:lang w:val="es-ES"/>
        </w:rPr>
        <w:tab/>
        <w:t>El Comité Técnico (TC) celebró su quincuagésima quinta sesión en Ginebra del 14 al 16 de marzo de 2016, bajo la presidencia del Sr. Alejandro Barrientos Priego (México), Presidente del TC.  El informe sobre las conclusiones de la sesión figura en el documento TC/52/29 Rev. “Informe revisado”.</w:t>
      </w:r>
    </w:p>
    <w:p w:rsidR="00194B80" w:rsidRPr="00194B80" w:rsidRDefault="00194B80" w:rsidP="00194B80">
      <w:pPr>
        <w:rPr>
          <w:snapToGrid w:val="0"/>
          <w:lang w:val="es-ES"/>
        </w:rPr>
      </w:pPr>
    </w:p>
    <w:p w:rsidR="00194B80" w:rsidRPr="00194B80" w:rsidRDefault="00194B80" w:rsidP="00194B80">
      <w:pPr>
        <w:rPr>
          <w:snapToGrid w:val="0"/>
          <w:lang w:val="es-ES"/>
        </w:rPr>
      </w:pPr>
      <w:r w:rsidRPr="00194B80">
        <w:rPr>
          <w:snapToGrid w:val="0"/>
          <w:lang w:val="es-ES"/>
        </w:rPr>
        <w:fldChar w:fldCharType="begin"/>
      </w:r>
      <w:r w:rsidRPr="00194B80">
        <w:rPr>
          <w:snapToGrid w:val="0"/>
          <w:lang w:val="es-ES"/>
        </w:rPr>
        <w:instrText xml:space="preserve"> AUTONUM  </w:instrText>
      </w:r>
      <w:r w:rsidRPr="00194B80">
        <w:rPr>
          <w:snapToGrid w:val="0"/>
          <w:lang w:val="es-ES"/>
        </w:rPr>
        <w:fldChar w:fldCharType="end"/>
      </w:r>
      <w:r w:rsidRPr="00194B80">
        <w:rPr>
          <w:snapToGrid w:val="0"/>
          <w:lang w:val="es-ES"/>
        </w:rPr>
        <w:tab/>
        <w:t>Asistieron a la sesión 83 participantes procedentes de 39 miembros de la Unión, dos Estados en calidad de observadores y seis organizaciones en calidad de observadoras.</w:t>
      </w:r>
    </w:p>
    <w:p w:rsidR="000E71FA" w:rsidRDefault="000E71FA" w:rsidP="000E71FA">
      <w:pPr>
        <w:rPr>
          <w:lang w:val="es-ES"/>
        </w:rPr>
      </w:pPr>
    </w:p>
    <w:p w:rsidR="006D6EC4" w:rsidRPr="00194B80" w:rsidRDefault="006D6EC4" w:rsidP="000E71FA">
      <w:pPr>
        <w:rPr>
          <w:lang w:val="es-ES"/>
        </w:rPr>
      </w:pPr>
    </w:p>
    <w:p w:rsidR="00194B80" w:rsidRPr="00194B80" w:rsidRDefault="00194B80" w:rsidP="00194B80">
      <w:pPr>
        <w:pStyle w:val="Heading2"/>
        <w:rPr>
          <w:lang w:val="es-ES"/>
        </w:rPr>
      </w:pPr>
      <w:bookmarkStart w:id="10" w:name="_Toc463512496"/>
      <w:r w:rsidRPr="00194B80">
        <w:rPr>
          <w:lang w:val="es-ES"/>
        </w:rPr>
        <w:t>Informe sobre las novedades acaecidas en la UPOV, donde figuran las cuestiones pertinentes examinadas en las últimas sesiones de Comité Administrativo y Jurídico, el Comité Consultivo y el Consejo (informe verbal del Secretario General Adjunto)</w:t>
      </w:r>
      <w:bookmarkEnd w:id="10"/>
    </w:p>
    <w:p w:rsidR="00194B80" w:rsidRPr="00194B80" w:rsidRDefault="00194B80" w:rsidP="00194B80">
      <w:pPr>
        <w:keepNext/>
        <w:rPr>
          <w:snapToGrid w:val="0"/>
          <w:lang w:val="es-ES"/>
        </w:rPr>
      </w:pPr>
    </w:p>
    <w:p w:rsidR="00194B80" w:rsidRPr="00194B80" w:rsidRDefault="00194B80" w:rsidP="00194B80">
      <w:pPr>
        <w:keepNext/>
        <w:rPr>
          <w:lang w:val="es-ES"/>
        </w:rPr>
      </w:pPr>
      <w:r w:rsidRPr="00194B80">
        <w:rPr>
          <w:lang w:val="es-ES"/>
        </w:rPr>
        <w:fldChar w:fldCharType="begin"/>
      </w:r>
      <w:r w:rsidRPr="00194B80">
        <w:rPr>
          <w:lang w:val="es-ES"/>
        </w:rPr>
        <w:instrText xml:space="preserve"> AUTONUM  </w:instrText>
      </w:r>
      <w:r w:rsidRPr="00194B80">
        <w:rPr>
          <w:lang w:val="es-ES"/>
        </w:rPr>
        <w:fldChar w:fldCharType="end"/>
      </w:r>
      <w:r w:rsidRPr="00194B80">
        <w:rPr>
          <w:lang w:val="es-ES"/>
        </w:rPr>
        <w:tab/>
        <w:t>El TC examinó el documento TC/52/10 y escuchó un informe verbal del Secretario General Adjunto.</w:t>
      </w:r>
    </w:p>
    <w:p w:rsidR="00194B80" w:rsidRPr="00194B80" w:rsidRDefault="00194B80" w:rsidP="00194B80">
      <w:pPr>
        <w:rPr>
          <w:lang w:val="es-ES"/>
        </w:rPr>
      </w:pPr>
    </w:p>
    <w:p w:rsidR="00194B80" w:rsidRPr="00194B80" w:rsidRDefault="00194B80" w:rsidP="00194B80">
      <w:pPr>
        <w:rPr>
          <w:rFonts w:cs="Arial"/>
          <w:snapToGrid w:val="0"/>
          <w:lang w:val="es-ES"/>
        </w:rPr>
      </w:pPr>
      <w:r w:rsidRPr="00194B80">
        <w:rPr>
          <w:lang w:val="es-ES"/>
        </w:rPr>
        <w:fldChar w:fldCharType="begin"/>
      </w:r>
      <w:r w:rsidRPr="00194B80">
        <w:rPr>
          <w:lang w:val="es-ES"/>
        </w:rPr>
        <w:instrText xml:space="preserve"> AUTONUM  </w:instrText>
      </w:r>
      <w:r w:rsidRPr="00194B80">
        <w:rPr>
          <w:lang w:val="es-ES"/>
        </w:rPr>
        <w:fldChar w:fldCharType="end"/>
      </w:r>
      <w:r w:rsidRPr="00194B80">
        <w:rPr>
          <w:lang w:val="es-ES"/>
        </w:rPr>
        <w:tab/>
      </w:r>
      <w:r w:rsidRPr="00194B80">
        <w:rPr>
          <w:rFonts w:cs="Arial"/>
          <w:snapToGrid w:val="0"/>
          <w:lang w:val="es-ES"/>
        </w:rPr>
        <w:t>El TC tomó nota de las novedades acaecidas en la UPOV, incluidas las cuestiones pertinentes debatidas en las últimas sesiones del Comité Administrativo y Jurídico, el Comité Consultivo y el Consejo, según lo expuesto en los párrafos 3 a 41 del documento TC/52/10.</w:t>
      </w:r>
    </w:p>
    <w:p w:rsidR="000E71FA" w:rsidRDefault="000E71FA" w:rsidP="000E71FA">
      <w:pPr>
        <w:rPr>
          <w:lang w:val="es-ES"/>
        </w:rPr>
      </w:pPr>
    </w:p>
    <w:p w:rsidR="006D6EC4" w:rsidRPr="00194B80" w:rsidRDefault="006D6EC4" w:rsidP="000E71FA">
      <w:pPr>
        <w:rPr>
          <w:lang w:val="es-ES"/>
        </w:rPr>
      </w:pPr>
    </w:p>
    <w:p w:rsidR="00EF6860" w:rsidRPr="00EF6860" w:rsidRDefault="00EF6860" w:rsidP="00EF6860">
      <w:pPr>
        <w:keepNext/>
        <w:rPr>
          <w:u w:val="single"/>
          <w:lang w:val="es-ES"/>
        </w:rPr>
      </w:pPr>
      <w:r w:rsidRPr="00EF6860">
        <w:rPr>
          <w:u w:val="single"/>
          <w:lang w:val="es-ES_tradnl"/>
        </w:rPr>
        <w:t>Cuestiones planteadas por los Grupos de Trabajo Técnico</w:t>
      </w:r>
    </w:p>
    <w:p w:rsidR="00EF6860" w:rsidRPr="00EF6860" w:rsidRDefault="00EF6860" w:rsidP="00EF6860">
      <w:pPr>
        <w:keepNext/>
        <w:rPr>
          <w:lang w:val="es-ES"/>
        </w:rPr>
      </w:pPr>
    </w:p>
    <w:p w:rsidR="00EF6860" w:rsidRPr="00EF6860" w:rsidRDefault="00EF6860" w:rsidP="00EF6860">
      <w:pPr>
        <w:keepNext/>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examinó el documento TC/52/3.</w:t>
      </w:r>
    </w:p>
    <w:p w:rsidR="00EF6860" w:rsidRPr="00EF6860" w:rsidRDefault="00EF6860" w:rsidP="00EF6860">
      <w:pPr>
        <w:rPr>
          <w:lang w:val="es-ES"/>
        </w:rPr>
      </w:pPr>
    </w:p>
    <w:p w:rsidR="00EF6860" w:rsidRPr="00EF6860" w:rsidRDefault="00EF6860" w:rsidP="00EF6860">
      <w:pPr>
        <w:rPr>
          <w:b/>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acordó solicitar a expertos de los miembros de la UPOV que proporcionen datos al Reino Unido a fin de elaborar una metodología para excluir las variedades notoriamente conocidas del segundo ciclo de cultivo cuando se emplea el COYD, como se indica en el párrafo 6 del documento TC/52/3.</w:t>
      </w:r>
      <w:r w:rsidRPr="00EF6860">
        <w:rPr>
          <w:lang w:val="es-ES"/>
        </w:rPr>
        <w:t xml:space="preserve">  </w:t>
      </w:r>
      <w:r w:rsidRPr="00EF6860">
        <w:rPr>
          <w:lang w:val="es-ES_tradnl"/>
        </w:rPr>
        <w:t>El TC señaló que la Oficina de la Unión emitiría una circular en la que invitaría a proporcionar datos.</w:t>
      </w:r>
    </w:p>
    <w:p w:rsidR="00EF6860" w:rsidRPr="00EF6860" w:rsidRDefault="00EF6860" w:rsidP="00EF6860">
      <w:pPr>
        <w:rPr>
          <w:lang w:val="es-ES"/>
        </w:rPr>
      </w:pPr>
    </w:p>
    <w:p w:rsidR="00EF6860" w:rsidRPr="00EF6860" w:rsidRDefault="00EF6860" w:rsidP="00EF6860">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convino en incluir en el orden del día de la quincuagésima tercera sesión del TC la determinación de umbrales para excluir las variedades notoriamente conocidas del segundo ciclo de cultivo cuando se emplea el COYD, sobre la base de un documento que elaborará el Reino Unido .</w:t>
      </w:r>
    </w:p>
    <w:p w:rsidR="00EF6860" w:rsidRPr="00EF6860" w:rsidRDefault="00EF6860" w:rsidP="00EF6860">
      <w:pPr>
        <w:rPr>
          <w:lang w:val="es-ES"/>
        </w:rPr>
      </w:pPr>
    </w:p>
    <w:p w:rsidR="00EF6860" w:rsidRPr="00EF6860" w:rsidRDefault="00EF6860" w:rsidP="00EF6860">
      <w:pPr>
        <w:keepNext/>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tomó nota de las novedades acaecidas en los TWP en relación con las siguientes cuestiones expuestas en el documento TC/52/3:</w:t>
      </w:r>
    </w:p>
    <w:p w:rsidR="00EF6860" w:rsidRPr="00EF6860" w:rsidRDefault="00EF6860" w:rsidP="00EF6860">
      <w:pPr>
        <w:keepNext/>
        <w:rPr>
          <w:lang w:val="es-ES"/>
        </w:rPr>
      </w:pPr>
    </w:p>
    <w:p w:rsidR="00EF6860" w:rsidRPr="00EF6860" w:rsidRDefault="00EF6860" w:rsidP="00EF6860">
      <w:pPr>
        <w:keepNext/>
        <w:ind w:left="567"/>
        <w:rPr>
          <w:lang w:val="es-ES"/>
        </w:rPr>
      </w:pPr>
      <w:r w:rsidRPr="00EF6860">
        <w:rPr>
          <w:lang w:val="es-ES"/>
        </w:rPr>
        <w:t>a)</w:t>
      </w:r>
      <w:r w:rsidRPr="00EF6860">
        <w:rPr>
          <w:lang w:val="es-ES"/>
        </w:rPr>
        <w:tab/>
      </w:r>
      <w:r w:rsidRPr="00EF6860">
        <w:rPr>
          <w:lang w:val="es-ES_tradnl"/>
        </w:rPr>
        <w:t>experiencias con nuevos tipos y especies;</w:t>
      </w:r>
    </w:p>
    <w:p w:rsidR="00EF6860" w:rsidRPr="00EF6860" w:rsidRDefault="00EF6860" w:rsidP="00EF6860">
      <w:pPr>
        <w:ind w:left="567"/>
        <w:rPr>
          <w:lang w:val="es-ES"/>
        </w:rPr>
      </w:pPr>
      <w:r w:rsidRPr="00EF6860">
        <w:rPr>
          <w:lang w:val="es-ES"/>
        </w:rPr>
        <w:t>b)</w:t>
      </w:r>
      <w:r w:rsidRPr="00EF6860">
        <w:rPr>
          <w:lang w:val="es-ES"/>
        </w:rPr>
        <w:tab/>
      </w:r>
      <w:r w:rsidRPr="00EF6860">
        <w:rPr>
          <w:lang w:val="es-ES_tradnl"/>
        </w:rPr>
        <w:t>nuevas cuestiones que se plantean en relación con el examen DHE;</w:t>
      </w:r>
    </w:p>
    <w:p w:rsidR="00EF6860" w:rsidRPr="00EF6860" w:rsidRDefault="00EF6860" w:rsidP="00EF6860">
      <w:pPr>
        <w:ind w:left="567"/>
        <w:rPr>
          <w:lang w:val="es-ES"/>
        </w:rPr>
      </w:pPr>
      <w:r w:rsidRPr="00EF6860">
        <w:rPr>
          <w:lang w:val="es-ES"/>
        </w:rPr>
        <w:t>c)</w:t>
      </w:r>
      <w:r w:rsidRPr="00EF6860">
        <w:rPr>
          <w:lang w:val="es-ES"/>
        </w:rPr>
        <w:tab/>
      </w:r>
      <w:r w:rsidRPr="00EF6860">
        <w:rPr>
          <w:lang w:val="es-ES_tradnl"/>
        </w:rPr>
        <w:t>utilización de caracteres de resistencia a las enfermedades en el examen DHE;</w:t>
      </w:r>
    </w:p>
    <w:p w:rsidR="00EF6860" w:rsidRPr="00EF6860" w:rsidRDefault="00EF6860" w:rsidP="00EF6860">
      <w:pPr>
        <w:ind w:left="1418" w:hanging="851"/>
        <w:rPr>
          <w:lang w:val="es-ES"/>
        </w:rPr>
      </w:pPr>
      <w:r w:rsidRPr="00EF6860">
        <w:rPr>
          <w:lang w:val="es-ES"/>
        </w:rPr>
        <w:t>d)</w:t>
      </w:r>
      <w:r w:rsidRPr="00EF6860">
        <w:rPr>
          <w:lang w:val="es-ES"/>
        </w:rPr>
        <w:tab/>
      </w:r>
      <w:r w:rsidRPr="00EF6860">
        <w:rPr>
          <w:lang w:val="es-ES_tradnl"/>
        </w:rPr>
        <w:t>influencia de distintas fuentes en el material de multiplicación vegetativa que se utiliza en el examen DHE;</w:t>
      </w:r>
      <w:r w:rsidRPr="00EF6860">
        <w:rPr>
          <w:lang w:val="es-ES"/>
        </w:rPr>
        <w:t xml:space="preserve"> </w:t>
      </w:r>
    </w:p>
    <w:p w:rsidR="00EF6860" w:rsidRPr="00EF6860" w:rsidRDefault="00EF6860" w:rsidP="00EF6860">
      <w:pPr>
        <w:ind w:left="567"/>
        <w:rPr>
          <w:lang w:val="es-ES"/>
        </w:rPr>
      </w:pPr>
      <w:r w:rsidRPr="00EF6860">
        <w:rPr>
          <w:lang w:val="es-ES"/>
        </w:rPr>
        <w:t>e)</w:t>
      </w:r>
      <w:r w:rsidRPr="00EF6860">
        <w:rPr>
          <w:lang w:val="es-ES"/>
        </w:rPr>
        <w:tab/>
      </w:r>
      <w:r w:rsidRPr="00EF6860">
        <w:rPr>
          <w:lang w:val="es-ES_tradnl"/>
        </w:rPr>
        <w:t>ejemplos de diferentes prácticas de cultivo en el examen DHE;</w:t>
      </w:r>
    </w:p>
    <w:p w:rsidR="00EF6860" w:rsidRPr="00EF6860" w:rsidRDefault="00EF6860" w:rsidP="00EF6860">
      <w:pPr>
        <w:ind w:left="567"/>
        <w:rPr>
          <w:lang w:val="es-ES"/>
        </w:rPr>
      </w:pPr>
      <w:r w:rsidRPr="00EF6860">
        <w:rPr>
          <w:lang w:val="es-ES"/>
        </w:rPr>
        <w:t>f)</w:t>
      </w:r>
      <w:r w:rsidRPr="00EF6860">
        <w:rPr>
          <w:lang w:val="es-ES"/>
        </w:rPr>
        <w:tab/>
      </w:r>
      <w:r w:rsidRPr="00EF6860">
        <w:rPr>
          <w:lang w:val="es-ES"/>
        </w:rPr>
        <w:tab/>
      </w:r>
      <w:r w:rsidRPr="00EF6860">
        <w:rPr>
          <w:lang w:val="es-ES_tradnl"/>
        </w:rPr>
        <w:t>gestión de las colecciones de referencia;</w:t>
      </w:r>
    </w:p>
    <w:p w:rsidR="00EF6860" w:rsidRPr="00EF6860" w:rsidRDefault="00EF6860" w:rsidP="00EF6860">
      <w:pPr>
        <w:ind w:left="567"/>
        <w:rPr>
          <w:lang w:val="es-ES_tradnl"/>
        </w:rPr>
      </w:pPr>
      <w:r w:rsidRPr="00EF6860">
        <w:rPr>
          <w:lang w:val="es-ES"/>
        </w:rPr>
        <w:t>g)</w:t>
      </w:r>
      <w:r w:rsidRPr="00EF6860">
        <w:rPr>
          <w:lang w:val="es-ES"/>
        </w:rPr>
        <w:tab/>
      </w:r>
      <w:r w:rsidRPr="00EF6860">
        <w:rPr>
          <w:lang w:val="es-ES_tradnl"/>
        </w:rPr>
        <w:t>variedades ejemplo armonizadas del manzano: datos históricos y posibles novedades;</w:t>
      </w:r>
    </w:p>
    <w:p w:rsidR="00EF6860" w:rsidRPr="00EF6860" w:rsidRDefault="00EF6860" w:rsidP="00EF6860">
      <w:pPr>
        <w:ind w:left="567"/>
        <w:rPr>
          <w:lang w:val="es-ES_tradnl"/>
        </w:rPr>
      </w:pPr>
      <w:r w:rsidRPr="00EF6860">
        <w:rPr>
          <w:lang w:val="es-ES_tradnl"/>
        </w:rPr>
        <w:t>h)</w:t>
      </w:r>
      <w:r w:rsidRPr="00EF6860">
        <w:rPr>
          <w:lang w:val="es-ES_tradnl"/>
        </w:rPr>
        <w:tab/>
        <w:t>sistema de gestión de solicitudes y base de datos de descripciones de variedades de China;</w:t>
      </w:r>
    </w:p>
    <w:p w:rsidR="00EF6860" w:rsidRPr="00EF6860" w:rsidRDefault="00EF6860" w:rsidP="00EF6860">
      <w:pPr>
        <w:ind w:left="1418" w:hanging="851"/>
        <w:rPr>
          <w:lang w:val="es-ES_tradnl"/>
        </w:rPr>
      </w:pPr>
      <w:r w:rsidRPr="00EF6860">
        <w:rPr>
          <w:lang w:val="es-ES_tradnl"/>
        </w:rPr>
        <w:t>i)</w:t>
      </w:r>
      <w:r w:rsidRPr="00EF6860">
        <w:rPr>
          <w:lang w:val="es-ES_tradnl"/>
        </w:rPr>
        <w:tab/>
        <w:t>sistema de análisis de imágenes en China;</w:t>
      </w:r>
    </w:p>
    <w:p w:rsidR="00EF6860" w:rsidRPr="00EF6860" w:rsidRDefault="00EF6860" w:rsidP="00EF6860">
      <w:pPr>
        <w:ind w:left="1418" w:hanging="851"/>
        <w:rPr>
          <w:lang w:val="es-ES_tradnl"/>
        </w:rPr>
      </w:pPr>
      <w:r w:rsidRPr="00EF6860">
        <w:rPr>
          <w:lang w:val="es-ES_tradnl"/>
        </w:rPr>
        <w:t>j)</w:t>
      </w:r>
      <w:r w:rsidRPr="00EF6860">
        <w:rPr>
          <w:lang w:val="es-ES_tradnl"/>
        </w:rPr>
        <w:tab/>
        <w:t>sistemas portátiles de registro de datos en Alemania y en Francia;</w:t>
      </w:r>
    </w:p>
    <w:p w:rsidR="00EF6860" w:rsidRPr="00EF6860" w:rsidRDefault="00EF6860" w:rsidP="00EF6860">
      <w:pPr>
        <w:ind w:left="567"/>
        <w:rPr>
          <w:lang w:val="es-ES_tradnl"/>
        </w:rPr>
      </w:pPr>
      <w:r w:rsidRPr="00EF6860">
        <w:rPr>
          <w:lang w:val="es-ES_tradnl"/>
        </w:rPr>
        <w:t>k)</w:t>
      </w:r>
      <w:r w:rsidRPr="00EF6860">
        <w:rPr>
          <w:lang w:val="es-ES_tradnl"/>
        </w:rPr>
        <w:tab/>
        <w:t>matriz de ponderación para la soja en el programa informático GAIA;</w:t>
      </w:r>
    </w:p>
    <w:p w:rsidR="00EF6860" w:rsidRPr="00EF6860" w:rsidRDefault="00EF6860" w:rsidP="00EF6860">
      <w:pPr>
        <w:ind w:left="1418" w:hanging="851"/>
        <w:rPr>
          <w:lang w:val="es-ES"/>
        </w:rPr>
      </w:pPr>
      <w:r w:rsidRPr="00EF6860">
        <w:rPr>
          <w:lang w:val="es-ES_tradnl"/>
        </w:rPr>
        <w:t>l)</w:t>
      </w:r>
      <w:r w:rsidRPr="00EF6860">
        <w:rPr>
          <w:lang w:val="es-ES_tradnl"/>
        </w:rPr>
        <w:tab/>
        <w:t>documentos de reunión de sesiones anteriores de los TWP;</w:t>
      </w:r>
    </w:p>
    <w:p w:rsidR="00EF6860" w:rsidRPr="00EF6860" w:rsidRDefault="00EF6860" w:rsidP="00EF6860">
      <w:pPr>
        <w:ind w:left="567"/>
        <w:rPr>
          <w:lang w:val="es-ES"/>
        </w:rPr>
      </w:pPr>
      <w:r w:rsidRPr="00EF6860">
        <w:rPr>
          <w:lang w:val="es-ES"/>
        </w:rPr>
        <w:t>m)</w:t>
      </w:r>
      <w:r w:rsidRPr="00EF6860">
        <w:rPr>
          <w:lang w:val="es-ES"/>
        </w:rPr>
        <w:tab/>
      </w:r>
      <w:r w:rsidRPr="00EF6860">
        <w:rPr>
          <w:lang w:val="es-ES_tradnl"/>
        </w:rPr>
        <w:t>calendario de la semana para las sesiones de los TWP (plan de trabajo);  y</w:t>
      </w:r>
    </w:p>
    <w:p w:rsidR="00EF6860" w:rsidRPr="00EF6860" w:rsidRDefault="00EF6860" w:rsidP="00EF6860">
      <w:pPr>
        <w:ind w:left="567"/>
        <w:rPr>
          <w:lang w:val="es-ES"/>
        </w:rPr>
      </w:pPr>
      <w:r w:rsidRPr="00EF6860">
        <w:rPr>
          <w:lang w:val="es-ES"/>
        </w:rPr>
        <w:t>n)</w:t>
      </w:r>
      <w:r w:rsidRPr="00EF6860">
        <w:rPr>
          <w:lang w:val="es-ES"/>
        </w:rPr>
        <w:tab/>
      </w:r>
      <w:r w:rsidRPr="00EF6860">
        <w:rPr>
          <w:lang w:val="es-ES_tradnl"/>
        </w:rPr>
        <w:t>curso de enseñanza a distancia “DL-305”.</w:t>
      </w:r>
    </w:p>
    <w:p w:rsidR="00EF6860" w:rsidRPr="00EF6860" w:rsidRDefault="00EF6860" w:rsidP="00EF6860">
      <w:pPr>
        <w:rPr>
          <w:lang w:val="es-ES"/>
        </w:rPr>
      </w:pPr>
    </w:p>
    <w:p w:rsidR="00EF6860" w:rsidRPr="00EF6860" w:rsidRDefault="00EF6860" w:rsidP="00EF6860">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convino en que la utilización de caracteres de resistencia a las enfermedades, según se expone en los párrafos 17 a 20 del documento TC/52/3, debe incluirse como punto del orden del día de su quincuagésima tercera sesión.</w:t>
      </w:r>
      <w:r w:rsidRPr="00EF6860">
        <w:rPr>
          <w:lang w:val="es-ES"/>
        </w:rPr>
        <w:t xml:space="preserve">  </w:t>
      </w:r>
      <w:r w:rsidRPr="00EF6860">
        <w:rPr>
          <w:lang w:val="es-ES_tradnl"/>
        </w:rPr>
        <w:t>Acordó asimismo que en el punto del orden del día también debía abordarse la utilización de caracteres de resistencia a los insectos y decidió invitar a la Unión Europea y a otros miembros de la Unión a que presenten ponencias.</w:t>
      </w:r>
      <w:r w:rsidRPr="00EF6860">
        <w:rPr>
          <w:lang w:val="es-ES"/>
        </w:rPr>
        <w:t xml:space="preserve">  </w:t>
      </w:r>
    </w:p>
    <w:p w:rsidR="00EF6860" w:rsidRPr="00EF6860" w:rsidRDefault="00EF6860" w:rsidP="00EF6860">
      <w:pPr>
        <w:rPr>
          <w:lang w:val="es-ES"/>
        </w:rPr>
      </w:pPr>
    </w:p>
    <w:p w:rsidR="00EF6860" w:rsidRPr="00EF6860" w:rsidRDefault="00EF6860" w:rsidP="00EF6860">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acordó que debía incluirse como punto del orden del día de su quincuagésima tercera sesión la gestión de las colecciones de variedades que la autoridad no gestiona directamente, según se expone en los párrafos 25 a 27 del documento TC/52/3, y acordó invitar a Francia y otros miembros de la Unión a que presenten ponencias.</w:t>
      </w:r>
    </w:p>
    <w:p w:rsidR="00EF6860" w:rsidRPr="00EF6860" w:rsidRDefault="00EF6860" w:rsidP="00EF6860">
      <w:pPr>
        <w:keepNext/>
        <w:ind w:left="567" w:hanging="567"/>
        <w:rPr>
          <w:u w:val="single"/>
          <w:lang w:val="es-ES"/>
        </w:rPr>
      </w:pPr>
      <w:r w:rsidRPr="00EF6860">
        <w:rPr>
          <w:u w:val="single"/>
          <w:lang w:val="es-ES_tradnl"/>
        </w:rPr>
        <w:t>Documentos TGP</w:t>
      </w:r>
    </w:p>
    <w:p w:rsidR="00EF6860" w:rsidRPr="00EF6860" w:rsidRDefault="00EF6860" w:rsidP="00EF6860">
      <w:pPr>
        <w:keepNext/>
        <w:rPr>
          <w:lang w:val="es-ES"/>
        </w:rPr>
      </w:pPr>
    </w:p>
    <w:p w:rsidR="00EF6860" w:rsidRPr="00EF6860" w:rsidRDefault="00EF6860" w:rsidP="00EF6860">
      <w:pPr>
        <w:keepNext/>
        <w:outlineLvl w:val="2"/>
        <w:rPr>
          <w:i/>
          <w:lang w:val="es-ES"/>
        </w:rPr>
      </w:pPr>
      <w:bookmarkStart w:id="11" w:name="_Toc463512497"/>
      <w:r w:rsidRPr="00EF6860">
        <w:rPr>
          <w:i/>
          <w:lang w:val="es-ES_tradnl"/>
        </w:rPr>
        <w:t>Asuntos sujetos a aprobación por el consejo en 2016</w:t>
      </w:r>
      <w:bookmarkEnd w:id="11"/>
    </w:p>
    <w:p w:rsidR="00EF6860" w:rsidRPr="00EF6860" w:rsidRDefault="00EF6860" w:rsidP="00463CB3">
      <w:pPr>
        <w:rPr>
          <w:lang w:val="es-ES"/>
        </w:rPr>
      </w:pPr>
    </w:p>
    <w:p w:rsidR="00EF6860" w:rsidRPr="00463CB3" w:rsidRDefault="00EF6860" w:rsidP="00463CB3">
      <w:pPr>
        <w:ind w:left="567"/>
        <w:outlineLvl w:val="3"/>
        <w:rPr>
          <w:i/>
          <w:lang w:val="es-ES"/>
        </w:rPr>
      </w:pPr>
      <w:bookmarkStart w:id="12" w:name="_Toc442110568"/>
      <w:r w:rsidRPr="00463CB3">
        <w:rPr>
          <w:i/>
          <w:lang w:val="es-ES_tradnl"/>
        </w:rPr>
        <w:t>TGP/7:</w:t>
      </w:r>
      <w:r w:rsidRPr="00463CB3">
        <w:rPr>
          <w:i/>
          <w:lang w:val="es-ES"/>
        </w:rPr>
        <w:t xml:space="preserve"> </w:t>
      </w:r>
      <w:bookmarkEnd w:id="12"/>
      <w:r w:rsidR="00463CB3">
        <w:rPr>
          <w:i/>
          <w:lang w:val="es-ES"/>
        </w:rPr>
        <w:t xml:space="preserve"> </w:t>
      </w:r>
      <w:r w:rsidRPr="00463CB3">
        <w:rPr>
          <w:i/>
          <w:lang w:val="es-ES_tradnl"/>
        </w:rPr>
        <w:t>Elaboración de las directrices de examen</w:t>
      </w:r>
    </w:p>
    <w:p w:rsidR="00EF6860" w:rsidRPr="00463CB3" w:rsidRDefault="00EF6860" w:rsidP="00463CB3">
      <w:pPr>
        <w:rPr>
          <w:rFonts w:cs="Arial"/>
          <w:lang w:val="es-ES"/>
        </w:rPr>
      </w:pPr>
    </w:p>
    <w:p w:rsidR="00EF6860" w:rsidRPr="00463CB3" w:rsidRDefault="00EF6860" w:rsidP="00463CB3">
      <w:pPr>
        <w:ind w:left="1134" w:hanging="567"/>
        <w:outlineLvl w:val="4"/>
        <w:rPr>
          <w:sz w:val="18"/>
          <w:szCs w:val="18"/>
          <w:lang w:val="es-ES"/>
        </w:rPr>
      </w:pPr>
      <w:bookmarkStart w:id="13" w:name="_Toc412193724"/>
      <w:bookmarkStart w:id="14" w:name="_Toc442110569"/>
      <w:r w:rsidRPr="00463CB3">
        <w:rPr>
          <w:sz w:val="18"/>
          <w:szCs w:val="18"/>
          <w:lang w:val="es-ES"/>
        </w:rPr>
        <w:t>i)</w:t>
      </w:r>
      <w:r w:rsidRPr="00463CB3">
        <w:rPr>
          <w:sz w:val="18"/>
          <w:szCs w:val="18"/>
          <w:lang w:val="es-ES"/>
        </w:rPr>
        <w:tab/>
      </w:r>
      <w:bookmarkEnd w:id="13"/>
      <w:bookmarkEnd w:id="14"/>
      <w:r w:rsidRPr="00463CB3">
        <w:rPr>
          <w:sz w:val="18"/>
          <w:szCs w:val="18"/>
          <w:lang w:val="es-ES_tradnl"/>
        </w:rPr>
        <w:t>Cobertura de las directrices de examen</w:t>
      </w:r>
    </w:p>
    <w:p w:rsidR="00EF6860" w:rsidRPr="00463CB3" w:rsidRDefault="00EF6860" w:rsidP="00463CB3">
      <w:pPr>
        <w:rPr>
          <w:rFonts w:cs="Arial"/>
          <w:lang w:val="es-ES"/>
        </w:rPr>
      </w:pPr>
    </w:p>
    <w:p w:rsidR="00EF6860" w:rsidRPr="00EF6860" w:rsidRDefault="00EF6860" w:rsidP="00463CB3">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examinó el documento TC/52/5.</w:t>
      </w:r>
    </w:p>
    <w:p w:rsidR="00EF6860" w:rsidRPr="00EF6860" w:rsidRDefault="00EF6860" w:rsidP="00463CB3">
      <w:pPr>
        <w:rPr>
          <w:lang w:val="es-ES"/>
        </w:rPr>
      </w:pPr>
    </w:p>
    <w:p w:rsidR="00EF6860" w:rsidRPr="00EF6860" w:rsidRDefault="00EF6860" w:rsidP="00463CB3">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tomó nota de la nueva sección titulada “Cobertura de las directrices de examen” que el TC ya había acordado incluir en la revisión del documento TGP/7 que se someterá a la aprobación del Consejo en octubre de 2016, según se expone en el párrafo 7 del documento TC/52/5.</w:t>
      </w:r>
    </w:p>
    <w:p w:rsidR="00EF6860" w:rsidRPr="00EF6860" w:rsidRDefault="00EF6860" w:rsidP="00463CB3">
      <w:pPr>
        <w:rPr>
          <w:lang w:val="es-ES"/>
        </w:rPr>
      </w:pPr>
    </w:p>
    <w:p w:rsidR="00EF6860" w:rsidRPr="00463CB3" w:rsidRDefault="00EF6860" w:rsidP="00463CB3">
      <w:pPr>
        <w:ind w:left="1134" w:hanging="567"/>
        <w:outlineLvl w:val="4"/>
        <w:rPr>
          <w:sz w:val="18"/>
          <w:szCs w:val="18"/>
          <w:lang w:val="es-ES"/>
        </w:rPr>
      </w:pPr>
      <w:r w:rsidRPr="00463CB3">
        <w:rPr>
          <w:sz w:val="18"/>
          <w:szCs w:val="18"/>
          <w:lang w:val="es-ES"/>
        </w:rPr>
        <w:t>ii)</w:t>
      </w:r>
      <w:r w:rsidRPr="00463CB3">
        <w:rPr>
          <w:sz w:val="18"/>
          <w:szCs w:val="18"/>
          <w:lang w:val="es-ES"/>
        </w:rPr>
        <w:tab/>
      </w:r>
      <w:r w:rsidRPr="00463CB3">
        <w:rPr>
          <w:sz w:val="18"/>
          <w:szCs w:val="18"/>
          <w:lang w:val="es-ES_tradnl"/>
        </w:rPr>
        <w:t>Uso en las directrices de examen de texto, fotografías e ilustraciones amparadas por derechos de propiedad intelectual</w:t>
      </w:r>
    </w:p>
    <w:p w:rsidR="00EF6860" w:rsidRPr="00EF6860" w:rsidRDefault="00EF6860" w:rsidP="00463CB3">
      <w:pPr>
        <w:rPr>
          <w:lang w:val="es-ES"/>
        </w:rPr>
      </w:pPr>
    </w:p>
    <w:p w:rsidR="00EF6860" w:rsidRPr="00EF6860" w:rsidRDefault="00EF6860" w:rsidP="00463CB3">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examinó el documento TC/52/14 y convino en proponer que en la revisión del documento TGP/7 que se someterá a la aprobación del Consejo en octubre de 2016 se incluya orientación acerca del texto, las fotografías, las ilustraciones u otros materiales que puedan estar amparados por derechos de terceros, con la redacción siguiente:</w:t>
      </w:r>
    </w:p>
    <w:p w:rsidR="00EF6860" w:rsidRPr="00EF6860" w:rsidRDefault="00EF6860" w:rsidP="00EF6860">
      <w:pPr>
        <w:rPr>
          <w:lang w:val="es-ES"/>
        </w:rPr>
      </w:pPr>
    </w:p>
    <w:p w:rsidR="00EF6860" w:rsidRPr="00EF6860" w:rsidRDefault="00EF6860" w:rsidP="00EF6860">
      <w:pPr>
        <w:ind w:left="567" w:right="567"/>
        <w:rPr>
          <w:sz w:val="18"/>
          <w:szCs w:val="18"/>
          <w:lang w:val="es-ES"/>
        </w:rPr>
      </w:pPr>
      <w:r w:rsidRPr="00EF6860">
        <w:rPr>
          <w:sz w:val="18"/>
          <w:szCs w:val="18"/>
          <w:lang w:val="es-ES_tradnl"/>
        </w:rPr>
        <w:t>“En caso de que se utilice texto, fotografías, ilustraciones u otros materiales que estén amparados por derechos de terceros, será responsabilidad del autor del documento, en particular de las directrices de examen, obtener el permiso correspondiente.</w:t>
      </w:r>
      <w:r w:rsidRPr="00EF6860">
        <w:rPr>
          <w:sz w:val="18"/>
          <w:szCs w:val="18"/>
          <w:lang w:val="es-ES"/>
        </w:rPr>
        <w:t xml:space="preserve">  </w:t>
      </w:r>
      <w:r w:rsidRPr="00EF6860">
        <w:rPr>
          <w:sz w:val="18"/>
          <w:szCs w:val="18"/>
          <w:lang w:val="es-ES_tradnl"/>
        </w:rPr>
        <w:t>En los documentos no se incluirán materiales que precisen de un permiso si este no se ha obtenido.</w:t>
      </w:r>
    </w:p>
    <w:p w:rsidR="00EF6860" w:rsidRPr="00EF6860" w:rsidRDefault="00EF6860" w:rsidP="00EF6860">
      <w:pPr>
        <w:ind w:left="567" w:right="567"/>
        <w:rPr>
          <w:sz w:val="18"/>
          <w:szCs w:val="18"/>
          <w:lang w:val="es-ES"/>
        </w:rPr>
      </w:pPr>
    </w:p>
    <w:p w:rsidR="00EF6860" w:rsidRPr="00EF6860" w:rsidRDefault="00EF6860" w:rsidP="00EF6860">
      <w:pPr>
        <w:ind w:left="567" w:right="567"/>
        <w:rPr>
          <w:sz w:val="18"/>
          <w:szCs w:val="18"/>
          <w:lang w:val="es-ES"/>
        </w:rPr>
      </w:pPr>
      <w:r w:rsidRPr="00EF6860">
        <w:rPr>
          <w:sz w:val="18"/>
          <w:szCs w:val="18"/>
          <w:lang w:val="es-ES_tradnl"/>
        </w:rPr>
        <w:t>“Cuando en las directrices de examen se utilice texto, fotografías, ilustraciones u otros materiales que estén amparados por derechos de terceros, deberá indicarse que el tercero ha renunciado a sus derechos a los efectos del examen DHE y de la elaboración de descripciones de variedades (por ejemplo, indicando ‘Cortesía de [nombre del titular del derecho de autor]’ junto a la imagen protegida por el derecho de autor).”</w:t>
      </w:r>
    </w:p>
    <w:p w:rsidR="00EF6860" w:rsidRPr="00EF6860" w:rsidRDefault="00EF6860" w:rsidP="00EF6860">
      <w:pPr>
        <w:rPr>
          <w:lang w:val="es-ES"/>
        </w:rPr>
      </w:pPr>
    </w:p>
    <w:p w:rsidR="00EF6860" w:rsidRPr="00EF6860" w:rsidRDefault="00EF6860" w:rsidP="00EF6860">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acordó incluir en la plantilla en Internet de los documentos TG una mención relativa al texto, las fotografías, las ilustraciones u otros materiales que puedan estar amparados por derechos de terceros.</w:t>
      </w:r>
    </w:p>
    <w:p w:rsidR="00EF6860" w:rsidRPr="00EF6860" w:rsidRDefault="00EF6860" w:rsidP="00463CB3">
      <w:pPr>
        <w:rPr>
          <w:lang w:val="es-ES"/>
        </w:rPr>
      </w:pPr>
    </w:p>
    <w:p w:rsidR="00EF6860" w:rsidRPr="00463CB3" w:rsidRDefault="00EF6860" w:rsidP="00463CB3">
      <w:pPr>
        <w:ind w:left="1134" w:hanging="567"/>
        <w:outlineLvl w:val="4"/>
        <w:rPr>
          <w:sz w:val="18"/>
          <w:szCs w:val="18"/>
          <w:lang w:val="es-ES"/>
        </w:rPr>
      </w:pPr>
      <w:r w:rsidRPr="00463CB3">
        <w:rPr>
          <w:sz w:val="18"/>
          <w:szCs w:val="18"/>
          <w:lang w:val="es-ES"/>
        </w:rPr>
        <w:t>iii)</w:t>
      </w:r>
      <w:r w:rsidRPr="00463CB3">
        <w:rPr>
          <w:sz w:val="18"/>
          <w:szCs w:val="18"/>
          <w:lang w:val="es-ES"/>
        </w:rPr>
        <w:tab/>
      </w:r>
      <w:r w:rsidRPr="00463CB3">
        <w:rPr>
          <w:sz w:val="18"/>
          <w:szCs w:val="18"/>
          <w:lang w:val="es-ES_tradnl"/>
        </w:rPr>
        <w:t>Conjuntos regionales de variedades ejemplo</w:t>
      </w:r>
    </w:p>
    <w:p w:rsidR="00EF6860" w:rsidRPr="00463CB3" w:rsidRDefault="00EF6860" w:rsidP="00463CB3">
      <w:pPr>
        <w:rPr>
          <w:lang w:val="es-ES"/>
        </w:rPr>
      </w:pPr>
    </w:p>
    <w:p w:rsidR="00EF6860" w:rsidRPr="00EF6860" w:rsidRDefault="00EF6860" w:rsidP="00463CB3">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examinó el documento TC/52/15 y convino en que, a los fines de elaborar conjuntos regionales de variedades ejemplo para las directrices de examen:</w:t>
      </w:r>
    </w:p>
    <w:p w:rsidR="00EF6860" w:rsidRPr="00EF6860" w:rsidRDefault="00EF6860" w:rsidP="00463CB3">
      <w:pPr>
        <w:rPr>
          <w:lang w:val="es-ES"/>
        </w:rPr>
      </w:pPr>
    </w:p>
    <w:p w:rsidR="00EF6860" w:rsidRPr="00EF6860" w:rsidRDefault="00EF6860" w:rsidP="00463CB3">
      <w:pPr>
        <w:rPr>
          <w:lang w:val="es-ES"/>
        </w:rPr>
      </w:pPr>
      <w:r w:rsidRPr="00EF6860">
        <w:rPr>
          <w:lang w:val="es-ES"/>
        </w:rPr>
        <w:tab/>
        <w:t>a)</w:t>
      </w:r>
      <w:r w:rsidRPr="00EF6860">
        <w:rPr>
          <w:lang w:val="es-ES"/>
        </w:rPr>
        <w:tab/>
      </w:r>
      <w:r w:rsidRPr="00EF6860">
        <w:rPr>
          <w:lang w:val="es-ES_tradnl"/>
        </w:rPr>
        <w:t>una región esté compuesta por más de un país;</w:t>
      </w:r>
    </w:p>
    <w:p w:rsidR="00EF6860" w:rsidRPr="00EF6860" w:rsidRDefault="00EF6860" w:rsidP="00463CB3">
      <w:pPr>
        <w:rPr>
          <w:lang w:val="es-ES"/>
        </w:rPr>
      </w:pPr>
    </w:p>
    <w:p w:rsidR="00EF6860" w:rsidRPr="00EF6860" w:rsidRDefault="00EF6860" w:rsidP="00463CB3">
      <w:pPr>
        <w:rPr>
          <w:lang w:val="es-ES"/>
        </w:rPr>
      </w:pPr>
      <w:r w:rsidRPr="00EF6860">
        <w:rPr>
          <w:lang w:val="es-ES"/>
        </w:rPr>
        <w:tab/>
        <w:t>b)</w:t>
      </w:r>
      <w:r w:rsidRPr="00EF6860">
        <w:rPr>
          <w:lang w:val="es-ES"/>
        </w:rPr>
        <w:tab/>
      </w:r>
      <w:r w:rsidRPr="00EF6860">
        <w:rPr>
          <w:lang w:val="es-ES_tradnl"/>
        </w:rPr>
        <w:t>el TWP responsable de las directrices de examen decida sobre la necesidad de establecer un conjunto regional de variedades ejemplo y determine en qué debe basarse una región para hacerlo;</w:t>
      </w:r>
    </w:p>
    <w:p w:rsidR="00EF6860" w:rsidRPr="00EF6860" w:rsidRDefault="00EF6860" w:rsidP="00463CB3">
      <w:pPr>
        <w:rPr>
          <w:lang w:val="es-ES"/>
        </w:rPr>
      </w:pPr>
    </w:p>
    <w:p w:rsidR="00EF6860" w:rsidRPr="00EF6860" w:rsidRDefault="00EF6860" w:rsidP="00463CB3">
      <w:pPr>
        <w:rPr>
          <w:lang w:val="es-ES"/>
        </w:rPr>
      </w:pPr>
      <w:r w:rsidRPr="00EF6860">
        <w:rPr>
          <w:lang w:val="es-ES"/>
        </w:rPr>
        <w:tab/>
        <w:t>c)</w:t>
      </w:r>
      <w:r w:rsidRPr="00EF6860">
        <w:rPr>
          <w:lang w:val="es-ES"/>
        </w:rPr>
        <w:tab/>
      </w:r>
      <w:r w:rsidRPr="00EF6860">
        <w:rPr>
          <w:lang w:val="es-ES_tradnl"/>
        </w:rPr>
        <w:t>el TWP afectado determine el procedimiento de elaboración de un conjunto de variedades ejemplo para una región y pueda, por ejemplo, coordinarlo un experto principal de la región afectada; y</w:t>
      </w:r>
    </w:p>
    <w:p w:rsidR="00EF6860" w:rsidRPr="00EF6860" w:rsidRDefault="00EF6860" w:rsidP="00463CB3">
      <w:pPr>
        <w:rPr>
          <w:lang w:val="es-ES"/>
        </w:rPr>
      </w:pPr>
    </w:p>
    <w:p w:rsidR="00EF6860" w:rsidRPr="00EF6860" w:rsidRDefault="00EF6860" w:rsidP="00463CB3">
      <w:pPr>
        <w:rPr>
          <w:lang w:val="es-ES"/>
        </w:rPr>
      </w:pPr>
      <w:r w:rsidRPr="00EF6860">
        <w:rPr>
          <w:lang w:val="es-ES"/>
        </w:rPr>
        <w:tab/>
        <w:t>d)</w:t>
      </w:r>
      <w:r w:rsidRPr="00EF6860">
        <w:rPr>
          <w:lang w:val="es-ES"/>
        </w:rPr>
        <w:tab/>
      </w:r>
      <w:r w:rsidRPr="00EF6860">
        <w:rPr>
          <w:lang w:val="es-ES_tradnl"/>
        </w:rPr>
        <w:t>las variedades ejemplo sean acordadas por todos los miembros de la UPOV de la región afectada.</w:t>
      </w:r>
    </w:p>
    <w:p w:rsidR="00EF6860" w:rsidRPr="00EF6860" w:rsidRDefault="00EF6860" w:rsidP="00463CB3">
      <w:pPr>
        <w:rPr>
          <w:lang w:val="es-ES"/>
        </w:rPr>
      </w:pPr>
    </w:p>
    <w:p w:rsidR="00EF6860" w:rsidRPr="00EF6860" w:rsidRDefault="00EF6860" w:rsidP="00463CB3">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acordó proponer la inclusión de las orientaciones anteriores en la revisión del documento TGP/7 que se someterá a la aprobación del Consejo en octubre de 2016.</w:t>
      </w:r>
    </w:p>
    <w:p w:rsidR="00EF6860" w:rsidRPr="00EF6860" w:rsidRDefault="00EF6860" w:rsidP="00463CB3">
      <w:pPr>
        <w:rPr>
          <w:lang w:val="es-ES"/>
        </w:rPr>
      </w:pPr>
    </w:p>
    <w:p w:rsidR="00EF6860" w:rsidRPr="00463CB3" w:rsidRDefault="00EF6860" w:rsidP="00463CB3">
      <w:pPr>
        <w:ind w:left="1344" w:hanging="777"/>
        <w:outlineLvl w:val="3"/>
        <w:rPr>
          <w:i/>
          <w:lang w:val="es-ES"/>
        </w:rPr>
      </w:pPr>
      <w:bookmarkStart w:id="15" w:name="_Toc433014069"/>
      <w:bookmarkStart w:id="16" w:name="_Toc442110572"/>
      <w:r w:rsidRPr="00463CB3">
        <w:rPr>
          <w:i/>
          <w:lang w:val="es-ES_tradnl"/>
        </w:rPr>
        <w:t>TGP/8:</w:t>
      </w:r>
      <w:r w:rsidRPr="00463CB3">
        <w:rPr>
          <w:i/>
          <w:lang w:val="es-ES"/>
        </w:rPr>
        <w:t xml:space="preserve"> </w:t>
      </w:r>
      <w:bookmarkEnd w:id="15"/>
      <w:bookmarkEnd w:id="16"/>
      <w:r w:rsidR="00463CB3">
        <w:rPr>
          <w:i/>
          <w:lang w:val="es-ES"/>
        </w:rPr>
        <w:t xml:space="preserve"> </w:t>
      </w:r>
      <w:r w:rsidRPr="00463CB3">
        <w:rPr>
          <w:i/>
          <w:lang w:val="es-ES_tradnl"/>
        </w:rPr>
        <w:t>Diseño de ensayos y técnicas utilizados en el examen de la distinción, la homogeneidad y la estabilidad</w:t>
      </w:r>
    </w:p>
    <w:p w:rsidR="00EF6860" w:rsidRPr="00EF6860" w:rsidRDefault="00EF6860" w:rsidP="00463CB3">
      <w:pPr>
        <w:rPr>
          <w:lang w:val="es-ES"/>
        </w:rPr>
      </w:pPr>
    </w:p>
    <w:p w:rsidR="00EF6860" w:rsidRPr="00463CB3" w:rsidRDefault="00EF6860" w:rsidP="00463CB3">
      <w:pPr>
        <w:ind w:left="1134" w:hanging="567"/>
        <w:outlineLvl w:val="4"/>
        <w:rPr>
          <w:sz w:val="18"/>
          <w:szCs w:val="18"/>
          <w:lang w:val="es-ES"/>
        </w:rPr>
      </w:pPr>
      <w:r w:rsidRPr="00463CB3">
        <w:rPr>
          <w:sz w:val="18"/>
          <w:szCs w:val="18"/>
          <w:lang w:val="es-ES"/>
        </w:rPr>
        <w:t>iv)</w:t>
      </w:r>
      <w:r w:rsidRPr="00463CB3">
        <w:rPr>
          <w:sz w:val="18"/>
          <w:szCs w:val="18"/>
          <w:lang w:val="es-ES"/>
        </w:rPr>
        <w:tab/>
      </w:r>
      <w:r w:rsidRPr="00463CB3">
        <w:rPr>
          <w:sz w:val="18"/>
          <w:szCs w:val="18"/>
          <w:lang w:val="es-ES_tradnl"/>
        </w:rPr>
        <w:t>Nueva sección:</w:t>
      </w:r>
      <w:r w:rsidRPr="00463CB3">
        <w:rPr>
          <w:sz w:val="18"/>
          <w:szCs w:val="18"/>
          <w:lang w:val="es-ES"/>
        </w:rPr>
        <w:t xml:space="preserve"> </w:t>
      </w:r>
      <w:r w:rsidR="00463CB3" w:rsidRPr="00463CB3">
        <w:rPr>
          <w:sz w:val="18"/>
          <w:szCs w:val="18"/>
          <w:lang w:val="es-ES"/>
        </w:rPr>
        <w:t xml:space="preserve"> </w:t>
      </w:r>
      <w:r w:rsidRPr="00463CB3">
        <w:rPr>
          <w:sz w:val="18"/>
          <w:szCs w:val="18"/>
          <w:lang w:val="es-ES_tradnl"/>
        </w:rPr>
        <w:t>Examen de caracteres mediante el análisis de imagen</w:t>
      </w:r>
    </w:p>
    <w:p w:rsidR="00EF6860" w:rsidRPr="00463CB3" w:rsidRDefault="00EF6860" w:rsidP="00463CB3">
      <w:pPr>
        <w:rPr>
          <w:lang w:val="es-ES"/>
        </w:rPr>
      </w:pPr>
    </w:p>
    <w:p w:rsidR="00EF6860" w:rsidRPr="00EF6860" w:rsidRDefault="00EF6860" w:rsidP="00463CB3">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tomó nota de la nueva sección titulada “Examen de caracteres mediante el análisis de imagen” ya acordada por el TC, según figura en el Anexo I del documento TC/52/5, a efectos de su inclusión en la revisión del documento TGP/8 que se someterá a la aprobación del Consejo en octubre de 2016.</w:t>
      </w:r>
    </w:p>
    <w:p w:rsidR="00EF6860" w:rsidRPr="00EF6860" w:rsidRDefault="00EF6860" w:rsidP="00EF6860">
      <w:pPr>
        <w:rPr>
          <w:lang w:val="es-ES"/>
        </w:rPr>
      </w:pPr>
    </w:p>
    <w:p w:rsidR="00EF6860" w:rsidRPr="00463CB3" w:rsidRDefault="00EF6860" w:rsidP="00EF6860">
      <w:pPr>
        <w:keepNext/>
        <w:ind w:left="1134" w:hanging="567"/>
        <w:outlineLvl w:val="4"/>
        <w:rPr>
          <w:sz w:val="18"/>
          <w:szCs w:val="18"/>
          <w:lang w:val="es-ES"/>
        </w:rPr>
      </w:pPr>
      <w:r w:rsidRPr="00463CB3">
        <w:rPr>
          <w:sz w:val="18"/>
          <w:szCs w:val="18"/>
          <w:lang w:val="es-ES"/>
        </w:rPr>
        <w:t>v)</w:t>
      </w:r>
      <w:r w:rsidRPr="00463CB3">
        <w:rPr>
          <w:sz w:val="18"/>
          <w:szCs w:val="18"/>
          <w:lang w:val="es-ES"/>
        </w:rPr>
        <w:tab/>
      </w:r>
      <w:r w:rsidRPr="00463CB3">
        <w:rPr>
          <w:sz w:val="18"/>
          <w:szCs w:val="18"/>
          <w:lang w:val="es-ES_tradnl"/>
        </w:rPr>
        <w:t>Nueva sección:</w:t>
      </w:r>
      <w:r w:rsidRPr="00463CB3">
        <w:rPr>
          <w:sz w:val="18"/>
          <w:szCs w:val="18"/>
          <w:lang w:val="es-ES"/>
        </w:rPr>
        <w:t xml:space="preserve"> </w:t>
      </w:r>
      <w:r w:rsidR="00463CB3" w:rsidRPr="00463CB3">
        <w:rPr>
          <w:sz w:val="18"/>
          <w:szCs w:val="18"/>
          <w:lang w:val="es-ES"/>
        </w:rPr>
        <w:t xml:space="preserve"> </w:t>
      </w:r>
      <w:r w:rsidRPr="00463CB3">
        <w:rPr>
          <w:sz w:val="18"/>
          <w:szCs w:val="18"/>
          <w:lang w:val="es-ES_tradnl"/>
        </w:rPr>
        <w:t>Minimizar la variación resultante de la ejecución de un ensayo por distintos observadores</w:t>
      </w:r>
    </w:p>
    <w:p w:rsidR="00EF6860" w:rsidRPr="00EF6860" w:rsidRDefault="00EF6860" w:rsidP="006D6EC4">
      <w:pPr>
        <w:keepNext/>
        <w:rPr>
          <w:lang w:val="es-ES"/>
        </w:rPr>
      </w:pPr>
    </w:p>
    <w:p w:rsidR="00EF6860" w:rsidRPr="00EF6860" w:rsidRDefault="00EF6860" w:rsidP="00463CB3">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examinó el documento TC/</w:t>
      </w:r>
      <w:r w:rsidRPr="00EF6860">
        <w:rPr>
          <w:color w:val="000000"/>
          <w:lang w:val="es-ES_tradnl"/>
        </w:rPr>
        <w:t xml:space="preserve">52/16 y </w:t>
      </w:r>
      <w:r w:rsidRPr="00EF6860">
        <w:rPr>
          <w:lang w:val="es-ES_tradnl"/>
        </w:rPr>
        <w:t>el proyecto de orientación sobre la manera de “Minimizar la variación resultante de la ejecución de un ensayo por distintos observadores”, según figura en el Anexo del documento TC/</w:t>
      </w:r>
      <w:r w:rsidRPr="00EF6860">
        <w:rPr>
          <w:color w:val="000000"/>
          <w:lang w:val="es-ES_tradnl"/>
        </w:rPr>
        <w:t>52/16</w:t>
      </w:r>
      <w:r w:rsidRPr="00EF6860">
        <w:rPr>
          <w:lang w:val="es-ES_tradnl"/>
        </w:rPr>
        <w:t>, junto con las observaciones formuladas por los TWP en sus sesiones de 2015, y por el TC-EDC en su reunión de 2016.</w:t>
      </w:r>
      <w:r w:rsidRPr="00EF6860">
        <w:rPr>
          <w:lang w:val="es-ES"/>
        </w:rPr>
        <w:t xml:space="preserve">  </w:t>
      </w:r>
    </w:p>
    <w:p w:rsidR="00EF6860" w:rsidRPr="00EF6860" w:rsidRDefault="00EF6860" w:rsidP="00463CB3">
      <w:pPr>
        <w:rPr>
          <w:lang w:val="es-ES"/>
        </w:rPr>
      </w:pPr>
    </w:p>
    <w:p w:rsidR="00EF6860" w:rsidRPr="00EF6860" w:rsidRDefault="00EF6860" w:rsidP="00463CB3">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acordó que el proyecto de orientación se incluirá en una revisión del documento TGP/8:</w:t>
      </w:r>
      <w:r w:rsidR="00463CB3">
        <w:rPr>
          <w:lang w:val="es-ES_tradnl"/>
        </w:rPr>
        <w:t xml:space="preserve"> </w:t>
      </w:r>
      <w:r w:rsidRPr="00EF6860">
        <w:rPr>
          <w:lang w:val="es-ES_tradnl"/>
        </w:rPr>
        <w:t xml:space="preserve"> “Diseño de ensayos y técnicas utilizados en el examen de la distinción, la homogeneidad y la estabilidad”, Parte I: </w:t>
      </w:r>
      <w:r w:rsidR="00463CB3">
        <w:rPr>
          <w:lang w:val="es-ES_tradnl"/>
        </w:rPr>
        <w:t xml:space="preserve"> </w:t>
      </w:r>
      <w:r w:rsidRPr="00EF6860">
        <w:rPr>
          <w:lang w:val="es-ES_tradnl"/>
        </w:rPr>
        <w:t>Diseño de ensayos DHE y análisis de datos, que se someterá a la aprob</w:t>
      </w:r>
      <w:r w:rsidR="00463CB3">
        <w:rPr>
          <w:lang w:val="es-ES_tradnl"/>
        </w:rPr>
        <w:t>ación del Consejo en octubre de </w:t>
      </w:r>
      <w:r w:rsidRPr="00EF6860">
        <w:rPr>
          <w:lang w:val="es-ES_tradnl"/>
        </w:rPr>
        <w:t>2016.</w:t>
      </w:r>
      <w:r w:rsidRPr="00EF6860">
        <w:rPr>
          <w:lang w:val="es-ES"/>
        </w:rPr>
        <w:t xml:space="preserve"> </w:t>
      </w:r>
    </w:p>
    <w:p w:rsidR="00EF6860" w:rsidRPr="00EF6860" w:rsidRDefault="00EF6860" w:rsidP="00463CB3">
      <w:pPr>
        <w:rPr>
          <w:lang w:val="es-ES"/>
        </w:rPr>
      </w:pPr>
    </w:p>
    <w:p w:rsidR="00EF6860" w:rsidRPr="00463CB3" w:rsidRDefault="00EF6860" w:rsidP="00463CB3">
      <w:pPr>
        <w:ind w:left="567"/>
        <w:outlineLvl w:val="3"/>
        <w:rPr>
          <w:i/>
          <w:lang w:val="es-ES"/>
        </w:rPr>
      </w:pPr>
      <w:bookmarkStart w:id="17" w:name="_Toc374385107"/>
      <w:bookmarkStart w:id="18" w:name="_Toc374547087"/>
      <w:bookmarkStart w:id="19" w:name="_Toc374631044"/>
      <w:bookmarkStart w:id="20" w:name="_Toc374632516"/>
      <w:bookmarkStart w:id="21" w:name="_Toc374635716"/>
      <w:bookmarkStart w:id="22" w:name="_Toc404790966"/>
      <w:bookmarkStart w:id="23" w:name="_Toc404793276"/>
      <w:r w:rsidRPr="00463CB3">
        <w:rPr>
          <w:i/>
          <w:lang w:val="es-ES_tradnl"/>
        </w:rPr>
        <w:t>TGP/0:</w:t>
      </w:r>
      <w:r w:rsidR="00463CB3" w:rsidRPr="00463CB3">
        <w:rPr>
          <w:i/>
          <w:lang w:val="es-ES_tradnl"/>
        </w:rPr>
        <w:t xml:space="preserve"> </w:t>
      </w:r>
      <w:r w:rsidRPr="00463CB3">
        <w:rPr>
          <w:i/>
          <w:lang w:val="es-ES"/>
        </w:rPr>
        <w:t xml:space="preserve"> </w:t>
      </w:r>
      <w:bookmarkEnd w:id="17"/>
      <w:bookmarkEnd w:id="18"/>
      <w:bookmarkEnd w:id="19"/>
      <w:bookmarkEnd w:id="20"/>
      <w:bookmarkEnd w:id="21"/>
      <w:bookmarkEnd w:id="22"/>
      <w:bookmarkEnd w:id="23"/>
      <w:r w:rsidRPr="00463CB3">
        <w:rPr>
          <w:i/>
          <w:lang w:val="es-ES_tradnl"/>
        </w:rPr>
        <w:t>Lista de documentos TGP y fechas de última publicación</w:t>
      </w:r>
    </w:p>
    <w:p w:rsidR="00EF6860" w:rsidRPr="00463CB3" w:rsidRDefault="00EF6860" w:rsidP="00463CB3">
      <w:pPr>
        <w:rPr>
          <w:i/>
          <w:lang w:val="es-ES"/>
        </w:rPr>
      </w:pPr>
    </w:p>
    <w:p w:rsidR="00EF6860" w:rsidRPr="00EF6860" w:rsidRDefault="00EF6860" w:rsidP="00463CB3">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examinó el documento TC/52/5 “Documentos TGP” y señaló que se invitará al Consejo a aprobar el documento TGP/0/9 para reflejar las revisiones de los documentos TGP.</w:t>
      </w:r>
    </w:p>
    <w:p w:rsidR="00EF6860" w:rsidRPr="00EF6860" w:rsidRDefault="00EF6860" w:rsidP="00463CB3">
      <w:pPr>
        <w:rPr>
          <w:lang w:val="es-ES"/>
        </w:rPr>
      </w:pPr>
    </w:p>
    <w:p w:rsidR="00EF6860" w:rsidRPr="00EF6860" w:rsidRDefault="00EF6860" w:rsidP="00463CB3">
      <w:pPr>
        <w:outlineLvl w:val="2"/>
        <w:rPr>
          <w:i/>
          <w:lang w:val="es-ES"/>
        </w:rPr>
      </w:pPr>
      <w:bookmarkStart w:id="24" w:name="_Toc463512498"/>
      <w:r w:rsidRPr="00EF6860">
        <w:rPr>
          <w:i/>
          <w:lang w:val="es-ES_tradnl"/>
        </w:rPr>
        <w:t>Posible futura revisión de documentos TGP</w:t>
      </w:r>
      <w:bookmarkEnd w:id="24"/>
    </w:p>
    <w:p w:rsidR="00EF6860" w:rsidRPr="00EF6860" w:rsidRDefault="00EF6860" w:rsidP="00463CB3">
      <w:pPr>
        <w:rPr>
          <w:lang w:val="es-ES"/>
        </w:rPr>
      </w:pPr>
    </w:p>
    <w:p w:rsidR="00EF6860" w:rsidRPr="00463CB3" w:rsidRDefault="00EF6860" w:rsidP="00463CB3">
      <w:pPr>
        <w:ind w:left="567"/>
        <w:outlineLvl w:val="3"/>
        <w:rPr>
          <w:i/>
          <w:lang w:val="es-ES"/>
        </w:rPr>
      </w:pPr>
      <w:bookmarkStart w:id="25" w:name="_Toc419124873"/>
      <w:bookmarkStart w:id="26" w:name="_Toc442110577"/>
      <w:r w:rsidRPr="00463CB3">
        <w:rPr>
          <w:i/>
          <w:lang w:val="es-ES_tradnl"/>
        </w:rPr>
        <w:t>TGP/7:</w:t>
      </w:r>
      <w:r w:rsidRPr="00463CB3">
        <w:rPr>
          <w:i/>
          <w:lang w:val="es-ES"/>
        </w:rPr>
        <w:t xml:space="preserve"> </w:t>
      </w:r>
      <w:bookmarkEnd w:id="25"/>
      <w:bookmarkEnd w:id="26"/>
      <w:r w:rsidR="00463CB3" w:rsidRPr="00463CB3">
        <w:rPr>
          <w:i/>
          <w:lang w:val="es-ES"/>
        </w:rPr>
        <w:t xml:space="preserve"> </w:t>
      </w:r>
      <w:r w:rsidRPr="00463CB3">
        <w:rPr>
          <w:i/>
          <w:lang w:val="es-ES_tradnl"/>
        </w:rPr>
        <w:t>Elaboración de las directrices de examen</w:t>
      </w:r>
    </w:p>
    <w:p w:rsidR="00EF6860" w:rsidRPr="00EF6860" w:rsidRDefault="00EF6860" w:rsidP="00463CB3">
      <w:pPr>
        <w:rPr>
          <w:lang w:val="es-ES"/>
        </w:rPr>
      </w:pPr>
    </w:p>
    <w:p w:rsidR="00EF6860" w:rsidRPr="00855190" w:rsidRDefault="00EF6860" w:rsidP="00463CB3">
      <w:pPr>
        <w:ind w:left="1134" w:hanging="567"/>
        <w:outlineLvl w:val="4"/>
        <w:rPr>
          <w:sz w:val="18"/>
          <w:szCs w:val="18"/>
          <w:lang w:val="es-ES"/>
        </w:rPr>
      </w:pPr>
      <w:bookmarkStart w:id="27" w:name="_Toc442110578"/>
      <w:r w:rsidRPr="00855190">
        <w:rPr>
          <w:sz w:val="18"/>
          <w:szCs w:val="18"/>
          <w:lang w:val="es-ES"/>
        </w:rPr>
        <w:t>i)</w:t>
      </w:r>
      <w:r w:rsidRPr="00855190">
        <w:rPr>
          <w:sz w:val="18"/>
          <w:szCs w:val="18"/>
          <w:lang w:val="es-ES"/>
        </w:rPr>
        <w:tab/>
      </w:r>
      <w:bookmarkEnd w:id="27"/>
      <w:r w:rsidRPr="00855190">
        <w:rPr>
          <w:sz w:val="18"/>
          <w:szCs w:val="18"/>
          <w:lang w:val="es-ES_tradnl"/>
        </w:rPr>
        <w:t>Orientaciones para la redacción de directrices de examen</w:t>
      </w:r>
    </w:p>
    <w:p w:rsidR="00EF6860" w:rsidRPr="00EF6860" w:rsidRDefault="00EF6860" w:rsidP="00463CB3">
      <w:pPr>
        <w:rPr>
          <w:lang w:val="es-ES"/>
        </w:rPr>
      </w:pPr>
    </w:p>
    <w:p w:rsidR="00EF6860" w:rsidRPr="00EF6860" w:rsidRDefault="00EF6860" w:rsidP="00463CB3">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examinó el documento TC/52/28 y asistió a una ponencia de la Oficina de la Unión de la que, según señaló, se adjuntará una copia como adición al documento TC/52/28 (solamente en inglés).</w:t>
      </w:r>
      <w:r w:rsidRPr="00EF6860">
        <w:rPr>
          <w:lang w:val="es-ES"/>
        </w:rPr>
        <w:t xml:space="preserve"> </w:t>
      </w:r>
      <w:r w:rsidRPr="00EF6860">
        <w:rPr>
          <w:lang w:val="es-ES_tradnl"/>
        </w:rPr>
        <w:t>El TC también asistió a una demostración de la versión 1 de la plantilla en Internet de los documentos TG.</w:t>
      </w:r>
    </w:p>
    <w:p w:rsidR="00EF6860" w:rsidRPr="00EF6860" w:rsidRDefault="00EF6860" w:rsidP="00EF6860">
      <w:pPr>
        <w:rPr>
          <w:lang w:val="es-ES"/>
        </w:rPr>
      </w:pPr>
    </w:p>
    <w:p w:rsidR="00EF6860" w:rsidRPr="00EF6860" w:rsidRDefault="00EF6860" w:rsidP="00EF6860">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tomó nota de que todos los expertos principales elaboraron los proyectos de directrices de examen, para su debate durante las sesiones de los TWP de 2015, utilizando la plantilla en Internet de los documentos TG.</w:t>
      </w:r>
    </w:p>
    <w:p w:rsidR="00EF6860" w:rsidRPr="00EF6860" w:rsidRDefault="00EF6860" w:rsidP="00EF6860">
      <w:pPr>
        <w:rPr>
          <w:lang w:val="es-ES"/>
        </w:rPr>
      </w:pPr>
    </w:p>
    <w:p w:rsidR="00EF6860" w:rsidRPr="00EF6860" w:rsidRDefault="00EF6860" w:rsidP="00EF6860">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tomó nota de que se solicitó a todos los expertos interesados que formularan observaciones sobre los proyectos de directrices de examen, para su debate durante las sesiones de los TWP de 2015, utilizando la plantilla en Internet de los documentos TG.</w:t>
      </w:r>
      <w:r w:rsidRPr="00EF6860">
        <w:rPr>
          <w:lang w:val="es-ES"/>
        </w:rPr>
        <w:t xml:space="preserve"> </w:t>
      </w:r>
    </w:p>
    <w:p w:rsidR="00EF6860" w:rsidRPr="00EF6860" w:rsidRDefault="00EF6860" w:rsidP="00EF6860">
      <w:pPr>
        <w:rPr>
          <w:lang w:val="es-ES"/>
        </w:rPr>
      </w:pPr>
    </w:p>
    <w:p w:rsidR="00EF6860" w:rsidRPr="00EF6860" w:rsidRDefault="00EF6860" w:rsidP="00EF6860">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tomó nota de las cuestiones consideradas para atender a las observaciones de los expertos principales y los expertos interesados que participaron en las pruebas del prototipo de la plantilla en Internet de los documentos TG, según se expone en los párrafos 26 y 27 del documento TC/52/28.</w:t>
      </w:r>
    </w:p>
    <w:p w:rsidR="00EF6860" w:rsidRPr="00EF6860" w:rsidRDefault="00EF6860" w:rsidP="00EF6860">
      <w:pPr>
        <w:rPr>
          <w:lang w:val="es-ES"/>
        </w:rPr>
      </w:pPr>
    </w:p>
    <w:p w:rsidR="00EF6860" w:rsidRPr="00EF6860" w:rsidRDefault="00EF6860" w:rsidP="00EF6860">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convino en normalizar el formato de la tabla de caracteres de todas las directrices de examen conforme a la estructura siguiente:</w:t>
      </w:r>
    </w:p>
    <w:p w:rsidR="00EF6860" w:rsidRPr="00EF6860" w:rsidRDefault="00EF6860" w:rsidP="00AC67A0">
      <w:pPr>
        <w:rPr>
          <w:lang w:val="es-ES"/>
        </w:rPr>
      </w:pPr>
    </w:p>
    <w:tbl>
      <w:tblPr>
        <w:tblW w:w="10632" w:type="dxa"/>
        <w:tblInd w:w="-356" w:type="dxa"/>
        <w:tblBorders>
          <w:left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
        <w:gridCol w:w="315"/>
        <w:gridCol w:w="418"/>
        <w:gridCol w:w="1372"/>
        <w:gridCol w:w="392"/>
        <w:gridCol w:w="1525"/>
        <w:gridCol w:w="11"/>
        <w:gridCol w:w="1905"/>
        <w:gridCol w:w="9"/>
        <w:gridCol w:w="1914"/>
        <w:gridCol w:w="1810"/>
        <w:gridCol w:w="567"/>
      </w:tblGrid>
      <w:tr w:rsidR="00EF6860" w:rsidRPr="00EF6860" w:rsidTr="00FD65CE">
        <w:trPr>
          <w:cantSplit/>
          <w:tblHeader/>
        </w:trPr>
        <w:tc>
          <w:tcPr>
            <w:tcW w:w="709" w:type="dxa"/>
            <w:gridSpan w:val="2"/>
            <w:tcBorders>
              <w:top w:val="single" w:sz="4" w:space="0" w:color="auto"/>
              <w:bottom w:val="single" w:sz="4" w:space="0" w:color="auto"/>
            </w:tcBorders>
          </w:tcPr>
          <w:p w:rsidR="00EF6860" w:rsidRPr="00EF6860" w:rsidRDefault="00EF6860" w:rsidP="006D6EC4">
            <w:pPr>
              <w:spacing w:before="40" w:after="40"/>
              <w:jc w:val="left"/>
              <w:rPr>
                <w:sz w:val="16"/>
                <w:lang w:val="es-ES"/>
              </w:rPr>
            </w:pPr>
          </w:p>
        </w:tc>
        <w:tc>
          <w:tcPr>
            <w:tcW w:w="1790" w:type="dxa"/>
            <w:gridSpan w:val="2"/>
            <w:tcBorders>
              <w:top w:val="single" w:sz="4" w:space="0" w:color="auto"/>
              <w:bottom w:val="single" w:sz="4" w:space="0" w:color="auto"/>
            </w:tcBorders>
            <w:vAlign w:val="center"/>
          </w:tcPr>
          <w:p w:rsidR="00EF6860" w:rsidRPr="00EF6860" w:rsidRDefault="00EF6860" w:rsidP="006D6EC4">
            <w:pPr>
              <w:spacing w:before="40" w:after="40"/>
              <w:rPr>
                <w:dstrike/>
                <w:sz w:val="16"/>
              </w:rPr>
            </w:pPr>
            <w:r w:rsidRPr="00EF6860">
              <w:rPr>
                <w:sz w:val="16"/>
              </w:rPr>
              <w:t>English</w:t>
            </w:r>
          </w:p>
        </w:tc>
        <w:tc>
          <w:tcPr>
            <w:tcW w:w="1928" w:type="dxa"/>
            <w:gridSpan w:val="3"/>
            <w:tcBorders>
              <w:top w:val="single" w:sz="4" w:space="0" w:color="auto"/>
              <w:bottom w:val="single" w:sz="4" w:space="0" w:color="auto"/>
            </w:tcBorders>
            <w:vAlign w:val="center"/>
          </w:tcPr>
          <w:p w:rsidR="00EF6860" w:rsidRPr="00EF6860" w:rsidRDefault="00EF6860" w:rsidP="006D6EC4">
            <w:pPr>
              <w:spacing w:before="40" w:after="40"/>
              <w:jc w:val="left"/>
              <w:rPr>
                <w:dstrike/>
                <w:sz w:val="16"/>
                <w:lang w:val="fr-FR"/>
              </w:rPr>
            </w:pPr>
            <w:r w:rsidRPr="00EF6860">
              <w:rPr>
                <w:sz w:val="16"/>
                <w:lang w:val="fr-FR"/>
              </w:rPr>
              <w:t>français</w:t>
            </w:r>
          </w:p>
        </w:tc>
        <w:tc>
          <w:tcPr>
            <w:tcW w:w="1914" w:type="dxa"/>
            <w:gridSpan w:val="2"/>
            <w:tcBorders>
              <w:top w:val="single" w:sz="4" w:space="0" w:color="auto"/>
              <w:bottom w:val="single" w:sz="4" w:space="0" w:color="auto"/>
            </w:tcBorders>
            <w:vAlign w:val="center"/>
          </w:tcPr>
          <w:p w:rsidR="00EF6860" w:rsidRPr="00EF6860" w:rsidRDefault="00EF6860" w:rsidP="006D6EC4">
            <w:pPr>
              <w:spacing w:before="40" w:after="40"/>
              <w:jc w:val="left"/>
              <w:rPr>
                <w:dstrike/>
                <w:sz w:val="16"/>
                <w:lang w:val="de-DE"/>
              </w:rPr>
            </w:pPr>
            <w:r w:rsidRPr="00EF6860">
              <w:rPr>
                <w:sz w:val="16"/>
                <w:lang w:val="de-DE"/>
              </w:rPr>
              <w:t>deutsch</w:t>
            </w:r>
          </w:p>
        </w:tc>
        <w:tc>
          <w:tcPr>
            <w:tcW w:w="1914" w:type="dxa"/>
            <w:tcBorders>
              <w:top w:val="single" w:sz="4" w:space="0" w:color="auto"/>
              <w:bottom w:val="single" w:sz="4" w:space="0" w:color="auto"/>
            </w:tcBorders>
            <w:vAlign w:val="center"/>
          </w:tcPr>
          <w:p w:rsidR="00EF6860" w:rsidRPr="00EF6860" w:rsidRDefault="00EF6860" w:rsidP="006D6EC4">
            <w:pPr>
              <w:spacing w:before="40" w:after="40"/>
              <w:jc w:val="left"/>
              <w:rPr>
                <w:dstrike/>
                <w:sz w:val="16"/>
                <w:lang w:val="es-ES_tradnl"/>
              </w:rPr>
            </w:pPr>
            <w:r w:rsidRPr="00EF6860">
              <w:rPr>
                <w:sz w:val="16"/>
                <w:lang w:val="es-ES_tradnl"/>
              </w:rPr>
              <w:t>español</w:t>
            </w:r>
          </w:p>
        </w:tc>
        <w:tc>
          <w:tcPr>
            <w:tcW w:w="1810" w:type="dxa"/>
            <w:tcBorders>
              <w:top w:val="single" w:sz="4" w:space="0" w:color="auto"/>
              <w:bottom w:val="single" w:sz="4" w:space="0" w:color="auto"/>
            </w:tcBorders>
            <w:vAlign w:val="center"/>
          </w:tcPr>
          <w:p w:rsidR="00EF6860" w:rsidRPr="00EF6860" w:rsidRDefault="00EF6860" w:rsidP="006D6EC4">
            <w:pPr>
              <w:spacing w:before="40" w:after="40"/>
              <w:jc w:val="left"/>
              <w:rPr>
                <w:dstrike/>
                <w:sz w:val="16"/>
              </w:rPr>
            </w:pPr>
            <w:r w:rsidRPr="00EF6860">
              <w:rPr>
                <w:sz w:val="16"/>
              </w:rPr>
              <w:t>Example Varieties</w:t>
            </w:r>
            <w:r w:rsidRPr="00EF6860">
              <w:rPr>
                <w:sz w:val="16"/>
              </w:rPr>
              <w:br/>
              <w:t>Exemples</w:t>
            </w:r>
            <w:r w:rsidRPr="00EF6860">
              <w:rPr>
                <w:sz w:val="16"/>
              </w:rPr>
              <w:br/>
              <w:t>Beispielssorten</w:t>
            </w:r>
            <w:r w:rsidRPr="00EF6860">
              <w:rPr>
                <w:sz w:val="16"/>
              </w:rPr>
              <w:br/>
              <w:t>Variedades ejemplo</w:t>
            </w:r>
          </w:p>
        </w:tc>
        <w:tc>
          <w:tcPr>
            <w:tcW w:w="567" w:type="dxa"/>
            <w:tcBorders>
              <w:top w:val="single" w:sz="4" w:space="0" w:color="auto"/>
              <w:bottom w:val="single" w:sz="4" w:space="0" w:color="auto"/>
            </w:tcBorders>
            <w:vAlign w:val="center"/>
          </w:tcPr>
          <w:p w:rsidR="00EF6860" w:rsidRPr="00EF6860" w:rsidRDefault="00EF6860" w:rsidP="006D6EC4">
            <w:pPr>
              <w:spacing w:before="40" w:after="40"/>
              <w:jc w:val="center"/>
              <w:rPr>
                <w:sz w:val="16"/>
              </w:rPr>
            </w:pPr>
            <w:r w:rsidRPr="00EF6860">
              <w:rPr>
                <w:sz w:val="16"/>
              </w:rPr>
              <w:t>Note/</w:t>
            </w:r>
            <w:r w:rsidRPr="00EF6860">
              <w:rPr>
                <w:sz w:val="16"/>
              </w:rPr>
              <w:br/>
              <w:t>Nota</w:t>
            </w:r>
          </w:p>
        </w:tc>
      </w:tr>
      <w:tr w:rsidR="00EF6860" w:rsidRPr="00EF6860" w:rsidTr="00FD65CE">
        <w:trPr>
          <w:cantSplit/>
        </w:trPr>
        <w:tc>
          <w:tcPr>
            <w:tcW w:w="394" w:type="dxa"/>
            <w:tcBorders>
              <w:top w:val="single" w:sz="4" w:space="0" w:color="auto"/>
              <w:bottom w:val="single" w:sz="4" w:space="0" w:color="auto"/>
              <w:right w:val="dotted" w:sz="4" w:space="0" w:color="auto"/>
            </w:tcBorders>
            <w:shd w:val="clear" w:color="auto" w:fill="F0F0F0"/>
            <w:tcMar>
              <w:left w:w="28" w:type="dxa"/>
              <w:right w:w="28" w:type="dxa"/>
            </w:tcMar>
          </w:tcPr>
          <w:p w:rsidR="00EF6860" w:rsidRPr="00EF6860" w:rsidRDefault="00EF6860" w:rsidP="006D6EC4">
            <w:pPr>
              <w:spacing w:before="40" w:after="40"/>
              <w:jc w:val="center"/>
              <w:rPr>
                <w:b/>
                <w:sz w:val="16"/>
                <w:szCs w:val="16"/>
              </w:rPr>
            </w:pPr>
            <w:r w:rsidRPr="00EF6860">
              <w:rPr>
                <w:b/>
                <w:sz w:val="16"/>
                <w:szCs w:val="16"/>
              </w:rPr>
              <w:t>1</w:t>
            </w:r>
          </w:p>
        </w:tc>
        <w:tc>
          <w:tcPr>
            <w:tcW w:w="315" w:type="dxa"/>
            <w:tcBorders>
              <w:top w:val="single" w:sz="4" w:space="0" w:color="auto"/>
              <w:left w:val="dotted" w:sz="4" w:space="0" w:color="auto"/>
              <w:bottom w:val="single" w:sz="4" w:space="0" w:color="auto"/>
              <w:right w:val="dotted" w:sz="4" w:space="0" w:color="auto"/>
            </w:tcBorders>
            <w:shd w:val="clear" w:color="auto" w:fill="F0F0F0"/>
            <w:tcMar>
              <w:left w:w="28" w:type="dxa"/>
              <w:right w:w="28" w:type="dxa"/>
            </w:tcMar>
          </w:tcPr>
          <w:p w:rsidR="00EF6860" w:rsidRPr="00EF6860" w:rsidRDefault="00EF6860" w:rsidP="006D6EC4">
            <w:pPr>
              <w:spacing w:before="40" w:after="40"/>
              <w:jc w:val="center"/>
              <w:rPr>
                <w:b/>
                <w:sz w:val="16"/>
                <w:szCs w:val="16"/>
              </w:rPr>
            </w:pPr>
            <w:r w:rsidRPr="00EF6860">
              <w:rPr>
                <w:b/>
                <w:sz w:val="16"/>
                <w:szCs w:val="16"/>
              </w:rPr>
              <w:t>2</w:t>
            </w:r>
          </w:p>
        </w:tc>
        <w:tc>
          <w:tcPr>
            <w:tcW w:w="418" w:type="dxa"/>
            <w:tcBorders>
              <w:top w:val="single" w:sz="4" w:space="0" w:color="auto"/>
              <w:left w:val="dotted" w:sz="4" w:space="0" w:color="auto"/>
              <w:bottom w:val="single" w:sz="4" w:space="0" w:color="auto"/>
              <w:right w:val="dotted" w:sz="4" w:space="0" w:color="auto"/>
            </w:tcBorders>
            <w:shd w:val="clear" w:color="auto" w:fill="F0F0F0"/>
          </w:tcPr>
          <w:p w:rsidR="00EF6860" w:rsidRPr="00EF6860" w:rsidRDefault="00EF6860" w:rsidP="006D6EC4">
            <w:pPr>
              <w:spacing w:before="40" w:after="40"/>
              <w:jc w:val="left"/>
              <w:rPr>
                <w:b/>
              </w:rPr>
            </w:pPr>
            <w:r w:rsidRPr="00EF6860">
              <w:rPr>
                <w:b/>
                <w:sz w:val="16"/>
                <w:szCs w:val="16"/>
              </w:rPr>
              <w:t xml:space="preserve">3 </w:t>
            </w:r>
          </w:p>
        </w:tc>
        <w:tc>
          <w:tcPr>
            <w:tcW w:w="1372" w:type="dxa"/>
            <w:tcBorders>
              <w:top w:val="single" w:sz="4" w:space="0" w:color="auto"/>
              <w:left w:val="dotted" w:sz="4" w:space="0" w:color="auto"/>
              <w:bottom w:val="single" w:sz="4" w:space="0" w:color="auto"/>
              <w:right w:val="dotted" w:sz="4" w:space="0" w:color="auto"/>
            </w:tcBorders>
            <w:shd w:val="clear" w:color="auto" w:fill="F0F0F0"/>
          </w:tcPr>
          <w:p w:rsidR="00EF6860" w:rsidRPr="00EF6860" w:rsidRDefault="00EF6860" w:rsidP="006D6EC4">
            <w:pPr>
              <w:spacing w:before="40" w:after="40"/>
              <w:jc w:val="left"/>
              <w:rPr>
                <w:b/>
              </w:rPr>
            </w:pPr>
            <w:r w:rsidRPr="00EF6860">
              <w:rPr>
                <w:b/>
                <w:sz w:val="16"/>
              </w:rPr>
              <w:t>4</w:t>
            </w:r>
          </w:p>
        </w:tc>
        <w:tc>
          <w:tcPr>
            <w:tcW w:w="392" w:type="dxa"/>
            <w:tcBorders>
              <w:top w:val="single" w:sz="4" w:space="0" w:color="auto"/>
              <w:left w:val="dotted" w:sz="4" w:space="0" w:color="auto"/>
              <w:bottom w:val="single" w:sz="4" w:space="0" w:color="auto"/>
              <w:right w:val="dotted" w:sz="4" w:space="0" w:color="auto"/>
            </w:tcBorders>
            <w:shd w:val="clear" w:color="auto" w:fill="F0F0F0"/>
          </w:tcPr>
          <w:p w:rsidR="00EF6860" w:rsidRPr="00EF6860" w:rsidRDefault="00EF6860" w:rsidP="006D6EC4">
            <w:pPr>
              <w:spacing w:before="40" w:after="40"/>
              <w:jc w:val="left"/>
              <w:rPr>
                <w:b/>
                <w:sz w:val="16"/>
              </w:rPr>
            </w:pPr>
            <w:r w:rsidRPr="00EF6860">
              <w:rPr>
                <w:b/>
                <w:sz w:val="16"/>
              </w:rPr>
              <w:t>5</w:t>
            </w:r>
          </w:p>
        </w:tc>
        <w:tc>
          <w:tcPr>
            <w:tcW w:w="1525" w:type="dxa"/>
            <w:tcBorders>
              <w:top w:val="single" w:sz="4" w:space="0" w:color="auto"/>
              <w:left w:val="dotted" w:sz="4" w:space="0" w:color="auto"/>
              <w:bottom w:val="single" w:sz="4" w:space="0" w:color="auto"/>
              <w:right w:val="dotted" w:sz="4" w:space="0" w:color="auto"/>
            </w:tcBorders>
            <w:shd w:val="clear" w:color="auto" w:fill="F0F0F0"/>
          </w:tcPr>
          <w:p w:rsidR="00EF6860" w:rsidRPr="00EF6860" w:rsidRDefault="00EF6860" w:rsidP="006D6EC4">
            <w:pPr>
              <w:spacing w:before="40" w:after="40"/>
              <w:jc w:val="left"/>
              <w:rPr>
                <w:b/>
                <w:sz w:val="16"/>
              </w:rPr>
            </w:pPr>
            <w:r w:rsidRPr="00EF6860">
              <w:rPr>
                <w:b/>
                <w:sz w:val="16"/>
                <w:szCs w:val="16"/>
              </w:rPr>
              <w:t>6</w:t>
            </w:r>
          </w:p>
        </w:tc>
        <w:tc>
          <w:tcPr>
            <w:tcW w:w="1916" w:type="dxa"/>
            <w:gridSpan w:val="2"/>
            <w:tcBorders>
              <w:top w:val="single" w:sz="4" w:space="0" w:color="auto"/>
              <w:left w:val="dotted" w:sz="4" w:space="0" w:color="auto"/>
              <w:bottom w:val="single" w:sz="4" w:space="0" w:color="auto"/>
              <w:right w:val="nil"/>
            </w:tcBorders>
            <w:shd w:val="clear" w:color="auto" w:fill="F0F0F0"/>
          </w:tcPr>
          <w:p w:rsidR="00EF6860" w:rsidRPr="00EF6860" w:rsidRDefault="00EF6860" w:rsidP="006D6EC4">
            <w:pPr>
              <w:spacing w:before="40" w:after="40"/>
              <w:jc w:val="left"/>
              <w:rPr>
                <w:b/>
                <w:sz w:val="16"/>
              </w:rPr>
            </w:pPr>
            <w:r w:rsidRPr="00EF6860">
              <w:rPr>
                <w:b/>
                <w:sz w:val="16"/>
                <w:lang w:val="fr-FR"/>
              </w:rPr>
              <w:t>7</w:t>
            </w:r>
          </w:p>
        </w:tc>
        <w:tc>
          <w:tcPr>
            <w:tcW w:w="1923" w:type="dxa"/>
            <w:gridSpan w:val="2"/>
            <w:tcBorders>
              <w:top w:val="single" w:sz="4" w:space="0" w:color="auto"/>
              <w:left w:val="nil"/>
              <w:bottom w:val="single" w:sz="4" w:space="0" w:color="auto"/>
              <w:right w:val="nil"/>
            </w:tcBorders>
            <w:shd w:val="clear" w:color="auto" w:fill="F0F0F0"/>
          </w:tcPr>
          <w:p w:rsidR="00EF6860" w:rsidRPr="00EF6860" w:rsidRDefault="00EF6860" w:rsidP="006D6EC4">
            <w:pPr>
              <w:spacing w:before="40" w:after="40"/>
              <w:jc w:val="left"/>
              <w:rPr>
                <w:sz w:val="16"/>
                <w:lang w:val="es-ES_tradnl"/>
              </w:rPr>
            </w:pPr>
          </w:p>
        </w:tc>
        <w:tc>
          <w:tcPr>
            <w:tcW w:w="1810" w:type="dxa"/>
            <w:tcBorders>
              <w:top w:val="single" w:sz="4" w:space="0" w:color="auto"/>
              <w:left w:val="nil"/>
              <w:bottom w:val="single" w:sz="4" w:space="0" w:color="auto"/>
              <w:right w:val="nil"/>
            </w:tcBorders>
            <w:shd w:val="clear" w:color="auto" w:fill="F0F0F0"/>
          </w:tcPr>
          <w:p w:rsidR="00EF6860" w:rsidRPr="00EF6860" w:rsidRDefault="00EF6860" w:rsidP="006D6EC4">
            <w:pPr>
              <w:spacing w:before="40" w:after="40"/>
              <w:jc w:val="left"/>
              <w:rPr>
                <w:sz w:val="16"/>
              </w:rPr>
            </w:pPr>
          </w:p>
        </w:tc>
        <w:tc>
          <w:tcPr>
            <w:tcW w:w="567" w:type="dxa"/>
            <w:tcBorders>
              <w:top w:val="single" w:sz="4" w:space="0" w:color="auto"/>
              <w:left w:val="nil"/>
              <w:bottom w:val="single" w:sz="4" w:space="0" w:color="auto"/>
            </w:tcBorders>
            <w:shd w:val="clear" w:color="auto" w:fill="F0F0F0"/>
          </w:tcPr>
          <w:p w:rsidR="00EF6860" w:rsidRPr="00EF6860" w:rsidRDefault="00EF6860" w:rsidP="006D6EC4">
            <w:pPr>
              <w:spacing w:before="40" w:after="40"/>
              <w:jc w:val="center"/>
              <w:rPr>
                <w:b/>
                <w:sz w:val="16"/>
              </w:rPr>
            </w:pPr>
          </w:p>
        </w:tc>
      </w:tr>
      <w:tr w:rsidR="00EF6860" w:rsidRPr="00AC67A0" w:rsidTr="00FD65CE">
        <w:trPr>
          <w:cantSplit/>
        </w:trPr>
        <w:tc>
          <w:tcPr>
            <w:tcW w:w="709" w:type="dxa"/>
            <w:gridSpan w:val="2"/>
            <w:tcBorders>
              <w:top w:val="single" w:sz="4" w:space="0" w:color="auto"/>
            </w:tcBorders>
          </w:tcPr>
          <w:p w:rsidR="00EF6860" w:rsidRPr="00EF6860" w:rsidRDefault="00EF6860" w:rsidP="006D6EC4">
            <w:pPr>
              <w:spacing w:before="40" w:after="40"/>
              <w:jc w:val="left"/>
              <w:rPr>
                <w:b/>
                <w:sz w:val="16"/>
                <w:szCs w:val="16"/>
              </w:rPr>
            </w:pPr>
          </w:p>
        </w:tc>
        <w:tc>
          <w:tcPr>
            <w:tcW w:w="1790" w:type="dxa"/>
            <w:gridSpan w:val="2"/>
            <w:tcBorders>
              <w:top w:val="single" w:sz="4" w:space="0" w:color="auto"/>
              <w:bottom w:val="dotted" w:sz="2" w:space="0" w:color="auto"/>
            </w:tcBorders>
          </w:tcPr>
          <w:p w:rsidR="00EF6860" w:rsidRPr="00EF6860" w:rsidRDefault="00EF6860" w:rsidP="006D6EC4">
            <w:pPr>
              <w:spacing w:before="40" w:after="40"/>
              <w:jc w:val="left"/>
              <w:rPr>
                <w:dstrike/>
              </w:rPr>
            </w:pPr>
            <w:r w:rsidRPr="00EF6860">
              <w:rPr>
                <w:b/>
                <w:sz w:val="16"/>
                <w:szCs w:val="16"/>
              </w:rPr>
              <w:t>Name of characteristics in English</w:t>
            </w:r>
          </w:p>
        </w:tc>
        <w:tc>
          <w:tcPr>
            <w:tcW w:w="1917" w:type="dxa"/>
            <w:gridSpan w:val="2"/>
            <w:tcBorders>
              <w:top w:val="single" w:sz="4" w:space="0" w:color="auto"/>
              <w:bottom w:val="dotted" w:sz="2" w:space="0" w:color="auto"/>
            </w:tcBorders>
          </w:tcPr>
          <w:p w:rsidR="00EF6860" w:rsidRPr="00EF6860" w:rsidRDefault="00EF6860" w:rsidP="006D6EC4">
            <w:pPr>
              <w:spacing w:before="40" w:after="40"/>
              <w:jc w:val="left"/>
              <w:rPr>
                <w:b/>
                <w:dstrike/>
                <w:sz w:val="16"/>
                <w:szCs w:val="16"/>
                <w:lang w:val="fr-CH"/>
              </w:rPr>
            </w:pPr>
            <w:r w:rsidRPr="00EF6860">
              <w:rPr>
                <w:b/>
                <w:sz w:val="16"/>
                <w:szCs w:val="16"/>
                <w:lang w:val="fr-CH"/>
              </w:rPr>
              <w:t>Nom du caractère en français</w:t>
            </w:r>
          </w:p>
        </w:tc>
        <w:tc>
          <w:tcPr>
            <w:tcW w:w="1916" w:type="dxa"/>
            <w:gridSpan w:val="2"/>
            <w:tcBorders>
              <w:top w:val="single" w:sz="4" w:space="0" w:color="auto"/>
              <w:bottom w:val="dotted" w:sz="2" w:space="0" w:color="auto"/>
            </w:tcBorders>
          </w:tcPr>
          <w:p w:rsidR="00EF6860" w:rsidRPr="00EF6860" w:rsidRDefault="00EF6860" w:rsidP="006D6EC4">
            <w:pPr>
              <w:spacing w:before="40" w:after="40"/>
              <w:jc w:val="left"/>
              <w:rPr>
                <w:b/>
                <w:dstrike/>
                <w:sz w:val="16"/>
                <w:szCs w:val="16"/>
                <w:lang w:val="de-DE"/>
              </w:rPr>
            </w:pPr>
            <w:r w:rsidRPr="00EF6860">
              <w:rPr>
                <w:b/>
                <w:sz w:val="16"/>
                <w:szCs w:val="16"/>
                <w:lang w:val="de-DE"/>
              </w:rPr>
              <w:t>Name des Merkmals auf Deutsch</w:t>
            </w:r>
          </w:p>
        </w:tc>
        <w:tc>
          <w:tcPr>
            <w:tcW w:w="1923" w:type="dxa"/>
            <w:gridSpan w:val="2"/>
            <w:tcBorders>
              <w:top w:val="single" w:sz="4" w:space="0" w:color="auto"/>
              <w:bottom w:val="dotted" w:sz="2" w:space="0" w:color="auto"/>
            </w:tcBorders>
          </w:tcPr>
          <w:p w:rsidR="00EF6860" w:rsidRPr="00EF6860" w:rsidRDefault="00EF6860" w:rsidP="006D6EC4">
            <w:pPr>
              <w:spacing w:before="40" w:after="40"/>
              <w:jc w:val="left"/>
              <w:rPr>
                <w:b/>
                <w:sz w:val="16"/>
                <w:szCs w:val="16"/>
                <w:lang w:val="es-ES"/>
              </w:rPr>
            </w:pPr>
            <w:r w:rsidRPr="00EF6860">
              <w:rPr>
                <w:b/>
                <w:sz w:val="16"/>
                <w:szCs w:val="16"/>
                <w:lang w:val="es-ES"/>
              </w:rPr>
              <w:t>Nombre del carácter en español</w:t>
            </w:r>
          </w:p>
        </w:tc>
        <w:tc>
          <w:tcPr>
            <w:tcW w:w="1810" w:type="dxa"/>
            <w:tcBorders>
              <w:top w:val="single" w:sz="4" w:space="0" w:color="auto"/>
              <w:bottom w:val="dotted" w:sz="2" w:space="0" w:color="auto"/>
            </w:tcBorders>
          </w:tcPr>
          <w:p w:rsidR="00EF6860" w:rsidRPr="00EF6860" w:rsidRDefault="00EF6860" w:rsidP="006D6EC4">
            <w:pPr>
              <w:spacing w:before="40" w:after="40"/>
              <w:rPr>
                <w:lang w:val="es-ES"/>
              </w:rPr>
            </w:pPr>
          </w:p>
        </w:tc>
        <w:tc>
          <w:tcPr>
            <w:tcW w:w="567" w:type="dxa"/>
            <w:tcBorders>
              <w:top w:val="single" w:sz="4" w:space="0" w:color="auto"/>
              <w:bottom w:val="dotted" w:sz="2" w:space="0" w:color="auto"/>
            </w:tcBorders>
          </w:tcPr>
          <w:p w:rsidR="00EF6860" w:rsidRPr="00EF6860" w:rsidRDefault="00EF6860" w:rsidP="006D6EC4">
            <w:pPr>
              <w:spacing w:before="40" w:after="40"/>
              <w:jc w:val="center"/>
              <w:rPr>
                <w:lang w:val="es-ES"/>
              </w:rPr>
            </w:pPr>
          </w:p>
        </w:tc>
      </w:tr>
      <w:tr w:rsidR="00EF6860" w:rsidRPr="00EF6860" w:rsidTr="00FD65CE">
        <w:trPr>
          <w:cantSplit/>
        </w:trPr>
        <w:tc>
          <w:tcPr>
            <w:tcW w:w="709" w:type="dxa"/>
            <w:gridSpan w:val="2"/>
            <w:tcBorders>
              <w:bottom w:val="single" w:sz="4" w:space="0" w:color="auto"/>
            </w:tcBorders>
          </w:tcPr>
          <w:p w:rsidR="00EF6860" w:rsidRPr="00EF6860" w:rsidRDefault="00EF6860" w:rsidP="006D6EC4">
            <w:pPr>
              <w:spacing w:before="40" w:after="40"/>
              <w:jc w:val="left"/>
              <w:rPr>
                <w:sz w:val="16"/>
                <w:szCs w:val="16"/>
                <w:lang w:val="es-ES"/>
              </w:rPr>
            </w:pPr>
          </w:p>
        </w:tc>
        <w:tc>
          <w:tcPr>
            <w:tcW w:w="1790" w:type="dxa"/>
            <w:gridSpan w:val="2"/>
            <w:tcBorders>
              <w:top w:val="dotted" w:sz="2" w:space="0" w:color="auto"/>
              <w:bottom w:val="single" w:sz="4" w:space="0" w:color="auto"/>
            </w:tcBorders>
          </w:tcPr>
          <w:p w:rsidR="00EF6860" w:rsidRPr="00EF6860" w:rsidRDefault="00EF6860" w:rsidP="006D6EC4">
            <w:pPr>
              <w:spacing w:before="40" w:after="40"/>
              <w:jc w:val="left"/>
              <w:rPr>
                <w:dstrike/>
              </w:rPr>
            </w:pPr>
            <w:r w:rsidRPr="00EF6860">
              <w:rPr>
                <w:sz w:val="16"/>
                <w:szCs w:val="16"/>
              </w:rPr>
              <w:t>states of expression</w:t>
            </w:r>
          </w:p>
        </w:tc>
        <w:tc>
          <w:tcPr>
            <w:tcW w:w="1917" w:type="dxa"/>
            <w:gridSpan w:val="2"/>
            <w:tcBorders>
              <w:top w:val="dotted" w:sz="2" w:space="0" w:color="auto"/>
              <w:bottom w:val="single" w:sz="4" w:space="0" w:color="auto"/>
            </w:tcBorders>
          </w:tcPr>
          <w:p w:rsidR="00EF6860" w:rsidRPr="00EF6860" w:rsidRDefault="00EF6860" w:rsidP="006D6EC4">
            <w:pPr>
              <w:spacing w:before="40" w:after="40"/>
              <w:jc w:val="left"/>
              <w:rPr>
                <w:dstrike/>
                <w:sz w:val="16"/>
                <w:szCs w:val="16"/>
              </w:rPr>
            </w:pPr>
            <w:r w:rsidRPr="00EF6860">
              <w:rPr>
                <w:sz w:val="16"/>
                <w:szCs w:val="16"/>
              </w:rPr>
              <w:t>types d’expression</w:t>
            </w:r>
          </w:p>
        </w:tc>
        <w:tc>
          <w:tcPr>
            <w:tcW w:w="1916" w:type="dxa"/>
            <w:gridSpan w:val="2"/>
            <w:tcBorders>
              <w:top w:val="dotted" w:sz="2" w:space="0" w:color="auto"/>
              <w:bottom w:val="single" w:sz="4" w:space="0" w:color="auto"/>
            </w:tcBorders>
          </w:tcPr>
          <w:p w:rsidR="00EF6860" w:rsidRPr="00EF6860" w:rsidRDefault="00EF6860" w:rsidP="006D6EC4">
            <w:pPr>
              <w:spacing w:before="40" w:after="40"/>
              <w:jc w:val="left"/>
              <w:rPr>
                <w:dstrike/>
                <w:sz w:val="16"/>
                <w:szCs w:val="16"/>
              </w:rPr>
            </w:pPr>
            <w:r w:rsidRPr="00EF6860">
              <w:rPr>
                <w:sz w:val="16"/>
                <w:szCs w:val="16"/>
              </w:rPr>
              <w:t>Ausprägungsstufen</w:t>
            </w:r>
          </w:p>
        </w:tc>
        <w:tc>
          <w:tcPr>
            <w:tcW w:w="1923" w:type="dxa"/>
            <w:gridSpan w:val="2"/>
            <w:tcBorders>
              <w:top w:val="dotted" w:sz="2" w:space="0" w:color="auto"/>
              <w:bottom w:val="single" w:sz="4" w:space="0" w:color="auto"/>
            </w:tcBorders>
          </w:tcPr>
          <w:p w:rsidR="00EF6860" w:rsidRPr="00EF6860" w:rsidRDefault="00EF6860" w:rsidP="006D6EC4">
            <w:pPr>
              <w:spacing w:before="40" w:after="40"/>
              <w:jc w:val="left"/>
              <w:rPr>
                <w:sz w:val="16"/>
                <w:szCs w:val="16"/>
                <w:lang w:val="es-ES_tradnl"/>
              </w:rPr>
            </w:pPr>
            <w:r w:rsidRPr="00EF6860">
              <w:rPr>
                <w:sz w:val="16"/>
                <w:szCs w:val="16"/>
                <w:lang w:val="es-ES_tradnl"/>
              </w:rPr>
              <w:t>tipos de expresión</w:t>
            </w:r>
          </w:p>
        </w:tc>
        <w:tc>
          <w:tcPr>
            <w:tcW w:w="1810" w:type="dxa"/>
            <w:tcBorders>
              <w:top w:val="dotted" w:sz="2" w:space="0" w:color="auto"/>
              <w:bottom w:val="single" w:sz="4" w:space="0" w:color="auto"/>
            </w:tcBorders>
          </w:tcPr>
          <w:p w:rsidR="00EF6860" w:rsidRPr="00EF6860" w:rsidRDefault="00EF6860" w:rsidP="006D6EC4">
            <w:pPr>
              <w:spacing w:before="40" w:after="40"/>
              <w:jc w:val="left"/>
            </w:pPr>
          </w:p>
        </w:tc>
        <w:tc>
          <w:tcPr>
            <w:tcW w:w="567" w:type="dxa"/>
            <w:tcBorders>
              <w:top w:val="dotted" w:sz="2" w:space="0" w:color="auto"/>
              <w:bottom w:val="single" w:sz="4" w:space="0" w:color="auto"/>
            </w:tcBorders>
          </w:tcPr>
          <w:p w:rsidR="00EF6860" w:rsidRPr="00EF6860" w:rsidRDefault="00EF6860" w:rsidP="006D6EC4">
            <w:pPr>
              <w:spacing w:before="40" w:after="40"/>
              <w:jc w:val="center"/>
            </w:pPr>
          </w:p>
        </w:tc>
      </w:tr>
    </w:tbl>
    <w:p w:rsidR="00EF6860" w:rsidRPr="00EF6860" w:rsidRDefault="00EF6860" w:rsidP="00AC67A0"/>
    <w:p w:rsidR="00EF6860" w:rsidRPr="00EF6860" w:rsidRDefault="00EF6860" w:rsidP="006D6EC4">
      <w:r w:rsidRPr="00EF6860">
        <w:rPr>
          <w:lang w:val="es-ES_tradnl"/>
        </w:rPr>
        <w:t>Leyenda</w:t>
      </w:r>
    </w:p>
    <w:p w:rsidR="00EF6860" w:rsidRPr="00EF6860" w:rsidRDefault="00EF6860" w:rsidP="006D6EC4">
      <w:r w:rsidRPr="00EF6860">
        <w:t>1</w:t>
      </w:r>
      <w:r w:rsidRPr="00EF6860">
        <w:tab/>
      </w:r>
      <w:r w:rsidRPr="00EF6860">
        <w:rPr>
          <w:lang w:val="es-ES_tradnl"/>
        </w:rPr>
        <w:t>Número de carácter</w:t>
      </w:r>
    </w:p>
    <w:p w:rsidR="00EF6860" w:rsidRPr="00EF6860" w:rsidRDefault="00EF6860" w:rsidP="006D6EC4">
      <w:pPr>
        <w:rPr>
          <w:lang w:val="es-ES"/>
        </w:rPr>
      </w:pPr>
      <w:r w:rsidRPr="00EF6860">
        <w:rPr>
          <w:lang w:val="es-ES"/>
        </w:rPr>
        <w:t>2</w:t>
      </w:r>
      <w:r w:rsidRPr="00EF6860">
        <w:rPr>
          <w:lang w:val="es-ES"/>
        </w:rPr>
        <w:tab/>
        <w:t>(*)</w:t>
      </w:r>
      <w:r w:rsidRPr="00EF6860">
        <w:rPr>
          <w:lang w:val="es-ES"/>
        </w:rPr>
        <w:tab/>
      </w:r>
      <w:r w:rsidRPr="00EF6860">
        <w:rPr>
          <w:lang w:val="es-ES_tradnl"/>
        </w:rPr>
        <w:t>Carácter con asterisco</w:t>
      </w:r>
      <w:r w:rsidRPr="00EF6860">
        <w:rPr>
          <w:lang w:val="es-ES"/>
        </w:rPr>
        <w:t xml:space="preserve"> </w:t>
      </w:r>
      <w:r w:rsidRPr="00EF6860">
        <w:rPr>
          <w:lang w:val="es-ES"/>
        </w:rPr>
        <w:tab/>
      </w:r>
      <w:r w:rsidRPr="00EF6860">
        <w:rPr>
          <w:lang w:val="es-ES"/>
        </w:rPr>
        <w:tab/>
      </w:r>
      <w:r w:rsidRPr="00EF6860">
        <w:rPr>
          <w:lang w:val="es-ES"/>
        </w:rPr>
        <w:tab/>
      </w:r>
      <w:r w:rsidRPr="00EF6860">
        <w:rPr>
          <w:lang w:val="es-ES_tradnl"/>
        </w:rPr>
        <w:t>– véase el Capítulo 6.1.2</w:t>
      </w:r>
    </w:p>
    <w:p w:rsidR="00EF6860" w:rsidRPr="00EF6860" w:rsidRDefault="00EF6860" w:rsidP="006D6EC4">
      <w:pPr>
        <w:rPr>
          <w:lang w:val="es-ES"/>
        </w:rPr>
      </w:pPr>
      <w:r w:rsidRPr="00EF6860">
        <w:rPr>
          <w:lang w:val="es-ES"/>
        </w:rPr>
        <w:t>3</w:t>
      </w:r>
      <w:r w:rsidRPr="00EF6860">
        <w:rPr>
          <w:lang w:val="es-ES"/>
        </w:rPr>
        <w:tab/>
      </w:r>
      <w:r w:rsidRPr="00EF6860">
        <w:rPr>
          <w:lang w:val="es-ES_tradnl"/>
        </w:rPr>
        <w:t>Tipo de expresión</w:t>
      </w:r>
    </w:p>
    <w:p w:rsidR="00EF6860" w:rsidRPr="00EF6860" w:rsidRDefault="00EF6860" w:rsidP="006D6EC4">
      <w:pPr>
        <w:tabs>
          <w:tab w:val="left" w:pos="709"/>
          <w:tab w:val="left" w:pos="1276"/>
        </w:tabs>
        <w:ind w:left="709"/>
        <w:rPr>
          <w:lang w:val="es-ES"/>
        </w:rPr>
      </w:pPr>
      <w:r w:rsidRPr="00EF6860">
        <w:rPr>
          <w:lang w:val="es-ES_tradnl"/>
        </w:rPr>
        <w:t>QL</w:t>
      </w:r>
      <w:r w:rsidRPr="00EF6860">
        <w:rPr>
          <w:lang w:val="es-ES"/>
        </w:rPr>
        <w:tab/>
      </w:r>
      <w:r w:rsidRPr="00EF6860">
        <w:rPr>
          <w:lang w:val="es-ES_tradnl"/>
        </w:rPr>
        <w:t>Carácter cualitativo</w:t>
      </w:r>
      <w:r w:rsidRPr="00EF6860">
        <w:rPr>
          <w:lang w:val="es-ES"/>
        </w:rPr>
        <w:t xml:space="preserve"> </w:t>
      </w:r>
      <w:r w:rsidRPr="00EF6860">
        <w:rPr>
          <w:lang w:val="es-ES"/>
        </w:rPr>
        <w:tab/>
      </w:r>
      <w:r w:rsidRPr="00EF6860">
        <w:rPr>
          <w:lang w:val="es-ES"/>
        </w:rPr>
        <w:tab/>
      </w:r>
      <w:r w:rsidRPr="00EF6860">
        <w:rPr>
          <w:lang w:val="es-ES_tradnl"/>
        </w:rPr>
        <w:t>– véase el Capítulo 6.3</w:t>
      </w:r>
    </w:p>
    <w:p w:rsidR="00EF6860" w:rsidRPr="00EF6860" w:rsidRDefault="00EF6860" w:rsidP="006D6EC4">
      <w:pPr>
        <w:tabs>
          <w:tab w:val="left" w:pos="709"/>
          <w:tab w:val="left" w:pos="1276"/>
        </w:tabs>
        <w:ind w:left="709"/>
        <w:rPr>
          <w:lang w:val="es-ES"/>
        </w:rPr>
      </w:pPr>
      <w:r w:rsidRPr="00EF6860">
        <w:rPr>
          <w:lang w:val="es-ES_tradnl"/>
        </w:rPr>
        <w:t>QN</w:t>
      </w:r>
      <w:r w:rsidRPr="00EF6860">
        <w:rPr>
          <w:lang w:val="es-ES"/>
        </w:rPr>
        <w:tab/>
      </w:r>
      <w:r w:rsidRPr="00EF6860">
        <w:rPr>
          <w:lang w:val="es-ES_tradnl"/>
        </w:rPr>
        <w:t>Carácter cuantitativo</w:t>
      </w:r>
      <w:r w:rsidRPr="00EF6860">
        <w:rPr>
          <w:lang w:val="es-ES"/>
        </w:rPr>
        <w:t xml:space="preserve"> </w:t>
      </w:r>
      <w:r w:rsidRPr="00EF6860">
        <w:rPr>
          <w:lang w:val="es-ES"/>
        </w:rPr>
        <w:tab/>
      </w:r>
      <w:r w:rsidRPr="00EF6860">
        <w:rPr>
          <w:lang w:val="es-ES"/>
        </w:rPr>
        <w:tab/>
      </w:r>
      <w:r w:rsidRPr="00EF6860">
        <w:rPr>
          <w:lang w:val="es-ES_tradnl"/>
        </w:rPr>
        <w:t>– véase el Capítulo 6.3</w:t>
      </w:r>
    </w:p>
    <w:p w:rsidR="00EF6860" w:rsidRPr="00EF6860" w:rsidRDefault="00EF6860" w:rsidP="006D6EC4">
      <w:pPr>
        <w:tabs>
          <w:tab w:val="left" w:pos="709"/>
          <w:tab w:val="left" w:pos="1276"/>
        </w:tabs>
        <w:ind w:left="709"/>
        <w:rPr>
          <w:lang w:val="es-ES"/>
        </w:rPr>
      </w:pPr>
      <w:r w:rsidRPr="00EF6860">
        <w:rPr>
          <w:lang w:val="es-ES_tradnl"/>
        </w:rPr>
        <w:t>PQ</w:t>
      </w:r>
      <w:r w:rsidRPr="00EF6860">
        <w:rPr>
          <w:lang w:val="es-ES"/>
        </w:rPr>
        <w:tab/>
      </w:r>
      <w:r w:rsidRPr="00EF6860">
        <w:rPr>
          <w:lang w:val="es-ES_tradnl"/>
        </w:rPr>
        <w:t>Carácter pseudocualitativo</w:t>
      </w:r>
      <w:r w:rsidRPr="00EF6860">
        <w:rPr>
          <w:lang w:val="es-ES"/>
        </w:rPr>
        <w:t xml:space="preserve"> </w:t>
      </w:r>
      <w:r w:rsidRPr="00EF6860">
        <w:rPr>
          <w:lang w:val="es-ES"/>
        </w:rPr>
        <w:tab/>
      </w:r>
      <w:r w:rsidRPr="00EF6860">
        <w:rPr>
          <w:lang w:val="es-ES_tradnl"/>
        </w:rPr>
        <w:t>– véase el Capítulo 6.3</w:t>
      </w:r>
    </w:p>
    <w:p w:rsidR="00EF6860" w:rsidRPr="00EF6860" w:rsidRDefault="00EF6860" w:rsidP="006D6EC4">
      <w:pPr>
        <w:rPr>
          <w:rFonts w:eastAsia="MS Mincho"/>
          <w:lang w:val="es-ES"/>
        </w:rPr>
      </w:pPr>
      <w:r w:rsidRPr="00EF6860">
        <w:rPr>
          <w:rFonts w:eastAsia="MS Mincho"/>
          <w:lang w:val="es-ES"/>
        </w:rPr>
        <w:t>4</w:t>
      </w:r>
      <w:r w:rsidRPr="00EF6860">
        <w:rPr>
          <w:rFonts w:eastAsia="MS Mincho"/>
          <w:lang w:val="es-ES"/>
        </w:rPr>
        <w:tab/>
      </w:r>
      <w:r w:rsidRPr="00EF6860">
        <w:rPr>
          <w:rFonts w:eastAsia="MS Mincho"/>
          <w:lang w:val="es-ES_tradnl"/>
        </w:rPr>
        <w:t>Método de observación (y tipo de parcela, si procede)</w:t>
      </w:r>
    </w:p>
    <w:p w:rsidR="00EF6860" w:rsidRPr="00EF6860" w:rsidRDefault="00EF6860" w:rsidP="006D6EC4">
      <w:pPr>
        <w:tabs>
          <w:tab w:val="left" w:pos="3969"/>
        </w:tabs>
        <w:ind w:left="709"/>
        <w:rPr>
          <w:rFonts w:eastAsia="MS Mincho"/>
          <w:lang w:val="es-ES"/>
        </w:rPr>
      </w:pPr>
      <w:r w:rsidRPr="00EF6860">
        <w:rPr>
          <w:rFonts w:eastAsia="MS Mincho"/>
          <w:lang w:val="es-ES_tradnl"/>
        </w:rPr>
        <w:t>MG, MS, VG, VS</w:t>
      </w:r>
      <w:r w:rsidRPr="00EF6860">
        <w:rPr>
          <w:rFonts w:eastAsia="MS Mincho"/>
          <w:lang w:val="es-ES"/>
        </w:rPr>
        <w:t xml:space="preserve"> </w:t>
      </w:r>
      <w:r w:rsidRPr="00EF6860">
        <w:rPr>
          <w:rFonts w:eastAsia="MS Mincho"/>
          <w:lang w:val="es-ES"/>
        </w:rPr>
        <w:tab/>
      </w:r>
      <w:r w:rsidRPr="00EF6860">
        <w:rPr>
          <w:rFonts w:eastAsia="MS Mincho"/>
          <w:lang w:val="es-ES"/>
        </w:rPr>
        <w:tab/>
      </w:r>
      <w:r w:rsidRPr="00EF6860">
        <w:rPr>
          <w:rFonts w:eastAsia="MS Mincho"/>
          <w:lang w:val="es-ES"/>
        </w:rPr>
        <w:tab/>
      </w:r>
      <w:r w:rsidRPr="00EF6860">
        <w:rPr>
          <w:lang w:val="es-ES_tradnl"/>
        </w:rPr>
        <w:t>– véase el Capítulo 4.1.5</w:t>
      </w:r>
    </w:p>
    <w:p w:rsidR="00EF6860" w:rsidRPr="00EF6860" w:rsidRDefault="00EF6860" w:rsidP="006D6EC4">
      <w:pPr>
        <w:tabs>
          <w:tab w:val="left" w:pos="567"/>
          <w:tab w:val="left" w:pos="1276"/>
        </w:tabs>
        <w:ind w:left="709" w:hanging="709"/>
        <w:rPr>
          <w:lang w:val="es-ES"/>
        </w:rPr>
      </w:pPr>
      <w:r w:rsidRPr="00EF6860">
        <w:rPr>
          <w:lang w:val="es-ES"/>
        </w:rPr>
        <w:t>5</w:t>
      </w:r>
      <w:r w:rsidRPr="00EF6860">
        <w:rPr>
          <w:rFonts w:eastAsia="MS Mincho"/>
          <w:lang w:val="es-ES"/>
        </w:rPr>
        <w:tab/>
      </w:r>
      <w:r w:rsidRPr="00EF6860">
        <w:rPr>
          <w:rFonts w:eastAsia="MS Mincho"/>
          <w:lang w:val="es-ES"/>
        </w:rPr>
        <w:tab/>
      </w:r>
      <w:r w:rsidRPr="00EF6860">
        <w:rPr>
          <w:lang w:val="es-ES"/>
        </w:rPr>
        <w:t>(+)</w:t>
      </w:r>
      <w:r w:rsidRPr="00EF6860">
        <w:rPr>
          <w:lang w:val="es-ES"/>
        </w:rPr>
        <w:tab/>
      </w:r>
      <w:r w:rsidRPr="00EF6860">
        <w:rPr>
          <w:lang w:val="es-ES_tradnl"/>
        </w:rPr>
        <w:t>Véanse las explicaciones de la tabla de caracteres en el Capítulo 8.2</w:t>
      </w:r>
    </w:p>
    <w:p w:rsidR="00EF6860" w:rsidRPr="00EF6860" w:rsidRDefault="00EF6860" w:rsidP="006D6EC4">
      <w:pPr>
        <w:tabs>
          <w:tab w:val="left" w:pos="567"/>
          <w:tab w:val="left" w:pos="1276"/>
        </w:tabs>
        <w:ind w:left="709" w:hanging="709"/>
        <w:rPr>
          <w:lang w:val="es-ES"/>
        </w:rPr>
      </w:pPr>
      <w:r w:rsidRPr="00EF6860">
        <w:rPr>
          <w:lang w:val="es-ES"/>
        </w:rPr>
        <w:t>6</w:t>
      </w:r>
      <w:r w:rsidRPr="00EF6860">
        <w:rPr>
          <w:lang w:val="es-ES"/>
        </w:rPr>
        <w:tab/>
      </w:r>
      <w:r w:rsidRPr="00EF6860">
        <w:rPr>
          <w:lang w:val="es-ES"/>
        </w:rPr>
        <w:tab/>
        <w:t>a)-{x}</w:t>
      </w:r>
      <w:r w:rsidRPr="00EF6860">
        <w:rPr>
          <w:lang w:val="es-ES"/>
        </w:rPr>
        <w:tab/>
      </w:r>
      <w:r w:rsidRPr="00EF6860">
        <w:rPr>
          <w:lang w:val="es-ES_tradnl"/>
        </w:rPr>
        <w:t>Véanse las explicaciones de la tabla de caracteres en el Capítulo 8.1</w:t>
      </w:r>
    </w:p>
    <w:p w:rsidR="00EF6860" w:rsidRPr="00EF6860" w:rsidRDefault="00EF6860" w:rsidP="006D6EC4">
      <w:pPr>
        <w:rPr>
          <w:lang w:val="es-ES"/>
        </w:rPr>
      </w:pPr>
      <w:r w:rsidRPr="00EF6860">
        <w:rPr>
          <w:lang w:val="es-ES"/>
        </w:rPr>
        <w:t>7</w:t>
      </w:r>
      <w:r w:rsidRPr="00EF6860">
        <w:rPr>
          <w:lang w:val="es-ES"/>
        </w:rPr>
        <w:tab/>
      </w:r>
      <w:r w:rsidRPr="00EF6860">
        <w:rPr>
          <w:lang w:val="es-ES_tradnl"/>
        </w:rPr>
        <w:t>Clave del estado de desarrollo</w:t>
      </w:r>
    </w:p>
    <w:p w:rsidR="00EF6860" w:rsidRPr="00EF6860" w:rsidRDefault="00EF6860" w:rsidP="00EF6860">
      <w:pPr>
        <w:keepNext/>
        <w:rPr>
          <w:lang w:val="es-ES"/>
        </w:rPr>
      </w:pPr>
      <w:r w:rsidRPr="00EF6860">
        <w:rPr>
          <w:lang w:val="es-ES_tradnl"/>
        </w:rPr>
        <w:t>Ejemplo:</w:t>
      </w:r>
    </w:p>
    <w:p w:rsidR="00EF6860" w:rsidRPr="00EF6860" w:rsidRDefault="00EF6860" w:rsidP="00EF6860">
      <w:pPr>
        <w:keepNext/>
        <w:rPr>
          <w:lang w:val="es-ES"/>
        </w:rPr>
      </w:pPr>
    </w:p>
    <w:tbl>
      <w:tblPr>
        <w:tblW w:w="10632" w:type="dxa"/>
        <w:tblInd w:w="-356" w:type="dxa"/>
        <w:tblBorders>
          <w:left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
        <w:gridCol w:w="315"/>
        <w:gridCol w:w="418"/>
        <w:gridCol w:w="1372"/>
        <w:gridCol w:w="392"/>
        <w:gridCol w:w="1525"/>
        <w:gridCol w:w="11"/>
        <w:gridCol w:w="1905"/>
        <w:gridCol w:w="9"/>
        <w:gridCol w:w="1914"/>
        <w:gridCol w:w="1810"/>
        <w:gridCol w:w="567"/>
      </w:tblGrid>
      <w:tr w:rsidR="00EF6860" w:rsidRPr="00EF6860" w:rsidTr="00FD65CE">
        <w:trPr>
          <w:cantSplit/>
          <w:tblHeader/>
        </w:trPr>
        <w:tc>
          <w:tcPr>
            <w:tcW w:w="709" w:type="dxa"/>
            <w:gridSpan w:val="2"/>
            <w:tcBorders>
              <w:top w:val="single" w:sz="4" w:space="0" w:color="auto"/>
              <w:bottom w:val="single" w:sz="4" w:space="0" w:color="auto"/>
            </w:tcBorders>
          </w:tcPr>
          <w:p w:rsidR="00EF6860" w:rsidRPr="00EF6860" w:rsidRDefault="00EF6860" w:rsidP="00EF6860">
            <w:pPr>
              <w:keepNext/>
              <w:spacing w:before="80" w:after="80"/>
              <w:jc w:val="left"/>
              <w:rPr>
                <w:sz w:val="16"/>
                <w:lang w:val="es-ES"/>
              </w:rPr>
            </w:pPr>
          </w:p>
        </w:tc>
        <w:tc>
          <w:tcPr>
            <w:tcW w:w="1790" w:type="dxa"/>
            <w:gridSpan w:val="2"/>
            <w:tcBorders>
              <w:top w:val="single" w:sz="4" w:space="0" w:color="auto"/>
              <w:bottom w:val="single" w:sz="4" w:space="0" w:color="auto"/>
            </w:tcBorders>
            <w:vAlign w:val="center"/>
          </w:tcPr>
          <w:p w:rsidR="00EF6860" w:rsidRPr="00EF6860" w:rsidRDefault="00EF6860" w:rsidP="00EF6860">
            <w:pPr>
              <w:keepNext/>
              <w:spacing w:before="80" w:after="80"/>
              <w:rPr>
                <w:dstrike/>
                <w:sz w:val="16"/>
              </w:rPr>
            </w:pPr>
            <w:r w:rsidRPr="00EF6860">
              <w:rPr>
                <w:sz w:val="16"/>
              </w:rPr>
              <w:t>English</w:t>
            </w:r>
          </w:p>
        </w:tc>
        <w:tc>
          <w:tcPr>
            <w:tcW w:w="1928" w:type="dxa"/>
            <w:gridSpan w:val="3"/>
            <w:tcBorders>
              <w:top w:val="single" w:sz="4" w:space="0" w:color="auto"/>
              <w:bottom w:val="single" w:sz="4" w:space="0" w:color="auto"/>
            </w:tcBorders>
            <w:vAlign w:val="center"/>
          </w:tcPr>
          <w:p w:rsidR="00EF6860" w:rsidRPr="00EF6860" w:rsidRDefault="00EF6860" w:rsidP="00EF6860">
            <w:pPr>
              <w:keepNext/>
              <w:spacing w:before="80" w:after="80"/>
              <w:jc w:val="left"/>
              <w:rPr>
                <w:dstrike/>
                <w:sz w:val="16"/>
                <w:lang w:val="fr-FR"/>
              </w:rPr>
            </w:pPr>
            <w:r w:rsidRPr="00EF6860">
              <w:rPr>
                <w:sz w:val="16"/>
                <w:lang w:val="fr-FR"/>
              </w:rPr>
              <w:t>français</w:t>
            </w:r>
          </w:p>
        </w:tc>
        <w:tc>
          <w:tcPr>
            <w:tcW w:w="1914" w:type="dxa"/>
            <w:gridSpan w:val="2"/>
            <w:tcBorders>
              <w:top w:val="single" w:sz="4" w:space="0" w:color="auto"/>
              <w:bottom w:val="single" w:sz="4" w:space="0" w:color="auto"/>
            </w:tcBorders>
            <w:vAlign w:val="center"/>
          </w:tcPr>
          <w:p w:rsidR="00EF6860" w:rsidRPr="00EF6860" w:rsidRDefault="00EF6860" w:rsidP="00EF6860">
            <w:pPr>
              <w:keepNext/>
              <w:spacing w:before="80" w:after="80"/>
              <w:jc w:val="left"/>
              <w:rPr>
                <w:dstrike/>
                <w:sz w:val="16"/>
                <w:lang w:val="de-DE"/>
              </w:rPr>
            </w:pPr>
            <w:r w:rsidRPr="00EF6860">
              <w:rPr>
                <w:sz w:val="16"/>
                <w:lang w:val="de-DE"/>
              </w:rPr>
              <w:t>deutsch</w:t>
            </w:r>
          </w:p>
        </w:tc>
        <w:tc>
          <w:tcPr>
            <w:tcW w:w="1914" w:type="dxa"/>
            <w:tcBorders>
              <w:top w:val="single" w:sz="4" w:space="0" w:color="auto"/>
              <w:bottom w:val="single" w:sz="4" w:space="0" w:color="auto"/>
            </w:tcBorders>
            <w:vAlign w:val="center"/>
          </w:tcPr>
          <w:p w:rsidR="00EF6860" w:rsidRPr="00EF6860" w:rsidRDefault="00EF6860" w:rsidP="00EF6860">
            <w:pPr>
              <w:keepNext/>
              <w:spacing w:before="80" w:after="80"/>
              <w:jc w:val="left"/>
              <w:rPr>
                <w:dstrike/>
                <w:sz w:val="16"/>
                <w:lang w:val="es-ES_tradnl"/>
              </w:rPr>
            </w:pPr>
            <w:r w:rsidRPr="00EF6860">
              <w:rPr>
                <w:sz w:val="16"/>
                <w:lang w:val="es-ES_tradnl"/>
              </w:rPr>
              <w:t>español</w:t>
            </w:r>
          </w:p>
        </w:tc>
        <w:tc>
          <w:tcPr>
            <w:tcW w:w="1810" w:type="dxa"/>
            <w:tcBorders>
              <w:top w:val="single" w:sz="4" w:space="0" w:color="auto"/>
              <w:bottom w:val="single" w:sz="4" w:space="0" w:color="auto"/>
            </w:tcBorders>
            <w:vAlign w:val="center"/>
          </w:tcPr>
          <w:p w:rsidR="00EF6860" w:rsidRPr="00EF6860" w:rsidRDefault="00EF6860" w:rsidP="00EF6860">
            <w:pPr>
              <w:keepNext/>
              <w:spacing w:before="80" w:after="80"/>
              <w:jc w:val="left"/>
              <w:rPr>
                <w:dstrike/>
                <w:sz w:val="16"/>
              </w:rPr>
            </w:pPr>
            <w:r w:rsidRPr="00EF6860">
              <w:rPr>
                <w:sz w:val="16"/>
              </w:rPr>
              <w:t>Example Varieties</w:t>
            </w:r>
            <w:r w:rsidRPr="00EF6860">
              <w:rPr>
                <w:sz w:val="16"/>
              </w:rPr>
              <w:br/>
              <w:t>Exemples</w:t>
            </w:r>
            <w:r w:rsidRPr="00EF6860">
              <w:rPr>
                <w:sz w:val="16"/>
              </w:rPr>
              <w:br/>
              <w:t>Beispielssorten</w:t>
            </w:r>
            <w:r w:rsidRPr="00EF6860">
              <w:rPr>
                <w:sz w:val="16"/>
              </w:rPr>
              <w:br/>
              <w:t>Variedades ejemplo</w:t>
            </w:r>
          </w:p>
        </w:tc>
        <w:tc>
          <w:tcPr>
            <w:tcW w:w="567" w:type="dxa"/>
            <w:tcBorders>
              <w:top w:val="single" w:sz="4" w:space="0" w:color="auto"/>
              <w:bottom w:val="single" w:sz="4" w:space="0" w:color="auto"/>
            </w:tcBorders>
            <w:vAlign w:val="center"/>
          </w:tcPr>
          <w:p w:rsidR="00EF6860" w:rsidRPr="00EF6860" w:rsidRDefault="00EF6860" w:rsidP="00EF6860">
            <w:pPr>
              <w:keepNext/>
              <w:spacing w:before="80" w:after="80"/>
              <w:jc w:val="center"/>
              <w:rPr>
                <w:sz w:val="16"/>
              </w:rPr>
            </w:pPr>
            <w:r w:rsidRPr="00EF6860">
              <w:rPr>
                <w:sz w:val="16"/>
              </w:rPr>
              <w:t>Note/</w:t>
            </w:r>
            <w:r w:rsidRPr="00EF6860">
              <w:rPr>
                <w:sz w:val="16"/>
              </w:rPr>
              <w:br/>
              <w:t>Nota</w:t>
            </w:r>
          </w:p>
        </w:tc>
      </w:tr>
      <w:tr w:rsidR="00EF6860" w:rsidRPr="00EF6860" w:rsidTr="00FD65CE">
        <w:trPr>
          <w:cantSplit/>
        </w:trPr>
        <w:tc>
          <w:tcPr>
            <w:tcW w:w="394" w:type="dxa"/>
            <w:tcBorders>
              <w:top w:val="single" w:sz="4" w:space="0" w:color="auto"/>
              <w:bottom w:val="single" w:sz="4" w:space="0" w:color="auto"/>
              <w:right w:val="dotted" w:sz="4" w:space="0" w:color="auto"/>
            </w:tcBorders>
            <w:shd w:val="clear" w:color="auto" w:fill="EBEBEB"/>
            <w:tcMar>
              <w:left w:w="28" w:type="dxa"/>
              <w:right w:w="28" w:type="dxa"/>
            </w:tcMar>
          </w:tcPr>
          <w:p w:rsidR="00EF6860" w:rsidRPr="00EF6860" w:rsidRDefault="00EF6860" w:rsidP="00EF6860">
            <w:pPr>
              <w:keepNext/>
              <w:spacing w:before="80" w:after="80"/>
              <w:jc w:val="left"/>
              <w:rPr>
                <w:b/>
                <w:dstrike/>
                <w:sz w:val="16"/>
                <w:szCs w:val="16"/>
              </w:rPr>
            </w:pPr>
            <w:r w:rsidRPr="00EF6860">
              <w:rPr>
                <w:b/>
                <w:sz w:val="16"/>
                <w:szCs w:val="16"/>
              </w:rPr>
              <w:t>100.</w:t>
            </w:r>
          </w:p>
        </w:tc>
        <w:tc>
          <w:tcPr>
            <w:tcW w:w="315" w:type="dxa"/>
            <w:tcBorders>
              <w:top w:val="single" w:sz="4" w:space="0" w:color="auto"/>
              <w:left w:val="dotted" w:sz="4" w:space="0" w:color="auto"/>
              <w:bottom w:val="single" w:sz="4" w:space="0" w:color="auto"/>
              <w:right w:val="dotted" w:sz="4" w:space="0" w:color="auto"/>
            </w:tcBorders>
            <w:shd w:val="clear" w:color="auto" w:fill="EBEBEB"/>
            <w:tcMar>
              <w:left w:w="28" w:type="dxa"/>
              <w:right w:w="28" w:type="dxa"/>
            </w:tcMar>
          </w:tcPr>
          <w:p w:rsidR="00EF6860" w:rsidRPr="00EF6860" w:rsidRDefault="00EF6860" w:rsidP="00EF6860">
            <w:pPr>
              <w:keepNext/>
              <w:spacing w:before="80" w:after="80"/>
              <w:jc w:val="left"/>
              <w:rPr>
                <w:b/>
                <w:dstrike/>
                <w:sz w:val="16"/>
                <w:szCs w:val="16"/>
              </w:rPr>
            </w:pPr>
            <w:r w:rsidRPr="00EF6860">
              <w:rPr>
                <w:b/>
                <w:sz w:val="16"/>
                <w:szCs w:val="16"/>
              </w:rPr>
              <w:t>(*)</w:t>
            </w:r>
          </w:p>
        </w:tc>
        <w:tc>
          <w:tcPr>
            <w:tcW w:w="418" w:type="dxa"/>
            <w:tcBorders>
              <w:top w:val="single" w:sz="4" w:space="0" w:color="auto"/>
              <w:left w:val="dotted" w:sz="4" w:space="0" w:color="auto"/>
              <w:bottom w:val="single" w:sz="4" w:space="0" w:color="auto"/>
              <w:right w:val="dotted" w:sz="4" w:space="0" w:color="auto"/>
            </w:tcBorders>
            <w:shd w:val="clear" w:color="auto" w:fill="EBEBEB"/>
          </w:tcPr>
          <w:p w:rsidR="00EF6860" w:rsidRPr="00EF6860" w:rsidRDefault="00EF6860" w:rsidP="00EF6860">
            <w:pPr>
              <w:keepNext/>
              <w:spacing w:before="80" w:after="80"/>
              <w:jc w:val="left"/>
              <w:rPr>
                <w:b/>
                <w:dstrike/>
              </w:rPr>
            </w:pPr>
            <w:r w:rsidRPr="00EF6860">
              <w:rPr>
                <w:b/>
                <w:sz w:val="16"/>
                <w:szCs w:val="16"/>
              </w:rPr>
              <w:t xml:space="preserve">QN </w:t>
            </w:r>
          </w:p>
        </w:tc>
        <w:tc>
          <w:tcPr>
            <w:tcW w:w="1372" w:type="dxa"/>
            <w:tcBorders>
              <w:top w:val="single" w:sz="4" w:space="0" w:color="auto"/>
              <w:left w:val="dotted" w:sz="4" w:space="0" w:color="auto"/>
              <w:bottom w:val="single" w:sz="4" w:space="0" w:color="auto"/>
              <w:right w:val="dotted" w:sz="4" w:space="0" w:color="auto"/>
            </w:tcBorders>
            <w:shd w:val="clear" w:color="auto" w:fill="EBEBEB"/>
          </w:tcPr>
          <w:p w:rsidR="00EF6860" w:rsidRPr="00EF6860" w:rsidRDefault="00EF6860" w:rsidP="00EF6860">
            <w:pPr>
              <w:keepNext/>
              <w:spacing w:before="80" w:after="80"/>
              <w:jc w:val="left"/>
              <w:rPr>
                <w:b/>
                <w:dstrike/>
              </w:rPr>
            </w:pPr>
            <w:r w:rsidRPr="00EF6860">
              <w:rPr>
                <w:b/>
                <w:sz w:val="16"/>
              </w:rPr>
              <w:t>MG A/VG B</w:t>
            </w:r>
          </w:p>
        </w:tc>
        <w:tc>
          <w:tcPr>
            <w:tcW w:w="392" w:type="dxa"/>
            <w:tcBorders>
              <w:top w:val="single" w:sz="4" w:space="0" w:color="auto"/>
              <w:left w:val="dotted" w:sz="4" w:space="0" w:color="auto"/>
              <w:bottom w:val="single" w:sz="4" w:space="0" w:color="auto"/>
              <w:right w:val="dotted" w:sz="4" w:space="0" w:color="auto"/>
            </w:tcBorders>
            <w:shd w:val="clear" w:color="auto" w:fill="EBEBEB"/>
          </w:tcPr>
          <w:p w:rsidR="00EF6860" w:rsidRPr="00EF6860" w:rsidRDefault="00EF6860" w:rsidP="00EF6860">
            <w:pPr>
              <w:keepNext/>
              <w:spacing w:before="80" w:after="80"/>
              <w:jc w:val="left"/>
              <w:rPr>
                <w:b/>
                <w:dstrike/>
                <w:sz w:val="16"/>
              </w:rPr>
            </w:pPr>
            <w:r w:rsidRPr="00EF6860">
              <w:rPr>
                <w:b/>
                <w:sz w:val="16"/>
              </w:rPr>
              <w:t>(+)</w:t>
            </w:r>
          </w:p>
        </w:tc>
        <w:tc>
          <w:tcPr>
            <w:tcW w:w="1525" w:type="dxa"/>
            <w:tcBorders>
              <w:top w:val="single" w:sz="4" w:space="0" w:color="auto"/>
              <w:left w:val="dotted" w:sz="4" w:space="0" w:color="auto"/>
              <w:bottom w:val="single" w:sz="4" w:space="0" w:color="auto"/>
              <w:right w:val="dotted" w:sz="4" w:space="0" w:color="auto"/>
            </w:tcBorders>
            <w:shd w:val="clear" w:color="auto" w:fill="EBEBEB"/>
          </w:tcPr>
          <w:p w:rsidR="00EF6860" w:rsidRPr="00EF6860" w:rsidRDefault="00EF6860" w:rsidP="00EF6860">
            <w:pPr>
              <w:keepNext/>
              <w:spacing w:before="80" w:after="80"/>
              <w:jc w:val="left"/>
              <w:rPr>
                <w:b/>
                <w:dstrike/>
                <w:sz w:val="16"/>
              </w:rPr>
            </w:pPr>
            <w:r w:rsidRPr="00EF6860">
              <w:rPr>
                <w:b/>
                <w:sz w:val="16"/>
                <w:szCs w:val="16"/>
              </w:rPr>
              <w:t>a) b) c)</w:t>
            </w:r>
          </w:p>
        </w:tc>
        <w:tc>
          <w:tcPr>
            <w:tcW w:w="1916" w:type="dxa"/>
            <w:gridSpan w:val="2"/>
            <w:tcBorders>
              <w:top w:val="single" w:sz="4" w:space="0" w:color="auto"/>
              <w:left w:val="dotted" w:sz="4" w:space="0" w:color="auto"/>
              <w:bottom w:val="single" w:sz="4" w:space="0" w:color="auto"/>
              <w:right w:val="nil"/>
            </w:tcBorders>
            <w:shd w:val="clear" w:color="auto" w:fill="EBEBEB"/>
          </w:tcPr>
          <w:p w:rsidR="00EF6860" w:rsidRPr="00EF6860" w:rsidRDefault="00EF6860" w:rsidP="00EF6860">
            <w:pPr>
              <w:keepNext/>
              <w:spacing w:before="80" w:after="80"/>
              <w:jc w:val="left"/>
              <w:rPr>
                <w:b/>
                <w:dstrike/>
                <w:sz w:val="16"/>
              </w:rPr>
            </w:pPr>
            <w:r w:rsidRPr="00EF6860">
              <w:rPr>
                <w:b/>
                <w:sz w:val="16"/>
                <w:lang w:val="fr-FR"/>
              </w:rPr>
              <w:t>2201, 2202, 2302</w:t>
            </w:r>
          </w:p>
        </w:tc>
        <w:tc>
          <w:tcPr>
            <w:tcW w:w="1923" w:type="dxa"/>
            <w:gridSpan w:val="2"/>
            <w:tcBorders>
              <w:top w:val="single" w:sz="4" w:space="0" w:color="auto"/>
              <w:left w:val="nil"/>
              <w:bottom w:val="single" w:sz="4" w:space="0" w:color="auto"/>
              <w:right w:val="nil"/>
            </w:tcBorders>
            <w:shd w:val="clear" w:color="auto" w:fill="EBEBEB"/>
          </w:tcPr>
          <w:p w:rsidR="00EF6860" w:rsidRPr="00EF6860" w:rsidRDefault="00EF6860" w:rsidP="00EF6860">
            <w:pPr>
              <w:keepNext/>
              <w:spacing w:before="80" w:after="80"/>
              <w:jc w:val="left"/>
              <w:rPr>
                <w:dstrike/>
                <w:sz w:val="16"/>
                <w:lang w:val="es-ES_tradnl"/>
              </w:rPr>
            </w:pPr>
          </w:p>
        </w:tc>
        <w:tc>
          <w:tcPr>
            <w:tcW w:w="1810" w:type="dxa"/>
            <w:tcBorders>
              <w:top w:val="single" w:sz="4" w:space="0" w:color="auto"/>
              <w:left w:val="nil"/>
              <w:bottom w:val="single" w:sz="4" w:space="0" w:color="auto"/>
              <w:right w:val="nil"/>
            </w:tcBorders>
            <w:shd w:val="clear" w:color="auto" w:fill="EBEBEB"/>
          </w:tcPr>
          <w:p w:rsidR="00EF6860" w:rsidRPr="00EF6860" w:rsidRDefault="00EF6860" w:rsidP="00EF6860">
            <w:pPr>
              <w:keepNext/>
              <w:spacing w:before="80" w:after="80"/>
              <w:jc w:val="left"/>
              <w:rPr>
                <w:dstrike/>
                <w:sz w:val="16"/>
              </w:rPr>
            </w:pPr>
          </w:p>
        </w:tc>
        <w:tc>
          <w:tcPr>
            <w:tcW w:w="567" w:type="dxa"/>
            <w:tcBorders>
              <w:top w:val="single" w:sz="4" w:space="0" w:color="auto"/>
              <w:left w:val="nil"/>
              <w:bottom w:val="single" w:sz="4" w:space="0" w:color="auto"/>
            </w:tcBorders>
            <w:shd w:val="clear" w:color="auto" w:fill="EBEBEB"/>
          </w:tcPr>
          <w:p w:rsidR="00EF6860" w:rsidRPr="00EF6860" w:rsidRDefault="00EF6860" w:rsidP="00EF6860">
            <w:pPr>
              <w:keepNext/>
              <w:spacing w:before="80" w:after="80"/>
              <w:jc w:val="center"/>
              <w:rPr>
                <w:b/>
                <w:sz w:val="16"/>
              </w:rPr>
            </w:pPr>
          </w:p>
        </w:tc>
      </w:tr>
      <w:tr w:rsidR="00EF6860" w:rsidRPr="00EF6860" w:rsidTr="00FD65CE">
        <w:trPr>
          <w:cantSplit/>
        </w:trPr>
        <w:tc>
          <w:tcPr>
            <w:tcW w:w="709" w:type="dxa"/>
            <w:gridSpan w:val="2"/>
            <w:tcBorders>
              <w:top w:val="single" w:sz="4" w:space="0" w:color="auto"/>
            </w:tcBorders>
          </w:tcPr>
          <w:p w:rsidR="00EF6860" w:rsidRPr="00EF6860" w:rsidRDefault="00EF6860" w:rsidP="00EF6860">
            <w:pPr>
              <w:keepNext/>
              <w:spacing w:before="80" w:after="80"/>
              <w:jc w:val="left"/>
              <w:rPr>
                <w:b/>
                <w:sz w:val="16"/>
                <w:szCs w:val="16"/>
              </w:rPr>
            </w:pPr>
          </w:p>
        </w:tc>
        <w:tc>
          <w:tcPr>
            <w:tcW w:w="1790" w:type="dxa"/>
            <w:gridSpan w:val="2"/>
            <w:tcBorders>
              <w:top w:val="single" w:sz="4" w:space="0" w:color="auto"/>
              <w:bottom w:val="dotted" w:sz="2" w:space="0" w:color="auto"/>
            </w:tcBorders>
          </w:tcPr>
          <w:p w:rsidR="00EF6860" w:rsidRPr="00EF6860" w:rsidRDefault="00EF6860" w:rsidP="00EF6860">
            <w:pPr>
              <w:keepNext/>
              <w:spacing w:before="80" w:after="80"/>
              <w:jc w:val="left"/>
              <w:rPr>
                <w:dstrike/>
              </w:rPr>
            </w:pPr>
            <w:r w:rsidRPr="00EF6860">
              <w:rPr>
                <w:b/>
                <w:sz w:val="16"/>
                <w:szCs w:val="16"/>
              </w:rPr>
              <w:t>Plant: growth habit</w:t>
            </w:r>
          </w:p>
        </w:tc>
        <w:tc>
          <w:tcPr>
            <w:tcW w:w="1917" w:type="dxa"/>
            <w:gridSpan w:val="2"/>
            <w:tcBorders>
              <w:top w:val="single" w:sz="4" w:space="0" w:color="auto"/>
              <w:bottom w:val="dotted" w:sz="2" w:space="0" w:color="auto"/>
            </w:tcBorders>
          </w:tcPr>
          <w:p w:rsidR="00EF6860" w:rsidRPr="00EF6860" w:rsidRDefault="00EF6860" w:rsidP="00EF6860">
            <w:pPr>
              <w:keepNext/>
              <w:spacing w:before="80" w:after="80"/>
              <w:jc w:val="left"/>
              <w:rPr>
                <w:dstrike/>
              </w:rPr>
            </w:pPr>
            <w:r w:rsidRPr="00EF6860">
              <w:rPr>
                <w:b/>
                <w:sz w:val="16"/>
                <w:szCs w:val="16"/>
              </w:rPr>
              <w:t>Plante: port</w:t>
            </w:r>
          </w:p>
        </w:tc>
        <w:tc>
          <w:tcPr>
            <w:tcW w:w="1916" w:type="dxa"/>
            <w:gridSpan w:val="2"/>
            <w:tcBorders>
              <w:top w:val="single" w:sz="4" w:space="0" w:color="auto"/>
              <w:bottom w:val="dotted" w:sz="2" w:space="0" w:color="auto"/>
            </w:tcBorders>
          </w:tcPr>
          <w:p w:rsidR="00EF6860" w:rsidRPr="00EF6860" w:rsidRDefault="00EF6860" w:rsidP="00EF6860">
            <w:pPr>
              <w:keepNext/>
              <w:spacing w:before="80" w:after="80"/>
              <w:jc w:val="left"/>
              <w:rPr>
                <w:dstrike/>
              </w:rPr>
            </w:pPr>
            <w:r w:rsidRPr="00EF6860">
              <w:rPr>
                <w:b/>
                <w:sz w:val="16"/>
                <w:szCs w:val="16"/>
              </w:rPr>
              <w:t>Pflanze: Wuchsform</w:t>
            </w:r>
          </w:p>
        </w:tc>
        <w:tc>
          <w:tcPr>
            <w:tcW w:w="1923" w:type="dxa"/>
            <w:gridSpan w:val="2"/>
            <w:tcBorders>
              <w:top w:val="single" w:sz="4" w:space="0" w:color="auto"/>
              <w:bottom w:val="dotted" w:sz="2" w:space="0" w:color="auto"/>
            </w:tcBorders>
          </w:tcPr>
          <w:p w:rsidR="00EF6860" w:rsidRPr="00EF6860" w:rsidRDefault="00EF6860" w:rsidP="00EF6860">
            <w:pPr>
              <w:keepNext/>
              <w:spacing w:before="80" w:after="80"/>
              <w:jc w:val="left"/>
              <w:rPr>
                <w:dstrike/>
              </w:rPr>
            </w:pPr>
            <w:r w:rsidRPr="00EF6860">
              <w:rPr>
                <w:b/>
                <w:sz w:val="16"/>
                <w:szCs w:val="16"/>
              </w:rPr>
              <w:t xml:space="preserve">Planta: </w:t>
            </w:r>
            <w:r w:rsidR="00463CB3">
              <w:rPr>
                <w:b/>
                <w:sz w:val="16"/>
                <w:szCs w:val="16"/>
              </w:rPr>
              <w:t xml:space="preserve"> </w:t>
            </w:r>
            <w:r w:rsidRPr="00EF6860">
              <w:rPr>
                <w:b/>
                <w:sz w:val="16"/>
                <w:szCs w:val="16"/>
              </w:rPr>
              <w:t>porte</w:t>
            </w:r>
          </w:p>
        </w:tc>
        <w:tc>
          <w:tcPr>
            <w:tcW w:w="1810" w:type="dxa"/>
            <w:tcBorders>
              <w:top w:val="single" w:sz="4" w:space="0" w:color="auto"/>
              <w:bottom w:val="dotted" w:sz="2" w:space="0" w:color="auto"/>
            </w:tcBorders>
          </w:tcPr>
          <w:p w:rsidR="00EF6860" w:rsidRPr="00EF6860" w:rsidRDefault="00EF6860" w:rsidP="00EF6860">
            <w:pPr>
              <w:keepNext/>
              <w:spacing w:before="80" w:after="80"/>
            </w:pPr>
          </w:p>
        </w:tc>
        <w:tc>
          <w:tcPr>
            <w:tcW w:w="567" w:type="dxa"/>
            <w:tcBorders>
              <w:top w:val="single" w:sz="4" w:space="0" w:color="auto"/>
              <w:bottom w:val="dotted" w:sz="2" w:space="0" w:color="auto"/>
            </w:tcBorders>
          </w:tcPr>
          <w:p w:rsidR="00EF6860" w:rsidRPr="00EF6860" w:rsidRDefault="00EF6860" w:rsidP="00EF6860">
            <w:pPr>
              <w:keepNext/>
              <w:spacing w:before="80" w:after="80"/>
              <w:jc w:val="center"/>
            </w:pPr>
          </w:p>
        </w:tc>
      </w:tr>
      <w:tr w:rsidR="00EF6860" w:rsidRPr="00EF6860" w:rsidTr="00FD65CE">
        <w:trPr>
          <w:cantSplit/>
        </w:trPr>
        <w:tc>
          <w:tcPr>
            <w:tcW w:w="709" w:type="dxa"/>
            <w:gridSpan w:val="2"/>
          </w:tcPr>
          <w:p w:rsidR="00EF6860" w:rsidRPr="00EF6860" w:rsidRDefault="00EF6860" w:rsidP="00EF6860">
            <w:pPr>
              <w:keepNext/>
              <w:spacing w:before="80" w:after="80"/>
              <w:jc w:val="left"/>
              <w:rPr>
                <w:sz w:val="16"/>
                <w:szCs w:val="16"/>
              </w:rPr>
            </w:pPr>
          </w:p>
        </w:tc>
        <w:tc>
          <w:tcPr>
            <w:tcW w:w="1790" w:type="dxa"/>
            <w:gridSpan w:val="2"/>
            <w:tcBorders>
              <w:top w:val="dotted" w:sz="2" w:space="0" w:color="auto"/>
              <w:bottom w:val="dotted" w:sz="2" w:space="0" w:color="auto"/>
            </w:tcBorders>
          </w:tcPr>
          <w:p w:rsidR="00EF6860" w:rsidRPr="00EF6860" w:rsidRDefault="00EF6860" w:rsidP="00EF6860">
            <w:pPr>
              <w:keepNext/>
              <w:spacing w:before="80" w:after="80"/>
              <w:jc w:val="left"/>
            </w:pPr>
            <w:r w:rsidRPr="00EF6860">
              <w:rPr>
                <w:sz w:val="16"/>
                <w:szCs w:val="16"/>
              </w:rPr>
              <w:t>upright</w:t>
            </w:r>
          </w:p>
        </w:tc>
        <w:tc>
          <w:tcPr>
            <w:tcW w:w="1917" w:type="dxa"/>
            <w:gridSpan w:val="2"/>
            <w:tcBorders>
              <w:top w:val="dotted" w:sz="2" w:space="0" w:color="auto"/>
              <w:bottom w:val="dotted" w:sz="2" w:space="0" w:color="auto"/>
            </w:tcBorders>
          </w:tcPr>
          <w:p w:rsidR="00EF6860" w:rsidRPr="00EF6860" w:rsidRDefault="00EF6860" w:rsidP="00EF6860">
            <w:pPr>
              <w:keepNext/>
              <w:spacing w:before="80" w:after="80"/>
            </w:pPr>
          </w:p>
        </w:tc>
        <w:tc>
          <w:tcPr>
            <w:tcW w:w="1916" w:type="dxa"/>
            <w:gridSpan w:val="2"/>
            <w:tcBorders>
              <w:top w:val="dotted" w:sz="2" w:space="0" w:color="auto"/>
              <w:bottom w:val="dotted" w:sz="2" w:space="0" w:color="auto"/>
            </w:tcBorders>
          </w:tcPr>
          <w:p w:rsidR="00EF6860" w:rsidRPr="00EF6860" w:rsidRDefault="00EF6860" w:rsidP="00EF6860">
            <w:pPr>
              <w:keepNext/>
              <w:spacing w:before="80" w:after="80"/>
            </w:pPr>
          </w:p>
        </w:tc>
        <w:tc>
          <w:tcPr>
            <w:tcW w:w="1923" w:type="dxa"/>
            <w:gridSpan w:val="2"/>
            <w:tcBorders>
              <w:top w:val="dotted" w:sz="2" w:space="0" w:color="auto"/>
              <w:bottom w:val="dotted" w:sz="2" w:space="0" w:color="auto"/>
            </w:tcBorders>
          </w:tcPr>
          <w:p w:rsidR="00EF6860" w:rsidRPr="00EF6860" w:rsidRDefault="00EF6860" w:rsidP="00EF6860">
            <w:pPr>
              <w:keepNext/>
              <w:spacing w:before="80" w:after="80"/>
              <w:jc w:val="left"/>
            </w:pPr>
            <w:r w:rsidRPr="00EF6860">
              <w:rPr>
                <w:sz w:val="16"/>
                <w:szCs w:val="16"/>
                <w:lang w:val="es-ES_tradnl"/>
              </w:rPr>
              <w:t>erecto</w:t>
            </w:r>
          </w:p>
        </w:tc>
        <w:tc>
          <w:tcPr>
            <w:tcW w:w="1810" w:type="dxa"/>
            <w:tcBorders>
              <w:top w:val="dotted" w:sz="2" w:space="0" w:color="auto"/>
              <w:bottom w:val="dotted" w:sz="2" w:space="0" w:color="auto"/>
            </w:tcBorders>
          </w:tcPr>
          <w:p w:rsidR="00EF6860" w:rsidRPr="00EF6860" w:rsidRDefault="00EF6860" w:rsidP="00EF6860">
            <w:pPr>
              <w:keepNext/>
              <w:spacing w:before="80" w:after="80"/>
            </w:pPr>
          </w:p>
        </w:tc>
        <w:tc>
          <w:tcPr>
            <w:tcW w:w="567" w:type="dxa"/>
            <w:tcBorders>
              <w:top w:val="dotted" w:sz="2" w:space="0" w:color="auto"/>
              <w:bottom w:val="dotted" w:sz="2" w:space="0" w:color="auto"/>
            </w:tcBorders>
          </w:tcPr>
          <w:p w:rsidR="00EF6860" w:rsidRPr="00EF6860" w:rsidRDefault="00EF6860" w:rsidP="00EF6860">
            <w:pPr>
              <w:keepNext/>
              <w:spacing w:before="80" w:after="80"/>
              <w:jc w:val="center"/>
            </w:pPr>
            <w:r w:rsidRPr="00EF6860">
              <w:rPr>
                <w:sz w:val="16"/>
                <w:szCs w:val="16"/>
              </w:rPr>
              <w:t>1</w:t>
            </w:r>
          </w:p>
        </w:tc>
      </w:tr>
      <w:tr w:rsidR="00EF6860" w:rsidRPr="00EF6860" w:rsidTr="00FD65CE">
        <w:trPr>
          <w:cantSplit/>
        </w:trPr>
        <w:tc>
          <w:tcPr>
            <w:tcW w:w="709" w:type="dxa"/>
            <w:gridSpan w:val="2"/>
            <w:tcBorders>
              <w:bottom w:val="nil"/>
            </w:tcBorders>
          </w:tcPr>
          <w:p w:rsidR="00EF6860" w:rsidRPr="00EF6860" w:rsidRDefault="00EF6860" w:rsidP="00EF6860">
            <w:pPr>
              <w:keepNext/>
              <w:spacing w:before="80" w:after="80"/>
              <w:jc w:val="left"/>
              <w:rPr>
                <w:sz w:val="16"/>
                <w:szCs w:val="16"/>
              </w:rPr>
            </w:pPr>
          </w:p>
        </w:tc>
        <w:tc>
          <w:tcPr>
            <w:tcW w:w="1790" w:type="dxa"/>
            <w:gridSpan w:val="2"/>
            <w:tcBorders>
              <w:top w:val="dotted" w:sz="2" w:space="0" w:color="auto"/>
              <w:bottom w:val="dotted" w:sz="2" w:space="0" w:color="auto"/>
            </w:tcBorders>
          </w:tcPr>
          <w:p w:rsidR="00EF6860" w:rsidRPr="00EF6860" w:rsidRDefault="00EF6860" w:rsidP="00EF6860">
            <w:pPr>
              <w:keepNext/>
              <w:spacing w:before="80" w:after="80"/>
              <w:jc w:val="left"/>
            </w:pPr>
            <w:r w:rsidRPr="00EF6860">
              <w:rPr>
                <w:sz w:val="16"/>
                <w:szCs w:val="16"/>
              </w:rPr>
              <w:t>semi upright</w:t>
            </w:r>
          </w:p>
        </w:tc>
        <w:tc>
          <w:tcPr>
            <w:tcW w:w="1917" w:type="dxa"/>
            <w:gridSpan w:val="2"/>
            <w:tcBorders>
              <w:top w:val="dotted" w:sz="2" w:space="0" w:color="auto"/>
              <w:bottom w:val="dotted" w:sz="2" w:space="0" w:color="auto"/>
            </w:tcBorders>
          </w:tcPr>
          <w:p w:rsidR="00EF6860" w:rsidRPr="00EF6860" w:rsidRDefault="00EF6860" w:rsidP="00EF6860">
            <w:pPr>
              <w:keepNext/>
              <w:spacing w:before="80" w:after="80"/>
            </w:pPr>
          </w:p>
        </w:tc>
        <w:tc>
          <w:tcPr>
            <w:tcW w:w="1916" w:type="dxa"/>
            <w:gridSpan w:val="2"/>
            <w:tcBorders>
              <w:top w:val="dotted" w:sz="2" w:space="0" w:color="auto"/>
              <w:bottom w:val="dotted" w:sz="2" w:space="0" w:color="auto"/>
            </w:tcBorders>
          </w:tcPr>
          <w:p w:rsidR="00EF6860" w:rsidRPr="00EF6860" w:rsidRDefault="00EF6860" w:rsidP="00EF6860">
            <w:pPr>
              <w:keepNext/>
              <w:spacing w:before="80" w:after="80"/>
            </w:pPr>
          </w:p>
        </w:tc>
        <w:tc>
          <w:tcPr>
            <w:tcW w:w="1923" w:type="dxa"/>
            <w:gridSpan w:val="2"/>
            <w:tcBorders>
              <w:top w:val="dotted" w:sz="2" w:space="0" w:color="auto"/>
              <w:bottom w:val="dotted" w:sz="2" w:space="0" w:color="auto"/>
            </w:tcBorders>
          </w:tcPr>
          <w:p w:rsidR="00EF6860" w:rsidRPr="00EF6860" w:rsidRDefault="00EF6860" w:rsidP="00EF6860">
            <w:pPr>
              <w:keepNext/>
              <w:spacing w:before="80" w:after="80"/>
              <w:jc w:val="left"/>
            </w:pPr>
            <w:r w:rsidRPr="00EF6860">
              <w:rPr>
                <w:sz w:val="16"/>
                <w:szCs w:val="16"/>
                <w:lang w:val="es-ES_tradnl"/>
              </w:rPr>
              <w:t>semierecto</w:t>
            </w:r>
          </w:p>
        </w:tc>
        <w:tc>
          <w:tcPr>
            <w:tcW w:w="1810" w:type="dxa"/>
            <w:tcBorders>
              <w:top w:val="dotted" w:sz="2" w:space="0" w:color="auto"/>
              <w:bottom w:val="dotted" w:sz="2" w:space="0" w:color="auto"/>
            </w:tcBorders>
          </w:tcPr>
          <w:p w:rsidR="00EF6860" w:rsidRPr="00EF6860" w:rsidRDefault="00EF6860" w:rsidP="00EF6860">
            <w:pPr>
              <w:keepNext/>
              <w:spacing w:before="80" w:after="80"/>
              <w:jc w:val="left"/>
            </w:pPr>
            <w:r w:rsidRPr="00EF6860">
              <w:rPr>
                <w:sz w:val="16"/>
                <w:szCs w:val="16"/>
              </w:rPr>
              <w:t>Okayamazairai</w:t>
            </w:r>
          </w:p>
        </w:tc>
        <w:tc>
          <w:tcPr>
            <w:tcW w:w="567" w:type="dxa"/>
            <w:tcBorders>
              <w:top w:val="dotted" w:sz="2" w:space="0" w:color="auto"/>
              <w:bottom w:val="dotted" w:sz="2" w:space="0" w:color="auto"/>
            </w:tcBorders>
          </w:tcPr>
          <w:p w:rsidR="00EF6860" w:rsidRPr="00EF6860" w:rsidRDefault="00EF6860" w:rsidP="00EF6860">
            <w:pPr>
              <w:keepNext/>
              <w:spacing w:before="80" w:after="80"/>
              <w:jc w:val="center"/>
            </w:pPr>
            <w:r w:rsidRPr="00EF6860">
              <w:rPr>
                <w:sz w:val="16"/>
                <w:szCs w:val="16"/>
              </w:rPr>
              <w:t>2</w:t>
            </w:r>
          </w:p>
        </w:tc>
      </w:tr>
      <w:tr w:rsidR="00EF6860" w:rsidRPr="00EF6860" w:rsidTr="00FD65CE">
        <w:trPr>
          <w:cantSplit/>
        </w:trPr>
        <w:tc>
          <w:tcPr>
            <w:tcW w:w="709" w:type="dxa"/>
            <w:gridSpan w:val="2"/>
            <w:tcBorders>
              <w:bottom w:val="single" w:sz="4" w:space="0" w:color="auto"/>
            </w:tcBorders>
          </w:tcPr>
          <w:p w:rsidR="00EF6860" w:rsidRPr="00EF6860" w:rsidRDefault="00EF6860" w:rsidP="00EF6860">
            <w:pPr>
              <w:keepNext/>
              <w:spacing w:before="80" w:after="80"/>
              <w:jc w:val="left"/>
              <w:rPr>
                <w:sz w:val="16"/>
                <w:szCs w:val="16"/>
              </w:rPr>
            </w:pPr>
          </w:p>
        </w:tc>
        <w:tc>
          <w:tcPr>
            <w:tcW w:w="1790" w:type="dxa"/>
            <w:gridSpan w:val="2"/>
            <w:tcBorders>
              <w:top w:val="dotted" w:sz="2" w:space="0" w:color="auto"/>
              <w:bottom w:val="single" w:sz="4" w:space="0" w:color="auto"/>
            </w:tcBorders>
          </w:tcPr>
          <w:p w:rsidR="00EF6860" w:rsidRPr="00EF6860" w:rsidRDefault="00EF6860" w:rsidP="00EF6860">
            <w:pPr>
              <w:keepNext/>
              <w:spacing w:before="80" w:after="80"/>
              <w:jc w:val="left"/>
            </w:pPr>
            <w:r w:rsidRPr="00EF6860">
              <w:rPr>
                <w:sz w:val="16"/>
                <w:szCs w:val="16"/>
              </w:rPr>
              <w:t>spreading</w:t>
            </w:r>
          </w:p>
        </w:tc>
        <w:tc>
          <w:tcPr>
            <w:tcW w:w="1917" w:type="dxa"/>
            <w:gridSpan w:val="2"/>
            <w:tcBorders>
              <w:top w:val="dotted" w:sz="2" w:space="0" w:color="auto"/>
              <w:bottom w:val="single" w:sz="4" w:space="0" w:color="auto"/>
            </w:tcBorders>
          </w:tcPr>
          <w:p w:rsidR="00EF6860" w:rsidRPr="00EF6860" w:rsidRDefault="00EF6860" w:rsidP="00EF6860">
            <w:pPr>
              <w:keepNext/>
              <w:spacing w:before="80" w:after="80"/>
            </w:pPr>
          </w:p>
        </w:tc>
        <w:tc>
          <w:tcPr>
            <w:tcW w:w="1916" w:type="dxa"/>
            <w:gridSpan w:val="2"/>
            <w:tcBorders>
              <w:top w:val="dotted" w:sz="2" w:space="0" w:color="auto"/>
              <w:bottom w:val="single" w:sz="4" w:space="0" w:color="auto"/>
            </w:tcBorders>
          </w:tcPr>
          <w:p w:rsidR="00EF6860" w:rsidRPr="00EF6860" w:rsidRDefault="00EF6860" w:rsidP="00EF6860">
            <w:pPr>
              <w:keepNext/>
              <w:spacing w:before="80" w:after="80"/>
            </w:pPr>
          </w:p>
        </w:tc>
        <w:tc>
          <w:tcPr>
            <w:tcW w:w="1923" w:type="dxa"/>
            <w:gridSpan w:val="2"/>
            <w:tcBorders>
              <w:top w:val="dotted" w:sz="2" w:space="0" w:color="auto"/>
              <w:bottom w:val="single" w:sz="4" w:space="0" w:color="auto"/>
            </w:tcBorders>
          </w:tcPr>
          <w:p w:rsidR="00EF6860" w:rsidRPr="00EF6860" w:rsidRDefault="00EF6860" w:rsidP="00EF6860">
            <w:pPr>
              <w:keepNext/>
              <w:spacing w:before="80" w:after="80"/>
              <w:jc w:val="left"/>
            </w:pPr>
            <w:r w:rsidRPr="00EF6860">
              <w:rPr>
                <w:sz w:val="16"/>
                <w:szCs w:val="16"/>
                <w:lang w:val="es-ES_tradnl"/>
              </w:rPr>
              <w:t>extendido</w:t>
            </w:r>
          </w:p>
        </w:tc>
        <w:tc>
          <w:tcPr>
            <w:tcW w:w="1810" w:type="dxa"/>
            <w:tcBorders>
              <w:top w:val="dotted" w:sz="2" w:space="0" w:color="auto"/>
              <w:bottom w:val="single" w:sz="4" w:space="0" w:color="auto"/>
            </w:tcBorders>
          </w:tcPr>
          <w:p w:rsidR="00EF6860" w:rsidRPr="00EF6860" w:rsidRDefault="00EF6860" w:rsidP="00EF6860">
            <w:pPr>
              <w:keepNext/>
              <w:spacing w:before="80" w:after="80"/>
            </w:pPr>
          </w:p>
        </w:tc>
        <w:tc>
          <w:tcPr>
            <w:tcW w:w="567" w:type="dxa"/>
            <w:tcBorders>
              <w:top w:val="dotted" w:sz="2" w:space="0" w:color="auto"/>
              <w:bottom w:val="single" w:sz="4" w:space="0" w:color="auto"/>
            </w:tcBorders>
          </w:tcPr>
          <w:p w:rsidR="00EF6860" w:rsidRPr="00EF6860" w:rsidRDefault="00EF6860" w:rsidP="00EF6860">
            <w:pPr>
              <w:keepNext/>
              <w:spacing w:before="80" w:after="80"/>
              <w:jc w:val="center"/>
            </w:pPr>
            <w:r w:rsidRPr="00EF6860">
              <w:rPr>
                <w:sz w:val="16"/>
                <w:szCs w:val="16"/>
              </w:rPr>
              <w:t>3</w:t>
            </w:r>
          </w:p>
        </w:tc>
      </w:tr>
    </w:tbl>
    <w:p w:rsidR="00EF6860" w:rsidRPr="00EF6860" w:rsidRDefault="00EF6860" w:rsidP="00EF6860"/>
    <w:p w:rsidR="00EF6860" w:rsidRPr="00EF6860" w:rsidRDefault="00EF6860" w:rsidP="00EF6860">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convino en que en el campo “</w:t>
      </w:r>
      <w:r w:rsidRPr="00EF6860">
        <w:rPr>
          <w:rFonts w:eastAsia="MS Mincho"/>
          <w:lang w:val="es-ES_tradnl"/>
        </w:rPr>
        <w:t>método de observación</w:t>
      </w:r>
      <w:r w:rsidRPr="00EF6860">
        <w:rPr>
          <w:lang w:val="es-ES_tradnl"/>
        </w:rPr>
        <w:t>” debe figurar en primer lugar el método más comúnmente utilizado para la observación de un carácter en la tabla de caracteres.</w:t>
      </w:r>
    </w:p>
    <w:p w:rsidR="00EF6860" w:rsidRPr="00EF6860" w:rsidRDefault="00EF6860" w:rsidP="00EF6860">
      <w:pPr>
        <w:rPr>
          <w:lang w:val="es-ES"/>
        </w:rPr>
      </w:pPr>
    </w:p>
    <w:p w:rsidR="00EF6860" w:rsidRPr="00EF6860" w:rsidRDefault="00EF6860" w:rsidP="00EF6860">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señaló que la versión 1 de la plantilla en Internet de los documentos TG se concluyó antes de comenzar la elaboración del proyecto de directrices de examen para los TWP de 2016, incluida la solución de las cuestiones indicadas en el párrafo 28 del documento TC/52/28.</w:t>
      </w:r>
      <w:r w:rsidRPr="00EF6860">
        <w:rPr>
          <w:lang w:val="es-ES"/>
        </w:rPr>
        <w:t xml:space="preserve">  </w:t>
      </w:r>
      <w:r w:rsidRPr="00EF6860">
        <w:rPr>
          <w:lang w:val="es-ES_tradnl"/>
        </w:rPr>
        <w:t>El TC señaló también que la elaboración de la versión 2 de la plantilla en Internet de los documentos TG no comenzará antes de 2018, a reserva de la disponibilidad de recursos, una vez que la versión 1 estuviera completamente estabilizada y probada.</w:t>
      </w:r>
      <w:r w:rsidRPr="00EF6860">
        <w:rPr>
          <w:lang w:val="es-ES"/>
        </w:rPr>
        <w:t xml:space="preserve"> </w:t>
      </w:r>
    </w:p>
    <w:p w:rsidR="00EF6860" w:rsidRPr="00EF6860" w:rsidRDefault="00EF6860" w:rsidP="00EF6860">
      <w:pPr>
        <w:rPr>
          <w:lang w:val="es-ES"/>
        </w:rPr>
      </w:pPr>
    </w:p>
    <w:p w:rsidR="00EF6860" w:rsidRPr="00EF6860" w:rsidRDefault="00EF6860" w:rsidP="00EF6860">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tomó nota de que todas las directrices de examen se generarán de manera automática mediante la plantilla en Internet de los documentos TG a partir de 2016.</w:t>
      </w:r>
    </w:p>
    <w:p w:rsidR="00EF6860" w:rsidRPr="00EF6860" w:rsidRDefault="00EF6860" w:rsidP="00EF6860">
      <w:pPr>
        <w:rPr>
          <w:lang w:val="es-ES"/>
        </w:rPr>
      </w:pPr>
    </w:p>
    <w:p w:rsidR="00EF6860" w:rsidRPr="00EF6860" w:rsidRDefault="00EF6860" w:rsidP="00EF6860">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convino en revisar el documento TGP/7 con la intención de que incluya la introducción de la plantilla en Internet de los documentos TG una vez que la versión 1 esté completamente estabilizada y probada.</w:t>
      </w:r>
    </w:p>
    <w:p w:rsidR="00EF6860" w:rsidRPr="00EF6860" w:rsidRDefault="00EF6860" w:rsidP="00EF6860">
      <w:pPr>
        <w:rPr>
          <w:lang w:val="es-ES"/>
        </w:rPr>
      </w:pPr>
    </w:p>
    <w:p w:rsidR="00EF6860" w:rsidRPr="00463CB3" w:rsidRDefault="00EF6860" w:rsidP="00EF6860">
      <w:pPr>
        <w:keepNext/>
        <w:ind w:left="567"/>
        <w:outlineLvl w:val="3"/>
        <w:rPr>
          <w:i/>
          <w:lang w:val="es-ES"/>
        </w:rPr>
      </w:pPr>
      <w:bookmarkStart w:id="28" w:name="_Toc374385123"/>
      <w:bookmarkStart w:id="29" w:name="_Toc374631061"/>
      <w:bookmarkStart w:id="30" w:name="_Toc374632533"/>
      <w:bookmarkStart w:id="31" w:name="_Toc374635733"/>
      <w:bookmarkStart w:id="32" w:name="_Toc378251522"/>
      <w:bookmarkStart w:id="33" w:name="_Toc381279983"/>
      <w:bookmarkStart w:id="34" w:name="_Toc386185985"/>
      <w:bookmarkStart w:id="35" w:name="_Toc419124874"/>
      <w:bookmarkStart w:id="36" w:name="_Toc442110579"/>
      <w:r w:rsidRPr="00463CB3">
        <w:rPr>
          <w:i/>
          <w:lang w:val="es-ES_tradnl"/>
        </w:rPr>
        <w:t>TGP/8:</w:t>
      </w:r>
      <w:r w:rsidRPr="00463CB3">
        <w:rPr>
          <w:i/>
          <w:lang w:val="es-ES"/>
        </w:rPr>
        <w:t xml:space="preserve">  </w:t>
      </w:r>
      <w:bookmarkEnd w:id="28"/>
      <w:bookmarkEnd w:id="29"/>
      <w:bookmarkEnd w:id="30"/>
      <w:bookmarkEnd w:id="31"/>
      <w:bookmarkEnd w:id="32"/>
      <w:bookmarkEnd w:id="33"/>
      <w:bookmarkEnd w:id="34"/>
      <w:bookmarkEnd w:id="35"/>
      <w:bookmarkEnd w:id="36"/>
      <w:r w:rsidRPr="00463CB3">
        <w:rPr>
          <w:i/>
          <w:lang w:val="es-ES_tradnl"/>
        </w:rPr>
        <w:t>Diseño de ensayos y técnicas utilizados en el examen de la distinción, la homogeneidad y la estabilidad</w:t>
      </w:r>
    </w:p>
    <w:p w:rsidR="00EF6860" w:rsidRPr="00EF6860" w:rsidRDefault="00EF6860" w:rsidP="00EF6860">
      <w:pPr>
        <w:keepNext/>
        <w:rPr>
          <w:lang w:val="es-ES"/>
        </w:rPr>
      </w:pPr>
    </w:p>
    <w:p w:rsidR="00EF6860" w:rsidRPr="00855190" w:rsidRDefault="00EF6860" w:rsidP="00EF6860">
      <w:pPr>
        <w:keepNext/>
        <w:ind w:left="1134" w:hanging="567"/>
        <w:outlineLvl w:val="4"/>
        <w:rPr>
          <w:sz w:val="18"/>
          <w:szCs w:val="18"/>
          <w:lang w:val="es-ES"/>
        </w:rPr>
      </w:pPr>
      <w:bookmarkStart w:id="37" w:name="_Toc374385125"/>
      <w:bookmarkStart w:id="38" w:name="_Toc374631063"/>
      <w:bookmarkStart w:id="39" w:name="_Toc374632535"/>
      <w:bookmarkStart w:id="40" w:name="_Toc374635735"/>
      <w:bookmarkStart w:id="41" w:name="_Toc378251524"/>
      <w:bookmarkStart w:id="42" w:name="_Toc381279985"/>
      <w:bookmarkStart w:id="43" w:name="_Toc442110580"/>
      <w:r w:rsidRPr="00855190">
        <w:rPr>
          <w:sz w:val="18"/>
          <w:szCs w:val="18"/>
          <w:lang w:val="es-ES"/>
        </w:rPr>
        <w:t>ii)</w:t>
      </w:r>
      <w:r w:rsidRPr="00855190">
        <w:rPr>
          <w:sz w:val="18"/>
          <w:szCs w:val="18"/>
          <w:lang w:val="es-ES"/>
        </w:rPr>
        <w:tab/>
      </w:r>
      <w:bookmarkEnd w:id="37"/>
      <w:bookmarkEnd w:id="38"/>
      <w:bookmarkEnd w:id="39"/>
      <w:bookmarkEnd w:id="40"/>
      <w:bookmarkEnd w:id="41"/>
      <w:bookmarkEnd w:id="42"/>
      <w:bookmarkEnd w:id="43"/>
      <w:r w:rsidRPr="00855190">
        <w:rPr>
          <w:sz w:val="18"/>
          <w:szCs w:val="18"/>
          <w:lang w:val="es-ES_tradnl"/>
        </w:rPr>
        <w:t>Criterio combinado interanual de homogeneidad (COYU)</w:t>
      </w:r>
    </w:p>
    <w:p w:rsidR="00EF6860" w:rsidRPr="00EF6860" w:rsidRDefault="00EF6860" w:rsidP="00EF6860">
      <w:pPr>
        <w:keepNext/>
        <w:rPr>
          <w:snapToGrid w:val="0"/>
          <w:lang w:val="es-ES"/>
        </w:rPr>
      </w:pPr>
      <w:bookmarkStart w:id="44" w:name="_Toc374385117"/>
      <w:bookmarkStart w:id="45" w:name="_Toc374631054"/>
      <w:bookmarkStart w:id="46" w:name="_Toc374632526"/>
      <w:bookmarkStart w:id="47" w:name="_Toc374635726"/>
      <w:bookmarkStart w:id="48" w:name="_Toc378251525"/>
      <w:bookmarkStart w:id="49" w:name="_Toc381279986"/>
    </w:p>
    <w:p w:rsidR="00EF6860" w:rsidRPr="00EF6860" w:rsidRDefault="00EF6860" w:rsidP="00EF6860">
      <w:pPr>
        <w:rPr>
          <w:rFonts w:cs="Arial"/>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examinó el documento TC/52/17 y asistió a una ponencia de un experto del Reino Unido, de la que se proporciona una copia en el documento TC/52/17 Add.</w:t>
      </w:r>
      <w:r w:rsidRPr="00EF6860">
        <w:rPr>
          <w:rFonts w:cs="Arial"/>
          <w:lang w:val="es-ES"/>
        </w:rPr>
        <w:t xml:space="preserve"> </w:t>
      </w:r>
      <w:r w:rsidRPr="00EF6860">
        <w:rPr>
          <w:rFonts w:cs="Arial"/>
          <w:lang w:val="es-ES_tradnl"/>
        </w:rPr>
        <w:t>(solamente en inglés).</w:t>
      </w:r>
    </w:p>
    <w:p w:rsidR="00EF6860" w:rsidRPr="00EF6860" w:rsidRDefault="00EF6860" w:rsidP="00EF6860">
      <w:pPr>
        <w:keepNext/>
        <w:rPr>
          <w:lang w:val="es-ES"/>
        </w:rPr>
      </w:pPr>
    </w:p>
    <w:p w:rsidR="00EF6860" w:rsidRPr="00EF6860" w:rsidRDefault="00EF6860" w:rsidP="00EF6860">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tomó nota de que en el ejercicio de prueba del módulo del programa informático sobre el nuevo método de cálculo del COYU participaron expertos de Alemania, Finlandia, Francia, Kenya y el Reino Unido.</w:t>
      </w:r>
    </w:p>
    <w:p w:rsidR="00EF6860" w:rsidRPr="00EF6860" w:rsidRDefault="00EF6860" w:rsidP="00EF6860">
      <w:pPr>
        <w:rPr>
          <w:lang w:val="es-ES"/>
        </w:rPr>
      </w:pPr>
    </w:p>
    <w:p w:rsidR="00EF6860" w:rsidRPr="00EF6860" w:rsidRDefault="00EF6860" w:rsidP="00EF6860">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tomó nota de que el TWC convino en que el nuevo método de cálculo del COYU es adecuado en la práctica y convino en solicitar al experto del Reino Unido que proporcione orientación sobre la extrapolación cuando el nivel de expresión de la variedad candidata no se corresponde con el que presentan las variedades de referencia.</w:t>
      </w:r>
    </w:p>
    <w:p w:rsidR="00EF6860" w:rsidRPr="00EF6860" w:rsidRDefault="00EF6860" w:rsidP="00EF6860">
      <w:pPr>
        <w:rPr>
          <w:lang w:val="es-ES"/>
        </w:rPr>
      </w:pPr>
    </w:p>
    <w:p w:rsidR="00EF6860" w:rsidRPr="00EF6860" w:rsidRDefault="00EF6860" w:rsidP="00EF6860">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convino en solicitar a los miembros de la Unión que proporcionen al Reino Unido conjuntos de datos más grandes para determinar los niveles de probabilidad del nuevo método tales que los resultados sean equiparables a los obtenidos utilizando los niveles de probabilidad anteriores.</w:t>
      </w:r>
      <w:r w:rsidRPr="00EF6860">
        <w:rPr>
          <w:lang w:val="es-ES"/>
        </w:rPr>
        <w:t xml:space="preserve">  </w:t>
      </w:r>
      <w:r w:rsidRPr="00EF6860">
        <w:rPr>
          <w:lang w:val="es-ES_tradnl"/>
        </w:rPr>
        <w:t>Estos conjuntos de datos debían comprender al menos 100 variedades candidatas, contemplándose la posibilidad de que los datos de estas 100 variedades puedan proceder de varios años.</w:t>
      </w:r>
      <w:r w:rsidRPr="00EF6860">
        <w:rPr>
          <w:lang w:val="es-ES"/>
        </w:rPr>
        <w:t xml:space="preserve">  </w:t>
      </w:r>
      <w:r w:rsidRPr="00EF6860">
        <w:rPr>
          <w:lang w:val="es-ES_tradnl"/>
        </w:rPr>
        <w:t>El TC señaló que la Oficina de la Unión emitirá una circular en la que invitará a proporcionar conjuntos de datos.</w:t>
      </w:r>
    </w:p>
    <w:p w:rsidR="00EF6860" w:rsidRPr="00EF6860" w:rsidRDefault="00EF6860" w:rsidP="00EF6860">
      <w:pPr>
        <w:rPr>
          <w:lang w:val="es-ES"/>
        </w:rPr>
      </w:pPr>
    </w:p>
    <w:p w:rsidR="00EF6860" w:rsidRPr="00EF6860" w:rsidRDefault="00EF6860" w:rsidP="00EF6860">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tomó nota de que el TWC había convenido en invitar a los expertos de China y Francia a sumarse a los siguientes pasos del ejercicio práctico y a aportar sus conjuntos de datos para las pruebas.</w:t>
      </w:r>
    </w:p>
    <w:p w:rsidR="00EF6860" w:rsidRPr="00EF6860" w:rsidRDefault="00EF6860" w:rsidP="00EF6860">
      <w:pPr>
        <w:rPr>
          <w:lang w:val="es-ES"/>
        </w:rPr>
      </w:pPr>
    </w:p>
    <w:p w:rsidR="00EF6860" w:rsidRPr="00EF6860" w:rsidRDefault="00EF6860" w:rsidP="00EF6860">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tomó nota de que el TWC convino en invitar al TWA a que aporte grandes conjuntos de datos de cultivos extensivos con objeto de determinar niveles de probabilidad adecuados para el nuevo método de cálculo del COYU.</w:t>
      </w:r>
    </w:p>
    <w:p w:rsidR="00EF6860" w:rsidRPr="00EF6860" w:rsidRDefault="00EF6860" w:rsidP="00EF6860">
      <w:pPr>
        <w:rPr>
          <w:lang w:val="es-ES"/>
        </w:rPr>
      </w:pPr>
    </w:p>
    <w:p w:rsidR="00EF6860" w:rsidRPr="00855190" w:rsidRDefault="00EF6860" w:rsidP="006D6EC4">
      <w:pPr>
        <w:keepNext/>
        <w:ind w:left="1134" w:hanging="567"/>
        <w:outlineLvl w:val="4"/>
        <w:rPr>
          <w:sz w:val="18"/>
          <w:szCs w:val="18"/>
          <w:lang w:val="es-ES"/>
        </w:rPr>
      </w:pPr>
      <w:bookmarkStart w:id="50" w:name="_Toc442110581"/>
      <w:r w:rsidRPr="00855190">
        <w:rPr>
          <w:sz w:val="18"/>
          <w:szCs w:val="18"/>
          <w:lang w:val="es-ES"/>
        </w:rPr>
        <w:t>iii)</w:t>
      </w:r>
      <w:r w:rsidRPr="00855190">
        <w:rPr>
          <w:sz w:val="18"/>
          <w:szCs w:val="18"/>
          <w:lang w:val="es-ES"/>
        </w:rPr>
        <w:tab/>
      </w:r>
      <w:bookmarkEnd w:id="44"/>
      <w:bookmarkEnd w:id="45"/>
      <w:bookmarkEnd w:id="46"/>
      <w:bookmarkEnd w:id="47"/>
      <w:bookmarkEnd w:id="48"/>
      <w:bookmarkEnd w:id="49"/>
      <w:bookmarkEnd w:id="50"/>
      <w:r w:rsidRPr="00855190">
        <w:rPr>
          <w:sz w:val="18"/>
          <w:szCs w:val="18"/>
          <w:lang w:val="es-ES_tradnl"/>
        </w:rPr>
        <w:t>Examen DHE de muestras en bloque</w:t>
      </w:r>
    </w:p>
    <w:p w:rsidR="00EF6860" w:rsidRPr="00855190" w:rsidRDefault="00EF6860" w:rsidP="006D6EC4">
      <w:pPr>
        <w:keepNext/>
        <w:outlineLvl w:val="4"/>
        <w:rPr>
          <w:lang w:val="es-ES"/>
        </w:rPr>
      </w:pPr>
    </w:p>
    <w:p w:rsidR="00EF6860" w:rsidRPr="00EF6860" w:rsidRDefault="00EF6860" w:rsidP="00463CB3">
      <w:pPr>
        <w:rPr>
          <w:rFonts w:cs="Arial"/>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examinó el documento TC/52/18.</w:t>
      </w:r>
      <w:r w:rsidRPr="00EF6860">
        <w:rPr>
          <w:lang w:val="es-ES"/>
        </w:rPr>
        <w:t xml:space="preserve"> </w:t>
      </w:r>
    </w:p>
    <w:p w:rsidR="00EF6860" w:rsidRPr="00EF6860" w:rsidRDefault="00EF6860" w:rsidP="00463CB3">
      <w:pPr>
        <w:rPr>
          <w:rFonts w:cs="Arial"/>
          <w:lang w:val="es-ES"/>
        </w:rPr>
      </w:pPr>
    </w:p>
    <w:p w:rsidR="00EF6860" w:rsidRPr="00EF6860" w:rsidRDefault="00EF6860" w:rsidP="00EF6860">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convino en que se debe invitar a los Países Bajos a que elabore orientaciones, con ejemplos, para el examen DHE de muestras en bloque, a fin de incluirlas en una futura revisión del documento TGP/8, sobre la base siguiente:</w:t>
      </w:r>
    </w:p>
    <w:p w:rsidR="00EF6860" w:rsidRPr="00EF6860" w:rsidRDefault="00EF6860" w:rsidP="00EF6860">
      <w:pPr>
        <w:rPr>
          <w:lang w:val="es-ES"/>
        </w:rPr>
      </w:pPr>
    </w:p>
    <w:p w:rsidR="00EF6860" w:rsidRPr="00EF6860" w:rsidRDefault="00EF6860" w:rsidP="00EF6860">
      <w:pPr>
        <w:numPr>
          <w:ilvl w:val="0"/>
          <w:numId w:val="11"/>
        </w:numPr>
        <w:ind w:left="1134" w:hanging="567"/>
        <w:rPr>
          <w:lang w:val="es-ES"/>
        </w:rPr>
      </w:pPr>
      <w:r w:rsidRPr="00EF6860">
        <w:rPr>
          <w:iCs/>
          <w:lang w:val="es-ES_tradnl"/>
        </w:rPr>
        <w:t>el carácter debe satisfacer los requisitos expuestos en la “Introducción general al examen de la distinción, la homogeneidad y la estabilidad y a la elaboración de descripciones armonizadas de las obtenciones vegetales” (véase el documento TG/1/3, Sección 4.2.1);</w:t>
      </w:r>
    </w:p>
    <w:p w:rsidR="00EF6860" w:rsidRPr="00EF6860" w:rsidRDefault="00EF6860" w:rsidP="00EF6860">
      <w:pPr>
        <w:ind w:left="1134" w:hanging="567"/>
        <w:rPr>
          <w:lang w:val="es-ES"/>
        </w:rPr>
      </w:pPr>
    </w:p>
    <w:p w:rsidR="00EF6860" w:rsidRPr="00EF6860" w:rsidRDefault="00EF6860" w:rsidP="00EF6860">
      <w:pPr>
        <w:numPr>
          <w:ilvl w:val="0"/>
          <w:numId w:val="11"/>
        </w:numPr>
        <w:ind w:left="1134" w:hanging="567"/>
        <w:rPr>
          <w:lang w:val="es-ES"/>
        </w:rPr>
      </w:pPr>
      <w:r w:rsidRPr="00EF6860">
        <w:rPr>
          <w:lang w:val="es-ES_tradnl"/>
        </w:rPr>
        <w:t>debe conocerse el control genético del carácter;</w:t>
      </w:r>
    </w:p>
    <w:p w:rsidR="00EF6860" w:rsidRPr="00EF6860" w:rsidRDefault="00EF6860" w:rsidP="00EF6860">
      <w:pPr>
        <w:ind w:left="1134" w:hanging="567"/>
        <w:rPr>
          <w:iCs/>
          <w:lang w:val="es-ES"/>
        </w:rPr>
      </w:pPr>
    </w:p>
    <w:p w:rsidR="00EF6860" w:rsidRPr="00EF6860" w:rsidRDefault="00EF6860" w:rsidP="00EF6860">
      <w:pPr>
        <w:numPr>
          <w:ilvl w:val="0"/>
          <w:numId w:val="11"/>
        </w:numPr>
        <w:ind w:left="1134" w:hanging="567"/>
        <w:rPr>
          <w:iCs/>
          <w:lang w:val="es-ES"/>
        </w:rPr>
      </w:pPr>
      <w:r w:rsidRPr="00EF6860">
        <w:rPr>
          <w:iCs/>
          <w:lang w:val="es-ES_tradnl"/>
        </w:rPr>
        <w:t>debe validarse la idoneidad del carácter mediante una evaluación inicial de la homogeneidad en plantas individuales;</w:t>
      </w:r>
      <w:r w:rsidRPr="00EF6860">
        <w:rPr>
          <w:iCs/>
          <w:lang w:val="es-ES"/>
        </w:rPr>
        <w:t xml:space="preserve"> </w:t>
      </w:r>
    </w:p>
    <w:p w:rsidR="00EF6860" w:rsidRPr="00EF6860" w:rsidRDefault="00EF6860" w:rsidP="00EF6860">
      <w:pPr>
        <w:ind w:left="1134" w:hanging="567"/>
        <w:rPr>
          <w:iCs/>
          <w:lang w:val="es-ES"/>
        </w:rPr>
      </w:pPr>
    </w:p>
    <w:p w:rsidR="00EF6860" w:rsidRPr="00EF6860" w:rsidRDefault="00EF6860" w:rsidP="00EF6860">
      <w:pPr>
        <w:numPr>
          <w:ilvl w:val="0"/>
          <w:numId w:val="11"/>
        </w:numPr>
        <w:ind w:left="1134" w:hanging="567"/>
        <w:rPr>
          <w:iCs/>
          <w:lang w:val="es-ES"/>
        </w:rPr>
      </w:pPr>
      <w:r w:rsidRPr="00EF6860">
        <w:rPr>
          <w:lang w:val="es-ES_tradnl"/>
        </w:rPr>
        <w:t>debe proporcionarse información sobre la variación entre plantas y las diferencias entre ciclos de cultivo (datos obtenidos de la medición sistemática del carácter en años diferentes);</w:t>
      </w:r>
    </w:p>
    <w:p w:rsidR="00EF6860" w:rsidRPr="00EF6860" w:rsidRDefault="00EF6860" w:rsidP="00EF6860">
      <w:pPr>
        <w:ind w:left="1134" w:hanging="567"/>
        <w:rPr>
          <w:iCs/>
          <w:lang w:val="es-ES"/>
        </w:rPr>
      </w:pPr>
    </w:p>
    <w:p w:rsidR="00EF6860" w:rsidRPr="00EF6860" w:rsidRDefault="00EF6860" w:rsidP="00EF6860">
      <w:pPr>
        <w:numPr>
          <w:ilvl w:val="0"/>
          <w:numId w:val="11"/>
        </w:numPr>
        <w:ind w:left="1134" w:hanging="567"/>
        <w:rPr>
          <w:lang w:val="es-ES"/>
        </w:rPr>
      </w:pPr>
      <w:r w:rsidRPr="00EF6860">
        <w:rPr>
          <w:lang w:val="es-ES_tradnl"/>
        </w:rPr>
        <w:t>debe proporcionarse una descripción completa del método de evaluación;</w:t>
      </w:r>
    </w:p>
    <w:p w:rsidR="00EF6860" w:rsidRPr="00EF6860" w:rsidRDefault="00EF6860" w:rsidP="00EF6860">
      <w:pPr>
        <w:ind w:left="1134" w:hanging="567"/>
        <w:rPr>
          <w:lang w:val="es-ES"/>
        </w:rPr>
      </w:pPr>
    </w:p>
    <w:p w:rsidR="00EF6860" w:rsidRPr="00EF6860" w:rsidRDefault="00EF6860" w:rsidP="00EF6860">
      <w:pPr>
        <w:numPr>
          <w:ilvl w:val="0"/>
          <w:numId w:val="11"/>
        </w:numPr>
        <w:ind w:left="1134" w:hanging="567"/>
        <w:rPr>
          <w:lang w:val="es-ES"/>
        </w:rPr>
      </w:pPr>
      <w:r w:rsidRPr="00EF6860">
        <w:rPr>
          <w:lang w:val="es-ES_tradnl"/>
        </w:rPr>
        <w:t>los niveles de expresión deben basarse en la variación existente entre variedades teniendo en cuenta la influencia del medio ambiente.</w:t>
      </w:r>
    </w:p>
    <w:p w:rsidR="00EF6860" w:rsidRPr="00EF6860" w:rsidRDefault="00EF6860" w:rsidP="00EF6860">
      <w:pPr>
        <w:rPr>
          <w:lang w:val="fi-FI"/>
        </w:rPr>
      </w:pPr>
    </w:p>
    <w:p w:rsidR="00EF6860" w:rsidRPr="00EF6860" w:rsidRDefault="00EF6860" w:rsidP="00855190">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convino en que los TWP deben examinar el proyecto de orientación en sus sesiones de 2016.</w:t>
      </w:r>
      <w:r w:rsidRPr="00EF6860">
        <w:rPr>
          <w:lang w:val="es-ES"/>
        </w:rPr>
        <w:t xml:space="preserve">  </w:t>
      </w:r>
    </w:p>
    <w:p w:rsidR="00EF6860" w:rsidRPr="00EF6860" w:rsidRDefault="00EF6860" w:rsidP="00855190">
      <w:pPr>
        <w:ind w:left="1134" w:hanging="567"/>
        <w:outlineLvl w:val="4"/>
        <w:rPr>
          <w:i/>
          <w:lang w:val="es-ES"/>
        </w:rPr>
      </w:pPr>
      <w:bookmarkStart w:id="51" w:name="_Toc374385126"/>
      <w:bookmarkStart w:id="52" w:name="_Toc374631064"/>
      <w:bookmarkStart w:id="53" w:name="_Toc374632536"/>
      <w:bookmarkStart w:id="54" w:name="_Toc374635736"/>
      <w:bookmarkStart w:id="55" w:name="_Toc378251526"/>
      <w:bookmarkStart w:id="56" w:name="_Toc381279987"/>
      <w:bookmarkStart w:id="57" w:name="_Toc442110582"/>
    </w:p>
    <w:p w:rsidR="00EF6860" w:rsidRPr="00855190" w:rsidRDefault="00EF6860" w:rsidP="00855190">
      <w:pPr>
        <w:ind w:left="1134" w:hanging="567"/>
        <w:outlineLvl w:val="4"/>
        <w:rPr>
          <w:sz w:val="18"/>
          <w:szCs w:val="18"/>
          <w:lang w:val="es-ES"/>
        </w:rPr>
      </w:pPr>
      <w:r w:rsidRPr="00855190">
        <w:rPr>
          <w:sz w:val="18"/>
          <w:szCs w:val="18"/>
          <w:lang w:val="es-ES"/>
        </w:rPr>
        <w:t>iv)</w:t>
      </w:r>
      <w:r w:rsidRPr="00855190">
        <w:rPr>
          <w:sz w:val="18"/>
          <w:szCs w:val="18"/>
          <w:lang w:val="es-ES"/>
        </w:rPr>
        <w:tab/>
      </w:r>
      <w:bookmarkEnd w:id="51"/>
      <w:bookmarkEnd w:id="52"/>
      <w:bookmarkEnd w:id="53"/>
      <w:bookmarkEnd w:id="54"/>
      <w:bookmarkEnd w:id="55"/>
      <w:bookmarkEnd w:id="56"/>
      <w:bookmarkEnd w:id="57"/>
      <w:r w:rsidRPr="00855190">
        <w:rPr>
          <w:sz w:val="18"/>
          <w:szCs w:val="18"/>
          <w:lang w:val="es-ES_tradnl"/>
        </w:rPr>
        <w:t>Tratamiento de datos para la evaluación de la distinción y la elaboración de descripciones de variedades</w:t>
      </w:r>
    </w:p>
    <w:p w:rsidR="00EF6860" w:rsidRPr="00EF6860" w:rsidRDefault="00EF6860" w:rsidP="00855190">
      <w:pPr>
        <w:rPr>
          <w:lang w:val="es-ES"/>
        </w:rPr>
      </w:pPr>
    </w:p>
    <w:p w:rsidR="00EF6860" w:rsidRPr="00EF6860" w:rsidRDefault="00EF6860" w:rsidP="00855190">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examinó el documento TC/52/19.</w:t>
      </w:r>
    </w:p>
    <w:p w:rsidR="00EF6860" w:rsidRPr="00EF6860" w:rsidRDefault="00EF6860" w:rsidP="00855190">
      <w:pPr>
        <w:rPr>
          <w:lang w:val="es-ES"/>
        </w:rPr>
      </w:pPr>
    </w:p>
    <w:p w:rsidR="00EF6860" w:rsidRPr="00EF6860" w:rsidRDefault="00EF6860" w:rsidP="00855190">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tomó nota de que el TWC había examinado la información relativa a los pasos seguidos en los métodos, que los participantes facilitaron en el ejercicio práctico para determinar los aspectos comunes y los aspectos respecto de los cuales hay divergencia entre los métodos.</w:t>
      </w:r>
      <w:r w:rsidRPr="00EF6860">
        <w:rPr>
          <w:snapToGrid w:val="0"/>
          <w:lang w:val="es-ES"/>
        </w:rPr>
        <w:t xml:space="preserve">  </w:t>
      </w:r>
      <w:r w:rsidRPr="00EF6860">
        <w:rPr>
          <w:snapToGrid w:val="0"/>
          <w:lang w:val="es-ES_tradnl"/>
        </w:rPr>
        <w:t>El TC también tomó nota de que el TWC había convenido en que los métodos para asignar una nota a las variedades candidatas presentaban algunas variaciones en el uso de la división entre niveles de espaciado equivalente, el uso de los resultados de variedades ejemplo y el dictamen de un experto en el cultivo.</w:t>
      </w:r>
    </w:p>
    <w:p w:rsidR="00EF6860" w:rsidRPr="00EF6860" w:rsidRDefault="00EF6860" w:rsidP="00EF6860">
      <w:pPr>
        <w:rPr>
          <w:lang w:val="es-ES"/>
        </w:rPr>
      </w:pPr>
    </w:p>
    <w:p w:rsidR="00EF6860" w:rsidRPr="00EF6860" w:rsidRDefault="00EF6860" w:rsidP="00EF6860">
      <w:pPr>
        <w:rPr>
          <w:rFonts w:cs="Arial"/>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acordó solicitar a los TWP que, en sus sesiones de 2016, examinen el análisis proporcionado por el TWC, que se reproduce en el Anexo del documento TC/52/19.</w:t>
      </w:r>
      <w:r w:rsidRPr="00EF6860">
        <w:rPr>
          <w:lang w:val="es-ES"/>
        </w:rPr>
        <w:t xml:space="preserve">  </w:t>
      </w:r>
      <w:r w:rsidRPr="00EF6860">
        <w:rPr>
          <w:rFonts w:cs="Arial"/>
          <w:lang w:val="es-ES_tradnl"/>
        </w:rPr>
        <w:t>El TC acordó solicitar al experto de Francia que proporcione más información sobre los datos analizados en el estudio.</w:t>
      </w:r>
      <w:r w:rsidRPr="00EF6860">
        <w:rPr>
          <w:rFonts w:cs="Arial"/>
          <w:lang w:val="es-ES"/>
        </w:rPr>
        <w:t xml:space="preserve"> </w:t>
      </w:r>
      <w:r w:rsidRPr="00EF6860">
        <w:rPr>
          <w:lang w:val="es-ES_tradnl"/>
        </w:rPr>
        <w:t xml:space="preserve">El TC acordó asimismo solicitar que los participantes en el ejercicio práctico informen sobre las razones y situaciones en las que las variedades ejemplo, </w:t>
      </w:r>
      <w:r w:rsidRPr="00EF6860">
        <w:rPr>
          <w:snapToGrid w:val="0"/>
          <w:lang w:val="es-ES_tradnl"/>
        </w:rPr>
        <w:t>el dictamen de un experto en el cultivo</w:t>
      </w:r>
      <w:r w:rsidRPr="00EF6860">
        <w:rPr>
          <w:lang w:val="es-ES_tradnl"/>
        </w:rPr>
        <w:t xml:space="preserve"> y los niveles de espaciado equivalente serían o no pertinentes a efectos de la transformación de las observaciones en niveles de expresión.</w:t>
      </w:r>
      <w:r w:rsidRPr="00EF6860">
        <w:rPr>
          <w:rFonts w:cs="Arial"/>
          <w:lang w:val="es-ES"/>
        </w:rPr>
        <w:t xml:space="preserve"> </w:t>
      </w:r>
    </w:p>
    <w:p w:rsidR="00EF6860" w:rsidRPr="00EF6860" w:rsidRDefault="00EF6860" w:rsidP="00EF6860">
      <w:pPr>
        <w:rPr>
          <w:lang w:val="es-ES"/>
        </w:rPr>
      </w:pPr>
    </w:p>
    <w:p w:rsidR="00EF6860" w:rsidRPr="00EF6860" w:rsidRDefault="00EF6860" w:rsidP="00EF6860">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coincidió con el TWC y el TWA en que la orientación sobre las “Diferentes formas que pueden adoptar las descripciones de variedades y la importancia de los niveles de escala”, que se reproduce en el Anexo I del documento TC/51/19, se debía utilizar como introducción de futuras orientaciones que se elaboren sobre el tratamiento de los datos destinados al examen de la distinción y a la elaboración de descripciones de variedades.</w:t>
      </w:r>
    </w:p>
    <w:p w:rsidR="00EF6860" w:rsidRPr="00EF6860" w:rsidRDefault="00EF6860" w:rsidP="00EF6860">
      <w:pPr>
        <w:rPr>
          <w:lang w:val="es-ES"/>
        </w:rPr>
      </w:pPr>
    </w:p>
    <w:p w:rsidR="00EF6860" w:rsidRPr="00855190" w:rsidRDefault="00EF6860" w:rsidP="00855190">
      <w:pPr>
        <w:ind w:left="567"/>
        <w:outlineLvl w:val="3"/>
        <w:rPr>
          <w:i/>
          <w:lang w:val="es-ES"/>
        </w:rPr>
      </w:pPr>
      <w:bookmarkStart w:id="58" w:name="_Toc412193732"/>
      <w:bookmarkStart w:id="59" w:name="_Toc419124875"/>
      <w:bookmarkStart w:id="60" w:name="_Toc442110583"/>
      <w:r w:rsidRPr="00855190">
        <w:rPr>
          <w:i/>
          <w:lang w:val="es-ES_tradnl"/>
        </w:rPr>
        <w:t>TGP/10:</w:t>
      </w:r>
      <w:r w:rsidR="00855190">
        <w:rPr>
          <w:i/>
          <w:lang w:val="es-ES_tradnl"/>
        </w:rPr>
        <w:t xml:space="preserve"> </w:t>
      </w:r>
      <w:r w:rsidRPr="00855190">
        <w:rPr>
          <w:i/>
          <w:lang w:val="es-ES"/>
        </w:rPr>
        <w:t xml:space="preserve"> </w:t>
      </w:r>
      <w:bookmarkEnd w:id="58"/>
      <w:bookmarkEnd w:id="59"/>
      <w:bookmarkEnd w:id="60"/>
      <w:r w:rsidRPr="00855190">
        <w:rPr>
          <w:i/>
          <w:lang w:val="es-ES_tradnl"/>
        </w:rPr>
        <w:t>Examen de la homogeneidad</w:t>
      </w:r>
    </w:p>
    <w:p w:rsidR="00EF6860" w:rsidRPr="00EF6860" w:rsidRDefault="00EF6860" w:rsidP="00855190">
      <w:pPr>
        <w:rPr>
          <w:rFonts w:cs="Arial"/>
          <w:snapToGrid w:val="0"/>
          <w:lang w:val="es-ES"/>
        </w:rPr>
      </w:pPr>
    </w:p>
    <w:p w:rsidR="00EF6860" w:rsidRPr="00855190" w:rsidRDefault="00EF6860" w:rsidP="00855190">
      <w:pPr>
        <w:ind w:left="1134" w:hanging="567"/>
        <w:outlineLvl w:val="4"/>
        <w:rPr>
          <w:sz w:val="18"/>
          <w:szCs w:val="18"/>
          <w:lang w:val="es-ES"/>
        </w:rPr>
      </w:pPr>
      <w:bookmarkStart w:id="61" w:name="_Toc412193733"/>
      <w:bookmarkStart w:id="62" w:name="_Toc442110584"/>
      <w:r w:rsidRPr="00855190">
        <w:rPr>
          <w:sz w:val="18"/>
          <w:szCs w:val="18"/>
          <w:lang w:val="es-ES"/>
        </w:rPr>
        <w:t>v)</w:t>
      </w:r>
      <w:r w:rsidRPr="00855190">
        <w:rPr>
          <w:sz w:val="18"/>
          <w:szCs w:val="18"/>
          <w:lang w:val="es-ES"/>
        </w:rPr>
        <w:tab/>
      </w:r>
      <w:r w:rsidRPr="00855190">
        <w:rPr>
          <w:sz w:val="18"/>
          <w:szCs w:val="18"/>
          <w:lang w:val="es-ES_tradnl"/>
        </w:rPr>
        <w:t>Nueva sección:</w:t>
      </w:r>
      <w:r w:rsidRPr="00855190">
        <w:rPr>
          <w:sz w:val="18"/>
          <w:szCs w:val="18"/>
          <w:lang w:val="es-ES"/>
        </w:rPr>
        <w:t xml:space="preserve"> </w:t>
      </w:r>
      <w:bookmarkEnd w:id="61"/>
      <w:bookmarkEnd w:id="62"/>
      <w:r w:rsidRPr="00855190">
        <w:rPr>
          <w:sz w:val="18"/>
          <w:szCs w:val="18"/>
          <w:lang w:val="es-ES_tradnl"/>
        </w:rPr>
        <w:t>Evaluación de la homogeneidad de las plantas fuera de tipo mediante la observación de más de un ciclo de cultivo o mediante la observación de submuestras</w:t>
      </w:r>
      <w:r w:rsidRPr="00855190">
        <w:rPr>
          <w:sz w:val="18"/>
          <w:szCs w:val="18"/>
          <w:lang w:val="es-ES"/>
        </w:rPr>
        <w:t xml:space="preserve"> </w:t>
      </w:r>
    </w:p>
    <w:p w:rsidR="00EF6860" w:rsidRPr="00855190" w:rsidRDefault="00EF6860" w:rsidP="00855190">
      <w:pPr>
        <w:outlineLvl w:val="4"/>
        <w:rPr>
          <w:sz w:val="18"/>
          <w:szCs w:val="18"/>
          <w:lang w:val="es-ES"/>
        </w:rPr>
      </w:pPr>
    </w:p>
    <w:p w:rsidR="00EF6860" w:rsidRPr="00EF6860" w:rsidRDefault="00EF6860" w:rsidP="00855190">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examinó el documento TC/52/20 y asistió a una ponencia de un experto del Reino Unido sobre la evaluación de la homogeneidad de las plantas fuera de tipo mediante la observación de más de un ciclo de cultivo, de la que se proporciona una copia en el documento TC/52/20 Add.</w:t>
      </w:r>
      <w:r w:rsidRPr="00EF6860">
        <w:rPr>
          <w:rFonts w:cs="Arial"/>
          <w:lang w:val="es-ES"/>
        </w:rPr>
        <w:t xml:space="preserve"> </w:t>
      </w:r>
      <w:r w:rsidRPr="00EF6860">
        <w:rPr>
          <w:rFonts w:cs="Arial"/>
          <w:lang w:val="es-ES_tradnl"/>
        </w:rPr>
        <w:t>(solamente en inglés)</w:t>
      </w:r>
      <w:r w:rsidRPr="00EF6860">
        <w:rPr>
          <w:lang w:val="es-ES_tradnl"/>
        </w:rPr>
        <w:t>.</w:t>
      </w:r>
    </w:p>
    <w:p w:rsidR="00EF6860" w:rsidRPr="00EF6860" w:rsidRDefault="00EF6860" w:rsidP="00EF6860">
      <w:pPr>
        <w:rPr>
          <w:lang w:val="es-ES"/>
        </w:rPr>
      </w:pPr>
    </w:p>
    <w:p w:rsidR="00EF6860" w:rsidRPr="00EF6860" w:rsidRDefault="00EF6860" w:rsidP="00EF6860">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convino en que los TWP deben examinar, en sus sesiones de 2016, el nuevo “Método 3: Combinar los resultados de dos ciclos de cultivo” propuesto para evaluar la homogeneidad de las plantas fuera de tipo, que figura en el Anexo I del documento TC/52/20.</w:t>
      </w:r>
    </w:p>
    <w:p w:rsidR="00EF6860" w:rsidRPr="00EF6860" w:rsidRDefault="00EF6860" w:rsidP="00EF6860">
      <w:pPr>
        <w:rPr>
          <w:lang w:val="es-ES"/>
        </w:rPr>
      </w:pPr>
    </w:p>
    <w:p w:rsidR="00EF6860" w:rsidRPr="00EF6860" w:rsidRDefault="00EF6860" w:rsidP="00EF6860">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tomó nota de que el TWA había convenido en solicitar una conexión por video con los expertos del TWC para debatir el nuevo método propuesto, el “Método 3: Combinar los resultados de dos ciclos de cultivo”, en su cuadragésima quinta sesión que se celebrará en 2016, y convino en que la conexión por video debía estar abierta a todos los expertos interesados.</w:t>
      </w:r>
    </w:p>
    <w:p w:rsidR="00EF6860" w:rsidRPr="00EF6860" w:rsidRDefault="00EF6860" w:rsidP="00EF6860">
      <w:pPr>
        <w:rPr>
          <w:lang w:val="es-ES"/>
        </w:rPr>
      </w:pPr>
    </w:p>
    <w:p w:rsidR="00EF6860" w:rsidRPr="00EF6860" w:rsidRDefault="00EF6860" w:rsidP="00EF6860">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convino en aclarar en el texto que el uso previsto de la orientación que figura en el Anexo I del documento TC/52/20 no es la evaluación de la homogeneidad de las plantas fuera de tipo en las mismas plantas en dos ciclos de cultivo, ya que las mismas plantas fuera de tipo observadas en el primer ciclo de cultivo seguirían siendo plantas fuera de tipo en el segundo ciclo de cultivo.</w:t>
      </w:r>
    </w:p>
    <w:p w:rsidR="00EF6860" w:rsidRPr="00EF6860" w:rsidRDefault="00EF6860" w:rsidP="00855190">
      <w:pPr>
        <w:rPr>
          <w:lang w:val="es-ES"/>
        </w:rPr>
      </w:pPr>
    </w:p>
    <w:p w:rsidR="00EF6860" w:rsidRPr="00EF6860" w:rsidRDefault="00EF6860" w:rsidP="00855190">
      <w:pPr>
        <w:outlineLvl w:val="2"/>
        <w:rPr>
          <w:i/>
          <w:lang w:val="es-ES"/>
        </w:rPr>
      </w:pPr>
      <w:bookmarkStart w:id="63" w:name="_Toc463512499"/>
      <w:r w:rsidRPr="00EF6860">
        <w:rPr>
          <w:i/>
          <w:lang w:val="es-ES_tradnl"/>
        </w:rPr>
        <w:t>Nuevas propuestas de revisión de documentos TGP</w:t>
      </w:r>
      <w:bookmarkEnd w:id="63"/>
    </w:p>
    <w:p w:rsidR="00EF6860" w:rsidRPr="00EF6860" w:rsidRDefault="00EF6860" w:rsidP="00855190">
      <w:pPr>
        <w:rPr>
          <w:lang w:val="es-ES"/>
        </w:rPr>
      </w:pPr>
    </w:p>
    <w:p w:rsidR="00EF6860" w:rsidRPr="00855190" w:rsidRDefault="00EF6860" w:rsidP="00855190">
      <w:pPr>
        <w:ind w:left="567"/>
        <w:outlineLvl w:val="3"/>
        <w:rPr>
          <w:i/>
          <w:lang w:val="es-ES"/>
        </w:rPr>
      </w:pPr>
      <w:bookmarkStart w:id="64" w:name="_Toc442110586"/>
      <w:r w:rsidRPr="00855190">
        <w:rPr>
          <w:i/>
          <w:lang w:val="es-ES_tradnl"/>
        </w:rPr>
        <w:t>TGP/7:</w:t>
      </w:r>
      <w:r w:rsidRPr="00855190">
        <w:rPr>
          <w:i/>
          <w:lang w:val="es-ES"/>
        </w:rPr>
        <w:t xml:space="preserve"> </w:t>
      </w:r>
      <w:bookmarkEnd w:id="64"/>
      <w:r w:rsidRPr="00855190">
        <w:rPr>
          <w:i/>
          <w:lang w:val="es-ES_tradnl"/>
        </w:rPr>
        <w:t>Elaboración de las directrices de examen</w:t>
      </w:r>
    </w:p>
    <w:p w:rsidR="00EF6860" w:rsidRPr="00EF6860" w:rsidRDefault="00EF6860" w:rsidP="00855190">
      <w:pPr>
        <w:rPr>
          <w:lang w:val="es-ES"/>
        </w:rPr>
      </w:pPr>
    </w:p>
    <w:p w:rsidR="00EF6860" w:rsidRPr="00855190" w:rsidRDefault="00EF6860" w:rsidP="00855190">
      <w:pPr>
        <w:ind w:left="1134" w:hanging="567"/>
        <w:outlineLvl w:val="4"/>
        <w:rPr>
          <w:sz w:val="18"/>
          <w:szCs w:val="18"/>
          <w:lang w:val="es-ES"/>
        </w:rPr>
      </w:pPr>
      <w:r w:rsidRPr="00855190">
        <w:rPr>
          <w:sz w:val="18"/>
          <w:szCs w:val="18"/>
          <w:lang w:val="es-ES"/>
        </w:rPr>
        <w:t>i)</w:t>
      </w:r>
      <w:r w:rsidRPr="00855190">
        <w:rPr>
          <w:sz w:val="18"/>
          <w:szCs w:val="18"/>
          <w:lang w:val="es-ES"/>
        </w:rPr>
        <w:tab/>
      </w:r>
      <w:r w:rsidRPr="00855190">
        <w:rPr>
          <w:sz w:val="18"/>
          <w:szCs w:val="18"/>
          <w:lang w:val="es-ES_tradnl"/>
        </w:rPr>
        <w:t>Duración de los exámenes DHE en el sector frutícola</w:t>
      </w:r>
    </w:p>
    <w:p w:rsidR="00EF6860" w:rsidRPr="00855190" w:rsidRDefault="00EF6860" w:rsidP="00855190">
      <w:pPr>
        <w:rPr>
          <w:lang w:val="es-ES"/>
        </w:rPr>
      </w:pPr>
    </w:p>
    <w:p w:rsidR="00EF6860" w:rsidRPr="00EF6860" w:rsidRDefault="00EF6860" w:rsidP="00855190">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convino en considerar si procede modificar la orientación que figura en el documento TGP/7 sobre la duración del examen DHE para las plantas frutales después de las nuevas deliberaciones del TWF, en su reunión en 2016.</w:t>
      </w:r>
      <w:r w:rsidRPr="00EF6860">
        <w:rPr>
          <w:lang w:val="es-ES"/>
        </w:rPr>
        <w:t xml:space="preserve">  </w:t>
      </w:r>
      <w:r w:rsidRPr="00EF6860">
        <w:rPr>
          <w:lang w:val="es-ES_tradnl"/>
        </w:rPr>
        <w:t>En este sentido, solicitó al TWF que examine si la orientación que figura actualmente en los documentos TGP impide la conclusión de un examen DHE después de un ciclo de cultivo.</w:t>
      </w:r>
    </w:p>
    <w:p w:rsidR="00EF6860" w:rsidRPr="00EF6860" w:rsidRDefault="00EF6860" w:rsidP="00855190">
      <w:pPr>
        <w:rPr>
          <w:lang w:val="es-ES"/>
        </w:rPr>
      </w:pPr>
    </w:p>
    <w:p w:rsidR="00EF6860" w:rsidRPr="00855190" w:rsidRDefault="00EF6860" w:rsidP="00855190">
      <w:pPr>
        <w:ind w:left="567"/>
        <w:outlineLvl w:val="3"/>
        <w:rPr>
          <w:i/>
          <w:lang w:val="es-ES"/>
        </w:rPr>
      </w:pPr>
      <w:bookmarkStart w:id="65" w:name="_Toc442110588"/>
      <w:r w:rsidRPr="00855190">
        <w:rPr>
          <w:i/>
          <w:lang w:val="es-ES_tradnl"/>
        </w:rPr>
        <w:t>TGP/14:</w:t>
      </w:r>
      <w:r w:rsidRPr="00855190">
        <w:rPr>
          <w:i/>
          <w:lang w:val="es-ES"/>
        </w:rPr>
        <w:t xml:space="preserve"> </w:t>
      </w:r>
      <w:bookmarkEnd w:id="65"/>
      <w:r w:rsidRPr="00855190">
        <w:rPr>
          <w:i/>
          <w:lang w:val="es-ES_tradnl"/>
        </w:rPr>
        <w:t>Glosario de términos utilizados en los documentos de la UPOV</w:t>
      </w:r>
    </w:p>
    <w:p w:rsidR="00EF6860" w:rsidRPr="00EF6860" w:rsidRDefault="00EF6860" w:rsidP="00855190">
      <w:pPr>
        <w:rPr>
          <w:lang w:val="es-ES"/>
        </w:rPr>
      </w:pPr>
    </w:p>
    <w:p w:rsidR="00EF6860" w:rsidRPr="00855190" w:rsidRDefault="00EF6860" w:rsidP="00855190">
      <w:pPr>
        <w:ind w:left="1134" w:hanging="567"/>
        <w:outlineLvl w:val="4"/>
        <w:rPr>
          <w:sz w:val="18"/>
          <w:szCs w:val="18"/>
          <w:lang w:val="es-ES"/>
        </w:rPr>
      </w:pPr>
      <w:r w:rsidRPr="00855190">
        <w:rPr>
          <w:sz w:val="18"/>
          <w:szCs w:val="18"/>
          <w:lang w:val="es-ES"/>
        </w:rPr>
        <w:t>ii)</w:t>
      </w:r>
      <w:r w:rsidRPr="00855190">
        <w:rPr>
          <w:sz w:val="18"/>
          <w:szCs w:val="18"/>
          <w:lang w:val="es-ES"/>
        </w:rPr>
        <w:tab/>
      </w:r>
      <w:r w:rsidRPr="00855190">
        <w:rPr>
          <w:sz w:val="18"/>
          <w:szCs w:val="18"/>
          <w:lang w:val="es-ES_tradnl"/>
        </w:rPr>
        <w:t>Definición de “recurvado”</w:t>
      </w:r>
    </w:p>
    <w:p w:rsidR="00EF6860" w:rsidRPr="00EF6860" w:rsidRDefault="00EF6860" w:rsidP="00855190">
      <w:pPr>
        <w:rPr>
          <w:lang w:val="es-ES"/>
        </w:rPr>
      </w:pPr>
    </w:p>
    <w:p w:rsidR="00EF6860" w:rsidRPr="00EF6860" w:rsidRDefault="00EF6860" w:rsidP="00855190">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tomó nota de los planes de la TWF de considerar la posibilidad de proponer que se revise la definición de “recurvado” que figura en el documento TGP/14.</w:t>
      </w:r>
    </w:p>
    <w:p w:rsidR="00EF6860" w:rsidRPr="00EF6860" w:rsidRDefault="00EF6860" w:rsidP="00855190">
      <w:pPr>
        <w:rPr>
          <w:lang w:val="es-ES"/>
        </w:rPr>
      </w:pPr>
    </w:p>
    <w:p w:rsidR="00EF6860" w:rsidRPr="00EF6860" w:rsidRDefault="00EF6860" w:rsidP="00855190">
      <w:pPr>
        <w:keepNext/>
        <w:keepLines/>
        <w:outlineLvl w:val="2"/>
        <w:rPr>
          <w:i/>
          <w:lang w:val="es-ES"/>
        </w:rPr>
      </w:pPr>
      <w:bookmarkStart w:id="66" w:name="_Toc463512500"/>
      <w:r w:rsidRPr="00EF6860">
        <w:rPr>
          <w:i/>
          <w:lang w:val="es-ES_tradnl"/>
        </w:rPr>
        <w:t>Programa para la elaboración de los documentos TGP</w:t>
      </w:r>
      <w:bookmarkEnd w:id="66"/>
    </w:p>
    <w:p w:rsidR="00EF6860" w:rsidRPr="00EF6860" w:rsidRDefault="00EF6860" w:rsidP="00855190">
      <w:pPr>
        <w:keepNext/>
        <w:keepLines/>
        <w:rPr>
          <w:lang w:val="es-ES"/>
        </w:rPr>
      </w:pPr>
    </w:p>
    <w:p w:rsidR="00EF6860" w:rsidRPr="00EF6860" w:rsidRDefault="00EF6860" w:rsidP="00855190">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aprobó el programa para la elaboración de los documentos TGP que figura en el Anexo II del documento TC/52/5, con sujeción a las conclusiones expuestas anteriormente.</w:t>
      </w:r>
    </w:p>
    <w:p w:rsidR="00EF6860" w:rsidRPr="00EF6860" w:rsidRDefault="00EF6860" w:rsidP="00855190">
      <w:pPr>
        <w:rPr>
          <w:lang w:val="es-ES"/>
        </w:rPr>
      </w:pPr>
    </w:p>
    <w:p w:rsidR="00EF6860" w:rsidRPr="00EF6860" w:rsidRDefault="00EF6860" w:rsidP="00855190">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convino en que debía ofrecerse una explicación sobre los símbolos utilizados en el programa para la elaboración de los documentos TGP.</w:t>
      </w:r>
      <w:r w:rsidRPr="00EF6860">
        <w:rPr>
          <w:lang w:val="es-ES"/>
        </w:rPr>
        <w:t xml:space="preserve"> </w:t>
      </w:r>
    </w:p>
    <w:p w:rsidR="00EF6860" w:rsidRPr="00EF6860" w:rsidRDefault="00EF6860" w:rsidP="00855190">
      <w:pPr>
        <w:rPr>
          <w:lang w:val="es-ES"/>
        </w:rPr>
      </w:pPr>
    </w:p>
    <w:p w:rsidR="00EF6860" w:rsidRPr="00EF6860" w:rsidRDefault="00EF6860" w:rsidP="00855190">
      <w:pPr>
        <w:rPr>
          <w:lang w:val="es-ES"/>
        </w:rPr>
      </w:pPr>
    </w:p>
    <w:p w:rsidR="00EF6860" w:rsidRPr="00EF6860" w:rsidRDefault="00EF6860" w:rsidP="00855190">
      <w:pPr>
        <w:outlineLvl w:val="1"/>
        <w:rPr>
          <w:u w:val="single"/>
          <w:lang w:val="es-ES"/>
        </w:rPr>
      </w:pPr>
      <w:bookmarkStart w:id="67" w:name="_Toc463512501"/>
      <w:r w:rsidRPr="00EF6860">
        <w:rPr>
          <w:u w:val="single"/>
          <w:lang w:val="es-ES_tradnl"/>
        </w:rPr>
        <w:t>Técnicas moleculares</w:t>
      </w:r>
      <w:bookmarkEnd w:id="67"/>
    </w:p>
    <w:p w:rsidR="00EF6860" w:rsidRPr="00EF6860" w:rsidRDefault="00EF6860" w:rsidP="00855190">
      <w:pPr>
        <w:rPr>
          <w:lang w:val="es-ES"/>
        </w:rPr>
      </w:pPr>
    </w:p>
    <w:p w:rsidR="00EF6860" w:rsidRPr="00EF6860" w:rsidRDefault="00EF6860" w:rsidP="00855190">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examinó el documento TC/52/11.</w:t>
      </w:r>
    </w:p>
    <w:p w:rsidR="00EF6860" w:rsidRPr="00EF6860" w:rsidRDefault="00EF6860" w:rsidP="00855190">
      <w:pPr>
        <w:rPr>
          <w:lang w:val="es-ES"/>
        </w:rPr>
      </w:pPr>
    </w:p>
    <w:p w:rsidR="00EF6860" w:rsidRPr="00EF6860" w:rsidRDefault="00EF6860" w:rsidP="00EF6860">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tomó nota del informe sobre las novedades que se han producido en los TWP y el BMT, según se expone en los párrafos 5 al 15 del documento TC/52/11.</w:t>
      </w:r>
    </w:p>
    <w:p w:rsidR="00EF6860" w:rsidRPr="00EF6860" w:rsidRDefault="00EF6860" w:rsidP="00EF6860">
      <w:pPr>
        <w:rPr>
          <w:lang w:val="es-ES"/>
        </w:rPr>
      </w:pPr>
    </w:p>
    <w:p w:rsidR="00EF6860" w:rsidRPr="00EF6860" w:rsidRDefault="00EF6860" w:rsidP="00EF6860">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tomó nota de los planes de los Sistemas de semillas de la OCDE de organizar un taller conjunto entre la OCDE, la UPOV, la ISTA y la AOSA sobre técnicas bioquímicas y moleculares y fue informado verbalmente por el representante de la OECD de que el taller conjunto se celebraría en París (Francia) el 8 de junio de 2016.</w:t>
      </w:r>
      <w:r w:rsidRPr="00EF6860">
        <w:rPr>
          <w:lang w:val="es-ES"/>
        </w:rPr>
        <w:t xml:space="preserve"> </w:t>
      </w:r>
    </w:p>
    <w:p w:rsidR="00EF6860" w:rsidRPr="00EF6860" w:rsidRDefault="00EF6860" w:rsidP="00EF6860">
      <w:pPr>
        <w:rPr>
          <w:lang w:val="es-ES"/>
        </w:rPr>
      </w:pPr>
    </w:p>
    <w:p w:rsidR="00EF6860" w:rsidRPr="00EF6860" w:rsidRDefault="00EF6860" w:rsidP="00EF6860">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señaló que, en su quincuagésima primera sesión, había acordado:</w:t>
      </w:r>
    </w:p>
    <w:p w:rsidR="00EF6860" w:rsidRPr="00EF6860" w:rsidRDefault="00EF6860" w:rsidP="00EF6860">
      <w:pPr>
        <w:rPr>
          <w:lang w:val="es-ES"/>
        </w:rPr>
      </w:pPr>
    </w:p>
    <w:p w:rsidR="00EF6860" w:rsidRPr="00EF6860" w:rsidRDefault="00EF6860" w:rsidP="00EF6860">
      <w:pPr>
        <w:ind w:left="1134" w:hanging="567"/>
        <w:rPr>
          <w:rFonts w:cs="Arial"/>
          <w:lang w:val="es-ES" w:eastAsia="ja-JP"/>
        </w:rPr>
      </w:pPr>
      <w:r w:rsidRPr="00EF6860">
        <w:rPr>
          <w:rFonts w:cs="Arial"/>
          <w:lang w:val="es-ES" w:eastAsia="ja-JP"/>
        </w:rPr>
        <w:t>a)</w:t>
      </w:r>
      <w:r w:rsidRPr="00EF6860">
        <w:rPr>
          <w:rFonts w:cs="Arial"/>
          <w:lang w:val="es-ES" w:eastAsia="ja-JP"/>
        </w:rPr>
        <w:tab/>
      </w:r>
      <w:r w:rsidRPr="00EF6860">
        <w:rPr>
          <w:rFonts w:cs="Arial"/>
          <w:lang w:val="es-ES_tradnl" w:eastAsia="ja-JP"/>
        </w:rPr>
        <w:t>elaborar un documento conjunto en el que se expliquen las características principales de los sistemas de la OCDE, la UPOV y la ISTA;</w:t>
      </w:r>
    </w:p>
    <w:p w:rsidR="00EF6860" w:rsidRPr="00EF6860" w:rsidRDefault="00EF6860" w:rsidP="00EF6860">
      <w:pPr>
        <w:ind w:left="1134" w:hanging="567"/>
        <w:rPr>
          <w:rFonts w:cs="Arial"/>
          <w:sz w:val="18"/>
          <w:lang w:val="es-ES" w:eastAsia="ja-JP"/>
        </w:rPr>
      </w:pPr>
      <w:r w:rsidRPr="00EF6860">
        <w:rPr>
          <w:rFonts w:cs="Arial"/>
          <w:lang w:val="es-ES" w:eastAsia="ja-JP"/>
        </w:rPr>
        <w:t>b)</w:t>
      </w:r>
      <w:r w:rsidRPr="00EF6860">
        <w:rPr>
          <w:rFonts w:cs="Arial"/>
          <w:lang w:val="es-ES" w:eastAsia="ja-JP"/>
        </w:rPr>
        <w:tab/>
      </w:r>
      <w:r w:rsidRPr="00EF6860">
        <w:rPr>
          <w:rFonts w:cs="Arial"/>
          <w:lang w:val="es-ES_tradnl" w:eastAsia="ja-JP"/>
        </w:rPr>
        <w:t>realizar un inventario sobre la utilización de técnicas basadas en marcadores moleculares, por cultivos, con objeto de elaborar un documento conjunto de la UPOV, la OCDE y la ISTA en el que figure dicha información en un formato similar al del documento UPOV/INF/16 “Programas informáticos para intercambio”, con sujeción a la aprobación por el Consejo y en coordinación con la OCDE y la ISTA;  y</w:t>
      </w:r>
      <w:r w:rsidRPr="00EF6860">
        <w:rPr>
          <w:rFonts w:cs="Arial"/>
          <w:lang w:val="es-ES" w:eastAsia="ja-JP"/>
        </w:rPr>
        <w:t xml:space="preserve"> </w:t>
      </w:r>
    </w:p>
    <w:p w:rsidR="00EF6860" w:rsidRPr="00EF6860" w:rsidRDefault="00EF6860" w:rsidP="00EF6860">
      <w:pPr>
        <w:ind w:left="1134" w:hanging="567"/>
        <w:rPr>
          <w:rFonts w:cs="Arial"/>
          <w:lang w:val="es-ES" w:eastAsia="ja-JP"/>
        </w:rPr>
      </w:pPr>
      <w:r w:rsidRPr="00EF6860">
        <w:rPr>
          <w:rFonts w:cs="Arial"/>
          <w:lang w:val="es-ES" w:eastAsia="ja-JP"/>
        </w:rPr>
        <w:t>c)</w:t>
      </w:r>
      <w:r w:rsidRPr="00EF6860">
        <w:rPr>
          <w:rFonts w:cs="Arial"/>
          <w:lang w:val="es-ES" w:eastAsia="ja-JP"/>
        </w:rPr>
        <w:tab/>
      </w:r>
      <w:r w:rsidRPr="00EF6860">
        <w:rPr>
          <w:rFonts w:cs="Arial"/>
          <w:lang w:val="es-ES_tradnl" w:eastAsia="ja-JP"/>
        </w:rPr>
        <w:t>aprobar la propuesta de que, en su decimoquinta reunión, el BMT elabore listas de posibles iniciativas conjuntas con la OCDE y la ISTA relacionadas con las técnicas moleculares a fin de que las examine el TC, las cuales se presentarán al TC en su quincuagésima tercera sesión.</w:t>
      </w:r>
    </w:p>
    <w:p w:rsidR="00EF6860" w:rsidRPr="00EF6860" w:rsidRDefault="00EF6860" w:rsidP="00EF6860">
      <w:pPr>
        <w:rPr>
          <w:rFonts w:cs="Arial"/>
          <w:lang w:val="es-ES" w:eastAsia="ja-JP"/>
        </w:rPr>
      </w:pPr>
    </w:p>
    <w:p w:rsidR="00EF6860" w:rsidRPr="00EF6860" w:rsidRDefault="00EF6860" w:rsidP="00EF6860">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convino en que el BMT deberá incluir la elaboración de una relación de la terminología (definiciones) utilizada por la UPOV, la OCDE y la ISTA en la lista de iniciativas conjuntas relacionadas con las técnicas moleculares, a fin de que las examine el TC en su quincuagésima tercera sesión.</w:t>
      </w:r>
    </w:p>
    <w:p w:rsidR="00EF6860" w:rsidRPr="00EF6860" w:rsidRDefault="00EF6860" w:rsidP="00EF6860">
      <w:pPr>
        <w:rPr>
          <w:lang w:val="es-ES"/>
        </w:rPr>
      </w:pPr>
    </w:p>
    <w:p w:rsidR="00EF6860" w:rsidRPr="00EF6860" w:rsidRDefault="00EF6860" w:rsidP="00EF6860">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acordó una propuesta de pregunta y respuesta relativa a la información sobre la situación en la UPOV en lo que respecta al uso de técnicas moleculares, para un público más amplio, que incluya al público en general, con la redacción siguiente.</w:t>
      </w:r>
    </w:p>
    <w:p w:rsidR="00EF6860" w:rsidRPr="00EF6860" w:rsidRDefault="00EF6860" w:rsidP="00EF6860">
      <w:pPr>
        <w:rPr>
          <w:lang w:val="es-ES"/>
        </w:rPr>
      </w:pPr>
    </w:p>
    <w:p w:rsidR="00EF6860" w:rsidRPr="00EF6860" w:rsidRDefault="00EF6860" w:rsidP="00EF6860">
      <w:pPr>
        <w:ind w:left="567"/>
        <w:rPr>
          <w:rFonts w:cs="Arial"/>
          <w:sz w:val="18"/>
          <w:szCs w:val="24"/>
          <w:lang w:val="es-ES"/>
        </w:rPr>
      </w:pPr>
      <w:r w:rsidRPr="00EF6860">
        <w:rPr>
          <w:rFonts w:cs="Arial"/>
          <w:sz w:val="18"/>
          <w:szCs w:val="24"/>
          <w:lang w:val="es-ES_tradnl"/>
        </w:rPr>
        <w:t>“¿Es posible obtener la protección de una variedad sobre la base de su perfil de ADN?</w:t>
      </w:r>
    </w:p>
    <w:p w:rsidR="00EF6860" w:rsidRPr="00EF6860" w:rsidRDefault="00EF6860" w:rsidP="00EF6860">
      <w:pPr>
        <w:ind w:left="567" w:right="567"/>
        <w:rPr>
          <w:rFonts w:cs="Arial"/>
          <w:sz w:val="18"/>
          <w:szCs w:val="24"/>
          <w:lang w:val="es-ES"/>
        </w:rPr>
      </w:pPr>
    </w:p>
    <w:p w:rsidR="00EF6860" w:rsidRPr="00EF6860" w:rsidRDefault="00EF6860" w:rsidP="00EF6860">
      <w:pPr>
        <w:ind w:left="567" w:right="567"/>
        <w:rPr>
          <w:rFonts w:cs="Arial"/>
          <w:sz w:val="18"/>
          <w:lang w:val="es-ES"/>
        </w:rPr>
      </w:pPr>
      <w:r w:rsidRPr="00EF6860">
        <w:rPr>
          <w:rFonts w:cs="Arial"/>
          <w:sz w:val="18"/>
          <w:lang w:val="es-ES_tradnl"/>
        </w:rPr>
        <w:t>“Para obtener protección, una variedad ha de poder distinguirse claramente de todas las variedades existentes, sobre la base de caracteres que se expresan físicamente, por ejemplo, altura de la planta, época de floración, color del fruto, resistencia a las enfermedades, etcétera.</w:t>
      </w:r>
      <w:r w:rsidRPr="00EF6860">
        <w:rPr>
          <w:rFonts w:cs="Arial"/>
          <w:sz w:val="18"/>
          <w:lang w:val="es-ES"/>
        </w:rPr>
        <w:t xml:space="preserve">  </w:t>
      </w:r>
      <w:r w:rsidRPr="00EF6860">
        <w:rPr>
          <w:rFonts w:cs="Arial"/>
          <w:sz w:val="18"/>
          <w:lang w:val="es-ES_tradnl"/>
        </w:rPr>
        <w:t>El perfil de ADN no es la base para obtener la protección de una variedad, aunque esta información puede utilizarse como información complementaria.</w:t>
      </w:r>
    </w:p>
    <w:p w:rsidR="00EF6860" w:rsidRPr="00EF6860" w:rsidRDefault="00EF6860" w:rsidP="00EF6860">
      <w:pPr>
        <w:ind w:left="567" w:right="567"/>
        <w:rPr>
          <w:rFonts w:cs="Arial"/>
          <w:sz w:val="18"/>
          <w:szCs w:val="24"/>
          <w:lang w:val="es-ES"/>
        </w:rPr>
      </w:pPr>
    </w:p>
    <w:p w:rsidR="00EF6860" w:rsidRPr="00EF6860" w:rsidRDefault="00EF6860" w:rsidP="00EF6860">
      <w:pPr>
        <w:ind w:left="567" w:right="567"/>
        <w:rPr>
          <w:rFonts w:cs="Arial"/>
          <w:sz w:val="18"/>
          <w:szCs w:val="24"/>
          <w:lang w:val="es-ES"/>
        </w:rPr>
      </w:pPr>
      <w:r w:rsidRPr="00EF6860">
        <w:rPr>
          <w:rFonts w:cs="Arial"/>
          <w:sz w:val="18"/>
          <w:lang w:val="es-ES_tradnl"/>
        </w:rPr>
        <w:t>“</w:t>
      </w:r>
      <w:r w:rsidRPr="00EF6860">
        <w:rPr>
          <w:rFonts w:cs="Arial"/>
          <w:sz w:val="18"/>
          <w:szCs w:val="24"/>
          <w:lang w:val="es-ES_tradnl"/>
        </w:rPr>
        <w:t>En la pregunta frecuente ‘¿Permite la UPOV la utilización de técnicas moleculares (perfiles de ADN) en el examen de la distinción, la homogeneidad y la estabilidad (“DHE”)?’ figura una explicación más detallada.</w:t>
      </w:r>
    </w:p>
    <w:p w:rsidR="00EF6860" w:rsidRPr="00EF6860" w:rsidRDefault="00EF6860" w:rsidP="00EF6860">
      <w:pPr>
        <w:ind w:left="567" w:right="567"/>
        <w:rPr>
          <w:rFonts w:cs="Arial"/>
          <w:sz w:val="18"/>
          <w:szCs w:val="24"/>
          <w:lang w:val="es-ES"/>
        </w:rPr>
      </w:pPr>
    </w:p>
    <w:p w:rsidR="00EF6860" w:rsidRPr="00EF6860" w:rsidRDefault="00EF6860" w:rsidP="00EF6860">
      <w:pPr>
        <w:ind w:left="567" w:right="567"/>
        <w:rPr>
          <w:rFonts w:cs="Arial"/>
          <w:sz w:val="18"/>
          <w:szCs w:val="24"/>
          <w:lang w:val="es-ES"/>
        </w:rPr>
      </w:pPr>
      <w:r w:rsidRPr="00EF6860">
        <w:rPr>
          <w:rFonts w:cs="Arial"/>
          <w:sz w:val="18"/>
          <w:szCs w:val="24"/>
          <w:lang w:val="es-ES_tradnl"/>
        </w:rPr>
        <w:t>“Véase también:</w:t>
      </w:r>
    </w:p>
    <w:p w:rsidR="00EF6860" w:rsidRPr="00EF6860" w:rsidRDefault="00EF6860" w:rsidP="00EF6860">
      <w:pPr>
        <w:ind w:left="567" w:right="567"/>
        <w:rPr>
          <w:rFonts w:cs="Arial"/>
          <w:sz w:val="18"/>
          <w:szCs w:val="24"/>
          <w:lang w:val="es-ES" w:eastAsia="ja-JP"/>
        </w:rPr>
      </w:pPr>
      <w:r w:rsidRPr="00EF6860">
        <w:rPr>
          <w:rFonts w:cs="Arial"/>
          <w:sz w:val="18"/>
          <w:szCs w:val="24"/>
          <w:lang w:val="es-ES_tradnl"/>
        </w:rPr>
        <w:t>“¿Qué requisitos ha de cumplir una obtención vegetal para recibir protección?”</w:t>
      </w:r>
    </w:p>
    <w:p w:rsidR="00EF6860" w:rsidRPr="00EF6860" w:rsidRDefault="00EF6860" w:rsidP="00EF6860">
      <w:pPr>
        <w:rPr>
          <w:lang w:val="es-ES"/>
        </w:rPr>
      </w:pPr>
    </w:p>
    <w:p w:rsidR="00EF6860" w:rsidRPr="00EF6860" w:rsidRDefault="00EF6860" w:rsidP="00EF6860">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señaló que el punto 5 del orden del día del BMT “Informe sobre la labor relativa a las técnicas moleculares en relación con el examen DHE” ofrecería a los miembros de la UPOV la oportunidad de informar sobre las novedades más recientes relacionadas con la utilización de técnicas moleculares en el examen DHE, y que podría servir de base para proponer nuevos modelos de aplicación para su inclusión en el documento TGP/15 “Orientación sobre el uso de marcadores bioquímicos y moleculares en el examen de la distinción, la homogeneidad y la estabilidad (DHE)”.</w:t>
      </w:r>
      <w:r w:rsidRPr="00EF6860">
        <w:rPr>
          <w:lang w:val="es-ES"/>
        </w:rPr>
        <w:t xml:space="preserve"> </w:t>
      </w:r>
    </w:p>
    <w:p w:rsidR="00EF6860" w:rsidRPr="00EF6860" w:rsidRDefault="00EF6860" w:rsidP="00EF6860">
      <w:pPr>
        <w:rPr>
          <w:lang w:val="es-ES"/>
        </w:rPr>
      </w:pPr>
    </w:p>
    <w:p w:rsidR="00EF6860" w:rsidRPr="00EF6860" w:rsidRDefault="00EF6860" w:rsidP="00EF6860">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tomó nota de que la Unión Europea estaba llevando a cabo un proyecto sobre la utilización de técnicas de marcadores moleculares en el examen DHE, en diferentes cultivos.</w:t>
      </w:r>
    </w:p>
    <w:p w:rsidR="00EF6860" w:rsidRPr="00EF6860" w:rsidRDefault="00EF6860" w:rsidP="00EF6860">
      <w:pPr>
        <w:rPr>
          <w:lang w:val="es-ES"/>
        </w:rPr>
      </w:pPr>
    </w:p>
    <w:p w:rsidR="00EF6860" w:rsidRPr="00EF6860" w:rsidRDefault="00EF6860" w:rsidP="00EF6860">
      <w:pPr>
        <w:rPr>
          <w:lang w:val="es-ES"/>
        </w:rPr>
      </w:pPr>
    </w:p>
    <w:p w:rsidR="00EF6860" w:rsidRPr="00EF6860" w:rsidRDefault="00EF6860" w:rsidP="00EF6860">
      <w:pPr>
        <w:keepNext/>
        <w:outlineLvl w:val="1"/>
        <w:rPr>
          <w:u w:val="single"/>
          <w:lang w:val="es-ES"/>
        </w:rPr>
      </w:pPr>
      <w:bookmarkStart w:id="68" w:name="_Toc463512502"/>
      <w:r w:rsidRPr="00EF6860">
        <w:rPr>
          <w:u w:val="single"/>
          <w:lang w:val="es-ES_tradnl"/>
        </w:rPr>
        <w:t>Sesión de debate</w:t>
      </w:r>
      <w:bookmarkEnd w:id="68"/>
    </w:p>
    <w:p w:rsidR="00EF6860" w:rsidRPr="00EF6860" w:rsidRDefault="00EF6860" w:rsidP="00EF6860">
      <w:pPr>
        <w:keepNext/>
        <w:autoSpaceDE w:val="0"/>
        <w:autoSpaceDN w:val="0"/>
        <w:adjustRightInd w:val="0"/>
        <w:rPr>
          <w:rFonts w:cs="Arial"/>
          <w:lang w:val="es-ES"/>
        </w:rPr>
      </w:pPr>
    </w:p>
    <w:p w:rsidR="00EF6860" w:rsidRPr="00EF6860" w:rsidRDefault="00EF6860" w:rsidP="00EF6860">
      <w:pPr>
        <w:keepNext/>
        <w:ind w:left="564" w:hanging="564"/>
        <w:outlineLvl w:val="2"/>
        <w:rPr>
          <w:i/>
          <w:lang w:val="es-ES"/>
        </w:rPr>
      </w:pPr>
      <w:bookmarkStart w:id="69" w:name="_Toc463512503"/>
      <w:r w:rsidRPr="00EF6860">
        <w:rPr>
          <w:i/>
          <w:lang w:val="es-ES"/>
        </w:rPr>
        <w:t>a)</w:t>
      </w:r>
      <w:r w:rsidRPr="00EF6860">
        <w:rPr>
          <w:i/>
          <w:lang w:val="es-ES"/>
        </w:rPr>
        <w:tab/>
      </w:r>
      <w:r w:rsidRPr="00EF6860">
        <w:rPr>
          <w:i/>
          <w:lang w:val="es-ES_tradnl"/>
        </w:rPr>
        <w:t>Debate sobre las descripciones de variedades y la función del material vegetal, incluido el número mínimo de ciclos de cultivo para el examen DHE</w:t>
      </w:r>
      <w:bookmarkEnd w:id="69"/>
    </w:p>
    <w:p w:rsidR="00EF6860" w:rsidRPr="00EF6860" w:rsidRDefault="00EF6860" w:rsidP="00EF6860">
      <w:pPr>
        <w:keepNext/>
        <w:outlineLvl w:val="2"/>
        <w:rPr>
          <w:i/>
          <w:lang w:val="es-ES"/>
        </w:rPr>
      </w:pPr>
    </w:p>
    <w:p w:rsidR="00EF6860" w:rsidRPr="00EF6860" w:rsidRDefault="00EF6860" w:rsidP="00EF6860">
      <w:pPr>
        <w:keepNext/>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asistió a las siguientes ponencias sobre las descripciones de variedades y la función del material vegetal, incluido el número mínimo de ciclos de cultivo para el examen DHE (por orden de presentación):</w:t>
      </w:r>
    </w:p>
    <w:p w:rsidR="00EF6860" w:rsidRPr="00EF6860" w:rsidRDefault="00EF6860" w:rsidP="00EF6860">
      <w:pPr>
        <w:rPr>
          <w:lang w:val="es-ES"/>
        </w:rPr>
      </w:pPr>
    </w:p>
    <w:tbl>
      <w:tblPr>
        <w:tblStyle w:val="TableGrid10"/>
        <w:tblW w:w="9889" w:type="dxa"/>
        <w:tblLook w:val="04A0" w:firstRow="1" w:lastRow="0" w:firstColumn="1" w:lastColumn="0" w:noHBand="0" w:noVBand="1"/>
      </w:tblPr>
      <w:tblGrid>
        <w:gridCol w:w="5670"/>
        <w:gridCol w:w="4219"/>
      </w:tblGrid>
      <w:tr w:rsidR="00EF6860" w:rsidRPr="00EF6860" w:rsidTr="00FD65CE">
        <w:tc>
          <w:tcPr>
            <w:tcW w:w="5670" w:type="dxa"/>
          </w:tcPr>
          <w:p w:rsidR="00EF6860" w:rsidRPr="00EF6860" w:rsidRDefault="00EF6860" w:rsidP="00EF6860">
            <w:pPr>
              <w:keepNext/>
              <w:spacing w:before="60" w:after="60"/>
              <w:ind w:right="34"/>
            </w:pPr>
            <w:r w:rsidRPr="00EF6860">
              <w:t>Las descripciones de variedades y la función del material vegetal, incluido el número mínimo de ciclos de cultivo para el examen DHE</w:t>
            </w:r>
          </w:p>
        </w:tc>
        <w:tc>
          <w:tcPr>
            <w:tcW w:w="4219" w:type="dxa"/>
          </w:tcPr>
          <w:p w:rsidR="00EF6860" w:rsidRPr="00EF6860" w:rsidRDefault="00EF6860" w:rsidP="00EF6860">
            <w:pPr>
              <w:keepNext/>
              <w:spacing w:before="60" w:after="60"/>
              <w:ind w:left="317" w:right="-108"/>
              <w:jc w:val="left"/>
            </w:pPr>
            <w:r w:rsidRPr="00EF6860">
              <w:t>Francia (Sr. Richard Brand)</w:t>
            </w:r>
          </w:p>
        </w:tc>
      </w:tr>
      <w:tr w:rsidR="00EF6860" w:rsidRPr="00EF6860" w:rsidTr="00FD65CE">
        <w:tc>
          <w:tcPr>
            <w:tcW w:w="5670" w:type="dxa"/>
          </w:tcPr>
          <w:p w:rsidR="00EF6860" w:rsidRPr="00EF6860" w:rsidRDefault="00EF6860" w:rsidP="00EF6860">
            <w:pPr>
              <w:keepNext/>
              <w:spacing w:before="60" w:after="60"/>
              <w:ind w:right="34"/>
            </w:pPr>
            <w:r w:rsidRPr="00EF6860">
              <w:t>La elaboración y utilización de descripciones de variedades</w:t>
            </w:r>
          </w:p>
        </w:tc>
        <w:tc>
          <w:tcPr>
            <w:tcW w:w="4219" w:type="dxa"/>
          </w:tcPr>
          <w:p w:rsidR="00EF6860" w:rsidRPr="00EF6860" w:rsidRDefault="00EF6860" w:rsidP="00EF6860">
            <w:pPr>
              <w:keepNext/>
              <w:spacing w:before="60" w:after="60"/>
              <w:ind w:left="317" w:right="-108"/>
              <w:jc w:val="left"/>
            </w:pPr>
            <w:r w:rsidRPr="00EF6860">
              <w:t>Alemania (Sra. Beate Rücker)</w:t>
            </w:r>
          </w:p>
        </w:tc>
      </w:tr>
      <w:tr w:rsidR="00EF6860" w:rsidRPr="00AC67A0" w:rsidTr="00FD65CE">
        <w:tc>
          <w:tcPr>
            <w:tcW w:w="5670" w:type="dxa"/>
          </w:tcPr>
          <w:p w:rsidR="00EF6860" w:rsidRPr="00EF6860" w:rsidRDefault="00EF6860" w:rsidP="00EF6860">
            <w:pPr>
              <w:keepNext/>
              <w:spacing w:before="60" w:after="60"/>
              <w:ind w:right="34"/>
            </w:pPr>
            <w:r w:rsidRPr="00EF6860">
              <w:t>El número mínimo de ciclos de cultivo</w:t>
            </w:r>
          </w:p>
        </w:tc>
        <w:tc>
          <w:tcPr>
            <w:tcW w:w="4219" w:type="dxa"/>
          </w:tcPr>
          <w:p w:rsidR="00EF6860" w:rsidRPr="00EF6860" w:rsidRDefault="00EF6860" w:rsidP="00EF6860">
            <w:pPr>
              <w:keepNext/>
              <w:spacing w:before="60" w:after="60"/>
              <w:ind w:left="317" w:right="-108"/>
              <w:jc w:val="left"/>
            </w:pPr>
            <w:r w:rsidRPr="00EF6860">
              <w:t>Países bajos (Sr. Kees van Ettekoven)</w:t>
            </w:r>
          </w:p>
        </w:tc>
      </w:tr>
      <w:tr w:rsidR="00EF6860" w:rsidRPr="00EF6860" w:rsidTr="00FD65CE">
        <w:tc>
          <w:tcPr>
            <w:tcW w:w="5670" w:type="dxa"/>
          </w:tcPr>
          <w:p w:rsidR="00EF6860" w:rsidRPr="00EF6860" w:rsidRDefault="00EF6860" w:rsidP="00EF6860">
            <w:pPr>
              <w:spacing w:before="60" w:after="60"/>
              <w:ind w:right="34"/>
            </w:pPr>
            <w:r w:rsidRPr="00EF6860">
              <w:t>La utilización de las descripciones de variedades y la duración del examen: una perspectiva de Nueva Zelandia</w:t>
            </w:r>
          </w:p>
        </w:tc>
        <w:tc>
          <w:tcPr>
            <w:tcW w:w="4219" w:type="dxa"/>
          </w:tcPr>
          <w:p w:rsidR="00EF6860" w:rsidRPr="002E3FB9" w:rsidRDefault="00EF6860" w:rsidP="00EF6860">
            <w:pPr>
              <w:spacing w:before="60" w:after="60"/>
              <w:ind w:left="317" w:right="-108"/>
              <w:jc w:val="left"/>
              <w:rPr>
                <w:lang w:val="en-US"/>
              </w:rPr>
            </w:pPr>
            <w:r w:rsidRPr="002E3FB9">
              <w:rPr>
                <w:lang w:val="en-US"/>
              </w:rPr>
              <w:t>Nueva Zelandia (Sr. Chris Barnaby)</w:t>
            </w:r>
          </w:p>
        </w:tc>
      </w:tr>
    </w:tbl>
    <w:p w:rsidR="00EF6860" w:rsidRPr="00EF6860" w:rsidRDefault="00EF6860" w:rsidP="00EF6860"/>
    <w:p w:rsidR="00EF6860" w:rsidRPr="00EF6860" w:rsidRDefault="00EF6860" w:rsidP="00855190">
      <w:pPr>
        <w:outlineLvl w:val="2"/>
        <w:rPr>
          <w:i/>
          <w:lang w:val="es-ES"/>
        </w:rPr>
      </w:pPr>
      <w:bookmarkStart w:id="70" w:name="_Toc463512504"/>
      <w:r w:rsidRPr="00EF6860">
        <w:rPr>
          <w:i/>
          <w:lang w:val="es-ES"/>
        </w:rPr>
        <w:t>b)</w:t>
      </w:r>
      <w:r w:rsidRPr="00EF6860">
        <w:rPr>
          <w:i/>
          <w:lang w:val="es-ES"/>
        </w:rPr>
        <w:tab/>
      </w:r>
      <w:r w:rsidRPr="00EF6860">
        <w:rPr>
          <w:i/>
          <w:lang w:val="es-ES_tradnl"/>
        </w:rPr>
        <w:t>Debate sobre los parámetros de calidad en el examen DHE</w:t>
      </w:r>
      <w:bookmarkEnd w:id="70"/>
    </w:p>
    <w:p w:rsidR="00EF6860" w:rsidRPr="00EF6860" w:rsidRDefault="00EF6860" w:rsidP="00855190">
      <w:pPr>
        <w:outlineLvl w:val="2"/>
        <w:rPr>
          <w:i/>
          <w:lang w:val="es-ES"/>
        </w:rPr>
      </w:pPr>
    </w:p>
    <w:p w:rsidR="00EF6860" w:rsidRPr="00EF6860" w:rsidRDefault="00EF6860" w:rsidP="00855190">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asistió a las siguientes ponencias sobre parámetros de calidad en el examen DHE (por orden de presentación):</w:t>
      </w:r>
    </w:p>
    <w:p w:rsidR="00EF6860" w:rsidRPr="00EF6860" w:rsidRDefault="00EF6860" w:rsidP="00855190">
      <w:pPr>
        <w:rPr>
          <w:lang w:val="es-ES"/>
        </w:rPr>
      </w:pPr>
    </w:p>
    <w:tbl>
      <w:tblPr>
        <w:tblStyle w:val="TableGrid10"/>
        <w:tblW w:w="9889" w:type="dxa"/>
        <w:tblLook w:val="04A0" w:firstRow="1" w:lastRow="0" w:firstColumn="1" w:lastColumn="0" w:noHBand="0" w:noVBand="1"/>
      </w:tblPr>
      <w:tblGrid>
        <w:gridCol w:w="5670"/>
        <w:gridCol w:w="4219"/>
      </w:tblGrid>
      <w:tr w:rsidR="00EF6860" w:rsidRPr="00EF6860" w:rsidTr="00FD65CE">
        <w:tc>
          <w:tcPr>
            <w:tcW w:w="5670" w:type="dxa"/>
          </w:tcPr>
          <w:p w:rsidR="00EF6860" w:rsidRPr="00EF6860" w:rsidRDefault="00EF6860" w:rsidP="00855190">
            <w:pPr>
              <w:spacing w:before="60" w:after="60"/>
              <w:ind w:right="34"/>
            </w:pPr>
            <w:r w:rsidRPr="00EF6860">
              <w:t>Los parámetros de calidad en el examen DHE</w:t>
            </w:r>
          </w:p>
        </w:tc>
        <w:tc>
          <w:tcPr>
            <w:tcW w:w="4219" w:type="dxa"/>
          </w:tcPr>
          <w:p w:rsidR="00EF6860" w:rsidRPr="00EF6860" w:rsidRDefault="00EF6860" w:rsidP="00855190">
            <w:pPr>
              <w:spacing w:before="60" w:after="60"/>
              <w:ind w:left="317" w:right="-108"/>
              <w:jc w:val="left"/>
            </w:pPr>
            <w:r w:rsidRPr="00EF6860">
              <w:t>Unión Europea (Sr. Gerhard Schuon)</w:t>
            </w:r>
          </w:p>
        </w:tc>
      </w:tr>
      <w:tr w:rsidR="00EF6860" w:rsidRPr="00AC67A0" w:rsidTr="00FD65CE">
        <w:tc>
          <w:tcPr>
            <w:tcW w:w="5670" w:type="dxa"/>
          </w:tcPr>
          <w:p w:rsidR="00EF6860" w:rsidRPr="00EF6860" w:rsidRDefault="00EF6860" w:rsidP="00855190">
            <w:pPr>
              <w:spacing w:before="60" w:after="60"/>
              <w:ind w:right="34"/>
            </w:pPr>
            <w:r w:rsidRPr="00EF6860">
              <w:t xml:space="preserve">Los parámetros de calidad en el examen DHE </w:t>
            </w:r>
          </w:p>
        </w:tc>
        <w:tc>
          <w:tcPr>
            <w:tcW w:w="4219" w:type="dxa"/>
          </w:tcPr>
          <w:p w:rsidR="00EF6860" w:rsidRPr="00EF6860" w:rsidRDefault="00EF6860" w:rsidP="00855190">
            <w:pPr>
              <w:spacing w:before="60" w:after="60"/>
              <w:ind w:left="317" w:right="-108"/>
              <w:jc w:val="left"/>
            </w:pPr>
            <w:r w:rsidRPr="00EF6860">
              <w:t>Países Bajos (Sr. Kees van Ettekoven)</w:t>
            </w:r>
          </w:p>
        </w:tc>
      </w:tr>
    </w:tbl>
    <w:p w:rsidR="00EF6860" w:rsidRPr="00EF6860" w:rsidRDefault="00EF6860" w:rsidP="00855190">
      <w:pPr>
        <w:rPr>
          <w:lang w:val="es-ES"/>
        </w:rPr>
      </w:pPr>
    </w:p>
    <w:p w:rsidR="00EF6860" w:rsidRPr="00EF6860" w:rsidRDefault="00EF6860" w:rsidP="00855190">
      <w:pPr>
        <w:outlineLvl w:val="2"/>
        <w:rPr>
          <w:i/>
          <w:lang w:val="es-ES"/>
        </w:rPr>
      </w:pPr>
      <w:bookmarkStart w:id="71" w:name="_Toc463512505"/>
      <w:r w:rsidRPr="00EF6860">
        <w:rPr>
          <w:i/>
          <w:lang w:val="es-ES"/>
        </w:rPr>
        <w:t>c)</w:t>
      </w:r>
      <w:r w:rsidRPr="00EF6860">
        <w:rPr>
          <w:i/>
          <w:lang w:val="es-ES"/>
        </w:rPr>
        <w:tab/>
      </w:r>
      <w:r w:rsidRPr="00EF6860">
        <w:rPr>
          <w:i/>
          <w:lang w:val="es-ES_tradnl"/>
        </w:rPr>
        <w:t>Debate sobre el fomento de la elaboración de bases de datos</w:t>
      </w:r>
      <w:bookmarkEnd w:id="71"/>
    </w:p>
    <w:p w:rsidR="00EF6860" w:rsidRPr="00EF6860" w:rsidRDefault="00EF6860" w:rsidP="00855190">
      <w:pPr>
        <w:outlineLvl w:val="2"/>
        <w:rPr>
          <w:i/>
          <w:lang w:val="es-ES"/>
        </w:rPr>
      </w:pPr>
    </w:p>
    <w:p w:rsidR="00EF6860" w:rsidRPr="00EF6860" w:rsidRDefault="00EF6860" w:rsidP="00855190">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asistió a las siguientes ponencias sobre el fomento de la elaboración de bases de datos (por orden de presentación):</w:t>
      </w:r>
    </w:p>
    <w:p w:rsidR="00EF6860" w:rsidRPr="00EF6860" w:rsidRDefault="00EF6860" w:rsidP="00855190">
      <w:pPr>
        <w:rPr>
          <w:lang w:val="es-ES"/>
        </w:rPr>
      </w:pPr>
    </w:p>
    <w:tbl>
      <w:tblPr>
        <w:tblStyle w:val="TableGrid10"/>
        <w:tblW w:w="9889" w:type="dxa"/>
        <w:tblLook w:val="04A0" w:firstRow="1" w:lastRow="0" w:firstColumn="1" w:lastColumn="0" w:noHBand="0" w:noVBand="1"/>
      </w:tblPr>
      <w:tblGrid>
        <w:gridCol w:w="5670"/>
        <w:gridCol w:w="4219"/>
      </w:tblGrid>
      <w:tr w:rsidR="00EF6860" w:rsidRPr="00EF6860" w:rsidTr="00FD65CE">
        <w:tc>
          <w:tcPr>
            <w:tcW w:w="5670" w:type="dxa"/>
          </w:tcPr>
          <w:p w:rsidR="00EF6860" w:rsidRPr="00EF6860" w:rsidRDefault="00EF6860" w:rsidP="00855190">
            <w:pPr>
              <w:spacing w:before="60" w:after="60"/>
              <w:ind w:right="34"/>
            </w:pPr>
            <w:r w:rsidRPr="00EF6860">
              <w:t>El fomento de la elaboración de bases de datos para el examen DHE</w:t>
            </w:r>
          </w:p>
        </w:tc>
        <w:tc>
          <w:tcPr>
            <w:tcW w:w="4219" w:type="dxa"/>
          </w:tcPr>
          <w:p w:rsidR="00EF6860" w:rsidRPr="00EF6860" w:rsidRDefault="00EF6860" w:rsidP="00855190">
            <w:pPr>
              <w:spacing w:before="60" w:after="60"/>
              <w:ind w:left="317" w:right="-108"/>
              <w:jc w:val="left"/>
            </w:pPr>
            <w:r w:rsidRPr="00EF6860">
              <w:t>Francia (Sr. Richard Brand)</w:t>
            </w:r>
          </w:p>
        </w:tc>
      </w:tr>
      <w:tr w:rsidR="00EF6860" w:rsidRPr="00AC67A0" w:rsidTr="00FD65CE">
        <w:tc>
          <w:tcPr>
            <w:tcW w:w="5670" w:type="dxa"/>
          </w:tcPr>
          <w:p w:rsidR="00EF6860" w:rsidRPr="00EF6860" w:rsidRDefault="00EF6860" w:rsidP="00855190">
            <w:pPr>
              <w:spacing w:before="60" w:after="60"/>
              <w:ind w:right="34"/>
            </w:pPr>
            <w:r w:rsidRPr="00EF6860">
              <w:t>El fomento de la elaboración de bases de datos</w:t>
            </w:r>
          </w:p>
        </w:tc>
        <w:tc>
          <w:tcPr>
            <w:tcW w:w="4219" w:type="dxa"/>
          </w:tcPr>
          <w:p w:rsidR="00EF6860" w:rsidRPr="00EF6860" w:rsidRDefault="00EF6860" w:rsidP="00855190">
            <w:pPr>
              <w:spacing w:before="60" w:after="60"/>
              <w:ind w:left="317" w:right="-108"/>
              <w:jc w:val="left"/>
            </w:pPr>
            <w:r w:rsidRPr="00EF6860">
              <w:t>Países Bajos (Sr. Kees van Ettekoven)</w:t>
            </w:r>
          </w:p>
        </w:tc>
      </w:tr>
    </w:tbl>
    <w:p w:rsidR="00EF6860" w:rsidRPr="00EF6860" w:rsidRDefault="00EF6860" w:rsidP="00855190">
      <w:pPr>
        <w:rPr>
          <w:lang w:val="es-ES"/>
        </w:rPr>
      </w:pPr>
    </w:p>
    <w:p w:rsidR="00EF6860" w:rsidRPr="00EF6860" w:rsidRDefault="00EF6860" w:rsidP="00855190">
      <w:pPr>
        <w:outlineLvl w:val="2"/>
        <w:rPr>
          <w:i/>
          <w:lang w:val="es-ES"/>
        </w:rPr>
      </w:pPr>
      <w:bookmarkStart w:id="72" w:name="_Toc463512506"/>
      <w:r w:rsidRPr="00EF6860">
        <w:rPr>
          <w:i/>
          <w:lang w:val="es-ES"/>
        </w:rPr>
        <w:t>d)</w:t>
      </w:r>
      <w:r w:rsidRPr="00EF6860">
        <w:rPr>
          <w:i/>
          <w:lang w:val="es-ES"/>
        </w:rPr>
        <w:tab/>
      </w:r>
      <w:r w:rsidRPr="00EF6860">
        <w:rPr>
          <w:i/>
          <w:lang w:val="es-ES_tradnl"/>
        </w:rPr>
        <w:t>Debate sobre la distancia mínima entre las variedades</w:t>
      </w:r>
      <w:bookmarkEnd w:id="72"/>
    </w:p>
    <w:p w:rsidR="00EF6860" w:rsidRPr="00EF6860" w:rsidRDefault="00EF6860" w:rsidP="00855190">
      <w:pPr>
        <w:rPr>
          <w:lang w:val="es-ES"/>
        </w:rPr>
      </w:pPr>
    </w:p>
    <w:p w:rsidR="00EF6860" w:rsidRPr="00EF6860" w:rsidRDefault="00EF6860" w:rsidP="00855190">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asistió a las siguientes ponencias sobre la distancia mínima entre las variedades (por orden de presentación):</w:t>
      </w:r>
    </w:p>
    <w:p w:rsidR="00EF6860" w:rsidRPr="00EF6860" w:rsidRDefault="00EF6860" w:rsidP="00855190">
      <w:pPr>
        <w:rPr>
          <w:lang w:val="es-ES"/>
        </w:rPr>
      </w:pPr>
    </w:p>
    <w:tbl>
      <w:tblPr>
        <w:tblStyle w:val="TableGrid10"/>
        <w:tblW w:w="9889" w:type="dxa"/>
        <w:tblLook w:val="04A0" w:firstRow="1" w:lastRow="0" w:firstColumn="1" w:lastColumn="0" w:noHBand="0" w:noVBand="1"/>
      </w:tblPr>
      <w:tblGrid>
        <w:gridCol w:w="5670"/>
        <w:gridCol w:w="4219"/>
      </w:tblGrid>
      <w:tr w:rsidR="00EF6860" w:rsidRPr="00AC67A0" w:rsidTr="00FD65CE">
        <w:tc>
          <w:tcPr>
            <w:tcW w:w="5670" w:type="dxa"/>
          </w:tcPr>
          <w:p w:rsidR="00EF6860" w:rsidRPr="00EF6860" w:rsidRDefault="00EF6860" w:rsidP="00855190">
            <w:pPr>
              <w:spacing w:before="60" w:after="60"/>
              <w:ind w:right="34"/>
              <w:jc w:val="left"/>
            </w:pPr>
            <w:r w:rsidRPr="00EF6860">
              <w:t>La distancia mínima y la distinción</w:t>
            </w:r>
          </w:p>
        </w:tc>
        <w:tc>
          <w:tcPr>
            <w:tcW w:w="4219" w:type="dxa"/>
          </w:tcPr>
          <w:p w:rsidR="00EF6860" w:rsidRPr="00EF6860" w:rsidRDefault="00EF6860" w:rsidP="00855190">
            <w:pPr>
              <w:spacing w:before="60" w:after="60"/>
              <w:ind w:left="317" w:right="-108"/>
              <w:jc w:val="left"/>
            </w:pPr>
            <w:r w:rsidRPr="00EF6860">
              <w:t>Asociación Internacional de Productores Hortícolas (AIPH) y Comunidad Internacional de Obtentores de Variedades Ornamentales y Frutales de Reproducción Asexuada (CIOPORA) (Sra. Dominique Thevenon)</w:t>
            </w:r>
          </w:p>
        </w:tc>
      </w:tr>
      <w:tr w:rsidR="00EF6860" w:rsidRPr="00AC67A0" w:rsidTr="00FD65CE">
        <w:tc>
          <w:tcPr>
            <w:tcW w:w="5670" w:type="dxa"/>
          </w:tcPr>
          <w:p w:rsidR="00EF6860" w:rsidRPr="00EF6860" w:rsidRDefault="00EF6860" w:rsidP="00855190">
            <w:pPr>
              <w:spacing w:before="60" w:after="60"/>
              <w:ind w:right="34"/>
            </w:pPr>
            <w:r w:rsidRPr="00EF6860">
              <w:t>La distancia mínima: perspectiva de los cultivos agrícolas y hortícolas</w:t>
            </w:r>
          </w:p>
        </w:tc>
        <w:tc>
          <w:tcPr>
            <w:tcW w:w="4219" w:type="dxa"/>
          </w:tcPr>
          <w:p w:rsidR="00EF6860" w:rsidRPr="00EF6860" w:rsidRDefault="00EF6860" w:rsidP="00855190">
            <w:pPr>
              <w:spacing w:before="60" w:after="60"/>
              <w:ind w:left="317" w:right="-108"/>
              <w:jc w:val="left"/>
            </w:pPr>
            <w:r w:rsidRPr="00EF6860">
              <w:t>Asociación Europea de Semillas (ESA) (Sr. Bert Scholte)</w:t>
            </w:r>
          </w:p>
        </w:tc>
      </w:tr>
    </w:tbl>
    <w:p w:rsidR="00EF6860" w:rsidRPr="00EF6860" w:rsidRDefault="00EF6860" w:rsidP="00EF6860">
      <w:pPr>
        <w:rPr>
          <w:lang w:val="es-ES"/>
        </w:rPr>
      </w:pPr>
    </w:p>
    <w:p w:rsidR="00EF6860" w:rsidRPr="00EF6860" w:rsidRDefault="00EF6860" w:rsidP="00EF6860">
      <w:pPr>
        <w:rPr>
          <w:lang w:val="es-ES"/>
        </w:rPr>
      </w:pPr>
    </w:p>
    <w:p w:rsidR="00EF6860" w:rsidRPr="00EF6860" w:rsidRDefault="00EF6860" w:rsidP="00EF6860">
      <w:pPr>
        <w:keepNext/>
        <w:outlineLvl w:val="1"/>
        <w:rPr>
          <w:u w:val="single"/>
          <w:lang w:val="es-ES"/>
        </w:rPr>
      </w:pPr>
      <w:bookmarkStart w:id="73" w:name="_Toc463512507"/>
      <w:r w:rsidRPr="00EF6860">
        <w:rPr>
          <w:u w:val="single"/>
          <w:lang w:val="es-ES_tradnl"/>
        </w:rPr>
        <w:t>Asuntos relativos a las descripciones de variedades</w:t>
      </w:r>
      <w:bookmarkEnd w:id="73"/>
    </w:p>
    <w:p w:rsidR="00EF6860" w:rsidRPr="00EF6860" w:rsidRDefault="00EF6860" w:rsidP="00EF6860">
      <w:pPr>
        <w:keepNext/>
        <w:rPr>
          <w:lang w:val="es-ES"/>
        </w:rPr>
      </w:pPr>
    </w:p>
    <w:p w:rsidR="00EF6860" w:rsidRPr="00EF6860" w:rsidRDefault="00EF6860" w:rsidP="00EF6860">
      <w:pPr>
        <w:keepNext/>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examinó el documento TC/52/21.</w:t>
      </w:r>
    </w:p>
    <w:p w:rsidR="00EF6860" w:rsidRPr="00EF6860" w:rsidRDefault="00EF6860" w:rsidP="00EF6860">
      <w:pPr>
        <w:keepNext/>
        <w:rPr>
          <w:lang w:val="es-ES"/>
        </w:rPr>
      </w:pPr>
    </w:p>
    <w:p w:rsidR="00EF6860" w:rsidRPr="00EF6860" w:rsidRDefault="00EF6860" w:rsidP="00EF6860">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tomó nota de que, en su septuagésima primera sesión, el CAJ respaldó la conclusión extraída por el CAJ-AG en su novena sesión, sobre:</w:t>
      </w:r>
    </w:p>
    <w:p w:rsidR="00EF6860" w:rsidRPr="00EF6860" w:rsidRDefault="00EF6860" w:rsidP="00EF6860">
      <w:pPr>
        <w:rPr>
          <w:lang w:val="es-ES"/>
        </w:rPr>
      </w:pPr>
    </w:p>
    <w:p w:rsidR="00EF6860" w:rsidRPr="00EF6860" w:rsidRDefault="00EF6860" w:rsidP="00EF6860">
      <w:pPr>
        <w:rPr>
          <w:lang w:val="es-ES"/>
        </w:rPr>
      </w:pPr>
      <w:r w:rsidRPr="00EF6860">
        <w:rPr>
          <w:lang w:val="es-ES"/>
        </w:rPr>
        <w:tab/>
        <w:t>i)</w:t>
      </w:r>
      <w:r w:rsidRPr="00EF6860">
        <w:rPr>
          <w:lang w:val="es-ES"/>
        </w:rPr>
        <w:tab/>
      </w:r>
      <w:r w:rsidRPr="00EF6860">
        <w:rPr>
          <w:lang w:val="es-ES_tradnl"/>
        </w:rPr>
        <w:t xml:space="preserve">la finalidad de la descripción de la variedad elaborada en el momento en que se concede el derecho de obtentor (descripción original de la variedad), </w:t>
      </w:r>
      <w:r w:rsidRPr="00EF6860">
        <w:rPr>
          <w:rFonts w:ascii="ArialMT" w:hAnsi="ArialMT" w:cs="ArialMT"/>
          <w:sz w:val="19"/>
          <w:szCs w:val="19"/>
          <w:lang w:val="es-ES"/>
        </w:rPr>
        <w:t>conforme se indica a continuación</w:t>
      </w:r>
      <w:r w:rsidRPr="00EF6860">
        <w:rPr>
          <w:lang w:val="es-ES_tradnl"/>
        </w:rPr>
        <w:t>:</w:t>
      </w:r>
    </w:p>
    <w:p w:rsidR="00EF6860" w:rsidRPr="00EF6860" w:rsidRDefault="00EF6860" w:rsidP="00EF6860">
      <w:pPr>
        <w:rPr>
          <w:lang w:val="es-ES"/>
        </w:rPr>
      </w:pPr>
    </w:p>
    <w:p w:rsidR="00EF6860" w:rsidRPr="00EF6860" w:rsidRDefault="00EF6860" w:rsidP="00EF6860">
      <w:pPr>
        <w:ind w:left="567" w:right="567"/>
        <w:rPr>
          <w:sz w:val="18"/>
          <w:lang w:val="es-ES"/>
        </w:rPr>
      </w:pPr>
      <w:r w:rsidRPr="00EF6860">
        <w:rPr>
          <w:sz w:val="18"/>
          <w:lang w:val="es-ES"/>
        </w:rPr>
        <w:t>“37.</w:t>
      </w:r>
      <w:r w:rsidRPr="00EF6860">
        <w:rPr>
          <w:sz w:val="18"/>
          <w:lang w:val="es-ES"/>
        </w:rPr>
        <w:tab/>
      </w:r>
      <w:r w:rsidRPr="00EF6860">
        <w:rPr>
          <w:sz w:val="18"/>
          <w:lang w:val="es-ES_tradnl"/>
        </w:rPr>
        <w:t>El CAJ-AG convino en que, de conformidad con la sección 6 “Informe de la UPOV sobre el examen técnico y sobre la descripción de variedades” del documento TGP/5 “Experiencia y cooperación en el examen DHE”, las finalidades de la descripción de la variedad que se elaboró cuando se concedió el derecho de obtentor (descripción original de la variedad) pueden resumirse en:</w:t>
      </w:r>
    </w:p>
    <w:p w:rsidR="00EF6860" w:rsidRPr="00EF6860" w:rsidRDefault="00EF6860" w:rsidP="00EF6860">
      <w:pPr>
        <w:ind w:left="567" w:right="567"/>
        <w:rPr>
          <w:sz w:val="18"/>
          <w:lang w:val="es-ES"/>
        </w:rPr>
      </w:pPr>
    </w:p>
    <w:p w:rsidR="00EF6860" w:rsidRPr="00EF6860" w:rsidRDefault="00EF6860" w:rsidP="00EF6860">
      <w:pPr>
        <w:keepNext/>
        <w:ind w:left="1134" w:right="567"/>
        <w:rPr>
          <w:sz w:val="18"/>
          <w:lang w:val="es-ES"/>
        </w:rPr>
      </w:pPr>
      <w:r w:rsidRPr="00EF6860">
        <w:rPr>
          <w:sz w:val="18"/>
          <w:lang w:val="es-ES"/>
        </w:rPr>
        <w:t>a)</w:t>
      </w:r>
      <w:r w:rsidRPr="00EF6860">
        <w:rPr>
          <w:sz w:val="18"/>
          <w:lang w:val="es-ES"/>
        </w:rPr>
        <w:tab/>
      </w:r>
      <w:r w:rsidRPr="00EF6860">
        <w:rPr>
          <w:sz w:val="18"/>
          <w:lang w:val="es-ES_tradnl"/>
        </w:rPr>
        <w:t>describir los caracteres de la variedad, e</w:t>
      </w:r>
    </w:p>
    <w:p w:rsidR="00EF6860" w:rsidRPr="00EF6860" w:rsidRDefault="00EF6860" w:rsidP="00EF6860">
      <w:pPr>
        <w:ind w:left="1134" w:right="567"/>
        <w:rPr>
          <w:sz w:val="18"/>
          <w:lang w:val="es-ES"/>
        </w:rPr>
      </w:pPr>
      <w:r w:rsidRPr="00EF6860">
        <w:rPr>
          <w:sz w:val="18"/>
          <w:lang w:val="es-ES"/>
        </w:rPr>
        <w:t>b)</w:t>
      </w:r>
      <w:r w:rsidRPr="00EF6860">
        <w:rPr>
          <w:sz w:val="18"/>
          <w:lang w:val="es-ES"/>
        </w:rPr>
        <w:tab/>
      </w:r>
      <w:r w:rsidRPr="00EF6860">
        <w:rPr>
          <w:sz w:val="18"/>
          <w:lang w:val="es-ES_tradnl"/>
        </w:rPr>
        <w:t>identificar y enumerar las variedades similares y las diferencias con respecto a esas variedades;</w:t>
      </w:r>
      <w:r w:rsidRPr="00EF6860">
        <w:rPr>
          <w:sz w:val="18"/>
          <w:lang w:val="es-ES"/>
        </w:rPr>
        <w:t xml:space="preserve"> </w:t>
      </w:r>
    </w:p>
    <w:p w:rsidR="00EF6860" w:rsidRPr="00EF6860" w:rsidRDefault="00EF6860" w:rsidP="00EF6860">
      <w:pPr>
        <w:ind w:left="2835" w:right="567" w:hanging="1134"/>
        <w:rPr>
          <w:sz w:val="18"/>
          <w:lang w:val="es-ES"/>
        </w:rPr>
      </w:pPr>
      <w:r w:rsidRPr="00EF6860">
        <w:rPr>
          <w:sz w:val="18"/>
          <w:lang w:val="es-ES_tradnl"/>
        </w:rPr>
        <w:t>junto con la siguiente información basada en a) y b):</w:t>
      </w:r>
    </w:p>
    <w:p w:rsidR="00EF6860" w:rsidRPr="00EF6860" w:rsidRDefault="00EF6860" w:rsidP="00EF6860">
      <w:pPr>
        <w:ind w:left="1701" w:right="567"/>
        <w:rPr>
          <w:sz w:val="18"/>
          <w:lang w:val="es-ES"/>
        </w:rPr>
      </w:pPr>
      <w:r w:rsidRPr="00EF6860">
        <w:rPr>
          <w:rFonts w:cs="Arial"/>
          <w:sz w:val="18"/>
          <w:lang w:val="es-ES"/>
        </w:rPr>
        <w:t>▪</w:t>
      </w:r>
      <w:r w:rsidRPr="00EF6860">
        <w:rPr>
          <w:sz w:val="18"/>
          <w:lang w:val="es-ES"/>
        </w:rPr>
        <w:tab/>
      </w:r>
      <w:r w:rsidRPr="00EF6860">
        <w:rPr>
          <w:sz w:val="18"/>
          <w:lang w:val="es-ES_tradnl"/>
        </w:rPr>
        <w:t>Fecha y número de documento de las Directrices de Examen de la UPOV;</w:t>
      </w:r>
    </w:p>
    <w:p w:rsidR="00EF6860" w:rsidRPr="00EF6860" w:rsidRDefault="00EF6860" w:rsidP="00EF6860">
      <w:pPr>
        <w:ind w:left="2127" w:right="567" w:hanging="426"/>
        <w:rPr>
          <w:sz w:val="18"/>
          <w:lang w:val="es-ES"/>
        </w:rPr>
      </w:pPr>
      <w:r w:rsidRPr="00EF6860">
        <w:rPr>
          <w:rFonts w:cs="Arial"/>
          <w:sz w:val="18"/>
          <w:lang w:val="es-ES"/>
        </w:rPr>
        <w:t>▪</w:t>
      </w:r>
      <w:r w:rsidRPr="00EF6860">
        <w:rPr>
          <w:sz w:val="18"/>
          <w:lang w:val="es-ES"/>
        </w:rPr>
        <w:tab/>
      </w:r>
      <w:r w:rsidRPr="00EF6860">
        <w:rPr>
          <w:sz w:val="18"/>
          <w:lang w:val="es-ES_tradnl"/>
        </w:rPr>
        <w:t>Fecha y/o número de documento de las directrices de examen de la autoridad informante;</w:t>
      </w:r>
    </w:p>
    <w:p w:rsidR="00EF6860" w:rsidRPr="00EF6860" w:rsidRDefault="00EF6860" w:rsidP="00EF6860">
      <w:pPr>
        <w:ind w:left="1701" w:right="567"/>
        <w:rPr>
          <w:sz w:val="18"/>
          <w:lang w:val="es-ES"/>
        </w:rPr>
      </w:pPr>
      <w:r w:rsidRPr="00EF6860">
        <w:rPr>
          <w:rFonts w:cs="Arial"/>
          <w:sz w:val="18"/>
          <w:lang w:val="es-ES"/>
        </w:rPr>
        <w:t>▪</w:t>
      </w:r>
      <w:r w:rsidRPr="00EF6860">
        <w:rPr>
          <w:sz w:val="18"/>
          <w:lang w:val="es-ES"/>
        </w:rPr>
        <w:tab/>
      </w:r>
      <w:r w:rsidRPr="00EF6860">
        <w:rPr>
          <w:sz w:val="18"/>
          <w:lang w:val="es-ES_tradnl"/>
        </w:rPr>
        <w:t>Autoridad informante;</w:t>
      </w:r>
    </w:p>
    <w:p w:rsidR="00EF6860" w:rsidRPr="00EF6860" w:rsidRDefault="00EF6860" w:rsidP="00EF6860">
      <w:pPr>
        <w:ind w:left="1701" w:right="567"/>
        <w:rPr>
          <w:sz w:val="18"/>
          <w:lang w:val="es-ES"/>
        </w:rPr>
      </w:pPr>
      <w:r w:rsidRPr="00EF6860">
        <w:rPr>
          <w:rFonts w:cs="Arial"/>
          <w:sz w:val="18"/>
          <w:lang w:val="es-ES"/>
        </w:rPr>
        <w:t>▪</w:t>
      </w:r>
      <w:r w:rsidRPr="00EF6860">
        <w:rPr>
          <w:sz w:val="18"/>
          <w:lang w:val="es-ES"/>
        </w:rPr>
        <w:tab/>
      </w:r>
      <w:r w:rsidRPr="00EF6860">
        <w:rPr>
          <w:sz w:val="18"/>
          <w:lang w:val="es-ES_tradnl"/>
        </w:rPr>
        <w:t>Estación(es) y lugar(es) del examen;</w:t>
      </w:r>
    </w:p>
    <w:p w:rsidR="00EF6860" w:rsidRPr="00EF6860" w:rsidRDefault="00EF6860" w:rsidP="00EF6860">
      <w:pPr>
        <w:ind w:left="1701" w:right="567"/>
        <w:rPr>
          <w:sz w:val="18"/>
          <w:lang w:val="es-ES"/>
        </w:rPr>
      </w:pPr>
      <w:r w:rsidRPr="00EF6860">
        <w:rPr>
          <w:rFonts w:cs="Arial"/>
          <w:sz w:val="18"/>
          <w:lang w:val="es-ES"/>
        </w:rPr>
        <w:t>▪</w:t>
      </w:r>
      <w:r w:rsidRPr="00EF6860">
        <w:rPr>
          <w:sz w:val="18"/>
          <w:lang w:val="es-ES"/>
        </w:rPr>
        <w:tab/>
      </w:r>
      <w:r w:rsidRPr="00EF6860">
        <w:rPr>
          <w:sz w:val="18"/>
          <w:lang w:val="es-ES_tradnl"/>
        </w:rPr>
        <w:t>Período de realización del examen;</w:t>
      </w:r>
    </w:p>
    <w:p w:rsidR="00EF6860" w:rsidRPr="00EF6860" w:rsidRDefault="00EF6860" w:rsidP="00EF6860">
      <w:pPr>
        <w:ind w:left="1701" w:right="567"/>
        <w:rPr>
          <w:sz w:val="18"/>
          <w:lang w:val="es-ES"/>
        </w:rPr>
      </w:pPr>
      <w:r w:rsidRPr="00EF6860">
        <w:rPr>
          <w:rFonts w:cs="Arial"/>
          <w:sz w:val="18"/>
          <w:lang w:val="es-ES"/>
        </w:rPr>
        <w:t>▪</w:t>
      </w:r>
      <w:r w:rsidRPr="00EF6860">
        <w:rPr>
          <w:sz w:val="18"/>
          <w:lang w:val="es-ES"/>
        </w:rPr>
        <w:tab/>
      </w:r>
      <w:r w:rsidRPr="00EF6860">
        <w:rPr>
          <w:sz w:val="18"/>
          <w:lang w:val="es-ES_tradnl"/>
        </w:rPr>
        <w:t>Fecha y lugar de emisión del documento;</w:t>
      </w:r>
    </w:p>
    <w:p w:rsidR="00EF6860" w:rsidRPr="00EF6860" w:rsidRDefault="00EF6860" w:rsidP="00EF6860">
      <w:pPr>
        <w:ind w:left="1701" w:right="567"/>
        <w:rPr>
          <w:sz w:val="18"/>
          <w:lang w:val="es-ES"/>
        </w:rPr>
      </w:pPr>
      <w:r w:rsidRPr="00EF6860">
        <w:rPr>
          <w:rFonts w:cs="Arial"/>
          <w:sz w:val="18"/>
          <w:lang w:val="es-ES"/>
        </w:rPr>
        <w:t>▪</w:t>
      </w:r>
      <w:r w:rsidRPr="00EF6860">
        <w:rPr>
          <w:sz w:val="18"/>
          <w:lang w:val="es-ES"/>
        </w:rPr>
        <w:tab/>
      </w:r>
      <w:r w:rsidRPr="00EF6860">
        <w:rPr>
          <w:sz w:val="18"/>
          <w:lang w:val="es-ES_tradnl"/>
        </w:rPr>
        <w:t>Grupo:</w:t>
      </w:r>
      <w:r w:rsidRPr="00EF6860">
        <w:rPr>
          <w:sz w:val="18"/>
          <w:lang w:val="es-ES"/>
        </w:rPr>
        <w:t xml:space="preserve"> </w:t>
      </w:r>
      <w:r w:rsidRPr="00EF6860">
        <w:rPr>
          <w:sz w:val="18"/>
          <w:lang w:val="es-ES_tradnl"/>
        </w:rPr>
        <w:t>(Cuadro:</w:t>
      </w:r>
      <w:r w:rsidRPr="00EF6860">
        <w:rPr>
          <w:sz w:val="18"/>
          <w:lang w:val="es-ES"/>
        </w:rPr>
        <w:t xml:space="preserve"> </w:t>
      </w:r>
      <w:r w:rsidRPr="00EF6860">
        <w:rPr>
          <w:sz w:val="18"/>
          <w:lang w:val="es-ES_tradnl"/>
        </w:rPr>
        <w:t>Caracteres;</w:t>
      </w:r>
      <w:r w:rsidRPr="00EF6860">
        <w:rPr>
          <w:sz w:val="18"/>
          <w:lang w:val="es-ES"/>
        </w:rPr>
        <w:t xml:space="preserve"> </w:t>
      </w:r>
      <w:r w:rsidRPr="00EF6860">
        <w:rPr>
          <w:sz w:val="18"/>
          <w:lang w:val="es-ES_tradnl"/>
        </w:rPr>
        <w:t>Niveles de expresión;</w:t>
      </w:r>
      <w:r w:rsidRPr="00EF6860">
        <w:rPr>
          <w:sz w:val="18"/>
          <w:lang w:val="es-ES"/>
        </w:rPr>
        <w:t xml:space="preserve"> </w:t>
      </w:r>
      <w:r w:rsidRPr="00EF6860">
        <w:rPr>
          <w:sz w:val="18"/>
          <w:lang w:val="es-ES_tradnl"/>
        </w:rPr>
        <w:t>Nota;</w:t>
      </w:r>
      <w:r w:rsidRPr="00EF6860">
        <w:rPr>
          <w:sz w:val="18"/>
          <w:lang w:val="es-ES"/>
        </w:rPr>
        <w:t xml:space="preserve"> </w:t>
      </w:r>
      <w:r w:rsidRPr="00EF6860">
        <w:rPr>
          <w:sz w:val="18"/>
          <w:lang w:val="es-ES_tradnl"/>
        </w:rPr>
        <w:t>Observaciones);</w:t>
      </w:r>
    </w:p>
    <w:p w:rsidR="00EF6860" w:rsidRPr="00EF6860" w:rsidRDefault="00EF6860" w:rsidP="00EF6860">
      <w:pPr>
        <w:ind w:left="1701" w:right="567"/>
        <w:rPr>
          <w:sz w:val="18"/>
          <w:lang w:val="es-ES"/>
        </w:rPr>
      </w:pPr>
      <w:r w:rsidRPr="00EF6860">
        <w:rPr>
          <w:rFonts w:cs="Arial"/>
          <w:sz w:val="18"/>
          <w:lang w:val="es-ES"/>
        </w:rPr>
        <w:t>▪</w:t>
      </w:r>
      <w:r w:rsidRPr="00EF6860">
        <w:rPr>
          <w:sz w:val="18"/>
          <w:lang w:val="es-ES"/>
        </w:rPr>
        <w:tab/>
      </w:r>
      <w:r w:rsidRPr="00EF6860">
        <w:rPr>
          <w:sz w:val="18"/>
          <w:lang w:val="es-ES_tradnl"/>
        </w:rPr>
        <w:t>Información adicional;</w:t>
      </w:r>
    </w:p>
    <w:p w:rsidR="00EF6860" w:rsidRPr="00EF6860" w:rsidRDefault="00EF6860" w:rsidP="00EF6860">
      <w:pPr>
        <w:ind w:left="1701" w:right="567"/>
        <w:rPr>
          <w:sz w:val="18"/>
          <w:lang w:val="es-ES"/>
        </w:rPr>
      </w:pPr>
      <w:r w:rsidRPr="00EF6860">
        <w:rPr>
          <w:sz w:val="18"/>
          <w:lang w:val="es-ES"/>
        </w:rPr>
        <w:tab/>
        <w:t>a)</w:t>
      </w:r>
      <w:r w:rsidRPr="00EF6860">
        <w:rPr>
          <w:sz w:val="18"/>
          <w:lang w:val="es-ES"/>
        </w:rPr>
        <w:tab/>
      </w:r>
      <w:r w:rsidRPr="00EF6860">
        <w:rPr>
          <w:sz w:val="18"/>
          <w:lang w:val="es-ES_tradnl"/>
        </w:rPr>
        <w:t>Datos adicionales</w:t>
      </w:r>
    </w:p>
    <w:p w:rsidR="00EF6860" w:rsidRPr="00EF6860" w:rsidRDefault="00EF6860" w:rsidP="00EF6860">
      <w:pPr>
        <w:ind w:left="1701" w:right="567"/>
        <w:rPr>
          <w:sz w:val="18"/>
          <w:lang w:val="es-ES"/>
        </w:rPr>
      </w:pPr>
      <w:r w:rsidRPr="00EF6860">
        <w:rPr>
          <w:sz w:val="18"/>
          <w:lang w:val="es-ES"/>
        </w:rPr>
        <w:tab/>
        <w:t>b)</w:t>
      </w:r>
      <w:r w:rsidRPr="00EF6860">
        <w:rPr>
          <w:sz w:val="18"/>
          <w:lang w:val="es-ES"/>
        </w:rPr>
        <w:tab/>
      </w:r>
      <w:r w:rsidRPr="00EF6860">
        <w:rPr>
          <w:sz w:val="18"/>
          <w:lang w:val="es-ES_tradnl"/>
        </w:rPr>
        <w:t>Fotografía (si procede)</w:t>
      </w:r>
    </w:p>
    <w:p w:rsidR="00EF6860" w:rsidRPr="00EF6860" w:rsidRDefault="00EF6860" w:rsidP="00EF6860">
      <w:pPr>
        <w:ind w:left="1701" w:right="567"/>
        <w:rPr>
          <w:sz w:val="18"/>
          <w:lang w:val="es-ES"/>
        </w:rPr>
      </w:pPr>
      <w:r w:rsidRPr="00EF6860">
        <w:rPr>
          <w:sz w:val="18"/>
          <w:lang w:val="es-ES"/>
        </w:rPr>
        <w:tab/>
        <w:t>c)</w:t>
      </w:r>
      <w:r w:rsidRPr="00EF6860">
        <w:rPr>
          <w:sz w:val="18"/>
          <w:lang w:val="es-ES"/>
        </w:rPr>
        <w:tab/>
      </w:r>
      <w:r w:rsidRPr="00EF6860">
        <w:rPr>
          <w:sz w:val="18"/>
          <w:lang w:val="es-ES_tradnl"/>
        </w:rPr>
        <w:t>Versión de la Carta de Colores RHS empleada (cuando proceda)</w:t>
      </w:r>
    </w:p>
    <w:p w:rsidR="00EF6860" w:rsidRPr="00EF6860" w:rsidRDefault="00EF6860" w:rsidP="00EF6860">
      <w:pPr>
        <w:ind w:left="1701" w:right="567"/>
        <w:rPr>
          <w:sz w:val="18"/>
          <w:lang w:val="es-ES"/>
        </w:rPr>
      </w:pPr>
      <w:r w:rsidRPr="00EF6860">
        <w:rPr>
          <w:sz w:val="18"/>
          <w:lang w:val="es-ES"/>
        </w:rPr>
        <w:tab/>
        <w:t>d)</w:t>
      </w:r>
      <w:r w:rsidRPr="00EF6860">
        <w:rPr>
          <w:sz w:val="18"/>
          <w:lang w:val="es-ES"/>
        </w:rPr>
        <w:tab/>
      </w:r>
      <w:r w:rsidRPr="00EF6860">
        <w:rPr>
          <w:sz w:val="18"/>
          <w:lang w:val="es-ES_tradnl"/>
        </w:rPr>
        <w:t>Observaciones.”</w:t>
      </w:r>
    </w:p>
    <w:p w:rsidR="00EF6860" w:rsidRPr="00EF6860" w:rsidRDefault="00EF6860" w:rsidP="00EF6860">
      <w:pPr>
        <w:rPr>
          <w:lang w:val="es-ES"/>
        </w:rPr>
      </w:pPr>
    </w:p>
    <w:p w:rsidR="00EF6860" w:rsidRPr="00EF6860" w:rsidRDefault="00EF6860" w:rsidP="00EF6860">
      <w:pPr>
        <w:ind w:left="567"/>
        <w:rPr>
          <w:lang w:val="es-ES"/>
        </w:rPr>
      </w:pPr>
      <w:r w:rsidRPr="00EF6860">
        <w:rPr>
          <w:lang w:val="es-ES_tradnl"/>
        </w:rPr>
        <w:t>y</w:t>
      </w:r>
    </w:p>
    <w:p w:rsidR="00EF6860" w:rsidRPr="00EF6860" w:rsidRDefault="00EF6860" w:rsidP="00EF6860">
      <w:pPr>
        <w:rPr>
          <w:lang w:val="es-ES"/>
        </w:rPr>
      </w:pPr>
    </w:p>
    <w:p w:rsidR="00EF6860" w:rsidRPr="00EF6860" w:rsidRDefault="00EF6860" w:rsidP="00EF6860">
      <w:pPr>
        <w:rPr>
          <w:lang w:val="es-ES"/>
        </w:rPr>
      </w:pPr>
      <w:r w:rsidRPr="00EF6860">
        <w:rPr>
          <w:lang w:val="es-ES"/>
        </w:rPr>
        <w:tab/>
        <w:t>ii)</w:t>
      </w:r>
      <w:r w:rsidRPr="00EF6860">
        <w:rPr>
          <w:lang w:val="es-ES"/>
        </w:rPr>
        <w:tab/>
      </w:r>
      <w:r w:rsidRPr="00EF6860">
        <w:rPr>
          <w:lang w:val="es-ES_tradnl"/>
        </w:rPr>
        <w:t xml:space="preserve">la situación de la descripción original de la variedad con respecto a la comprobación del material vegetal de una variedad protegida a efectos de la defensa del derecho de obtentor, </w:t>
      </w:r>
      <w:r w:rsidRPr="00EF6860">
        <w:rPr>
          <w:rFonts w:ascii="ArialMT" w:hAnsi="ArialMT" w:cs="ArialMT"/>
          <w:sz w:val="19"/>
          <w:szCs w:val="19"/>
          <w:lang w:val="es-ES"/>
        </w:rPr>
        <w:t>conforme se indica a continuación:</w:t>
      </w:r>
    </w:p>
    <w:p w:rsidR="00EF6860" w:rsidRPr="00EF6860" w:rsidRDefault="00EF6860" w:rsidP="00EF6860">
      <w:pPr>
        <w:rPr>
          <w:lang w:val="es-ES"/>
        </w:rPr>
      </w:pPr>
    </w:p>
    <w:p w:rsidR="00EF6860" w:rsidRPr="00EF6860" w:rsidRDefault="00EF6860" w:rsidP="00EF6860">
      <w:pPr>
        <w:ind w:left="567" w:right="567"/>
        <w:rPr>
          <w:snapToGrid w:val="0"/>
          <w:spacing w:val="-2"/>
          <w:sz w:val="18"/>
          <w:szCs w:val="18"/>
          <w:lang w:val="es-ES"/>
        </w:rPr>
      </w:pPr>
      <w:r w:rsidRPr="00EF6860">
        <w:rPr>
          <w:snapToGrid w:val="0"/>
          <w:spacing w:val="-2"/>
          <w:sz w:val="18"/>
          <w:szCs w:val="18"/>
          <w:lang w:val="es-ES"/>
        </w:rPr>
        <w:t>“38.</w:t>
      </w:r>
      <w:r w:rsidRPr="00EF6860">
        <w:rPr>
          <w:snapToGrid w:val="0"/>
          <w:spacing w:val="-2"/>
          <w:sz w:val="18"/>
          <w:szCs w:val="18"/>
          <w:lang w:val="es-ES"/>
        </w:rPr>
        <w:tab/>
      </w:r>
      <w:r w:rsidRPr="00EF6860">
        <w:rPr>
          <w:snapToGrid w:val="0"/>
          <w:spacing w:val="-2"/>
          <w:sz w:val="18"/>
          <w:szCs w:val="18"/>
          <w:lang w:val="es-ES_tradnl"/>
        </w:rPr>
        <w:t>El CAJ-AG examinó la situación de la descripción original de la variedad con respecto a la comprobación del material vegetal de una variedad protegida a efectos de la defensa del derecho de obtentor y señaló que en las orientaciones de la UPOV relativas a la observancia de los derechos de los obtentores que figuran en el documento UPOV/EXN/ENF/1 “Notas explicativas sobre la defensa de los derechos del obtentor con arreglo al Convenio de la UPOV” se ofrece la siguiente explicación:</w:t>
      </w:r>
      <w:r w:rsidRPr="00EF6860">
        <w:rPr>
          <w:snapToGrid w:val="0"/>
          <w:spacing w:val="-2"/>
          <w:sz w:val="18"/>
          <w:szCs w:val="18"/>
          <w:lang w:val="es-ES"/>
        </w:rPr>
        <w:t xml:space="preserve"> </w:t>
      </w:r>
    </w:p>
    <w:p w:rsidR="00EF6860" w:rsidRPr="00EF6860" w:rsidRDefault="00EF6860" w:rsidP="00EF6860">
      <w:pPr>
        <w:spacing w:before="100" w:beforeAutospacing="1" w:after="100" w:afterAutospacing="1"/>
        <w:ind w:left="567" w:right="567"/>
        <w:jc w:val="left"/>
        <w:rPr>
          <w:rFonts w:cs="Arial"/>
          <w:snapToGrid w:val="0"/>
          <w:sz w:val="18"/>
          <w:szCs w:val="18"/>
          <w:lang w:val="es-ES" w:eastAsia="fr-FR"/>
        </w:rPr>
      </w:pPr>
      <w:r w:rsidRPr="00EF6860">
        <w:rPr>
          <w:rFonts w:cs="Arial"/>
          <w:snapToGrid w:val="0"/>
          <w:sz w:val="18"/>
          <w:szCs w:val="18"/>
          <w:lang w:val="es-ES_tradnl" w:eastAsia="fr-FR"/>
        </w:rPr>
        <w:t>“SECCIÓN II:</w:t>
      </w:r>
      <w:r w:rsidRPr="00EF6860">
        <w:rPr>
          <w:rFonts w:cs="Arial"/>
          <w:snapToGrid w:val="0"/>
          <w:sz w:val="18"/>
          <w:szCs w:val="18"/>
          <w:lang w:val="es-ES" w:eastAsia="fr-FR"/>
        </w:rPr>
        <w:t xml:space="preserve"> </w:t>
      </w:r>
      <w:r w:rsidRPr="00EF6860">
        <w:rPr>
          <w:rFonts w:cs="Arial"/>
          <w:snapToGrid w:val="0"/>
          <w:sz w:val="18"/>
          <w:szCs w:val="18"/>
          <w:lang w:val="es-ES_tradnl" w:eastAsia="fr-FR"/>
        </w:rPr>
        <w:t>Algunas medidas posibles para la defensa de los derechos de obtentor</w:t>
      </w:r>
      <w:r w:rsidRPr="00EF6860">
        <w:rPr>
          <w:rFonts w:cs="Arial"/>
          <w:snapToGrid w:val="0"/>
          <w:sz w:val="18"/>
          <w:szCs w:val="18"/>
          <w:lang w:val="es-ES" w:eastAsia="fr-FR"/>
        </w:rPr>
        <w:t xml:space="preserve"> </w:t>
      </w:r>
    </w:p>
    <w:p w:rsidR="00EF6860" w:rsidRPr="00EF6860" w:rsidRDefault="00EF6860" w:rsidP="00EF6860">
      <w:pPr>
        <w:spacing w:before="100" w:beforeAutospacing="1" w:after="100" w:afterAutospacing="1"/>
        <w:ind w:left="567" w:right="567"/>
        <w:jc w:val="left"/>
        <w:rPr>
          <w:rFonts w:cs="Arial"/>
          <w:snapToGrid w:val="0"/>
          <w:sz w:val="18"/>
          <w:szCs w:val="18"/>
          <w:lang w:val="es-ES" w:eastAsia="fr-FR"/>
        </w:rPr>
      </w:pPr>
      <w:r w:rsidRPr="00EF6860">
        <w:rPr>
          <w:rFonts w:cs="Arial"/>
          <w:snapToGrid w:val="0"/>
          <w:sz w:val="18"/>
          <w:szCs w:val="18"/>
          <w:lang w:val="es-ES_tradnl" w:eastAsia="fr-FR"/>
        </w:rPr>
        <w:t>“Si bien el Convenio de la UPOV exige a los miembros de la Unión que prevean los recursos legales apropiados que permitan defender eficazmente los derechos de obtentor, corresponde a los obtentores la defensa de sus derechos.</w:t>
      </w:r>
    </w:p>
    <w:p w:rsidR="00EF6860" w:rsidRPr="00EF6860" w:rsidRDefault="00EF6860" w:rsidP="00EF6860">
      <w:pPr>
        <w:spacing w:before="100" w:beforeAutospacing="1" w:after="100" w:afterAutospacing="1"/>
        <w:ind w:left="567" w:right="567"/>
        <w:jc w:val="left"/>
        <w:rPr>
          <w:rFonts w:cs="Arial"/>
          <w:snapToGrid w:val="0"/>
          <w:sz w:val="18"/>
          <w:szCs w:val="18"/>
          <w:lang w:val="es-ES" w:eastAsia="fr-FR"/>
        </w:rPr>
      </w:pPr>
      <w:r w:rsidRPr="00EF6860">
        <w:rPr>
          <w:rFonts w:cs="Arial"/>
          <w:snapToGrid w:val="0"/>
          <w:sz w:val="18"/>
          <w:szCs w:val="18"/>
          <w:lang w:val="es-ES" w:eastAsia="fr-FR"/>
        </w:rPr>
        <w:t>[…]</w:t>
      </w:r>
    </w:p>
    <w:p w:rsidR="00EF6860" w:rsidRPr="00EF6860" w:rsidRDefault="00EF6860" w:rsidP="00EF6860">
      <w:pPr>
        <w:ind w:left="567" w:right="567"/>
        <w:rPr>
          <w:rFonts w:cs="Arial"/>
          <w:snapToGrid w:val="0"/>
          <w:sz w:val="18"/>
          <w:szCs w:val="18"/>
          <w:lang w:val="es-ES"/>
        </w:rPr>
      </w:pPr>
      <w:r w:rsidRPr="00EF6860">
        <w:rPr>
          <w:rFonts w:cs="Arial"/>
          <w:snapToGrid w:val="0"/>
          <w:sz w:val="18"/>
          <w:szCs w:val="18"/>
          <w:lang w:val="es-ES"/>
        </w:rPr>
        <w:t>“39.</w:t>
      </w:r>
      <w:r w:rsidRPr="00EF6860">
        <w:rPr>
          <w:rFonts w:cs="Arial"/>
          <w:snapToGrid w:val="0"/>
          <w:sz w:val="18"/>
          <w:szCs w:val="18"/>
          <w:lang w:val="es-ES"/>
        </w:rPr>
        <w:tab/>
      </w:r>
      <w:r w:rsidRPr="00EF6860">
        <w:rPr>
          <w:rFonts w:cs="Arial"/>
          <w:snapToGrid w:val="0"/>
          <w:sz w:val="18"/>
          <w:szCs w:val="18"/>
          <w:lang w:val="es-ES_tradnl"/>
        </w:rPr>
        <w:t>El CAJ-AG convino en que, en relación con el uso de la descripción original de la variedad, debía recordarse que la descripción de los caracteres de la variedad y la base para la distinción respecto de la variedad más similar están vinculadas a las circunstancias del examen DHE, según se expone en el párrafo 10.c) de este documento, a saber:</w:t>
      </w:r>
    </w:p>
    <w:p w:rsidR="00EF6860" w:rsidRPr="00EF6860" w:rsidRDefault="00EF6860" w:rsidP="00EF6860">
      <w:pPr>
        <w:ind w:left="567" w:right="567"/>
        <w:rPr>
          <w:rFonts w:cs="Arial"/>
          <w:snapToGrid w:val="0"/>
          <w:sz w:val="18"/>
          <w:szCs w:val="18"/>
          <w:lang w:val="es-ES"/>
        </w:rPr>
      </w:pPr>
    </w:p>
    <w:p w:rsidR="00EF6860" w:rsidRPr="00EF6860" w:rsidRDefault="00EF6860" w:rsidP="00CF4DD0">
      <w:pPr>
        <w:numPr>
          <w:ilvl w:val="2"/>
          <w:numId w:val="12"/>
        </w:numPr>
        <w:tabs>
          <w:tab w:val="left" w:pos="1560"/>
        </w:tabs>
        <w:spacing w:line="281" w:lineRule="auto"/>
        <w:ind w:left="1701" w:right="567" w:hanging="567"/>
        <w:contextualSpacing/>
        <w:rPr>
          <w:rFonts w:cs="Arial"/>
          <w:sz w:val="18"/>
          <w:szCs w:val="18"/>
          <w:lang w:val="es-ES" w:eastAsia="fr-FR"/>
        </w:rPr>
      </w:pPr>
      <w:r w:rsidRPr="00EF6860">
        <w:rPr>
          <w:rFonts w:cs="Arial"/>
          <w:sz w:val="18"/>
          <w:szCs w:val="18"/>
          <w:lang w:val="es-ES_tradnl" w:eastAsia="fr-FR"/>
        </w:rPr>
        <w:t>Fecha y número de documento de las Directrices de Examen de la UPOV;</w:t>
      </w:r>
    </w:p>
    <w:p w:rsidR="00EF6860" w:rsidRPr="00EF6860" w:rsidRDefault="00EF6860" w:rsidP="00CF4DD0">
      <w:pPr>
        <w:numPr>
          <w:ilvl w:val="2"/>
          <w:numId w:val="12"/>
        </w:numPr>
        <w:tabs>
          <w:tab w:val="left" w:pos="1560"/>
          <w:tab w:val="left" w:pos="5103"/>
        </w:tabs>
        <w:spacing w:line="280" w:lineRule="auto"/>
        <w:ind w:left="1701" w:right="567" w:hanging="567"/>
        <w:contextualSpacing/>
        <w:rPr>
          <w:rFonts w:cs="Arial"/>
          <w:sz w:val="18"/>
          <w:szCs w:val="18"/>
          <w:lang w:val="es-ES" w:eastAsia="fr-FR"/>
        </w:rPr>
      </w:pPr>
      <w:r w:rsidRPr="00EF6860">
        <w:rPr>
          <w:rFonts w:cs="Arial"/>
          <w:sz w:val="18"/>
          <w:szCs w:val="18"/>
          <w:lang w:val="es-ES_tradnl" w:eastAsia="fr-FR"/>
        </w:rPr>
        <w:t>Fecha y/o número de documento de las directrices de examen de la autoridad informante;</w:t>
      </w:r>
    </w:p>
    <w:p w:rsidR="00EF6860" w:rsidRPr="00EF6860" w:rsidRDefault="00EF6860" w:rsidP="00CF4DD0">
      <w:pPr>
        <w:numPr>
          <w:ilvl w:val="2"/>
          <w:numId w:val="12"/>
        </w:numPr>
        <w:tabs>
          <w:tab w:val="left" w:pos="1560"/>
          <w:tab w:val="left" w:pos="5103"/>
        </w:tabs>
        <w:spacing w:line="280" w:lineRule="auto"/>
        <w:ind w:left="1701" w:right="567" w:hanging="567"/>
        <w:contextualSpacing/>
        <w:rPr>
          <w:rFonts w:cs="Arial"/>
          <w:sz w:val="18"/>
          <w:szCs w:val="18"/>
          <w:lang w:val="fr-FR" w:eastAsia="fr-FR"/>
        </w:rPr>
      </w:pPr>
      <w:r w:rsidRPr="00EF6860">
        <w:rPr>
          <w:rFonts w:cs="Arial"/>
          <w:sz w:val="18"/>
          <w:szCs w:val="18"/>
          <w:lang w:val="es-ES_tradnl" w:eastAsia="fr-FR"/>
        </w:rPr>
        <w:t>Autoridad informante;</w:t>
      </w:r>
    </w:p>
    <w:p w:rsidR="00EF6860" w:rsidRPr="00EF6860" w:rsidRDefault="00EF6860" w:rsidP="00CF4DD0">
      <w:pPr>
        <w:numPr>
          <w:ilvl w:val="2"/>
          <w:numId w:val="12"/>
        </w:numPr>
        <w:tabs>
          <w:tab w:val="left" w:pos="1560"/>
          <w:tab w:val="left" w:pos="5103"/>
        </w:tabs>
        <w:spacing w:line="280" w:lineRule="auto"/>
        <w:ind w:left="1701" w:right="567" w:hanging="567"/>
        <w:contextualSpacing/>
        <w:rPr>
          <w:rFonts w:cs="Arial"/>
          <w:sz w:val="18"/>
          <w:szCs w:val="18"/>
          <w:lang w:val="es-ES" w:eastAsia="fr-FR"/>
        </w:rPr>
      </w:pPr>
      <w:r w:rsidRPr="00EF6860">
        <w:rPr>
          <w:rFonts w:cs="Arial"/>
          <w:sz w:val="18"/>
          <w:szCs w:val="18"/>
          <w:lang w:val="es-ES_tradnl" w:eastAsia="fr-FR"/>
        </w:rPr>
        <w:t>Estación(es) y lugar(es) del examen;</w:t>
      </w:r>
    </w:p>
    <w:p w:rsidR="00EF6860" w:rsidRPr="00EF6860" w:rsidRDefault="00EF6860" w:rsidP="00CF4DD0">
      <w:pPr>
        <w:numPr>
          <w:ilvl w:val="2"/>
          <w:numId w:val="12"/>
        </w:numPr>
        <w:tabs>
          <w:tab w:val="left" w:pos="1560"/>
          <w:tab w:val="left" w:pos="5103"/>
        </w:tabs>
        <w:spacing w:line="280" w:lineRule="auto"/>
        <w:ind w:left="1701" w:right="567" w:hanging="567"/>
        <w:contextualSpacing/>
        <w:rPr>
          <w:rFonts w:cs="Arial"/>
          <w:sz w:val="18"/>
          <w:szCs w:val="18"/>
          <w:lang w:val="es-ES" w:eastAsia="fr-FR"/>
        </w:rPr>
      </w:pPr>
      <w:r w:rsidRPr="00EF6860">
        <w:rPr>
          <w:rFonts w:cs="Arial"/>
          <w:sz w:val="18"/>
          <w:szCs w:val="18"/>
          <w:lang w:val="es-ES_tradnl" w:eastAsia="fr-FR"/>
        </w:rPr>
        <w:t>Período de realización del examen;</w:t>
      </w:r>
    </w:p>
    <w:p w:rsidR="00EF6860" w:rsidRPr="00EF6860" w:rsidRDefault="00EF6860" w:rsidP="00CF4DD0">
      <w:pPr>
        <w:numPr>
          <w:ilvl w:val="2"/>
          <w:numId w:val="12"/>
        </w:numPr>
        <w:tabs>
          <w:tab w:val="left" w:pos="1560"/>
          <w:tab w:val="left" w:pos="5103"/>
        </w:tabs>
        <w:spacing w:line="280" w:lineRule="auto"/>
        <w:ind w:left="1701" w:right="567" w:hanging="567"/>
        <w:contextualSpacing/>
        <w:rPr>
          <w:rFonts w:cs="Arial"/>
          <w:sz w:val="18"/>
          <w:szCs w:val="18"/>
          <w:lang w:val="es-ES" w:eastAsia="fr-FR"/>
        </w:rPr>
      </w:pPr>
      <w:r w:rsidRPr="00EF6860">
        <w:rPr>
          <w:rFonts w:cs="Arial"/>
          <w:sz w:val="18"/>
          <w:szCs w:val="18"/>
          <w:lang w:val="es-ES_tradnl" w:eastAsia="fr-FR"/>
        </w:rPr>
        <w:t>Fecha y lugar de emisión del documento;</w:t>
      </w:r>
    </w:p>
    <w:p w:rsidR="00EF6860" w:rsidRPr="00EF6860" w:rsidRDefault="00EF6860" w:rsidP="00CF4DD0">
      <w:pPr>
        <w:numPr>
          <w:ilvl w:val="2"/>
          <w:numId w:val="12"/>
        </w:numPr>
        <w:tabs>
          <w:tab w:val="left" w:pos="1560"/>
        </w:tabs>
        <w:spacing w:line="280" w:lineRule="auto"/>
        <w:ind w:left="1701" w:right="567" w:hanging="567"/>
        <w:contextualSpacing/>
        <w:rPr>
          <w:rFonts w:cs="Arial"/>
          <w:sz w:val="18"/>
          <w:szCs w:val="18"/>
          <w:lang w:val="es-ES" w:eastAsia="fr-FR"/>
        </w:rPr>
      </w:pPr>
      <w:r w:rsidRPr="00EF6860">
        <w:rPr>
          <w:rFonts w:cs="Arial"/>
          <w:sz w:val="18"/>
          <w:szCs w:val="18"/>
          <w:lang w:val="es-ES_tradnl" w:eastAsia="fr-FR"/>
        </w:rPr>
        <w:t>Grupo:</w:t>
      </w:r>
      <w:r w:rsidRPr="00EF6860">
        <w:rPr>
          <w:rFonts w:cs="Arial"/>
          <w:sz w:val="18"/>
          <w:szCs w:val="18"/>
          <w:lang w:val="es-ES" w:eastAsia="fr-FR"/>
        </w:rPr>
        <w:t xml:space="preserve"> </w:t>
      </w:r>
      <w:r w:rsidR="00855190">
        <w:rPr>
          <w:rFonts w:cs="Arial"/>
          <w:sz w:val="18"/>
          <w:szCs w:val="18"/>
          <w:lang w:val="es-ES" w:eastAsia="fr-FR"/>
        </w:rPr>
        <w:t xml:space="preserve"> </w:t>
      </w:r>
      <w:r w:rsidRPr="00EF6860">
        <w:rPr>
          <w:rFonts w:cs="Arial"/>
          <w:sz w:val="18"/>
          <w:szCs w:val="18"/>
          <w:lang w:val="es-ES_tradnl" w:eastAsia="fr-FR"/>
        </w:rPr>
        <w:t>(Cuadro:</w:t>
      </w:r>
      <w:r w:rsidRPr="00EF6860">
        <w:rPr>
          <w:rFonts w:cs="Arial"/>
          <w:sz w:val="18"/>
          <w:szCs w:val="18"/>
          <w:lang w:val="es-ES" w:eastAsia="fr-FR"/>
        </w:rPr>
        <w:t xml:space="preserve"> </w:t>
      </w:r>
      <w:r w:rsidRPr="00EF6860">
        <w:rPr>
          <w:rFonts w:cs="Arial"/>
          <w:sz w:val="18"/>
          <w:szCs w:val="18"/>
          <w:lang w:val="es-ES_tradnl" w:eastAsia="fr-FR"/>
        </w:rPr>
        <w:t>Caracteres;</w:t>
      </w:r>
      <w:r w:rsidRPr="00EF6860">
        <w:rPr>
          <w:rFonts w:cs="Arial"/>
          <w:sz w:val="18"/>
          <w:szCs w:val="18"/>
          <w:lang w:val="es-ES" w:eastAsia="fr-FR"/>
        </w:rPr>
        <w:t xml:space="preserve"> </w:t>
      </w:r>
      <w:r w:rsidRPr="00EF6860">
        <w:rPr>
          <w:rFonts w:cs="Arial"/>
          <w:sz w:val="18"/>
          <w:szCs w:val="18"/>
          <w:lang w:val="es-ES_tradnl" w:eastAsia="fr-FR"/>
        </w:rPr>
        <w:t>Niveles de expresión;</w:t>
      </w:r>
      <w:r w:rsidRPr="00EF6860">
        <w:rPr>
          <w:rFonts w:cs="Arial"/>
          <w:sz w:val="18"/>
          <w:szCs w:val="18"/>
          <w:lang w:val="es-ES" w:eastAsia="fr-FR"/>
        </w:rPr>
        <w:t xml:space="preserve"> </w:t>
      </w:r>
      <w:r w:rsidRPr="00EF6860">
        <w:rPr>
          <w:rFonts w:cs="Arial"/>
          <w:sz w:val="18"/>
          <w:szCs w:val="18"/>
          <w:lang w:val="es-ES_tradnl" w:eastAsia="fr-FR"/>
        </w:rPr>
        <w:t>Nota;</w:t>
      </w:r>
      <w:r w:rsidRPr="00EF6860">
        <w:rPr>
          <w:rFonts w:cs="Arial"/>
          <w:sz w:val="18"/>
          <w:szCs w:val="18"/>
          <w:lang w:val="es-ES" w:eastAsia="fr-FR"/>
        </w:rPr>
        <w:t xml:space="preserve"> </w:t>
      </w:r>
      <w:r w:rsidRPr="00EF6860">
        <w:rPr>
          <w:rFonts w:cs="Arial"/>
          <w:sz w:val="18"/>
          <w:szCs w:val="18"/>
          <w:lang w:val="es-ES_tradnl" w:eastAsia="fr-FR"/>
        </w:rPr>
        <w:t>Observaciones);</w:t>
      </w:r>
    </w:p>
    <w:p w:rsidR="00EF6860" w:rsidRPr="00EF6860" w:rsidRDefault="00EF6860" w:rsidP="00CF4DD0">
      <w:pPr>
        <w:numPr>
          <w:ilvl w:val="2"/>
          <w:numId w:val="12"/>
        </w:numPr>
        <w:tabs>
          <w:tab w:val="left" w:pos="1560"/>
        </w:tabs>
        <w:spacing w:line="280" w:lineRule="auto"/>
        <w:ind w:left="1701" w:right="567" w:hanging="567"/>
        <w:contextualSpacing/>
        <w:rPr>
          <w:rFonts w:cs="Arial"/>
          <w:sz w:val="18"/>
          <w:szCs w:val="18"/>
          <w:lang w:val="fr-FR" w:eastAsia="fr-FR"/>
        </w:rPr>
      </w:pPr>
      <w:r w:rsidRPr="00EF6860">
        <w:rPr>
          <w:rFonts w:cs="Arial"/>
          <w:sz w:val="18"/>
          <w:szCs w:val="18"/>
          <w:lang w:val="es-ES_tradnl" w:eastAsia="fr-FR"/>
        </w:rPr>
        <w:t>Información adicional;</w:t>
      </w:r>
    </w:p>
    <w:p w:rsidR="00EF6860" w:rsidRPr="00EF6860" w:rsidRDefault="00EF6860" w:rsidP="00EF6860">
      <w:pPr>
        <w:spacing w:line="280" w:lineRule="auto"/>
        <w:ind w:left="709" w:right="567"/>
        <w:rPr>
          <w:rFonts w:cs="Arial"/>
          <w:sz w:val="18"/>
          <w:szCs w:val="18"/>
        </w:rPr>
      </w:pPr>
      <w:r w:rsidRPr="00EF6860">
        <w:rPr>
          <w:rFonts w:cs="Arial"/>
          <w:sz w:val="18"/>
          <w:szCs w:val="18"/>
        </w:rPr>
        <w:tab/>
        <w:t>a)</w:t>
      </w:r>
      <w:r w:rsidRPr="00EF6860">
        <w:rPr>
          <w:rFonts w:cs="Arial"/>
          <w:sz w:val="18"/>
          <w:szCs w:val="18"/>
        </w:rPr>
        <w:tab/>
      </w:r>
      <w:r w:rsidRPr="00EF6860">
        <w:rPr>
          <w:rFonts w:cs="Arial"/>
          <w:sz w:val="18"/>
          <w:szCs w:val="18"/>
          <w:lang w:val="es-ES_tradnl"/>
        </w:rPr>
        <w:t>Datos adicionales</w:t>
      </w:r>
    </w:p>
    <w:p w:rsidR="00EF6860" w:rsidRPr="00EF6860" w:rsidRDefault="00EF6860" w:rsidP="00EF6860">
      <w:pPr>
        <w:spacing w:line="280" w:lineRule="auto"/>
        <w:ind w:left="709" w:right="567"/>
        <w:rPr>
          <w:rFonts w:cs="Arial"/>
          <w:color w:val="000000"/>
          <w:sz w:val="18"/>
          <w:szCs w:val="18"/>
        </w:rPr>
      </w:pPr>
      <w:r w:rsidRPr="00EF6860">
        <w:rPr>
          <w:rFonts w:cs="Arial"/>
          <w:sz w:val="18"/>
          <w:szCs w:val="18"/>
        </w:rPr>
        <w:tab/>
      </w:r>
      <w:r w:rsidRPr="00EF6860">
        <w:rPr>
          <w:rFonts w:cs="Arial"/>
          <w:color w:val="000000"/>
          <w:sz w:val="18"/>
          <w:szCs w:val="18"/>
        </w:rPr>
        <w:t>b)</w:t>
      </w:r>
      <w:r w:rsidRPr="00EF6860">
        <w:rPr>
          <w:rFonts w:cs="Arial"/>
          <w:color w:val="000000"/>
          <w:sz w:val="18"/>
          <w:szCs w:val="18"/>
        </w:rPr>
        <w:tab/>
      </w:r>
      <w:r w:rsidRPr="00EF6860">
        <w:rPr>
          <w:rFonts w:cs="Arial"/>
          <w:color w:val="000000"/>
          <w:sz w:val="18"/>
          <w:szCs w:val="18"/>
          <w:lang w:val="es-ES_tradnl"/>
        </w:rPr>
        <w:t>Fotografía (si procede)</w:t>
      </w:r>
    </w:p>
    <w:p w:rsidR="00EF6860" w:rsidRPr="00EF6860" w:rsidRDefault="00EF6860" w:rsidP="00EF6860">
      <w:pPr>
        <w:spacing w:line="280" w:lineRule="auto"/>
        <w:ind w:left="709" w:right="567"/>
        <w:rPr>
          <w:rFonts w:cs="Arial"/>
          <w:color w:val="000000"/>
          <w:sz w:val="18"/>
          <w:szCs w:val="18"/>
          <w:lang w:val="es-ES"/>
        </w:rPr>
      </w:pPr>
      <w:r w:rsidRPr="00EF6860">
        <w:rPr>
          <w:rFonts w:cs="Arial"/>
          <w:sz w:val="18"/>
          <w:szCs w:val="18"/>
          <w:lang w:val="es-ES"/>
        </w:rPr>
        <w:tab/>
      </w:r>
      <w:r w:rsidRPr="00EF6860">
        <w:rPr>
          <w:rFonts w:cs="Arial"/>
          <w:color w:val="000000"/>
          <w:sz w:val="18"/>
          <w:szCs w:val="18"/>
          <w:lang w:val="es-ES"/>
        </w:rPr>
        <w:t>c)</w:t>
      </w:r>
      <w:r w:rsidRPr="00EF6860">
        <w:rPr>
          <w:rFonts w:cs="Arial"/>
          <w:color w:val="000000"/>
          <w:sz w:val="18"/>
          <w:szCs w:val="18"/>
          <w:lang w:val="es-ES"/>
        </w:rPr>
        <w:tab/>
      </w:r>
      <w:r w:rsidRPr="00EF6860">
        <w:rPr>
          <w:rFonts w:cs="Arial"/>
          <w:color w:val="000000"/>
          <w:sz w:val="18"/>
          <w:szCs w:val="18"/>
          <w:lang w:val="es-ES_tradnl"/>
        </w:rPr>
        <w:t>Versión de la Carta de Colores RHS empleada (cuando proceda)</w:t>
      </w:r>
    </w:p>
    <w:p w:rsidR="00EF6860" w:rsidRPr="00EF6860" w:rsidRDefault="00EF6860" w:rsidP="00EF6860">
      <w:pPr>
        <w:tabs>
          <w:tab w:val="left" w:pos="284"/>
        </w:tabs>
        <w:spacing w:line="280" w:lineRule="auto"/>
        <w:ind w:left="709" w:right="567"/>
        <w:rPr>
          <w:rFonts w:cs="Arial"/>
          <w:sz w:val="18"/>
          <w:szCs w:val="18"/>
          <w:lang w:val="es-ES"/>
        </w:rPr>
      </w:pPr>
      <w:r w:rsidRPr="00EF6860">
        <w:rPr>
          <w:rFonts w:cs="Arial"/>
          <w:sz w:val="18"/>
          <w:szCs w:val="18"/>
          <w:lang w:val="es-ES"/>
        </w:rPr>
        <w:tab/>
        <w:t>d)</w:t>
      </w:r>
      <w:r w:rsidRPr="00EF6860">
        <w:rPr>
          <w:rFonts w:cs="Arial"/>
          <w:sz w:val="18"/>
          <w:szCs w:val="18"/>
          <w:lang w:val="es-ES"/>
        </w:rPr>
        <w:tab/>
      </w:r>
      <w:r w:rsidRPr="00EF6860">
        <w:rPr>
          <w:rFonts w:cs="Arial"/>
          <w:sz w:val="18"/>
          <w:szCs w:val="18"/>
          <w:lang w:val="es-ES_tradnl"/>
        </w:rPr>
        <w:t>Observaciones”</w:t>
      </w:r>
    </w:p>
    <w:p w:rsidR="00EF6860" w:rsidRPr="00EF6860" w:rsidRDefault="00EF6860" w:rsidP="00EF6860">
      <w:pPr>
        <w:rPr>
          <w:lang w:val="es-ES"/>
        </w:rPr>
      </w:pPr>
    </w:p>
    <w:p w:rsidR="00EF6860" w:rsidRPr="00EF6860" w:rsidRDefault="00EF6860" w:rsidP="00EF6860">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tomó nota de las ponencias sobre “asuntos relativos a las descripciones de variedades” a las que asistieron los TWP, en sus sesiones de 2015, que figuran en el párrafo 17 del documento TC/52/21.</w:t>
      </w:r>
    </w:p>
    <w:p w:rsidR="00EF6860" w:rsidRPr="00EF6860" w:rsidRDefault="00EF6860" w:rsidP="00EF6860">
      <w:pPr>
        <w:rPr>
          <w:lang w:val="es-ES"/>
        </w:rPr>
      </w:pPr>
    </w:p>
    <w:p w:rsidR="00EF6860" w:rsidRPr="00EF6860" w:rsidRDefault="00EF6860" w:rsidP="00EF6860">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tomó nota de las observaciones formuladas por los TWP en sus sesiones de 2015 sobre los asuntos relativos a las descripciones de variedades y la función del material vegetal utilizado como base para el examen DHE, según se expone en los párrafos 18 a 40 del documento TC/52/21.</w:t>
      </w:r>
    </w:p>
    <w:p w:rsidR="00EF6860" w:rsidRPr="00EF6860" w:rsidRDefault="00EF6860" w:rsidP="00EF6860">
      <w:pPr>
        <w:rPr>
          <w:lang w:val="es-ES"/>
        </w:rPr>
      </w:pPr>
    </w:p>
    <w:p w:rsidR="00EF6860" w:rsidRPr="00EF6860" w:rsidRDefault="00EF6860" w:rsidP="00EF6860">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convino en invitar a expertos a presentar antes los TWP, en sus sesiones de 2016, sus experiencias relativas a la función del material vegetal utilizado como base para el examen DHE respecto de los asuntos enumerados en el párrafo 5 del documento TC/52/21, que se reproduce a continuación:</w:t>
      </w:r>
    </w:p>
    <w:p w:rsidR="00EF6860" w:rsidRPr="00EF6860" w:rsidRDefault="00EF6860" w:rsidP="00EF6860">
      <w:pPr>
        <w:rPr>
          <w:lang w:val="es-ES"/>
        </w:rPr>
      </w:pPr>
    </w:p>
    <w:p w:rsidR="00EF6860" w:rsidRPr="00EF6860" w:rsidRDefault="00EF6860" w:rsidP="0083734C">
      <w:pPr>
        <w:ind w:left="1134" w:hanging="567"/>
        <w:rPr>
          <w:rFonts w:cs="Arial"/>
          <w:lang w:val="es-ES"/>
        </w:rPr>
      </w:pPr>
      <w:r w:rsidRPr="00EF6860">
        <w:rPr>
          <w:rFonts w:cs="Arial"/>
          <w:lang w:val="es-ES"/>
        </w:rPr>
        <w:t>a)</w:t>
      </w:r>
      <w:r w:rsidRPr="00EF6860">
        <w:rPr>
          <w:rFonts w:cs="Arial"/>
          <w:lang w:val="es-ES"/>
        </w:rPr>
        <w:tab/>
      </w:r>
      <w:r w:rsidRPr="00EF6860">
        <w:rPr>
          <w:rFonts w:cs="Arial"/>
          <w:lang w:val="es-ES_tradnl"/>
        </w:rPr>
        <w:t>el uso de informaciones, documentos o material proporcionados por el obtentor para controlar el mantenimiento de la variedad, conforme al párrafo 15 del documento CAJ-AG/13/8/4 “</w:t>
      </w:r>
      <w:r w:rsidRPr="00EF6860">
        <w:rPr>
          <w:rFonts w:cs="Arial"/>
          <w:i/>
          <w:lang w:val="es-ES_tradnl"/>
        </w:rPr>
        <w:t>Matters concerning cancellation of the breeder's right</w:t>
      </w:r>
      <w:r w:rsidRPr="00EF6860">
        <w:rPr>
          <w:rFonts w:cs="Arial"/>
          <w:lang w:val="es-ES_tradnl"/>
        </w:rPr>
        <w:t>” (Asuntos relativos a la caducidad del derecho de obtentor), indicando que las informaciones, los documentos o el material pueden conservarse en otro país;</w:t>
      </w:r>
      <w:r w:rsidRPr="00EF6860">
        <w:rPr>
          <w:rFonts w:cs="Arial"/>
          <w:lang w:val="es-ES"/>
        </w:rPr>
        <w:t xml:space="preserve">  </w:t>
      </w:r>
    </w:p>
    <w:p w:rsidR="00EF6860" w:rsidRPr="00EF6860" w:rsidRDefault="00EF6860" w:rsidP="0083734C">
      <w:pPr>
        <w:tabs>
          <w:tab w:val="left" w:pos="7500"/>
        </w:tabs>
        <w:ind w:left="1134" w:hanging="567"/>
        <w:rPr>
          <w:rFonts w:cs="Arial"/>
          <w:lang w:val="es-ES"/>
        </w:rPr>
      </w:pPr>
    </w:p>
    <w:p w:rsidR="00EF6860" w:rsidRPr="00EF6860" w:rsidRDefault="00EF6860" w:rsidP="0083734C">
      <w:pPr>
        <w:ind w:left="1134" w:hanging="567"/>
        <w:rPr>
          <w:rFonts w:cs="Arial"/>
          <w:lang w:val="es-ES"/>
        </w:rPr>
      </w:pPr>
      <w:r w:rsidRPr="00EF6860">
        <w:rPr>
          <w:rFonts w:cs="Arial"/>
          <w:lang w:val="es-ES"/>
        </w:rPr>
        <w:t>b)</w:t>
      </w:r>
      <w:r w:rsidRPr="00EF6860">
        <w:rPr>
          <w:rFonts w:cs="Arial"/>
          <w:lang w:val="es-ES"/>
        </w:rPr>
        <w:tab/>
      </w:r>
      <w:r w:rsidRPr="00EF6860">
        <w:rPr>
          <w:rFonts w:cs="Arial"/>
          <w:lang w:val="es-ES_tradnl"/>
        </w:rPr>
        <w:t>el uso de directrices de examen diferentes de las empleadas en el examen de la distinción, la homogeneidad y la estabilidad (DHE), para controlar el mantenimiento de la variedad;</w:t>
      </w:r>
    </w:p>
    <w:p w:rsidR="00EF6860" w:rsidRPr="00EF6860" w:rsidRDefault="00EF6860" w:rsidP="0083734C">
      <w:pPr>
        <w:ind w:left="1134" w:right="567" w:hanging="567"/>
        <w:rPr>
          <w:lang w:val="es-ES"/>
        </w:rPr>
      </w:pPr>
    </w:p>
    <w:p w:rsidR="00EF6860" w:rsidRPr="00EF6860" w:rsidRDefault="00EF6860" w:rsidP="0083734C">
      <w:pPr>
        <w:ind w:left="1134" w:hanging="567"/>
        <w:rPr>
          <w:lang w:val="es-ES"/>
        </w:rPr>
      </w:pPr>
      <w:r w:rsidRPr="00EF6860">
        <w:rPr>
          <w:lang w:val="es-ES"/>
        </w:rPr>
        <w:t>c)</w:t>
      </w:r>
      <w:r w:rsidRPr="00EF6860">
        <w:rPr>
          <w:lang w:val="es-ES"/>
        </w:rPr>
        <w:tab/>
      </w:r>
      <w:r w:rsidRPr="00EF6860">
        <w:rPr>
          <w:lang w:val="es-ES_tradnl"/>
        </w:rPr>
        <w:t>la situación de la descripción original de la variedad en lo referente a la comprobación de que el material vegetal corresponde a una variedad protegida a los fines de:</w:t>
      </w:r>
    </w:p>
    <w:p w:rsidR="00EF6860" w:rsidRPr="00EF6860" w:rsidRDefault="00EF6860" w:rsidP="0083734C">
      <w:pPr>
        <w:ind w:left="1134" w:hanging="567"/>
        <w:rPr>
          <w:lang w:val="es-ES"/>
        </w:rPr>
      </w:pPr>
    </w:p>
    <w:p w:rsidR="00EF6860" w:rsidRPr="00EF6860" w:rsidRDefault="00EF6860" w:rsidP="00EF6860">
      <w:pPr>
        <w:ind w:left="1701" w:hanging="567"/>
        <w:rPr>
          <w:lang w:val="es-ES"/>
        </w:rPr>
      </w:pPr>
      <w:r w:rsidRPr="00EF6860">
        <w:rPr>
          <w:lang w:val="es-ES"/>
        </w:rPr>
        <w:t>i)</w:t>
      </w:r>
      <w:r w:rsidRPr="00EF6860">
        <w:rPr>
          <w:lang w:val="es-ES"/>
        </w:rPr>
        <w:tab/>
      </w:r>
      <w:r w:rsidRPr="00EF6860">
        <w:rPr>
          <w:lang w:val="es-ES_tradnl"/>
        </w:rPr>
        <w:t>controlar el mantenimiento de la variedad (artículo 22 del Acta de 1991, artículo 10 del Acta de 1978);</w:t>
      </w:r>
    </w:p>
    <w:p w:rsidR="00EF6860" w:rsidRPr="00EF6860" w:rsidRDefault="00EF6860" w:rsidP="00EF6860">
      <w:pPr>
        <w:ind w:left="1701" w:hanging="567"/>
        <w:rPr>
          <w:lang w:val="es-ES"/>
        </w:rPr>
      </w:pPr>
      <w:r w:rsidRPr="00EF6860">
        <w:rPr>
          <w:lang w:val="es-ES"/>
        </w:rPr>
        <w:t>ii)</w:t>
      </w:r>
      <w:r w:rsidRPr="00EF6860">
        <w:rPr>
          <w:lang w:val="es-ES"/>
        </w:rPr>
        <w:tab/>
      </w:r>
      <w:r w:rsidRPr="00EF6860">
        <w:rPr>
          <w:lang w:val="es-ES_tradnl"/>
        </w:rPr>
        <w:t>el examen de la distinción, la homogeneidad y la estabilidad (DHE) de las variedades candidatas;</w:t>
      </w:r>
      <w:r w:rsidRPr="00EF6860">
        <w:rPr>
          <w:lang w:val="es-ES"/>
        </w:rPr>
        <w:t xml:space="preserve">  </w:t>
      </w:r>
    </w:p>
    <w:p w:rsidR="00EF6860" w:rsidRPr="00EF6860" w:rsidRDefault="00EF6860" w:rsidP="00EF6860">
      <w:pPr>
        <w:ind w:left="567" w:right="567"/>
        <w:rPr>
          <w:lang w:val="es-ES"/>
        </w:rPr>
      </w:pPr>
    </w:p>
    <w:p w:rsidR="00EF6860" w:rsidRPr="00EF6860" w:rsidRDefault="00EF6860" w:rsidP="0083734C">
      <w:pPr>
        <w:ind w:left="1134" w:hanging="567"/>
        <w:rPr>
          <w:lang w:val="es-ES"/>
        </w:rPr>
      </w:pPr>
      <w:r w:rsidRPr="00EF6860">
        <w:rPr>
          <w:lang w:val="es-ES"/>
        </w:rPr>
        <w:t>d)</w:t>
      </w:r>
      <w:r w:rsidRPr="00EF6860">
        <w:rPr>
          <w:lang w:val="es-ES"/>
        </w:rPr>
        <w:tab/>
      </w:r>
      <w:r w:rsidRPr="00EF6860">
        <w:rPr>
          <w:lang w:val="es-ES_tradnl"/>
        </w:rPr>
        <w:t>la situación de una descripción modificada de la variedad elaborada, por ejemplo, como consecuencia de:</w:t>
      </w:r>
    </w:p>
    <w:p w:rsidR="00EF6860" w:rsidRPr="00EF6860" w:rsidRDefault="00EF6860" w:rsidP="00EF6860">
      <w:pPr>
        <w:ind w:right="567" w:firstLine="567"/>
        <w:rPr>
          <w:lang w:val="es-ES"/>
        </w:rPr>
      </w:pPr>
    </w:p>
    <w:p w:rsidR="00EF6860" w:rsidRPr="00EF6860" w:rsidRDefault="00EF6860" w:rsidP="00EF6860">
      <w:pPr>
        <w:spacing w:after="60"/>
        <w:ind w:left="1701" w:hanging="567"/>
        <w:rPr>
          <w:lang w:val="es-ES"/>
        </w:rPr>
      </w:pPr>
      <w:r w:rsidRPr="00EF6860">
        <w:rPr>
          <w:lang w:val="es-ES"/>
        </w:rPr>
        <w:t>i)</w:t>
      </w:r>
      <w:r w:rsidRPr="00EF6860">
        <w:rPr>
          <w:lang w:val="es-ES"/>
        </w:rPr>
        <w:tab/>
      </w:r>
      <w:r w:rsidRPr="00EF6860">
        <w:rPr>
          <w:lang w:val="es-ES_tradnl"/>
        </w:rPr>
        <w:t>una recalibración de la escala en las directrices de examen (especialmente para los caracteres no señalados con asterisco);</w:t>
      </w:r>
    </w:p>
    <w:p w:rsidR="00EF6860" w:rsidRPr="00EF6860" w:rsidRDefault="00EF6860" w:rsidP="00EF6860">
      <w:pPr>
        <w:spacing w:after="60"/>
        <w:ind w:left="1701" w:hanging="567"/>
        <w:rPr>
          <w:lang w:val="es-ES"/>
        </w:rPr>
      </w:pPr>
      <w:r w:rsidRPr="00EF6860">
        <w:rPr>
          <w:lang w:val="es-ES"/>
        </w:rPr>
        <w:t>ii)</w:t>
      </w:r>
      <w:r w:rsidRPr="00EF6860">
        <w:rPr>
          <w:lang w:val="es-ES"/>
        </w:rPr>
        <w:tab/>
      </w:r>
      <w:r w:rsidRPr="00EF6860">
        <w:rPr>
          <w:lang w:val="es-ES_tradnl"/>
        </w:rPr>
        <w:t>una variación resultante de las condiciones medioambientales en los años de ensayo de los caracteres que están influenciados por el medio ambiente;</w:t>
      </w:r>
    </w:p>
    <w:p w:rsidR="00EF6860" w:rsidRPr="00EF6860" w:rsidRDefault="00EF6860" w:rsidP="00EF6860">
      <w:pPr>
        <w:spacing w:after="60"/>
        <w:ind w:left="1701" w:hanging="567"/>
        <w:rPr>
          <w:lang w:val="es-ES"/>
        </w:rPr>
      </w:pPr>
      <w:r w:rsidRPr="00EF6860">
        <w:rPr>
          <w:lang w:val="es-ES"/>
        </w:rPr>
        <w:t>iii)</w:t>
      </w:r>
      <w:r w:rsidRPr="00EF6860">
        <w:rPr>
          <w:lang w:val="es-ES"/>
        </w:rPr>
        <w:tab/>
      </w:r>
      <w:r w:rsidRPr="00EF6860">
        <w:rPr>
          <w:lang w:val="es-ES_tradnl"/>
        </w:rPr>
        <w:t>una variación resultante de las observaciones realizadas por distintos expertos;</w:t>
      </w:r>
      <w:r w:rsidRPr="00EF6860">
        <w:rPr>
          <w:lang w:val="es-ES"/>
        </w:rPr>
        <w:t xml:space="preserve">  </w:t>
      </w:r>
      <w:r w:rsidRPr="00EF6860">
        <w:rPr>
          <w:lang w:val="es-ES_tradnl"/>
        </w:rPr>
        <w:t>o</w:t>
      </w:r>
    </w:p>
    <w:p w:rsidR="00EF6860" w:rsidRPr="00EF6860" w:rsidRDefault="00EF6860" w:rsidP="00EF6860">
      <w:pPr>
        <w:ind w:left="1701" w:hanging="567"/>
        <w:rPr>
          <w:lang w:val="es-ES"/>
        </w:rPr>
      </w:pPr>
      <w:r w:rsidRPr="00EF6860">
        <w:rPr>
          <w:lang w:val="es-ES"/>
        </w:rPr>
        <w:t>iv)</w:t>
      </w:r>
      <w:r w:rsidRPr="00EF6860">
        <w:rPr>
          <w:lang w:val="es-ES"/>
        </w:rPr>
        <w:tab/>
      </w:r>
      <w:r w:rsidRPr="00EF6860">
        <w:rPr>
          <w:lang w:val="es-ES_tradnl"/>
        </w:rPr>
        <w:t>la utilización de diferentes versiones de escalas (por ejemplo, diferentes versiones de la Carta de Colores RHS);  y</w:t>
      </w:r>
      <w:r w:rsidRPr="00EF6860">
        <w:rPr>
          <w:lang w:val="es-ES"/>
        </w:rPr>
        <w:t xml:space="preserve"> </w:t>
      </w:r>
    </w:p>
    <w:p w:rsidR="00EF6860" w:rsidRPr="00EF6860" w:rsidRDefault="00EF6860" w:rsidP="00EF6860">
      <w:pPr>
        <w:ind w:left="567" w:right="567"/>
        <w:rPr>
          <w:lang w:val="es-ES"/>
        </w:rPr>
      </w:pPr>
    </w:p>
    <w:p w:rsidR="00EF6860" w:rsidRPr="00EF6860" w:rsidRDefault="00EF6860" w:rsidP="0083734C">
      <w:pPr>
        <w:ind w:left="1134" w:hanging="567"/>
        <w:rPr>
          <w:lang w:val="es-ES"/>
        </w:rPr>
      </w:pPr>
      <w:r w:rsidRPr="00EF6860">
        <w:rPr>
          <w:lang w:val="es-ES"/>
        </w:rPr>
        <w:t>e)</w:t>
      </w:r>
      <w:r w:rsidRPr="00EF6860">
        <w:rPr>
          <w:lang w:val="es-ES"/>
        </w:rPr>
        <w:tab/>
      </w:r>
      <w:r w:rsidRPr="00EF6860">
        <w:rPr>
          <w:lang w:val="es-ES_tradnl"/>
        </w:rPr>
        <w:t>situaciones en las que con posterioridad se detecta un error en la descripción inicial de la variedad.</w:t>
      </w:r>
    </w:p>
    <w:p w:rsidR="00EF6860" w:rsidRPr="00EF6860" w:rsidRDefault="00EF6860" w:rsidP="00EF6860">
      <w:pPr>
        <w:rPr>
          <w:lang w:val="es-ES"/>
        </w:rPr>
      </w:pPr>
    </w:p>
    <w:p w:rsidR="00EF6860" w:rsidRPr="00EF6860" w:rsidRDefault="00EF6860" w:rsidP="00EF6860">
      <w:pPr>
        <w:rPr>
          <w:lang w:val="es-ES"/>
        </w:rPr>
      </w:pPr>
    </w:p>
    <w:p w:rsidR="00EF6860" w:rsidRPr="00EF6860" w:rsidRDefault="00EF6860" w:rsidP="0083734C">
      <w:pPr>
        <w:outlineLvl w:val="1"/>
        <w:rPr>
          <w:snapToGrid w:val="0"/>
          <w:u w:val="single"/>
          <w:lang w:val="es-ES"/>
        </w:rPr>
      </w:pPr>
      <w:bookmarkStart w:id="74" w:name="_Toc463512508"/>
      <w:r w:rsidRPr="00EF6860">
        <w:rPr>
          <w:snapToGrid w:val="0"/>
          <w:u w:val="single"/>
          <w:lang w:val="es-ES_tradnl"/>
        </w:rPr>
        <w:t>Definición de grupos de color en referencia a la carta de colores RHS</w:t>
      </w:r>
      <w:bookmarkEnd w:id="74"/>
    </w:p>
    <w:p w:rsidR="00EF6860" w:rsidRPr="00EF6860" w:rsidRDefault="00EF6860" w:rsidP="0083734C">
      <w:pPr>
        <w:rPr>
          <w:lang w:val="es-ES"/>
        </w:rPr>
      </w:pPr>
    </w:p>
    <w:p w:rsidR="00EF6860" w:rsidRPr="00EF6860" w:rsidRDefault="00EF6860" w:rsidP="0083734C">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examinó el documento TC/52/22.</w:t>
      </w:r>
    </w:p>
    <w:p w:rsidR="00EF6860" w:rsidRPr="00EF6860" w:rsidRDefault="00EF6860" w:rsidP="0083734C">
      <w:pPr>
        <w:rPr>
          <w:lang w:val="es-ES"/>
        </w:rPr>
      </w:pPr>
    </w:p>
    <w:p w:rsidR="00EF6860" w:rsidRPr="00EF6860" w:rsidRDefault="00EF6860" w:rsidP="00EF6860">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 xml:space="preserve">El TC tomó nota de </w:t>
      </w:r>
      <w:r w:rsidRPr="00EF6860">
        <w:rPr>
          <w:rFonts w:cs="Arial"/>
          <w:lang w:val="es-ES_tradnl"/>
        </w:rPr>
        <w:t>la información presentada y las observaciones formuladas por los TWP en 2015</w:t>
      </w:r>
      <w:r w:rsidRPr="00EF6860">
        <w:rPr>
          <w:lang w:val="es-ES_tradnl"/>
        </w:rPr>
        <w:t>.</w:t>
      </w:r>
    </w:p>
    <w:p w:rsidR="00EF6860" w:rsidRPr="00EF6860" w:rsidRDefault="00EF6860" w:rsidP="00EF6860">
      <w:pPr>
        <w:rPr>
          <w:lang w:val="es-ES"/>
        </w:rPr>
      </w:pPr>
    </w:p>
    <w:p w:rsidR="00EF6860" w:rsidRPr="00EF6860" w:rsidRDefault="00EF6860" w:rsidP="00EF6860">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tomó nota de que el TWO había convenido en solicitar al experto de Alemania que prepare un estudio —con el apoyo de los expertos de Australia, el Canadá, la Unión Europea, los Países Bajos, Nueva Zelandia y el Reino Unido— sobre la posibilidad de usar la sexta edición de la carta de colores RHS para definir los grupos de color a efectos de la agrupación de variedades y la organización del ensayo en cultivo.</w:t>
      </w:r>
    </w:p>
    <w:p w:rsidR="00EF6860" w:rsidRPr="00EF6860" w:rsidRDefault="00EF6860" w:rsidP="00EF6860">
      <w:pPr>
        <w:rPr>
          <w:lang w:val="es-ES"/>
        </w:rPr>
      </w:pPr>
    </w:p>
    <w:p w:rsidR="00EF6860" w:rsidRPr="00EF6860" w:rsidRDefault="00EF6860" w:rsidP="00EF6860">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tomó nota de que el TWO había convenido en solicitar a un experto del Reino Unido que organice la recopilación de ejemplos de variedades a las que no corresponda un color en la sexta edición de la carta de colores RHS (lagunas) con miras a que se propongan nuevos colores y, en la medida de lo posible, se armonice la terminología.</w:t>
      </w:r>
      <w:r w:rsidRPr="00EF6860">
        <w:rPr>
          <w:lang w:val="es-ES"/>
        </w:rPr>
        <w:t xml:space="preserve">  </w:t>
      </w:r>
      <w:r w:rsidRPr="00EF6860">
        <w:rPr>
          <w:lang w:val="es-ES_tradnl"/>
        </w:rPr>
        <w:t>El TC convino en que una mayor cooperación con la Royal Horticultural Society (RHS) sería beneficiosa para la UPOV y la RHS y solicitó a la Oficina de la Unión que explore formas de incrementar la cooperación.</w:t>
      </w:r>
    </w:p>
    <w:p w:rsidR="00EF6860" w:rsidRPr="00EF6860" w:rsidRDefault="00EF6860" w:rsidP="00EF6860">
      <w:pPr>
        <w:rPr>
          <w:lang w:val="es-ES"/>
        </w:rPr>
      </w:pPr>
    </w:p>
    <w:p w:rsidR="00EF6860" w:rsidRPr="00EF6860" w:rsidRDefault="00EF6860" w:rsidP="00EF6860">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tomó nota de que los nombres de los colores pueden ser relevantes para las denominaciones de variedades y podrían tener consecuencias en la aceptación de las denominaciones de variedades para algunos miembros de la UPOV.</w:t>
      </w:r>
    </w:p>
    <w:p w:rsidR="00EF6860" w:rsidRPr="00EF6860" w:rsidRDefault="00EF6860" w:rsidP="00EF6860">
      <w:pPr>
        <w:rPr>
          <w:lang w:val="es-ES"/>
        </w:rPr>
      </w:pPr>
    </w:p>
    <w:p w:rsidR="00EF6860" w:rsidRPr="00EF6860" w:rsidRDefault="00EF6860" w:rsidP="00EF6860">
      <w:pPr>
        <w:rPr>
          <w:lang w:val="es-ES"/>
        </w:rPr>
      </w:pPr>
    </w:p>
    <w:p w:rsidR="00EF6860" w:rsidRPr="00EF6860" w:rsidRDefault="00EF6860" w:rsidP="0083734C">
      <w:pPr>
        <w:outlineLvl w:val="1"/>
        <w:rPr>
          <w:u w:val="single"/>
          <w:lang w:val="es-ES"/>
        </w:rPr>
      </w:pPr>
      <w:bookmarkStart w:id="75" w:name="_Toc463512509"/>
      <w:r w:rsidRPr="00EF6860">
        <w:rPr>
          <w:snapToGrid w:val="0"/>
          <w:u w:val="single"/>
          <w:lang w:val="es-ES_tradnl"/>
        </w:rPr>
        <w:t>Métodos estadísticos aplicados a caracteres observados visualmente</w:t>
      </w:r>
      <w:bookmarkEnd w:id="75"/>
    </w:p>
    <w:p w:rsidR="00EF6860" w:rsidRPr="00EF6860" w:rsidRDefault="00EF6860" w:rsidP="0083734C">
      <w:pPr>
        <w:rPr>
          <w:lang w:val="es-ES"/>
        </w:rPr>
      </w:pPr>
    </w:p>
    <w:p w:rsidR="00EF6860" w:rsidRPr="00EF6860" w:rsidRDefault="00EF6860" w:rsidP="0083734C">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examinó el documento TC/52/23.</w:t>
      </w:r>
    </w:p>
    <w:p w:rsidR="00EF6860" w:rsidRPr="00EF6860" w:rsidRDefault="00EF6860" w:rsidP="0083734C">
      <w:pPr>
        <w:rPr>
          <w:lang w:val="es-ES"/>
        </w:rPr>
      </w:pPr>
    </w:p>
    <w:p w:rsidR="00EF6860" w:rsidRPr="00EF6860" w:rsidRDefault="00EF6860" w:rsidP="0083734C">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 xml:space="preserve">El TC tomó nota de que </w:t>
      </w:r>
      <w:r w:rsidRPr="00EF6860">
        <w:rPr>
          <w:lang w:val="es-ES_tradnl" w:eastAsia="ja-JP"/>
        </w:rPr>
        <w:t>el TWF había convenido en que no se utilizan habitualmente métodos estadísticos en el ámbito de las plantas frutales, y de que el TWO había convenido en que no se utilizan para el análisis de caracteres observados visualmente en el examen DHE de plantas ornamentales</w:t>
      </w:r>
      <w:r w:rsidRPr="00EF6860">
        <w:rPr>
          <w:lang w:val="es-ES_tradnl"/>
        </w:rPr>
        <w:t>.</w:t>
      </w:r>
    </w:p>
    <w:p w:rsidR="00EF6860" w:rsidRPr="00EF6860" w:rsidRDefault="00EF6860" w:rsidP="00EF6860">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tomó nota de que s</w:t>
      </w:r>
      <w:r w:rsidRPr="00EF6860">
        <w:rPr>
          <w:lang w:val="es-ES_tradnl" w:eastAsia="ja-JP"/>
        </w:rPr>
        <w:t>e había invitado a China a presentar una ponencia en la trigésima cuarta sesión del TWC para describir los métodos estadísticos utilizados en el conjunto de programas informáticos DUSTC para el análisis de la distinción y la homogeneidad</w:t>
      </w:r>
      <w:r w:rsidRPr="00EF6860">
        <w:rPr>
          <w:lang w:val="es-ES_tradnl"/>
        </w:rPr>
        <w:t>.</w:t>
      </w:r>
    </w:p>
    <w:p w:rsidR="00EF6860" w:rsidRPr="00EF6860" w:rsidRDefault="00EF6860" w:rsidP="00EF6860">
      <w:pPr>
        <w:rPr>
          <w:lang w:val="es-ES"/>
        </w:rPr>
      </w:pPr>
    </w:p>
    <w:p w:rsidR="00EF6860" w:rsidRPr="00EF6860" w:rsidRDefault="00EF6860" w:rsidP="00EF6860">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 xml:space="preserve">El TC tomó nota </w:t>
      </w:r>
      <w:r w:rsidRPr="00EF6860">
        <w:rPr>
          <w:lang w:val="es-ES_tradnl" w:eastAsia="ja-JP"/>
        </w:rPr>
        <w:t>de que Finlandia tenía previsto emplear el nuevo método estadístico descrito en el Anexo del documento </w:t>
      </w:r>
      <w:r w:rsidRPr="00EF6860">
        <w:rPr>
          <w:lang w:val="es-ES_tradnl"/>
        </w:rPr>
        <w:t>TC/</w:t>
      </w:r>
      <w:r w:rsidRPr="00EF6860">
        <w:rPr>
          <w:color w:val="000000"/>
          <w:lang w:val="es-ES_tradnl"/>
        </w:rPr>
        <w:t>52/23</w:t>
      </w:r>
      <w:r w:rsidRPr="00EF6860">
        <w:rPr>
          <w:lang w:val="es-ES_tradnl" w:eastAsia="ja-JP"/>
        </w:rPr>
        <w:t xml:space="preserve"> para el análisis de siete caracteres ordinales observados visualmente en fleo, festuca pratense y festuca alta, trébol blanco y trébol rojo</w:t>
      </w:r>
      <w:r w:rsidRPr="00EF6860">
        <w:rPr>
          <w:lang w:val="es-ES_tradnl"/>
        </w:rPr>
        <w:t>.</w:t>
      </w:r>
    </w:p>
    <w:p w:rsidR="00EF6860" w:rsidRPr="00EF6860" w:rsidRDefault="00EF6860" w:rsidP="00EF6860">
      <w:pPr>
        <w:rPr>
          <w:lang w:val="es-ES"/>
        </w:rPr>
      </w:pPr>
    </w:p>
    <w:p w:rsidR="00EF6860" w:rsidRPr="00EF6860" w:rsidRDefault="00EF6860" w:rsidP="00EF6860">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 xml:space="preserve">El TC convino en que </w:t>
      </w:r>
      <w:r w:rsidRPr="00EF6860">
        <w:rPr>
          <w:lang w:val="es-ES_tradnl" w:eastAsia="ja-JP"/>
        </w:rPr>
        <w:t>procede aclarar la nomenclatura de los diferentes métodos para evitar su confusión con otros métodos utilizados en la UPOV, como el COYD</w:t>
      </w:r>
      <w:r w:rsidRPr="00EF6860">
        <w:rPr>
          <w:lang w:val="es-ES_tradnl"/>
        </w:rPr>
        <w:t>.</w:t>
      </w:r>
    </w:p>
    <w:p w:rsidR="00EF6860" w:rsidRPr="00EF6860" w:rsidRDefault="00EF6860" w:rsidP="00EF6860">
      <w:pPr>
        <w:rPr>
          <w:lang w:val="es-ES"/>
        </w:rPr>
      </w:pPr>
    </w:p>
    <w:p w:rsidR="00EF6860" w:rsidRPr="00EF6860" w:rsidRDefault="00EF6860" w:rsidP="00EF6860">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 xml:space="preserve">El TC tomó nota de que </w:t>
      </w:r>
      <w:r w:rsidRPr="00EF6860">
        <w:rPr>
          <w:lang w:val="es-ES_tradnl" w:eastAsia="ja-JP"/>
        </w:rPr>
        <w:t>el TWC había acogido con agrado el ofrecimiento de un experto de Francia de estudiar el desarrollo de programas informáticos para la aplicación del método elaborado por expertos de Dinamarca y Polonia, en colaboración con expertos de Finlandia y el Reino Unido</w:t>
      </w:r>
      <w:r w:rsidRPr="00EF6860">
        <w:rPr>
          <w:lang w:val="es-ES_tradnl"/>
        </w:rPr>
        <w:t>.</w:t>
      </w:r>
    </w:p>
    <w:p w:rsidR="00EF6860" w:rsidRPr="00EF6860" w:rsidRDefault="00EF6860" w:rsidP="00EF6860">
      <w:pPr>
        <w:rPr>
          <w:lang w:val="es-ES"/>
        </w:rPr>
      </w:pPr>
    </w:p>
    <w:p w:rsidR="00EF6860" w:rsidRPr="00EF6860" w:rsidRDefault="00EF6860" w:rsidP="0083734C">
      <w:pPr>
        <w:rPr>
          <w:lang w:val="es-ES"/>
        </w:rPr>
      </w:pPr>
    </w:p>
    <w:p w:rsidR="00EF6860" w:rsidRPr="00EF6860" w:rsidRDefault="00EF6860" w:rsidP="0083734C">
      <w:pPr>
        <w:outlineLvl w:val="1"/>
        <w:rPr>
          <w:u w:val="single"/>
          <w:lang w:val="es-ES"/>
        </w:rPr>
      </w:pPr>
      <w:bookmarkStart w:id="76" w:name="_Toc463512510"/>
      <w:r w:rsidRPr="00EF6860">
        <w:rPr>
          <w:u w:val="single"/>
          <w:lang w:val="es-ES_tradnl"/>
        </w:rPr>
        <w:t>Denominaciones de variedades</w:t>
      </w:r>
      <w:bookmarkEnd w:id="76"/>
    </w:p>
    <w:p w:rsidR="00EF6860" w:rsidRPr="00EF6860" w:rsidRDefault="00EF6860" w:rsidP="0083734C">
      <w:pPr>
        <w:rPr>
          <w:lang w:val="es-ES"/>
        </w:rPr>
      </w:pPr>
    </w:p>
    <w:p w:rsidR="00EF6860" w:rsidRPr="00EF6860" w:rsidRDefault="00EF6860" w:rsidP="0083734C">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examinó el documento TC/52/12.</w:t>
      </w:r>
    </w:p>
    <w:p w:rsidR="00EF6860" w:rsidRPr="00EF6860" w:rsidRDefault="00EF6860" w:rsidP="0083734C">
      <w:pPr>
        <w:rPr>
          <w:lang w:val="es-ES"/>
        </w:rPr>
      </w:pPr>
    </w:p>
    <w:p w:rsidR="00EF6860" w:rsidRPr="00EF6860" w:rsidRDefault="00EF6860" w:rsidP="0083734C">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tomó nota de la labor del WG-DST sobre la posible elaboración de un instrumento de la UPOV de búsqueda de similitud a los fines de la denominación de variedades, incluido el estudio de prueba, tal como se expone en los párrafos 5 al 15 del documento TC/52/12.</w:t>
      </w:r>
    </w:p>
    <w:p w:rsidR="00EF6860" w:rsidRPr="00EF6860" w:rsidRDefault="00EF6860" w:rsidP="00EF6860">
      <w:pPr>
        <w:rPr>
          <w:lang w:val="es-ES"/>
        </w:rPr>
      </w:pPr>
    </w:p>
    <w:p w:rsidR="00EF6860" w:rsidRPr="00EF6860" w:rsidRDefault="00EF6860" w:rsidP="00EF6860">
      <w:pPr>
        <w:rPr>
          <w:rFonts w:cs="Arial"/>
          <w:snapToGrid w:val="0"/>
          <w:sz w:val="18"/>
          <w:szCs w:val="18"/>
          <w:lang w:val="es-ES" w:eastAsia="ja-JP"/>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tomó nota de que el Consejo, en su cuadragésima novena sesión ordinaria, había aprobado la revisión del documento UPOV/INF/12 relativa a los cambios de denominación de variedades registradas, según se expone en el párrafo 17 del documento TC/52/12.</w:t>
      </w:r>
    </w:p>
    <w:p w:rsidR="00EF6860" w:rsidRPr="00EF6860" w:rsidRDefault="00EF6860" w:rsidP="00EF6860">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tomó nota de que se había ampliado el mandato y la composición del WG-DST (con el nuevo nombre de WG-DEN) a fin de que formule recomendaciones para el CAJ en relación con la eventual revisión del documento UPOV/INF/12 “Notas explicativas sobre las denominaciones de variedades con arreglo al Convenio de la UPOV” y de que el WG-DEN se reunirá el 18 de marzo de 2016.</w:t>
      </w:r>
    </w:p>
    <w:p w:rsidR="00EF6860" w:rsidRPr="00EF6860" w:rsidRDefault="00EF6860" w:rsidP="00EF6860">
      <w:pPr>
        <w:rPr>
          <w:lang w:val="es-ES"/>
        </w:rPr>
      </w:pPr>
    </w:p>
    <w:p w:rsidR="00EF6860" w:rsidRPr="00EF6860" w:rsidRDefault="00EF6860" w:rsidP="00EF6860">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tomó nota de que la Oficina de la Unión había emitido una circular en la que se invitaba a los miembros y a los observadores del CAJ, así como a los miembros del WG-DST, a expresar su interés en participar en el WG-DEN y a formular comentarios acerca del documento UPOV/INF/12/5.</w:t>
      </w:r>
    </w:p>
    <w:p w:rsidR="00EF6860" w:rsidRPr="00EF6860" w:rsidRDefault="00EF6860" w:rsidP="00EF6860">
      <w:pPr>
        <w:rPr>
          <w:lang w:val="es-ES"/>
        </w:rPr>
      </w:pPr>
    </w:p>
    <w:p w:rsidR="00EF6860" w:rsidRPr="00EF6860" w:rsidRDefault="00EF6860" w:rsidP="00EF6860">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La Unión Europea celebró la elaboración de un instrumento de la UPOV de búsqueda de similitud a los fines de la denominación de variedades, y recalcó la importancia de comparar los resultados del nuevo algoritmo con otros algoritmos anteriores para asegurarse de que constituirá una mejora en términos de precisión y recuperación.</w:t>
      </w:r>
      <w:r w:rsidRPr="00EF6860">
        <w:rPr>
          <w:lang w:val="es-ES"/>
        </w:rPr>
        <w:t xml:space="preserve">  </w:t>
      </w:r>
      <w:r w:rsidRPr="00EF6860">
        <w:rPr>
          <w:lang w:val="es-ES_tradnl"/>
        </w:rPr>
        <w:t>La Oficina de la Unión confirmó que el nuevo algoritmo estaría disponible para someterlo a pruebas en la base de datos PLUTO y confirmó que las pruebas y la evaluación del nuevo algoritmo, como mencionó la Unión Europea, son una parte integral de la labor.</w:t>
      </w:r>
    </w:p>
    <w:p w:rsidR="00EF6860" w:rsidRPr="00EF6860" w:rsidRDefault="00EF6860" w:rsidP="00EF6860">
      <w:pPr>
        <w:rPr>
          <w:lang w:val="es-ES"/>
        </w:rPr>
      </w:pPr>
    </w:p>
    <w:p w:rsidR="00EF6860" w:rsidRPr="00EF6860" w:rsidRDefault="00EF6860" w:rsidP="00EF6860">
      <w:pPr>
        <w:rPr>
          <w:lang w:val="es-ES"/>
        </w:rPr>
      </w:pPr>
    </w:p>
    <w:p w:rsidR="00EF6860" w:rsidRPr="00EF6860" w:rsidRDefault="00EF6860" w:rsidP="00EF6860">
      <w:pPr>
        <w:keepNext/>
        <w:outlineLvl w:val="1"/>
        <w:rPr>
          <w:u w:val="single"/>
          <w:lang w:val="es-ES"/>
        </w:rPr>
      </w:pPr>
      <w:bookmarkStart w:id="77" w:name="_Toc463512511"/>
      <w:r w:rsidRPr="00EF6860">
        <w:rPr>
          <w:u w:val="single"/>
          <w:lang w:val="es-ES_tradnl"/>
        </w:rPr>
        <w:t>Información y bases de datos</w:t>
      </w:r>
      <w:bookmarkEnd w:id="77"/>
    </w:p>
    <w:p w:rsidR="00EF6860" w:rsidRPr="00EF6860" w:rsidRDefault="00EF6860" w:rsidP="00EF6860">
      <w:pPr>
        <w:keepNext/>
        <w:rPr>
          <w:lang w:val="es-ES"/>
        </w:rPr>
      </w:pPr>
    </w:p>
    <w:p w:rsidR="00EF6860" w:rsidRPr="00EF6860" w:rsidRDefault="00EF6860" w:rsidP="0083734C">
      <w:pPr>
        <w:outlineLvl w:val="2"/>
        <w:rPr>
          <w:i/>
          <w:lang w:val="es-ES"/>
        </w:rPr>
      </w:pPr>
      <w:bookmarkStart w:id="78" w:name="_Toc463512512"/>
      <w:r w:rsidRPr="00EF6860">
        <w:rPr>
          <w:i/>
          <w:lang w:val="es-ES_tradnl"/>
        </w:rPr>
        <w:t>Bases de datos de información de la UPOV</w:t>
      </w:r>
      <w:bookmarkEnd w:id="78"/>
    </w:p>
    <w:p w:rsidR="00EF6860" w:rsidRPr="00EF6860" w:rsidRDefault="00EF6860" w:rsidP="0083734C">
      <w:pPr>
        <w:rPr>
          <w:lang w:val="es-ES"/>
        </w:rPr>
      </w:pPr>
    </w:p>
    <w:p w:rsidR="00EF6860" w:rsidRPr="00EF6860" w:rsidRDefault="00EF6860" w:rsidP="0083734C">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examinó el documento TC/52/6.</w:t>
      </w:r>
    </w:p>
    <w:p w:rsidR="00EF6860" w:rsidRPr="00EF6860" w:rsidRDefault="00EF6860" w:rsidP="0083734C">
      <w:pPr>
        <w:rPr>
          <w:lang w:val="es-ES"/>
        </w:rPr>
      </w:pPr>
    </w:p>
    <w:p w:rsidR="00EF6860" w:rsidRPr="0083734C" w:rsidRDefault="00EF6860" w:rsidP="0083734C">
      <w:pPr>
        <w:ind w:left="567"/>
        <w:outlineLvl w:val="3"/>
        <w:rPr>
          <w:i/>
          <w:lang w:val="es-ES"/>
        </w:rPr>
      </w:pPr>
      <w:r w:rsidRPr="0083734C">
        <w:rPr>
          <w:i/>
          <w:lang w:val="es-ES_tradnl"/>
        </w:rPr>
        <w:t>Sistema de códigos de la UPOV</w:t>
      </w:r>
    </w:p>
    <w:p w:rsidR="00EF6860" w:rsidRPr="00EF6860" w:rsidRDefault="00EF6860" w:rsidP="0083734C">
      <w:pPr>
        <w:rPr>
          <w:lang w:val="es-ES"/>
        </w:rPr>
      </w:pPr>
    </w:p>
    <w:p w:rsidR="00EF6860" w:rsidRPr="00EF6860" w:rsidRDefault="00EF6860" w:rsidP="0083734C">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tomó nota de que en 2015 se crearon 188 nuevos códigos UPOV y se introdujeron modificaciones en 11 códigos UPOV existentes, habiendo aumentado, al final de 2015, a 7.992 el número de códigos UPOV que contenía la base de datos GENIE.</w:t>
      </w:r>
    </w:p>
    <w:p w:rsidR="00EF6860" w:rsidRPr="00EF6860" w:rsidRDefault="00EF6860" w:rsidP="0083734C">
      <w:pPr>
        <w:rPr>
          <w:lang w:val="es-ES"/>
        </w:rPr>
      </w:pPr>
    </w:p>
    <w:p w:rsidR="00EF6860" w:rsidRPr="00EF6860" w:rsidRDefault="00EF6860" w:rsidP="0083734C">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La TC tomó nota de que la Oficina de la Unión elaborará cuadros de las adiciones y modificaciones de los códigos UPOV, con el fin de que sean verificados por las autoridades competentes, para cada una de las sesiones de los TWP que se celebrarán en 2016, según consta en el párrafo 8 del documento TC/52/6.</w:t>
      </w:r>
    </w:p>
    <w:p w:rsidR="00EF6860" w:rsidRPr="00EF6860" w:rsidRDefault="00EF6860" w:rsidP="0083734C">
      <w:pPr>
        <w:rPr>
          <w:lang w:val="es-ES"/>
        </w:rPr>
      </w:pPr>
    </w:p>
    <w:p w:rsidR="00EF6860" w:rsidRPr="00EF6860" w:rsidRDefault="00EF6860" w:rsidP="0083734C">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convino en invitar a la Unión Europea a presentar una propuesta a los TWP, en sus sesiones de 2016, para revisar la Orientación acerca del sistema de códigos de la UPOV en lo que respecta a los códigos UPOV correspondientes a los géneros y especies híbridos.</w:t>
      </w:r>
    </w:p>
    <w:p w:rsidR="00EF6860" w:rsidRPr="00EF6860" w:rsidRDefault="00EF6860" w:rsidP="0083734C">
      <w:pPr>
        <w:rPr>
          <w:lang w:val="es-ES"/>
        </w:rPr>
      </w:pPr>
    </w:p>
    <w:p w:rsidR="00EF6860" w:rsidRPr="00EF6860" w:rsidRDefault="00EF6860" w:rsidP="0083734C">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tomó nota de la intervención del Japón relativa a los nuevos procedimientos administrativos adoptados para facilitar el intercambio de informes de examen DHE entre el Japón y otros miembros de la UPOV y de que, en consecuencia, los informes de examen DHE se proporcionarán gratis a los miembros de la UPOV con los que han firmado un memorando de cooperación.</w:t>
      </w:r>
    </w:p>
    <w:p w:rsidR="00EF6860" w:rsidRPr="00EF6860" w:rsidRDefault="00EF6860" w:rsidP="0083734C">
      <w:pPr>
        <w:rPr>
          <w:lang w:val="es-ES"/>
        </w:rPr>
      </w:pPr>
    </w:p>
    <w:p w:rsidR="00EF6860" w:rsidRPr="0083734C" w:rsidRDefault="00EF6860" w:rsidP="0083734C">
      <w:pPr>
        <w:ind w:left="567"/>
        <w:outlineLvl w:val="3"/>
        <w:rPr>
          <w:i/>
          <w:lang w:val="es-ES"/>
        </w:rPr>
      </w:pPr>
      <w:r w:rsidRPr="0083734C">
        <w:rPr>
          <w:i/>
          <w:lang w:val="es-ES_tradnl"/>
        </w:rPr>
        <w:t>Base de datos PLUTO</w:t>
      </w:r>
    </w:p>
    <w:p w:rsidR="00EF6860" w:rsidRPr="00EF6860" w:rsidRDefault="00EF6860" w:rsidP="0083734C">
      <w:pPr>
        <w:rPr>
          <w:lang w:val="es-ES"/>
        </w:rPr>
      </w:pPr>
    </w:p>
    <w:p w:rsidR="00EF6860" w:rsidRPr="00EF6860" w:rsidRDefault="00EF6860" w:rsidP="0083734C">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tomó nota del resumen de las contribuciones realizadas a l</w:t>
      </w:r>
      <w:r w:rsidR="0083734C">
        <w:rPr>
          <w:lang w:val="es-ES_tradnl"/>
        </w:rPr>
        <w:t>a base de datos PLUTO de 2012 a </w:t>
      </w:r>
      <w:r w:rsidRPr="00EF6860">
        <w:rPr>
          <w:lang w:val="es-ES_tradnl"/>
        </w:rPr>
        <w:t>2015 y sobre la situación actual de los miembros de la Unión en lo que respecta a la aportación de datos, tal como se indica en el Anexo del documento TC/</w:t>
      </w:r>
      <w:r w:rsidRPr="00EF6860">
        <w:rPr>
          <w:color w:val="000000"/>
          <w:lang w:val="es-ES_tradnl"/>
        </w:rPr>
        <w:t>52/6</w:t>
      </w:r>
      <w:r w:rsidRPr="00EF6860">
        <w:rPr>
          <w:lang w:val="es-ES_tradnl"/>
        </w:rPr>
        <w:t>.</w:t>
      </w:r>
    </w:p>
    <w:p w:rsidR="00EF6860" w:rsidRPr="00EF6860" w:rsidRDefault="00EF6860" w:rsidP="0083734C">
      <w:pPr>
        <w:rPr>
          <w:lang w:val="es-ES"/>
        </w:rPr>
      </w:pPr>
    </w:p>
    <w:p w:rsidR="00EF6860" w:rsidRPr="00EF6860" w:rsidRDefault="00EF6860" w:rsidP="0083734C">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tomó nota de la introducción de una columna adicional en la que se indica la última fecha en que se proporcionó la información en la base de datos PLUTO.</w:t>
      </w:r>
    </w:p>
    <w:p w:rsidR="00EF6860" w:rsidRPr="00EF6860" w:rsidRDefault="00EF6860" w:rsidP="00EF6860">
      <w:pPr>
        <w:rPr>
          <w:lang w:val="es-ES"/>
        </w:rPr>
      </w:pPr>
    </w:p>
    <w:p w:rsidR="00EF6860" w:rsidRPr="00EF6860" w:rsidRDefault="00EF6860" w:rsidP="00EF6860">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tomó nota de la introducción de una función para la búsqueda de denominaciones utilizando los campos de datos “Denominación” y “Referencia del obtentor”, ya sea de manera individual o combinada, en la página de “Búsqueda por denominación” de la base de datos PLUTO.</w:t>
      </w:r>
    </w:p>
    <w:p w:rsidR="00EF6860" w:rsidRPr="00EF6860" w:rsidRDefault="00EF6860" w:rsidP="00EF6860">
      <w:pPr>
        <w:rPr>
          <w:lang w:val="es-ES"/>
        </w:rPr>
      </w:pPr>
    </w:p>
    <w:p w:rsidR="00EF6860" w:rsidRPr="00EF6860" w:rsidRDefault="00EF6860" w:rsidP="00EF6860">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tomó nota de que el CAJ, en su septuagésima segunda sesión, acordó que el WG-DEN debía considerar las propuestas de ampliación del contenido de la base de datos PLUTO de modo que abarque todas las variedades reconocidas, incluidas las que no han sido registradas o protegidas o ya no lo están.</w:t>
      </w:r>
    </w:p>
    <w:p w:rsidR="00EF6860" w:rsidRPr="00EF6860" w:rsidRDefault="00EF6860" w:rsidP="00EF6860">
      <w:pPr>
        <w:rPr>
          <w:lang w:val="es-ES"/>
        </w:rPr>
      </w:pPr>
    </w:p>
    <w:p w:rsidR="00EF6860" w:rsidRPr="00EF6860" w:rsidRDefault="00EF6860" w:rsidP="00EF6860">
      <w:pPr>
        <w:autoSpaceDE w:val="0"/>
        <w:autoSpaceDN w:val="0"/>
        <w:adjustRightInd w:val="0"/>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tomó nota de la información relativa a los cursos de formación “Aportación de datos a la base de datos PLUTO”, celebrados en Ginebra en septiembre y octubre de 2015, según se expone en los párrafos 29 al 31 del documento TC/</w:t>
      </w:r>
      <w:r w:rsidRPr="00EF6860">
        <w:rPr>
          <w:color w:val="000000"/>
          <w:lang w:val="es-ES_tradnl"/>
        </w:rPr>
        <w:t xml:space="preserve">52/6, con la participación de expertos de los siguientes </w:t>
      </w:r>
      <w:r w:rsidRPr="00EF6860">
        <w:rPr>
          <w:lang w:val="es-ES_tradnl"/>
        </w:rPr>
        <w:t>miembros de la Unión:</w:t>
      </w:r>
      <w:r w:rsidRPr="00EF6860">
        <w:rPr>
          <w:lang w:val="es-ES"/>
        </w:rPr>
        <w:t xml:space="preserve">  </w:t>
      </w:r>
      <w:r w:rsidRPr="00EF6860">
        <w:rPr>
          <w:snapToGrid w:val="0"/>
          <w:lang w:val="es-ES_tradnl" w:eastAsia="ja-JP"/>
        </w:rPr>
        <w:t>Omán, Sudáfrica y la ex República Yugoslava de Macedonia (en inglés);  y la Argentina, Bolivia (Estado Plurinacional de), Chile, Colombia, Costa Rica, el Ecuador, México, Nicaragua, Panamá, el Paraguay y el Uruguay (en español).</w:t>
      </w:r>
    </w:p>
    <w:p w:rsidR="00EF6860" w:rsidRPr="00EF6860" w:rsidRDefault="00EF6860" w:rsidP="00EF6860">
      <w:pPr>
        <w:rPr>
          <w:lang w:val="es-ES"/>
        </w:rPr>
      </w:pPr>
    </w:p>
    <w:p w:rsidR="00EF6860" w:rsidRPr="00EF6860" w:rsidRDefault="00EF6860" w:rsidP="0083734C">
      <w:pPr>
        <w:outlineLvl w:val="2"/>
        <w:rPr>
          <w:i/>
          <w:lang w:val="es-ES"/>
        </w:rPr>
      </w:pPr>
      <w:bookmarkStart w:id="79" w:name="_Toc463512513"/>
      <w:r w:rsidRPr="00EF6860">
        <w:rPr>
          <w:i/>
          <w:lang w:val="es-ES_tradnl"/>
        </w:rPr>
        <w:t>Formulario electrónico de solicitud</w:t>
      </w:r>
      <w:bookmarkEnd w:id="79"/>
    </w:p>
    <w:p w:rsidR="00EF6860" w:rsidRPr="00EF6860" w:rsidRDefault="00EF6860" w:rsidP="0083734C">
      <w:pPr>
        <w:rPr>
          <w:lang w:val="es-ES"/>
        </w:rPr>
      </w:pPr>
    </w:p>
    <w:p w:rsidR="00EF6860" w:rsidRPr="00EF6860" w:rsidRDefault="00EF6860" w:rsidP="0083734C">
      <w:pPr>
        <w:rPr>
          <w:snapToGrid w:val="0"/>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snapToGrid w:val="0"/>
          <w:lang w:val="es-ES_tradnl"/>
        </w:rPr>
        <w:t>El TC examinó el documento TC/52/7 y asistió a una ponencia de la Oficina de la Unión.</w:t>
      </w:r>
    </w:p>
    <w:p w:rsidR="00EF6860" w:rsidRPr="00EF6860" w:rsidRDefault="00EF6860" w:rsidP="0083734C">
      <w:pPr>
        <w:rPr>
          <w:snapToGrid w:val="0"/>
          <w:lang w:val="es-ES"/>
        </w:rPr>
      </w:pPr>
    </w:p>
    <w:p w:rsidR="00EF6860" w:rsidRPr="00EF6860" w:rsidRDefault="00EF6860" w:rsidP="0083734C">
      <w:pPr>
        <w:rPr>
          <w:lang w:val="es-ES"/>
        </w:rPr>
      </w:pPr>
      <w:r w:rsidRPr="00EF6860">
        <w:rPr>
          <w:snapToGrid w:val="0"/>
        </w:rPr>
        <w:fldChar w:fldCharType="begin"/>
      </w:r>
      <w:r w:rsidRPr="00EF6860">
        <w:rPr>
          <w:snapToGrid w:val="0"/>
          <w:lang w:val="es-ES"/>
        </w:rPr>
        <w:instrText xml:space="preserve"> AUTONUM  </w:instrText>
      </w:r>
      <w:r w:rsidRPr="00EF6860">
        <w:rPr>
          <w:snapToGrid w:val="0"/>
        </w:rPr>
        <w:fldChar w:fldCharType="end"/>
      </w:r>
      <w:r w:rsidRPr="00EF6860">
        <w:rPr>
          <w:snapToGrid w:val="0"/>
          <w:lang w:val="es-ES"/>
        </w:rPr>
        <w:tab/>
      </w:r>
      <w:r w:rsidRPr="00EF6860">
        <w:rPr>
          <w:snapToGrid w:val="0"/>
          <w:lang w:val="es-ES_tradnl"/>
        </w:rPr>
        <w:t>El TC tomó nota de las novedades relativas a la elaboración de un prototipo de formulario electrónico y de los planes para disponer de un prototipo completo (PV2) en funcionamiento antes de agosto de 2016, para una campaña de pruebas final en septiembre de 2016, antes de la presentación en las sesiones del CAJ, el Comité Consultivo y el Consejo en octubre de 2016.</w:t>
      </w:r>
      <w:r w:rsidRPr="00EF6860">
        <w:rPr>
          <w:lang w:val="es-ES"/>
        </w:rPr>
        <w:t xml:space="preserve">  </w:t>
      </w:r>
      <w:r w:rsidRPr="00EF6860">
        <w:rPr>
          <w:lang w:val="es-ES_tradnl"/>
        </w:rPr>
        <w:t>El TC tomó nota de que se añadirán los siguientes cultivos con el siguiente orden de prioridad conforme al interés de los obtentores y las oficinas de protección de las obtenciones vegetales participantes y a la capacidad de estas para proporcionar la información pertinente de los cuestionarios técnicos:</w:t>
      </w:r>
    </w:p>
    <w:p w:rsidR="00EF6860" w:rsidRPr="00EF6860" w:rsidRDefault="00EF6860" w:rsidP="00EF6860">
      <w:pPr>
        <w:autoSpaceDE w:val="0"/>
        <w:autoSpaceDN w:val="0"/>
        <w:adjustRightInd w:val="0"/>
        <w:rPr>
          <w:lang w:val="es-ES"/>
        </w:rPr>
      </w:pPr>
    </w:p>
    <w:p w:rsidR="00EF6860" w:rsidRPr="00EF6860" w:rsidRDefault="00EF6860" w:rsidP="00EF6860">
      <w:pPr>
        <w:numPr>
          <w:ilvl w:val="0"/>
          <w:numId w:val="13"/>
        </w:numPr>
        <w:autoSpaceDE w:val="0"/>
        <w:autoSpaceDN w:val="0"/>
        <w:adjustRightInd w:val="0"/>
        <w:ind w:left="993"/>
      </w:pPr>
      <w:r w:rsidRPr="00EF6860">
        <w:rPr>
          <w:lang w:val="es-ES_tradnl"/>
        </w:rPr>
        <w:t>rosal</w:t>
      </w:r>
    </w:p>
    <w:p w:rsidR="00EF6860" w:rsidRPr="00EF6860" w:rsidRDefault="00EF6860" w:rsidP="00EF6860">
      <w:pPr>
        <w:numPr>
          <w:ilvl w:val="0"/>
          <w:numId w:val="13"/>
        </w:numPr>
        <w:autoSpaceDE w:val="0"/>
        <w:autoSpaceDN w:val="0"/>
        <w:adjustRightInd w:val="0"/>
        <w:ind w:left="993"/>
      </w:pPr>
      <w:r w:rsidRPr="00EF6860">
        <w:rPr>
          <w:lang w:val="es-ES_tradnl"/>
        </w:rPr>
        <w:t>soja</w:t>
      </w:r>
    </w:p>
    <w:p w:rsidR="00EF6860" w:rsidRPr="00EF6860" w:rsidRDefault="00EF6860" w:rsidP="00EF6860">
      <w:pPr>
        <w:numPr>
          <w:ilvl w:val="0"/>
          <w:numId w:val="13"/>
        </w:numPr>
        <w:autoSpaceDE w:val="0"/>
        <w:autoSpaceDN w:val="0"/>
        <w:adjustRightInd w:val="0"/>
        <w:ind w:left="993"/>
      </w:pPr>
      <w:r w:rsidRPr="00EF6860">
        <w:rPr>
          <w:lang w:val="es-ES_tradnl"/>
        </w:rPr>
        <w:t>lechuga</w:t>
      </w:r>
    </w:p>
    <w:p w:rsidR="00EF6860" w:rsidRPr="00EF6860" w:rsidRDefault="00EF6860" w:rsidP="00EF6860">
      <w:pPr>
        <w:numPr>
          <w:ilvl w:val="0"/>
          <w:numId w:val="13"/>
        </w:numPr>
        <w:autoSpaceDE w:val="0"/>
        <w:autoSpaceDN w:val="0"/>
        <w:adjustRightInd w:val="0"/>
        <w:ind w:left="993"/>
      </w:pPr>
      <w:r w:rsidRPr="00EF6860">
        <w:rPr>
          <w:lang w:val="es-ES_tradnl"/>
        </w:rPr>
        <w:t>manzano: variedades frutales</w:t>
      </w:r>
    </w:p>
    <w:p w:rsidR="00EF6860" w:rsidRPr="00EF6860" w:rsidRDefault="00EF6860" w:rsidP="00EF6860">
      <w:pPr>
        <w:numPr>
          <w:ilvl w:val="0"/>
          <w:numId w:val="13"/>
        </w:numPr>
        <w:autoSpaceDE w:val="0"/>
        <w:autoSpaceDN w:val="0"/>
        <w:adjustRightInd w:val="0"/>
        <w:ind w:left="993"/>
      </w:pPr>
      <w:r w:rsidRPr="00EF6860">
        <w:rPr>
          <w:lang w:val="es-ES_tradnl"/>
        </w:rPr>
        <w:t>papa o patata</w:t>
      </w:r>
    </w:p>
    <w:p w:rsidR="00EF6860" w:rsidRPr="00EF6860" w:rsidRDefault="00EF6860" w:rsidP="00EF6860"/>
    <w:p w:rsidR="00EF6860" w:rsidRPr="00EF6860" w:rsidRDefault="00EF6860" w:rsidP="00EF6860">
      <w:pPr>
        <w:rPr>
          <w:rFonts w:cs="Arial"/>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La Delegación del Japón solicitó una aclaración acerca de los requisitos en materia de idiomas del formulario electrónico de solicitud.</w:t>
      </w:r>
      <w:r w:rsidRPr="00EF6860">
        <w:rPr>
          <w:lang w:val="es-ES"/>
        </w:rPr>
        <w:t xml:space="preserve">  </w:t>
      </w:r>
      <w:r w:rsidRPr="00EF6860">
        <w:rPr>
          <w:lang w:val="es-ES_tradnl"/>
        </w:rPr>
        <w:t>La Oficina de la Unión aclaró que el formulario electrónico de solicitud permitirá a los usuarios ver todas las preguntas en cualquiera de las lenguas de los miembros de la UPOV participantes.</w:t>
      </w:r>
      <w:r w:rsidRPr="00EF6860">
        <w:rPr>
          <w:rFonts w:cs="Arial"/>
          <w:lang w:val="es-ES"/>
        </w:rPr>
        <w:t xml:space="preserve">  </w:t>
      </w:r>
      <w:r w:rsidRPr="00EF6860">
        <w:rPr>
          <w:rFonts w:cs="Arial"/>
          <w:lang w:val="es-ES_tradnl"/>
        </w:rPr>
        <w:t>No obstante, los usuarios deberán proporcionar la información solicitada en un idioma aceptado por la autoridad competente.</w:t>
      </w:r>
      <w:r w:rsidRPr="00EF6860">
        <w:rPr>
          <w:rFonts w:cs="Arial"/>
          <w:lang w:val="es-ES"/>
        </w:rPr>
        <w:t xml:space="preserve"> </w:t>
      </w:r>
      <w:r w:rsidRPr="00EF6860">
        <w:rPr>
          <w:rFonts w:cs="Arial"/>
          <w:lang w:val="es-ES_tradnl"/>
        </w:rPr>
        <w:t>El idioma o idiomas aceptables se indicarán en el formulario.</w:t>
      </w:r>
    </w:p>
    <w:p w:rsidR="00EF6860" w:rsidRPr="00EF6860" w:rsidRDefault="00EF6860" w:rsidP="00EF6860">
      <w:pPr>
        <w:rPr>
          <w:lang w:val="es-ES"/>
        </w:rPr>
      </w:pPr>
    </w:p>
    <w:p w:rsidR="00EF6860" w:rsidRPr="00EF6860" w:rsidRDefault="00EF6860" w:rsidP="0069689A">
      <w:pPr>
        <w:keepNext/>
        <w:keepLines/>
        <w:outlineLvl w:val="2"/>
        <w:rPr>
          <w:i/>
          <w:lang w:val="es-ES"/>
        </w:rPr>
      </w:pPr>
      <w:bookmarkStart w:id="80" w:name="_Toc463512514"/>
      <w:r w:rsidRPr="00EF6860">
        <w:rPr>
          <w:i/>
          <w:lang w:val="es-ES_tradnl"/>
        </w:rPr>
        <w:t>Intercambio y uso de programas informáticos y equipos</w:t>
      </w:r>
      <w:bookmarkEnd w:id="80"/>
    </w:p>
    <w:p w:rsidR="00EF6860" w:rsidRPr="00EF6860" w:rsidRDefault="00EF6860" w:rsidP="0069689A">
      <w:pPr>
        <w:keepNext/>
        <w:keepLines/>
        <w:rPr>
          <w:lang w:val="es-ES"/>
        </w:rPr>
      </w:pPr>
    </w:p>
    <w:p w:rsidR="00EF6860" w:rsidRPr="00EF6860" w:rsidRDefault="00EF6860" w:rsidP="0069689A">
      <w:pPr>
        <w:keepNext/>
        <w:keepLines/>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examinó el documento TC/52/8.</w:t>
      </w:r>
    </w:p>
    <w:p w:rsidR="00EF6860" w:rsidRPr="00EF6860" w:rsidRDefault="00EF6860" w:rsidP="00EF6860">
      <w:pPr>
        <w:rPr>
          <w:lang w:val="es-ES"/>
        </w:rPr>
      </w:pPr>
    </w:p>
    <w:p w:rsidR="00EF6860" w:rsidRPr="0083734C" w:rsidRDefault="00EF6860" w:rsidP="00EF6860">
      <w:pPr>
        <w:keepNext/>
        <w:ind w:left="567"/>
        <w:outlineLvl w:val="3"/>
        <w:rPr>
          <w:rFonts w:eastAsia="MS Mincho"/>
          <w:i/>
          <w:lang w:val="es-ES"/>
        </w:rPr>
      </w:pPr>
      <w:r w:rsidRPr="0083734C">
        <w:rPr>
          <w:rFonts w:eastAsia="MS Mincho"/>
          <w:i/>
          <w:lang w:val="es-ES_tradnl"/>
        </w:rPr>
        <w:t>Documento UPOV/INF/16 “Programas informáticos para intercambio”</w:t>
      </w:r>
    </w:p>
    <w:p w:rsidR="00EF6860" w:rsidRPr="00EF6860" w:rsidRDefault="00EF6860" w:rsidP="006D6EC4">
      <w:pPr>
        <w:keepNext/>
        <w:rPr>
          <w:lang w:val="es-ES"/>
        </w:rPr>
      </w:pPr>
    </w:p>
    <w:p w:rsidR="00EF6860" w:rsidRPr="00EF6860" w:rsidRDefault="00EF6860" w:rsidP="00EF6860">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tomó nota de que el Consejo, en su cuadragésima novena sesión ordinaria celebrada en Ginebra el 29 de octubre de 2015, aprobó el documento UPOV/INF/16/5 “Programas informáticos para intercambio”.</w:t>
      </w:r>
    </w:p>
    <w:p w:rsidR="00EF6860" w:rsidRPr="00EF6860" w:rsidRDefault="00EF6860" w:rsidP="00EF6860">
      <w:pPr>
        <w:rPr>
          <w:lang w:val="es-ES"/>
        </w:rPr>
      </w:pPr>
    </w:p>
    <w:p w:rsidR="00EF6860" w:rsidRPr="00EF6860" w:rsidRDefault="00EF6860" w:rsidP="00EF6860">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tomó nota de que los debates sobre la inclusión del programa informático SISNAVA en el documento UPOV/INF/16 continuarán en el seno del TWC, a reserva de la conclusión de los debates sobre la variación de las descripciones de variedades con el paso de los años en distintos lugares.</w:t>
      </w:r>
    </w:p>
    <w:p w:rsidR="00EF6860" w:rsidRPr="00EF6860" w:rsidRDefault="00EF6860" w:rsidP="00EF6860">
      <w:pPr>
        <w:rPr>
          <w:lang w:val="es-ES"/>
        </w:rPr>
      </w:pPr>
    </w:p>
    <w:p w:rsidR="00EF6860" w:rsidRPr="00EF6860" w:rsidRDefault="00EF6860" w:rsidP="00EF6860">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convino en proponer la revisión del documento UPOV/INF/16/5 en lo relativo a la inclusión de información sobre el uso de programas informáticos por los miembros de la Unión, según se expone en el Anexo I del documento TC/52/8.</w:t>
      </w:r>
    </w:p>
    <w:p w:rsidR="00EF6860" w:rsidRPr="00EF6860" w:rsidRDefault="00EF6860" w:rsidP="00EF6860">
      <w:pPr>
        <w:rPr>
          <w:lang w:val="es-ES"/>
        </w:rPr>
      </w:pPr>
    </w:p>
    <w:p w:rsidR="00EF6860" w:rsidRPr="00EF6860" w:rsidRDefault="00EF6860" w:rsidP="00EF6860">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tomó nota de que las observaciones del TC, en su quincuagésima segunda sesión, relativas al uso de programas informáticos por los miembros de la Unión, se notificarán al CAJ en su septuagésima tercera sesión que se celebrará en Ginebra en octubre de 2016 y de que, si el CAJ lo aprueba, se presentará un proyecto de documento UPOV/INF/16/6 al Consejo para que considere su aprobación en su quincuagésima sesión ordinaria, que se celebrará el 28 de octubre de 2016.</w:t>
      </w:r>
    </w:p>
    <w:p w:rsidR="00EF6860" w:rsidRPr="00EF6860" w:rsidRDefault="00EF6860" w:rsidP="00853943">
      <w:pPr>
        <w:rPr>
          <w:lang w:val="es-ES"/>
        </w:rPr>
      </w:pPr>
    </w:p>
    <w:p w:rsidR="00EF6860" w:rsidRPr="00853943" w:rsidRDefault="00EF6860" w:rsidP="00853943">
      <w:pPr>
        <w:ind w:left="567"/>
        <w:outlineLvl w:val="3"/>
        <w:rPr>
          <w:i/>
          <w:lang w:val="es-ES" w:eastAsia="ja-JP"/>
        </w:rPr>
      </w:pPr>
      <w:r w:rsidRPr="00853943">
        <w:rPr>
          <w:i/>
          <w:lang w:val="es-ES_tradnl"/>
        </w:rPr>
        <w:t>Documento UPOV/INF/22 “Programas informáticos y equipos utilizados por los miembros de la Unión”</w:t>
      </w:r>
    </w:p>
    <w:p w:rsidR="00EF6860" w:rsidRPr="00EF6860" w:rsidRDefault="00EF6860" w:rsidP="00853943">
      <w:pPr>
        <w:rPr>
          <w:lang w:val="es-ES"/>
        </w:rPr>
      </w:pPr>
    </w:p>
    <w:p w:rsidR="00EF6860" w:rsidRPr="00EF6860" w:rsidRDefault="00EF6860" w:rsidP="00853943">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tomó nota de que el Consejo, en su cuadragésima novena sesión ordinaria celebrada en Ginebra el 29 de octubre de 2015, aprobó el documento UPOV/INF/22/2 “Programas informáticos y equipos utilizados por los miembros de la Unión”.</w:t>
      </w:r>
    </w:p>
    <w:p w:rsidR="00EF6860" w:rsidRPr="00EF6860" w:rsidRDefault="00EF6860" w:rsidP="00EF6860">
      <w:pPr>
        <w:rPr>
          <w:lang w:val="es-ES"/>
        </w:rPr>
      </w:pPr>
    </w:p>
    <w:p w:rsidR="00EF6860" w:rsidRPr="00EF6860" w:rsidRDefault="00EF6860" w:rsidP="00EF6860">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convino en proponer la revisión del documento UPOV/INF/22/2 en lo relativo a la inclusión de información sobre el uso de programas informáticos por los miembros de la Unión, según se expone en el Anexo II del documento TC/52/8, con las modificaciones propuestas por el TC-EDC:</w:t>
      </w:r>
    </w:p>
    <w:p w:rsidR="00EF6860" w:rsidRPr="00EF6860" w:rsidRDefault="00EF6860" w:rsidP="00EF6860">
      <w:pPr>
        <w:rPr>
          <w:lang w:val="es-ES"/>
        </w:rPr>
      </w:pPr>
    </w:p>
    <w:tbl>
      <w:tblPr>
        <w:tblStyle w:val="TableGrid10"/>
        <w:tblW w:w="0" w:type="auto"/>
        <w:tblLook w:val="04A0" w:firstRow="1" w:lastRow="0" w:firstColumn="1" w:lastColumn="0" w:noHBand="0" w:noVBand="1"/>
      </w:tblPr>
      <w:tblGrid>
        <w:gridCol w:w="3686"/>
        <w:gridCol w:w="6061"/>
      </w:tblGrid>
      <w:tr w:rsidR="00EF6860" w:rsidRPr="00B90D0A" w:rsidTr="00FD65CE">
        <w:tc>
          <w:tcPr>
            <w:tcW w:w="3686" w:type="dxa"/>
          </w:tcPr>
          <w:p w:rsidR="00EF6860" w:rsidRPr="00B90D0A" w:rsidRDefault="00EF6860" w:rsidP="006D6EC4">
            <w:pPr>
              <w:keepNext/>
            </w:pPr>
            <w:r w:rsidRPr="00B90D0A">
              <w:t>Anexo II, Parte a), segunda fila</w:t>
            </w:r>
          </w:p>
        </w:tc>
        <w:tc>
          <w:tcPr>
            <w:tcW w:w="6061" w:type="dxa"/>
          </w:tcPr>
          <w:p w:rsidR="00EF6860" w:rsidRPr="00B90D0A" w:rsidRDefault="00EF6860" w:rsidP="006D6EC4">
            <w:pPr>
              <w:keepNext/>
              <w:rPr>
                <w:lang w:val="fr-FR"/>
              </w:rPr>
            </w:pPr>
            <w:r w:rsidRPr="00776588">
              <w:t>Microsoft</w:t>
            </w:r>
            <w:r w:rsidRPr="00B90D0A">
              <w:t xml:space="preserve"> Office Professional Plus 2010</w:t>
            </w:r>
          </w:p>
        </w:tc>
      </w:tr>
      <w:tr w:rsidR="00EF6860" w:rsidRPr="00B90D0A" w:rsidTr="00FD65CE">
        <w:tc>
          <w:tcPr>
            <w:tcW w:w="3686" w:type="dxa"/>
          </w:tcPr>
          <w:p w:rsidR="00EF6860" w:rsidRPr="00B90D0A" w:rsidRDefault="00EF6860" w:rsidP="006D6EC4">
            <w:pPr>
              <w:keepNext/>
            </w:pPr>
            <w:r w:rsidRPr="00B90D0A">
              <w:t>Anexo II, Parte a), tercera fila</w:t>
            </w:r>
          </w:p>
        </w:tc>
        <w:tc>
          <w:tcPr>
            <w:tcW w:w="6061" w:type="dxa"/>
          </w:tcPr>
          <w:p w:rsidR="00EF6860" w:rsidRPr="00776588" w:rsidRDefault="00EF6860" w:rsidP="006D6EC4">
            <w:pPr>
              <w:keepNext/>
            </w:pPr>
            <w:r w:rsidRPr="00776588">
              <w:t>Microsoft Access</w:t>
            </w:r>
          </w:p>
        </w:tc>
      </w:tr>
      <w:tr w:rsidR="00EF6860" w:rsidRPr="00B90D0A" w:rsidTr="00FD65CE">
        <w:tc>
          <w:tcPr>
            <w:tcW w:w="3686" w:type="dxa"/>
          </w:tcPr>
          <w:p w:rsidR="00EF6860" w:rsidRPr="00B90D0A" w:rsidRDefault="00EF6860" w:rsidP="006D6EC4">
            <w:pPr>
              <w:keepNext/>
            </w:pPr>
            <w:r w:rsidRPr="00B90D0A">
              <w:t>Anexo II, Parte b), tercera fila</w:t>
            </w:r>
          </w:p>
        </w:tc>
        <w:tc>
          <w:tcPr>
            <w:tcW w:w="6061" w:type="dxa"/>
          </w:tcPr>
          <w:p w:rsidR="00EF6860" w:rsidRPr="00776588" w:rsidRDefault="00EF6860" w:rsidP="006D6EC4">
            <w:pPr>
              <w:keepNext/>
            </w:pPr>
            <w:r w:rsidRPr="00776588">
              <w:t>Adobe Acrobat Reader</w:t>
            </w:r>
          </w:p>
        </w:tc>
      </w:tr>
      <w:tr w:rsidR="00EF6860" w:rsidRPr="00EF6860" w:rsidTr="00FD65CE">
        <w:tc>
          <w:tcPr>
            <w:tcW w:w="3686" w:type="dxa"/>
          </w:tcPr>
          <w:p w:rsidR="00EF6860" w:rsidRPr="00B90D0A" w:rsidRDefault="00EF6860" w:rsidP="00EF6860">
            <w:r w:rsidRPr="00B90D0A">
              <w:t>Anexo II, Parte b), cuarta fila</w:t>
            </w:r>
          </w:p>
        </w:tc>
        <w:tc>
          <w:tcPr>
            <w:tcW w:w="6061" w:type="dxa"/>
          </w:tcPr>
          <w:p w:rsidR="00EF6860" w:rsidRPr="002E3FB9" w:rsidRDefault="00EF6860" w:rsidP="00776588">
            <w:pPr>
              <w:rPr>
                <w:lang w:val="en-US"/>
              </w:rPr>
            </w:pPr>
            <w:r w:rsidRPr="002E3FB9">
              <w:rPr>
                <w:lang w:val="en-US"/>
              </w:rPr>
              <w:t>Microsoft Office (Word) y</w:t>
            </w:r>
            <w:r w:rsidR="00776588" w:rsidRPr="002E3FB9">
              <w:rPr>
                <w:lang w:val="en-US"/>
              </w:rPr>
              <w:t xml:space="preserve"> </w:t>
            </w:r>
            <w:r w:rsidRPr="002E3FB9">
              <w:rPr>
                <w:lang w:val="en-US"/>
              </w:rPr>
              <w:t>Adobe Acrobat Reader</w:t>
            </w:r>
          </w:p>
        </w:tc>
      </w:tr>
    </w:tbl>
    <w:p w:rsidR="00EF6860" w:rsidRPr="00EF6860" w:rsidRDefault="00EF6860" w:rsidP="00EF6860"/>
    <w:p w:rsidR="00EF6860" w:rsidRPr="00EF6860" w:rsidRDefault="00EF6860" w:rsidP="00EF6860">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tomó nota de que las observaciones formuladas por el TC acerca de la utilización de los programas informáticos por parte de los miembros de la Unión se notificarán al CAJ en su septuagésima tercera sesión y, previo acuerdo del CAJ, se presentará al Consejo un proyecto de documento UPOV/INF/22/3 para que considere su aprobación en su quincuagésima sesión ordinaria, que se celebrará el 28 de octubre de 2016.</w:t>
      </w:r>
    </w:p>
    <w:p w:rsidR="00EF6860" w:rsidRPr="00EF6860" w:rsidRDefault="00EF6860" w:rsidP="00EF6860">
      <w:pPr>
        <w:rPr>
          <w:lang w:val="es-ES"/>
        </w:rPr>
      </w:pPr>
    </w:p>
    <w:p w:rsidR="00EF6860" w:rsidRPr="00EF6860" w:rsidRDefault="00EF6860" w:rsidP="00EF6860">
      <w:pPr>
        <w:keepNext/>
        <w:outlineLvl w:val="2"/>
        <w:rPr>
          <w:i/>
          <w:lang w:val="es-ES"/>
        </w:rPr>
      </w:pPr>
      <w:bookmarkStart w:id="81" w:name="_Toc463512515"/>
      <w:r w:rsidRPr="00EF6860">
        <w:rPr>
          <w:i/>
          <w:lang w:val="es-ES_tradnl"/>
        </w:rPr>
        <w:t>Bases de datos de descripciones de variedades</w:t>
      </w:r>
      <w:bookmarkEnd w:id="81"/>
    </w:p>
    <w:p w:rsidR="00EF6860" w:rsidRPr="00EF6860" w:rsidRDefault="00EF6860" w:rsidP="00EF6860">
      <w:pPr>
        <w:keepNext/>
        <w:rPr>
          <w:lang w:val="es-ES"/>
        </w:rPr>
      </w:pPr>
    </w:p>
    <w:p w:rsidR="00EF6860" w:rsidRPr="00EF6860" w:rsidRDefault="00EF6860" w:rsidP="00EF6860">
      <w:pPr>
        <w:keepNext/>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examinó el documento TC/52/9.</w:t>
      </w:r>
    </w:p>
    <w:p w:rsidR="00EF6860" w:rsidRPr="00EF6860" w:rsidRDefault="00EF6860" w:rsidP="00EF6860">
      <w:pPr>
        <w:keepNext/>
        <w:rPr>
          <w:lang w:val="es-ES"/>
        </w:rPr>
      </w:pPr>
    </w:p>
    <w:p w:rsidR="00EF6860" w:rsidRPr="00EF6860" w:rsidRDefault="00EF6860" w:rsidP="00EF6860">
      <w:pPr>
        <w:autoSpaceDE w:val="0"/>
        <w:autoSpaceDN w:val="0"/>
        <w:adjustRightInd w:val="0"/>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 xml:space="preserve">El TC tomó nota de que se incluye como punto 3 c) del orden del día de la quincuagésima segunda sesión del TC un punto de debate titulado </w:t>
      </w:r>
      <w:r w:rsidRPr="00EF6860">
        <w:rPr>
          <w:rFonts w:cs="Arial"/>
          <w:lang w:val="es-ES_tradnl"/>
        </w:rPr>
        <w:t>“</w:t>
      </w:r>
      <w:r w:rsidRPr="00EF6860">
        <w:rPr>
          <w:lang w:val="es-ES_tradnl"/>
        </w:rPr>
        <w:t>El fomento de la elaboración de bases de datos</w:t>
      </w:r>
      <w:r w:rsidRPr="00EF6860">
        <w:rPr>
          <w:rFonts w:cs="Arial"/>
          <w:lang w:val="es-ES_tradnl"/>
        </w:rPr>
        <w:t>”</w:t>
      </w:r>
      <w:r w:rsidRPr="00EF6860">
        <w:rPr>
          <w:lang w:val="es-ES_tradnl"/>
        </w:rPr>
        <w:t>.</w:t>
      </w:r>
    </w:p>
    <w:p w:rsidR="00EF6860" w:rsidRPr="00EF6860" w:rsidRDefault="00EF6860" w:rsidP="00EF6860">
      <w:pPr>
        <w:rPr>
          <w:lang w:val="es-ES"/>
        </w:rPr>
      </w:pPr>
    </w:p>
    <w:p w:rsidR="00EF6860" w:rsidRPr="00EF6860" w:rsidRDefault="00EF6860" w:rsidP="00EF6860">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tomó nota de que el TWC, en su trigésima tercera sesión, asistió a una ponencia de un experto de China sobre el análisis de la varianza de la interacción “variedad × lugar” (ambiente) de los caracteres QN empleando el módulo estadístico del nuevo programa informático “DUSTC” elaborado por su país, de la cual figura una copia en el documento TWC/33/27 Rev.</w:t>
      </w:r>
    </w:p>
    <w:p w:rsidR="00EF6860" w:rsidRPr="00EF6860" w:rsidRDefault="00EF6860" w:rsidP="00EF6860">
      <w:pPr>
        <w:rPr>
          <w:lang w:val="es-ES"/>
        </w:rPr>
      </w:pPr>
    </w:p>
    <w:p w:rsidR="00EF6860" w:rsidRPr="00EF6860" w:rsidRDefault="00EF6860" w:rsidP="00EF6860">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tomó nota de que el TWF, en su cuadragésima sexta sesión, convino en que las bases de datos morfológicos y moleculares de plantas frutales pueden ser útiles para el agrupamiento de variedades y la organización de los ensayos en cultivo, así como para el análisis de la distinción.</w:t>
      </w:r>
    </w:p>
    <w:p w:rsidR="00EF6860" w:rsidRPr="00EF6860" w:rsidRDefault="00EF6860" w:rsidP="00EF6860">
      <w:pPr>
        <w:rPr>
          <w:lang w:val="es-ES"/>
        </w:rPr>
      </w:pPr>
    </w:p>
    <w:p w:rsidR="00EF6860" w:rsidRPr="00EF6860" w:rsidRDefault="00EF6860" w:rsidP="00EF6860">
      <w:pPr>
        <w:rPr>
          <w:lang w:val="es-ES"/>
        </w:rPr>
      </w:pPr>
    </w:p>
    <w:p w:rsidR="00EF6860" w:rsidRPr="00EF6860" w:rsidRDefault="00EF6860" w:rsidP="00EF6860">
      <w:pPr>
        <w:keepNext/>
        <w:outlineLvl w:val="1"/>
        <w:rPr>
          <w:u w:val="single"/>
          <w:lang w:val="es-ES"/>
        </w:rPr>
      </w:pPr>
      <w:bookmarkStart w:id="82" w:name="_Toc463512516"/>
      <w:r w:rsidRPr="00EF6860">
        <w:rPr>
          <w:u w:val="single"/>
          <w:lang w:val="es-ES_tradnl"/>
        </w:rPr>
        <w:t>Talleres preparatorios</w:t>
      </w:r>
      <w:bookmarkEnd w:id="82"/>
    </w:p>
    <w:p w:rsidR="00EF6860" w:rsidRPr="00EF6860" w:rsidRDefault="00EF6860" w:rsidP="00EF6860">
      <w:pPr>
        <w:keepNext/>
        <w:rPr>
          <w:lang w:val="es-ES"/>
        </w:rPr>
      </w:pPr>
    </w:p>
    <w:p w:rsidR="00EF6860" w:rsidRPr="00EF6860" w:rsidRDefault="00EF6860" w:rsidP="00EF6860">
      <w:pPr>
        <w:keepNext/>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examinó el documento TC/52/13.</w:t>
      </w:r>
    </w:p>
    <w:p w:rsidR="00EF6860" w:rsidRPr="00EF6860" w:rsidRDefault="00EF6860" w:rsidP="00EF6860">
      <w:pPr>
        <w:rPr>
          <w:lang w:val="es-ES"/>
        </w:rPr>
      </w:pPr>
    </w:p>
    <w:p w:rsidR="00EF6860" w:rsidRPr="00EF6860" w:rsidRDefault="00EF6860" w:rsidP="00EF6860">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tomó nota del informe sobre los talleres preparatorios celebrados en 2015.</w:t>
      </w:r>
    </w:p>
    <w:p w:rsidR="00EF6860" w:rsidRPr="00EF6860" w:rsidRDefault="00EF6860" w:rsidP="00EF6860">
      <w:pPr>
        <w:rPr>
          <w:lang w:val="es-ES"/>
        </w:rPr>
      </w:pPr>
    </w:p>
    <w:p w:rsidR="00EF6860" w:rsidRPr="00EF6860" w:rsidRDefault="00EF6860" w:rsidP="00EF6860">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aceptó el programa propuesto para los talleres preparatorios de 2016, según se expone en los párrafos 9 y 11 del documento TC/52/13.</w:t>
      </w:r>
    </w:p>
    <w:p w:rsidR="00EF6860" w:rsidRPr="00EF6860" w:rsidRDefault="00EF6860" w:rsidP="00EF6860">
      <w:pPr>
        <w:rPr>
          <w:lang w:val="es-ES"/>
        </w:rPr>
      </w:pPr>
    </w:p>
    <w:p w:rsidR="00EF6860" w:rsidRPr="00EF6860" w:rsidRDefault="00EF6860" w:rsidP="00EF6860">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señaló que el párrafo 8 del documento TC/52/13 debe corregirse, con la siguiente redacción:</w:t>
      </w:r>
    </w:p>
    <w:p w:rsidR="00EF6860" w:rsidRPr="00EF6860" w:rsidRDefault="00EF6860" w:rsidP="00EF6860">
      <w:pPr>
        <w:rPr>
          <w:lang w:val="es-ES"/>
        </w:rPr>
      </w:pPr>
      <w:r w:rsidRPr="00EF6860">
        <w:rPr>
          <w:lang w:val="es-ES"/>
        </w:rPr>
        <w:tab/>
      </w:r>
      <w:r w:rsidRPr="00EF6860">
        <w:rPr>
          <w:lang w:val="es-ES_tradnl"/>
        </w:rPr>
        <w:t>TWA (</w:t>
      </w:r>
      <w:r w:rsidRPr="00EF6860">
        <w:rPr>
          <w:highlight w:val="lightGray"/>
          <w:lang w:val="es-ES_tradnl"/>
        </w:rPr>
        <w:t>Japón)</w:t>
      </w:r>
    </w:p>
    <w:p w:rsidR="00EF6860" w:rsidRPr="00EF6860" w:rsidRDefault="00EF6860" w:rsidP="00EF6860">
      <w:pPr>
        <w:rPr>
          <w:lang w:val="es-ES"/>
        </w:rPr>
      </w:pPr>
      <w:r w:rsidRPr="00EF6860">
        <w:rPr>
          <w:lang w:val="es-ES"/>
        </w:rPr>
        <w:tab/>
      </w:r>
      <w:r w:rsidR="00273A54">
        <w:rPr>
          <w:lang w:val="es-ES_tradnl"/>
        </w:rPr>
        <w:t>TWV (Unión Europea</w:t>
      </w:r>
      <w:r w:rsidRPr="00EF6860">
        <w:rPr>
          <w:lang w:val="es-ES_tradnl"/>
        </w:rPr>
        <w:t>)</w:t>
      </w:r>
    </w:p>
    <w:p w:rsidR="00EF6860" w:rsidRPr="00EF6860" w:rsidRDefault="00EF6860" w:rsidP="00EF6860">
      <w:pPr>
        <w:rPr>
          <w:lang w:val="es-ES"/>
        </w:rPr>
      </w:pPr>
    </w:p>
    <w:p w:rsidR="00EF6860" w:rsidRPr="00EF6860" w:rsidRDefault="00EF6860" w:rsidP="00EF6860">
      <w:pPr>
        <w:rPr>
          <w:lang w:val="es-ES"/>
        </w:rPr>
      </w:pPr>
    </w:p>
    <w:p w:rsidR="00EF6860" w:rsidRPr="00EF6860" w:rsidRDefault="00EF6860" w:rsidP="00EF6860">
      <w:pPr>
        <w:keepNext/>
        <w:outlineLvl w:val="1"/>
        <w:rPr>
          <w:u w:val="single"/>
          <w:lang w:val="es-ES"/>
        </w:rPr>
      </w:pPr>
      <w:bookmarkStart w:id="83" w:name="_Toc463512517"/>
      <w:r w:rsidRPr="00EF6860">
        <w:rPr>
          <w:u w:val="single"/>
          <w:lang w:val="es-ES_tradnl"/>
        </w:rPr>
        <w:t>Directrices de examen</w:t>
      </w:r>
      <w:bookmarkEnd w:id="83"/>
    </w:p>
    <w:p w:rsidR="00EF6860" w:rsidRPr="00EF6860" w:rsidRDefault="00EF6860" w:rsidP="00EF6860">
      <w:pPr>
        <w:keepNext/>
        <w:rPr>
          <w:lang w:val="es-ES"/>
        </w:rPr>
      </w:pPr>
    </w:p>
    <w:p w:rsidR="00EF6860" w:rsidRPr="00EF6860" w:rsidRDefault="00EF6860" w:rsidP="00EF6860">
      <w:pPr>
        <w:keepNext/>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examinó los documentos TC/52/2, TC/52/24, TC/52/25, TC/52/26 y TC/52/27.</w:t>
      </w:r>
    </w:p>
    <w:p w:rsidR="00EF6860" w:rsidRPr="00EF6860" w:rsidRDefault="00EF6860" w:rsidP="00EF6860">
      <w:pPr>
        <w:rPr>
          <w:lang w:val="es-ES"/>
        </w:rPr>
      </w:pPr>
    </w:p>
    <w:p w:rsidR="00EF6860" w:rsidRPr="00EF6860" w:rsidRDefault="00EF6860" w:rsidP="00EF6860">
      <w:pPr>
        <w:rPr>
          <w:rFonts w:cs="Arial"/>
          <w:snapToGrid w:val="0"/>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De conformidad con el procedimiento establecido en el documento TGP/7, el TC aprobó cinco nuevas directrices de examen para la ejecución del examen de la distinción, la homogeneidad y la estabilidad, dos directrices de examen revisadas y nueve directrices de examen revisadas parcialmente que figuran en el siguiente cuadro basándose en las modificaciones que se especifican en el Anexo II del presente documento, así como los cambios lingüísticos recomendados por el TC-EDC, y convino en que se publiquen en el sitio web de la UPOV lo antes posible:</w:t>
      </w:r>
    </w:p>
    <w:p w:rsidR="00EF6860" w:rsidRPr="00EF6860" w:rsidRDefault="00EF6860" w:rsidP="00EF6860">
      <w:pPr>
        <w:rPr>
          <w:rFonts w:cs="Arial"/>
          <w:snapToGrid w:val="0"/>
          <w:lang w:val="es-ES"/>
        </w:rPr>
      </w:pPr>
    </w:p>
    <w:tbl>
      <w:tblPr>
        <w:tblW w:w="9934" w:type="dxa"/>
        <w:tblInd w:w="96" w:type="dxa"/>
        <w:tblLayout w:type="fixed"/>
        <w:tblLook w:val="0020" w:firstRow="1" w:lastRow="0" w:firstColumn="0" w:lastColumn="0" w:noHBand="0" w:noVBand="0"/>
      </w:tblPr>
      <w:tblGrid>
        <w:gridCol w:w="484"/>
        <w:gridCol w:w="590"/>
        <w:gridCol w:w="1490"/>
        <w:gridCol w:w="142"/>
        <w:gridCol w:w="1275"/>
        <w:gridCol w:w="1418"/>
        <w:gridCol w:w="1417"/>
        <w:gridCol w:w="1418"/>
        <w:gridCol w:w="1700"/>
      </w:tblGrid>
      <w:tr w:rsidR="00EF6860" w:rsidRPr="00EF6860" w:rsidTr="00FD65CE">
        <w:trPr>
          <w:cantSplit/>
          <w:trHeight w:val="1050"/>
          <w:tblHeader/>
        </w:trPr>
        <w:tc>
          <w:tcPr>
            <w:tcW w:w="484" w:type="dxa"/>
            <w:tcBorders>
              <w:top w:val="single" w:sz="4" w:space="0" w:color="auto"/>
              <w:bottom w:val="single" w:sz="4" w:space="0" w:color="auto"/>
            </w:tcBorders>
            <w:shd w:val="clear" w:color="auto" w:fill="D9D9D9"/>
            <w:noWrap/>
            <w:vAlign w:val="center"/>
          </w:tcPr>
          <w:p w:rsidR="00EF6860" w:rsidRPr="00EF6860" w:rsidRDefault="00EF6860" w:rsidP="00EF6860">
            <w:pPr>
              <w:jc w:val="left"/>
              <w:rPr>
                <w:rFonts w:eastAsia="MS Mincho" w:cs="Arial"/>
                <w:bCs/>
                <w:dstrike/>
                <w:sz w:val="16"/>
                <w:szCs w:val="16"/>
                <w:lang w:eastAsia="ja-JP"/>
              </w:rPr>
            </w:pPr>
            <w:r w:rsidRPr="00EF6860">
              <w:rPr>
                <w:rFonts w:eastAsia="MS Mincho" w:cs="Arial"/>
                <w:bCs/>
                <w:sz w:val="16"/>
                <w:szCs w:val="16"/>
                <w:lang w:eastAsia="ja-JP"/>
              </w:rPr>
              <w:t>**</w:t>
            </w:r>
          </w:p>
        </w:tc>
        <w:tc>
          <w:tcPr>
            <w:tcW w:w="590" w:type="dxa"/>
            <w:tcBorders>
              <w:top w:val="single" w:sz="4" w:space="0" w:color="auto"/>
              <w:bottom w:val="single" w:sz="4" w:space="0" w:color="auto"/>
            </w:tcBorders>
            <w:shd w:val="clear" w:color="auto" w:fill="D9D9D9"/>
            <w:vAlign w:val="center"/>
          </w:tcPr>
          <w:p w:rsidR="00EF6860" w:rsidRPr="00EF6860" w:rsidRDefault="00EF6860" w:rsidP="00EF6860">
            <w:pPr>
              <w:jc w:val="left"/>
              <w:rPr>
                <w:rFonts w:eastAsia="MS Mincho" w:cs="Arial"/>
                <w:bCs/>
                <w:dstrike/>
                <w:sz w:val="16"/>
                <w:szCs w:val="16"/>
                <w:lang w:eastAsia="ja-JP"/>
              </w:rPr>
            </w:pPr>
            <w:r w:rsidRPr="00EF6860">
              <w:rPr>
                <w:rFonts w:eastAsia="MS Mincho" w:cs="Arial"/>
                <w:bCs/>
                <w:sz w:val="16"/>
                <w:szCs w:val="16"/>
                <w:lang w:eastAsia="ja-JP"/>
              </w:rPr>
              <w:t>TWP</w:t>
            </w:r>
          </w:p>
        </w:tc>
        <w:tc>
          <w:tcPr>
            <w:tcW w:w="1490" w:type="dxa"/>
            <w:tcBorders>
              <w:top w:val="single" w:sz="4" w:space="0" w:color="auto"/>
              <w:bottom w:val="single" w:sz="4" w:space="0" w:color="auto"/>
            </w:tcBorders>
            <w:shd w:val="clear" w:color="auto" w:fill="D9D9D9"/>
            <w:vAlign w:val="center"/>
          </w:tcPr>
          <w:p w:rsidR="00EF6860" w:rsidRPr="00EF6860" w:rsidRDefault="00EF6860" w:rsidP="00EF6860">
            <w:pPr>
              <w:ind w:left="-36"/>
              <w:jc w:val="left"/>
              <w:rPr>
                <w:rFonts w:eastAsia="MS Mincho" w:cs="Arial"/>
                <w:bCs/>
                <w:dstrike/>
                <w:sz w:val="16"/>
                <w:szCs w:val="16"/>
                <w:lang w:eastAsia="ja-JP"/>
              </w:rPr>
            </w:pPr>
            <w:r w:rsidRPr="00EF6860">
              <w:rPr>
                <w:rFonts w:eastAsia="MS Mincho" w:cs="Arial"/>
                <w:bCs/>
                <w:sz w:val="16"/>
                <w:szCs w:val="16"/>
                <w:lang w:val="fr-CH" w:eastAsia="ja-JP"/>
              </w:rPr>
              <w:t xml:space="preserve">Document No. </w:t>
            </w:r>
            <w:r w:rsidRPr="00EF6860">
              <w:rPr>
                <w:rFonts w:eastAsia="MS Mincho" w:cs="Arial"/>
                <w:bCs/>
                <w:sz w:val="16"/>
                <w:szCs w:val="16"/>
                <w:lang w:val="fr-CH" w:eastAsia="ja-JP"/>
              </w:rPr>
              <w:br/>
              <w:t xml:space="preserve">No. du document </w:t>
            </w:r>
            <w:r w:rsidRPr="00EF6860">
              <w:rPr>
                <w:rFonts w:eastAsia="MS Mincho" w:cs="Arial"/>
                <w:bCs/>
                <w:sz w:val="16"/>
                <w:szCs w:val="16"/>
                <w:lang w:val="fr-CH" w:eastAsia="ja-JP"/>
              </w:rPr>
              <w:br/>
              <w:t xml:space="preserve">Dokument-Nr. </w:t>
            </w:r>
            <w:r w:rsidRPr="00EF6860">
              <w:rPr>
                <w:rFonts w:eastAsia="MS Mincho" w:cs="Arial"/>
                <w:bCs/>
                <w:sz w:val="16"/>
                <w:szCs w:val="16"/>
                <w:lang w:val="fr-CH" w:eastAsia="ja-JP"/>
              </w:rPr>
              <w:br/>
            </w:r>
            <w:r w:rsidRPr="00EF6860">
              <w:rPr>
                <w:rFonts w:eastAsia="MS Mincho" w:cs="Arial"/>
                <w:bCs/>
                <w:sz w:val="16"/>
                <w:szCs w:val="16"/>
                <w:lang w:eastAsia="ja-JP"/>
              </w:rPr>
              <w:t>No del documento</w:t>
            </w:r>
          </w:p>
        </w:tc>
        <w:tc>
          <w:tcPr>
            <w:tcW w:w="1417" w:type="dxa"/>
            <w:gridSpan w:val="2"/>
            <w:tcBorders>
              <w:top w:val="single" w:sz="4" w:space="0" w:color="auto"/>
              <w:bottom w:val="single" w:sz="4" w:space="0" w:color="auto"/>
            </w:tcBorders>
            <w:shd w:val="clear" w:color="auto" w:fill="D9D9D9"/>
            <w:vAlign w:val="center"/>
          </w:tcPr>
          <w:p w:rsidR="00EF6860" w:rsidRPr="00EF6860" w:rsidRDefault="00EF6860" w:rsidP="00EF6860">
            <w:pPr>
              <w:jc w:val="left"/>
              <w:rPr>
                <w:rFonts w:eastAsia="MS Mincho" w:cs="Arial"/>
                <w:bCs/>
                <w:dstrike/>
                <w:sz w:val="16"/>
                <w:szCs w:val="16"/>
                <w:lang w:eastAsia="ja-JP"/>
              </w:rPr>
            </w:pPr>
            <w:r w:rsidRPr="00EF6860">
              <w:rPr>
                <w:rFonts w:eastAsia="MS Mincho" w:cs="Arial"/>
                <w:bCs/>
                <w:sz w:val="16"/>
                <w:szCs w:val="16"/>
                <w:lang w:eastAsia="ja-JP"/>
              </w:rPr>
              <w:t>English</w:t>
            </w:r>
          </w:p>
        </w:tc>
        <w:tc>
          <w:tcPr>
            <w:tcW w:w="1418" w:type="dxa"/>
            <w:tcBorders>
              <w:top w:val="single" w:sz="4" w:space="0" w:color="auto"/>
              <w:bottom w:val="single" w:sz="4" w:space="0" w:color="auto"/>
            </w:tcBorders>
            <w:shd w:val="clear" w:color="auto" w:fill="D9D9D9"/>
            <w:vAlign w:val="center"/>
          </w:tcPr>
          <w:p w:rsidR="00EF6860" w:rsidRPr="00EF6860" w:rsidRDefault="00EF6860" w:rsidP="00EF6860">
            <w:pPr>
              <w:jc w:val="left"/>
              <w:rPr>
                <w:rFonts w:eastAsia="MS Mincho" w:cs="Arial"/>
                <w:dstrike/>
                <w:sz w:val="16"/>
                <w:szCs w:val="16"/>
                <w:lang w:eastAsia="ja-JP"/>
              </w:rPr>
            </w:pPr>
            <w:r w:rsidRPr="00EF6860">
              <w:rPr>
                <w:rFonts w:eastAsia="MS Mincho" w:cs="Arial"/>
                <w:sz w:val="16"/>
                <w:szCs w:val="16"/>
                <w:lang w:eastAsia="ja-JP"/>
              </w:rPr>
              <w:t>Français</w:t>
            </w:r>
          </w:p>
        </w:tc>
        <w:tc>
          <w:tcPr>
            <w:tcW w:w="1417" w:type="dxa"/>
            <w:tcBorders>
              <w:top w:val="single" w:sz="4" w:space="0" w:color="auto"/>
              <w:bottom w:val="single" w:sz="4" w:space="0" w:color="auto"/>
            </w:tcBorders>
            <w:shd w:val="clear" w:color="auto" w:fill="D9D9D9"/>
            <w:vAlign w:val="center"/>
          </w:tcPr>
          <w:p w:rsidR="00EF6860" w:rsidRPr="00EF6860" w:rsidRDefault="00EF6860" w:rsidP="00EF6860">
            <w:pPr>
              <w:jc w:val="left"/>
              <w:rPr>
                <w:rFonts w:eastAsia="MS Mincho" w:cs="Arial"/>
                <w:dstrike/>
                <w:sz w:val="16"/>
                <w:szCs w:val="16"/>
                <w:lang w:eastAsia="ja-JP"/>
              </w:rPr>
            </w:pPr>
            <w:r w:rsidRPr="00EF6860">
              <w:rPr>
                <w:rFonts w:eastAsia="MS Mincho" w:cs="Arial"/>
                <w:sz w:val="16"/>
                <w:szCs w:val="16"/>
                <w:lang w:eastAsia="ja-JP"/>
              </w:rPr>
              <w:t>Deutsch</w:t>
            </w:r>
          </w:p>
        </w:tc>
        <w:tc>
          <w:tcPr>
            <w:tcW w:w="1418" w:type="dxa"/>
            <w:tcBorders>
              <w:top w:val="single" w:sz="4" w:space="0" w:color="auto"/>
              <w:bottom w:val="single" w:sz="4" w:space="0" w:color="auto"/>
            </w:tcBorders>
            <w:shd w:val="clear" w:color="auto" w:fill="D9D9D9"/>
            <w:vAlign w:val="center"/>
          </w:tcPr>
          <w:p w:rsidR="00EF6860" w:rsidRPr="00EF6860" w:rsidRDefault="00EF6860" w:rsidP="00EF6860">
            <w:pPr>
              <w:jc w:val="left"/>
              <w:rPr>
                <w:rFonts w:eastAsia="MS Mincho" w:cs="Arial"/>
                <w:dstrike/>
                <w:sz w:val="16"/>
                <w:szCs w:val="16"/>
                <w:lang w:eastAsia="ja-JP"/>
              </w:rPr>
            </w:pPr>
            <w:r w:rsidRPr="00EF6860">
              <w:rPr>
                <w:rFonts w:eastAsia="MS Mincho" w:cs="Arial"/>
                <w:sz w:val="16"/>
                <w:szCs w:val="16"/>
                <w:lang w:eastAsia="ja-JP"/>
              </w:rPr>
              <w:t>Español</w:t>
            </w:r>
          </w:p>
        </w:tc>
        <w:tc>
          <w:tcPr>
            <w:tcW w:w="1700" w:type="dxa"/>
            <w:tcBorders>
              <w:top w:val="single" w:sz="4" w:space="0" w:color="auto"/>
              <w:bottom w:val="single" w:sz="4" w:space="0" w:color="auto"/>
            </w:tcBorders>
            <w:shd w:val="clear" w:color="auto" w:fill="D9D9D9"/>
            <w:vAlign w:val="center"/>
          </w:tcPr>
          <w:p w:rsidR="00EF6860" w:rsidRPr="00EF6860" w:rsidRDefault="00EF6860" w:rsidP="00EF6860">
            <w:pPr>
              <w:jc w:val="left"/>
              <w:rPr>
                <w:rFonts w:eastAsia="MS Mincho" w:cs="Arial"/>
                <w:sz w:val="16"/>
                <w:szCs w:val="16"/>
                <w:lang w:eastAsia="ja-JP"/>
              </w:rPr>
            </w:pPr>
            <w:r w:rsidRPr="00EF6860">
              <w:rPr>
                <w:rFonts w:eastAsia="MS Mincho" w:cs="Arial"/>
                <w:sz w:val="16"/>
                <w:szCs w:val="16"/>
                <w:lang w:eastAsia="ja-JP"/>
              </w:rPr>
              <w:t>Botanical name</w:t>
            </w:r>
          </w:p>
        </w:tc>
      </w:tr>
      <w:tr w:rsidR="00EF6860" w:rsidRPr="00AC67A0" w:rsidTr="00FD65CE">
        <w:trPr>
          <w:cantSplit/>
          <w:trHeight w:val="255"/>
        </w:trPr>
        <w:tc>
          <w:tcPr>
            <w:tcW w:w="9934" w:type="dxa"/>
            <w:gridSpan w:val="9"/>
            <w:tcBorders>
              <w:top w:val="single" w:sz="4" w:space="0" w:color="auto"/>
              <w:left w:val="single" w:sz="4" w:space="0" w:color="auto"/>
              <w:bottom w:val="single" w:sz="4" w:space="0" w:color="auto"/>
              <w:right w:val="single" w:sz="4" w:space="0" w:color="auto"/>
            </w:tcBorders>
            <w:shd w:val="clear" w:color="auto" w:fill="auto"/>
            <w:noWrap/>
          </w:tcPr>
          <w:p w:rsidR="00EF6860" w:rsidRPr="00EF6860" w:rsidRDefault="00EF6860" w:rsidP="00EF6860">
            <w:pPr>
              <w:spacing w:before="120" w:after="120"/>
              <w:ind w:left="-36"/>
              <w:jc w:val="left"/>
              <w:rPr>
                <w:rFonts w:eastAsia="MS Mincho" w:cs="Arial"/>
                <w:bCs/>
                <w:sz w:val="16"/>
                <w:szCs w:val="16"/>
                <w:u w:val="single"/>
                <w:lang w:val="fr-FR" w:eastAsia="ja-JP"/>
              </w:rPr>
            </w:pPr>
            <w:r w:rsidRPr="00EF6860">
              <w:rPr>
                <w:rFonts w:cs="Arial"/>
                <w:bCs/>
                <w:sz w:val="16"/>
                <w:szCs w:val="16"/>
                <w:u w:val="single"/>
                <w:lang w:val="fr-FR"/>
              </w:rPr>
              <w:t>NEW TEST GUIDELINES / NOUVEAUX PRINCIPES DIRECTEURS D’EXAMEN / NEUE PRÜFUNGSRICHTILINIEN /</w:t>
            </w:r>
            <w:r w:rsidRPr="00EF6860">
              <w:rPr>
                <w:rFonts w:cs="Arial"/>
                <w:bCs/>
                <w:sz w:val="16"/>
                <w:szCs w:val="16"/>
                <w:u w:val="single"/>
                <w:lang w:val="fr-FR"/>
              </w:rPr>
              <w:br/>
              <w:t>NUEVAS DIRECTRICES DE EXAMEN</w:t>
            </w:r>
          </w:p>
        </w:tc>
      </w:tr>
      <w:tr w:rsidR="00EF6860" w:rsidRPr="00EF6860" w:rsidTr="00FD65CE">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EF6860" w:rsidRPr="00EF6860" w:rsidRDefault="00EF6860" w:rsidP="00EF6860">
            <w:pPr>
              <w:rPr>
                <w:rFonts w:cs="Arial"/>
                <w:dstrike/>
                <w:sz w:val="16"/>
                <w:szCs w:val="16"/>
              </w:rPr>
            </w:pPr>
            <w:r w:rsidRPr="00EF6860">
              <w:rPr>
                <w:rFonts w:cs="Arial"/>
                <w:sz w:val="16"/>
                <w:szCs w:val="16"/>
              </w:rPr>
              <w:t>BR</w:t>
            </w:r>
          </w:p>
        </w:tc>
        <w:tc>
          <w:tcPr>
            <w:tcW w:w="590" w:type="dxa"/>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rPr>
                <w:rFonts w:cs="Arial"/>
                <w:dstrike/>
                <w:color w:val="000000"/>
                <w:sz w:val="16"/>
                <w:szCs w:val="16"/>
              </w:rPr>
            </w:pPr>
            <w:r w:rsidRPr="00EF6860">
              <w:rPr>
                <w:rFonts w:cs="Arial"/>
                <w:color w:val="000000"/>
                <w:sz w:val="16"/>
                <w:szCs w:val="16"/>
              </w:rPr>
              <w:t>TWF</w:t>
            </w:r>
          </w:p>
        </w:tc>
        <w:tc>
          <w:tcPr>
            <w:tcW w:w="1490" w:type="dxa"/>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ind w:left="-36"/>
              <w:jc w:val="left"/>
              <w:rPr>
                <w:rFonts w:cs="Arial"/>
                <w:dstrike/>
                <w:spacing w:val="-6"/>
                <w:sz w:val="16"/>
                <w:szCs w:val="16"/>
              </w:rPr>
            </w:pPr>
            <w:r w:rsidRPr="00EF6860">
              <w:rPr>
                <w:rFonts w:cs="Arial"/>
                <w:spacing w:val="-6"/>
                <w:sz w:val="16"/>
                <w:szCs w:val="16"/>
              </w:rPr>
              <w:t>TG/COCOS(proj.6)</w:t>
            </w:r>
          </w:p>
        </w:tc>
        <w:tc>
          <w:tcPr>
            <w:tcW w:w="1417" w:type="dxa"/>
            <w:gridSpan w:val="2"/>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jc w:val="left"/>
              <w:rPr>
                <w:rFonts w:cs="Arial"/>
                <w:dstrike/>
                <w:sz w:val="16"/>
                <w:szCs w:val="16"/>
              </w:rPr>
            </w:pPr>
            <w:r w:rsidRPr="00EF6860">
              <w:rPr>
                <w:rFonts w:cs="Arial"/>
                <w:sz w:val="16"/>
                <w:szCs w:val="16"/>
              </w:rPr>
              <w:t>Coconut</w:t>
            </w:r>
          </w:p>
        </w:tc>
        <w:tc>
          <w:tcPr>
            <w:tcW w:w="1418" w:type="dxa"/>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jc w:val="left"/>
              <w:rPr>
                <w:rFonts w:cs="Arial"/>
                <w:dstrike/>
                <w:sz w:val="16"/>
                <w:szCs w:val="16"/>
              </w:rPr>
            </w:pPr>
            <w:r w:rsidRPr="00EF6860">
              <w:rPr>
                <w:rFonts w:cs="Arial"/>
                <w:sz w:val="16"/>
                <w:szCs w:val="16"/>
              </w:rPr>
              <w:t>Cocotier</w:t>
            </w:r>
          </w:p>
        </w:tc>
        <w:tc>
          <w:tcPr>
            <w:tcW w:w="1417" w:type="dxa"/>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jc w:val="left"/>
              <w:rPr>
                <w:rFonts w:cs="Arial"/>
                <w:dstrike/>
                <w:sz w:val="16"/>
                <w:szCs w:val="16"/>
              </w:rPr>
            </w:pPr>
            <w:r w:rsidRPr="00EF6860">
              <w:rPr>
                <w:rFonts w:cs="Arial"/>
                <w:sz w:val="16"/>
                <w:szCs w:val="16"/>
              </w:rPr>
              <w:t>Kokosnuß</w:t>
            </w:r>
          </w:p>
        </w:tc>
        <w:tc>
          <w:tcPr>
            <w:tcW w:w="1418" w:type="dxa"/>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jc w:val="left"/>
              <w:rPr>
                <w:rFonts w:cs="Arial"/>
                <w:dstrike/>
                <w:sz w:val="16"/>
                <w:szCs w:val="16"/>
              </w:rPr>
            </w:pPr>
            <w:r w:rsidRPr="00EF6860">
              <w:rPr>
                <w:rFonts w:cs="Arial"/>
                <w:sz w:val="16"/>
                <w:szCs w:val="16"/>
              </w:rPr>
              <w:t>Cocotero</w:t>
            </w:r>
          </w:p>
        </w:tc>
        <w:tc>
          <w:tcPr>
            <w:tcW w:w="1700" w:type="dxa"/>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jc w:val="left"/>
              <w:rPr>
                <w:rFonts w:cs="Arial"/>
                <w:sz w:val="16"/>
                <w:szCs w:val="16"/>
              </w:rPr>
            </w:pPr>
            <w:r w:rsidRPr="00EF6860">
              <w:rPr>
                <w:rFonts w:cs="Arial"/>
                <w:sz w:val="16"/>
                <w:szCs w:val="16"/>
              </w:rPr>
              <w:t>Cocos nucifera L.</w:t>
            </w:r>
          </w:p>
        </w:tc>
      </w:tr>
      <w:tr w:rsidR="00EF6860" w:rsidRPr="00EF6860" w:rsidTr="00FD65CE">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EF6860" w:rsidRPr="00EF6860" w:rsidRDefault="00EF6860" w:rsidP="00EF6860">
            <w:pPr>
              <w:rPr>
                <w:rFonts w:cs="Arial"/>
                <w:dstrike/>
                <w:sz w:val="16"/>
                <w:szCs w:val="16"/>
              </w:rPr>
            </w:pPr>
            <w:r w:rsidRPr="00EF6860">
              <w:rPr>
                <w:rFonts w:cs="Arial"/>
                <w:sz w:val="16"/>
                <w:szCs w:val="16"/>
              </w:rPr>
              <w:t>NZ</w:t>
            </w:r>
          </w:p>
        </w:tc>
        <w:tc>
          <w:tcPr>
            <w:tcW w:w="590" w:type="dxa"/>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rPr>
                <w:rFonts w:cs="Arial"/>
                <w:dstrike/>
                <w:color w:val="000000"/>
                <w:sz w:val="16"/>
                <w:szCs w:val="16"/>
              </w:rPr>
            </w:pPr>
            <w:r w:rsidRPr="00EF6860">
              <w:rPr>
                <w:rFonts w:cs="Arial"/>
                <w:color w:val="000000"/>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ind w:left="-36"/>
              <w:jc w:val="left"/>
              <w:rPr>
                <w:rFonts w:cs="Arial"/>
                <w:dstrike/>
                <w:spacing w:val="-6"/>
                <w:sz w:val="16"/>
                <w:szCs w:val="16"/>
              </w:rPr>
            </w:pPr>
            <w:r w:rsidRPr="00EF6860">
              <w:rPr>
                <w:rFonts w:cs="Arial"/>
                <w:spacing w:val="-6"/>
                <w:sz w:val="16"/>
                <w:szCs w:val="16"/>
              </w:rPr>
              <w:t>TG/CORDY(proj.5)</w:t>
            </w:r>
          </w:p>
        </w:tc>
        <w:tc>
          <w:tcPr>
            <w:tcW w:w="1417" w:type="dxa"/>
            <w:gridSpan w:val="2"/>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jc w:val="left"/>
              <w:rPr>
                <w:rFonts w:cs="Arial"/>
                <w:dstrike/>
                <w:sz w:val="16"/>
                <w:szCs w:val="16"/>
              </w:rPr>
            </w:pPr>
            <w:r w:rsidRPr="00EF6860">
              <w:rPr>
                <w:rFonts w:cs="Arial"/>
                <w:sz w:val="16"/>
                <w:szCs w:val="16"/>
              </w:rPr>
              <w:t>Cordyline, Cabbage Tree, Torquay Palm</w:t>
            </w:r>
          </w:p>
        </w:tc>
        <w:tc>
          <w:tcPr>
            <w:tcW w:w="1418" w:type="dxa"/>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jc w:val="left"/>
              <w:rPr>
                <w:rFonts w:cs="Arial"/>
                <w:dstrike/>
                <w:sz w:val="16"/>
                <w:szCs w:val="16"/>
              </w:rPr>
            </w:pPr>
            <w:r w:rsidRPr="00EF6860">
              <w:rPr>
                <w:rFonts w:cs="Arial"/>
                <w:sz w:val="16"/>
                <w:szCs w:val="16"/>
              </w:rPr>
              <w:t>Cordyline</w:t>
            </w:r>
          </w:p>
        </w:tc>
        <w:tc>
          <w:tcPr>
            <w:tcW w:w="1417" w:type="dxa"/>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jc w:val="left"/>
              <w:rPr>
                <w:rFonts w:cs="Arial"/>
                <w:dstrike/>
                <w:sz w:val="16"/>
                <w:szCs w:val="16"/>
              </w:rPr>
            </w:pPr>
            <w:r w:rsidRPr="00EF6860">
              <w:rPr>
                <w:rFonts w:cs="Arial"/>
                <w:sz w:val="16"/>
                <w:szCs w:val="16"/>
              </w:rPr>
              <w:t>Cordyline; Keulenbaum; Keulenlilie</w:t>
            </w:r>
          </w:p>
        </w:tc>
        <w:tc>
          <w:tcPr>
            <w:tcW w:w="1418" w:type="dxa"/>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jc w:val="left"/>
              <w:rPr>
                <w:rFonts w:cs="Arial"/>
                <w:dstrike/>
                <w:sz w:val="16"/>
                <w:szCs w:val="16"/>
              </w:rPr>
            </w:pPr>
            <w:r w:rsidRPr="00EF6860">
              <w:rPr>
                <w:rFonts w:cs="Arial"/>
                <w:sz w:val="16"/>
                <w:szCs w:val="16"/>
              </w:rPr>
              <w:t>Cordyline</w:t>
            </w:r>
          </w:p>
        </w:tc>
        <w:tc>
          <w:tcPr>
            <w:tcW w:w="1700" w:type="dxa"/>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jc w:val="left"/>
              <w:rPr>
                <w:rFonts w:cs="Arial"/>
                <w:sz w:val="16"/>
                <w:szCs w:val="16"/>
              </w:rPr>
            </w:pPr>
            <w:r w:rsidRPr="00EF6860">
              <w:rPr>
                <w:rFonts w:cs="Arial"/>
                <w:sz w:val="16"/>
                <w:szCs w:val="16"/>
              </w:rPr>
              <w:t>Cordyline Comm. ex Juss. excluding C. brasiliensis Planch. and C. fruticosa (L.) A. Chev.</w:t>
            </w:r>
          </w:p>
        </w:tc>
      </w:tr>
      <w:tr w:rsidR="00EF6860" w:rsidRPr="00EF6860" w:rsidTr="00FD65CE">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EF6860" w:rsidRPr="00EF6860" w:rsidRDefault="00EF6860" w:rsidP="00EF6860">
            <w:pPr>
              <w:rPr>
                <w:rFonts w:cs="Arial"/>
                <w:dstrike/>
                <w:sz w:val="16"/>
                <w:szCs w:val="16"/>
              </w:rPr>
            </w:pPr>
            <w:r w:rsidRPr="00EF6860">
              <w:rPr>
                <w:rFonts w:cs="Arial"/>
                <w:sz w:val="16"/>
                <w:szCs w:val="16"/>
              </w:rPr>
              <w:t>MX</w:t>
            </w:r>
          </w:p>
        </w:tc>
        <w:tc>
          <w:tcPr>
            <w:tcW w:w="590" w:type="dxa"/>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rPr>
                <w:rFonts w:cs="Arial"/>
                <w:dstrike/>
                <w:color w:val="000000"/>
                <w:sz w:val="16"/>
                <w:szCs w:val="16"/>
              </w:rPr>
            </w:pPr>
            <w:r w:rsidRPr="00EF6860">
              <w:rPr>
                <w:rFonts w:cs="Arial"/>
                <w:color w:val="000000"/>
                <w:sz w:val="16"/>
                <w:szCs w:val="16"/>
              </w:rPr>
              <w:t>TWF</w:t>
            </w:r>
          </w:p>
        </w:tc>
        <w:tc>
          <w:tcPr>
            <w:tcW w:w="1490" w:type="dxa"/>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ind w:left="-36"/>
              <w:jc w:val="left"/>
              <w:rPr>
                <w:rFonts w:cs="Arial"/>
                <w:dstrike/>
                <w:sz w:val="16"/>
                <w:szCs w:val="16"/>
              </w:rPr>
            </w:pPr>
            <w:r w:rsidRPr="00EF6860">
              <w:rPr>
                <w:rFonts w:cs="Arial"/>
                <w:sz w:val="16"/>
                <w:szCs w:val="16"/>
              </w:rPr>
              <w:t>TG/PERSE (proj.4) (Rootstock)</w:t>
            </w:r>
          </w:p>
        </w:tc>
        <w:tc>
          <w:tcPr>
            <w:tcW w:w="1417" w:type="dxa"/>
            <w:gridSpan w:val="2"/>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jc w:val="left"/>
              <w:rPr>
                <w:rFonts w:cs="Arial"/>
                <w:dstrike/>
                <w:sz w:val="16"/>
                <w:szCs w:val="16"/>
              </w:rPr>
            </w:pPr>
            <w:r w:rsidRPr="00EF6860">
              <w:rPr>
                <w:rFonts w:cs="Arial"/>
                <w:sz w:val="16"/>
                <w:szCs w:val="16"/>
              </w:rPr>
              <w:t>Avocado; Coyo avocado (rootstock)</w:t>
            </w:r>
          </w:p>
        </w:tc>
        <w:tc>
          <w:tcPr>
            <w:tcW w:w="1418" w:type="dxa"/>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jc w:val="left"/>
              <w:rPr>
                <w:rFonts w:cs="Arial"/>
                <w:dstrike/>
                <w:sz w:val="16"/>
                <w:szCs w:val="16"/>
              </w:rPr>
            </w:pPr>
            <w:r w:rsidRPr="00EF6860">
              <w:rPr>
                <w:rFonts w:cs="Arial"/>
                <w:sz w:val="16"/>
                <w:szCs w:val="16"/>
              </w:rPr>
              <w:t>Avocatier (Porte-greffe)</w:t>
            </w:r>
          </w:p>
        </w:tc>
        <w:tc>
          <w:tcPr>
            <w:tcW w:w="1417" w:type="dxa"/>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jc w:val="left"/>
              <w:rPr>
                <w:rFonts w:cs="Arial"/>
                <w:dstrike/>
                <w:sz w:val="16"/>
                <w:szCs w:val="16"/>
              </w:rPr>
            </w:pPr>
            <w:r w:rsidRPr="00EF6860">
              <w:rPr>
                <w:rFonts w:cs="Arial"/>
                <w:sz w:val="16"/>
                <w:szCs w:val="16"/>
              </w:rPr>
              <w:t>Avocado; wilde Avocado (Unterlagen)</w:t>
            </w:r>
          </w:p>
        </w:tc>
        <w:tc>
          <w:tcPr>
            <w:tcW w:w="1418" w:type="dxa"/>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jc w:val="left"/>
              <w:rPr>
                <w:rFonts w:cs="Arial"/>
                <w:dstrike/>
                <w:sz w:val="16"/>
                <w:szCs w:val="16"/>
                <w:lang w:val="es-ES"/>
              </w:rPr>
            </w:pPr>
            <w:r w:rsidRPr="00EF6860">
              <w:rPr>
                <w:rFonts w:cs="Arial"/>
                <w:sz w:val="16"/>
                <w:szCs w:val="16"/>
                <w:lang w:val="es-ES"/>
              </w:rPr>
              <w:t>Aguacate, Palta;  Chinini; Coyó (Porta injerto)</w:t>
            </w:r>
          </w:p>
        </w:tc>
        <w:tc>
          <w:tcPr>
            <w:tcW w:w="1700" w:type="dxa"/>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jc w:val="left"/>
              <w:rPr>
                <w:rFonts w:cs="Arial"/>
                <w:sz w:val="16"/>
                <w:szCs w:val="16"/>
              </w:rPr>
            </w:pPr>
            <w:r w:rsidRPr="00EF6860">
              <w:rPr>
                <w:rFonts w:cs="Arial"/>
                <w:sz w:val="16"/>
                <w:szCs w:val="16"/>
              </w:rPr>
              <w:t>Persea americana Mill.; Persea schiedeana Nees (Rootstock)</w:t>
            </w:r>
          </w:p>
        </w:tc>
      </w:tr>
      <w:tr w:rsidR="00EF6860" w:rsidRPr="00EF6860" w:rsidTr="00FD65CE">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EF6860" w:rsidRPr="00EF6860" w:rsidRDefault="00EF6860" w:rsidP="00EF6860">
            <w:pPr>
              <w:rPr>
                <w:rFonts w:cs="Arial"/>
                <w:dstrike/>
                <w:sz w:val="16"/>
                <w:szCs w:val="16"/>
              </w:rPr>
            </w:pPr>
            <w:r w:rsidRPr="00EF6860">
              <w:rPr>
                <w:rFonts w:cs="Arial"/>
                <w:sz w:val="16"/>
                <w:szCs w:val="16"/>
              </w:rPr>
              <w:t>ZA</w:t>
            </w:r>
          </w:p>
        </w:tc>
        <w:tc>
          <w:tcPr>
            <w:tcW w:w="590" w:type="dxa"/>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rPr>
                <w:rFonts w:cs="Arial"/>
                <w:dstrike/>
                <w:color w:val="000000"/>
                <w:sz w:val="16"/>
                <w:szCs w:val="16"/>
              </w:rPr>
            </w:pPr>
            <w:r w:rsidRPr="00EF6860">
              <w:rPr>
                <w:rFonts w:cs="Arial"/>
                <w:color w:val="000000"/>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ind w:left="-36"/>
              <w:jc w:val="left"/>
              <w:rPr>
                <w:rFonts w:cs="Arial"/>
                <w:dstrike/>
                <w:sz w:val="16"/>
                <w:szCs w:val="16"/>
              </w:rPr>
            </w:pPr>
            <w:r w:rsidRPr="00EF6860">
              <w:rPr>
                <w:rFonts w:cs="Arial"/>
                <w:sz w:val="16"/>
                <w:szCs w:val="16"/>
              </w:rPr>
              <w:t>TG/PLECT(proj.4)</w:t>
            </w:r>
          </w:p>
        </w:tc>
        <w:tc>
          <w:tcPr>
            <w:tcW w:w="1417" w:type="dxa"/>
            <w:gridSpan w:val="2"/>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jc w:val="left"/>
              <w:rPr>
                <w:rFonts w:cs="Arial"/>
                <w:dstrike/>
                <w:sz w:val="16"/>
                <w:szCs w:val="16"/>
              </w:rPr>
            </w:pPr>
            <w:r w:rsidRPr="00EF6860">
              <w:rPr>
                <w:rFonts w:cs="Arial"/>
                <w:sz w:val="16"/>
                <w:szCs w:val="16"/>
              </w:rPr>
              <w:t>Plectranthus, Spur Flower</w:t>
            </w:r>
          </w:p>
        </w:tc>
        <w:tc>
          <w:tcPr>
            <w:tcW w:w="1418" w:type="dxa"/>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jc w:val="left"/>
              <w:rPr>
                <w:rFonts w:cs="Arial"/>
                <w:dstrike/>
                <w:sz w:val="16"/>
                <w:szCs w:val="16"/>
              </w:rPr>
            </w:pPr>
            <w:r w:rsidRPr="00EF6860">
              <w:rPr>
                <w:rFonts w:cs="Arial"/>
                <w:sz w:val="16"/>
                <w:szCs w:val="16"/>
              </w:rPr>
              <w:t>Plectranthe</w:t>
            </w:r>
          </w:p>
        </w:tc>
        <w:tc>
          <w:tcPr>
            <w:tcW w:w="1417" w:type="dxa"/>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jc w:val="left"/>
              <w:rPr>
                <w:rFonts w:cs="Arial"/>
                <w:dstrike/>
                <w:sz w:val="16"/>
                <w:szCs w:val="16"/>
              </w:rPr>
            </w:pPr>
            <w:r w:rsidRPr="00EF6860">
              <w:rPr>
                <w:rFonts w:cs="Arial"/>
                <w:sz w:val="16"/>
                <w:szCs w:val="16"/>
              </w:rPr>
              <w:t>Harfenstrauch</w:t>
            </w:r>
          </w:p>
        </w:tc>
        <w:tc>
          <w:tcPr>
            <w:tcW w:w="1418" w:type="dxa"/>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jc w:val="left"/>
              <w:rPr>
                <w:rFonts w:cs="Arial"/>
                <w:dstrike/>
                <w:sz w:val="16"/>
                <w:szCs w:val="16"/>
              </w:rPr>
            </w:pPr>
            <w:r w:rsidRPr="00EF6860">
              <w:rPr>
                <w:rFonts w:cs="Arial"/>
                <w:sz w:val="16"/>
                <w:szCs w:val="16"/>
              </w:rPr>
              <w:t>Plectranthus</w:t>
            </w:r>
          </w:p>
        </w:tc>
        <w:tc>
          <w:tcPr>
            <w:tcW w:w="1700" w:type="dxa"/>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jc w:val="left"/>
              <w:rPr>
                <w:rFonts w:cs="Arial"/>
                <w:sz w:val="16"/>
                <w:szCs w:val="16"/>
              </w:rPr>
            </w:pPr>
            <w:r w:rsidRPr="00EF6860">
              <w:rPr>
                <w:rFonts w:cs="Arial"/>
                <w:sz w:val="16"/>
                <w:szCs w:val="16"/>
              </w:rPr>
              <w:t>Plectranthus L’Hér. excluding P. scutellarioides</w:t>
            </w:r>
          </w:p>
        </w:tc>
      </w:tr>
      <w:tr w:rsidR="00EF6860" w:rsidRPr="00EF6860" w:rsidTr="00FD65CE">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EF6860" w:rsidRPr="00EF6860" w:rsidRDefault="00EF6860" w:rsidP="00EF6860">
            <w:pPr>
              <w:rPr>
                <w:rFonts w:cs="Arial"/>
                <w:dstrike/>
                <w:sz w:val="16"/>
                <w:szCs w:val="16"/>
              </w:rPr>
            </w:pPr>
            <w:r w:rsidRPr="00EF6860">
              <w:rPr>
                <w:rFonts w:cs="Arial"/>
                <w:sz w:val="16"/>
                <w:szCs w:val="16"/>
              </w:rPr>
              <w:t>JP</w:t>
            </w:r>
          </w:p>
        </w:tc>
        <w:tc>
          <w:tcPr>
            <w:tcW w:w="590" w:type="dxa"/>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rPr>
                <w:rFonts w:cs="Arial"/>
                <w:dstrike/>
                <w:color w:val="000000"/>
                <w:sz w:val="16"/>
                <w:szCs w:val="16"/>
              </w:rPr>
            </w:pPr>
            <w:r w:rsidRPr="00EF6860">
              <w:rPr>
                <w:rFonts w:cs="Arial"/>
                <w:color w:val="000000"/>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ind w:left="-36"/>
              <w:jc w:val="left"/>
              <w:rPr>
                <w:rFonts w:cs="Arial"/>
                <w:dstrike/>
                <w:sz w:val="16"/>
                <w:szCs w:val="16"/>
              </w:rPr>
            </w:pPr>
            <w:r w:rsidRPr="00EF6860">
              <w:rPr>
                <w:rFonts w:cs="Arial"/>
                <w:sz w:val="16"/>
                <w:szCs w:val="16"/>
              </w:rPr>
              <w:t>TG/SALVI(proj.5)</w:t>
            </w:r>
          </w:p>
        </w:tc>
        <w:tc>
          <w:tcPr>
            <w:tcW w:w="1417" w:type="dxa"/>
            <w:gridSpan w:val="2"/>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jc w:val="left"/>
              <w:rPr>
                <w:rFonts w:cs="Arial"/>
                <w:dstrike/>
                <w:sz w:val="16"/>
                <w:szCs w:val="16"/>
              </w:rPr>
            </w:pPr>
            <w:r w:rsidRPr="00EF6860">
              <w:rPr>
                <w:rFonts w:cs="Arial"/>
                <w:sz w:val="16"/>
                <w:szCs w:val="16"/>
              </w:rPr>
              <w:t>Salvia, Sage</w:t>
            </w:r>
          </w:p>
        </w:tc>
        <w:tc>
          <w:tcPr>
            <w:tcW w:w="1418" w:type="dxa"/>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jc w:val="left"/>
              <w:rPr>
                <w:rFonts w:cs="Arial"/>
                <w:dstrike/>
                <w:sz w:val="16"/>
                <w:szCs w:val="16"/>
              </w:rPr>
            </w:pPr>
            <w:r w:rsidRPr="00EF6860">
              <w:rPr>
                <w:rFonts w:cs="Arial"/>
                <w:sz w:val="16"/>
                <w:szCs w:val="16"/>
              </w:rPr>
              <w:t>Sauge</w:t>
            </w:r>
          </w:p>
        </w:tc>
        <w:tc>
          <w:tcPr>
            <w:tcW w:w="1417" w:type="dxa"/>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jc w:val="left"/>
              <w:rPr>
                <w:rFonts w:cs="Arial"/>
                <w:dstrike/>
                <w:sz w:val="16"/>
                <w:szCs w:val="16"/>
              </w:rPr>
            </w:pPr>
            <w:r w:rsidRPr="00EF6860">
              <w:rPr>
                <w:rFonts w:cs="Arial"/>
                <w:sz w:val="16"/>
                <w:szCs w:val="16"/>
              </w:rPr>
              <w:t>Salbei; Salvie</w:t>
            </w:r>
          </w:p>
        </w:tc>
        <w:tc>
          <w:tcPr>
            <w:tcW w:w="1418" w:type="dxa"/>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jc w:val="left"/>
              <w:rPr>
                <w:rFonts w:cs="Arial"/>
                <w:dstrike/>
                <w:sz w:val="16"/>
                <w:szCs w:val="16"/>
              </w:rPr>
            </w:pPr>
            <w:r w:rsidRPr="00EF6860">
              <w:rPr>
                <w:rFonts w:cs="Arial"/>
                <w:sz w:val="16"/>
                <w:szCs w:val="16"/>
              </w:rPr>
              <w:t xml:space="preserve">Salvia </w:t>
            </w:r>
          </w:p>
        </w:tc>
        <w:tc>
          <w:tcPr>
            <w:tcW w:w="1700" w:type="dxa"/>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jc w:val="left"/>
              <w:rPr>
                <w:rFonts w:cs="Arial"/>
                <w:sz w:val="16"/>
                <w:szCs w:val="16"/>
              </w:rPr>
            </w:pPr>
            <w:r w:rsidRPr="00EF6860">
              <w:rPr>
                <w:rFonts w:cs="Arial"/>
                <w:sz w:val="16"/>
                <w:szCs w:val="16"/>
              </w:rPr>
              <w:t>Salvia L.</w:t>
            </w:r>
          </w:p>
        </w:tc>
      </w:tr>
      <w:tr w:rsidR="00EF6860" w:rsidRPr="00AC67A0" w:rsidTr="00FD65CE">
        <w:tblPrEx>
          <w:tblLook w:val="0000" w:firstRow="0" w:lastRow="0" w:firstColumn="0" w:lastColumn="0" w:noHBand="0" w:noVBand="0"/>
        </w:tblPrEx>
        <w:trPr>
          <w:cantSplit/>
          <w:trHeight w:val="255"/>
        </w:trPr>
        <w:tc>
          <w:tcPr>
            <w:tcW w:w="9934" w:type="dxa"/>
            <w:gridSpan w:val="9"/>
            <w:tcBorders>
              <w:top w:val="nil"/>
              <w:left w:val="single" w:sz="4" w:space="0" w:color="auto"/>
              <w:bottom w:val="single" w:sz="4" w:space="0" w:color="auto"/>
              <w:right w:val="single" w:sz="4" w:space="0" w:color="auto"/>
            </w:tcBorders>
            <w:shd w:val="clear" w:color="auto" w:fill="auto"/>
          </w:tcPr>
          <w:p w:rsidR="00EF6860" w:rsidRPr="00EF6860" w:rsidRDefault="00EF6860" w:rsidP="00EF6860">
            <w:pPr>
              <w:spacing w:before="60" w:after="120"/>
              <w:ind w:left="-36"/>
              <w:jc w:val="left"/>
              <w:rPr>
                <w:rFonts w:eastAsia="MS Mincho" w:cs="Arial"/>
                <w:bCs/>
                <w:sz w:val="16"/>
                <w:szCs w:val="16"/>
                <w:u w:val="single"/>
                <w:lang w:val="fr-FR" w:eastAsia="ja-JP"/>
              </w:rPr>
            </w:pPr>
            <w:r w:rsidRPr="00EF6860">
              <w:rPr>
                <w:rFonts w:eastAsia="MS Mincho" w:cs="Arial"/>
                <w:b/>
                <w:bCs/>
                <w:sz w:val="16"/>
                <w:szCs w:val="16"/>
                <w:u w:val="single"/>
                <w:lang w:val="fr-FR" w:eastAsia="ja-JP"/>
              </w:rPr>
              <w:t> </w:t>
            </w:r>
            <w:r w:rsidRPr="00EF6860">
              <w:rPr>
                <w:rFonts w:cs="Arial"/>
                <w:bCs/>
                <w:sz w:val="16"/>
                <w:szCs w:val="16"/>
                <w:u w:val="single"/>
                <w:lang w:val="fr-FR"/>
              </w:rPr>
              <w:t xml:space="preserve">REVISIONS OF TEST GUIDELINES / </w:t>
            </w:r>
            <w:r w:rsidRPr="00EF6860">
              <w:rPr>
                <w:rFonts w:cs="Arial"/>
                <w:sz w:val="16"/>
                <w:szCs w:val="16"/>
                <w:u w:val="single"/>
                <w:lang w:val="fr-FR"/>
              </w:rPr>
              <w:t>RÉVISIONS DE PRINCIPES DIRECTEURS D’EXAMEN ADOPTÉS / REVISIONEN ANGENOMMENER PRÜFUNGSRICHTLINIEN / REVISIONES DE DIRECTRICES DE EXAMEN ADOPTADAS</w:t>
            </w:r>
          </w:p>
        </w:tc>
      </w:tr>
      <w:tr w:rsidR="00EF6860" w:rsidRPr="00EF6860" w:rsidTr="00FD65CE">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EF6860" w:rsidRPr="00EF6860" w:rsidRDefault="00EF6860" w:rsidP="00EF6860">
            <w:pPr>
              <w:rPr>
                <w:rFonts w:cs="Arial"/>
                <w:dstrike/>
                <w:sz w:val="16"/>
              </w:rPr>
            </w:pPr>
            <w:r w:rsidRPr="00EF6860">
              <w:rPr>
                <w:rFonts w:cs="Arial"/>
                <w:sz w:val="16"/>
              </w:rPr>
              <w:t>DE</w:t>
            </w:r>
          </w:p>
        </w:tc>
        <w:tc>
          <w:tcPr>
            <w:tcW w:w="590" w:type="dxa"/>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rPr>
                <w:rFonts w:cs="Arial"/>
                <w:dstrike/>
                <w:sz w:val="16"/>
              </w:rPr>
            </w:pPr>
            <w:r w:rsidRPr="00EF6860">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ind w:left="-36"/>
              <w:rPr>
                <w:rFonts w:cs="Arial"/>
                <w:dstrike/>
                <w:sz w:val="16"/>
              </w:rPr>
            </w:pPr>
            <w:r w:rsidRPr="00EF6860">
              <w:rPr>
                <w:rFonts w:cs="Arial"/>
                <w:sz w:val="16"/>
              </w:rPr>
              <w:t>TG/200/2(proj.4)</w:t>
            </w:r>
          </w:p>
        </w:tc>
        <w:tc>
          <w:tcPr>
            <w:tcW w:w="1275" w:type="dxa"/>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jc w:val="left"/>
              <w:rPr>
                <w:rFonts w:cs="Arial"/>
                <w:dstrike/>
                <w:sz w:val="16"/>
              </w:rPr>
            </w:pPr>
            <w:r w:rsidRPr="00EF6860">
              <w:rPr>
                <w:rFonts w:cs="Arial"/>
                <w:sz w:val="16"/>
              </w:rPr>
              <w:t>Basil</w:t>
            </w:r>
          </w:p>
        </w:tc>
        <w:tc>
          <w:tcPr>
            <w:tcW w:w="1418" w:type="dxa"/>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jc w:val="left"/>
              <w:rPr>
                <w:rFonts w:cs="Arial"/>
                <w:dstrike/>
                <w:sz w:val="16"/>
              </w:rPr>
            </w:pPr>
            <w:r w:rsidRPr="00EF6860">
              <w:rPr>
                <w:rFonts w:cs="Arial"/>
                <w:sz w:val="16"/>
              </w:rPr>
              <w:t>Basilic</w:t>
            </w:r>
          </w:p>
        </w:tc>
        <w:tc>
          <w:tcPr>
            <w:tcW w:w="1417" w:type="dxa"/>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jc w:val="left"/>
              <w:rPr>
                <w:rFonts w:cs="Arial"/>
                <w:dstrike/>
                <w:sz w:val="16"/>
              </w:rPr>
            </w:pPr>
            <w:r w:rsidRPr="00EF6860">
              <w:rPr>
                <w:rFonts w:cs="Arial"/>
                <w:sz w:val="16"/>
              </w:rPr>
              <w:t>Basilikum</w:t>
            </w:r>
          </w:p>
        </w:tc>
        <w:tc>
          <w:tcPr>
            <w:tcW w:w="1418" w:type="dxa"/>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jc w:val="left"/>
              <w:rPr>
                <w:rFonts w:cs="Arial"/>
                <w:dstrike/>
                <w:sz w:val="16"/>
              </w:rPr>
            </w:pPr>
            <w:r w:rsidRPr="00EF6860">
              <w:rPr>
                <w:rFonts w:cs="Arial"/>
                <w:sz w:val="16"/>
              </w:rPr>
              <w:t>Albahaca</w:t>
            </w:r>
          </w:p>
        </w:tc>
        <w:tc>
          <w:tcPr>
            <w:tcW w:w="1700" w:type="dxa"/>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jc w:val="left"/>
              <w:rPr>
                <w:rFonts w:cs="Arial"/>
                <w:sz w:val="16"/>
              </w:rPr>
            </w:pPr>
            <w:r w:rsidRPr="00EF6860">
              <w:rPr>
                <w:rFonts w:cs="Arial"/>
                <w:sz w:val="16"/>
              </w:rPr>
              <w:t>Ocimum basilicum L.</w:t>
            </w:r>
          </w:p>
        </w:tc>
      </w:tr>
      <w:tr w:rsidR="00EF6860" w:rsidRPr="00EF6860" w:rsidTr="00FD65CE">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EF6860" w:rsidRPr="00EF6860" w:rsidRDefault="00EF6860" w:rsidP="00EF6860">
            <w:pPr>
              <w:rPr>
                <w:rFonts w:cs="Arial"/>
                <w:dstrike/>
                <w:sz w:val="16"/>
              </w:rPr>
            </w:pPr>
            <w:r w:rsidRPr="00EF6860">
              <w:rPr>
                <w:rFonts w:cs="Arial"/>
                <w:sz w:val="16"/>
              </w:rPr>
              <w:t>DE</w:t>
            </w:r>
          </w:p>
        </w:tc>
        <w:tc>
          <w:tcPr>
            <w:tcW w:w="590" w:type="dxa"/>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rPr>
                <w:rFonts w:cs="Arial"/>
                <w:dstrike/>
                <w:sz w:val="16"/>
              </w:rPr>
            </w:pPr>
            <w:r w:rsidRPr="00EF6860">
              <w:rPr>
                <w:rFonts w:cs="Arial"/>
                <w:sz w:val="16"/>
              </w:rPr>
              <w:t>TWO</w:t>
            </w:r>
          </w:p>
        </w:tc>
        <w:tc>
          <w:tcPr>
            <w:tcW w:w="1632" w:type="dxa"/>
            <w:gridSpan w:val="2"/>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ind w:left="-36"/>
              <w:rPr>
                <w:rFonts w:cs="Arial"/>
                <w:dstrike/>
                <w:sz w:val="16"/>
              </w:rPr>
            </w:pPr>
            <w:r w:rsidRPr="00EF6860">
              <w:rPr>
                <w:rFonts w:cs="Arial"/>
                <w:sz w:val="16"/>
              </w:rPr>
              <w:t>TG/207/2(proj.4)</w:t>
            </w:r>
          </w:p>
        </w:tc>
        <w:tc>
          <w:tcPr>
            <w:tcW w:w="1275" w:type="dxa"/>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jc w:val="left"/>
              <w:rPr>
                <w:rFonts w:cs="Arial"/>
                <w:dstrike/>
                <w:sz w:val="16"/>
              </w:rPr>
            </w:pPr>
            <w:r w:rsidRPr="00EF6860">
              <w:rPr>
                <w:rFonts w:cs="Arial"/>
                <w:sz w:val="16"/>
              </w:rPr>
              <w:t>Calibrachoa</w:t>
            </w:r>
          </w:p>
        </w:tc>
        <w:tc>
          <w:tcPr>
            <w:tcW w:w="1418" w:type="dxa"/>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jc w:val="left"/>
              <w:rPr>
                <w:rFonts w:cs="Arial"/>
                <w:dstrike/>
                <w:sz w:val="16"/>
              </w:rPr>
            </w:pPr>
            <w:r w:rsidRPr="00EF6860">
              <w:rPr>
                <w:rFonts w:cs="Arial"/>
                <w:sz w:val="16"/>
              </w:rPr>
              <w:t>Calibrachoa</w:t>
            </w:r>
          </w:p>
        </w:tc>
        <w:tc>
          <w:tcPr>
            <w:tcW w:w="1417" w:type="dxa"/>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jc w:val="left"/>
              <w:rPr>
                <w:rFonts w:cs="Arial"/>
                <w:dstrike/>
                <w:sz w:val="16"/>
              </w:rPr>
            </w:pPr>
            <w:r w:rsidRPr="00EF6860">
              <w:rPr>
                <w:rFonts w:cs="Arial"/>
                <w:sz w:val="16"/>
              </w:rPr>
              <w:t>Calibrachoa</w:t>
            </w:r>
          </w:p>
        </w:tc>
        <w:tc>
          <w:tcPr>
            <w:tcW w:w="1418" w:type="dxa"/>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jc w:val="left"/>
              <w:rPr>
                <w:rFonts w:cs="Arial"/>
                <w:dstrike/>
                <w:sz w:val="16"/>
              </w:rPr>
            </w:pPr>
            <w:r w:rsidRPr="00EF6860">
              <w:rPr>
                <w:rFonts w:cs="Arial"/>
                <w:sz w:val="16"/>
              </w:rPr>
              <w:t>Calibrachoa</w:t>
            </w:r>
          </w:p>
        </w:tc>
        <w:tc>
          <w:tcPr>
            <w:tcW w:w="1700" w:type="dxa"/>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jc w:val="left"/>
              <w:rPr>
                <w:rFonts w:cs="Arial"/>
                <w:sz w:val="16"/>
              </w:rPr>
            </w:pPr>
            <w:r w:rsidRPr="00EF6860">
              <w:rPr>
                <w:rFonts w:cs="Arial"/>
                <w:sz w:val="16"/>
              </w:rPr>
              <w:t>Calibrachoa Cerv.</w:t>
            </w:r>
          </w:p>
        </w:tc>
      </w:tr>
      <w:tr w:rsidR="00EF6860" w:rsidRPr="00AC67A0" w:rsidTr="00FD65CE">
        <w:tblPrEx>
          <w:tblLook w:val="0000" w:firstRow="0" w:lastRow="0" w:firstColumn="0" w:lastColumn="0" w:noHBand="0" w:noVBand="0"/>
        </w:tblPrEx>
        <w:trPr>
          <w:cantSplit/>
          <w:trHeight w:val="255"/>
        </w:trPr>
        <w:tc>
          <w:tcPr>
            <w:tcW w:w="9934" w:type="dxa"/>
            <w:gridSpan w:val="9"/>
            <w:tcBorders>
              <w:top w:val="nil"/>
              <w:left w:val="single" w:sz="4" w:space="0" w:color="auto"/>
              <w:bottom w:val="single" w:sz="4" w:space="0" w:color="auto"/>
              <w:right w:val="single" w:sz="4" w:space="0" w:color="auto"/>
            </w:tcBorders>
            <w:shd w:val="clear" w:color="auto" w:fill="auto"/>
          </w:tcPr>
          <w:p w:rsidR="00EF6860" w:rsidRPr="00EF6860" w:rsidRDefault="00EF6860" w:rsidP="00EF6860">
            <w:pPr>
              <w:keepNext/>
              <w:spacing w:before="60" w:after="120"/>
              <w:ind w:left="-36"/>
              <w:jc w:val="left"/>
              <w:rPr>
                <w:rFonts w:eastAsia="MS Mincho" w:cs="Arial"/>
                <w:bCs/>
                <w:sz w:val="16"/>
                <w:szCs w:val="16"/>
                <w:u w:val="single"/>
                <w:lang w:val="fr-FR" w:eastAsia="ja-JP"/>
              </w:rPr>
            </w:pPr>
            <w:r w:rsidRPr="00EF6860">
              <w:rPr>
                <w:rFonts w:cs="Arial"/>
                <w:bCs/>
                <w:sz w:val="16"/>
                <w:szCs w:val="16"/>
                <w:u w:val="single"/>
                <w:lang w:val="fr-FR"/>
              </w:rPr>
              <w:t xml:space="preserve">PARTIAL REVISIONS OF TEST GUIDELINES / </w:t>
            </w:r>
            <w:r w:rsidRPr="00EF6860">
              <w:rPr>
                <w:rFonts w:cs="Arial"/>
                <w:sz w:val="16"/>
                <w:szCs w:val="16"/>
                <w:u w:val="single"/>
                <w:lang w:val="fr-FR"/>
              </w:rPr>
              <w:t>RÉVISIONS PARTIELLES DE PRINCIPES DIRECTEURS D’EXAMEN ADOPTÉS /</w:t>
            </w:r>
            <w:r w:rsidRPr="00EF6860">
              <w:rPr>
                <w:rFonts w:cs="Arial"/>
                <w:sz w:val="16"/>
                <w:szCs w:val="16"/>
                <w:u w:val="single"/>
                <w:lang w:val="fr-FR"/>
              </w:rPr>
              <w:br/>
              <w:t>TEILREVISIONEN ANGENOMMENER PRÜFUNGSRICHTLINIEN / REVISIONES PARCIALES DE DIRECTRICES DE EXAMEN ADOPTADAS</w:t>
            </w:r>
          </w:p>
        </w:tc>
      </w:tr>
      <w:tr w:rsidR="00EF6860" w:rsidRPr="00AC67A0" w:rsidTr="00FD65CE">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EF6860" w:rsidRPr="00EF6860" w:rsidRDefault="00EF6860" w:rsidP="00EF6860">
            <w:pPr>
              <w:rPr>
                <w:rFonts w:cs="Arial"/>
                <w:dstrike/>
                <w:sz w:val="16"/>
              </w:rPr>
            </w:pPr>
            <w:r w:rsidRPr="00EF6860">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rPr>
                <w:rFonts w:cs="Arial"/>
                <w:dstrike/>
                <w:sz w:val="16"/>
              </w:rPr>
            </w:pPr>
            <w:r w:rsidRPr="00EF6860">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jc w:val="left"/>
              <w:rPr>
                <w:rFonts w:cs="Arial"/>
                <w:dstrike/>
                <w:sz w:val="16"/>
              </w:rPr>
            </w:pPr>
            <w:r w:rsidRPr="00EF6860">
              <w:rPr>
                <w:rFonts w:cs="Arial"/>
                <w:sz w:val="16"/>
              </w:rPr>
              <w:t>TG/45/7 (document TC/52/27)</w:t>
            </w:r>
          </w:p>
        </w:tc>
        <w:tc>
          <w:tcPr>
            <w:tcW w:w="1275" w:type="dxa"/>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jc w:val="left"/>
              <w:rPr>
                <w:rFonts w:cs="Arial"/>
                <w:dstrike/>
                <w:sz w:val="16"/>
              </w:rPr>
            </w:pPr>
            <w:r w:rsidRPr="00EF6860">
              <w:rPr>
                <w:rFonts w:cs="Arial"/>
                <w:sz w:val="16"/>
              </w:rPr>
              <w:t>Cauliflower</w:t>
            </w:r>
          </w:p>
        </w:tc>
        <w:tc>
          <w:tcPr>
            <w:tcW w:w="1418" w:type="dxa"/>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jc w:val="left"/>
              <w:rPr>
                <w:rFonts w:cs="Arial"/>
                <w:dstrike/>
                <w:sz w:val="16"/>
              </w:rPr>
            </w:pPr>
            <w:r w:rsidRPr="00EF6860">
              <w:rPr>
                <w:sz w:val="16"/>
              </w:rPr>
              <w:t>Chou-fleur</w:t>
            </w:r>
          </w:p>
        </w:tc>
        <w:tc>
          <w:tcPr>
            <w:tcW w:w="1417" w:type="dxa"/>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jc w:val="left"/>
              <w:rPr>
                <w:rFonts w:cs="Arial"/>
                <w:dstrike/>
                <w:sz w:val="16"/>
              </w:rPr>
            </w:pPr>
            <w:r w:rsidRPr="00EF6860">
              <w:rPr>
                <w:sz w:val="16"/>
              </w:rPr>
              <w:t>Blumenkohl</w:t>
            </w:r>
          </w:p>
        </w:tc>
        <w:tc>
          <w:tcPr>
            <w:tcW w:w="1418" w:type="dxa"/>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jc w:val="left"/>
              <w:rPr>
                <w:rFonts w:cs="Arial"/>
                <w:dstrike/>
                <w:sz w:val="16"/>
              </w:rPr>
            </w:pPr>
            <w:r w:rsidRPr="00EF6860">
              <w:rPr>
                <w:sz w:val="16"/>
              </w:rPr>
              <w:t>Coliflor</w:t>
            </w:r>
          </w:p>
        </w:tc>
        <w:tc>
          <w:tcPr>
            <w:tcW w:w="1700" w:type="dxa"/>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jc w:val="left"/>
              <w:rPr>
                <w:rFonts w:cs="Arial"/>
                <w:sz w:val="16"/>
                <w:lang w:val="pt-BR"/>
              </w:rPr>
            </w:pPr>
            <w:r w:rsidRPr="00EF6860">
              <w:rPr>
                <w:rFonts w:cs="Arial"/>
                <w:sz w:val="16"/>
                <w:lang w:val="pt-BR"/>
              </w:rPr>
              <w:t>Brassica oleracea L. convar. botrytis (L.) Alef. var. botrytis,</w:t>
            </w:r>
          </w:p>
          <w:p w:rsidR="00EF6860" w:rsidRPr="00EF6860" w:rsidRDefault="00EF6860" w:rsidP="00EF6860">
            <w:pPr>
              <w:jc w:val="left"/>
              <w:rPr>
                <w:rFonts w:cs="Arial"/>
                <w:sz w:val="16"/>
                <w:lang w:val="pt-BR"/>
              </w:rPr>
            </w:pPr>
            <w:r w:rsidRPr="00EF6860">
              <w:rPr>
                <w:rFonts w:cs="Arial"/>
                <w:sz w:val="16"/>
                <w:lang w:val="pt-BR"/>
              </w:rPr>
              <w:t>Brassica caulifloria Lizg.</w:t>
            </w:r>
          </w:p>
        </w:tc>
      </w:tr>
      <w:tr w:rsidR="00EF6860" w:rsidRPr="00EF6860" w:rsidTr="00FD65CE">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EF6860" w:rsidRPr="00EF6860" w:rsidRDefault="00EF6860" w:rsidP="00EF6860">
            <w:pPr>
              <w:rPr>
                <w:rFonts w:cs="Arial"/>
                <w:dstrike/>
                <w:sz w:val="16"/>
              </w:rPr>
            </w:pPr>
            <w:r w:rsidRPr="00EF6860">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rPr>
                <w:rFonts w:cs="Arial"/>
                <w:dstrike/>
                <w:sz w:val="16"/>
              </w:rPr>
            </w:pPr>
            <w:r w:rsidRPr="00EF6860">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jc w:val="left"/>
              <w:rPr>
                <w:rFonts w:cs="Arial"/>
                <w:dstrike/>
                <w:sz w:val="16"/>
              </w:rPr>
            </w:pPr>
            <w:r w:rsidRPr="00EF6860">
              <w:rPr>
                <w:rFonts w:cs="Arial"/>
                <w:sz w:val="16"/>
              </w:rPr>
              <w:t>TG/48/7 (document TC/52/27)</w:t>
            </w:r>
          </w:p>
        </w:tc>
        <w:tc>
          <w:tcPr>
            <w:tcW w:w="1275" w:type="dxa"/>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jc w:val="left"/>
              <w:rPr>
                <w:rFonts w:cs="Arial"/>
                <w:dstrike/>
                <w:sz w:val="16"/>
              </w:rPr>
            </w:pPr>
            <w:r w:rsidRPr="00EF6860">
              <w:rPr>
                <w:rFonts w:cs="Arial"/>
                <w:sz w:val="16"/>
              </w:rPr>
              <w:t>Cabbage</w:t>
            </w:r>
          </w:p>
        </w:tc>
        <w:tc>
          <w:tcPr>
            <w:tcW w:w="1418" w:type="dxa"/>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jc w:val="left"/>
              <w:rPr>
                <w:rFonts w:cs="Arial"/>
                <w:dstrike/>
                <w:sz w:val="16"/>
              </w:rPr>
            </w:pPr>
            <w:r w:rsidRPr="00EF6860">
              <w:rPr>
                <w:rFonts w:cs="Arial"/>
                <w:sz w:val="16"/>
              </w:rPr>
              <w:t>Chou pommé</w:t>
            </w:r>
          </w:p>
        </w:tc>
        <w:tc>
          <w:tcPr>
            <w:tcW w:w="1417" w:type="dxa"/>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jc w:val="left"/>
              <w:rPr>
                <w:rFonts w:cs="Arial"/>
                <w:dstrike/>
                <w:sz w:val="16"/>
              </w:rPr>
            </w:pPr>
            <w:r w:rsidRPr="00EF6860">
              <w:rPr>
                <w:rFonts w:cs="Arial"/>
                <w:sz w:val="16"/>
              </w:rPr>
              <w:t xml:space="preserve">Kopfkohl </w:t>
            </w:r>
          </w:p>
        </w:tc>
        <w:tc>
          <w:tcPr>
            <w:tcW w:w="1418" w:type="dxa"/>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jc w:val="left"/>
              <w:rPr>
                <w:rFonts w:cs="Arial"/>
                <w:dstrike/>
                <w:sz w:val="16"/>
              </w:rPr>
            </w:pPr>
            <w:r w:rsidRPr="00EF6860">
              <w:rPr>
                <w:rFonts w:cs="Arial"/>
                <w:sz w:val="16"/>
              </w:rPr>
              <w:t xml:space="preserve">Col, Repollo </w:t>
            </w:r>
          </w:p>
        </w:tc>
        <w:tc>
          <w:tcPr>
            <w:tcW w:w="1700" w:type="dxa"/>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jc w:val="left"/>
              <w:rPr>
                <w:rFonts w:cs="Arial"/>
                <w:sz w:val="16"/>
              </w:rPr>
            </w:pPr>
            <w:r w:rsidRPr="00EF6860">
              <w:rPr>
                <w:rFonts w:cs="Arial"/>
                <w:sz w:val="16"/>
                <w:lang w:val="pt-BR"/>
              </w:rPr>
              <w:t xml:space="preserve">Brassica oleracea L. convar. capitata (L.) </w:t>
            </w:r>
            <w:r w:rsidRPr="00EF6860">
              <w:rPr>
                <w:rFonts w:cs="Arial"/>
                <w:sz w:val="16"/>
              </w:rPr>
              <w:t>Alef.</w:t>
            </w:r>
          </w:p>
        </w:tc>
      </w:tr>
      <w:tr w:rsidR="00EF6860" w:rsidRPr="00AC67A0" w:rsidTr="00FD65CE">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EF6860" w:rsidRPr="00EF6860" w:rsidRDefault="00EF6860" w:rsidP="00EF6860">
            <w:pPr>
              <w:rPr>
                <w:rFonts w:cs="Arial"/>
                <w:dstrike/>
                <w:sz w:val="16"/>
              </w:rPr>
            </w:pPr>
            <w:r w:rsidRPr="00EF6860">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rPr>
                <w:rFonts w:cs="Arial"/>
                <w:dstrike/>
                <w:sz w:val="16"/>
              </w:rPr>
            </w:pPr>
            <w:r w:rsidRPr="00EF6860">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jc w:val="left"/>
              <w:rPr>
                <w:rFonts w:cs="Arial"/>
                <w:dstrike/>
                <w:sz w:val="16"/>
              </w:rPr>
            </w:pPr>
            <w:r w:rsidRPr="00EF6860">
              <w:rPr>
                <w:rFonts w:cs="Arial"/>
                <w:sz w:val="16"/>
              </w:rPr>
              <w:t>TG/54/7 (document TC/52/27)</w:t>
            </w:r>
          </w:p>
        </w:tc>
        <w:tc>
          <w:tcPr>
            <w:tcW w:w="1275" w:type="dxa"/>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jc w:val="left"/>
              <w:rPr>
                <w:rFonts w:cs="Arial"/>
                <w:dstrike/>
                <w:sz w:val="16"/>
              </w:rPr>
            </w:pPr>
            <w:r w:rsidRPr="00EF6860">
              <w:rPr>
                <w:rFonts w:cs="Arial"/>
                <w:sz w:val="16"/>
              </w:rPr>
              <w:t>Brussels Sprouts</w:t>
            </w:r>
          </w:p>
        </w:tc>
        <w:tc>
          <w:tcPr>
            <w:tcW w:w="1418" w:type="dxa"/>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jc w:val="left"/>
              <w:rPr>
                <w:rFonts w:cs="Arial"/>
                <w:dstrike/>
                <w:sz w:val="16"/>
              </w:rPr>
            </w:pPr>
            <w:r w:rsidRPr="00EF6860">
              <w:rPr>
                <w:rFonts w:cs="Arial"/>
                <w:sz w:val="16"/>
              </w:rPr>
              <w:t>Chou de Bruxelles</w:t>
            </w:r>
          </w:p>
        </w:tc>
        <w:tc>
          <w:tcPr>
            <w:tcW w:w="1417" w:type="dxa"/>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jc w:val="left"/>
              <w:rPr>
                <w:rFonts w:cs="Arial"/>
                <w:dstrike/>
                <w:sz w:val="16"/>
              </w:rPr>
            </w:pPr>
            <w:r w:rsidRPr="00EF6860">
              <w:rPr>
                <w:rFonts w:cs="Arial"/>
                <w:sz w:val="16"/>
              </w:rPr>
              <w:t>Rosenkohl</w:t>
            </w:r>
          </w:p>
        </w:tc>
        <w:tc>
          <w:tcPr>
            <w:tcW w:w="1418" w:type="dxa"/>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jc w:val="left"/>
              <w:rPr>
                <w:rFonts w:cs="Arial"/>
                <w:dstrike/>
                <w:sz w:val="16"/>
              </w:rPr>
            </w:pPr>
            <w:r w:rsidRPr="00EF6860">
              <w:rPr>
                <w:rFonts w:cs="Arial"/>
                <w:sz w:val="16"/>
              </w:rPr>
              <w:t>Col de Bruselas</w:t>
            </w:r>
          </w:p>
        </w:tc>
        <w:tc>
          <w:tcPr>
            <w:tcW w:w="1700" w:type="dxa"/>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jc w:val="left"/>
              <w:rPr>
                <w:rFonts w:cs="Arial"/>
                <w:sz w:val="16"/>
                <w:lang w:val="pt-BR"/>
              </w:rPr>
            </w:pPr>
            <w:r w:rsidRPr="00EF6860">
              <w:rPr>
                <w:rFonts w:cs="Arial"/>
                <w:sz w:val="16"/>
                <w:lang w:val="pt-BR"/>
              </w:rPr>
              <w:t>Brassica oleracea L. var. gemmifera DC.</w:t>
            </w:r>
          </w:p>
        </w:tc>
      </w:tr>
      <w:tr w:rsidR="00EF6860" w:rsidRPr="00EF6860" w:rsidTr="00FD65CE">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EF6860" w:rsidRPr="00EF6860" w:rsidRDefault="00EF6860" w:rsidP="00EF6860">
            <w:pPr>
              <w:rPr>
                <w:rFonts w:cs="Arial"/>
                <w:dstrike/>
                <w:sz w:val="16"/>
              </w:rPr>
            </w:pPr>
            <w:r w:rsidRPr="00EF6860">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rPr>
                <w:rFonts w:cs="Arial"/>
                <w:dstrike/>
                <w:sz w:val="16"/>
              </w:rPr>
            </w:pPr>
            <w:r w:rsidRPr="00EF6860">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jc w:val="left"/>
              <w:rPr>
                <w:rFonts w:cs="Arial"/>
                <w:dstrike/>
                <w:sz w:val="16"/>
              </w:rPr>
            </w:pPr>
            <w:r w:rsidRPr="00EF6860">
              <w:rPr>
                <w:rFonts w:cs="Arial"/>
                <w:sz w:val="16"/>
              </w:rPr>
              <w:t>TG/55/7 Rev. 3 (document TC/52/25)</w:t>
            </w:r>
          </w:p>
        </w:tc>
        <w:tc>
          <w:tcPr>
            <w:tcW w:w="1275" w:type="dxa"/>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jc w:val="left"/>
              <w:rPr>
                <w:rFonts w:cs="Arial"/>
                <w:dstrike/>
                <w:sz w:val="16"/>
              </w:rPr>
            </w:pPr>
            <w:r w:rsidRPr="00EF6860">
              <w:rPr>
                <w:rFonts w:cs="Arial"/>
                <w:sz w:val="16"/>
              </w:rPr>
              <w:t>Spinach</w:t>
            </w:r>
          </w:p>
        </w:tc>
        <w:tc>
          <w:tcPr>
            <w:tcW w:w="1418" w:type="dxa"/>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jc w:val="left"/>
              <w:rPr>
                <w:rFonts w:cs="Arial"/>
                <w:dstrike/>
                <w:sz w:val="16"/>
              </w:rPr>
            </w:pPr>
            <w:r w:rsidRPr="00EF6860">
              <w:rPr>
                <w:rFonts w:cs="Arial"/>
                <w:sz w:val="16"/>
              </w:rPr>
              <w:t>Épinard</w:t>
            </w:r>
          </w:p>
        </w:tc>
        <w:tc>
          <w:tcPr>
            <w:tcW w:w="1417" w:type="dxa"/>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jc w:val="left"/>
              <w:rPr>
                <w:rFonts w:cs="Arial"/>
                <w:dstrike/>
                <w:sz w:val="16"/>
              </w:rPr>
            </w:pPr>
            <w:r w:rsidRPr="00EF6860">
              <w:rPr>
                <w:rFonts w:cs="Arial"/>
                <w:sz w:val="16"/>
              </w:rPr>
              <w:t>Spinat</w:t>
            </w:r>
          </w:p>
        </w:tc>
        <w:tc>
          <w:tcPr>
            <w:tcW w:w="1418" w:type="dxa"/>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jc w:val="left"/>
              <w:rPr>
                <w:rFonts w:cs="Arial"/>
                <w:dstrike/>
                <w:sz w:val="16"/>
              </w:rPr>
            </w:pPr>
            <w:r w:rsidRPr="00EF6860">
              <w:rPr>
                <w:rFonts w:cs="Arial"/>
                <w:sz w:val="16"/>
              </w:rPr>
              <w:t>Espinaca</w:t>
            </w:r>
          </w:p>
        </w:tc>
        <w:tc>
          <w:tcPr>
            <w:tcW w:w="1700" w:type="dxa"/>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jc w:val="left"/>
              <w:rPr>
                <w:rFonts w:cs="Arial"/>
                <w:sz w:val="16"/>
              </w:rPr>
            </w:pPr>
            <w:r w:rsidRPr="00EF6860">
              <w:rPr>
                <w:rFonts w:cs="Arial"/>
                <w:sz w:val="16"/>
              </w:rPr>
              <w:t>Spinacia oleracea L.</w:t>
            </w:r>
          </w:p>
        </w:tc>
      </w:tr>
      <w:tr w:rsidR="00EF6860" w:rsidRPr="00AC67A0" w:rsidTr="00FD65CE">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EF6860" w:rsidRPr="00EF6860" w:rsidRDefault="00EF6860" w:rsidP="00EF6860">
            <w:pPr>
              <w:rPr>
                <w:rFonts w:cs="Arial"/>
                <w:dstrike/>
                <w:sz w:val="16"/>
              </w:rPr>
            </w:pPr>
            <w:r w:rsidRPr="00EF6860">
              <w:rPr>
                <w:rFonts w:cs="Arial"/>
                <w:sz w:val="16"/>
              </w:rPr>
              <w:t>DE</w:t>
            </w:r>
          </w:p>
        </w:tc>
        <w:tc>
          <w:tcPr>
            <w:tcW w:w="590" w:type="dxa"/>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rPr>
                <w:rFonts w:cs="Arial"/>
                <w:dstrike/>
                <w:sz w:val="16"/>
              </w:rPr>
            </w:pPr>
            <w:r w:rsidRPr="00EF6860">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jc w:val="left"/>
              <w:rPr>
                <w:rFonts w:cs="Arial"/>
                <w:dstrike/>
                <w:sz w:val="16"/>
              </w:rPr>
            </w:pPr>
            <w:r w:rsidRPr="00EF6860">
              <w:rPr>
                <w:rFonts w:cs="Arial"/>
                <w:sz w:val="16"/>
              </w:rPr>
              <w:t>TG/63/7 - TG/64/7 (document TC/52/24)</w:t>
            </w:r>
          </w:p>
        </w:tc>
        <w:tc>
          <w:tcPr>
            <w:tcW w:w="1275" w:type="dxa"/>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jc w:val="left"/>
              <w:rPr>
                <w:rFonts w:cs="Arial"/>
                <w:dstrike/>
                <w:sz w:val="16"/>
              </w:rPr>
            </w:pPr>
            <w:r w:rsidRPr="00EF6860">
              <w:rPr>
                <w:rFonts w:cs="Arial"/>
                <w:sz w:val="16"/>
              </w:rPr>
              <w:t xml:space="preserve">Black Radish </w:t>
            </w:r>
          </w:p>
        </w:tc>
        <w:tc>
          <w:tcPr>
            <w:tcW w:w="1418" w:type="dxa"/>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jc w:val="left"/>
              <w:rPr>
                <w:rFonts w:cs="Arial"/>
                <w:dstrike/>
                <w:sz w:val="16"/>
                <w:lang w:val="fr-FR"/>
              </w:rPr>
            </w:pPr>
            <w:r w:rsidRPr="00EF6860">
              <w:rPr>
                <w:rFonts w:cs="Arial"/>
                <w:sz w:val="16"/>
                <w:lang w:val="fr-FR"/>
              </w:rPr>
              <w:t>Radis d’été, d’automne et d’hiver</w:t>
            </w:r>
          </w:p>
        </w:tc>
        <w:tc>
          <w:tcPr>
            <w:tcW w:w="1417" w:type="dxa"/>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jc w:val="left"/>
              <w:rPr>
                <w:rFonts w:cs="Arial"/>
                <w:dstrike/>
                <w:sz w:val="16"/>
              </w:rPr>
            </w:pPr>
            <w:r w:rsidRPr="00EF6860">
              <w:rPr>
                <w:rFonts w:cs="Arial"/>
                <w:sz w:val="16"/>
              </w:rPr>
              <w:t xml:space="preserve">Rettich </w:t>
            </w:r>
          </w:p>
        </w:tc>
        <w:tc>
          <w:tcPr>
            <w:tcW w:w="1418" w:type="dxa"/>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jc w:val="left"/>
              <w:rPr>
                <w:rFonts w:cs="Arial"/>
                <w:dstrike/>
                <w:sz w:val="16"/>
                <w:lang w:val="es-ES"/>
              </w:rPr>
            </w:pPr>
            <w:r w:rsidRPr="00EF6860">
              <w:rPr>
                <w:rFonts w:cs="Arial"/>
                <w:sz w:val="16"/>
                <w:lang w:val="es-ES"/>
              </w:rPr>
              <w:t>Rabano de invierno,</w:t>
            </w:r>
            <w:r w:rsidRPr="00EF6860">
              <w:rPr>
                <w:rFonts w:cs="Arial"/>
                <w:sz w:val="16"/>
                <w:lang w:val="es-ES"/>
              </w:rPr>
              <w:br/>
              <w:t>Rabano negro</w:t>
            </w:r>
          </w:p>
        </w:tc>
        <w:tc>
          <w:tcPr>
            <w:tcW w:w="1700" w:type="dxa"/>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jc w:val="left"/>
              <w:rPr>
                <w:rFonts w:cs="Arial"/>
                <w:sz w:val="16"/>
                <w:lang w:val="es-ES"/>
              </w:rPr>
            </w:pPr>
            <w:r w:rsidRPr="00EF6860">
              <w:rPr>
                <w:rFonts w:cs="Arial"/>
                <w:sz w:val="16"/>
                <w:lang w:val="es-ES"/>
              </w:rPr>
              <w:t>Raphanus sativus L. var. niger (Mill.) S. Kerner (Raphanus sativus L. var. major A. Voss, Raphanus sativus L. var.</w:t>
            </w:r>
            <w:r w:rsidRPr="00EF6860">
              <w:rPr>
                <w:rFonts w:cs="Arial"/>
                <w:sz w:val="16"/>
                <w:lang w:val="es-ES"/>
              </w:rPr>
              <w:br/>
              <w:t>longipinnatus L.H. Bailey)</w:t>
            </w:r>
          </w:p>
        </w:tc>
      </w:tr>
      <w:tr w:rsidR="00EF6860" w:rsidRPr="00EF6860" w:rsidTr="00FD65CE">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EF6860" w:rsidRPr="00EF6860" w:rsidRDefault="00EF6860" w:rsidP="00EF6860">
            <w:pPr>
              <w:rPr>
                <w:rFonts w:cs="Arial"/>
                <w:dstrike/>
                <w:sz w:val="16"/>
              </w:rPr>
            </w:pPr>
            <w:r w:rsidRPr="00EF6860">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rPr>
                <w:rFonts w:cs="Arial"/>
                <w:dstrike/>
                <w:sz w:val="16"/>
              </w:rPr>
            </w:pPr>
            <w:r w:rsidRPr="00EF6860">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jc w:val="left"/>
              <w:rPr>
                <w:rFonts w:cs="Arial"/>
                <w:dstrike/>
                <w:sz w:val="16"/>
              </w:rPr>
            </w:pPr>
            <w:r w:rsidRPr="00EF6860">
              <w:rPr>
                <w:rFonts w:cs="Arial"/>
                <w:sz w:val="16"/>
              </w:rPr>
              <w:t>TG/65/4 (document TC/52/27)</w:t>
            </w:r>
          </w:p>
        </w:tc>
        <w:tc>
          <w:tcPr>
            <w:tcW w:w="1275" w:type="dxa"/>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jc w:val="left"/>
              <w:rPr>
                <w:rFonts w:cs="Arial"/>
                <w:dstrike/>
                <w:sz w:val="16"/>
              </w:rPr>
            </w:pPr>
            <w:r w:rsidRPr="00EF6860">
              <w:rPr>
                <w:rFonts w:cs="Arial"/>
                <w:sz w:val="16"/>
              </w:rPr>
              <w:t xml:space="preserve">Kohlrabi </w:t>
            </w:r>
          </w:p>
        </w:tc>
        <w:tc>
          <w:tcPr>
            <w:tcW w:w="1418" w:type="dxa"/>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jc w:val="left"/>
              <w:rPr>
                <w:rFonts w:cs="Arial"/>
                <w:dstrike/>
                <w:sz w:val="16"/>
              </w:rPr>
            </w:pPr>
            <w:r w:rsidRPr="00EF6860">
              <w:rPr>
                <w:rFonts w:cs="Arial"/>
                <w:sz w:val="16"/>
              </w:rPr>
              <w:t xml:space="preserve">Chou-rave </w:t>
            </w:r>
          </w:p>
        </w:tc>
        <w:tc>
          <w:tcPr>
            <w:tcW w:w="1417" w:type="dxa"/>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jc w:val="left"/>
              <w:rPr>
                <w:rFonts w:cs="Arial"/>
                <w:dstrike/>
                <w:sz w:val="16"/>
              </w:rPr>
            </w:pPr>
            <w:r w:rsidRPr="00EF6860">
              <w:rPr>
                <w:rFonts w:cs="Arial"/>
                <w:sz w:val="16"/>
              </w:rPr>
              <w:t xml:space="preserve">Kohlrabi </w:t>
            </w:r>
          </w:p>
        </w:tc>
        <w:tc>
          <w:tcPr>
            <w:tcW w:w="1418" w:type="dxa"/>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jc w:val="left"/>
              <w:rPr>
                <w:rFonts w:cs="Arial"/>
                <w:dstrike/>
                <w:sz w:val="16"/>
              </w:rPr>
            </w:pPr>
            <w:r w:rsidRPr="00EF6860">
              <w:rPr>
                <w:rFonts w:cs="Arial"/>
                <w:sz w:val="16"/>
              </w:rPr>
              <w:t xml:space="preserve">Col rábano </w:t>
            </w:r>
          </w:p>
        </w:tc>
        <w:tc>
          <w:tcPr>
            <w:tcW w:w="1700" w:type="dxa"/>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jc w:val="left"/>
              <w:rPr>
                <w:rFonts w:cs="Arial"/>
                <w:sz w:val="16"/>
                <w:lang w:val="pt-BR"/>
              </w:rPr>
            </w:pPr>
            <w:r w:rsidRPr="00EF6860">
              <w:rPr>
                <w:rFonts w:cs="Arial"/>
                <w:sz w:val="16"/>
                <w:lang w:val="pt-BR"/>
              </w:rPr>
              <w:t>Brassica oleracea L. var. gongylodes L.</w:t>
            </w:r>
          </w:p>
        </w:tc>
      </w:tr>
      <w:tr w:rsidR="00EF6860" w:rsidRPr="00AC67A0" w:rsidTr="00FD65CE">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EF6860" w:rsidRPr="00EF6860" w:rsidRDefault="00EF6860" w:rsidP="00EF6860">
            <w:pPr>
              <w:rPr>
                <w:rFonts w:cs="Arial"/>
                <w:dstrike/>
                <w:sz w:val="16"/>
              </w:rPr>
            </w:pPr>
            <w:r w:rsidRPr="00EF6860">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rPr>
                <w:rFonts w:cs="Arial"/>
                <w:dstrike/>
                <w:sz w:val="16"/>
              </w:rPr>
            </w:pPr>
            <w:r w:rsidRPr="00EF6860">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jc w:val="left"/>
              <w:rPr>
                <w:rFonts w:cs="Arial"/>
                <w:dstrike/>
                <w:sz w:val="16"/>
              </w:rPr>
            </w:pPr>
            <w:r w:rsidRPr="00EF6860">
              <w:rPr>
                <w:rFonts w:cs="Arial"/>
                <w:sz w:val="16"/>
              </w:rPr>
              <w:t>TG/90/6 Corr. (document TC/52/27)</w:t>
            </w:r>
          </w:p>
        </w:tc>
        <w:tc>
          <w:tcPr>
            <w:tcW w:w="1275" w:type="dxa"/>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jc w:val="left"/>
              <w:rPr>
                <w:rFonts w:cs="Arial"/>
                <w:dstrike/>
                <w:sz w:val="16"/>
              </w:rPr>
            </w:pPr>
            <w:r w:rsidRPr="00EF6860">
              <w:rPr>
                <w:rFonts w:cs="Arial"/>
                <w:sz w:val="16"/>
              </w:rPr>
              <w:t>Curly Kale</w:t>
            </w:r>
          </w:p>
        </w:tc>
        <w:tc>
          <w:tcPr>
            <w:tcW w:w="1418" w:type="dxa"/>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jc w:val="left"/>
              <w:rPr>
                <w:rFonts w:cs="Arial"/>
                <w:dstrike/>
                <w:sz w:val="16"/>
              </w:rPr>
            </w:pPr>
            <w:r w:rsidRPr="00EF6860">
              <w:rPr>
                <w:rFonts w:cs="Arial"/>
                <w:sz w:val="16"/>
              </w:rPr>
              <w:t xml:space="preserve">Chou frisé </w:t>
            </w:r>
          </w:p>
        </w:tc>
        <w:tc>
          <w:tcPr>
            <w:tcW w:w="1417" w:type="dxa"/>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jc w:val="left"/>
              <w:rPr>
                <w:rFonts w:cs="Arial"/>
                <w:dstrike/>
                <w:sz w:val="16"/>
              </w:rPr>
            </w:pPr>
            <w:r w:rsidRPr="00EF6860">
              <w:rPr>
                <w:rFonts w:cs="Arial"/>
                <w:sz w:val="16"/>
              </w:rPr>
              <w:t xml:space="preserve">Grünkohl </w:t>
            </w:r>
          </w:p>
        </w:tc>
        <w:tc>
          <w:tcPr>
            <w:tcW w:w="1418" w:type="dxa"/>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jc w:val="left"/>
              <w:rPr>
                <w:rFonts w:cs="Arial"/>
                <w:dstrike/>
                <w:sz w:val="16"/>
              </w:rPr>
            </w:pPr>
            <w:r w:rsidRPr="00EF6860">
              <w:rPr>
                <w:rFonts w:cs="Arial"/>
                <w:sz w:val="16"/>
              </w:rPr>
              <w:t xml:space="preserve">Col rizada </w:t>
            </w:r>
          </w:p>
        </w:tc>
        <w:tc>
          <w:tcPr>
            <w:tcW w:w="1700" w:type="dxa"/>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jc w:val="left"/>
              <w:rPr>
                <w:rFonts w:cs="Arial"/>
                <w:sz w:val="16"/>
                <w:lang w:val="pt-BR"/>
              </w:rPr>
            </w:pPr>
            <w:r w:rsidRPr="00EF6860">
              <w:rPr>
                <w:rFonts w:cs="Arial"/>
                <w:sz w:val="16"/>
                <w:lang w:val="pt-BR"/>
              </w:rPr>
              <w:t>Brassica oleracea L. var. sabellica L.</w:t>
            </w:r>
          </w:p>
        </w:tc>
      </w:tr>
      <w:tr w:rsidR="00EF6860" w:rsidRPr="00AC67A0" w:rsidTr="00FD65CE">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EF6860" w:rsidRPr="00EF6860" w:rsidRDefault="00EF6860" w:rsidP="00EF6860">
            <w:pPr>
              <w:rPr>
                <w:rFonts w:cs="Arial"/>
                <w:dstrike/>
                <w:sz w:val="16"/>
              </w:rPr>
            </w:pPr>
            <w:r w:rsidRPr="00EF6860">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rPr>
                <w:rFonts w:cs="Arial"/>
                <w:dstrike/>
                <w:sz w:val="16"/>
              </w:rPr>
            </w:pPr>
            <w:r w:rsidRPr="00EF6860">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jc w:val="left"/>
              <w:rPr>
                <w:rFonts w:cs="Arial"/>
                <w:dstrike/>
                <w:sz w:val="16"/>
              </w:rPr>
            </w:pPr>
            <w:r w:rsidRPr="00EF6860">
              <w:rPr>
                <w:rFonts w:cs="Arial"/>
                <w:sz w:val="16"/>
              </w:rPr>
              <w:t>TG/151/4 (document TC/52/27)</w:t>
            </w:r>
          </w:p>
        </w:tc>
        <w:tc>
          <w:tcPr>
            <w:tcW w:w="1275" w:type="dxa"/>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jc w:val="left"/>
              <w:rPr>
                <w:rFonts w:cs="Arial"/>
                <w:dstrike/>
                <w:sz w:val="16"/>
              </w:rPr>
            </w:pPr>
            <w:r w:rsidRPr="00EF6860">
              <w:rPr>
                <w:rFonts w:cs="Arial"/>
                <w:sz w:val="16"/>
              </w:rPr>
              <w:t>Calabrese, Sprouting Broccoli</w:t>
            </w:r>
          </w:p>
        </w:tc>
        <w:tc>
          <w:tcPr>
            <w:tcW w:w="1418" w:type="dxa"/>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jc w:val="left"/>
              <w:rPr>
                <w:rFonts w:cs="Arial"/>
                <w:dstrike/>
                <w:sz w:val="16"/>
              </w:rPr>
            </w:pPr>
            <w:r w:rsidRPr="00EF6860">
              <w:rPr>
                <w:rFonts w:cs="Arial"/>
                <w:sz w:val="16"/>
              </w:rPr>
              <w:t>Broccoli</w:t>
            </w:r>
          </w:p>
        </w:tc>
        <w:tc>
          <w:tcPr>
            <w:tcW w:w="1417" w:type="dxa"/>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jc w:val="left"/>
              <w:rPr>
                <w:rFonts w:cs="Arial"/>
                <w:dstrike/>
                <w:sz w:val="16"/>
              </w:rPr>
            </w:pPr>
            <w:r w:rsidRPr="00EF6860">
              <w:rPr>
                <w:rFonts w:cs="Arial"/>
                <w:sz w:val="16"/>
              </w:rPr>
              <w:t>Brokkoli</w:t>
            </w:r>
          </w:p>
        </w:tc>
        <w:tc>
          <w:tcPr>
            <w:tcW w:w="1418" w:type="dxa"/>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jc w:val="left"/>
              <w:rPr>
                <w:rFonts w:cs="Arial"/>
                <w:dstrike/>
                <w:sz w:val="16"/>
              </w:rPr>
            </w:pPr>
            <w:r w:rsidRPr="00EF6860">
              <w:rPr>
                <w:rFonts w:cs="Arial"/>
                <w:sz w:val="16"/>
              </w:rPr>
              <w:t>Bróculi</w:t>
            </w:r>
          </w:p>
        </w:tc>
        <w:tc>
          <w:tcPr>
            <w:tcW w:w="1700" w:type="dxa"/>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jc w:val="left"/>
              <w:rPr>
                <w:rFonts w:cs="Arial"/>
                <w:sz w:val="16"/>
                <w:lang w:val="es-ES"/>
              </w:rPr>
            </w:pPr>
            <w:r w:rsidRPr="00EF6860">
              <w:rPr>
                <w:rFonts w:cs="Arial"/>
                <w:sz w:val="16"/>
                <w:lang w:val="pt-BR"/>
              </w:rPr>
              <w:t xml:space="preserve">Brassica oleracea L. convar. botrytis (L.) </w:t>
            </w:r>
            <w:r w:rsidRPr="00EF6860">
              <w:rPr>
                <w:rFonts w:cs="Arial"/>
                <w:sz w:val="16"/>
                <w:lang w:val="es-ES"/>
              </w:rPr>
              <w:t>Alef. var. cymosa Duch.</w:t>
            </w:r>
          </w:p>
        </w:tc>
      </w:tr>
      <w:tr w:rsidR="00EF6860" w:rsidRPr="00EF6860" w:rsidTr="00FD65CE">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EF6860" w:rsidRPr="00EF6860" w:rsidRDefault="00EF6860" w:rsidP="00EF6860">
            <w:pPr>
              <w:rPr>
                <w:rFonts w:cs="Arial"/>
                <w:dstrike/>
                <w:sz w:val="16"/>
              </w:rPr>
            </w:pPr>
            <w:r w:rsidRPr="00EF6860">
              <w:rPr>
                <w:rFonts w:cs="Arial"/>
                <w:sz w:val="16"/>
              </w:rPr>
              <w:t>QZ</w:t>
            </w:r>
          </w:p>
        </w:tc>
        <w:tc>
          <w:tcPr>
            <w:tcW w:w="590" w:type="dxa"/>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rPr>
                <w:rFonts w:cs="Arial"/>
                <w:dstrike/>
                <w:sz w:val="16"/>
              </w:rPr>
            </w:pPr>
            <w:r w:rsidRPr="00EF6860">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jc w:val="left"/>
              <w:rPr>
                <w:rFonts w:cs="Arial"/>
                <w:dstrike/>
                <w:sz w:val="16"/>
              </w:rPr>
            </w:pPr>
            <w:r w:rsidRPr="00EF6860">
              <w:rPr>
                <w:rFonts w:cs="Arial"/>
                <w:sz w:val="16"/>
              </w:rPr>
              <w:t>TG/294/1 Corr. (document TC/52/26)</w:t>
            </w:r>
          </w:p>
        </w:tc>
        <w:tc>
          <w:tcPr>
            <w:tcW w:w="1275" w:type="dxa"/>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jc w:val="left"/>
              <w:rPr>
                <w:rFonts w:cs="Arial"/>
                <w:dstrike/>
                <w:sz w:val="16"/>
              </w:rPr>
            </w:pPr>
            <w:r w:rsidRPr="00EF6860">
              <w:rPr>
                <w:rFonts w:cs="Arial"/>
                <w:sz w:val="16"/>
              </w:rPr>
              <w:t xml:space="preserve">Tomato Rootstocks </w:t>
            </w:r>
          </w:p>
        </w:tc>
        <w:tc>
          <w:tcPr>
            <w:tcW w:w="1418" w:type="dxa"/>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jc w:val="left"/>
              <w:rPr>
                <w:rFonts w:cs="Arial"/>
                <w:dstrike/>
                <w:sz w:val="16"/>
              </w:rPr>
            </w:pPr>
            <w:r w:rsidRPr="00EF6860">
              <w:rPr>
                <w:rFonts w:cs="Arial"/>
                <w:sz w:val="16"/>
              </w:rPr>
              <w:t xml:space="preserve">Porte-greffe de tomate </w:t>
            </w:r>
          </w:p>
        </w:tc>
        <w:tc>
          <w:tcPr>
            <w:tcW w:w="1417" w:type="dxa"/>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jc w:val="left"/>
              <w:rPr>
                <w:rFonts w:cs="Arial"/>
                <w:dstrike/>
                <w:sz w:val="16"/>
              </w:rPr>
            </w:pPr>
            <w:r w:rsidRPr="00EF6860">
              <w:rPr>
                <w:rFonts w:cs="Arial"/>
                <w:sz w:val="16"/>
              </w:rPr>
              <w:t xml:space="preserve">Tomatenunterlagen </w:t>
            </w:r>
          </w:p>
        </w:tc>
        <w:tc>
          <w:tcPr>
            <w:tcW w:w="1418" w:type="dxa"/>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jc w:val="left"/>
              <w:rPr>
                <w:rFonts w:cs="Arial"/>
                <w:dstrike/>
                <w:sz w:val="16"/>
              </w:rPr>
            </w:pPr>
            <w:r w:rsidRPr="00EF6860">
              <w:rPr>
                <w:rFonts w:cs="Arial"/>
                <w:sz w:val="16"/>
              </w:rPr>
              <w:t xml:space="preserve">Portainjertos de tomate </w:t>
            </w:r>
          </w:p>
        </w:tc>
        <w:tc>
          <w:tcPr>
            <w:tcW w:w="1700" w:type="dxa"/>
            <w:tcBorders>
              <w:top w:val="single" w:sz="4" w:space="0" w:color="auto"/>
              <w:left w:val="nil"/>
              <w:bottom w:val="single" w:sz="4" w:space="0" w:color="auto"/>
              <w:right w:val="single" w:sz="4" w:space="0" w:color="auto"/>
            </w:tcBorders>
            <w:shd w:val="clear" w:color="auto" w:fill="auto"/>
          </w:tcPr>
          <w:p w:rsidR="00EF6860" w:rsidRPr="00EF6860" w:rsidRDefault="00EF6860" w:rsidP="00EF6860">
            <w:pPr>
              <w:jc w:val="left"/>
              <w:rPr>
                <w:rFonts w:cs="Arial"/>
                <w:sz w:val="16"/>
                <w:lang w:val="pt-BR"/>
              </w:rPr>
            </w:pPr>
            <w:r w:rsidRPr="00EF6860">
              <w:rPr>
                <w:rFonts w:cs="Arial"/>
                <w:sz w:val="16"/>
              </w:rPr>
              <w:t xml:space="preserve">Solanum lycopersicum L. x Solanum habrochaites S. Knapp &amp; D.M. Spooner; Solanum lycopersicum L. x Solanum peruvianum (L.) </w:t>
            </w:r>
            <w:r w:rsidRPr="00EF6860">
              <w:rPr>
                <w:rFonts w:cs="Arial"/>
                <w:sz w:val="16"/>
                <w:lang w:val="pt-BR"/>
              </w:rPr>
              <w:t>Mill.; Solanum lycopersicum L. x Solanum cheesmaniae (L. Ridley) Fosberg</w:t>
            </w:r>
          </w:p>
        </w:tc>
      </w:tr>
    </w:tbl>
    <w:p w:rsidR="00EF6860" w:rsidRPr="00EF6860" w:rsidRDefault="00EF6860" w:rsidP="00EF6860">
      <w:pPr>
        <w:rPr>
          <w:lang w:val="pt-PT"/>
        </w:rPr>
      </w:pPr>
    </w:p>
    <w:p w:rsidR="00EF6860" w:rsidRPr="00EF6860" w:rsidRDefault="00EF6860" w:rsidP="00EF6860">
      <w:pPr>
        <w:rPr>
          <w:rFonts w:cs="Arial"/>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 xml:space="preserve">Por petición del experto principal y Presidente del </w:t>
      </w:r>
      <w:r w:rsidRPr="00EF6860">
        <w:rPr>
          <w:rFonts w:cs="Arial"/>
          <w:lang w:val="es-ES_tradnl"/>
        </w:rPr>
        <w:t>TWO</w:t>
      </w:r>
      <w:r w:rsidRPr="00EF6860">
        <w:rPr>
          <w:lang w:val="es-ES_tradnl"/>
        </w:rPr>
        <w:t>, el Sr. Kenji Numaguchi (Japón), el proyecto de directrices de examen de Aglaonema (</w:t>
      </w:r>
      <w:r w:rsidRPr="00EF6860">
        <w:rPr>
          <w:i/>
          <w:lang w:val="es-ES_tradnl"/>
        </w:rPr>
        <w:t>Aglaonema</w:t>
      </w:r>
      <w:r w:rsidRPr="00EF6860">
        <w:rPr>
          <w:lang w:val="es-ES_tradnl"/>
        </w:rPr>
        <w:t xml:space="preserve"> Schott.) se debatirá de nuevo en el </w:t>
      </w:r>
      <w:r w:rsidRPr="00EF6860">
        <w:rPr>
          <w:rFonts w:cs="Arial"/>
          <w:lang w:val="es-ES_tradnl"/>
        </w:rPr>
        <w:t>TWO</w:t>
      </w:r>
      <w:r w:rsidRPr="00EF6860">
        <w:rPr>
          <w:lang w:val="es-ES_tradnl"/>
        </w:rPr>
        <w:t>, en su cuadragésima novena sesión, con el fin de examinar las observaciones del TC-EDC con respecto al método de presentación de los caracteres relativos al color.</w:t>
      </w:r>
    </w:p>
    <w:p w:rsidR="00EF6860" w:rsidRPr="00EF6860" w:rsidRDefault="00EF6860" w:rsidP="00EF6860">
      <w:pPr>
        <w:rPr>
          <w:lang w:val="es-ES"/>
        </w:rPr>
      </w:pPr>
    </w:p>
    <w:p w:rsidR="00EF6860" w:rsidRPr="00EF6860" w:rsidRDefault="00EF6860" w:rsidP="00EF6860">
      <w:pPr>
        <w:rPr>
          <w:rFonts w:cs="Arial"/>
          <w:lang w:val="es-ES"/>
        </w:rPr>
      </w:pPr>
      <w:r w:rsidRPr="00EF6860">
        <w:rPr>
          <w:rFonts w:cs="Arial"/>
        </w:rPr>
        <w:fldChar w:fldCharType="begin"/>
      </w:r>
      <w:r w:rsidRPr="00EF6860">
        <w:rPr>
          <w:rFonts w:cs="Arial"/>
          <w:lang w:val="es-ES"/>
        </w:rPr>
        <w:instrText xml:space="preserve"> AUTONUM  </w:instrText>
      </w:r>
      <w:r w:rsidRPr="00EF6860">
        <w:rPr>
          <w:rFonts w:cs="Arial"/>
        </w:rPr>
        <w:fldChar w:fldCharType="end"/>
      </w:r>
      <w:r w:rsidRPr="00EF6860">
        <w:rPr>
          <w:rFonts w:cs="Arial"/>
          <w:lang w:val="es-ES"/>
        </w:rPr>
        <w:tab/>
      </w:r>
      <w:r w:rsidRPr="00EF6860">
        <w:rPr>
          <w:lang w:val="es-ES_tradnl"/>
        </w:rPr>
        <w:t xml:space="preserve">Por petición del experto principal, el Sr. Nik Hulse </w:t>
      </w:r>
      <w:r w:rsidRPr="00EF6860">
        <w:rPr>
          <w:rFonts w:cs="Arial"/>
          <w:lang w:val="es-ES_tradnl"/>
        </w:rPr>
        <w:t>(</w:t>
      </w:r>
      <w:r w:rsidRPr="00EF6860">
        <w:rPr>
          <w:lang w:val="es-ES_tradnl"/>
        </w:rPr>
        <w:t xml:space="preserve">Australia), previa consulta con el Presidente del </w:t>
      </w:r>
      <w:r w:rsidRPr="00EF6860">
        <w:rPr>
          <w:rFonts w:cs="Arial"/>
          <w:lang w:val="es-ES_tradnl"/>
        </w:rPr>
        <w:t>TWO</w:t>
      </w:r>
      <w:r w:rsidRPr="00EF6860">
        <w:rPr>
          <w:lang w:val="es-ES_tradnl"/>
        </w:rPr>
        <w:t xml:space="preserve">, el Sr. Kenji Numaguchi </w:t>
      </w:r>
      <w:r w:rsidRPr="00EF6860">
        <w:rPr>
          <w:rFonts w:cs="Arial"/>
          <w:lang w:val="es-ES_tradnl"/>
        </w:rPr>
        <w:t>(</w:t>
      </w:r>
      <w:r w:rsidRPr="00EF6860">
        <w:rPr>
          <w:lang w:val="es-ES_tradnl"/>
        </w:rPr>
        <w:t>Japón), el proyecto de directrices de examen de Grevillea (</w:t>
      </w:r>
      <w:r w:rsidRPr="00EF6860">
        <w:rPr>
          <w:rFonts w:cs="Arial"/>
          <w:i/>
          <w:lang w:val="es-ES_tradnl"/>
        </w:rPr>
        <w:t>Grevillea</w:t>
      </w:r>
      <w:r w:rsidRPr="00EF6860">
        <w:rPr>
          <w:lang w:val="es-ES_tradnl"/>
        </w:rPr>
        <w:t xml:space="preserve"> R. Br. corr. R. Br.) se debatirá de nuevo en el </w:t>
      </w:r>
      <w:r w:rsidRPr="00EF6860">
        <w:rPr>
          <w:rFonts w:cs="Arial"/>
          <w:lang w:val="es-ES_tradnl"/>
        </w:rPr>
        <w:t>TWO</w:t>
      </w:r>
      <w:r w:rsidRPr="00EF6860">
        <w:rPr>
          <w:lang w:val="es-ES_tradnl"/>
        </w:rPr>
        <w:t>, en su cuadragésima novena sesión, con el fin de aclarar los caracteres de la hoja.</w:t>
      </w:r>
    </w:p>
    <w:p w:rsidR="00EF6860" w:rsidRPr="00EF6860" w:rsidRDefault="00EF6860" w:rsidP="00EF6860">
      <w:pPr>
        <w:rPr>
          <w:lang w:val="es-ES"/>
        </w:rPr>
      </w:pPr>
    </w:p>
    <w:p w:rsidR="00EF6860" w:rsidRPr="00EF6860" w:rsidRDefault="00EF6860" w:rsidP="00853943">
      <w:pPr>
        <w:outlineLvl w:val="2"/>
        <w:rPr>
          <w:i/>
          <w:lang w:val="es-ES"/>
        </w:rPr>
      </w:pPr>
      <w:bookmarkStart w:id="84" w:name="_Toc463512518"/>
      <w:r w:rsidRPr="00EF6860">
        <w:rPr>
          <w:i/>
          <w:lang w:val="es-ES_tradnl"/>
        </w:rPr>
        <w:t>Correcciones de directrices de examen</w:t>
      </w:r>
      <w:bookmarkEnd w:id="84"/>
    </w:p>
    <w:p w:rsidR="00EF6860" w:rsidRPr="00EF6860" w:rsidRDefault="00EF6860" w:rsidP="00853943">
      <w:pPr>
        <w:rPr>
          <w:lang w:val="es-ES"/>
        </w:rPr>
      </w:pPr>
    </w:p>
    <w:p w:rsidR="00EF6860" w:rsidRPr="00EF6860" w:rsidRDefault="00EF6860" w:rsidP="00853943">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tomó nota de que se había publicado en el sitio web de la UPOV una versión corregida de las directrices de examen del pepino en francés y español (documento TG/61/7 Rev. 2 Corr.) y de que después de la sesión del TC se publicará una versión corregida de las directrices de examen del calabacín (documento TG/119/4 Corr.).</w:t>
      </w:r>
    </w:p>
    <w:p w:rsidR="00EF6860" w:rsidRPr="00EF6860" w:rsidRDefault="00EF6860" w:rsidP="00853943">
      <w:pPr>
        <w:rPr>
          <w:lang w:val="es-ES"/>
        </w:rPr>
      </w:pPr>
    </w:p>
    <w:p w:rsidR="00EF6860" w:rsidRPr="00EF6860" w:rsidRDefault="00EF6860" w:rsidP="00853943">
      <w:pPr>
        <w:outlineLvl w:val="2"/>
        <w:rPr>
          <w:i/>
          <w:lang w:val="es-ES"/>
        </w:rPr>
      </w:pPr>
      <w:bookmarkStart w:id="85" w:name="_Toc463512519"/>
      <w:r w:rsidRPr="00EF6860">
        <w:rPr>
          <w:i/>
          <w:lang w:val="es-ES_tradnl"/>
        </w:rPr>
        <w:t>Proyectos de directrices de examen debatidos en los Grupos de Trabajo Técnico en 2015</w:t>
      </w:r>
      <w:bookmarkEnd w:id="85"/>
    </w:p>
    <w:p w:rsidR="00EF6860" w:rsidRPr="00EF6860" w:rsidRDefault="00EF6860" w:rsidP="00853943">
      <w:pPr>
        <w:rPr>
          <w:lang w:val="es-ES"/>
        </w:rPr>
      </w:pPr>
    </w:p>
    <w:p w:rsidR="00EF6860" w:rsidRPr="00EF6860" w:rsidRDefault="00EF6860" w:rsidP="00853943">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tomó nota de la lista de los proyectos de directrices de examen debatidos por los TWP en sus reuniones de 2015, que figura en el Anexo II del documento TC/52/2.</w:t>
      </w:r>
    </w:p>
    <w:p w:rsidR="00EF6860" w:rsidRPr="00EF6860" w:rsidRDefault="00EF6860" w:rsidP="00853943">
      <w:pPr>
        <w:rPr>
          <w:lang w:val="es-ES"/>
        </w:rPr>
      </w:pPr>
    </w:p>
    <w:p w:rsidR="00EF6860" w:rsidRPr="00EF6860" w:rsidRDefault="00EF6860" w:rsidP="006D6EC4">
      <w:pPr>
        <w:keepNext/>
        <w:outlineLvl w:val="2"/>
        <w:rPr>
          <w:rFonts w:cs="Arial"/>
          <w:i/>
          <w:lang w:val="es-ES"/>
        </w:rPr>
      </w:pPr>
      <w:bookmarkStart w:id="86" w:name="_Toc463512520"/>
      <w:r w:rsidRPr="00EF6860">
        <w:rPr>
          <w:i/>
          <w:lang w:val="es-ES_tradnl"/>
        </w:rPr>
        <w:t>Proyectos de directrices de examen que han de debatirse en los Grupos de Trabajo Técnico en 2016</w:t>
      </w:r>
      <w:bookmarkEnd w:id="86"/>
    </w:p>
    <w:p w:rsidR="00EF6860" w:rsidRPr="00EF6860" w:rsidRDefault="00EF6860" w:rsidP="006D6EC4">
      <w:pPr>
        <w:keepNext/>
        <w:tabs>
          <w:tab w:val="left" w:pos="567"/>
        </w:tabs>
        <w:ind w:left="567" w:hanging="567"/>
        <w:outlineLvl w:val="0"/>
        <w:rPr>
          <w:rFonts w:cs="Arial"/>
          <w:lang w:val="es-ES"/>
        </w:rPr>
      </w:pPr>
    </w:p>
    <w:p w:rsidR="00EF6860" w:rsidRPr="00EF6860" w:rsidRDefault="00EF6860" w:rsidP="00853943">
      <w:pPr>
        <w:rPr>
          <w:rFonts w:cs="Arial"/>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aprobó los planes de elaboración de las nuevas directrices de examen y la revisión de las directrices de examen que figuran en el Anexo III del documento TC/52/2.</w:t>
      </w:r>
    </w:p>
    <w:p w:rsidR="00EF6860" w:rsidRPr="00EF6860" w:rsidRDefault="00EF6860" w:rsidP="00853943">
      <w:pPr>
        <w:rPr>
          <w:rFonts w:cs="Arial"/>
          <w:lang w:val="es-ES"/>
        </w:rPr>
      </w:pPr>
    </w:p>
    <w:p w:rsidR="00EF6860" w:rsidRPr="00EF6860" w:rsidRDefault="00EF6860" w:rsidP="00853943">
      <w:pPr>
        <w:rPr>
          <w:rFonts w:cs="Arial"/>
          <w:lang w:val="es-ES"/>
        </w:rPr>
      </w:pPr>
      <w:r w:rsidRPr="00EF6860">
        <w:rPr>
          <w:rFonts w:cs="Arial"/>
        </w:rPr>
        <w:fldChar w:fldCharType="begin"/>
      </w:r>
      <w:r w:rsidRPr="00EF6860">
        <w:rPr>
          <w:rFonts w:cs="Arial"/>
          <w:lang w:val="es-ES"/>
        </w:rPr>
        <w:instrText xml:space="preserve"> AUTONUM  </w:instrText>
      </w:r>
      <w:r w:rsidRPr="00EF6860">
        <w:rPr>
          <w:rFonts w:cs="Arial"/>
        </w:rPr>
        <w:fldChar w:fldCharType="end"/>
      </w:r>
      <w:r w:rsidRPr="00EF6860">
        <w:rPr>
          <w:rFonts w:cs="Arial"/>
          <w:lang w:val="es-ES"/>
        </w:rPr>
        <w:tab/>
      </w:r>
      <w:r w:rsidRPr="00EF6860">
        <w:rPr>
          <w:rFonts w:cs="Arial"/>
          <w:lang w:val="es-ES_tradnl"/>
        </w:rPr>
        <w:t>El TC tomó nota de la solicitud formulada por el experto principal de las directrices de examen de la cebolla y chalota (documento TG/46/7), el Sr. Kees van Ettekoven (Países Bajos), de que estas directrices de examen se retiren del orden del día de la quincuagésima sesión del TWV, que se celebrará en 2016.</w:t>
      </w:r>
      <w:r w:rsidRPr="00EF6860">
        <w:rPr>
          <w:rFonts w:cs="Arial"/>
          <w:lang w:val="es-ES"/>
        </w:rPr>
        <w:t xml:space="preserve"> </w:t>
      </w:r>
    </w:p>
    <w:p w:rsidR="00EF6860" w:rsidRPr="00EF6860" w:rsidRDefault="00EF6860" w:rsidP="00853943">
      <w:pPr>
        <w:rPr>
          <w:rFonts w:cs="Arial"/>
          <w:lang w:val="es-ES"/>
        </w:rPr>
      </w:pPr>
    </w:p>
    <w:p w:rsidR="00EF6860" w:rsidRPr="00EF6860" w:rsidRDefault="00EF6860" w:rsidP="00853943">
      <w:pPr>
        <w:rPr>
          <w:rFonts w:cs="Arial"/>
          <w:lang w:val="es-ES"/>
        </w:rPr>
      </w:pPr>
      <w:r w:rsidRPr="00EF6860">
        <w:rPr>
          <w:rFonts w:cs="Arial"/>
        </w:rPr>
        <w:fldChar w:fldCharType="begin"/>
      </w:r>
      <w:r w:rsidRPr="00EF6860">
        <w:rPr>
          <w:rFonts w:cs="Arial"/>
          <w:lang w:val="es-ES"/>
        </w:rPr>
        <w:instrText xml:space="preserve"> AUTONUM  </w:instrText>
      </w:r>
      <w:r w:rsidRPr="00EF6860">
        <w:rPr>
          <w:rFonts w:cs="Arial"/>
        </w:rPr>
        <w:fldChar w:fldCharType="end"/>
      </w:r>
      <w:r w:rsidRPr="00EF6860">
        <w:rPr>
          <w:rFonts w:cs="Arial"/>
          <w:lang w:val="es-ES"/>
        </w:rPr>
        <w:tab/>
      </w:r>
      <w:r w:rsidRPr="00EF6860">
        <w:rPr>
          <w:rFonts w:cs="Arial"/>
          <w:lang w:val="es-ES_tradnl"/>
        </w:rPr>
        <w:t>El TC convino en incluir en la quincuagésima sesión del TWV debates sobre la revisión parcial de las directrices de examen del tomate (documento TG/44/11 Rev.), carácter 57 “Resistencia al virus del rizado amarillo de la hoja del tomate (TYLCV)”, sobre la base de un documento que elaborará un experto de la Unión Europea.</w:t>
      </w:r>
    </w:p>
    <w:p w:rsidR="00EF6860" w:rsidRPr="00EF6860" w:rsidRDefault="00EF6860" w:rsidP="00EF6860">
      <w:pPr>
        <w:rPr>
          <w:rFonts w:cs="Arial"/>
          <w:lang w:val="es-ES"/>
        </w:rPr>
      </w:pPr>
    </w:p>
    <w:p w:rsidR="00EF6860" w:rsidRPr="00EF6860" w:rsidRDefault="00EF6860" w:rsidP="00EF6860">
      <w:pPr>
        <w:rPr>
          <w:lang w:val="es-ES"/>
        </w:rPr>
      </w:pPr>
      <w:r w:rsidRPr="00EF6860">
        <w:rPr>
          <w:rFonts w:cs="Arial"/>
        </w:rPr>
        <w:fldChar w:fldCharType="begin"/>
      </w:r>
      <w:r w:rsidRPr="00EF6860">
        <w:rPr>
          <w:rFonts w:cs="Arial"/>
          <w:lang w:val="es-ES"/>
        </w:rPr>
        <w:instrText xml:space="preserve"> AUTONUM  </w:instrText>
      </w:r>
      <w:r w:rsidRPr="00EF6860">
        <w:rPr>
          <w:rFonts w:cs="Arial"/>
        </w:rPr>
        <w:fldChar w:fldCharType="end"/>
      </w:r>
      <w:r w:rsidRPr="00EF6860">
        <w:rPr>
          <w:rFonts w:cs="Arial"/>
          <w:lang w:val="es-ES"/>
        </w:rPr>
        <w:tab/>
      </w:r>
      <w:r w:rsidRPr="00EF6860">
        <w:rPr>
          <w:rFonts w:cs="Arial"/>
          <w:lang w:val="es-ES_tradnl"/>
        </w:rPr>
        <w:t>El TC convino en que la revisión parcial de las directrices de examen de la coliflor debe eliminarse de la enumeración de asuntos para debate en 2016.</w:t>
      </w:r>
    </w:p>
    <w:p w:rsidR="00EF6860" w:rsidRPr="00EF6860" w:rsidRDefault="00EF6860" w:rsidP="00EF6860">
      <w:pPr>
        <w:rPr>
          <w:rFonts w:cs="Arial"/>
          <w:lang w:val="es-ES"/>
        </w:rPr>
      </w:pPr>
    </w:p>
    <w:p w:rsidR="00EF6860" w:rsidRPr="00EF6860" w:rsidRDefault="00EF6860" w:rsidP="00853943">
      <w:pPr>
        <w:outlineLvl w:val="2"/>
        <w:rPr>
          <w:rFonts w:cs="Arial"/>
          <w:i/>
          <w:lang w:val="es-ES"/>
        </w:rPr>
      </w:pPr>
      <w:bookmarkStart w:id="87" w:name="_Toc463512521"/>
      <w:r w:rsidRPr="00EF6860">
        <w:rPr>
          <w:i/>
          <w:lang w:val="es-ES_tradnl"/>
        </w:rPr>
        <w:t>Estado de las actuales directrices de examen o proyectos de directrices de examen</w:t>
      </w:r>
      <w:bookmarkEnd w:id="87"/>
    </w:p>
    <w:p w:rsidR="00EF6860" w:rsidRPr="00EF6860" w:rsidRDefault="00EF6860" w:rsidP="00853943">
      <w:pPr>
        <w:rPr>
          <w:rFonts w:cs="Arial"/>
          <w:lang w:val="es-ES"/>
        </w:rPr>
      </w:pPr>
    </w:p>
    <w:p w:rsidR="00EF6860" w:rsidRPr="00EF6860" w:rsidRDefault="00EF6860" w:rsidP="00853943">
      <w:pPr>
        <w:rPr>
          <w:rFonts w:cs="Arial"/>
          <w:lang w:val="es-ES"/>
        </w:rPr>
      </w:pPr>
      <w:r w:rsidRPr="00EF6860">
        <w:rPr>
          <w:rFonts w:cs="Arial"/>
        </w:rPr>
        <w:fldChar w:fldCharType="begin"/>
      </w:r>
      <w:r w:rsidRPr="00EF6860">
        <w:rPr>
          <w:rFonts w:cs="Arial"/>
          <w:lang w:val="es-ES"/>
        </w:rPr>
        <w:instrText xml:space="preserve"> AUTONUM  </w:instrText>
      </w:r>
      <w:r w:rsidRPr="00EF6860">
        <w:rPr>
          <w:rFonts w:cs="Arial"/>
        </w:rPr>
        <w:fldChar w:fldCharType="end"/>
      </w:r>
      <w:r w:rsidRPr="00EF6860">
        <w:rPr>
          <w:rFonts w:cs="Arial"/>
          <w:lang w:val="es-ES"/>
        </w:rPr>
        <w:tab/>
      </w:r>
      <w:r w:rsidRPr="00EF6860">
        <w:rPr>
          <w:rFonts w:cs="Arial"/>
          <w:lang w:val="es-ES_tradnl"/>
        </w:rPr>
        <w:t>El TC tomó nota del estado de las actuales directrices de examen que figuran en el Anexo IV del documento TC/52/2.</w:t>
      </w:r>
    </w:p>
    <w:p w:rsidR="00EF6860" w:rsidRPr="00EF6860" w:rsidRDefault="00EF6860" w:rsidP="00853943">
      <w:pPr>
        <w:rPr>
          <w:lang w:val="es-ES"/>
        </w:rPr>
      </w:pPr>
    </w:p>
    <w:p w:rsidR="00EF6860" w:rsidRPr="00EF6860" w:rsidRDefault="00EF6860" w:rsidP="006D6EC4">
      <w:pPr>
        <w:keepNext/>
        <w:outlineLvl w:val="2"/>
        <w:rPr>
          <w:i/>
          <w:lang w:val="es-ES"/>
        </w:rPr>
      </w:pPr>
      <w:bookmarkStart w:id="88" w:name="_Toc463512522"/>
      <w:r w:rsidRPr="00EF6860">
        <w:rPr>
          <w:i/>
          <w:lang w:val="es-ES_tradnl"/>
        </w:rPr>
        <w:t>Directrices de examen reemplazadas</w:t>
      </w:r>
      <w:bookmarkEnd w:id="88"/>
    </w:p>
    <w:p w:rsidR="00EF6860" w:rsidRPr="00EF6860" w:rsidRDefault="00EF6860" w:rsidP="006D6EC4">
      <w:pPr>
        <w:keepNext/>
        <w:rPr>
          <w:lang w:val="es-ES"/>
        </w:rPr>
      </w:pPr>
    </w:p>
    <w:p w:rsidR="00EF6860" w:rsidRPr="00EF6860" w:rsidRDefault="00EF6860" w:rsidP="00853943">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tomó nota de la lista de directrices de examen reemplazadas que figuran en el Anexo V del documento TC/52/2, y tomó nota de que las versiones reemplazadas de las directrices de examen están disponibles en la página de directrices de examen del sitio web de la UPOV.</w:t>
      </w:r>
    </w:p>
    <w:p w:rsidR="00EF6860" w:rsidRPr="00EF6860" w:rsidRDefault="00EF6860" w:rsidP="00853943">
      <w:pPr>
        <w:outlineLvl w:val="2"/>
        <w:rPr>
          <w:i/>
          <w:lang w:val="es-ES"/>
        </w:rPr>
      </w:pPr>
    </w:p>
    <w:p w:rsidR="00EF6860" w:rsidRPr="00EF6860" w:rsidRDefault="00EF6860" w:rsidP="00853943">
      <w:pPr>
        <w:outlineLvl w:val="2"/>
        <w:rPr>
          <w:i/>
          <w:lang w:val="es-ES"/>
        </w:rPr>
      </w:pPr>
      <w:bookmarkStart w:id="89" w:name="_Toc463512523"/>
      <w:r w:rsidRPr="00EF6860">
        <w:rPr>
          <w:i/>
          <w:lang w:val="es-ES_tradnl"/>
        </w:rPr>
        <w:t>Publicación de las directrices de examen en el sitio web de la UPOV</w:t>
      </w:r>
      <w:bookmarkEnd w:id="89"/>
    </w:p>
    <w:p w:rsidR="00EF6860" w:rsidRPr="00EF6860" w:rsidRDefault="00EF6860" w:rsidP="00853943">
      <w:pPr>
        <w:rPr>
          <w:lang w:val="es-ES"/>
        </w:rPr>
      </w:pPr>
    </w:p>
    <w:p w:rsidR="00EF6860" w:rsidRPr="00EF6860" w:rsidRDefault="00EF6860" w:rsidP="00853943">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 xml:space="preserve">El TC tomó nota de que las revisiones parciales de las directrices de examen de </w:t>
      </w:r>
      <w:r w:rsidRPr="00EF6860">
        <w:rPr>
          <w:i/>
          <w:lang w:val="es-ES_tradnl"/>
        </w:rPr>
        <w:t>Citrus</w:t>
      </w:r>
      <w:r w:rsidRPr="00EF6860">
        <w:rPr>
          <w:lang w:val="es-ES_tradnl"/>
        </w:rPr>
        <w:t> L. se publicaron en el sitio web de la UPOV para reflejar los cambios introducidos en la versión revisada de las directrices de examen del mandarino (documento TG/201/1 Rev.).</w:t>
      </w:r>
    </w:p>
    <w:p w:rsidR="00EF6860" w:rsidRPr="00EF6860" w:rsidRDefault="00EF6860" w:rsidP="00853943">
      <w:pPr>
        <w:rPr>
          <w:lang w:val="es-ES"/>
        </w:rPr>
      </w:pPr>
    </w:p>
    <w:p w:rsidR="00EF6860" w:rsidRPr="00EF6860" w:rsidRDefault="00EF6860" w:rsidP="00853943">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convino en que se debe informar de la fecha de publicación de las directrices de examen en la página de directrices de examen del sitio web de la UPOV.</w:t>
      </w:r>
    </w:p>
    <w:p w:rsidR="00EF6860" w:rsidRPr="00EF6860" w:rsidRDefault="00EF6860" w:rsidP="00853943">
      <w:pPr>
        <w:rPr>
          <w:lang w:val="es-ES"/>
        </w:rPr>
      </w:pPr>
    </w:p>
    <w:p w:rsidR="00EF6860" w:rsidRPr="00EF6860" w:rsidRDefault="00EF6860" w:rsidP="00853943">
      <w:pPr>
        <w:rPr>
          <w:lang w:val="es-ES"/>
        </w:rPr>
      </w:pPr>
    </w:p>
    <w:p w:rsidR="00EF6860" w:rsidRPr="00EF6860" w:rsidRDefault="00EF6860" w:rsidP="00853943">
      <w:pPr>
        <w:outlineLvl w:val="1"/>
        <w:rPr>
          <w:u w:val="single"/>
          <w:lang w:val="es-ES"/>
        </w:rPr>
      </w:pPr>
      <w:bookmarkStart w:id="90" w:name="_Toc463512524"/>
      <w:r w:rsidRPr="00EF6860">
        <w:rPr>
          <w:u w:val="single"/>
          <w:lang w:val="es-ES_tradnl"/>
        </w:rPr>
        <w:t>Lista de géneros y especies respecto de los cuales las autoridades poseen experiencia práctica en el examen de la distinción, la homogeneidad y la estabilidad</w:t>
      </w:r>
      <w:bookmarkEnd w:id="90"/>
    </w:p>
    <w:p w:rsidR="00EF6860" w:rsidRPr="00EF6860" w:rsidRDefault="00EF6860" w:rsidP="00853943">
      <w:pPr>
        <w:rPr>
          <w:lang w:val="es-ES"/>
        </w:rPr>
      </w:pPr>
    </w:p>
    <w:p w:rsidR="00EF6860" w:rsidRPr="00EF6860" w:rsidRDefault="00EF6860" w:rsidP="00853943">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examinó el documento TC/52/4 y tomó nota de que el número de géneros y especies respecto de los cuales los miembros de la unión indicaron que poseen experiencia práctica en el examen DHE había aumentado de 3.382 en 2015 a 3.462 en 2016 (+ 2,4%).</w:t>
      </w:r>
      <w:r w:rsidRPr="00EF6860">
        <w:rPr>
          <w:color w:val="000000"/>
          <w:lang w:val="es-ES"/>
        </w:rPr>
        <w:t xml:space="preserve">  </w:t>
      </w:r>
      <w:r w:rsidRPr="00EF6860">
        <w:rPr>
          <w:color w:val="000000"/>
          <w:lang w:val="es-ES_tradnl"/>
        </w:rPr>
        <w:t>La información sobre los miembros de la Unión con experiencia práctica en el examen DHE puede consultarse libremente desde la base de datos GENIE.</w:t>
      </w:r>
    </w:p>
    <w:p w:rsidR="00EF6860" w:rsidRPr="00EF6860" w:rsidRDefault="00EF6860" w:rsidP="00EF6860">
      <w:pPr>
        <w:rPr>
          <w:lang w:val="es-ES"/>
        </w:rPr>
      </w:pPr>
    </w:p>
    <w:p w:rsidR="00EF6860" w:rsidRPr="00EF6860" w:rsidRDefault="00EF6860" w:rsidP="00EF6860">
      <w:pPr>
        <w:rPr>
          <w:lang w:val="es-ES"/>
        </w:rPr>
      </w:pPr>
    </w:p>
    <w:p w:rsidR="00EF6860" w:rsidRPr="00EF6860" w:rsidRDefault="00EF6860" w:rsidP="00EF6860">
      <w:pPr>
        <w:keepNext/>
        <w:rPr>
          <w:u w:val="single"/>
          <w:lang w:val="es-ES"/>
        </w:rPr>
      </w:pPr>
      <w:r w:rsidRPr="00EF6860">
        <w:rPr>
          <w:u w:val="single"/>
          <w:lang w:val="es-ES_tradnl"/>
        </w:rPr>
        <w:t>Programa de la quincuagésima tercera sesión</w:t>
      </w:r>
    </w:p>
    <w:p w:rsidR="00EF6860" w:rsidRPr="00EF6860" w:rsidRDefault="00EF6860" w:rsidP="00EF6860">
      <w:pPr>
        <w:rPr>
          <w:lang w:val="es-ES"/>
        </w:rPr>
      </w:pPr>
    </w:p>
    <w:p w:rsidR="00EF6860" w:rsidRPr="00EF6860" w:rsidRDefault="00EF6860" w:rsidP="00EF6860">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examinó el debate sobre el número de ciclos de cultivo en el examen DHE y acordó invitar a los miembros de la Unión a que simulen el impacto de la utilización de diferentes números de ciclos de cultivo en las decisiones relativas a la DHE utilizando datos reales y a que informen sobre sus resultados en las sesiones de los TWP en 2016 y en la quincuagésima tercera sesión del TC.</w:t>
      </w:r>
      <w:r w:rsidRPr="00EF6860">
        <w:rPr>
          <w:lang w:val="es-ES"/>
        </w:rPr>
        <w:t xml:space="preserve"> </w:t>
      </w:r>
    </w:p>
    <w:p w:rsidR="00EF6860" w:rsidRPr="00EF6860" w:rsidRDefault="00EF6860" w:rsidP="00EF6860">
      <w:pPr>
        <w:rPr>
          <w:lang w:val="es-ES"/>
        </w:rPr>
      </w:pPr>
    </w:p>
    <w:p w:rsidR="00EF6860" w:rsidRPr="00EF6860" w:rsidRDefault="00EF6860" w:rsidP="00EF6860">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tomó nota de que la Oficina Comunitaria de Variedades Vegetales de la Unión Europea (OCVV) estaba llevando a cabo un estudio sobre la distancia mínima entre las variedades y de que los resultados de este estudio se presentarán al TWF en su reunión en 2016.</w:t>
      </w:r>
      <w:r w:rsidRPr="00EF6860">
        <w:rPr>
          <w:lang w:val="es-ES"/>
        </w:rPr>
        <w:t xml:space="preserve">  </w:t>
      </w:r>
      <w:r w:rsidRPr="00EF6860">
        <w:rPr>
          <w:lang w:val="es-ES_tradnl"/>
        </w:rPr>
        <w:t>El TC acordó incluir en su quincuagésima tercera sesión un punto del orden del día para examinar el estudio junto con las observaciones de los TWP.</w:t>
      </w:r>
    </w:p>
    <w:p w:rsidR="00EF6860" w:rsidRPr="00EF6860" w:rsidRDefault="00EF6860" w:rsidP="00EF6860">
      <w:pPr>
        <w:rPr>
          <w:lang w:val="es-ES"/>
        </w:rPr>
      </w:pPr>
    </w:p>
    <w:p w:rsidR="00EF6860" w:rsidRPr="00EF6860" w:rsidRDefault="00EF6860" w:rsidP="00EF6860">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examinó los debates sobre el fomento de la elaboración de bases de datos y convino en invitar a los miembros de la Unión a que en la próxima sesión del BMT presenten ponencias sobre la manera en que podrían desarrollarse en la UPOV bases de datos que contengan datos moleculares.</w:t>
      </w:r>
      <w:r w:rsidRPr="00EF6860">
        <w:rPr>
          <w:lang w:val="es-ES"/>
        </w:rPr>
        <w:t xml:space="preserve">  </w:t>
      </w:r>
      <w:r w:rsidRPr="00EF6860">
        <w:rPr>
          <w:lang w:val="es-ES_tradnl"/>
        </w:rPr>
        <w:t>Señaló que el resultado de estos debates se comunicarán al TC en su quincuagésima tercera sesión en el punto del orden del día “Bases de datos de descripciones de variedades”.</w:t>
      </w:r>
    </w:p>
    <w:p w:rsidR="00EF6860" w:rsidRPr="00EF6860" w:rsidRDefault="00EF6860" w:rsidP="00EF6860">
      <w:pPr>
        <w:rPr>
          <w:lang w:val="es-ES"/>
        </w:rPr>
      </w:pPr>
    </w:p>
    <w:p w:rsidR="00EF6860" w:rsidRPr="00EF6860" w:rsidRDefault="00EF6860" w:rsidP="00EF6860">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Como resultado del “debate sobre los parámetros de calidad en el examen DHE” (punto 3 del orden del día), el TC señaló que puede haber obstáculos para la cooperación en materia de examen, en particular en lo que concierne al intercambio de informes de exámenes DHE, y acordó continuar analizando la situación.</w:t>
      </w:r>
      <w:r w:rsidRPr="00EF6860">
        <w:rPr>
          <w:lang w:val="es-ES"/>
        </w:rPr>
        <w:t xml:space="preserve">  </w:t>
      </w:r>
      <w:r w:rsidRPr="00EF6860">
        <w:rPr>
          <w:lang w:val="es-ES_tradnl"/>
        </w:rPr>
        <w:t>El TC convino en que sería útil, como punto de partida para el debate, que la Oficina de la Unión realizara un estudio de la situación actual de los miembros de la Unión e informara de los resultados al TC en su quincuagésima tercera sesión.</w:t>
      </w:r>
    </w:p>
    <w:p w:rsidR="00EF6860" w:rsidRPr="00EF6860" w:rsidRDefault="00EF6860" w:rsidP="00EF6860">
      <w:pPr>
        <w:rPr>
          <w:lang w:val="es-ES"/>
        </w:rPr>
      </w:pPr>
    </w:p>
    <w:p w:rsidR="00EF6860" w:rsidRPr="00EF6860" w:rsidRDefault="00EF6860" w:rsidP="00853943">
      <w:pPr>
        <w:rPr>
          <w:lang w:val="es-ES"/>
        </w:rPr>
      </w:pPr>
      <w:r w:rsidRPr="00EF6860">
        <w:rPr>
          <w:snapToGrid w:val="0"/>
        </w:rPr>
        <w:fldChar w:fldCharType="begin"/>
      </w:r>
      <w:r w:rsidRPr="00EF6860">
        <w:rPr>
          <w:snapToGrid w:val="0"/>
          <w:lang w:val="es-ES"/>
        </w:rPr>
        <w:instrText xml:space="preserve"> AUTONUM  </w:instrText>
      </w:r>
      <w:r w:rsidRPr="00EF6860">
        <w:rPr>
          <w:snapToGrid w:val="0"/>
        </w:rPr>
        <w:fldChar w:fldCharType="end"/>
      </w:r>
      <w:r w:rsidRPr="00EF6860">
        <w:rPr>
          <w:snapToGrid w:val="0"/>
          <w:lang w:val="es-ES"/>
        </w:rPr>
        <w:tab/>
      </w:r>
      <w:r w:rsidRPr="00EF6860">
        <w:rPr>
          <w:lang w:val="es-ES_tradnl"/>
        </w:rPr>
        <w:t>Se aprobó el siguiente proyecto de orden del día para la quincuagésima tercera sesión del TC, que se celebrará en Ginebra en 2017:</w:t>
      </w:r>
    </w:p>
    <w:p w:rsidR="00EF6860" w:rsidRPr="00EF6860" w:rsidRDefault="00EF6860" w:rsidP="00EF6860">
      <w:pPr>
        <w:rPr>
          <w:snapToGrid w:val="0"/>
          <w:lang w:val="es-ES"/>
        </w:rPr>
      </w:pPr>
    </w:p>
    <w:p w:rsidR="00EF6860" w:rsidRPr="00EF6860" w:rsidRDefault="00EF6860" w:rsidP="00EF6860">
      <w:pPr>
        <w:spacing w:after="120"/>
        <w:ind w:left="1134" w:hanging="567"/>
        <w:rPr>
          <w:rFonts w:cs="Arial"/>
          <w:snapToGrid w:val="0"/>
          <w:lang w:val="es-ES"/>
        </w:rPr>
      </w:pPr>
      <w:r w:rsidRPr="00EF6860">
        <w:rPr>
          <w:rFonts w:cs="Arial"/>
          <w:snapToGrid w:val="0"/>
          <w:lang w:val="es-ES"/>
        </w:rPr>
        <w:t>1.</w:t>
      </w:r>
      <w:r w:rsidRPr="00EF6860">
        <w:rPr>
          <w:rFonts w:cs="Arial"/>
          <w:snapToGrid w:val="0"/>
          <w:lang w:val="es-ES"/>
        </w:rPr>
        <w:tab/>
      </w:r>
      <w:r w:rsidRPr="00EF6860">
        <w:rPr>
          <w:rFonts w:cs="Arial"/>
          <w:snapToGrid w:val="0"/>
          <w:lang w:val="es-ES_tradnl"/>
        </w:rPr>
        <w:t>Apertura de la sesión</w:t>
      </w:r>
    </w:p>
    <w:p w:rsidR="00EF6860" w:rsidRPr="00EF6860" w:rsidRDefault="00EF6860" w:rsidP="00EF6860">
      <w:pPr>
        <w:spacing w:after="120"/>
        <w:ind w:left="1134" w:hanging="567"/>
        <w:rPr>
          <w:rFonts w:cs="Arial"/>
          <w:snapToGrid w:val="0"/>
          <w:lang w:val="es-ES"/>
        </w:rPr>
      </w:pPr>
      <w:r w:rsidRPr="00EF6860">
        <w:rPr>
          <w:rFonts w:cs="Arial"/>
          <w:snapToGrid w:val="0"/>
          <w:lang w:val="es-ES"/>
        </w:rPr>
        <w:t>2.</w:t>
      </w:r>
      <w:r w:rsidRPr="00EF6860">
        <w:rPr>
          <w:rFonts w:cs="Arial"/>
          <w:snapToGrid w:val="0"/>
          <w:lang w:val="es-ES"/>
        </w:rPr>
        <w:tab/>
      </w:r>
      <w:r w:rsidRPr="00EF6860">
        <w:rPr>
          <w:rFonts w:cs="Arial"/>
          <w:snapToGrid w:val="0"/>
          <w:lang w:val="es-ES_tradnl"/>
        </w:rPr>
        <w:t>Aprobación del orden del día</w:t>
      </w:r>
    </w:p>
    <w:p w:rsidR="00EF6860" w:rsidRPr="00EF6860" w:rsidRDefault="00EF6860" w:rsidP="00EF6860">
      <w:pPr>
        <w:spacing w:after="120"/>
        <w:ind w:left="1134" w:hanging="567"/>
        <w:rPr>
          <w:rFonts w:cs="Arial"/>
          <w:snapToGrid w:val="0"/>
          <w:lang w:val="es-ES"/>
        </w:rPr>
      </w:pPr>
      <w:r w:rsidRPr="00EF6860">
        <w:rPr>
          <w:rFonts w:cs="Arial"/>
          <w:snapToGrid w:val="0"/>
          <w:lang w:val="es-ES"/>
        </w:rPr>
        <w:t>3.</w:t>
      </w:r>
      <w:r w:rsidRPr="00EF6860">
        <w:rPr>
          <w:rFonts w:cs="Arial"/>
          <w:snapToGrid w:val="0"/>
          <w:lang w:val="es-ES"/>
        </w:rPr>
        <w:tab/>
      </w:r>
      <w:r w:rsidRPr="00EF6860">
        <w:rPr>
          <w:rFonts w:cs="Arial"/>
          <w:snapToGrid w:val="0"/>
          <w:lang w:val="es-ES_tradnl"/>
        </w:rPr>
        <w:t>Informe sobre las novedades acaecidas en la UPOV, donde figuran las cuestiones pertinentes examinadas en las últimas sesiones del Comité Administrativo y Jurídico, el Comité Consultivo y el Consejo</w:t>
      </w:r>
      <w:r w:rsidRPr="00EF6860">
        <w:rPr>
          <w:rFonts w:cs="Arial"/>
          <w:snapToGrid w:val="0"/>
          <w:lang w:val="es-ES"/>
        </w:rPr>
        <w:t xml:space="preserve"> </w:t>
      </w:r>
    </w:p>
    <w:p w:rsidR="00EF6860" w:rsidRPr="00EF6860" w:rsidRDefault="00EF6860" w:rsidP="00EF6860">
      <w:pPr>
        <w:spacing w:after="120"/>
        <w:ind w:left="1134" w:hanging="567"/>
        <w:rPr>
          <w:lang w:val="es-ES"/>
        </w:rPr>
      </w:pPr>
      <w:r w:rsidRPr="00EF6860">
        <w:rPr>
          <w:rFonts w:cs="Arial"/>
          <w:snapToGrid w:val="0"/>
          <w:lang w:val="es-ES"/>
        </w:rPr>
        <w:t>4.</w:t>
      </w:r>
      <w:r w:rsidRPr="00EF6860">
        <w:rPr>
          <w:rFonts w:cs="Arial"/>
          <w:snapToGrid w:val="0"/>
          <w:lang w:val="es-ES"/>
        </w:rPr>
        <w:tab/>
      </w:r>
      <w:r w:rsidRPr="00EF6860">
        <w:rPr>
          <w:lang w:val="es-ES_tradnl"/>
        </w:rPr>
        <w:t>Informes sobre la labor de los Grupos de Trabajo Técnico, incluido el Grupo de Trabajo sobre Técnicas Bioquímicas y Moleculares, y Perfiles de ADN en particular (BMT)</w:t>
      </w:r>
    </w:p>
    <w:p w:rsidR="00EF6860" w:rsidRPr="00EF6860" w:rsidRDefault="00EF6860" w:rsidP="00EF6860">
      <w:pPr>
        <w:spacing w:after="120"/>
        <w:ind w:left="1134" w:hanging="567"/>
        <w:rPr>
          <w:rFonts w:cs="Arial"/>
          <w:snapToGrid w:val="0"/>
          <w:lang w:val="es-ES"/>
        </w:rPr>
      </w:pPr>
      <w:r w:rsidRPr="00EF6860">
        <w:rPr>
          <w:rFonts w:cs="Arial"/>
          <w:snapToGrid w:val="0"/>
          <w:lang w:val="es-ES"/>
        </w:rPr>
        <w:t>5.</w:t>
      </w:r>
      <w:r w:rsidRPr="00EF6860">
        <w:rPr>
          <w:rFonts w:cs="Arial"/>
          <w:snapToGrid w:val="0"/>
          <w:lang w:val="es-ES"/>
        </w:rPr>
        <w:tab/>
      </w:r>
      <w:r w:rsidRPr="00EF6860">
        <w:rPr>
          <w:rFonts w:cs="Arial"/>
          <w:snapToGrid w:val="0"/>
          <w:lang w:val="es-ES_tradnl"/>
        </w:rPr>
        <w:t>Cuestiones planteadas por los Grupos de Trabajo Técnico</w:t>
      </w:r>
    </w:p>
    <w:p w:rsidR="00EF6860" w:rsidRPr="00EF6860" w:rsidRDefault="00EF6860" w:rsidP="00EF6860">
      <w:pPr>
        <w:spacing w:after="120"/>
        <w:ind w:left="1134" w:hanging="567"/>
        <w:rPr>
          <w:rFonts w:cs="Arial"/>
          <w:snapToGrid w:val="0"/>
          <w:lang w:val="es-ES"/>
        </w:rPr>
      </w:pPr>
      <w:r w:rsidRPr="00EF6860">
        <w:rPr>
          <w:rFonts w:cs="Arial"/>
          <w:snapToGrid w:val="0"/>
          <w:lang w:val="es-ES"/>
        </w:rPr>
        <w:t>6.</w:t>
      </w:r>
      <w:r w:rsidRPr="00EF6860">
        <w:rPr>
          <w:rFonts w:cs="Arial"/>
          <w:snapToGrid w:val="0"/>
          <w:lang w:val="es-ES"/>
        </w:rPr>
        <w:tab/>
      </w:r>
      <w:r w:rsidRPr="00EF6860">
        <w:rPr>
          <w:rFonts w:cs="Arial"/>
          <w:snapToGrid w:val="0"/>
          <w:lang w:val="es-ES_tradnl"/>
        </w:rPr>
        <w:t>Documentos TGP</w:t>
      </w:r>
    </w:p>
    <w:p w:rsidR="00EF6860" w:rsidRPr="00EF6860" w:rsidRDefault="00EF6860" w:rsidP="00EF6860">
      <w:pPr>
        <w:spacing w:after="120"/>
        <w:ind w:left="1134" w:hanging="567"/>
        <w:rPr>
          <w:rFonts w:cs="Arial"/>
          <w:snapToGrid w:val="0"/>
          <w:lang w:val="es-ES"/>
        </w:rPr>
      </w:pPr>
      <w:r w:rsidRPr="00EF6860">
        <w:rPr>
          <w:rFonts w:cs="Arial"/>
          <w:snapToGrid w:val="0"/>
          <w:lang w:val="es-ES"/>
        </w:rPr>
        <w:t>7.</w:t>
      </w:r>
      <w:r w:rsidRPr="00EF6860">
        <w:rPr>
          <w:rFonts w:cs="Arial"/>
          <w:snapToGrid w:val="0"/>
          <w:lang w:val="es-ES"/>
        </w:rPr>
        <w:tab/>
      </w:r>
      <w:r w:rsidRPr="00EF6860">
        <w:rPr>
          <w:rFonts w:cs="Arial"/>
          <w:snapToGrid w:val="0"/>
          <w:lang w:val="es-ES_tradnl"/>
        </w:rPr>
        <w:t>Técnicas moleculares</w:t>
      </w:r>
    </w:p>
    <w:p w:rsidR="00EF6860" w:rsidRPr="00EF6860" w:rsidRDefault="00EF6860" w:rsidP="00EF6860">
      <w:pPr>
        <w:spacing w:after="120"/>
        <w:ind w:left="1134" w:hanging="567"/>
        <w:rPr>
          <w:lang w:val="es-ES"/>
        </w:rPr>
      </w:pPr>
      <w:r w:rsidRPr="00EF6860">
        <w:rPr>
          <w:lang w:val="es-ES"/>
        </w:rPr>
        <w:t>8.</w:t>
      </w:r>
      <w:r w:rsidRPr="00EF6860">
        <w:rPr>
          <w:lang w:val="es-ES"/>
        </w:rPr>
        <w:tab/>
      </w:r>
      <w:r w:rsidRPr="00EF6860">
        <w:rPr>
          <w:lang w:val="es-ES_tradnl"/>
        </w:rPr>
        <w:t>Determinación de umbrales calculados para excluir las variedades notoriamente conocidas del segundo ciclo de cultivo cuando se emplea el COYD (documento que elaborará el Reino Unido).</w:t>
      </w:r>
    </w:p>
    <w:p w:rsidR="00EF6860" w:rsidRPr="00EF6860" w:rsidRDefault="00EF6860" w:rsidP="00EF6860">
      <w:pPr>
        <w:spacing w:after="120"/>
        <w:ind w:left="1134" w:hanging="567"/>
        <w:rPr>
          <w:lang w:val="es-ES"/>
        </w:rPr>
      </w:pPr>
      <w:r w:rsidRPr="00EF6860">
        <w:rPr>
          <w:lang w:val="es-ES"/>
        </w:rPr>
        <w:t>9.</w:t>
      </w:r>
      <w:r w:rsidRPr="00EF6860">
        <w:rPr>
          <w:lang w:val="es-ES"/>
        </w:rPr>
        <w:tab/>
      </w:r>
      <w:r w:rsidRPr="00EF6860">
        <w:rPr>
          <w:lang w:val="es-ES_tradnl"/>
        </w:rPr>
        <w:t>Debate sobre:</w:t>
      </w:r>
    </w:p>
    <w:p w:rsidR="00EF6860" w:rsidRPr="00EF6860" w:rsidRDefault="00EF6860" w:rsidP="00EF6860">
      <w:pPr>
        <w:spacing w:after="120"/>
        <w:ind w:left="1701" w:hanging="567"/>
        <w:rPr>
          <w:lang w:val="es-ES"/>
        </w:rPr>
      </w:pPr>
      <w:r w:rsidRPr="00EF6860">
        <w:rPr>
          <w:lang w:val="es-ES"/>
        </w:rPr>
        <w:t>a)</w:t>
      </w:r>
      <w:r w:rsidRPr="00EF6860">
        <w:rPr>
          <w:lang w:val="es-ES"/>
        </w:rPr>
        <w:tab/>
      </w:r>
      <w:r w:rsidRPr="00EF6860">
        <w:rPr>
          <w:lang w:val="es-ES_tradnl"/>
        </w:rPr>
        <w:t xml:space="preserve">la </w:t>
      </w:r>
      <w:r w:rsidRPr="00EF6860">
        <w:rPr>
          <w:rFonts w:cs="Arial"/>
          <w:snapToGrid w:val="0"/>
          <w:lang w:val="es-ES_tradnl"/>
        </w:rPr>
        <w:t>utilización</w:t>
      </w:r>
      <w:r w:rsidRPr="00EF6860">
        <w:rPr>
          <w:lang w:val="es-ES_tradnl"/>
        </w:rPr>
        <w:t xml:space="preserve"> de caracteres de resistencia a las enfermedades y a los insectos en el examen DHE</w:t>
      </w:r>
      <w:r w:rsidRPr="00EF6860">
        <w:rPr>
          <w:lang w:val="es-ES"/>
        </w:rPr>
        <w:t xml:space="preserve"> </w:t>
      </w:r>
    </w:p>
    <w:p w:rsidR="00EF6860" w:rsidRPr="00EF6860" w:rsidRDefault="00EF6860" w:rsidP="00EF6860">
      <w:pPr>
        <w:spacing w:after="120"/>
        <w:ind w:left="1701" w:hanging="567"/>
        <w:rPr>
          <w:lang w:val="es-ES"/>
        </w:rPr>
      </w:pPr>
      <w:r w:rsidRPr="00EF6860">
        <w:rPr>
          <w:lang w:val="es-ES"/>
        </w:rPr>
        <w:t>b)</w:t>
      </w:r>
      <w:r w:rsidRPr="00EF6860">
        <w:rPr>
          <w:lang w:val="es-ES"/>
        </w:rPr>
        <w:tab/>
      </w:r>
      <w:r w:rsidRPr="00EF6860">
        <w:rPr>
          <w:lang w:val="es-ES_tradnl"/>
        </w:rPr>
        <w:t xml:space="preserve">la </w:t>
      </w:r>
      <w:r w:rsidRPr="00EF6860">
        <w:rPr>
          <w:rFonts w:cs="Arial"/>
          <w:snapToGrid w:val="0"/>
          <w:lang w:val="es-ES_tradnl"/>
        </w:rPr>
        <w:t>gestión</w:t>
      </w:r>
      <w:r w:rsidRPr="00EF6860">
        <w:rPr>
          <w:lang w:val="es-ES_tradnl"/>
        </w:rPr>
        <w:t xml:space="preserve"> de las colecciones de variedades</w:t>
      </w:r>
      <w:r w:rsidRPr="00EF6860">
        <w:rPr>
          <w:lang w:val="es-ES"/>
        </w:rPr>
        <w:t xml:space="preserve"> </w:t>
      </w:r>
    </w:p>
    <w:p w:rsidR="00EF6860" w:rsidRPr="00EF6860" w:rsidRDefault="00EF6860" w:rsidP="00EF6860">
      <w:pPr>
        <w:spacing w:after="120"/>
        <w:ind w:left="1701" w:hanging="567"/>
        <w:rPr>
          <w:lang w:val="es-ES"/>
        </w:rPr>
      </w:pPr>
      <w:r w:rsidRPr="00EF6860">
        <w:rPr>
          <w:lang w:val="es-ES"/>
        </w:rPr>
        <w:t>c)</w:t>
      </w:r>
      <w:r w:rsidRPr="00EF6860">
        <w:rPr>
          <w:lang w:val="es-ES"/>
        </w:rPr>
        <w:tab/>
      </w:r>
      <w:r w:rsidRPr="00EF6860">
        <w:rPr>
          <w:lang w:val="es-ES_tradnl"/>
        </w:rPr>
        <w:t xml:space="preserve">la </w:t>
      </w:r>
      <w:r w:rsidRPr="00EF6860">
        <w:rPr>
          <w:rFonts w:cs="Arial"/>
          <w:snapToGrid w:val="0"/>
          <w:lang w:val="es-ES_tradnl"/>
        </w:rPr>
        <w:t>distancia</w:t>
      </w:r>
      <w:r w:rsidRPr="00EF6860">
        <w:rPr>
          <w:lang w:val="es-ES_tradnl"/>
        </w:rPr>
        <w:t xml:space="preserve"> mínima entre las variedades</w:t>
      </w:r>
    </w:p>
    <w:p w:rsidR="00EF6860" w:rsidRPr="00EF6860" w:rsidRDefault="00EF6860" w:rsidP="00EF6860">
      <w:pPr>
        <w:spacing w:after="120"/>
        <w:ind w:left="1701" w:hanging="567"/>
        <w:rPr>
          <w:lang w:val="es-ES"/>
        </w:rPr>
      </w:pPr>
      <w:r w:rsidRPr="00EF6860">
        <w:rPr>
          <w:lang w:val="es-ES"/>
        </w:rPr>
        <w:t>d)</w:t>
      </w:r>
      <w:r w:rsidRPr="00EF6860">
        <w:rPr>
          <w:lang w:val="es-ES"/>
        </w:rPr>
        <w:tab/>
      </w:r>
      <w:r w:rsidRPr="00EF6860">
        <w:rPr>
          <w:lang w:val="es-ES_tradnl"/>
        </w:rPr>
        <w:t>la creciente participación de nuevos miembros de la Unión en la labor del TC y de los TWP</w:t>
      </w:r>
    </w:p>
    <w:p w:rsidR="00EF6860" w:rsidRPr="00EF6860" w:rsidRDefault="00EF6860" w:rsidP="00EF6860">
      <w:pPr>
        <w:spacing w:after="120"/>
        <w:ind w:left="1134" w:hanging="567"/>
        <w:rPr>
          <w:lang w:val="es-ES"/>
        </w:rPr>
      </w:pPr>
      <w:r w:rsidRPr="00EF6860">
        <w:rPr>
          <w:lang w:val="es-ES"/>
        </w:rPr>
        <w:t>11.</w:t>
      </w:r>
      <w:r w:rsidRPr="00EF6860">
        <w:rPr>
          <w:lang w:val="es-ES"/>
        </w:rPr>
        <w:tab/>
      </w:r>
      <w:r w:rsidRPr="00EF6860">
        <w:rPr>
          <w:lang w:val="es-ES_tradnl"/>
        </w:rPr>
        <w:t>Número de ciclos de cultivo</w:t>
      </w:r>
    </w:p>
    <w:p w:rsidR="00EF6860" w:rsidRPr="00EF6860" w:rsidRDefault="00EF6860" w:rsidP="00EF6860">
      <w:pPr>
        <w:spacing w:after="120"/>
        <w:ind w:left="1134" w:hanging="567"/>
        <w:rPr>
          <w:lang w:val="es-ES"/>
        </w:rPr>
      </w:pPr>
      <w:r w:rsidRPr="00EF6860">
        <w:rPr>
          <w:lang w:val="es-ES"/>
        </w:rPr>
        <w:t>12.</w:t>
      </w:r>
      <w:r w:rsidRPr="00EF6860">
        <w:rPr>
          <w:lang w:val="es-ES"/>
        </w:rPr>
        <w:tab/>
      </w:r>
      <w:r w:rsidRPr="00EF6860">
        <w:rPr>
          <w:lang w:val="es-ES_tradnl"/>
        </w:rPr>
        <w:t>Cooperación en materia de examen</w:t>
      </w:r>
    </w:p>
    <w:p w:rsidR="00EF6860" w:rsidRPr="00EF6860" w:rsidRDefault="00EF6860" w:rsidP="00EF6860">
      <w:pPr>
        <w:spacing w:after="120"/>
        <w:ind w:left="1134" w:hanging="567"/>
        <w:rPr>
          <w:rFonts w:cs="Arial"/>
          <w:snapToGrid w:val="0"/>
          <w:lang w:val="es-ES"/>
        </w:rPr>
      </w:pPr>
      <w:r w:rsidRPr="00EF6860">
        <w:rPr>
          <w:rFonts w:cs="Arial"/>
          <w:snapToGrid w:val="0"/>
          <w:lang w:val="es-ES"/>
        </w:rPr>
        <w:t>13.</w:t>
      </w:r>
      <w:r w:rsidRPr="00EF6860">
        <w:rPr>
          <w:rFonts w:cs="Arial"/>
          <w:snapToGrid w:val="0"/>
          <w:lang w:val="es-ES"/>
        </w:rPr>
        <w:tab/>
      </w:r>
      <w:r w:rsidRPr="00EF6860">
        <w:rPr>
          <w:rFonts w:cs="Arial"/>
          <w:snapToGrid w:val="0"/>
          <w:lang w:val="es-ES_tradnl"/>
        </w:rPr>
        <w:t>Métodos estadísticos aplicados a caracteres observados visualmente</w:t>
      </w:r>
    </w:p>
    <w:p w:rsidR="00EF6860" w:rsidRPr="00EF6860" w:rsidRDefault="00EF6860" w:rsidP="00EF6860">
      <w:pPr>
        <w:spacing w:after="120"/>
        <w:ind w:left="1134" w:hanging="567"/>
        <w:rPr>
          <w:rFonts w:cs="Arial"/>
          <w:snapToGrid w:val="0"/>
          <w:lang w:val="es-ES"/>
        </w:rPr>
      </w:pPr>
      <w:r w:rsidRPr="00EF6860">
        <w:rPr>
          <w:rFonts w:cs="Arial"/>
          <w:snapToGrid w:val="0"/>
          <w:lang w:val="es-ES"/>
        </w:rPr>
        <w:t>14.</w:t>
      </w:r>
      <w:r w:rsidRPr="00EF6860">
        <w:rPr>
          <w:rFonts w:cs="Arial"/>
          <w:snapToGrid w:val="0"/>
          <w:lang w:val="es-ES"/>
        </w:rPr>
        <w:tab/>
      </w:r>
      <w:r w:rsidRPr="00EF6860">
        <w:rPr>
          <w:rFonts w:cs="Arial"/>
          <w:snapToGrid w:val="0"/>
          <w:lang w:val="es-ES_tradnl"/>
        </w:rPr>
        <w:t>Talleres preparatorios</w:t>
      </w:r>
      <w:r w:rsidRPr="00EF6860">
        <w:rPr>
          <w:rFonts w:cs="Arial"/>
          <w:snapToGrid w:val="0"/>
          <w:lang w:val="es-ES"/>
        </w:rPr>
        <w:t xml:space="preserve"> </w:t>
      </w:r>
    </w:p>
    <w:p w:rsidR="00EF6860" w:rsidRPr="00EF6860" w:rsidRDefault="00EF6860" w:rsidP="00EF6860">
      <w:pPr>
        <w:spacing w:after="120"/>
        <w:ind w:left="1134" w:hanging="567"/>
        <w:rPr>
          <w:rFonts w:cs="Arial"/>
          <w:snapToGrid w:val="0"/>
          <w:lang w:val="es-ES"/>
        </w:rPr>
      </w:pPr>
      <w:r w:rsidRPr="00EF6860">
        <w:rPr>
          <w:rFonts w:cs="Arial"/>
          <w:snapToGrid w:val="0"/>
          <w:lang w:val="es-ES"/>
        </w:rPr>
        <w:t>15.</w:t>
      </w:r>
      <w:r w:rsidRPr="00EF6860">
        <w:rPr>
          <w:rFonts w:cs="Arial"/>
          <w:snapToGrid w:val="0"/>
          <w:lang w:val="es-ES"/>
        </w:rPr>
        <w:tab/>
      </w:r>
      <w:r w:rsidRPr="00EF6860">
        <w:rPr>
          <w:rFonts w:cs="Arial"/>
          <w:snapToGrid w:val="0"/>
          <w:lang w:val="es-ES_tradnl"/>
        </w:rPr>
        <w:t>Denominaciones de variedades</w:t>
      </w:r>
    </w:p>
    <w:p w:rsidR="00EF6860" w:rsidRPr="00EF6860" w:rsidRDefault="00EF6860" w:rsidP="00EF6860">
      <w:pPr>
        <w:spacing w:after="120"/>
        <w:ind w:left="1134" w:hanging="567"/>
        <w:rPr>
          <w:rFonts w:cs="Arial"/>
          <w:snapToGrid w:val="0"/>
          <w:lang w:val="es-ES"/>
        </w:rPr>
      </w:pPr>
      <w:r w:rsidRPr="00EF6860">
        <w:rPr>
          <w:rFonts w:cs="Arial"/>
          <w:snapToGrid w:val="0"/>
          <w:lang w:val="es-ES"/>
        </w:rPr>
        <w:t>16.</w:t>
      </w:r>
      <w:r w:rsidRPr="00EF6860">
        <w:rPr>
          <w:rFonts w:cs="Arial"/>
          <w:snapToGrid w:val="0"/>
          <w:lang w:val="es-ES"/>
        </w:rPr>
        <w:tab/>
      </w:r>
      <w:r w:rsidRPr="00EF6860">
        <w:rPr>
          <w:rFonts w:cs="Arial"/>
          <w:snapToGrid w:val="0"/>
          <w:lang w:val="es-ES_tradnl"/>
        </w:rPr>
        <w:t>Información y bases de datos</w:t>
      </w:r>
    </w:p>
    <w:p w:rsidR="00EF6860" w:rsidRPr="00EF6860" w:rsidRDefault="00EF6860" w:rsidP="00EF6860">
      <w:pPr>
        <w:spacing w:after="120"/>
        <w:ind w:left="1701" w:hanging="567"/>
        <w:rPr>
          <w:rFonts w:cs="Arial"/>
          <w:snapToGrid w:val="0"/>
          <w:lang w:val="es-ES"/>
        </w:rPr>
      </w:pPr>
      <w:r w:rsidRPr="00EF6860">
        <w:rPr>
          <w:rFonts w:cs="Arial"/>
          <w:snapToGrid w:val="0"/>
          <w:lang w:val="es-ES"/>
        </w:rPr>
        <w:t>a)</w:t>
      </w:r>
      <w:r w:rsidRPr="00EF6860">
        <w:rPr>
          <w:rFonts w:cs="Arial"/>
          <w:snapToGrid w:val="0"/>
          <w:lang w:val="es-ES"/>
        </w:rPr>
        <w:tab/>
      </w:r>
      <w:r w:rsidRPr="00EF6860">
        <w:rPr>
          <w:rFonts w:cs="Arial"/>
          <w:snapToGrid w:val="0"/>
          <w:lang w:val="es-ES_tradnl"/>
        </w:rPr>
        <w:t>Bases de datos de información de la UPOV</w:t>
      </w:r>
    </w:p>
    <w:p w:rsidR="00EF6860" w:rsidRPr="00EF6860" w:rsidRDefault="00EF6860" w:rsidP="00EF6860">
      <w:pPr>
        <w:spacing w:after="120"/>
        <w:ind w:left="1701" w:hanging="567"/>
        <w:rPr>
          <w:rFonts w:cs="Arial"/>
          <w:snapToGrid w:val="0"/>
          <w:lang w:val="es-ES"/>
        </w:rPr>
      </w:pPr>
      <w:r w:rsidRPr="00EF6860">
        <w:rPr>
          <w:rFonts w:cs="Arial"/>
          <w:snapToGrid w:val="0"/>
          <w:lang w:val="es-ES"/>
        </w:rPr>
        <w:t>b)</w:t>
      </w:r>
      <w:r w:rsidRPr="00EF6860">
        <w:rPr>
          <w:rFonts w:cs="Arial"/>
          <w:snapToGrid w:val="0"/>
          <w:lang w:val="es-ES"/>
        </w:rPr>
        <w:tab/>
      </w:r>
      <w:r w:rsidRPr="00EF6860">
        <w:rPr>
          <w:rFonts w:cs="Arial"/>
          <w:snapToGrid w:val="0"/>
          <w:lang w:val="es-ES_tradnl"/>
        </w:rPr>
        <w:t>Formulario electrónico de solicitud</w:t>
      </w:r>
      <w:r w:rsidRPr="00EF6860">
        <w:rPr>
          <w:rFonts w:cs="Arial"/>
          <w:snapToGrid w:val="0"/>
          <w:lang w:val="es-ES"/>
        </w:rPr>
        <w:t xml:space="preserve"> </w:t>
      </w:r>
    </w:p>
    <w:p w:rsidR="00EF6860" w:rsidRPr="00EF6860" w:rsidRDefault="00EF6860" w:rsidP="00EF6860">
      <w:pPr>
        <w:spacing w:after="120"/>
        <w:ind w:left="1701" w:hanging="567"/>
        <w:rPr>
          <w:rFonts w:cs="Arial"/>
          <w:snapToGrid w:val="0"/>
          <w:lang w:val="es-ES"/>
        </w:rPr>
      </w:pPr>
      <w:r w:rsidRPr="00EF6860">
        <w:rPr>
          <w:rFonts w:cs="Arial"/>
          <w:snapToGrid w:val="0"/>
          <w:lang w:val="es-ES"/>
        </w:rPr>
        <w:t>c)</w:t>
      </w:r>
      <w:r w:rsidRPr="00EF6860">
        <w:rPr>
          <w:rFonts w:cs="Arial"/>
          <w:snapToGrid w:val="0"/>
          <w:lang w:val="es-ES"/>
        </w:rPr>
        <w:tab/>
      </w:r>
      <w:r w:rsidRPr="00EF6860">
        <w:rPr>
          <w:rFonts w:cs="Arial"/>
          <w:snapToGrid w:val="0"/>
          <w:lang w:val="es-ES_tradnl"/>
        </w:rPr>
        <w:t>Intercambio y uso de programas informáticos y equipos</w:t>
      </w:r>
      <w:r w:rsidRPr="00EF6860">
        <w:rPr>
          <w:rFonts w:cs="Arial"/>
          <w:snapToGrid w:val="0"/>
          <w:lang w:val="es-ES"/>
        </w:rPr>
        <w:t xml:space="preserve"> </w:t>
      </w:r>
    </w:p>
    <w:p w:rsidR="00EF6860" w:rsidRPr="00EF6860" w:rsidRDefault="00EF6860" w:rsidP="00EF6860">
      <w:pPr>
        <w:spacing w:after="120"/>
        <w:ind w:left="1701" w:hanging="567"/>
        <w:rPr>
          <w:rFonts w:cs="Arial"/>
          <w:snapToGrid w:val="0"/>
          <w:lang w:val="es-ES"/>
        </w:rPr>
      </w:pPr>
      <w:r w:rsidRPr="00EF6860">
        <w:rPr>
          <w:rFonts w:cs="Arial"/>
          <w:snapToGrid w:val="0"/>
          <w:lang w:val="es-ES"/>
        </w:rPr>
        <w:t>d)</w:t>
      </w:r>
      <w:r w:rsidRPr="00EF6860">
        <w:rPr>
          <w:rFonts w:cs="Arial"/>
          <w:snapToGrid w:val="0"/>
          <w:lang w:val="es-ES"/>
        </w:rPr>
        <w:tab/>
      </w:r>
      <w:r w:rsidRPr="00EF6860">
        <w:rPr>
          <w:rFonts w:cs="Arial"/>
          <w:snapToGrid w:val="0"/>
          <w:lang w:val="es-ES_tradnl"/>
        </w:rPr>
        <w:t>Bases de datos de descripciones de variedades</w:t>
      </w:r>
    </w:p>
    <w:p w:rsidR="00EF6860" w:rsidRPr="00EF6860" w:rsidRDefault="00EF6860" w:rsidP="00EF6860">
      <w:pPr>
        <w:spacing w:after="120"/>
        <w:ind w:left="1134" w:hanging="567"/>
        <w:rPr>
          <w:rFonts w:cs="Arial"/>
          <w:snapToGrid w:val="0"/>
          <w:lang w:val="es-ES"/>
        </w:rPr>
      </w:pPr>
      <w:r w:rsidRPr="00EF6860">
        <w:rPr>
          <w:rFonts w:cs="Arial"/>
          <w:snapToGrid w:val="0"/>
          <w:lang w:val="es-ES"/>
        </w:rPr>
        <w:t>17.</w:t>
      </w:r>
      <w:r w:rsidRPr="00EF6860">
        <w:rPr>
          <w:rFonts w:cs="Arial"/>
          <w:snapToGrid w:val="0"/>
          <w:lang w:val="es-ES"/>
        </w:rPr>
        <w:tab/>
      </w:r>
      <w:r w:rsidRPr="00EF6860">
        <w:rPr>
          <w:rFonts w:cs="Arial"/>
          <w:snapToGrid w:val="0"/>
          <w:lang w:val="es-ES_tradnl"/>
        </w:rPr>
        <w:t>Lista de géneros y especies respecto de las cuales las autoridades poseen experiencia práctica en el examen de la distinción, la homogeneidad y la estabilidad</w:t>
      </w:r>
      <w:r w:rsidRPr="00EF6860">
        <w:rPr>
          <w:rFonts w:cs="Arial"/>
          <w:snapToGrid w:val="0"/>
          <w:lang w:val="es-ES"/>
        </w:rPr>
        <w:t xml:space="preserve"> </w:t>
      </w:r>
    </w:p>
    <w:p w:rsidR="00EF6860" w:rsidRPr="00EF6860" w:rsidRDefault="00EF6860" w:rsidP="00EF6860">
      <w:pPr>
        <w:spacing w:after="120"/>
        <w:ind w:left="1134" w:hanging="567"/>
        <w:rPr>
          <w:rFonts w:cs="Arial"/>
          <w:snapToGrid w:val="0"/>
          <w:lang w:val="es-ES"/>
        </w:rPr>
      </w:pPr>
      <w:r w:rsidRPr="00EF6860">
        <w:rPr>
          <w:rFonts w:cs="Arial"/>
          <w:snapToGrid w:val="0"/>
          <w:lang w:val="es-ES"/>
        </w:rPr>
        <w:t>18.</w:t>
      </w:r>
      <w:r w:rsidRPr="00EF6860">
        <w:rPr>
          <w:rFonts w:cs="Arial"/>
          <w:snapToGrid w:val="0"/>
          <w:lang w:val="es-ES"/>
        </w:rPr>
        <w:tab/>
      </w:r>
      <w:r w:rsidRPr="00EF6860">
        <w:rPr>
          <w:rFonts w:cs="Arial"/>
          <w:snapToGrid w:val="0"/>
          <w:lang w:val="es-ES_tradnl"/>
        </w:rPr>
        <w:t>Directrices de examen</w:t>
      </w:r>
      <w:r w:rsidRPr="00EF6860">
        <w:rPr>
          <w:rFonts w:cs="Arial"/>
          <w:snapToGrid w:val="0"/>
          <w:lang w:val="es-ES"/>
        </w:rPr>
        <w:t xml:space="preserve"> </w:t>
      </w:r>
    </w:p>
    <w:p w:rsidR="00EF6860" w:rsidRPr="00EF6860" w:rsidRDefault="00EF6860" w:rsidP="00EF6860">
      <w:pPr>
        <w:spacing w:after="120"/>
        <w:ind w:left="1134" w:hanging="567"/>
        <w:rPr>
          <w:rFonts w:cs="Arial"/>
          <w:snapToGrid w:val="0"/>
          <w:lang w:val="es-ES"/>
        </w:rPr>
      </w:pPr>
      <w:r w:rsidRPr="00EF6860">
        <w:rPr>
          <w:rFonts w:cs="Arial"/>
          <w:snapToGrid w:val="0"/>
          <w:lang w:val="es-ES"/>
        </w:rPr>
        <w:t>19.</w:t>
      </w:r>
      <w:r w:rsidRPr="00EF6860">
        <w:rPr>
          <w:rFonts w:cs="Arial"/>
          <w:snapToGrid w:val="0"/>
          <w:lang w:val="es-ES"/>
        </w:rPr>
        <w:tab/>
      </w:r>
      <w:r w:rsidRPr="00EF6860">
        <w:rPr>
          <w:rFonts w:cs="Arial"/>
          <w:snapToGrid w:val="0"/>
          <w:lang w:val="es-ES_tradnl"/>
        </w:rPr>
        <w:t>Orden del día de la quincuagésima cuarta sesión</w:t>
      </w:r>
      <w:r w:rsidRPr="00EF6860">
        <w:rPr>
          <w:rFonts w:cs="Arial"/>
          <w:snapToGrid w:val="0"/>
          <w:lang w:val="es-ES"/>
        </w:rPr>
        <w:t xml:space="preserve"> </w:t>
      </w:r>
    </w:p>
    <w:p w:rsidR="00EF6860" w:rsidRPr="00EF6860" w:rsidRDefault="00EF6860" w:rsidP="00EF6860">
      <w:pPr>
        <w:spacing w:after="120"/>
        <w:ind w:left="1134" w:hanging="567"/>
        <w:rPr>
          <w:rFonts w:cs="Arial"/>
          <w:snapToGrid w:val="0"/>
          <w:lang w:val="es-ES"/>
        </w:rPr>
      </w:pPr>
      <w:r w:rsidRPr="00EF6860">
        <w:rPr>
          <w:rFonts w:cs="Arial"/>
          <w:snapToGrid w:val="0"/>
          <w:lang w:val="es-ES"/>
        </w:rPr>
        <w:t>20.</w:t>
      </w:r>
      <w:r w:rsidRPr="00EF6860">
        <w:rPr>
          <w:rFonts w:cs="Arial"/>
          <w:snapToGrid w:val="0"/>
          <w:lang w:val="es-ES"/>
        </w:rPr>
        <w:tab/>
      </w:r>
      <w:r w:rsidRPr="00EF6860">
        <w:rPr>
          <w:rFonts w:cs="Arial"/>
          <w:lang w:val="es-ES_tradnl"/>
        </w:rPr>
        <w:t>Aprobación del informe (si se dispone de tiempo suficiente)</w:t>
      </w:r>
    </w:p>
    <w:p w:rsidR="00EF6860" w:rsidRPr="00EF6860" w:rsidRDefault="00EF6860" w:rsidP="00EF6860">
      <w:pPr>
        <w:spacing w:after="120"/>
        <w:ind w:left="1134" w:hanging="567"/>
        <w:rPr>
          <w:snapToGrid w:val="0"/>
          <w:lang w:val="es-ES"/>
        </w:rPr>
      </w:pPr>
      <w:r w:rsidRPr="00EF6860">
        <w:rPr>
          <w:snapToGrid w:val="0"/>
          <w:lang w:val="es-ES"/>
        </w:rPr>
        <w:t>21.</w:t>
      </w:r>
      <w:r w:rsidRPr="00EF6860">
        <w:rPr>
          <w:snapToGrid w:val="0"/>
          <w:lang w:val="es-ES"/>
        </w:rPr>
        <w:tab/>
      </w:r>
      <w:r w:rsidRPr="00EF6860">
        <w:rPr>
          <w:rFonts w:cs="Arial"/>
          <w:snapToGrid w:val="0"/>
          <w:lang w:val="es-ES_tradnl"/>
        </w:rPr>
        <w:t>Clausura</w:t>
      </w:r>
      <w:r w:rsidRPr="00EF6860">
        <w:rPr>
          <w:snapToGrid w:val="0"/>
          <w:lang w:val="es-ES_tradnl"/>
        </w:rPr>
        <w:t xml:space="preserve"> de la reunión</w:t>
      </w:r>
    </w:p>
    <w:p w:rsidR="00EF6860" w:rsidRPr="00EF6860" w:rsidRDefault="00EF6860" w:rsidP="00853943">
      <w:pPr>
        <w:rPr>
          <w:snapToGrid w:val="0"/>
          <w:lang w:val="es-ES"/>
        </w:rPr>
      </w:pPr>
    </w:p>
    <w:p w:rsidR="00EF6860" w:rsidRPr="00EF6860" w:rsidRDefault="00EF6860" w:rsidP="00EF6860">
      <w:pPr>
        <w:jc w:val="left"/>
        <w:rPr>
          <w:lang w:val="es-ES"/>
        </w:rPr>
      </w:pPr>
    </w:p>
    <w:p w:rsidR="00EF6860" w:rsidRPr="00EF6860" w:rsidRDefault="00EF6860" w:rsidP="00FD65CE">
      <w:pPr>
        <w:jc w:val="left"/>
        <w:rPr>
          <w:u w:val="single"/>
          <w:lang w:val="es-ES"/>
        </w:rPr>
      </w:pPr>
      <w:r w:rsidRPr="00EF6860">
        <w:rPr>
          <w:u w:val="single"/>
          <w:lang w:val="es-ES_tradnl"/>
        </w:rPr>
        <w:t>Presidente y Vicepresidente</w:t>
      </w:r>
    </w:p>
    <w:p w:rsidR="00EF6860" w:rsidRPr="00EF6860" w:rsidRDefault="00EF6860" w:rsidP="00EF6860">
      <w:pPr>
        <w:rPr>
          <w:lang w:val="es-ES"/>
        </w:rPr>
      </w:pPr>
    </w:p>
    <w:p w:rsidR="00EF6860" w:rsidRPr="00EF6860" w:rsidRDefault="00EF6860" w:rsidP="00EF6860">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señaló que la presidencia del Sr. Alejandro Barrientos Priego (México) terminará en el momento de la clausura de la próxima sesión ordinaria del Consejo en octubre.</w:t>
      </w:r>
      <w:r w:rsidRPr="00EF6860">
        <w:rPr>
          <w:lang w:val="es-ES"/>
        </w:rPr>
        <w:t xml:space="preserve">  </w:t>
      </w:r>
      <w:r w:rsidRPr="00EF6860">
        <w:rPr>
          <w:lang w:val="es-ES_tradnl"/>
        </w:rPr>
        <w:t>Propuso que el Consejo designe al Sr. Kees van Ettekoven (Países Bajos) nuevo Presidente y al Sr. Nik Hulse (Australia) nuevo Vicepresidente del TC para el próximo trienio.</w:t>
      </w:r>
    </w:p>
    <w:p w:rsidR="00EF6860" w:rsidRPr="00EF6860" w:rsidRDefault="00EF6860" w:rsidP="00EF6860">
      <w:pPr>
        <w:rPr>
          <w:lang w:val="es-ES"/>
        </w:rPr>
      </w:pPr>
    </w:p>
    <w:p w:rsidR="00EF6860" w:rsidRPr="00EF6860" w:rsidRDefault="00EF6860" w:rsidP="00EF6860">
      <w:pPr>
        <w:rPr>
          <w:lang w:val="es-ES"/>
        </w:rPr>
      </w:pPr>
    </w:p>
    <w:p w:rsidR="00EF6860" w:rsidRPr="00EF6860" w:rsidRDefault="00EF6860" w:rsidP="00853943">
      <w:pPr>
        <w:outlineLvl w:val="1"/>
        <w:rPr>
          <w:u w:val="single"/>
          <w:lang w:val="es-ES"/>
        </w:rPr>
      </w:pPr>
      <w:bookmarkStart w:id="91" w:name="_Toc463512525"/>
      <w:r w:rsidRPr="00EF6860">
        <w:rPr>
          <w:u w:val="single"/>
          <w:lang w:val="es-ES_tradnl"/>
        </w:rPr>
        <w:t>Medalla de la UPOV</w:t>
      </w:r>
      <w:bookmarkEnd w:id="91"/>
    </w:p>
    <w:p w:rsidR="00EF6860" w:rsidRPr="00EF6860" w:rsidRDefault="00EF6860" w:rsidP="00EF6860">
      <w:pPr>
        <w:rPr>
          <w:lang w:val="es-ES"/>
        </w:rPr>
      </w:pPr>
    </w:p>
    <w:p w:rsidR="00EF6860" w:rsidRPr="00EF6860" w:rsidRDefault="00EF6860" w:rsidP="00EF6860">
      <w:pPr>
        <w:autoSpaceDE w:val="0"/>
        <w:autoSpaceDN w:val="0"/>
        <w:adjustRightInd w:val="0"/>
        <w:rPr>
          <w:lang w:val="es-ES"/>
        </w:rPr>
      </w:pPr>
      <w:r w:rsidRPr="00EF6860">
        <w:rPr>
          <w:rFonts w:cs="Arial"/>
        </w:rPr>
        <w:fldChar w:fldCharType="begin"/>
      </w:r>
      <w:r w:rsidRPr="00EF6860">
        <w:rPr>
          <w:rFonts w:cs="Arial"/>
          <w:lang w:val="es-ES"/>
        </w:rPr>
        <w:instrText xml:space="preserve"> AUTONUM  </w:instrText>
      </w:r>
      <w:r w:rsidRPr="00EF6860">
        <w:rPr>
          <w:rFonts w:cs="Arial"/>
        </w:rPr>
        <w:fldChar w:fldCharType="end"/>
      </w:r>
      <w:r w:rsidRPr="00EF6860">
        <w:rPr>
          <w:rFonts w:cs="Arial"/>
          <w:lang w:val="es-ES"/>
        </w:rPr>
        <w:tab/>
      </w:r>
      <w:r w:rsidRPr="00EF6860">
        <w:rPr>
          <w:rFonts w:cs="Arial"/>
          <w:lang w:val="es-ES_tradnl"/>
        </w:rPr>
        <w:t>En la clausura de la sesión, el Sr. Alejandro Barrientos-Priego (México) recibió la medalla de plata de la UPOV al término de su mandato como Presidente del TC durante el período 2014-2016.</w:t>
      </w:r>
      <w:r w:rsidRPr="00EF6860">
        <w:rPr>
          <w:rFonts w:cs="Arial"/>
          <w:lang w:val="es-ES"/>
        </w:rPr>
        <w:t xml:space="preserve">  </w:t>
      </w:r>
      <w:r w:rsidRPr="00EF6860">
        <w:rPr>
          <w:rFonts w:cs="Arial"/>
          <w:lang w:val="es-ES_tradnl"/>
        </w:rPr>
        <w:t>En el acto de entrega de la medalla, el Sr. Francis Gurry, Secretario General de la UPOV, recordó que el Sr. Barrientos-Priego había sido el representante de México en el TWF de la UPOV desde 1999 y que durante ese período había</w:t>
      </w:r>
      <w:r w:rsidRPr="00EF6860">
        <w:rPr>
          <w:lang w:val="es-ES"/>
        </w:rPr>
        <w:t xml:space="preserve"> </w:t>
      </w:r>
      <w:r w:rsidRPr="00EF6860">
        <w:rPr>
          <w:lang w:val="es-ES_tradnl"/>
        </w:rPr>
        <w:t>actuado como experto principal de nueve directrices de examen de la UPOV (chumbera y xoconostles, aguacate, espino, vainilla, cacao, pitahaya, nogal pecanero, papaya y portainjerto de aguacate),</w:t>
      </w:r>
      <w:r w:rsidRPr="00EF6860">
        <w:rPr>
          <w:lang w:val="es-ES"/>
        </w:rPr>
        <w:t xml:space="preserve"> </w:t>
      </w:r>
      <w:r w:rsidRPr="00EF6860">
        <w:rPr>
          <w:lang w:val="es-ES_tradnl"/>
        </w:rPr>
        <w:t>tras haber sido Presidente del TWF entre 2006 y 2008, Vicepresidente del TC entre 2011 y 2013 y Presidente del BMT entre 2012 y 2014.</w:t>
      </w:r>
      <w:r w:rsidRPr="00EF6860">
        <w:rPr>
          <w:lang w:val="es-ES"/>
        </w:rPr>
        <w:t xml:space="preserve"> </w:t>
      </w:r>
      <w:r w:rsidRPr="00EF6860">
        <w:rPr>
          <w:lang w:val="es-ES_tradnl"/>
        </w:rPr>
        <w:t>El Sr. Barrientos-Priego también ha participado como orador y formador en varias actividades de fortalecimiento de capacidades en América Latina y el Caribe.</w:t>
      </w:r>
    </w:p>
    <w:p w:rsidR="00EF6860" w:rsidRPr="00EF6860" w:rsidRDefault="00EF6860" w:rsidP="00EF6860">
      <w:pPr>
        <w:autoSpaceDE w:val="0"/>
        <w:autoSpaceDN w:val="0"/>
        <w:adjustRightInd w:val="0"/>
        <w:rPr>
          <w:lang w:val="es-ES"/>
        </w:rPr>
      </w:pPr>
    </w:p>
    <w:p w:rsidR="000E71FA" w:rsidRPr="00194B80" w:rsidRDefault="00EF6860" w:rsidP="006D6EC4">
      <w:pPr>
        <w:keepLines/>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Con respecto a los logros del TC bajo la presidencia del Sr. Barrientos-Priego, el Sr. Gurry destacó:</w:t>
      </w:r>
      <w:r w:rsidRPr="00EF6860">
        <w:rPr>
          <w:lang w:val="es-ES"/>
        </w:rPr>
        <w:t xml:space="preserve"> </w:t>
      </w:r>
      <w:r w:rsidRPr="00EF6860">
        <w:rPr>
          <w:lang w:val="es-ES_tradnl"/>
        </w:rPr>
        <w:t>un análisis para hallar la manera de mejorar la eficacia del TC, los TWP y los talleres preparatorios; la introducción en el TC de “sesiones de debate” sobre diversas cuestiones; la organización del seminario conjunto de la UPOV, la OCDE y la ISTA sobre técnicas moleculares; la aprobación del documento INF/22 “Programas informáticos y equipos utilizados por los miembros de la Unión”; la revisión de los documentos TGP/7 “Elaboración de las directrices de examen”, TGP/8 “Diseño de ensayos y técnicas utilizados en el examen de la distinción, la homogeneidad y la estabilidad” y TGP/14 “Glosario de términos utilizados en los documentos de la UPOV”; la introducción de la plantilla en Internet de los documentos TG para facilitar la elaboración de las directrices de examen y la aprobación de 56 directrices de examen nuevas o revisadas.</w:t>
      </w:r>
      <w:r>
        <w:rPr>
          <w:lang w:val="es-ES_tradnl"/>
        </w:rPr>
        <w:t xml:space="preserve"> </w:t>
      </w:r>
    </w:p>
    <w:p w:rsidR="000E71FA" w:rsidRDefault="000E71FA" w:rsidP="000E71FA">
      <w:pPr>
        <w:rPr>
          <w:lang w:val="es-ES"/>
        </w:rPr>
      </w:pPr>
    </w:p>
    <w:p w:rsidR="006D6EC4" w:rsidRPr="00194B80" w:rsidRDefault="006D6EC4" w:rsidP="000E71FA">
      <w:pPr>
        <w:rPr>
          <w:lang w:val="es-ES"/>
        </w:rPr>
      </w:pPr>
    </w:p>
    <w:p w:rsidR="000E71FA" w:rsidRPr="00194B80" w:rsidRDefault="00EF6860" w:rsidP="00853943">
      <w:pPr>
        <w:pStyle w:val="Heading1"/>
        <w:keepNext w:val="0"/>
        <w:rPr>
          <w:lang w:val="es-ES"/>
        </w:rPr>
      </w:pPr>
      <w:bookmarkStart w:id="92" w:name="_Toc393187184"/>
      <w:bookmarkStart w:id="93" w:name="_Toc427848651"/>
      <w:bookmarkStart w:id="94" w:name="_Toc463512526"/>
      <w:r w:rsidRPr="00EF6860">
        <w:rPr>
          <w:lang w:val="es-ES_tradnl"/>
        </w:rPr>
        <w:t>Informes sobre la labor de los Grupos de Trabajo Técnico, incluido el Grupo de Trabajo sobre Técnicas Bioquímicas y Moleculares, y Perfiles de ADN en particular (BMT)</w:t>
      </w:r>
      <w:r>
        <w:rPr>
          <w:lang w:val="es-ES_tradnl"/>
        </w:rPr>
        <w:t xml:space="preserve"> E</w:t>
      </w:r>
      <w:r w:rsidR="000E71FA" w:rsidRPr="00194B80">
        <w:rPr>
          <w:lang w:val="es-ES"/>
        </w:rPr>
        <w:t>n 201</w:t>
      </w:r>
      <w:bookmarkEnd w:id="92"/>
      <w:bookmarkEnd w:id="93"/>
      <w:r w:rsidR="000E71FA" w:rsidRPr="00194B80">
        <w:rPr>
          <w:lang w:val="es-ES"/>
        </w:rPr>
        <w:t>5</w:t>
      </w:r>
      <w:bookmarkEnd w:id="94"/>
    </w:p>
    <w:p w:rsidR="000E71FA" w:rsidRPr="00194B80" w:rsidRDefault="000E71FA" w:rsidP="00853943">
      <w:pPr>
        <w:rPr>
          <w:lang w:val="es-ES"/>
        </w:rPr>
      </w:pPr>
    </w:p>
    <w:p w:rsidR="000E71FA" w:rsidRPr="00194B80" w:rsidRDefault="000E71FA" w:rsidP="00853943">
      <w:pPr>
        <w:rPr>
          <w:lang w:val="es-ES"/>
        </w:rPr>
      </w:pPr>
      <w:r w:rsidRPr="00EF6860">
        <w:rPr>
          <w:lang w:val="es-ES"/>
        </w:rPr>
        <w:fldChar w:fldCharType="begin"/>
      </w:r>
      <w:r w:rsidRPr="00EF6860">
        <w:rPr>
          <w:lang w:val="es-ES"/>
        </w:rPr>
        <w:instrText xml:space="preserve"> AUTONUM  </w:instrText>
      </w:r>
      <w:r w:rsidRPr="00EF6860">
        <w:rPr>
          <w:lang w:val="es-ES"/>
        </w:rPr>
        <w:fldChar w:fldCharType="end"/>
      </w:r>
      <w:r w:rsidRPr="00EF6860">
        <w:rPr>
          <w:lang w:val="es-ES"/>
        </w:rPr>
        <w:tab/>
      </w:r>
      <w:r w:rsidR="00EF6860">
        <w:rPr>
          <w:lang w:val="es-ES"/>
        </w:rPr>
        <w:t>E</w:t>
      </w:r>
      <w:r w:rsidR="00EF6860" w:rsidRPr="00EF6860">
        <w:rPr>
          <w:lang w:val="es-ES"/>
        </w:rPr>
        <w:t>n la quincuagésima segunda sesión del TC</w:t>
      </w:r>
      <w:r w:rsidR="00EF6860">
        <w:rPr>
          <w:lang w:val="es-ES"/>
        </w:rPr>
        <w:t>,</w:t>
      </w:r>
      <w:r w:rsidR="00EF6860" w:rsidRPr="00EF6860">
        <w:rPr>
          <w:lang w:val="es-ES"/>
        </w:rPr>
        <w:t xml:space="preserve"> </w:t>
      </w:r>
      <w:r w:rsidR="00EF6860">
        <w:rPr>
          <w:lang w:val="es-ES"/>
        </w:rPr>
        <w:t>l</w:t>
      </w:r>
      <w:r w:rsidR="00EF6860" w:rsidRPr="00EF6860">
        <w:rPr>
          <w:lang w:val="es-ES"/>
        </w:rPr>
        <w:t xml:space="preserve">os Presidentes del </w:t>
      </w:r>
      <w:r w:rsidRPr="00EF6860">
        <w:rPr>
          <w:lang w:val="es-ES"/>
        </w:rPr>
        <w:t>TWA, TWC, TWF, T</w:t>
      </w:r>
      <w:r w:rsidR="00EF6860" w:rsidRPr="00EF6860">
        <w:rPr>
          <w:lang w:val="es-ES"/>
        </w:rPr>
        <w:t>WO, TWV y</w:t>
      </w:r>
      <w:r w:rsidRPr="00EF6860">
        <w:rPr>
          <w:lang w:val="es-ES"/>
        </w:rPr>
        <w:t xml:space="preserve"> BMT </w:t>
      </w:r>
      <w:r w:rsidR="00EF6860" w:rsidRPr="00EF6860">
        <w:rPr>
          <w:lang w:val="es-ES"/>
        </w:rPr>
        <w:t>presentaron los informes siguientes sobre la labor</w:t>
      </w:r>
      <w:r w:rsidR="00EF6860">
        <w:rPr>
          <w:lang w:val="es-ES"/>
        </w:rPr>
        <w:t xml:space="preserve"> efectuada</w:t>
      </w:r>
      <w:r w:rsidRPr="00EF6860">
        <w:rPr>
          <w:lang w:val="es-ES"/>
        </w:rPr>
        <w:t>.</w:t>
      </w:r>
      <w:r w:rsidR="00EF6860">
        <w:rPr>
          <w:lang w:val="es-ES"/>
        </w:rPr>
        <w:t xml:space="preserve"> </w:t>
      </w:r>
    </w:p>
    <w:p w:rsidR="000E71FA" w:rsidRPr="00194B80" w:rsidRDefault="000E71FA" w:rsidP="00853943">
      <w:pPr>
        <w:rPr>
          <w:lang w:val="es-ES"/>
        </w:rPr>
      </w:pPr>
    </w:p>
    <w:p w:rsidR="00EF6860" w:rsidRPr="00EF6860" w:rsidRDefault="00EF6860" w:rsidP="00853943">
      <w:pPr>
        <w:outlineLvl w:val="2"/>
        <w:rPr>
          <w:i/>
          <w:lang w:val="es-ES"/>
        </w:rPr>
      </w:pPr>
      <w:bookmarkStart w:id="95" w:name="_Toc463512527"/>
      <w:r w:rsidRPr="00EF6860">
        <w:rPr>
          <w:i/>
          <w:lang w:val="es-ES_tradnl"/>
        </w:rPr>
        <w:t>Grupo de Trabajo Técnico sobre Plantas Agrícolas</w:t>
      </w:r>
      <w:bookmarkEnd w:id="95"/>
      <w:r w:rsidRPr="00EF6860">
        <w:rPr>
          <w:i/>
          <w:lang w:val="es-ES"/>
        </w:rPr>
        <w:t xml:space="preserve"> </w:t>
      </w:r>
    </w:p>
    <w:p w:rsidR="00EF6860" w:rsidRPr="00EF6860" w:rsidRDefault="00EF6860" w:rsidP="00853943">
      <w:pPr>
        <w:rPr>
          <w:lang w:val="es-ES"/>
        </w:rPr>
      </w:pPr>
    </w:p>
    <w:p w:rsidR="00EF6860" w:rsidRPr="00EF6860" w:rsidRDefault="00EF6860" w:rsidP="00853943">
      <w:pPr>
        <w:contextualSpacing/>
        <w:rPr>
          <w:rFonts w:cs="Arial"/>
          <w:lang w:val="es-ES"/>
        </w:rPr>
      </w:pPr>
      <w:r w:rsidRPr="00EF6860">
        <w:rPr>
          <w:rFonts w:cs="Arial"/>
        </w:rPr>
        <w:fldChar w:fldCharType="begin"/>
      </w:r>
      <w:r w:rsidRPr="00EF6860">
        <w:rPr>
          <w:rFonts w:cs="Arial"/>
          <w:lang w:val="es-ES"/>
        </w:rPr>
        <w:instrText xml:space="preserve"> AUTONUM  </w:instrText>
      </w:r>
      <w:r w:rsidRPr="00EF6860">
        <w:rPr>
          <w:rFonts w:cs="Arial"/>
        </w:rPr>
        <w:fldChar w:fldCharType="end"/>
      </w:r>
      <w:r w:rsidRPr="00EF6860">
        <w:rPr>
          <w:rFonts w:cs="Arial"/>
          <w:lang w:val="es-ES"/>
        </w:rPr>
        <w:tab/>
      </w:r>
      <w:r w:rsidRPr="00EF6860">
        <w:rPr>
          <w:rFonts w:cs="Arial"/>
          <w:lang w:val="es-ES_tradnl"/>
        </w:rPr>
        <w:t>El TWA celebró su cuadragésima cuarta sesión en Obihiro (Japón), del 6 al 10 de julio de 2015, bajo la presidencia del Sr. Tanvir Hossain (Australia), Presidente del TWA.</w:t>
      </w:r>
      <w:r w:rsidRPr="00EF6860">
        <w:rPr>
          <w:rFonts w:cs="Arial"/>
          <w:lang w:val="es-ES"/>
        </w:rPr>
        <w:t xml:space="preserve">  </w:t>
      </w:r>
      <w:r w:rsidRPr="00EF6860">
        <w:rPr>
          <w:rFonts w:cs="Arial"/>
          <w:lang w:val="es-ES_tradnl"/>
        </w:rPr>
        <w:t>El informe detallado de la sesión figura en el documento TWA/44/23 “</w:t>
      </w:r>
      <w:r w:rsidRPr="00EF6860">
        <w:rPr>
          <w:rFonts w:cs="Arial"/>
          <w:i/>
          <w:lang w:val="es-ES_tradnl"/>
        </w:rPr>
        <w:t>Report</w:t>
      </w:r>
      <w:r w:rsidRPr="00EF6860">
        <w:rPr>
          <w:rFonts w:cs="Arial"/>
          <w:lang w:val="es-ES_tradnl"/>
        </w:rPr>
        <w:t>” (Informe).</w:t>
      </w:r>
    </w:p>
    <w:p w:rsidR="00EF6860" w:rsidRPr="00EF6860" w:rsidRDefault="00EF6860" w:rsidP="00EF6860">
      <w:pPr>
        <w:contextualSpacing/>
        <w:rPr>
          <w:rFonts w:cs="Arial"/>
          <w:lang w:val="es-ES"/>
        </w:rPr>
      </w:pPr>
    </w:p>
    <w:p w:rsidR="00EF6860" w:rsidRPr="00EF6860" w:rsidRDefault="00EF6860" w:rsidP="00EF6860">
      <w:pPr>
        <w:contextualSpacing/>
        <w:rPr>
          <w:rFonts w:cs="Arial"/>
          <w:lang w:val="es-ES"/>
        </w:rPr>
      </w:pPr>
      <w:r w:rsidRPr="00EF6860">
        <w:rPr>
          <w:rFonts w:cs="Arial"/>
        </w:rPr>
        <w:fldChar w:fldCharType="begin"/>
      </w:r>
      <w:r w:rsidRPr="00EF6860">
        <w:rPr>
          <w:rFonts w:cs="Arial"/>
          <w:lang w:val="es-ES"/>
        </w:rPr>
        <w:instrText xml:space="preserve"> AUTONUM  </w:instrText>
      </w:r>
      <w:r w:rsidRPr="00EF6860">
        <w:rPr>
          <w:rFonts w:cs="Arial"/>
        </w:rPr>
        <w:fldChar w:fldCharType="end"/>
      </w:r>
      <w:r w:rsidRPr="00EF6860">
        <w:rPr>
          <w:rFonts w:cs="Arial"/>
          <w:lang w:val="es-ES"/>
        </w:rPr>
        <w:tab/>
      </w:r>
      <w:r w:rsidRPr="00EF6860">
        <w:rPr>
          <w:rFonts w:cs="Arial"/>
          <w:lang w:val="es-ES_tradnl"/>
        </w:rPr>
        <w:t>La sesión contó con 38 participantes de 17 miembros de la Unión, 9 Estados en calidad de observadores y 3 organizaciones en calidad de observadoras.</w:t>
      </w:r>
      <w:r w:rsidRPr="00EF6860">
        <w:rPr>
          <w:rFonts w:cs="Arial"/>
          <w:lang w:val="es-ES"/>
        </w:rPr>
        <w:t xml:space="preserve">  </w:t>
      </w:r>
      <w:r w:rsidRPr="00EF6860">
        <w:rPr>
          <w:rFonts w:cs="Arial"/>
          <w:lang w:val="es-ES_tradnl"/>
        </w:rPr>
        <w:t xml:space="preserve">El taller preparatorio, al que asistieron 22 participantes de 9 miembros de la Unión y 10 Estados en calidad de observadores, se celebró el 5 de julio de </w:t>
      </w:r>
      <w:r w:rsidRPr="00EF6860">
        <w:rPr>
          <w:rFonts w:cs="Arial"/>
          <w:color w:val="000000"/>
          <w:lang w:val="es-ES_tradnl"/>
        </w:rPr>
        <w:t xml:space="preserve">2015 </w:t>
      </w:r>
      <w:r w:rsidRPr="00EF6860">
        <w:rPr>
          <w:rFonts w:cs="Arial"/>
          <w:lang w:val="es-ES_tradnl"/>
        </w:rPr>
        <w:t>por la tarde.</w:t>
      </w:r>
      <w:r w:rsidRPr="00EF6860">
        <w:rPr>
          <w:rFonts w:cs="Arial"/>
          <w:lang w:val="es-ES"/>
        </w:rPr>
        <w:t xml:space="preserve"> </w:t>
      </w:r>
    </w:p>
    <w:p w:rsidR="00EF6860" w:rsidRPr="00EF6860" w:rsidRDefault="00EF6860" w:rsidP="00EF6860">
      <w:pPr>
        <w:contextualSpacing/>
        <w:rPr>
          <w:rFonts w:cs="Arial"/>
          <w:lang w:val="es-ES"/>
        </w:rPr>
      </w:pPr>
    </w:p>
    <w:p w:rsidR="00EF6860" w:rsidRPr="00EF6860" w:rsidRDefault="00EF6860" w:rsidP="00EF6860">
      <w:pPr>
        <w:contextualSpacing/>
        <w:rPr>
          <w:rFonts w:cs="Arial"/>
          <w:lang w:val="es-ES"/>
        </w:rPr>
      </w:pPr>
      <w:r w:rsidRPr="00EF6860">
        <w:rPr>
          <w:rFonts w:cs="Arial"/>
        </w:rPr>
        <w:fldChar w:fldCharType="begin"/>
      </w:r>
      <w:r w:rsidRPr="00EF6860">
        <w:rPr>
          <w:rFonts w:cs="Arial"/>
          <w:lang w:val="es-ES"/>
        </w:rPr>
        <w:instrText xml:space="preserve"> AUTONUM  </w:instrText>
      </w:r>
      <w:r w:rsidRPr="00EF6860">
        <w:rPr>
          <w:rFonts w:cs="Arial"/>
        </w:rPr>
        <w:fldChar w:fldCharType="end"/>
      </w:r>
      <w:r w:rsidRPr="00EF6860">
        <w:rPr>
          <w:rFonts w:cs="Arial"/>
          <w:lang w:val="es-ES"/>
        </w:rPr>
        <w:tab/>
      </w:r>
      <w:r w:rsidRPr="00EF6860">
        <w:rPr>
          <w:rFonts w:cs="Arial"/>
          <w:lang w:val="es-ES_tradnl"/>
        </w:rPr>
        <w:t>Dio la bienvenida al TWA el Sr. Katsuhiro Saka, Director de la División de Nuevos Negocios y Propiedad Intelectual del Ministerio de Agricultura, Silvicultura y Pesca (MAFF).</w:t>
      </w:r>
      <w:r w:rsidRPr="00EF6860">
        <w:rPr>
          <w:rFonts w:cs="Arial"/>
          <w:lang w:val="es-ES"/>
        </w:rPr>
        <w:t xml:space="preserve">  </w:t>
      </w:r>
      <w:r w:rsidRPr="00EF6860">
        <w:rPr>
          <w:rFonts w:cs="Arial"/>
          <w:lang w:val="es-ES_tradnl"/>
        </w:rPr>
        <w:t>Tras la bienvenida, el TWA asistió a una ponencia sobre el sistema de protección de las obtenciones vegetales en el Japón del Sr. Katsumi Yamaguchi, Director de la Oficina de Protección de las Obtenciones Vegetales, División de Nuevos Negocios y la Propiedad Intelectual del MAFF.</w:t>
      </w:r>
      <w:r w:rsidRPr="00EF6860">
        <w:rPr>
          <w:rFonts w:cs="Arial"/>
          <w:lang w:val="es-ES"/>
        </w:rPr>
        <w:t xml:space="preserve">  </w:t>
      </w:r>
      <w:r w:rsidRPr="00EF6860">
        <w:rPr>
          <w:rFonts w:cs="Arial"/>
          <w:lang w:val="es-ES_tradnl"/>
        </w:rPr>
        <w:t>El TWA también asistió a una ponencia sobre el fitomejoramiento de cultivos agrícolas en el Japón, por el Sr. Ikuo Ando, Director de Investigaciones sobre el Arroz de la Organización Nacional de Investigación Agrícola y Alimentaria (NARO).</w:t>
      </w:r>
    </w:p>
    <w:p w:rsidR="00EF6860" w:rsidRPr="00EF6860" w:rsidRDefault="00EF6860" w:rsidP="00EF6860">
      <w:pPr>
        <w:contextualSpacing/>
        <w:rPr>
          <w:rFonts w:cs="Arial"/>
          <w:lang w:val="es-ES"/>
        </w:rPr>
      </w:pPr>
    </w:p>
    <w:p w:rsidR="00EF6860" w:rsidRPr="00EF6860" w:rsidRDefault="00EF6860" w:rsidP="00EF6860">
      <w:pPr>
        <w:contextualSpacing/>
        <w:rPr>
          <w:rFonts w:cs="Arial"/>
          <w:lang w:val="es-ES"/>
        </w:rPr>
      </w:pPr>
      <w:r w:rsidRPr="00EF6860">
        <w:rPr>
          <w:rFonts w:cs="Arial"/>
        </w:rPr>
        <w:fldChar w:fldCharType="begin"/>
      </w:r>
      <w:r w:rsidRPr="00EF6860">
        <w:rPr>
          <w:rFonts w:cs="Arial"/>
          <w:lang w:val="es-ES"/>
        </w:rPr>
        <w:instrText xml:space="preserve"> AUTONUM  </w:instrText>
      </w:r>
      <w:r w:rsidRPr="00EF6860">
        <w:rPr>
          <w:rFonts w:cs="Arial"/>
        </w:rPr>
        <w:fldChar w:fldCharType="end"/>
      </w:r>
      <w:r w:rsidRPr="00EF6860">
        <w:rPr>
          <w:rFonts w:cs="Arial"/>
          <w:lang w:val="es-ES"/>
        </w:rPr>
        <w:tab/>
      </w:r>
      <w:r w:rsidRPr="00EF6860">
        <w:rPr>
          <w:rFonts w:cs="Arial"/>
          <w:lang w:val="es-ES_tradnl"/>
        </w:rPr>
        <w:t>El TWA aprobó el orden del día que figura en el documento TWA/44/1 Rev.</w:t>
      </w:r>
    </w:p>
    <w:p w:rsidR="00EF6860" w:rsidRPr="00EF6860" w:rsidRDefault="00EF6860" w:rsidP="00EF6860">
      <w:pPr>
        <w:contextualSpacing/>
        <w:rPr>
          <w:rFonts w:cs="Arial"/>
          <w:lang w:val="es-ES"/>
        </w:rPr>
      </w:pPr>
    </w:p>
    <w:p w:rsidR="00EF6860" w:rsidRPr="00EF6860" w:rsidRDefault="00EF6860" w:rsidP="00EF6860">
      <w:pPr>
        <w:contextualSpacing/>
        <w:rPr>
          <w:rFonts w:cs="Arial"/>
          <w:lang w:val="es-ES"/>
        </w:rPr>
      </w:pPr>
      <w:r w:rsidRPr="00EF6860">
        <w:rPr>
          <w:rFonts w:cs="Arial"/>
        </w:rPr>
        <w:fldChar w:fldCharType="begin"/>
      </w:r>
      <w:r w:rsidRPr="00EF6860">
        <w:rPr>
          <w:rFonts w:cs="Arial"/>
          <w:lang w:val="es-ES"/>
        </w:rPr>
        <w:instrText xml:space="preserve"> AUTONUM  </w:instrText>
      </w:r>
      <w:r w:rsidRPr="00EF6860">
        <w:rPr>
          <w:rFonts w:cs="Arial"/>
        </w:rPr>
        <w:fldChar w:fldCharType="end"/>
      </w:r>
      <w:r w:rsidRPr="00EF6860">
        <w:rPr>
          <w:rFonts w:cs="Arial"/>
          <w:lang w:val="es-ES"/>
        </w:rPr>
        <w:tab/>
      </w:r>
      <w:r w:rsidRPr="00EF6860">
        <w:rPr>
          <w:rFonts w:cs="Arial"/>
          <w:lang w:val="es-ES_tradnl"/>
        </w:rPr>
        <w:t>El TWA examinó el documento TWA/44/21 “</w:t>
      </w:r>
      <w:r w:rsidRPr="00EF6860">
        <w:rPr>
          <w:rFonts w:cs="Arial"/>
          <w:i/>
          <w:lang w:val="es-ES"/>
        </w:rPr>
        <w:t>Reports on Developments within UPOV</w:t>
      </w:r>
      <w:r w:rsidRPr="00EF6860">
        <w:rPr>
          <w:rFonts w:cs="Arial"/>
          <w:lang w:val="es-ES_tradnl"/>
        </w:rPr>
        <w:t>” (Informes sobre los avances logrados en la UPOV) y convino en proponer que el curso de enseñanza a distancia en línea DL-305 se imparta dos veces en 2016, una vez en primavera y otra en otoño, para permitir la máxima participación de expertos en el examen DHE.</w:t>
      </w:r>
    </w:p>
    <w:p w:rsidR="00EF6860" w:rsidRPr="00EF6860" w:rsidRDefault="00EF6860" w:rsidP="00EF6860">
      <w:pPr>
        <w:contextualSpacing/>
        <w:rPr>
          <w:rFonts w:cs="Arial"/>
          <w:lang w:val="es-ES"/>
        </w:rPr>
      </w:pPr>
    </w:p>
    <w:p w:rsidR="00EF6860" w:rsidRPr="00EF6860" w:rsidRDefault="00EF6860" w:rsidP="00EF6860">
      <w:pPr>
        <w:rPr>
          <w:rFonts w:cs="Arial"/>
          <w:lang w:val="es-ES"/>
        </w:rPr>
      </w:pPr>
      <w:r w:rsidRPr="00EF6860">
        <w:rPr>
          <w:rFonts w:cs="Arial"/>
        </w:rPr>
        <w:fldChar w:fldCharType="begin"/>
      </w:r>
      <w:r w:rsidRPr="00EF6860">
        <w:rPr>
          <w:rFonts w:cs="Arial"/>
          <w:lang w:val="es-ES"/>
        </w:rPr>
        <w:instrText xml:space="preserve"> AUTONUM  </w:instrText>
      </w:r>
      <w:r w:rsidRPr="00EF6860">
        <w:rPr>
          <w:rFonts w:cs="Arial"/>
        </w:rPr>
        <w:fldChar w:fldCharType="end"/>
      </w:r>
      <w:r w:rsidRPr="00EF6860">
        <w:rPr>
          <w:rFonts w:cs="Arial"/>
          <w:lang w:val="es-ES"/>
        </w:rPr>
        <w:tab/>
      </w:r>
      <w:r w:rsidRPr="00EF6860">
        <w:rPr>
          <w:rFonts w:cs="Arial"/>
          <w:lang w:val="es-ES_tradnl"/>
        </w:rPr>
        <w:t>El TWA suscribió la orientación propuesta que figura en el párrafo 7 del documento TWA/44/13 “</w:t>
      </w:r>
      <w:r w:rsidRPr="00EF6860">
        <w:rPr>
          <w:rFonts w:cs="Arial"/>
          <w:i/>
          <w:lang w:val="es-ES"/>
        </w:rPr>
        <w:t>Use of proprietary text, photographs and illustrations in UPOV documents</w:t>
      </w:r>
      <w:r w:rsidRPr="00EF6860">
        <w:rPr>
          <w:rFonts w:cs="Arial"/>
          <w:lang w:val="es-ES_tradnl"/>
        </w:rPr>
        <w:t>” (Uso en los documentos de la UPOV de texto, fotografías e ilustraciones amparados por derechos de propiedad intelectual), relativa al texto, las fotografías o las ilustraciones que puedan estar amparados por derechos de terceros, con el objeto de incluirla en una futura revisión del documento TGP/7.</w:t>
      </w:r>
      <w:r w:rsidRPr="00EF6860">
        <w:rPr>
          <w:rFonts w:cs="Arial"/>
          <w:lang w:val="es-ES"/>
        </w:rPr>
        <w:t xml:space="preserve"> </w:t>
      </w:r>
      <w:r w:rsidRPr="00EF6860">
        <w:rPr>
          <w:rFonts w:cs="Arial"/>
          <w:lang w:val="es-ES_tradnl"/>
        </w:rPr>
        <w:t>El TWA convino también en que deberían indicarse, en el capítulo 9 “Bibliografía” de las directrices de examen, las referencias de todos aquellos textos, fotografías e ilustraciones amparados por derechos de terceros para los cuales se haya obtenido permiso.</w:t>
      </w:r>
      <w:r w:rsidRPr="00EF6860">
        <w:rPr>
          <w:rFonts w:cs="Arial"/>
          <w:lang w:val="es-ES"/>
        </w:rPr>
        <w:t xml:space="preserve"> </w:t>
      </w:r>
      <w:r w:rsidRPr="00EF6860">
        <w:rPr>
          <w:rFonts w:cs="Arial"/>
          <w:lang w:val="es-ES_tradnl"/>
        </w:rPr>
        <w:t>El TWA convino asimismo en que debería informarse del grado de utilización de los documentos de la UPOV por sus miembros al tercero que haya concedido el permiso.</w:t>
      </w:r>
    </w:p>
    <w:p w:rsidR="00EF6860" w:rsidRPr="00EF6860" w:rsidRDefault="00EF6860" w:rsidP="00EF6860">
      <w:pPr>
        <w:rPr>
          <w:rFonts w:cs="Arial"/>
          <w:lang w:val="es-ES"/>
        </w:rPr>
      </w:pPr>
    </w:p>
    <w:p w:rsidR="00EF6860" w:rsidRPr="00EF6860" w:rsidRDefault="00EF6860" w:rsidP="00EF6860">
      <w:pPr>
        <w:rPr>
          <w:rFonts w:cs="Arial"/>
          <w:lang w:val="es-ES"/>
        </w:rPr>
      </w:pPr>
      <w:r w:rsidRPr="00EF6860">
        <w:rPr>
          <w:rFonts w:cs="Arial"/>
        </w:rPr>
        <w:fldChar w:fldCharType="begin"/>
      </w:r>
      <w:r w:rsidRPr="00EF6860">
        <w:rPr>
          <w:rFonts w:cs="Arial"/>
          <w:lang w:val="es-ES"/>
        </w:rPr>
        <w:instrText xml:space="preserve"> AUTONUM  </w:instrText>
      </w:r>
      <w:r w:rsidRPr="00EF6860">
        <w:rPr>
          <w:rFonts w:cs="Arial"/>
        </w:rPr>
        <w:fldChar w:fldCharType="end"/>
      </w:r>
      <w:r w:rsidRPr="00EF6860">
        <w:rPr>
          <w:rFonts w:cs="Arial"/>
          <w:lang w:val="es-ES"/>
        </w:rPr>
        <w:tab/>
      </w:r>
      <w:r w:rsidRPr="00EF6860">
        <w:rPr>
          <w:rFonts w:cs="Arial"/>
          <w:lang w:val="es-ES_tradnl"/>
        </w:rPr>
        <w:t>El TWA suscribió la propuesta de revisar el documento TGP/7 a fin de que incluya la introducción de la plantilla en Internet de los documentos TG una vez ultimada la Versión 1.</w:t>
      </w:r>
      <w:r w:rsidRPr="00EF6860">
        <w:rPr>
          <w:rFonts w:cs="Arial"/>
          <w:lang w:val="es-ES"/>
        </w:rPr>
        <w:t xml:space="preserve">  </w:t>
      </w:r>
      <w:r w:rsidRPr="00EF6860">
        <w:rPr>
          <w:rFonts w:cs="Arial"/>
          <w:lang w:val="es-ES_tradnl"/>
        </w:rPr>
        <w:t>El TWA suscribió la propuesta de normalizar el formato de la tabla de caracteres de todas las directrices de examen mediante una estructura como la expuesta en el documento TWA/44/12 “</w:t>
      </w:r>
      <w:r w:rsidRPr="00EF6860">
        <w:rPr>
          <w:rFonts w:cs="Arial"/>
          <w:i/>
          <w:lang w:val="es-ES"/>
        </w:rPr>
        <w:t>Revision of document TGP/7: drafter’s kit for test guidelines</w:t>
      </w:r>
      <w:r w:rsidRPr="00EF6860">
        <w:rPr>
          <w:rFonts w:cs="Arial"/>
          <w:lang w:val="es-ES_tradnl"/>
        </w:rPr>
        <w:t>” (Revisión del documento TGP/7: Carpeta de material para los redactores de directrices de examen).</w:t>
      </w:r>
    </w:p>
    <w:p w:rsidR="00EF6860" w:rsidRPr="00EF6860" w:rsidRDefault="00EF6860" w:rsidP="00EF6860">
      <w:pPr>
        <w:rPr>
          <w:rFonts w:cs="Arial"/>
          <w:lang w:val="es-ES"/>
        </w:rPr>
      </w:pPr>
    </w:p>
    <w:p w:rsidR="00EF6860" w:rsidRPr="00EF6860" w:rsidRDefault="00EF6860" w:rsidP="00EF6860">
      <w:pPr>
        <w:rPr>
          <w:rFonts w:cs="Arial"/>
          <w:lang w:val="es-ES"/>
        </w:rPr>
      </w:pPr>
      <w:r w:rsidRPr="00EF6860">
        <w:rPr>
          <w:rFonts w:cs="Arial"/>
        </w:rPr>
        <w:fldChar w:fldCharType="begin"/>
      </w:r>
      <w:r w:rsidRPr="00EF6860">
        <w:rPr>
          <w:rFonts w:cs="Arial"/>
          <w:lang w:val="es-ES"/>
        </w:rPr>
        <w:instrText xml:space="preserve"> AUTONUM  </w:instrText>
      </w:r>
      <w:r w:rsidRPr="00EF6860">
        <w:rPr>
          <w:rFonts w:cs="Arial"/>
        </w:rPr>
        <w:fldChar w:fldCharType="end"/>
      </w:r>
      <w:r w:rsidRPr="00EF6860">
        <w:rPr>
          <w:rFonts w:cs="Arial"/>
          <w:lang w:val="es-ES"/>
        </w:rPr>
        <w:tab/>
      </w:r>
      <w:r w:rsidRPr="00EF6860">
        <w:rPr>
          <w:rFonts w:cs="Arial"/>
          <w:lang w:val="es-ES_tradnl"/>
        </w:rPr>
        <w:t>Por lo que respecta a los conjuntos regionales de variedades ejemplo (documento TWA/44/14 “</w:t>
      </w:r>
      <w:r w:rsidRPr="00EF6860">
        <w:rPr>
          <w:rFonts w:cs="Arial"/>
          <w:i/>
          <w:lang w:val="es-ES_tradnl"/>
        </w:rPr>
        <w:t>Regional sets of example varieties</w:t>
      </w:r>
      <w:r w:rsidRPr="00EF6860">
        <w:rPr>
          <w:rFonts w:cs="Arial"/>
          <w:lang w:val="es-ES_tradnl"/>
        </w:rPr>
        <w:t>”), el TWA estuvo de acuerdo con el TWV en que, en el caso de conjuntos regionales de variedades ejemplo, la “región” debía definirse por las condiciones medioambientales en lugar de definirse por las fronteras geográficas.</w:t>
      </w:r>
      <w:r w:rsidRPr="00EF6860">
        <w:rPr>
          <w:rFonts w:cs="Arial"/>
          <w:snapToGrid w:val="0"/>
          <w:lang w:val="es-ES"/>
        </w:rPr>
        <w:t xml:space="preserve">  </w:t>
      </w:r>
      <w:r w:rsidRPr="00EF6860">
        <w:rPr>
          <w:rFonts w:cs="Arial"/>
          <w:lang w:val="es-ES_tradnl"/>
        </w:rPr>
        <w:t xml:space="preserve">El TWA convino en añadir en el documento TGP/7 una explicación en el sentido de que incumbe al TWP determinar en qué debe basarse una región para establecer un conjunto regional acordado de variedades ejemplo (p. ej., el intercambio de información o un </w:t>
      </w:r>
      <w:r w:rsidRPr="00EF6860">
        <w:rPr>
          <w:rFonts w:cs="Arial"/>
          <w:i/>
          <w:lang w:val="es-ES_tradnl"/>
        </w:rPr>
        <w:t>ring-test</w:t>
      </w:r>
      <w:r w:rsidRPr="00EF6860">
        <w:rPr>
          <w:rFonts w:cs="Arial"/>
          <w:lang w:val="es-ES_tradnl"/>
        </w:rPr>
        <w:t>).</w:t>
      </w:r>
    </w:p>
    <w:p w:rsidR="00EF6860" w:rsidRPr="00EF6860" w:rsidRDefault="00EF6860" w:rsidP="00EF6860">
      <w:pPr>
        <w:rPr>
          <w:rFonts w:cs="Arial"/>
          <w:lang w:val="es-ES"/>
        </w:rPr>
      </w:pPr>
    </w:p>
    <w:p w:rsidR="00EF6860" w:rsidRPr="00EF6860" w:rsidRDefault="00EF6860" w:rsidP="00EF6860">
      <w:pPr>
        <w:rPr>
          <w:rFonts w:cs="Arial"/>
          <w:lang w:val="es-ES"/>
        </w:rPr>
      </w:pPr>
      <w:r w:rsidRPr="00EF6860">
        <w:rPr>
          <w:rFonts w:cs="Arial"/>
        </w:rPr>
        <w:fldChar w:fldCharType="begin"/>
      </w:r>
      <w:r w:rsidRPr="00EF6860">
        <w:rPr>
          <w:rFonts w:cs="Arial"/>
          <w:lang w:val="es-ES"/>
        </w:rPr>
        <w:instrText xml:space="preserve"> AUTONUM  </w:instrText>
      </w:r>
      <w:r w:rsidRPr="00EF6860">
        <w:rPr>
          <w:rFonts w:cs="Arial"/>
        </w:rPr>
        <w:fldChar w:fldCharType="end"/>
      </w:r>
      <w:r w:rsidRPr="00EF6860">
        <w:rPr>
          <w:rFonts w:cs="Arial"/>
          <w:lang w:val="es-ES"/>
        </w:rPr>
        <w:tab/>
      </w:r>
      <w:r w:rsidRPr="00EF6860">
        <w:rPr>
          <w:rFonts w:cs="Arial"/>
          <w:lang w:val="es-ES_tradnl"/>
        </w:rPr>
        <w:t>El TWA examinó el documento TWA/44/15 “</w:t>
      </w:r>
      <w:r w:rsidRPr="00EF6860">
        <w:rPr>
          <w:rFonts w:cs="Arial"/>
          <w:i/>
          <w:lang w:val="es-ES"/>
        </w:rPr>
        <w:t>Revision of document TGP/8: part I: DUS trial design and data analysis, new section: minimizing the variation due to different observers</w:t>
      </w:r>
      <w:r w:rsidRPr="00EF6860">
        <w:rPr>
          <w:rFonts w:cs="Arial"/>
          <w:lang w:val="es-ES_tradnl"/>
        </w:rPr>
        <w:t>” (Revisión del documento TGP/8: Parte I: Diseño de los ensayos DHE y análisis de datos, nueva sección: Minimizar la variación resultante de la ejecución de los ensayos por distintos observadores) y suscribió el proyecto de orientación que figura en el Anexo del documento TWA/44/15, para su inclusión en una futura revisión del documento TGP/8 sobre la manera de minimizar la variación resultante de la ejecución de los ensayos por distintos observadores.</w:t>
      </w:r>
    </w:p>
    <w:p w:rsidR="00EF6860" w:rsidRPr="00EF6860" w:rsidRDefault="00EF6860" w:rsidP="00EF6860">
      <w:pPr>
        <w:rPr>
          <w:rFonts w:cs="Arial"/>
          <w:lang w:val="es-ES"/>
        </w:rPr>
      </w:pPr>
    </w:p>
    <w:p w:rsidR="00EF6860" w:rsidRPr="00EF6860" w:rsidRDefault="00EF6860" w:rsidP="00EF6860">
      <w:pPr>
        <w:rPr>
          <w:rFonts w:eastAsia="SimSun" w:cs="Arial"/>
          <w:lang w:val="es-ES" w:eastAsia="zh-CN"/>
        </w:rPr>
      </w:pPr>
      <w:r w:rsidRPr="00EF6860">
        <w:rPr>
          <w:rFonts w:cs="Arial"/>
        </w:rPr>
        <w:fldChar w:fldCharType="begin"/>
      </w:r>
      <w:r w:rsidRPr="00EF6860">
        <w:rPr>
          <w:rFonts w:cs="Arial"/>
          <w:lang w:val="es-ES"/>
        </w:rPr>
        <w:instrText xml:space="preserve"> AUTONUM  </w:instrText>
      </w:r>
      <w:r w:rsidRPr="00EF6860">
        <w:rPr>
          <w:rFonts w:cs="Arial"/>
        </w:rPr>
        <w:fldChar w:fldCharType="end"/>
      </w:r>
      <w:r w:rsidRPr="00EF6860">
        <w:rPr>
          <w:rFonts w:cs="Arial"/>
          <w:lang w:val="es-ES"/>
        </w:rPr>
        <w:tab/>
      </w:r>
      <w:r w:rsidRPr="00EF6860">
        <w:rPr>
          <w:lang w:val="es-ES_tradnl"/>
        </w:rPr>
        <w:t>El TWA examinó el documento TWA/44/9 “</w:t>
      </w:r>
      <w:r w:rsidRPr="00EF6860">
        <w:rPr>
          <w:i/>
          <w:lang w:val="es-ES"/>
        </w:rPr>
        <w:t>Revision of document TGP/10:  Assessing uniformity by off-types on basis of more than one growing cycle or on the basis of sub-samples</w:t>
      </w:r>
      <w:r w:rsidRPr="00EF6860">
        <w:rPr>
          <w:lang w:val="es-ES_tradnl"/>
        </w:rPr>
        <w:t>” (Revisión del documento TGP/10: Evaluación de la homogeneidad de las plantas fuera de tipo mediante la observación de más de un ciclo de cultivo o mediante la observación de submuestras) y convino en que, para su inclusión en una futura revisión del documento TGP/10, según consta en el Anexo I del documento TWA/44/9, el proyecto de orientación se debía seguir elaborando teniendo en cuenta la información facilitada por el TWC sobre el “Método 3: Combinar los resultados de dos ciclos de cultivo” y la comparación entre el riesgo global de las muestras combinadas y los riesgos de cada etapa de evaluación por separado.</w:t>
      </w:r>
      <w:r w:rsidRPr="00EF6860">
        <w:rPr>
          <w:rFonts w:cs="Arial"/>
          <w:lang w:val="es-ES"/>
        </w:rPr>
        <w:t xml:space="preserve">  </w:t>
      </w:r>
      <w:r w:rsidRPr="00EF6860">
        <w:rPr>
          <w:rFonts w:cs="Arial"/>
          <w:lang w:val="es-ES_tradnl"/>
        </w:rPr>
        <w:t>El TWA convino en proponer que se modifique la primera frase del Anexo I, con la redacción siguiente:</w:t>
      </w:r>
      <w:r w:rsidRPr="00EF6860">
        <w:rPr>
          <w:rFonts w:cs="Arial"/>
          <w:lang w:val="es-ES"/>
        </w:rPr>
        <w:t xml:space="preserve"> </w:t>
      </w:r>
      <w:r w:rsidRPr="00EF6860">
        <w:rPr>
          <w:rFonts w:cs="Arial"/>
          <w:lang w:val="es-ES_tradnl"/>
        </w:rPr>
        <w:t>“Podrían desarrollarse dos ciclos de cultivo independientes en un único lugar en diferentes años o en diferentes lugares en el mismo año, según se indica en las secciones 1.2 y 1.3 de la Parte I del documento TGP/8.”</w:t>
      </w:r>
      <w:r w:rsidRPr="00EF6860">
        <w:rPr>
          <w:rFonts w:cs="Arial"/>
          <w:lang w:val="es-ES"/>
        </w:rPr>
        <w:t xml:space="preserve">  </w:t>
      </w:r>
      <w:r w:rsidRPr="00EF6860">
        <w:rPr>
          <w:rFonts w:eastAsia="SimSun" w:cs="Arial"/>
          <w:lang w:val="es-ES_tradnl" w:eastAsia="zh-CN"/>
        </w:rPr>
        <w:t>El TWA convino también en que no se debía rechazar una variedad si el estándar de homogeneidad se supera ligeramente el primer año.</w:t>
      </w:r>
      <w:r w:rsidRPr="00EF6860">
        <w:rPr>
          <w:rFonts w:eastAsia="SimSun" w:cs="Arial"/>
          <w:lang w:val="es-ES" w:eastAsia="zh-CN"/>
        </w:rPr>
        <w:t xml:space="preserve"> </w:t>
      </w:r>
      <w:r w:rsidRPr="00EF6860">
        <w:rPr>
          <w:rFonts w:eastAsia="SimSun" w:cs="Arial"/>
          <w:lang w:val="es-ES_tradnl" w:eastAsia="zh-CN"/>
        </w:rPr>
        <w:t>Solo se debe recurrir a esta posibilidad en el caso de que se prevea que el límite máximo también se superará en otro ciclo de cultivo.</w:t>
      </w:r>
      <w:r w:rsidRPr="00EF6860">
        <w:rPr>
          <w:rFonts w:eastAsia="SimSun" w:cs="Arial"/>
          <w:lang w:val="es-ES" w:eastAsia="zh-CN"/>
        </w:rPr>
        <w:t xml:space="preserve"> </w:t>
      </w:r>
      <w:r w:rsidRPr="00EF6860">
        <w:rPr>
          <w:rFonts w:eastAsia="SimSun" w:cs="Arial"/>
          <w:lang w:val="es-ES_tradnl" w:eastAsia="zh-CN"/>
        </w:rPr>
        <w:t>En ese sentido, el TWA convino en proponer que la explicación facilitada en el Anexo I sobre la posibilidad de rechazar una variedad por falta de homogeneidad tras un único ciclo de cultivo se modifique de manera que su texto sea:</w:t>
      </w:r>
      <w:r w:rsidRPr="00EF6860">
        <w:rPr>
          <w:rFonts w:cs="Arial"/>
          <w:lang w:val="es-ES"/>
        </w:rPr>
        <w:t xml:space="preserve">  </w:t>
      </w:r>
      <w:r w:rsidRPr="00EF6860">
        <w:rPr>
          <w:rFonts w:eastAsia="SimSun" w:cs="Arial"/>
          <w:lang w:val="es-ES_tradnl" w:eastAsia="zh-CN"/>
        </w:rPr>
        <w:t>“Además, es posible rechazar una variedad tras un único ciclo de cultivo debido a una falta evidente de homogeneidad.”</w:t>
      </w:r>
      <w:r w:rsidRPr="00EF6860">
        <w:rPr>
          <w:rFonts w:eastAsia="SimSun" w:cs="Arial"/>
          <w:lang w:val="es-ES" w:eastAsia="zh-CN"/>
        </w:rPr>
        <w:t xml:space="preserve"> </w:t>
      </w:r>
    </w:p>
    <w:p w:rsidR="00EF6860" w:rsidRPr="00EF6860" w:rsidRDefault="00EF6860" w:rsidP="00EF6860">
      <w:pPr>
        <w:rPr>
          <w:rFonts w:eastAsia="SimSun" w:cs="Arial"/>
          <w:lang w:val="es-ES" w:eastAsia="zh-CN"/>
        </w:rPr>
      </w:pPr>
    </w:p>
    <w:p w:rsidR="00EF6860" w:rsidRPr="00EF6860" w:rsidRDefault="00EF6860" w:rsidP="00EF6860">
      <w:pPr>
        <w:rPr>
          <w:rFonts w:cs="Arial"/>
          <w:lang w:val="es-ES"/>
        </w:rPr>
      </w:pPr>
      <w:r w:rsidRPr="00EF6860">
        <w:rPr>
          <w:rFonts w:cs="Arial"/>
        </w:rPr>
        <w:fldChar w:fldCharType="begin"/>
      </w:r>
      <w:r w:rsidRPr="00EF6860">
        <w:rPr>
          <w:rFonts w:cs="Arial"/>
          <w:lang w:val="es-ES"/>
        </w:rPr>
        <w:instrText xml:space="preserve"> AUTONUM  </w:instrText>
      </w:r>
      <w:r w:rsidRPr="00EF6860">
        <w:rPr>
          <w:rFonts w:cs="Arial"/>
        </w:rPr>
        <w:fldChar w:fldCharType="end"/>
      </w:r>
      <w:r w:rsidRPr="00EF6860">
        <w:rPr>
          <w:rFonts w:cs="Arial"/>
          <w:lang w:val="es-ES"/>
        </w:rPr>
        <w:tab/>
      </w:r>
      <w:r w:rsidRPr="00EF6860">
        <w:rPr>
          <w:rFonts w:cs="Arial"/>
          <w:lang w:val="es-ES_tradnl"/>
        </w:rPr>
        <w:t>El TWA examinó el documento TWA/44/10 “</w:t>
      </w:r>
      <w:r w:rsidRPr="00EF6860">
        <w:rPr>
          <w:rFonts w:cs="Arial"/>
          <w:i/>
          <w:lang w:val="es-ES"/>
        </w:rPr>
        <w:t>Matters concerning variety descriptions</w:t>
      </w:r>
      <w:r w:rsidRPr="00EF6860">
        <w:rPr>
          <w:rFonts w:cs="Arial"/>
          <w:lang w:val="es-ES_tradnl"/>
        </w:rPr>
        <w:t>” (Asuntos relativos a las descripciones de variedades) y asistió a una ponencia de un experto de la Unión Europea titulada “Experiencia relativa a las descripciones de variedades y el control del mantenimiento de la variedad en la Oficina Comunitaria de Variedades Vegetales (OCVV) de la Unión Europea”.</w:t>
      </w:r>
      <w:r w:rsidRPr="00EF6860">
        <w:rPr>
          <w:rFonts w:cs="Arial"/>
          <w:lang w:val="es-ES"/>
        </w:rPr>
        <w:t xml:space="preserve"> </w:t>
      </w:r>
      <w:r w:rsidRPr="00EF6860">
        <w:rPr>
          <w:rFonts w:cs="Arial"/>
          <w:lang w:val="es-ES_tradnl"/>
        </w:rPr>
        <w:t>El TWA acordó invitar a Alemania, Australia y la Unión Europea a que presenten una ponencia sobre los asuntos relativos a las descripciones de variedades en su cuadragésima quinta sesión, que tendrá lugar en 2016.</w:t>
      </w:r>
      <w:r w:rsidRPr="00EF6860">
        <w:rPr>
          <w:rFonts w:cs="Arial"/>
          <w:lang w:val="es-ES"/>
        </w:rPr>
        <w:t xml:space="preserve"> </w:t>
      </w:r>
    </w:p>
    <w:p w:rsidR="00EF6860" w:rsidRPr="00EF6860" w:rsidRDefault="00EF6860" w:rsidP="00EF6860">
      <w:pPr>
        <w:rPr>
          <w:rFonts w:cs="Arial"/>
          <w:lang w:val="es-ES"/>
        </w:rPr>
      </w:pPr>
    </w:p>
    <w:p w:rsidR="00EF6860" w:rsidRPr="00EF6860" w:rsidRDefault="00EF6860" w:rsidP="00EF6860">
      <w:pPr>
        <w:rPr>
          <w:rFonts w:cs="Arial"/>
          <w:lang w:val="es-ES"/>
        </w:rPr>
      </w:pPr>
      <w:r w:rsidRPr="00EF6860">
        <w:rPr>
          <w:rFonts w:cs="Arial"/>
        </w:rPr>
        <w:fldChar w:fldCharType="begin"/>
      </w:r>
      <w:r w:rsidRPr="00EF6860">
        <w:rPr>
          <w:rFonts w:cs="Arial"/>
          <w:lang w:val="es-ES"/>
        </w:rPr>
        <w:instrText xml:space="preserve"> AUTONUM  </w:instrText>
      </w:r>
      <w:r w:rsidRPr="00EF6860">
        <w:rPr>
          <w:rFonts w:cs="Arial"/>
        </w:rPr>
        <w:fldChar w:fldCharType="end"/>
      </w:r>
      <w:r w:rsidRPr="00EF6860">
        <w:rPr>
          <w:rFonts w:cs="Arial"/>
          <w:lang w:val="es-ES"/>
        </w:rPr>
        <w:tab/>
      </w:r>
      <w:r w:rsidRPr="00EF6860">
        <w:rPr>
          <w:rFonts w:cs="Arial"/>
          <w:lang w:val="es-ES_tradnl"/>
        </w:rPr>
        <w:t xml:space="preserve">Con respecto a las experiencias con nuevos tipos y especies, un experto de la Argentina informó sobre las nuevas variedades de </w:t>
      </w:r>
      <w:r w:rsidRPr="00EF6860">
        <w:rPr>
          <w:rFonts w:cs="Arial"/>
          <w:i/>
          <w:lang w:val="es-ES_tradnl"/>
        </w:rPr>
        <w:t>Trichloris crinita</w:t>
      </w:r>
      <w:r w:rsidRPr="00EF6860">
        <w:rPr>
          <w:rFonts w:cs="Arial"/>
          <w:lang w:val="es-ES_tradnl"/>
        </w:rPr>
        <w:t xml:space="preserve"> que han obtenido protección y han sido incluidas en la Lista Nacional.</w:t>
      </w:r>
      <w:r w:rsidRPr="00EF6860">
        <w:rPr>
          <w:rFonts w:cs="Arial"/>
          <w:lang w:val="es-ES"/>
        </w:rPr>
        <w:t xml:space="preserve">  </w:t>
      </w:r>
      <w:r w:rsidRPr="00EF6860">
        <w:rPr>
          <w:rFonts w:cs="Arial"/>
          <w:lang w:val="es-ES_tradnl"/>
        </w:rPr>
        <w:t xml:space="preserve">Un experto de los Países Bajos informó de las solicitudes presentadas para nuevas variedades de </w:t>
      </w:r>
      <w:r w:rsidRPr="00EF6860">
        <w:rPr>
          <w:rFonts w:cs="Arial"/>
          <w:i/>
          <w:lang w:val="es-ES_tradnl"/>
        </w:rPr>
        <w:t>Solanum sisymbriifolium</w:t>
      </w:r>
      <w:r w:rsidRPr="00EF6860">
        <w:rPr>
          <w:rFonts w:cs="Arial"/>
          <w:lang w:val="es-ES_tradnl"/>
        </w:rPr>
        <w:t xml:space="preserve"> y para una variedad de papa/patata propagada mediante semilla verdadera de papa/patata.</w:t>
      </w:r>
    </w:p>
    <w:p w:rsidR="00EF6860" w:rsidRPr="00EF6860" w:rsidRDefault="00EF6860" w:rsidP="00EF6860">
      <w:pPr>
        <w:rPr>
          <w:rFonts w:cs="Arial"/>
          <w:lang w:val="es-ES"/>
        </w:rPr>
      </w:pPr>
    </w:p>
    <w:p w:rsidR="00EF6860" w:rsidRPr="00EF6860" w:rsidRDefault="00EF6860" w:rsidP="00EF6860">
      <w:pPr>
        <w:contextualSpacing/>
        <w:rPr>
          <w:rFonts w:cs="Arial"/>
          <w:color w:val="000000"/>
          <w:lang w:val="es-ES"/>
        </w:rPr>
      </w:pPr>
      <w:r w:rsidRPr="00EF6860">
        <w:rPr>
          <w:rFonts w:cs="Arial"/>
        </w:rPr>
        <w:fldChar w:fldCharType="begin"/>
      </w:r>
      <w:r w:rsidRPr="00EF6860">
        <w:rPr>
          <w:rFonts w:cs="Arial"/>
          <w:lang w:val="es-ES"/>
        </w:rPr>
        <w:instrText xml:space="preserve"> AUTONUM  </w:instrText>
      </w:r>
      <w:r w:rsidRPr="00EF6860">
        <w:rPr>
          <w:rFonts w:cs="Arial"/>
        </w:rPr>
        <w:fldChar w:fldCharType="end"/>
      </w:r>
      <w:r w:rsidRPr="00EF6860">
        <w:rPr>
          <w:rFonts w:cs="Arial"/>
          <w:lang w:val="es-ES"/>
        </w:rPr>
        <w:tab/>
      </w:r>
      <w:r w:rsidRPr="00EF6860">
        <w:rPr>
          <w:rFonts w:cs="Arial"/>
          <w:color w:val="000000"/>
          <w:lang w:val="es-ES_tradnl"/>
        </w:rPr>
        <w:t>El TWA examinó los proyectos de directrices de examen del algodón (revisión), haboncillo (revisión), avena (revisión), quinoa, soja (revisión) y trigo (revisión).</w:t>
      </w:r>
      <w:r w:rsidRPr="00EF6860">
        <w:rPr>
          <w:rFonts w:cs="Arial"/>
          <w:color w:val="000000"/>
          <w:lang w:val="es-ES"/>
        </w:rPr>
        <w:t xml:space="preserve"> </w:t>
      </w:r>
      <w:r w:rsidRPr="00EF6860">
        <w:rPr>
          <w:rFonts w:cs="Arial"/>
          <w:color w:val="000000"/>
          <w:lang w:val="es-ES_tradnl"/>
        </w:rPr>
        <w:t>Ninguna de estas directrices se ultimó para su presentación al TC en 2016.</w:t>
      </w:r>
      <w:r w:rsidRPr="00EF6860">
        <w:rPr>
          <w:rFonts w:cs="Arial"/>
          <w:color w:val="000000"/>
          <w:lang w:val="es-ES"/>
        </w:rPr>
        <w:t xml:space="preserve">  </w:t>
      </w:r>
    </w:p>
    <w:p w:rsidR="00EF6860" w:rsidRPr="00EF6860" w:rsidRDefault="00EF6860" w:rsidP="00EF6860">
      <w:pPr>
        <w:contextualSpacing/>
        <w:rPr>
          <w:rFonts w:cs="Arial"/>
          <w:color w:val="000000"/>
          <w:lang w:val="es-ES"/>
        </w:rPr>
      </w:pPr>
    </w:p>
    <w:p w:rsidR="00EF6860" w:rsidRPr="00EF6860" w:rsidRDefault="00EF6860" w:rsidP="00EF6860">
      <w:pPr>
        <w:contextualSpacing/>
        <w:rPr>
          <w:rFonts w:cs="Arial"/>
          <w:color w:val="000000"/>
          <w:lang w:val="es-ES"/>
        </w:rPr>
      </w:pPr>
      <w:r w:rsidRPr="00EF6860">
        <w:rPr>
          <w:rFonts w:cs="Arial"/>
        </w:rPr>
        <w:fldChar w:fldCharType="begin"/>
      </w:r>
      <w:r w:rsidRPr="00EF6860">
        <w:rPr>
          <w:rFonts w:cs="Arial"/>
          <w:lang w:val="es-ES"/>
        </w:rPr>
        <w:instrText xml:space="preserve"> AUTONUM  </w:instrText>
      </w:r>
      <w:r w:rsidRPr="00EF6860">
        <w:rPr>
          <w:rFonts w:cs="Arial"/>
        </w:rPr>
        <w:fldChar w:fldCharType="end"/>
      </w:r>
      <w:r w:rsidRPr="00EF6860">
        <w:rPr>
          <w:rFonts w:cs="Arial"/>
          <w:lang w:val="es-ES"/>
        </w:rPr>
        <w:tab/>
      </w:r>
      <w:r w:rsidRPr="00EF6860">
        <w:rPr>
          <w:rFonts w:cs="Arial"/>
          <w:color w:val="000000"/>
          <w:lang w:val="es-ES_tradnl"/>
        </w:rPr>
        <w:t>El TWA acordó continuar debatiendo las siguientes directrices de examen en su cuadragésima quinta sesión:</w:t>
      </w:r>
      <w:r w:rsidRPr="00EF6860">
        <w:rPr>
          <w:rFonts w:cs="Arial"/>
          <w:color w:val="000000"/>
          <w:lang w:val="es-ES"/>
        </w:rPr>
        <w:t xml:space="preserve"> </w:t>
      </w:r>
      <w:r w:rsidRPr="00EF6860">
        <w:rPr>
          <w:rFonts w:cs="Arial"/>
          <w:color w:val="000000"/>
          <w:lang w:val="es-ES_tradnl"/>
        </w:rPr>
        <w:t>cebada (revisión), ricino, algodón (revisión), Elytrigia, haboncillo (revisión), avena (revisión), quinoa, trébol rojo (revisión), phazelia, soja (revisión) y trigo (revisión).</w:t>
      </w:r>
      <w:r w:rsidRPr="00EF6860">
        <w:rPr>
          <w:rFonts w:cs="Arial"/>
          <w:color w:val="000000"/>
          <w:lang w:val="es-ES"/>
        </w:rPr>
        <w:t xml:space="preserve"> </w:t>
      </w:r>
      <w:r w:rsidRPr="00EF6860">
        <w:rPr>
          <w:rFonts w:cs="Arial"/>
          <w:color w:val="000000"/>
          <w:lang w:val="es-ES_tradnl"/>
        </w:rPr>
        <w:t>Se preveía que las directrices de examen del trigo (revisión) estarían listas para su presentación al TC en 2016.</w:t>
      </w:r>
      <w:r w:rsidRPr="00EF6860">
        <w:rPr>
          <w:rFonts w:cs="Arial"/>
          <w:color w:val="000000"/>
          <w:lang w:val="es-ES"/>
        </w:rPr>
        <w:t xml:space="preserve"> </w:t>
      </w:r>
    </w:p>
    <w:p w:rsidR="00EF6860" w:rsidRPr="00EF6860" w:rsidRDefault="00EF6860" w:rsidP="00EF6860">
      <w:pPr>
        <w:contextualSpacing/>
        <w:rPr>
          <w:rFonts w:cs="Arial"/>
          <w:color w:val="000000"/>
          <w:lang w:val="es-ES"/>
        </w:rPr>
      </w:pPr>
    </w:p>
    <w:p w:rsidR="00EF6860" w:rsidRPr="00EF6860" w:rsidRDefault="00EF6860" w:rsidP="00EF6860">
      <w:pPr>
        <w:rPr>
          <w:rFonts w:cs="Arial"/>
          <w:lang w:val="es-ES"/>
        </w:rPr>
      </w:pPr>
      <w:r w:rsidRPr="00EF6860">
        <w:rPr>
          <w:rFonts w:cs="Arial"/>
        </w:rPr>
        <w:fldChar w:fldCharType="begin"/>
      </w:r>
      <w:r w:rsidRPr="00EF6860">
        <w:rPr>
          <w:rFonts w:cs="Arial"/>
          <w:lang w:val="es-ES"/>
        </w:rPr>
        <w:instrText xml:space="preserve"> AUTONUM  </w:instrText>
      </w:r>
      <w:r w:rsidRPr="00EF6860">
        <w:rPr>
          <w:rFonts w:cs="Arial"/>
        </w:rPr>
        <w:fldChar w:fldCharType="end"/>
      </w:r>
      <w:r w:rsidRPr="00EF6860">
        <w:rPr>
          <w:rFonts w:cs="Arial"/>
          <w:lang w:val="es-ES"/>
        </w:rPr>
        <w:tab/>
      </w:r>
      <w:r w:rsidRPr="00EF6860">
        <w:rPr>
          <w:rFonts w:cs="Arial"/>
          <w:lang w:val="es-ES_tradnl"/>
        </w:rPr>
        <w:t>Por invitación de México, el TWA acordó celebrar su cuadragésima quinta sesión en Querétaro (México) los días 11 al 15 de julio de 2016, con un taller preparatorio el 10 de julio de 2016.</w:t>
      </w:r>
    </w:p>
    <w:p w:rsidR="00EF6860" w:rsidRPr="00EF6860" w:rsidRDefault="00EF6860" w:rsidP="00EF6860">
      <w:pPr>
        <w:rPr>
          <w:rFonts w:cs="Arial"/>
          <w:color w:val="000000"/>
          <w:lang w:val="es-ES"/>
        </w:rPr>
      </w:pPr>
    </w:p>
    <w:p w:rsidR="00EF6860" w:rsidRPr="00EF6860" w:rsidRDefault="00EF6860" w:rsidP="00EF6860">
      <w:pPr>
        <w:rPr>
          <w:rFonts w:cs="Arial"/>
          <w:lang w:val="es-ES"/>
        </w:rPr>
      </w:pPr>
      <w:r w:rsidRPr="00EF6860">
        <w:rPr>
          <w:rFonts w:cs="Arial"/>
        </w:rPr>
        <w:fldChar w:fldCharType="begin"/>
      </w:r>
      <w:r w:rsidRPr="00EF6860">
        <w:rPr>
          <w:rFonts w:cs="Arial"/>
          <w:lang w:val="es-ES"/>
        </w:rPr>
        <w:instrText xml:space="preserve"> AUTONUM  </w:instrText>
      </w:r>
      <w:r w:rsidRPr="00EF6860">
        <w:rPr>
          <w:rFonts w:cs="Arial"/>
        </w:rPr>
        <w:fldChar w:fldCharType="end"/>
      </w:r>
      <w:r w:rsidRPr="00EF6860">
        <w:rPr>
          <w:rFonts w:cs="Arial"/>
          <w:lang w:val="es-ES"/>
        </w:rPr>
        <w:tab/>
      </w:r>
      <w:r w:rsidRPr="00EF6860">
        <w:rPr>
          <w:rFonts w:cs="Arial"/>
          <w:lang w:val="es-ES_tradnl"/>
        </w:rPr>
        <w:t>El TWA propuso examinar los siguientes puntos en su siguiente reunión:</w:t>
      </w:r>
    </w:p>
    <w:p w:rsidR="00EF6860" w:rsidRPr="00EF6860" w:rsidRDefault="00EF6860" w:rsidP="00EF6860">
      <w:pPr>
        <w:rPr>
          <w:rFonts w:cs="Arial"/>
          <w:lang w:val="es-ES"/>
        </w:rPr>
      </w:pPr>
    </w:p>
    <w:p w:rsidR="00EF6860" w:rsidRPr="00EF6860" w:rsidRDefault="00EF6860" w:rsidP="00EF6860">
      <w:pPr>
        <w:numPr>
          <w:ilvl w:val="0"/>
          <w:numId w:val="7"/>
        </w:numPr>
        <w:tabs>
          <w:tab w:val="num" w:pos="1134"/>
        </w:tabs>
        <w:ind w:left="567" w:firstLine="0"/>
        <w:rPr>
          <w:rFonts w:cs="Arial"/>
        </w:rPr>
      </w:pPr>
      <w:r w:rsidRPr="00EF6860">
        <w:rPr>
          <w:rFonts w:cs="Arial"/>
          <w:lang w:val="es-ES_tradnl"/>
        </w:rPr>
        <w:t>Apertura de la sesión</w:t>
      </w:r>
    </w:p>
    <w:p w:rsidR="00EF6860" w:rsidRPr="00EF6860" w:rsidRDefault="00EF6860" w:rsidP="00EF6860">
      <w:pPr>
        <w:numPr>
          <w:ilvl w:val="0"/>
          <w:numId w:val="7"/>
        </w:numPr>
        <w:tabs>
          <w:tab w:val="num" w:pos="1134"/>
        </w:tabs>
        <w:ind w:left="567" w:firstLine="0"/>
        <w:rPr>
          <w:rFonts w:cs="Arial"/>
        </w:rPr>
      </w:pPr>
      <w:r w:rsidRPr="00EF6860">
        <w:rPr>
          <w:rFonts w:cs="Arial"/>
          <w:lang w:val="es-ES_tradnl"/>
        </w:rPr>
        <w:t>Aprobación del orden del día</w:t>
      </w:r>
    </w:p>
    <w:p w:rsidR="00EF6860" w:rsidRPr="00EF6860" w:rsidRDefault="00EF6860" w:rsidP="00EF6860">
      <w:pPr>
        <w:numPr>
          <w:ilvl w:val="0"/>
          <w:numId w:val="7"/>
        </w:numPr>
        <w:tabs>
          <w:tab w:val="num" w:pos="1134"/>
        </w:tabs>
        <w:ind w:left="567" w:firstLine="0"/>
        <w:rPr>
          <w:rFonts w:cs="Arial"/>
          <w:lang w:val="es-ES"/>
        </w:rPr>
      </w:pPr>
      <w:r w:rsidRPr="00EF6860">
        <w:rPr>
          <w:rFonts w:cs="Arial"/>
          <w:lang w:val="es-ES_tradnl"/>
        </w:rPr>
        <w:t>Breves informes sobre los avances logrados en la protección de las variedades vegetales</w:t>
      </w:r>
    </w:p>
    <w:p w:rsidR="00EF6860" w:rsidRPr="00EF6860" w:rsidRDefault="00EF6860" w:rsidP="00EF6860">
      <w:pPr>
        <w:numPr>
          <w:ilvl w:val="0"/>
          <w:numId w:val="43"/>
        </w:numPr>
        <w:tabs>
          <w:tab w:val="num" w:pos="1494"/>
        </w:tabs>
        <w:rPr>
          <w:rFonts w:cs="Arial"/>
          <w:lang w:val="es-ES"/>
        </w:rPr>
      </w:pPr>
      <w:r w:rsidRPr="00EF6860">
        <w:rPr>
          <w:rFonts w:cs="Arial"/>
          <w:lang w:val="es-ES_tradnl"/>
        </w:rPr>
        <w:t>Informes de los miembros y observadores</w:t>
      </w:r>
      <w:r w:rsidRPr="00EF6860">
        <w:rPr>
          <w:rFonts w:cs="Arial"/>
          <w:lang w:val="es-ES"/>
        </w:rPr>
        <w:t xml:space="preserve"> </w:t>
      </w:r>
    </w:p>
    <w:p w:rsidR="00EF6860" w:rsidRPr="00EF6860" w:rsidRDefault="00EF6860" w:rsidP="00EF6860">
      <w:pPr>
        <w:numPr>
          <w:ilvl w:val="0"/>
          <w:numId w:val="43"/>
        </w:numPr>
        <w:tabs>
          <w:tab w:val="num" w:pos="1494"/>
        </w:tabs>
        <w:rPr>
          <w:rFonts w:cs="Arial"/>
          <w:lang w:val="es-ES"/>
        </w:rPr>
      </w:pPr>
      <w:r w:rsidRPr="00EF6860">
        <w:rPr>
          <w:rFonts w:cs="Arial"/>
          <w:lang w:val="es-ES_tradnl"/>
        </w:rPr>
        <w:t>Informes sobre los avances logrados en la UPOV</w:t>
      </w:r>
      <w:r w:rsidRPr="00EF6860">
        <w:rPr>
          <w:rFonts w:cs="Arial"/>
          <w:lang w:val="es-ES"/>
        </w:rPr>
        <w:t xml:space="preserve"> </w:t>
      </w:r>
    </w:p>
    <w:p w:rsidR="00EF6860" w:rsidRPr="00EF6860" w:rsidRDefault="00EF6860" w:rsidP="00EF6860">
      <w:pPr>
        <w:numPr>
          <w:ilvl w:val="0"/>
          <w:numId w:val="7"/>
        </w:numPr>
        <w:tabs>
          <w:tab w:val="num" w:pos="1134"/>
        </w:tabs>
        <w:ind w:left="567" w:firstLine="0"/>
        <w:rPr>
          <w:rFonts w:cs="Arial"/>
        </w:rPr>
      </w:pPr>
      <w:r w:rsidRPr="00EF6860">
        <w:rPr>
          <w:rFonts w:cs="Arial"/>
          <w:lang w:val="es-ES_tradnl"/>
        </w:rPr>
        <w:t>Técnicas moleculares</w:t>
      </w:r>
      <w:r w:rsidRPr="00EF6860">
        <w:rPr>
          <w:rFonts w:cs="Arial"/>
        </w:rPr>
        <w:t xml:space="preserve"> </w:t>
      </w:r>
    </w:p>
    <w:p w:rsidR="00EF6860" w:rsidRPr="00EF6860" w:rsidRDefault="00EF6860" w:rsidP="00EF6860">
      <w:pPr>
        <w:numPr>
          <w:ilvl w:val="0"/>
          <w:numId w:val="7"/>
        </w:numPr>
        <w:tabs>
          <w:tab w:val="num" w:pos="1134"/>
        </w:tabs>
        <w:ind w:left="567" w:firstLine="0"/>
        <w:rPr>
          <w:rFonts w:cs="Arial"/>
        </w:rPr>
      </w:pPr>
      <w:r w:rsidRPr="00EF6860">
        <w:rPr>
          <w:rFonts w:cs="Arial"/>
          <w:lang w:val="es-ES_tradnl"/>
        </w:rPr>
        <w:t>Documentos TGP</w:t>
      </w:r>
      <w:r w:rsidRPr="00EF6860">
        <w:rPr>
          <w:rFonts w:cs="Arial"/>
        </w:rPr>
        <w:t xml:space="preserve"> </w:t>
      </w:r>
    </w:p>
    <w:p w:rsidR="00EF6860" w:rsidRPr="00EF6860" w:rsidRDefault="00EF6860" w:rsidP="00EF6860">
      <w:pPr>
        <w:numPr>
          <w:ilvl w:val="0"/>
          <w:numId w:val="7"/>
        </w:numPr>
        <w:tabs>
          <w:tab w:val="num" w:pos="1134"/>
        </w:tabs>
        <w:ind w:left="567" w:firstLine="0"/>
        <w:rPr>
          <w:rFonts w:cs="Arial"/>
        </w:rPr>
      </w:pPr>
      <w:r w:rsidRPr="00EF6860">
        <w:rPr>
          <w:rFonts w:cs="Arial"/>
          <w:lang w:val="es-ES_tradnl"/>
        </w:rPr>
        <w:t>Denominaciones de variedades</w:t>
      </w:r>
      <w:r w:rsidRPr="00EF6860">
        <w:rPr>
          <w:rFonts w:cs="Arial"/>
        </w:rPr>
        <w:t xml:space="preserve"> </w:t>
      </w:r>
    </w:p>
    <w:p w:rsidR="00EF6860" w:rsidRPr="00EF6860" w:rsidRDefault="00EF6860" w:rsidP="00EF6860">
      <w:pPr>
        <w:numPr>
          <w:ilvl w:val="0"/>
          <w:numId w:val="7"/>
        </w:numPr>
        <w:tabs>
          <w:tab w:val="num" w:pos="1134"/>
        </w:tabs>
        <w:ind w:left="567" w:firstLine="0"/>
        <w:rPr>
          <w:rFonts w:cs="Arial"/>
        </w:rPr>
      </w:pPr>
      <w:r w:rsidRPr="00EF6860">
        <w:rPr>
          <w:rFonts w:cs="Arial"/>
          <w:lang w:val="es-ES_tradnl"/>
        </w:rPr>
        <w:t>Información y bases de datos</w:t>
      </w:r>
    </w:p>
    <w:p w:rsidR="00EF6860" w:rsidRPr="00EF6860" w:rsidRDefault="00EF6860" w:rsidP="00357402">
      <w:pPr>
        <w:ind w:left="1498" w:hanging="364"/>
        <w:rPr>
          <w:rFonts w:cs="Arial"/>
          <w:lang w:val="es-ES"/>
        </w:rPr>
      </w:pPr>
      <w:r w:rsidRPr="00EF6860">
        <w:rPr>
          <w:rFonts w:cs="Arial"/>
          <w:lang w:val="es-ES"/>
        </w:rPr>
        <w:t>a)</w:t>
      </w:r>
      <w:r w:rsidR="00357402">
        <w:rPr>
          <w:rFonts w:cs="Arial"/>
          <w:lang w:val="es-ES"/>
        </w:rPr>
        <w:tab/>
      </w:r>
      <w:r w:rsidRPr="00EF6860">
        <w:rPr>
          <w:rFonts w:cs="Arial"/>
          <w:lang w:val="es-ES_tradnl"/>
        </w:rPr>
        <w:t>Bases de datos de información de la UPOV</w:t>
      </w:r>
      <w:r w:rsidRPr="00EF6860">
        <w:rPr>
          <w:rFonts w:cs="Arial"/>
          <w:lang w:val="es-ES"/>
        </w:rPr>
        <w:t xml:space="preserve"> </w:t>
      </w:r>
    </w:p>
    <w:p w:rsidR="00EF6860" w:rsidRPr="00EF6860" w:rsidRDefault="00EF6860" w:rsidP="00357402">
      <w:pPr>
        <w:ind w:left="1498" w:hanging="364"/>
        <w:rPr>
          <w:rFonts w:cs="Arial"/>
          <w:lang w:val="es-ES"/>
        </w:rPr>
      </w:pPr>
      <w:r w:rsidRPr="00EF6860">
        <w:rPr>
          <w:rFonts w:cs="Arial"/>
          <w:lang w:val="es-ES"/>
        </w:rPr>
        <w:t>b)</w:t>
      </w:r>
      <w:r w:rsidR="00357402">
        <w:rPr>
          <w:rFonts w:cs="Arial"/>
          <w:lang w:val="es-ES"/>
        </w:rPr>
        <w:tab/>
      </w:r>
      <w:r w:rsidRPr="00EF6860">
        <w:rPr>
          <w:rFonts w:cs="Arial"/>
          <w:lang w:val="es-ES_tradnl"/>
        </w:rPr>
        <w:t>Bases de datos de descripciones de variedades</w:t>
      </w:r>
      <w:r w:rsidRPr="00EF6860">
        <w:rPr>
          <w:rFonts w:cs="Arial"/>
          <w:lang w:val="es-ES"/>
        </w:rPr>
        <w:t xml:space="preserve"> </w:t>
      </w:r>
    </w:p>
    <w:p w:rsidR="00EF6860" w:rsidRPr="00EF6860" w:rsidRDefault="00EF6860" w:rsidP="00357402">
      <w:pPr>
        <w:ind w:left="1498" w:hanging="364"/>
        <w:rPr>
          <w:rFonts w:cs="Arial"/>
          <w:lang w:val="es-ES"/>
        </w:rPr>
      </w:pPr>
      <w:r w:rsidRPr="00EF6860">
        <w:rPr>
          <w:rFonts w:cs="Arial"/>
          <w:lang w:val="es-ES"/>
        </w:rPr>
        <w:t>c)</w:t>
      </w:r>
      <w:r w:rsidR="00357402">
        <w:rPr>
          <w:rFonts w:cs="Arial"/>
          <w:lang w:val="es-ES"/>
        </w:rPr>
        <w:tab/>
      </w:r>
      <w:r w:rsidRPr="00EF6860">
        <w:rPr>
          <w:rFonts w:cs="Arial"/>
          <w:lang w:val="es-ES_tradnl"/>
        </w:rPr>
        <w:t>Programas informáticos para intercambio</w:t>
      </w:r>
    </w:p>
    <w:p w:rsidR="00EF6860" w:rsidRPr="00EF6860" w:rsidRDefault="00EF6860" w:rsidP="00357402">
      <w:pPr>
        <w:ind w:left="1498" w:hanging="364"/>
        <w:rPr>
          <w:rFonts w:cs="Arial"/>
          <w:lang w:val="es-ES"/>
        </w:rPr>
      </w:pPr>
      <w:r w:rsidRPr="00EF6860">
        <w:rPr>
          <w:rFonts w:cs="Arial"/>
          <w:lang w:val="es-ES"/>
        </w:rPr>
        <w:t>d)</w:t>
      </w:r>
      <w:r w:rsidR="00357402">
        <w:rPr>
          <w:rFonts w:cs="Arial"/>
          <w:lang w:val="es-ES"/>
        </w:rPr>
        <w:tab/>
      </w:r>
      <w:r w:rsidRPr="00EF6860">
        <w:rPr>
          <w:rFonts w:cs="Arial"/>
          <w:lang w:val="es-ES_tradnl"/>
        </w:rPr>
        <w:t>Sistemas de presentación electrónica de solicitudes</w:t>
      </w:r>
      <w:r w:rsidRPr="00EF6860">
        <w:rPr>
          <w:rFonts w:cs="Arial"/>
          <w:lang w:val="es-ES"/>
        </w:rPr>
        <w:t xml:space="preserve"> </w:t>
      </w:r>
    </w:p>
    <w:p w:rsidR="00EF6860" w:rsidRPr="00EF6860" w:rsidRDefault="00EF6860" w:rsidP="00EF6860">
      <w:pPr>
        <w:numPr>
          <w:ilvl w:val="0"/>
          <w:numId w:val="7"/>
        </w:numPr>
        <w:tabs>
          <w:tab w:val="num" w:pos="1134"/>
        </w:tabs>
        <w:ind w:left="567" w:firstLine="0"/>
        <w:rPr>
          <w:rFonts w:cs="Arial"/>
        </w:rPr>
      </w:pPr>
      <w:r w:rsidRPr="00EF6860">
        <w:rPr>
          <w:rFonts w:cs="Arial"/>
          <w:lang w:val="es-ES_tradnl"/>
        </w:rPr>
        <w:t>Evaluación de la homogeneidad</w:t>
      </w:r>
    </w:p>
    <w:p w:rsidR="00EF6860" w:rsidRPr="00EF6860" w:rsidRDefault="00EF6860" w:rsidP="00EF6860">
      <w:pPr>
        <w:numPr>
          <w:ilvl w:val="0"/>
          <w:numId w:val="7"/>
        </w:numPr>
        <w:ind w:left="1134" w:hanging="567"/>
        <w:rPr>
          <w:rFonts w:cs="Arial"/>
          <w:lang w:val="es-ES"/>
        </w:rPr>
      </w:pPr>
      <w:r w:rsidRPr="00EF6860">
        <w:rPr>
          <w:rFonts w:cs="Arial"/>
          <w:lang w:val="es-ES_tradnl"/>
        </w:rPr>
        <w:t>Experiencias sobre asuntos relativos a las descripciones de variedades</w:t>
      </w:r>
      <w:r w:rsidRPr="00EF6860">
        <w:rPr>
          <w:rFonts w:cs="Arial"/>
          <w:lang w:val="es-ES"/>
        </w:rPr>
        <w:t xml:space="preserve"> </w:t>
      </w:r>
    </w:p>
    <w:p w:rsidR="00EF6860" w:rsidRPr="00EF6860" w:rsidRDefault="00EF6860" w:rsidP="00EF6860">
      <w:pPr>
        <w:numPr>
          <w:ilvl w:val="0"/>
          <w:numId w:val="7"/>
        </w:numPr>
        <w:tabs>
          <w:tab w:val="num" w:pos="1134"/>
        </w:tabs>
        <w:ind w:left="567" w:firstLine="0"/>
        <w:rPr>
          <w:rFonts w:cs="Arial"/>
          <w:lang w:val="es-ES"/>
        </w:rPr>
      </w:pPr>
      <w:r w:rsidRPr="00EF6860">
        <w:rPr>
          <w:rFonts w:cs="Arial"/>
          <w:lang w:val="es-ES_tradnl"/>
        </w:rPr>
        <w:t>Experiencias con nuevos tipos y especies</w:t>
      </w:r>
    </w:p>
    <w:p w:rsidR="00EF6860" w:rsidRPr="00EF6860" w:rsidRDefault="00EF6860" w:rsidP="00EF6860">
      <w:pPr>
        <w:numPr>
          <w:ilvl w:val="0"/>
          <w:numId w:val="7"/>
        </w:numPr>
        <w:ind w:left="1134" w:hanging="567"/>
        <w:rPr>
          <w:rFonts w:cs="Arial"/>
          <w:lang w:val="es-ES"/>
        </w:rPr>
      </w:pPr>
      <w:r w:rsidRPr="00EF6860">
        <w:rPr>
          <w:rFonts w:cs="Arial"/>
          <w:lang w:val="es-ES_tradnl"/>
        </w:rPr>
        <w:t>Efecto de los organismos endófitos en los caracteres DHE en gramíneas</w:t>
      </w:r>
      <w:r w:rsidRPr="00EF6860">
        <w:rPr>
          <w:rFonts w:cs="Arial"/>
          <w:lang w:val="es-ES"/>
        </w:rPr>
        <w:t xml:space="preserve"> </w:t>
      </w:r>
    </w:p>
    <w:p w:rsidR="00EF6860" w:rsidRPr="00EF6860" w:rsidRDefault="00EF6860" w:rsidP="00EF6860">
      <w:pPr>
        <w:numPr>
          <w:ilvl w:val="0"/>
          <w:numId w:val="7"/>
        </w:numPr>
        <w:ind w:left="1134" w:hanging="567"/>
        <w:jc w:val="left"/>
        <w:rPr>
          <w:rFonts w:cs="Arial"/>
          <w:lang w:val="es-ES"/>
        </w:rPr>
      </w:pPr>
      <w:r w:rsidRPr="00EF6860">
        <w:rPr>
          <w:rFonts w:cs="Arial"/>
          <w:lang w:val="es-ES_tradnl"/>
        </w:rPr>
        <w:t>Cuestiones por resolver en lo que respecta a directrices de examen aprobadas por el Comité Técnico (en su caso)</w:t>
      </w:r>
    </w:p>
    <w:p w:rsidR="00EF6860" w:rsidRPr="00EF6860" w:rsidRDefault="00EF6860" w:rsidP="00EF6860">
      <w:pPr>
        <w:numPr>
          <w:ilvl w:val="0"/>
          <w:numId w:val="7"/>
        </w:numPr>
        <w:tabs>
          <w:tab w:val="num" w:pos="1134"/>
        </w:tabs>
        <w:ind w:left="567" w:firstLine="0"/>
        <w:rPr>
          <w:rFonts w:cs="Arial"/>
          <w:lang w:val="es-ES_tradnl"/>
        </w:rPr>
      </w:pPr>
      <w:r w:rsidRPr="00EF6860">
        <w:rPr>
          <w:rFonts w:cs="Arial"/>
          <w:lang w:val="es-ES_tradnl"/>
        </w:rPr>
        <w:t>Debates sobre proyectos de directrices de examen (subgrupos)</w:t>
      </w:r>
    </w:p>
    <w:p w:rsidR="00EF6860" w:rsidRPr="00EF6860" w:rsidRDefault="00EF6860" w:rsidP="00EF6860">
      <w:pPr>
        <w:numPr>
          <w:ilvl w:val="0"/>
          <w:numId w:val="7"/>
        </w:numPr>
        <w:tabs>
          <w:tab w:val="num" w:pos="1134"/>
        </w:tabs>
        <w:ind w:left="567" w:firstLine="0"/>
        <w:rPr>
          <w:rFonts w:cs="Arial"/>
          <w:lang w:val="es-ES_tradnl"/>
        </w:rPr>
      </w:pPr>
      <w:r w:rsidRPr="00EF6860">
        <w:rPr>
          <w:rFonts w:cs="Arial"/>
          <w:lang w:val="es-ES_tradnl"/>
        </w:rPr>
        <w:t>Recomendaciones sobre proyectos de directrices de examen</w:t>
      </w:r>
    </w:p>
    <w:p w:rsidR="00EF6860" w:rsidRPr="00EF6860" w:rsidRDefault="00EF6860" w:rsidP="00EF6860">
      <w:pPr>
        <w:numPr>
          <w:ilvl w:val="0"/>
          <w:numId w:val="7"/>
        </w:numPr>
        <w:tabs>
          <w:tab w:val="num" w:pos="1134"/>
        </w:tabs>
        <w:ind w:left="567" w:firstLine="0"/>
        <w:rPr>
          <w:rFonts w:cs="Arial"/>
          <w:lang w:val="es-ES_tradnl"/>
        </w:rPr>
      </w:pPr>
      <w:r w:rsidRPr="00EF6860">
        <w:rPr>
          <w:rFonts w:cs="Arial"/>
          <w:lang w:val="es-ES_tradnl"/>
        </w:rPr>
        <w:t>Guía para los redactores de las directrices de examen</w:t>
      </w:r>
    </w:p>
    <w:p w:rsidR="00EF6860" w:rsidRPr="00EF6860" w:rsidRDefault="00EF6860" w:rsidP="00EF6860">
      <w:pPr>
        <w:numPr>
          <w:ilvl w:val="0"/>
          <w:numId w:val="7"/>
        </w:numPr>
        <w:tabs>
          <w:tab w:val="num" w:pos="1134"/>
        </w:tabs>
        <w:ind w:left="567" w:firstLine="0"/>
        <w:rPr>
          <w:rFonts w:cs="Arial"/>
          <w:lang w:val="es-ES_tradnl"/>
        </w:rPr>
      </w:pPr>
      <w:r w:rsidRPr="00EF6860">
        <w:rPr>
          <w:rFonts w:cs="Arial"/>
          <w:lang w:val="es-ES_tradnl"/>
        </w:rPr>
        <w:t>Fecha y lugar de la siguiente reunión</w:t>
      </w:r>
    </w:p>
    <w:p w:rsidR="00EF6860" w:rsidRPr="00EF6860" w:rsidRDefault="00EF6860" w:rsidP="00EF6860">
      <w:pPr>
        <w:numPr>
          <w:ilvl w:val="0"/>
          <w:numId w:val="7"/>
        </w:numPr>
        <w:tabs>
          <w:tab w:val="num" w:pos="1134"/>
        </w:tabs>
        <w:ind w:left="567" w:firstLine="0"/>
        <w:rPr>
          <w:rFonts w:cs="Arial"/>
          <w:lang w:val="es-ES_tradnl"/>
        </w:rPr>
      </w:pPr>
      <w:r w:rsidRPr="00EF6860">
        <w:rPr>
          <w:rFonts w:cs="Arial"/>
          <w:lang w:val="es-ES_tradnl"/>
        </w:rPr>
        <w:t>Programa futuro</w:t>
      </w:r>
    </w:p>
    <w:p w:rsidR="00EF6860" w:rsidRPr="00EF6860" w:rsidRDefault="00EF6860" w:rsidP="00EF6860">
      <w:pPr>
        <w:numPr>
          <w:ilvl w:val="0"/>
          <w:numId w:val="7"/>
        </w:numPr>
        <w:tabs>
          <w:tab w:val="num" w:pos="1134"/>
        </w:tabs>
        <w:ind w:left="567" w:firstLine="0"/>
        <w:rPr>
          <w:rFonts w:cs="Arial"/>
          <w:lang w:val="es-ES_tradnl"/>
        </w:rPr>
      </w:pPr>
      <w:r w:rsidRPr="00EF6860">
        <w:rPr>
          <w:rFonts w:cs="Arial"/>
          <w:lang w:val="es-ES_tradnl"/>
        </w:rPr>
        <w:t>Informe de la reunión (si se dispone de tiempo suficiente)</w:t>
      </w:r>
    </w:p>
    <w:p w:rsidR="00EF6860" w:rsidRPr="00EF6860" w:rsidRDefault="00EF6860" w:rsidP="00EF6860">
      <w:pPr>
        <w:numPr>
          <w:ilvl w:val="0"/>
          <w:numId w:val="7"/>
        </w:numPr>
        <w:tabs>
          <w:tab w:val="num" w:pos="1134"/>
        </w:tabs>
        <w:ind w:left="567" w:firstLine="0"/>
        <w:rPr>
          <w:rFonts w:cs="Arial"/>
        </w:rPr>
      </w:pPr>
      <w:r w:rsidRPr="00EF6860">
        <w:rPr>
          <w:rFonts w:cs="Arial"/>
          <w:lang w:val="es-ES_tradnl"/>
        </w:rPr>
        <w:t>Clausura de la reunión</w:t>
      </w:r>
    </w:p>
    <w:p w:rsidR="00EF6860" w:rsidRPr="00EF6860" w:rsidRDefault="00EF6860" w:rsidP="00EF6860">
      <w:pPr>
        <w:rPr>
          <w:rFonts w:cs="Arial"/>
        </w:rPr>
      </w:pPr>
    </w:p>
    <w:p w:rsidR="00EF6860" w:rsidRPr="00EF6860" w:rsidRDefault="00EF6860" w:rsidP="00EF6860">
      <w:pPr>
        <w:rPr>
          <w:rFonts w:cs="Arial"/>
          <w:lang w:val="es-ES"/>
        </w:rPr>
      </w:pPr>
      <w:r w:rsidRPr="00EF6860">
        <w:rPr>
          <w:rFonts w:cs="Arial"/>
        </w:rPr>
        <w:fldChar w:fldCharType="begin"/>
      </w:r>
      <w:r w:rsidRPr="00EF6860">
        <w:rPr>
          <w:rFonts w:cs="Arial"/>
          <w:lang w:val="es-ES"/>
        </w:rPr>
        <w:instrText xml:space="preserve"> AUTONUM  </w:instrText>
      </w:r>
      <w:r w:rsidRPr="00EF6860">
        <w:rPr>
          <w:rFonts w:cs="Arial"/>
        </w:rPr>
        <w:fldChar w:fldCharType="end"/>
      </w:r>
      <w:r w:rsidRPr="00EF6860">
        <w:rPr>
          <w:rFonts w:cs="Arial"/>
          <w:lang w:val="es-ES"/>
        </w:rPr>
        <w:tab/>
      </w:r>
      <w:r w:rsidRPr="00EF6860">
        <w:rPr>
          <w:rFonts w:cs="Arial"/>
          <w:color w:val="000000"/>
          <w:lang w:val="es-ES_tradnl"/>
        </w:rPr>
        <w:t xml:space="preserve">El 8 de julio de 2015 por la tarde, el TWA visitó el Centro de Investigación Agrícola de Hokkaido (HARC) de la </w:t>
      </w:r>
      <w:r w:rsidRPr="00EF6860">
        <w:rPr>
          <w:rFonts w:cs="Arial"/>
          <w:lang w:val="es-ES_tradnl"/>
        </w:rPr>
        <w:t>Organización Nacional de Investigación Agrícola y Alimentaria (NARO</w:t>
      </w:r>
      <w:r w:rsidRPr="00EF6860">
        <w:rPr>
          <w:rFonts w:cs="Arial"/>
          <w:color w:val="000000"/>
          <w:lang w:val="es-ES_tradnl"/>
        </w:rPr>
        <w:t>) del Japón, en Memuro, Kasai-gun (Hokkaido).</w:t>
      </w:r>
      <w:r w:rsidRPr="00EF6860">
        <w:rPr>
          <w:rFonts w:cs="Arial"/>
          <w:color w:val="222222"/>
          <w:lang w:val="es-ES"/>
        </w:rPr>
        <w:t xml:space="preserve">  </w:t>
      </w:r>
      <w:r w:rsidRPr="00EF6860">
        <w:rPr>
          <w:rFonts w:cs="Arial"/>
          <w:color w:val="222222"/>
          <w:lang w:val="es-ES_tradnl"/>
        </w:rPr>
        <w:t>Dio la bienvenida al TWA el Sr. Masayuki Hirafuji, Director del HARC de la NARO, quien presentó una ponencia sobre la NARO y el HARC en Memuro.</w:t>
      </w:r>
      <w:r w:rsidRPr="00EF6860">
        <w:rPr>
          <w:rFonts w:cs="Arial"/>
          <w:color w:val="222222"/>
          <w:lang w:val="es-ES"/>
        </w:rPr>
        <w:t xml:space="preserve"> </w:t>
      </w:r>
      <w:r w:rsidRPr="00EF6860">
        <w:rPr>
          <w:rFonts w:cs="Arial"/>
          <w:lang w:val="es-ES_tradnl"/>
        </w:rPr>
        <w:t>Además, el TWA visitó ensayos de campo de remolacha azucarera, papa/patata, trigo de invierno, judía adzuki y judía común/alubia en la Estación Experimental Agrícola de Tokachi.</w:t>
      </w:r>
    </w:p>
    <w:p w:rsidR="00EF6860" w:rsidRPr="00EF6860" w:rsidRDefault="00EF6860" w:rsidP="00EF6860">
      <w:pPr>
        <w:rPr>
          <w:lang w:val="es-ES"/>
        </w:rPr>
      </w:pPr>
    </w:p>
    <w:p w:rsidR="00EF6860" w:rsidRPr="00EF6860" w:rsidRDefault="00EF6860" w:rsidP="00773167">
      <w:pPr>
        <w:keepNext/>
        <w:keepLines/>
        <w:outlineLvl w:val="2"/>
        <w:rPr>
          <w:i/>
          <w:lang w:val="es-ES"/>
        </w:rPr>
      </w:pPr>
      <w:bookmarkStart w:id="96" w:name="_Toc463512528"/>
      <w:r w:rsidRPr="00EF6860">
        <w:rPr>
          <w:i/>
          <w:lang w:val="es-ES_tradnl"/>
        </w:rPr>
        <w:t>Grupo de Trabajo Técnico sobre Automatización y Programas Informáticos</w:t>
      </w:r>
      <w:bookmarkEnd w:id="96"/>
    </w:p>
    <w:p w:rsidR="00EF6860" w:rsidRPr="00EF6860" w:rsidRDefault="00EF6860" w:rsidP="00773167">
      <w:pPr>
        <w:keepNext/>
        <w:keepLines/>
        <w:rPr>
          <w:lang w:val="es-ES"/>
        </w:rPr>
      </w:pPr>
    </w:p>
    <w:p w:rsidR="00EF6860" w:rsidRPr="00EF6860" w:rsidRDefault="00EF6860" w:rsidP="00773167">
      <w:pPr>
        <w:keepNext/>
        <w:keepLines/>
        <w:tabs>
          <w:tab w:val="left" w:pos="567"/>
        </w:tabs>
        <w:rPr>
          <w:rFonts w:cs="Arial"/>
          <w:lang w:val="es-ES"/>
        </w:rPr>
      </w:pPr>
      <w:r w:rsidRPr="00EF6860">
        <w:rPr>
          <w:rFonts w:cs="Arial"/>
        </w:rPr>
        <w:fldChar w:fldCharType="begin"/>
      </w:r>
      <w:r w:rsidRPr="00EF6860">
        <w:rPr>
          <w:rFonts w:cs="Arial"/>
          <w:lang w:val="es-ES"/>
        </w:rPr>
        <w:instrText xml:space="preserve"> AUTONUM  </w:instrText>
      </w:r>
      <w:r w:rsidRPr="00EF6860">
        <w:rPr>
          <w:rFonts w:cs="Arial"/>
        </w:rPr>
        <w:fldChar w:fldCharType="end"/>
      </w:r>
      <w:r w:rsidRPr="00EF6860">
        <w:rPr>
          <w:rFonts w:cs="Arial"/>
          <w:lang w:val="es-ES"/>
        </w:rPr>
        <w:tab/>
      </w:r>
      <w:r w:rsidRPr="00EF6860">
        <w:rPr>
          <w:rFonts w:cs="Arial"/>
          <w:lang w:val="es-ES_tradnl"/>
        </w:rPr>
        <w:t>El TWC celebró su trigésima tercera sesión en Natal (Brasil), del 30 de junio al 3 de julio de 2015, bajo la presidencia del Sr. Adrian Roberts (Reino Unido).</w:t>
      </w:r>
    </w:p>
    <w:p w:rsidR="00EF6860" w:rsidRPr="00EF6860" w:rsidRDefault="00EF6860" w:rsidP="00EF6860">
      <w:pPr>
        <w:tabs>
          <w:tab w:val="left" w:pos="567"/>
        </w:tabs>
        <w:rPr>
          <w:rFonts w:cs="Arial"/>
          <w:lang w:val="es-ES"/>
        </w:rPr>
      </w:pPr>
    </w:p>
    <w:p w:rsidR="00EF6860" w:rsidRPr="00EF6860" w:rsidRDefault="00EF6860" w:rsidP="00EF6860">
      <w:pPr>
        <w:tabs>
          <w:tab w:val="left" w:pos="567"/>
        </w:tabs>
        <w:rPr>
          <w:rFonts w:cs="Arial"/>
          <w:lang w:val="es-ES"/>
        </w:rPr>
      </w:pPr>
      <w:r w:rsidRPr="00EF6860">
        <w:rPr>
          <w:rFonts w:cs="Arial"/>
        </w:rPr>
        <w:fldChar w:fldCharType="begin"/>
      </w:r>
      <w:r w:rsidRPr="00EF6860">
        <w:rPr>
          <w:rFonts w:cs="Arial"/>
          <w:lang w:val="es-ES"/>
        </w:rPr>
        <w:instrText xml:space="preserve"> AUTONUM  </w:instrText>
      </w:r>
      <w:r w:rsidRPr="00EF6860">
        <w:rPr>
          <w:rFonts w:cs="Arial"/>
        </w:rPr>
        <w:fldChar w:fldCharType="end"/>
      </w:r>
      <w:r w:rsidRPr="00EF6860">
        <w:rPr>
          <w:rFonts w:cs="Arial"/>
          <w:lang w:val="es-ES"/>
        </w:rPr>
        <w:tab/>
      </w:r>
      <w:r w:rsidRPr="00EF6860">
        <w:rPr>
          <w:rFonts w:cs="Arial"/>
          <w:lang w:val="es-ES_tradnl"/>
        </w:rPr>
        <w:t>Asistieron a la reunión 18 participantes procedentes de 10 miembros de la Unión.</w:t>
      </w:r>
      <w:r w:rsidRPr="00EF6860">
        <w:rPr>
          <w:rFonts w:cs="Arial"/>
          <w:lang w:val="es-ES"/>
        </w:rPr>
        <w:t xml:space="preserve">  </w:t>
      </w:r>
      <w:r w:rsidRPr="00EF6860">
        <w:rPr>
          <w:rFonts w:cs="Arial"/>
          <w:lang w:val="es-ES_tradnl"/>
        </w:rPr>
        <w:t>El taller preparatorio, al que asistieron 11 participantes procedentes de 7 miembros de la Unión, se celebró el 29 de junio por la tarde.</w:t>
      </w:r>
      <w:r w:rsidRPr="00EF6860">
        <w:rPr>
          <w:rFonts w:cs="Arial"/>
          <w:lang w:val="es-ES"/>
        </w:rPr>
        <w:t xml:space="preserve"> </w:t>
      </w:r>
    </w:p>
    <w:p w:rsidR="00EF6860" w:rsidRPr="00EF6860" w:rsidRDefault="00EF6860" w:rsidP="00EF6860">
      <w:pPr>
        <w:tabs>
          <w:tab w:val="left" w:pos="567"/>
        </w:tabs>
        <w:rPr>
          <w:rFonts w:cs="Arial"/>
          <w:lang w:val="es-ES"/>
        </w:rPr>
      </w:pPr>
    </w:p>
    <w:p w:rsidR="00EF6860" w:rsidRPr="00EF6860" w:rsidRDefault="00EF6860" w:rsidP="00EF6860">
      <w:pPr>
        <w:tabs>
          <w:tab w:val="left" w:pos="567"/>
        </w:tabs>
        <w:autoSpaceDE w:val="0"/>
        <w:autoSpaceDN w:val="0"/>
        <w:adjustRightInd w:val="0"/>
        <w:rPr>
          <w:rFonts w:cs="Arial"/>
          <w:lang w:val="es-ES"/>
        </w:rPr>
      </w:pPr>
      <w:r w:rsidRPr="00EF6860">
        <w:rPr>
          <w:rFonts w:cs="Arial"/>
        </w:rPr>
        <w:fldChar w:fldCharType="begin"/>
      </w:r>
      <w:r w:rsidRPr="00EF6860">
        <w:rPr>
          <w:rFonts w:cs="Arial"/>
          <w:lang w:val="es-ES"/>
        </w:rPr>
        <w:instrText xml:space="preserve"> AUTONUM  </w:instrText>
      </w:r>
      <w:r w:rsidRPr="00EF6860">
        <w:rPr>
          <w:rFonts w:cs="Arial"/>
        </w:rPr>
        <w:fldChar w:fldCharType="end"/>
      </w:r>
      <w:r w:rsidRPr="00EF6860">
        <w:rPr>
          <w:rFonts w:cs="Arial"/>
          <w:lang w:val="es-ES"/>
        </w:rPr>
        <w:tab/>
      </w:r>
      <w:r w:rsidRPr="00EF6860">
        <w:rPr>
          <w:rFonts w:cs="Arial"/>
          <w:lang w:val="es-ES_tradnl"/>
        </w:rPr>
        <w:t>Dio la bienvenida al TWC el Sr. Roberto Papa, Superintendente Adjunto de Agricultura en el estado de Río Grande del Norte (Brasil).</w:t>
      </w:r>
      <w:r w:rsidRPr="00EF6860">
        <w:rPr>
          <w:rFonts w:cs="Arial"/>
          <w:lang w:val="es-ES"/>
        </w:rPr>
        <w:t xml:space="preserve"> </w:t>
      </w:r>
      <w:r w:rsidRPr="00EF6860">
        <w:rPr>
          <w:rFonts w:cs="Arial"/>
          <w:lang w:val="es-ES_tradnl"/>
        </w:rPr>
        <w:t>El TWC asistió a una ponencia sobre el sistema de protección de las obtenciones vegetales en el Brasil por el Sr. Fabricio Santana Santos, Coordinador de la Oficina Nacional de Protección de las Obtenciones Vegetales del Ministerio de Agricultura, Ganadería y Abastecimiento.</w:t>
      </w:r>
    </w:p>
    <w:p w:rsidR="00EF6860" w:rsidRPr="00EF6860" w:rsidRDefault="00EF6860" w:rsidP="00EF6860">
      <w:pPr>
        <w:autoSpaceDE w:val="0"/>
        <w:autoSpaceDN w:val="0"/>
        <w:adjustRightInd w:val="0"/>
        <w:rPr>
          <w:rFonts w:cs="Arial"/>
          <w:lang w:val="es-ES"/>
        </w:rPr>
      </w:pPr>
    </w:p>
    <w:p w:rsidR="00EF6860" w:rsidRPr="00EF6860" w:rsidRDefault="00EF6860" w:rsidP="00EF6860">
      <w:pPr>
        <w:tabs>
          <w:tab w:val="left" w:pos="567"/>
        </w:tabs>
        <w:contextualSpacing/>
        <w:rPr>
          <w:rFonts w:cs="Arial"/>
          <w:lang w:val="es-ES"/>
        </w:rPr>
      </w:pPr>
      <w:r w:rsidRPr="00EF6860">
        <w:rPr>
          <w:rFonts w:cs="Arial"/>
        </w:rPr>
        <w:fldChar w:fldCharType="begin"/>
      </w:r>
      <w:r w:rsidRPr="00EF6860">
        <w:rPr>
          <w:rFonts w:cs="Arial"/>
          <w:lang w:val="es-ES"/>
        </w:rPr>
        <w:instrText xml:space="preserve"> AUTONUM  </w:instrText>
      </w:r>
      <w:r w:rsidRPr="00EF6860">
        <w:rPr>
          <w:rFonts w:cs="Arial"/>
        </w:rPr>
        <w:fldChar w:fldCharType="end"/>
      </w:r>
      <w:r w:rsidRPr="00EF6860">
        <w:rPr>
          <w:rFonts w:cs="Arial"/>
          <w:lang w:val="es-ES"/>
        </w:rPr>
        <w:tab/>
      </w:r>
      <w:r w:rsidRPr="00EF6860">
        <w:rPr>
          <w:rFonts w:cs="Arial"/>
          <w:lang w:val="es-ES_tradnl"/>
        </w:rPr>
        <w:t>El TWA tomó nota de que la información proporcionada por miembros y observadores sobre los avances logrados en la protección de variedades vegetales figura en el documento TWA/33/22 “</w:t>
      </w:r>
      <w:r w:rsidRPr="00EF6860">
        <w:rPr>
          <w:rFonts w:cs="Arial"/>
          <w:i/>
          <w:lang w:val="es-ES"/>
        </w:rPr>
        <w:t>Reports on Development in Plant Variety Protection from Members and Observers</w:t>
      </w:r>
      <w:r w:rsidRPr="00EF6860">
        <w:rPr>
          <w:rFonts w:cs="Arial"/>
          <w:lang w:val="es-ES_tradnl"/>
        </w:rPr>
        <w:t>” (Informes de miembros y observadores sobre los avances logrados en la protección de las variedades vegetales).</w:t>
      </w:r>
      <w:r w:rsidRPr="00EF6860">
        <w:rPr>
          <w:rFonts w:cs="Arial"/>
          <w:lang w:val="es-ES"/>
        </w:rPr>
        <w:t xml:space="preserve">  </w:t>
      </w:r>
      <w:r w:rsidRPr="00EF6860">
        <w:rPr>
          <w:rFonts w:cs="Arial"/>
          <w:lang w:val="es-ES_tradnl"/>
        </w:rPr>
        <w:t>La Oficina de la Unión ofreció una ponencia sobre las novedades acaecidas en la UPOV (documento TWC/33/21).</w:t>
      </w:r>
    </w:p>
    <w:p w:rsidR="00EF6860" w:rsidRPr="00EF6860" w:rsidRDefault="00EF6860" w:rsidP="00EF6860">
      <w:pPr>
        <w:contextualSpacing/>
        <w:rPr>
          <w:rFonts w:cs="Arial"/>
          <w:lang w:val="es-ES"/>
        </w:rPr>
      </w:pPr>
    </w:p>
    <w:p w:rsidR="00EF6860" w:rsidRPr="00EF6860" w:rsidRDefault="00EF6860" w:rsidP="00EF6860">
      <w:pPr>
        <w:tabs>
          <w:tab w:val="left" w:pos="567"/>
        </w:tabs>
        <w:autoSpaceDE w:val="0"/>
        <w:autoSpaceDN w:val="0"/>
        <w:adjustRightInd w:val="0"/>
        <w:rPr>
          <w:rFonts w:cs="Arial"/>
          <w:lang w:val="es-ES"/>
        </w:rPr>
      </w:pPr>
      <w:r w:rsidRPr="00EF6860">
        <w:rPr>
          <w:rFonts w:cs="Arial"/>
        </w:rPr>
        <w:fldChar w:fldCharType="begin"/>
      </w:r>
      <w:r w:rsidRPr="00EF6860">
        <w:rPr>
          <w:rFonts w:cs="Arial"/>
          <w:lang w:val="es-ES"/>
        </w:rPr>
        <w:instrText xml:space="preserve"> AUTONUM  </w:instrText>
      </w:r>
      <w:r w:rsidRPr="00EF6860">
        <w:rPr>
          <w:rFonts w:cs="Arial"/>
        </w:rPr>
        <w:fldChar w:fldCharType="end"/>
      </w:r>
      <w:r w:rsidRPr="00EF6860">
        <w:rPr>
          <w:rFonts w:cs="Arial"/>
          <w:lang w:val="es-ES"/>
        </w:rPr>
        <w:tab/>
      </w:r>
      <w:r w:rsidRPr="00EF6860">
        <w:rPr>
          <w:rFonts w:cs="Arial"/>
          <w:lang w:val="es-ES_tradnl"/>
        </w:rPr>
        <w:t>El TWC examinó el documento TWC/33/16 “</w:t>
      </w:r>
      <w:r w:rsidRPr="00EF6860">
        <w:rPr>
          <w:rFonts w:cs="Arial"/>
          <w:i/>
          <w:lang w:val="es-ES"/>
        </w:rPr>
        <w:t>Revision of Document TGP/8: Part II: Selected Techniques used in DUS Examination, Section 3: Method of Calculation of COYU</w:t>
      </w:r>
      <w:r w:rsidRPr="00EF6860">
        <w:rPr>
          <w:rFonts w:cs="Arial"/>
          <w:lang w:val="es-ES_tradnl"/>
        </w:rPr>
        <w:t>” (Revisión del documento TGP/8: Parte II: Técnicas utilizadas en el examen DHE, Sección 3: Método de cálculo del COYU).</w:t>
      </w:r>
      <w:r w:rsidRPr="00EF6860">
        <w:rPr>
          <w:rFonts w:cs="Arial"/>
          <w:lang w:val="es-ES"/>
        </w:rPr>
        <w:t xml:space="preserve">  </w:t>
      </w:r>
      <w:r w:rsidRPr="00EF6860">
        <w:rPr>
          <w:rFonts w:cs="Arial"/>
          <w:lang w:val="es-ES_tradnl"/>
        </w:rPr>
        <w:t>Un experto del Reino Unido ofreció una ponencia sobre un ejercicio práctico para recabar información de los miembros de la UPOV sobre su experiencia acerca de la modificación propuesta del criterio combinado interanual de homogeneidad (COYU).</w:t>
      </w:r>
      <w:r w:rsidRPr="00EF6860">
        <w:rPr>
          <w:rFonts w:cs="Arial"/>
          <w:lang w:val="es-ES"/>
        </w:rPr>
        <w:t xml:space="preserve">  </w:t>
      </w:r>
      <w:r w:rsidRPr="00EF6860">
        <w:rPr>
          <w:rFonts w:cs="Arial"/>
          <w:lang w:val="es-ES_tradnl"/>
        </w:rPr>
        <w:t>En el ejercicio hubo seis participantes de cuatro miembros de la UPOV.</w:t>
      </w:r>
      <w:r w:rsidRPr="00EF6860">
        <w:rPr>
          <w:rFonts w:cs="Arial"/>
          <w:lang w:val="es-ES"/>
        </w:rPr>
        <w:t xml:space="preserve"> </w:t>
      </w:r>
      <w:r w:rsidRPr="00EF6860">
        <w:rPr>
          <w:rFonts w:cs="Arial"/>
          <w:lang w:val="es-ES_tradnl"/>
        </w:rPr>
        <w:t>Se suministró a los participantes un programa informático para la aplicación del método propuesto, a efectos de su evaluación con conjuntos de datos usados a modo de ejemplo.</w:t>
      </w:r>
      <w:r w:rsidRPr="00EF6860">
        <w:rPr>
          <w:rFonts w:cs="Arial"/>
          <w:lang w:val="es-ES"/>
        </w:rPr>
        <w:t xml:space="preserve"> </w:t>
      </w:r>
      <w:r w:rsidRPr="00EF6860">
        <w:rPr>
          <w:rFonts w:cs="Arial"/>
          <w:lang w:val="es-ES_tradnl"/>
        </w:rPr>
        <w:t>Del ejercicio se concluyó que el método de cálculo del COYU modificado daba resultados satisfactorios.</w:t>
      </w:r>
      <w:r w:rsidRPr="00EF6860">
        <w:rPr>
          <w:rFonts w:cs="Arial"/>
          <w:lang w:val="es-ES"/>
        </w:rPr>
        <w:t xml:space="preserve"> </w:t>
      </w:r>
      <w:r w:rsidRPr="00EF6860">
        <w:rPr>
          <w:rFonts w:cs="Arial"/>
          <w:lang w:val="es-ES_tradnl"/>
        </w:rPr>
        <w:t>Si bien el programa informático funcionaba correctamente, se observaron aspectos susceptibles de mejora.</w:t>
      </w:r>
      <w:r w:rsidRPr="00EF6860">
        <w:rPr>
          <w:rFonts w:cs="Arial"/>
          <w:lang w:val="es-ES"/>
        </w:rPr>
        <w:t xml:space="preserve"> </w:t>
      </w:r>
      <w:r w:rsidRPr="00EF6860">
        <w:rPr>
          <w:rFonts w:cs="Arial"/>
          <w:lang w:val="es-ES_tradnl"/>
        </w:rPr>
        <w:t>Como se esperaba, con el nuevo método se requerirían niveles de probabilidad más altos.</w:t>
      </w:r>
      <w:r w:rsidRPr="00EF6860">
        <w:rPr>
          <w:rFonts w:cs="Arial"/>
          <w:lang w:val="es-ES"/>
        </w:rPr>
        <w:t xml:space="preserve"> </w:t>
      </w:r>
      <w:r w:rsidRPr="00EF6860">
        <w:rPr>
          <w:rFonts w:cs="Arial"/>
          <w:lang w:val="es-ES_tradnl"/>
        </w:rPr>
        <w:t>Sin embargo, para determinar los niveles adecuados con mayor precisión se necesitarían más conjuntos de datos usados a modo de ejemplo.</w:t>
      </w:r>
      <w:r w:rsidRPr="00EF6860">
        <w:rPr>
          <w:rFonts w:cs="Arial"/>
          <w:lang w:val="es-ES"/>
        </w:rPr>
        <w:t xml:space="preserve"> </w:t>
      </w:r>
      <w:r w:rsidRPr="00EF6860">
        <w:rPr>
          <w:rFonts w:cs="Arial"/>
          <w:lang w:val="es-ES_tradnl"/>
        </w:rPr>
        <w:t>El TWC acordó buscar más conjuntos de datos y, en particular, invitar a la TWA a que proporcione grandes conjuntos de datos de cultivos extensivos.</w:t>
      </w:r>
      <w:r w:rsidRPr="00EF6860">
        <w:rPr>
          <w:rFonts w:cs="Arial"/>
          <w:lang w:val="es-ES"/>
        </w:rPr>
        <w:t xml:space="preserve"> </w:t>
      </w:r>
      <w:r w:rsidRPr="00EF6860">
        <w:rPr>
          <w:rFonts w:cs="Arial"/>
          <w:lang w:val="es-ES_tradnl"/>
        </w:rPr>
        <w:t>El TWC solicitó al experto del Reino Unido que proporcione orientación adicional sobre la extrapolación cuando el nivel de expresión de la variedad candidata no se corresponde con el que presentan las variedades de referencia.</w:t>
      </w:r>
    </w:p>
    <w:p w:rsidR="00EF6860" w:rsidRPr="00EF6860" w:rsidRDefault="00EF6860" w:rsidP="00EF6860">
      <w:pPr>
        <w:autoSpaceDE w:val="0"/>
        <w:autoSpaceDN w:val="0"/>
        <w:adjustRightInd w:val="0"/>
        <w:rPr>
          <w:rFonts w:cs="Arial"/>
          <w:lang w:val="es-ES"/>
        </w:rPr>
      </w:pPr>
    </w:p>
    <w:p w:rsidR="00EF6860" w:rsidRPr="00EF6860" w:rsidRDefault="00EF6860" w:rsidP="00EF6860">
      <w:pPr>
        <w:tabs>
          <w:tab w:val="left" w:pos="567"/>
        </w:tabs>
        <w:autoSpaceDE w:val="0"/>
        <w:autoSpaceDN w:val="0"/>
        <w:adjustRightInd w:val="0"/>
        <w:rPr>
          <w:rFonts w:cs="Arial"/>
          <w:lang w:val="es-ES"/>
        </w:rPr>
      </w:pPr>
      <w:r w:rsidRPr="00EF6860">
        <w:rPr>
          <w:rFonts w:cs="Arial"/>
        </w:rPr>
        <w:fldChar w:fldCharType="begin"/>
      </w:r>
      <w:r w:rsidRPr="00EF6860">
        <w:rPr>
          <w:rFonts w:cs="Arial"/>
          <w:lang w:val="es-ES"/>
        </w:rPr>
        <w:instrText xml:space="preserve"> AUTONUM  </w:instrText>
      </w:r>
      <w:r w:rsidRPr="00EF6860">
        <w:rPr>
          <w:rFonts w:cs="Arial"/>
        </w:rPr>
        <w:fldChar w:fldCharType="end"/>
      </w:r>
      <w:r w:rsidRPr="00EF6860">
        <w:rPr>
          <w:rFonts w:cs="Arial"/>
          <w:lang w:val="es-ES"/>
        </w:rPr>
        <w:tab/>
      </w:r>
      <w:r w:rsidRPr="00EF6860">
        <w:rPr>
          <w:rFonts w:cs="Arial"/>
          <w:lang w:val="es-ES_tradnl"/>
        </w:rPr>
        <w:t>Como parte de la elaboración de orientaciones sobre el examen DHE en muestras en bloque, un experto de los Países Bajos presentó el Anexo I del documento TWC/33/17.</w:t>
      </w:r>
      <w:r w:rsidRPr="00EF6860">
        <w:rPr>
          <w:rFonts w:cs="Arial"/>
          <w:lang w:val="es-ES"/>
        </w:rPr>
        <w:t xml:space="preserve"> </w:t>
      </w:r>
      <w:r w:rsidRPr="00EF6860">
        <w:rPr>
          <w:rFonts w:cs="Arial"/>
          <w:lang w:val="es-ES_tradnl"/>
        </w:rPr>
        <w:t>En este documento se presentan diferentes métodos posibles, para estimular el debate en torno a este tema.</w:t>
      </w:r>
      <w:r w:rsidRPr="00EF6860">
        <w:rPr>
          <w:rFonts w:cs="Arial"/>
          <w:lang w:val="es-ES"/>
        </w:rPr>
        <w:t xml:space="preserve"> </w:t>
      </w:r>
      <w:r w:rsidRPr="00EF6860">
        <w:rPr>
          <w:rFonts w:cs="Arial"/>
          <w:lang w:val="es-ES_tradnl"/>
        </w:rPr>
        <w:t>Se mantuvo en el TWC un debate fructífero sobre cuál de los métodos sería el más adecuado.</w:t>
      </w:r>
      <w:r w:rsidRPr="00EF6860">
        <w:rPr>
          <w:rFonts w:cs="Arial"/>
          <w:lang w:val="es-ES"/>
        </w:rPr>
        <w:t xml:space="preserve"> </w:t>
      </w:r>
      <w:r w:rsidRPr="00EF6860">
        <w:rPr>
          <w:rFonts w:cs="Arial"/>
          <w:lang w:val="es-ES_tradnl"/>
        </w:rPr>
        <w:t>El TWC convino en que los siguientes métodos que figuran en el Anexo I del documento TWC/33/17 podrían desarrollarse más, como base para la orientación sobre el análisis de los caracteres examinados a partir de muestras en bloque:</w:t>
      </w:r>
      <w:r w:rsidRPr="00EF6860">
        <w:rPr>
          <w:rFonts w:cs="Arial"/>
          <w:lang w:val="es-ES"/>
        </w:rPr>
        <w:t xml:space="preserve"> </w:t>
      </w:r>
    </w:p>
    <w:p w:rsidR="00EF6860" w:rsidRPr="00EF6860" w:rsidRDefault="00EF6860" w:rsidP="00EF6860">
      <w:pPr>
        <w:tabs>
          <w:tab w:val="left" w:pos="567"/>
        </w:tabs>
        <w:autoSpaceDE w:val="0"/>
        <w:autoSpaceDN w:val="0"/>
        <w:adjustRightInd w:val="0"/>
        <w:rPr>
          <w:rFonts w:cs="Arial"/>
          <w:lang w:val="es-ES"/>
        </w:rPr>
      </w:pPr>
    </w:p>
    <w:p w:rsidR="00EF6860" w:rsidRPr="00EF6860" w:rsidRDefault="00EF6860" w:rsidP="00EF6860">
      <w:pPr>
        <w:tabs>
          <w:tab w:val="left" w:pos="993"/>
        </w:tabs>
        <w:autoSpaceDE w:val="0"/>
        <w:autoSpaceDN w:val="0"/>
        <w:adjustRightInd w:val="0"/>
        <w:ind w:left="567"/>
        <w:rPr>
          <w:rFonts w:cs="Arial"/>
          <w:lang w:val="es-ES"/>
        </w:rPr>
      </w:pPr>
      <w:r w:rsidRPr="00EF6860">
        <w:rPr>
          <w:rFonts w:cs="Arial"/>
          <w:lang w:val="es-ES"/>
        </w:rPr>
        <w:t>a)</w:t>
      </w:r>
      <w:r w:rsidRPr="00EF6860">
        <w:rPr>
          <w:rFonts w:cs="Arial"/>
          <w:lang w:val="es-ES"/>
        </w:rPr>
        <w:tab/>
      </w:r>
      <w:r w:rsidRPr="00EF6860">
        <w:rPr>
          <w:rFonts w:cs="Arial"/>
          <w:lang w:val="es-ES_tradnl"/>
        </w:rPr>
        <w:t>Control del carácter antes de aprobar su inclusión en el documento de directrices pertinente;</w:t>
      </w:r>
      <w:r w:rsidRPr="00EF6860">
        <w:rPr>
          <w:rFonts w:cs="Arial"/>
          <w:lang w:val="es-ES"/>
        </w:rPr>
        <w:t xml:space="preserve"> </w:t>
      </w:r>
    </w:p>
    <w:p w:rsidR="00EF6860" w:rsidRPr="00EF6860" w:rsidRDefault="00EF6860" w:rsidP="00EF6860">
      <w:pPr>
        <w:tabs>
          <w:tab w:val="left" w:pos="993"/>
        </w:tabs>
        <w:autoSpaceDE w:val="0"/>
        <w:autoSpaceDN w:val="0"/>
        <w:adjustRightInd w:val="0"/>
        <w:ind w:left="567"/>
        <w:rPr>
          <w:rFonts w:cs="Arial"/>
          <w:lang w:val="es-ES"/>
        </w:rPr>
      </w:pPr>
      <w:r w:rsidRPr="00EF6860">
        <w:rPr>
          <w:rFonts w:cs="Arial"/>
          <w:lang w:val="es-ES"/>
        </w:rPr>
        <w:t>d)</w:t>
      </w:r>
      <w:r w:rsidRPr="00EF6860">
        <w:rPr>
          <w:rFonts w:cs="Arial"/>
          <w:lang w:val="es-ES"/>
        </w:rPr>
        <w:tab/>
      </w:r>
      <w:r w:rsidRPr="00EF6860">
        <w:rPr>
          <w:rFonts w:cs="Arial"/>
          <w:lang w:val="es-ES_tradnl"/>
        </w:rPr>
        <w:t>Subparcelas;</w:t>
      </w:r>
    </w:p>
    <w:p w:rsidR="00EF6860" w:rsidRPr="00EF6860" w:rsidRDefault="00EF6860" w:rsidP="00EF6860">
      <w:pPr>
        <w:tabs>
          <w:tab w:val="left" w:pos="993"/>
        </w:tabs>
        <w:autoSpaceDE w:val="0"/>
        <w:autoSpaceDN w:val="0"/>
        <w:adjustRightInd w:val="0"/>
        <w:ind w:left="567"/>
        <w:rPr>
          <w:rFonts w:cs="Arial"/>
          <w:lang w:val="es-ES"/>
        </w:rPr>
      </w:pPr>
      <w:r w:rsidRPr="00EF6860">
        <w:rPr>
          <w:rFonts w:cs="Arial"/>
          <w:lang w:val="es-ES"/>
        </w:rPr>
        <w:t>g)</w:t>
      </w:r>
      <w:r w:rsidRPr="00EF6860">
        <w:rPr>
          <w:rFonts w:cs="Arial"/>
          <w:lang w:val="es-ES"/>
        </w:rPr>
        <w:tab/>
      </w:r>
      <w:r w:rsidRPr="00EF6860">
        <w:rPr>
          <w:rFonts w:cs="Arial"/>
          <w:lang w:val="es-ES_tradnl"/>
        </w:rPr>
        <w:t>Análisis del ADN, y</w:t>
      </w:r>
      <w:r w:rsidRPr="00EF6860">
        <w:rPr>
          <w:rFonts w:cs="Arial"/>
          <w:lang w:val="es-ES"/>
        </w:rPr>
        <w:t xml:space="preserve"> </w:t>
      </w:r>
    </w:p>
    <w:p w:rsidR="00EF6860" w:rsidRPr="00EF6860" w:rsidRDefault="00EF6860" w:rsidP="00EF6860">
      <w:pPr>
        <w:tabs>
          <w:tab w:val="left" w:pos="993"/>
        </w:tabs>
        <w:autoSpaceDE w:val="0"/>
        <w:autoSpaceDN w:val="0"/>
        <w:adjustRightInd w:val="0"/>
        <w:ind w:left="567"/>
        <w:rPr>
          <w:rFonts w:cs="Arial"/>
          <w:lang w:val="es-ES"/>
        </w:rPr>
      </w:pPr>
      <w:r w:rsidRPr="00EF6860">
        <w:rPr>
          <w:rFonts w:cs="Arial"/>
          <w:lang w:val="es-ES"/>
        </w:rPr>
        <w:t>i)</w:t>
      </w:r>
      <w:r w:rsidRPr="00EF6860">
        <w:rPr>
          <w:rFonts w:cs="Arial"/>
          <w:lang w:val="es-ES"/>
        </w:rPr>
        <w:tab/>
      </w:r>
      <w:r w:rsidRPr="00EF6860">
        <w:rPr>
          <w:rFonts w:cs="Arial"/>
          <w:lang w:val="es-ES_tradnl"/>
        </w:rPr>
        <w:t>Número de plantas.</w:t>
      </w:r>
    </w:p>
    <w:p w:rsidR="00EF6860" w:rsidRPr="00EF6860" w:rsidRDefault="00EF6860" w:rsidP="00EF6860">
      <w:pPr>
        <w:autoSpaceDE w:val="0"/>
        <w:autoSpaceDN w:val="0"/>
        <w:adjustRightInd w:val="0"/>
        <w:rPr>
          <w:rFonts w:cs="Arial"/>
          <w:lang w:val="es-ES"/>
        </w:rPr>
      </w:pPr>
    </w:p>
    <w:p w:rsidR="00EF6860" w:rsidRPr="00EF6860" w:rsidRDefault="00EF6860" w:rsidP="00EF6860">
      <w:pPr>
        <w:tabs>
          <w:tab w:val="left" w:pos="567"/>
        </w:tabs>
        <w:autoSpaceDE w:val="0"/>
        <w:autoSpaceDN w:val="0"/>
        <w:adjustRightInd w:val="0"/>
        <w:rPr>
          <w:rFonts w:cs="Arial"/>
          <w:lang w:val="es-ES"/>
        </w:rPr>
      </w:pPr>
      <w:r w:rsidRPr="00EF6860">
        <w:rPr>
          <w:rFonts w:cs="Arial"/>
        </w:rPr>
        <w:fldChar w:fldCharType="begin"/>
      </w:r>
      <w:r w:rsidRPr="00EF6860">
        <w:rPr>
          <w:rFonts w:cs="Arial"/>
          <w:lang w:val="es-ES"/>
        </w:rPr>
        <w:instrText xml:space="preserve"> AUTONUM  </w:instrText>
      </w:r>
      <w:r w:rsidRPr="00EF6860">
        <w:rPr>
          <w:rFonts w:cs="Arial"/>
        </w:rPr>
        <w:fldChar w:fldCharType="end"/>
      </w:r>
      <w:r w:rsidRPr="00EF6860">
        <w:rPr>
          <w:rFonts w:cs="Arial"/>
          <w:lang w:val="es-ES"/>
        </w:rPr>
        <w:tab/>
      </w:r>
      <w:r w:rsidRPr="00EF6860">
        <w:rPr>
          <w:rFonts w:cs="Arial"/>
          <w:lang w:val="es-ES_tradnl"/>
        </w:rPr>
        <w:t>Un experto de Francia presentó una ponencia sobre un ejercicio práctico para comparar varios métodos diferentes de elaboración de descripciones de variedades para los caracteres cuantitativos, utilizando un conjunto de datos comunes de variedades de lino (documento TWC/33/18).</w:t>
      </w:r>
      <w:r w:rsidRPr="00EF6860">
        <w:rPr>
          <w:rFonts w:cs="Arial"/>
          <w:lang w:val="es-ES"/>
        </w:rPr>
        <w:t xml:space="preserve"> </w:t>
      </w:r>
      <w:r w:rsidRPr="00EF6860">
        <w:rPr>
          <w:rFonts w:cs="Arial"/>
          <w:lang w:val="es-ES_tradnl"/>
        </w:rPr>
        <w:t>En esta comparación se determinaron las principales diferencias entre los diferentes métodos:</w:t>
      </w:r>
      <w:r w:rsidRPr="00EF6860">
        <w:rPr>
          <w:rFonts w:cs="Arial"/>
          <w:lang w:val="es-ES"/>
        </w:rPr>
        <w:t xml:space="preserve"> </w:t>
      </w:r>
      <w:r w:rsidRPr="00EF6860">
        <w:rPr>
          <w:rFonts w:cs="Arial"/>
          <w:lang w:val="es-ES_tradnl"/>
        </w:rPr>
        <w:t>si se utilizaron variedades ejemplo para establecer la escala, si se tuvo en cuenta la opinión de expertos en el cultivo, y si la separación de los niveles de expresión en la escala original del carácter era uniforme.</w:t>
      </w:r>
      <w:r w:rsidRPr="00EF6860">
        <w:rPr>
          <w:rFonts w:cs="Arial"/>
          <w:lang w:val="es-ES"/>
        </w:rPr>
        <w:t xml:space="preserve"> </w:t>
      </w:r>
      <w:r w:rsidRPr="00EF6860">
        <w:rPr>
          <w:rFonts w:cs="Arial"/>
          <w:lang w:val="es-ES_tradnl"/>
        </w:rPr>
        <w:t>El TWC convino en que esta división servía como base para entender los diferentes métodos.</w:t>
      </w:r>
    </w:p>
    <w:p w:rsidR="00EF6860" w:rsidRPr="00EF6860" w:rsidRDefault="00EF6860" w:rsidP="00EF6860">
      <w:pPr>
        <w:autoSpaceDE w:val="0"/>
        <w:autoSpaceDN w:val="0"/>
        <w:adjustRightInd w:val="0"/>
        <w:rPr>
          <w:rFonts w:cs="Arial"/>
          <w:lang w:val="es-ES"/>
        </w:rPr>
      </w:pPr>
    </w:p>
    <w:p w:rsidR="00EF6860" w:rsidRPr="00EF6860" w:rsidRDefault="00EF6860" w:rsidP="00EF6860">
      <w:pPr>
        <w:tabs>
          <w:tab w:val="left" w:pos="567"/>
        </w:tabs>
        <w:autoSpaceDE w:val="0"/>
        <w:autoSpaceDN w:val="0"/>
        <w:adjustRightInd w:val="0"/>
        <w:rPr>
          <w:rFonts w:cs="Arial"/>
          <w:lang w:val="es-ES"/>
        </w:rPr>
      </w:pPr>
      <w:r w:rsidRPr="00EF6860">
        <w:rPr>
          <w:rFonts w:cs="Arial"/>
        </w:rPr>
        <w:fldChar w:fldCharType="begin"/>
      </w:r>
      <w:r w:rsidRPr="00EF6860">
        <w:rPr>
          <w:rFonts w:cs="Arial"/>
          <w:lang w:val="es-ES"/>
        </w:rPr>
        <w:instrText xml:space="preserve"> AUTONUM  </w:instrText>
      </w:r>
      <w:r w:rsidRPr="00EF6860">
        <w:rPr>
          <w:rFonts w:cs="Arial"/>
        </w:rPr>
        <w:fldChar w:fldCharType="end"/>
      </w:r>
      <w:r w:rsidRPr="00EF6860">
        <w:rPr>
          <w:rFonts w:cs="Arial"/>
          <w:lang w:val="es-ES"/>
        </w:rPr>
        <w:tab/>
      </w:r>
      <w:r w:rsidRPr="00EF6860">
        <w:rPr>
          <w:rFonts w:cs="Arial"/>
          <w:lang w:val="es-ES_tradnl"/>
        </w:rPr>
        <w:t>Tras examinar el documento TWC/33/10 “</w:t>
      </w:r>
      <w:r w:rsidRPr="00EF6860">
        <w:rPr>
          <w:rFonts w:cs="Arial"/>
          <w:i/>
          <w:lang w:val="es-ES_tradnl"/>
        </w:rPr>
        <w:t>Matters Concerning Variety Descriptions</w:t>
      </w:r>
      <w:r w:rsidRPr="00EF6860">
        <w:rPr>
          <w:rFonts w:cs="Arial"/>
          <w:lang w:val="es-ES_tradnl"/>
        </w:rPr>
        <w:t>” (Asuntos relativos a las descripciones de variedades), se debatieron las experiencias de los expertos en el uso de las descripciones de variedades.</w:t>
      </w:r>
      <w:r w:rsidRPr="00EF6860">
        <w:rPr>
          <w:rFonts w:cs="Arial"/>
          <w:lang w:val="es-ES"/>
        </w:rPr>
        <w:t xml:space="preserve"> </w:t>
      </w:r>
      <w:r w:rsidRPr="00EF6860">
        <w:rPr>
          <w:rFonts w:cs="Arial"/>
          <w:lang w:val="es-ES_tradnl"/>
        </w:rPr>
        <w:t>Se pusieron de manifiesto las diferencias en el uso de las descripciones de variedades y en su importancia a efectos de los sistemas de examen DHE.</w:t>
      </w:r>
      <w:r w:rsidRPr="00EF6860">
        <w:rPr>
          <w:rFonts w:cs="Arial"/>
          <w:lang w:val="es-ES"/>
        </w:rPr>
        <w:t xml:space="preserve"> </w:t>
      </w:r>
      <w:r w:rsidRPr="00EF6860">
        <w:rPr>
          <w:rFonts w:cs="Arial"/>
          <w:lang w:val="es-ES_tradnl"/>
        </w:rPr>
        <w:t>Un experto de China presentó una investigación de la interacción entre variedades y lugares de los caracteres cuantitativos (documento TWC/33/27).</w:t>
      </w:r>
      <w:r w:rsidRPr="00EF6860">
        <w:rPr>
          <w:rFonts w:cs="Arial"/>
          <w:lang w:val="es-ES"/>
        </w:rPr>
        <w:t xml:space="preserve"> </w:t>
      </w:r>
    </w:p>
    <w:p w:rsidR="00EF6860" w:rsidRPr="00EF6860" w:rsidRDefault="00EF6860" w:rsidP="00EF6860">
      <w:pPr>
        <w:autoSpaceDE w:val="0"/>
        <w:autoSpaceDN w:val="0"/>
        <w:adjustRightInd w:val="0"/>
        <w:rPr>
          <w:rFonts w:cs="Arial"/>
          <w:lang w:val="es-ES"/>
        </w:rPr>
      </w:pPr>
    </w:p>
    <w:p w:rsidR="00EF6860" w:rsidRPr="00EF6860" w:rsidRDefault="00EF6860" w:rsidP="00EF6860">
      <w:pPr>
        <w:tabs>
          <w:tab w:val="left" w:pos="567"/>
        </w:tabs>
        <w:autoSpaceDE w:val="0"/>
        <w:autoSpaceDN w:val="0"/>
        <w:adjustRightInd w:val="0"/>
        <w:rPr>
          <w:rFonts w:cs="Arial"/>
          <w:lang w:val="es-ES"/>
        </w:rPr>
      </w:pPr>
      <w:r w:rsidRPr="00EF6860">
        <w:rPr>
          <w:rFonts w:cs="Arial"/>
        </w:rPr>
        <w:fldChar w:fldCharType="begin"/>
      </w:r>
      <w:r w:rsidRPr="00EF6860">
        <w:rPr>
          <w:rFonts w:cs="Arial"/>
          <w:lang w:val="es-ES"/>
        </w:rPr>
        <w:instrText xml:space="preserve"> AUTONUM  </w:instrText>
      </w:r>
      <w:r w:rsidRPr="00EF6860">
        <w:rPr>
          <w:rFonts w:cs="Arial"/>
        </w:rPr>
        <w:fldChar w:fldCharType="end"/>
      </w:r>
      <w:r w:rsidRPr="00EF6860">
        <w:rPr>
          <w:rFonts w:cs="Arial"/>
          <w:lang w:val="es-ES"/>
        </w:rPr>
        <w:tab/>
      </w:r>
      <w:r w:rsidRPr="00EF6860">
        <w:rPr>
          <w:rFonts w:cs="Arial"/>
          <w:lang w:val="es-ES_tradnl"/>
        </w:rPr>
        <w:t>El TWC examinó el proyecto de orientación para la revisión del documento TGP/10 “Evaluación de la homogeneidad de las plantas fuera de tipo mediante la observación de más de un ciclo de cultivo o mediante la observación de submuestras”, que figura en el Anexo I del documento TWC/33/9.</w:t>
      </w:r>
      <w:r w:rsidRPr="00EF6860">
        <w:rPr>
          <w:rFonts w:cs="Arial"/>
          <w:lang w:val="es-ES"/>
        </w:rPr>
        <w:t xml:space="preserve">  </w:t>
      </w:r>
      <w:r w:rsidRPr="00EF6860">
        <w:rPr>
          <w:rFonts w:cs="Arial"/>
          <w:lang w:val="es-ES_tradnl"/>
        </w:rPr>
        <w:t>El TWC convino en proponer que se modifique el título del método 2 para que su texto sea el siguiente: “Combinar los resultados de dos ciclos de cultivo en el caso de resultados contradictorios”.</w:t>
      </w:r>
      <w:r w:rsidRPr="00EF6860">
        <w:rPr>
          <w:rFonts w:cs="Arial"/>
          <w:lang w:val="es-ES"/>
        </w:rPr>
        <w:t xml:space="preserve"> </w:t>
      </w:r>
      <w:r w:rsidRPr="00EF6860">
        <w:rPr>
          <w:rFonts w:cs="Arial"/>
          <w:lang w:val="es-ES_tradnl"/>
        </w:rPr>
        <w:t>El TWC asistió a una ponencia de expertos de Alemania y el Reino Unido (documento TWC/33/25), que propusieron añadir un tercer método al proyecto de orientación:</w:t>
      </w:r>
      <w:r w:rsidRPr="00EF6860">
        <w:rPr>
          <w:rFonts w:cs="Arial"/>
          <w:lang w:val="es-ES"/>
        </w:rPr>
        <w:t xml:space="preserve"> </w:t>
      </w:r>
      <w:r w:rsidRPr="00EF6860">
        <w:rPr>
          <w:rFonts w:cs="Arial"/>
          <w:lang w:val="es-ES_tradnl"/>
        </w:rPr>
        <w:t>“Método 3:</w:t>
      </w:r>
      <w:r w:rsidRPr="00EF6860">
        <w:rPr>
          <w:rFonts w:cs="Arial"/>
          <w:lang w:val="es-ES"/>
        </w:rPr>
        <w:t xml:space="preserve">  </w:t>
      </w:r>
      <w:r w:rsidRPr="00EF6860">
        <w:rPr>
          <w:rFonts w:cs="Arial"/>
          <w:lang w:val="es-ES_tradnl"/>
        </w:rPr>
        <w:t>Combinar los resultados de dos ciclos de cultivo”.</w:t>
      </w:r>
      <w:r w:rsidRPr="00EF6860">
        <w:rPr>
          <w:rFonts w:cs="Arial"/>
          <w:lang w:val="es-ES"/>
        </w:rPr>
        <w:t xml:space="preserve"> </w:t>
      </w:r>
      <w:r w:rsidRPr="00EF6860">
        <w:rPr>
          <w:rFonts w:cs="Arial"/>
          <w:lang w:val="es-ES_tradnl"/>
        </w:rPr>
        <w:t>En este método siempre se combinaban las plantas fuera de tipo de dos ciclos de cultivo.</w:t>
      </w:r>
      <w:r w:rsidRPr="00EF6860">
        <w:rPr>
          <w:rFonts w:cs="Arial"/>
          <w:lang w:val="es-ES"/>
        </w:rPr>
        <w:t xml:space="preserve">  </w:t>
      </w:r>
      <w:r w:rsidRPr="00EF6860">
        <w:rPr>
          <w:rFonts w:cs="Arial"/>
          <w:lang w:val="es-ES_tradnl"/>
        </w:rPr>
        <w:t>En la presentación se compararon los tres métodos y se ilustró, en particular, cómo pueden calcularse los diferentes riesgos pertinentes para el procedimiento de examen.</w:t>
      </w:r>
      <w:r w:rsidRPr="00EF6860">
        <w:rPr>
          <w:rFonts w:cs="Arial"/>
          <w:lang w:val="es-ES"/>
        </w:rPr>
        <w:t xml:space="preserve"> </w:t>
      </w:r>
      <w:r w:rsidRPr="00EF6860">
        <w:rPr>
          <w:rFonts w:cs="Arial"/>
          <w:lang w:val="es-ES_tradnl"/>
        </w:rPr>
        <w:t>La orientación sobre las plantas fuera de tipo podría ampliarse para incluir estos factores al determinar la elección de método.</w:t>
      </w:r>
    </w:p>
    <w:p w:rsidR="00EF6860" w:rsidRPr="00EF6860" w:rsidRDefault="00EF6860" w:rsidP="00EF6860">
      <w:pPr>
        <w:autoSpaceDE w:val="0"/>
        <w:autoSpaceDN w:val="0"/>
        <w:adjustRightInd w:val="0"/>
        <w:rPr>
          <w:rFonts w:cs="Arial"/>
          <w:lang w:val="es-ES"/>
        </w:rPr>
      </w:pPr>
    </w:p>
    <w:p w:rsidR="00EF6860" w:rsidRPr="00EF6860" w:rsidRDefault="00EF6860" w:rsidP="00EF6860">
      <w:pPr>
        <w:tabs>
          <w:tab w:val="left" w:pos="567"/>
        </w:tabs>
        <w:autoSpaceDE w:val="0"/>
        <w:autoSpaceDN w:val="0"/>
        <w:adjustRightInd w:val="0"/>
        <w:rPr>
          <w:rFonts w:cs="Arial"/>
          <w:lang w:val="es-ES"/>
        </w:rPr>
      </w:pPr>
      <w:r w:rsidRPr="00EF6860">
        <w:rPr>
          <w:rFonts w:cs="Arial"/>
        </w:rPr>
        <w:fldChar w:fldCharType="begin"/>
      </w:r>
      <w:r w:rsidRPr="00EF6860">
        <w:rPr>
          <w:rFonts w:cs="Arial"/>
          <w:lang w:val="es-ES"/>
        </w:rPr>
        <w:instrText xml:space="preserve"> AUTONUM  </w:instrText>
      </w:r>
      <w:r w:rsidRPr="00EF6860">
        <w:rPr>
          <w:rFonts w:cs="Arial"/>
        </w:rPr>
        <w:fldChar w:fldCharType="end"/>
      </w:r>
      <w:r w:rsidRPr="00EF6860">
        <w:rPr>
          <w:rFonts w:cs="Arial"/>
          <w:lang w:val="es-ES"/>
        </w:rPr>
        <w:tab/>
      </w:r>
      <w:r w:rsidRPr="00EF6860">
        <w:rPr>
          <w:rFonts w:cs="Arial"/>
          <w:lang w:val="es-ES_tradnl"/>
        </w:rPr>
        <w:t>El TWC examinó la información sobre los nuevos métodos propuestos por expertos de Dinamarca y de Polonia para los caracteres evaluados mediante observación visual (documento TWC/33/26).</w:t>
      </w:r>
      <w:r w:rsidRPr="00EF6860">
        <w:rPr>
          <w:rFonts w:cs="Arial"/>
          <w:lang w:val="es-ES"/>
        </w:rPr>
        <w:t xml:space="preserve"> </w:t>
      </w:r>
      <w:r w:rsidRPr="00EF6860">
        <w:rPr>
          <w:rFonts w:cs="Arial"/>
          <w:lang w:val="es-ES_tradnl"/>
        </w:rPr>
        <w:t>Expertos de China y de Finlandia presentaron ponencias sobre la evaluación de la distinción de caracteres evaluados mediante observación visual, la segunda utilizando los métodos nuevos.</w:t>
      </w:r>
      <w:r w:rsidRPr="00EF6860">
        <w:rPr>
          <w:rFonts w:cs="Arial"/>
          <w:lang w:val="es-ES"/>
        </w:rPr>
        <w:t xml:space="preserve"> </w:t>
      </w:r>
      <w:r w:rsidRPr="00EF6860">
        <w:rPr>
          <w:rFonts w:cs="Arial"/>
          <w:lang w:val="es-ES_tradnl"/>
        </w:rPr>
        <w:t>Un experto de Francia se ofreció a investigar el desarrollo de un programa informático para el nuevo método, con el apoyo de expertos de Finlandia y del Reino Unido.</w:t>
      </w:r>
      <w:r w:rsidRPr="00EF6860">
        <w:rPr>
          <w:rFonts w:cs="Arial"/>
          <w:lang w:val="es-ES"/>
        </w:rPr>
        <w:t xml:space="preserve"> </w:t>
      </w:r>
      <w:r w:rsidRPr="00EF6860">
        <w:rPr>
          <w:rFonts w:cs="Arial"/>
          <w:lang w:val="es-ES_tradnl"/>
        </w:rPr>
        <w:t>El TWC acordó que debía darse a los nuevos métodos nombres que evitaran su confusión con el COYD.</w:t>
      </w:r>
    </w:p>
    <w:p w:rsidR="00EF6860" w:rsidRPr="00EF6860" w:rsidRDefault="00EF6860" w:rsidP="00EF6860">
      <w:pPr>
        <w:autoSpaceDE w:val="0"/>
        <w:autoSpaceDN w:val="0"/>
        <w:adjustRightInd w:val="0"/>
        <w:rPr>
          <w:rFonts w:cs="Arial"/>
          <w:lang w:val="es-ES"/>
        </w:rPr>
      </w:pPr>
    </w:p>
    <w:p w:rsidR="00EF6860" w:rsidRPr="00EF6860" w:rsidRDefault="00EF6860" w:rsidP="00EF6860">
      <w:pPr>
        <w:tabs>
          <w:tab w:val="left" w:pos="567"/>
        </w:tabs>
        <w:autoSpaceDE w:val="0"/>
        <w:autoSpaceDN w:val="0"/>
        <w:adjustRightInd w:val="0"/>
        <w:rPr>
          <w:rFonts w:cs="Arial"/>
          <w:lang w:val="es-ES"/>
        </w:rPr>
      </w:pPr>
      <w:r w:rsidRPr="00EF6860">
        <w:rPr>
          <w:rFonts w:cs="Arial"/>
        </w:rPr>
        <w:fldChar w:fldCharType="begin"/>
      </w:r>
      <w:r w:rsidRPr="00EF6860">
        <w:rPr>
          <w:rFonts w:cs="Arial"/>
          <w:lang w:val="es-ES"/>
        </w:rPr>
        <w:instrText xml:space="preserve"> AUTONUM  </w:instrText>
      </w:r>
      <w:r w:rsidRPr="00EF6860">
        <w:rPr>
          <w:rFonts w:cs="Arial"/>
        </w:rPr>
        <w:fldChar w:fldCharType="end"/>
      </w:r>
      <w:r w:rsidRPr="00EF6860">
        <w:rPr>
          <w:rFonts w:cs="Arial"/>
          <w:lang w:val="es-ES"/>
        </w:rPr>
        <w:tab/>
      </w:r>
      <w:r w:rsidRPr="00EF6860">
        <w:rPr>
          <w:rFonts w:cs="Arial"/>
          <w:lang w:val="es-ES_tradnl"/>
        </w:rPr>
        <w:t>Un experto del Reino Unido presentó una ponencia titulada “Umbrales calculados para excluir las variedades notoriamente conocidas del segundo ciclo de cultivo cuando se emplea el COYD” (do</w:t>
      </w:r>
      <w:r w:rsidR="00357402">
        <w:rPr>
          <w:rFonts w:cs="Arial"/>
          <w:lang w:val="es-ES_tradnl"/>
        </w:rPr>
        <w:t>cumento </w:t>
      </w:r>
      <w:r w:rsidRPr="00EF6860">
        <w:rPr>
          <w:rFonts w:cs="Arial"/>
          <w:lang w:val="es-ES_tradnl"/>
        </w:rPr>
        <w:t>TWC/33/20).</w:t>
      </w:r>
      <w:r w:rsidRPr="00EF6860">
        <w:rPr>
          <w:rFonts w:cs="Arial"/>
          <w:lang w:val="es-ES"/>
        </w:rPr>
        <w:t xml:space="preserve"> </w:t>
      </w:r>
      <w:r w:rsidRPr="00EF6860">
        <w:rPr>
          <w:rFonts w:cs="Arial"/>
          <w:lang w:val="es-ES_tradnl"/>
        </w:rPr>
        <w:t>Esta metodología propuesta podría ser adecuada para los caracteres cuantitativos y era una mejora de un método descrito previamente, ya que tenía en cuenta la variabilidad interanual en el criterio COYD.</w:t>
      </w:r>
      <w:r w:rsidRPr="00EF6860">
        <w:rPr>
          <w:rFonts w:cs="Arial"/>
          <w:lang w:val="es-ES"/>
        </w:rPr>
        <w:t xml:space="preserve"> </w:t>
      </w:r>
      <w:r w:rsidRPr="00EF6860">
        <w:rPr>
          <w:rFonts w:cs="Arial"/>
          <w:lang w:val="es-ES_tradnl"/>
        </w:rPr>
        <w:t>El método se ilustró con un gran conjunto de datos sobre el guisante.</w:t>
      </w:r>
      <w:r w:rsidRPr="00EF6860">
        <w:rPr>
          <w:rFonts w:cs="Arial"/>
          <w:lang w:val="es-ES"/>
        </w:rPr>
        <w:t xml:space="preserve"> </w:t>
      </w:r>
      <w:r w:rsidRPr="00EF6860">
        <w:rPr>
          <w:rFonts w:cs="Arial"/>
          <w:lang w:val="es-ES_tradnl"/>
        </w:rPr>
        <w:t>El experto pidió más conjuntos de datos que pudieran usarse como ejemplos para realizar más pruebas de los métodos.</w:t>
      </w:r>
    </w:p>
    <w:p w:rsidR="00EF6860" w:rsidRPr="00EF6860" w:rsidRDefault="00EF6860" w:rsidP="00EF6860">
      <w:pPr>
        <w:autoSpaceDE w:val="0"/>
        <w:autoSpaceDN w:val="0"/>
        <w:adjustRightInd w:val="0"/>
        <w:rPr>
          <w:rFonts w:cs="Arial"/>
          <w:lang w:val="es-ES"/>
        </w:rPr>
      </w:pPr>
    </w:p>
    <w:p w:rsidR="00EF6860" w:rsidRPr="00EF6860" w:rsidRDefault="00EF6860" w:rsidP="00EF6860">
      <w:pPr>
        <w:tabs>
          <w:tab w:val="left" w:pos="567"/>
        </w:tabs>
        <w:autoSpaceDE w:val="0"/>
        <w:autoSpaceDN w:val="0"/>
        <w:adjustRightInd w:val="0"/>
        <w:rPr>
          <w:rFonts w:cs="Arial"/>
          <w:lang w:val="es-ES"/>
        </w:rPr>
      </w:pPr>
      <w:r w:rsidRPr="00EF6860">
        <w:rPr>
          <w:rFonts w:cs="Arial"/>
        </w:rPr>
        <w:fldChar w:fldCharType="begin"/>
      </w:r>
      <w:r w:rsidRPr="00EF6860">
        <w:rPr>
          <w:rFonts w:cs="Arial"/>
          <w:lang w:val="es-ES"/>
        </w:rPr>
        <w:instrText xml:space="preserve"> AUTONUM  </w:instrText>
      </w:r>
      <w:r w:rsidRPr="00EF6860">
        <w:rPr>
          <w:rFonts w:cs="Arial"/>
        </w:rPr>
        <w:fldChar w:fldCharType="end"/>
      </w:r>
      <w:r w:rsidRPr="00EF6860">
        <w:rPr>
          <w:rFonts w:cs="Arial"/>
          <w:lang w:val="es-ES"/>
        </w:rPr>
        <w:tab/>
      </w:r>
      <w:r w:rsidRPr="00EF6860">
        <w:rPr>
          <w:rFonts w:cs="Arial"/>
          <w:lang w:val="es-ES_tradnl"/>
        </w:rPr>
        <w:t>Expertos de China presentaron ponencias sobre programas informáticos utilizados en su país:</w:t>
      </w:r>
      <w:r w:rsidRPr="00EF6860">
        <w:rPr>
          <w:rFonts w:cs="Arial"/>
          <w:lang w:val="es-ES"/>
        </w:rPr>
        <w:t xml:space="preserve"> </w:t>
      </w:r>
      <w:r w:rsidRPr="00EF6860">
        <w:rPr>
          <w:rFonts w:cs="Arial"/>
          <w:lang w:val="es-ES_tradnl"/>
        </w:rPr>
        <w:t>el Sistema de gestión de solicitudes (AMS) y la Base de datos de descripciones de variedades (VDD) en China (documento TWC/33/33), el programa DUSTC para el examen DHE y el sistema de análisis de imágenes para la protección de las obtenciones vegetales (documento TWC/33/28).</w:t>
      </w:r>
      <w:r w:rsidRPr="00EF6860">
        <w:rPr>
          <w:rFonts w:cs="Arial"/>
          <w:lang w:val="es-ES"/>
        </w:rPr>
        <w:t xml:space="preserve"> </w:t>
      </w:r>
      <w:r w:rsidRPr="00EF6860">
        <w:rPr>
          <w:rFonts w:cs="Arial"/>
          <w:lang w:val="es-ES_tradnl"/>
        </w:rPr>
        <w:t>Expertos de Alemania y Francia presentaron una comparación de programas informáticos para sistemas portátiles de registro de datos (documento TWC/33/24).</w:t>
      </w:r>
      <w:r w:rsidRPr="00EF6860">
        <w:rPr>
          <w:rFonts w:cs="Arial"/>
          <w:lang w:val="es-ES"/>
        </w:rPr>
        <w:t xml:space="preserve"> </w:t>
      </w:r>
      <w:r w:rsidRPr="00EF6860">
        <w:rPr>
          <w:rFonts w:cs="Arial"/>
          <w:lang w:val="es-ES_tradnl"/>
        </w:rPr>
        <w:t>Un experto del Brasil presentó una descripción del uso del sistema GAIA para la soja en su país.</w:t>
      </w:r>
    </w:p>
    <w:p w:rsidR="00EF6860" w:rsidRPr="00EF6860" w:rsidRDefault="00EF6860" w:rsidP="00EF6860">
      <w:pPr>
        <w:tabs>
          <w:tab w:val="left" w:pos="567"/>
        </w:tabs>
        <w:autoSpaceDE w:val="0"/>
        <w:autoSpaceDN w:val="0"/>
        <w:adjustRightInd w:val="0"/>
        <w:rPr>
          <w:rFonts w:cs="Arial"/>
          <w:lang w:val="es-ES"/>
        </w:rPr>
      </w:pPr>
      <w:r w:rsidRPr="00EF6860">
        <w:rPr>
          <w:rFonts w:cs="Arial"/>
        </w:rPr>
        <w:fldChar w:fldCharType="begin"/>
      </w:r>
      <w:r w:rsidRPr="00EF6860">
        <w:rPr>
          <w:rFonts w:cs="Arial"/>
          <w:lang w:val="es-ES"/>
        </w:rPr>
        <w:instrText xml:space="preserve"> AUTONUM  </w:instrText>
      </w:r>
      <w:r w:rsidRPr="00EF6860">
        <w:rPr>
          <w:rFonts w:cs="Arial"/>
        </w:rPr>
        <w:fldChar w:fldCharType="end"/>
      </w:r>
      <w:r w:rsidRPr="00EF6860">
        <w:rPr>
          <w:rFonts w:cs="Arial"/>
          <w:lang w:val="es-ES"/>
        </w:rPr>
        <w:tab/>
      </w:r>
      <w:r w:rsidRPr="00EF6860">
        <w:rPr>
          <w:rFonts w:cs="Arial"/>
          <w:lang w:val="es-ES_tradnl"/>
        </w:rPr>
        <w:t>Por invitación de China, el TWC acordó celebrar su trigésima cuarta</w:t>
      </w:r>
      <w:r w:rsidR="00357402">
        <w:rPr>
          <w:rFonts w:cs="Arial"/>
          <w:lang w:val="es-ES_tradnl"/>
        </w:rPr>
        <w:t xml:space="preserve"> sesión en Shanghái (China) del 7 </w:t>
      </w:r>
      <w:r w:rsidRPr="00EF6860">
        <w:rPr>
          <w:rFonts w:cs="Arial"/>
          <w:lang w:val="es-ES_tradnl"/>
        </w:rPr>
        <w:t>al 10 de junio de 2016, y el taller preparatorio el 6 de junio de 2016.</w:t>
      </w:r>
    </w:p>
    <w:p w:rsidR="00EF6860" w:rsidRPr="00EF6860" w:rsidRDefault="00EF6860" w:rsidP="00EF6860">
      <w:pPr>
        <w:autoSpaceDE w:val="0"/>
        <w:autoSpaceDN w:val="0"/>
        <w:adjustRightInd w:val="0"/>
        <w:rPr>
          <w:rFonts w:cs="Arial"/>
          <w:lang w:val="es-ES"/>
        </w:rPr>
      </w:pPr>
    </w:p>
    <w:p w:rsidR="00EF6860" w:rsidRPr="00EF6860" w:rsidRDefault="00EF6860" w:rsidP="00EF6860">
      <w:pPr>
        <w:tabs>
          <w:tab w:val="left" w:pos="567"/>
        </w:tabs>
        <w:autoSpaceDE w:val="0"/>
        <w:autoSpaceDN w:val="0"/>
        <w:adjustRightInd w:val="0"/>
        <w:rPr>
          <w:rFonts w:cs="Arial"/>
          <w:lang w:val="es-ES"/>
        </w:rPr>
      </w:pPr>
      <w:r w:rsidRPr="00EF6860">
        <w:rPr>
          <w:rFonts w:cs="Arial"/>
        </w:rPr>
        <w:fldChar w:fldCharType="begin"/>
      </w:r>
      <w:r w:rsidRPr="00EF6860">
        <w:rPr>
          <w:rFonts w:cs="Arial"/>
          <w:lang w:val="es-ES"/>
        </w:rPr>
        <w:instrText xml:space="preserve"> AUTONUM  </w:instrText>
      </w:r>
      <w:r w:rsidRPr="00EF6860">
        <w:rPr>
          <w:rFonts w:cs="Arial"/>
        </w:rPr>
        <w:fldChar w:fldCharType="end"/>
      </w:r>
      <w:r w:rsidRPr="00EF6860">
        <w:rPr>
          <w:rFonts w:cs="Arial"/>
          <w:lang w:val="es-ES"/>
        </w:rPr>
        <w:tab/>
      </w:r>
      <w:r w:rsidRPr="00EF6860">
        <w:rPr>
          <w:rFonts w:cs="Arial"/>
          <w:lang w:val="es-ES_tradnl"/>
        </w:rPr>
        <w:t>El TWC tiene previsto examinar los siguientes puntos en su trigésima cuarta reunión:</w:t>
      </w:r>
    </w:p>
    <w:p w:rsidR="00EF6860" w:rsidRPr="00EF6860" w:rsidRDefault="00EF6860" w:rsidP="00EF6860">
      <w:pPr>
        <w:tabs>
          <w:tab w:val="left" w:pos="567"/>
        </w:tabs>
        <w:autoSpaceDE w:val="0"/>
        <w:autoSpaceDN w:val="0"/>
        <w:adjustRightInd w:val="0"/>
        <w:rPr>
          <w:rFonts w:cs="Arial"/>
          <w:lang w:val="es-ES"/>
        </w:rPr>
      </w:pPr>
    </w:p>
    <w:p w:rsidR="00EF6860" w:rsidRPr="00EF6860" w:rsidRDefault="00EF6860" w:rsidP="00EF6860">
      <w:pPr>
        <w:tabs>
          <w:tab w:val="left" w:pos="1134"/>
          <w:tab w:val="left" w:pos="1701"/>
        </w:tabs>
        <w:autoSpaceDE w:val="0"/>
        <w:autoSpaceDN w:val="0"/>
        <w:adjustRightInd w:val="0"/>
        <w:ind w:left="1134" w:hanging="567"/>
        <w:rPr>
          <w:rFonts w:cs="Arial"/>
          <w:lang w:val="es-ES"/>
        </w:rPr>
      </w:pPr>
      <w:r w:rsidRPr="00EF6860">
        <w:rPr>
          <w:rFonts w:cs="Arial"/>
          <w:lang w:val="es-ES"/>
        </w:rPr>
        <w:t>1.</w:t>
      </w:r>
      <w:r w:rsidRPr="00EF6860">
        <w:rPr>
          <w:rFonts w:cs="Arial"/>
          <w:lang w:val="es-ES"/>
        </w:rPr>
        <w:tab/>
      </w:r>
      <w:r w:rsidRPr="00EF6860">
        <w:rPr>
          <w:rFonts w:cs="Arial"/>
          <w:lang w:val="es-ES_tradnl"/>
        </w:rPr>
        <w:t>Apertura de la sesión</w:t>
      </w:r>
    </w:p>
    <w:p w:rsidR="00EF6860" w:rsidRPr="00EF6860" w:rsidRDefault="00357402" w:rsidP="00EF6860">
      <w:pPr>
        <w:tabs>
          <w:tab w:val="left" w:pos="1134"/>
          <w:tab w:val="left" w:pos="1701"/>
        </w:tabs>
        <w:autoSpaceDE w:val="0"/>
        <w:autoSpaceDN w:val="0"/>
        <w:adjustRightInd w:val="0"/>
        <w:ind w:left="1134" w:hanging="567"/>
        <w:rPr>
          <w:rFonts w:cs="Arial"/>
          <w:lang w:val="es-ES"/>
        </w:rPr>
      </w:pPr>
      <w:r>
        <w:rPr>
          <w:rFonts w:cs="Arial"/>
          <w:lang w:val="es-ES"/>
        </w:rPr>
        <w:t>2.</w:t>
      </w:r>
      <w:r w:rsidR="00EF6860" w:rsidRPr="00EF6860">
        <w:rPr>
          <w:rFonts w:cs="Arial"/>
          <w:lang w:val="es-ES"/>
        </w:rPr>
        <w:tab/>
      </w:r>
      <w:r w:rsidR="00EF6860" w:rsidRPr="00EF6860">
        <w:rPr>
          <w:rFonts w:cs="Arial"/>
          <w:lang w:val="es-ES_tradnl"/>
        </w:rPr>
        <w:t>Aprobación del orden del día</w:t>
      </w:r>
    </w:p>
    <w:p w:rsidR="00EF6860" w:rsidRPr="00EF6860" w:rsidRDefault="00357402" w:rsidP="00EF6860">
      <w:pPr>
        <w:tabs>
          <w:tab w:val="left" w:pos="1134"/>
          <w:tab w:val="left" w:pos="1701"/>
        </w:tabs>
        <w:autoSpaceDE w:val="0"/>
        <w:autoSpaceDN w:val="0"/>
        <w:adjustRightInd w:val="0"/>
        <w:ind w:left="1134" w:hanging="567"/>
        <w:rPr>
          <w:rFonts w:cs="Arial"/>
          <w:lang w:val="es-ES"/>
        </w:rPr>
      </w:pPr>
      <w:r>
        <w:rPr>
          <w:rFonts w:cs="Arial"/>
          <w:lang w:val="es-ES"/>
        </w:rPr>
        <w:t>3.</w:t>
      </w:r>
      <w:r w:rsidR="00EF6860" w:rsidRPr="00EF6860">
        <w:rPr>
          <w:rFonts w:cs="Arial"/>
          <w:lang w:val="es-ES"/>
        </w:rPr>
        <w:tab/>
      </w:r>
      <w:r w:rsidR="00EF6860" w:rsidRPr="00EF6860">
        <w:rPr>
          <w:rFonts w:cs="Arial"/>
          <w:lang w:val="es-ES_tradnl"/>
        </w:rPr>
        <w:t>Breves informes sobre los avances logrados en la protección de las variedades vegetales:</w:t>
      </w:r>
    </w:p>
    <w:p w:rsidR="00EF6860" w:rsidRPr="00EF6860" w:rsidRDefault="00EF6860" w:rsidP="00EF6860">
      <w:pPr>
        <w:numPr>
          <w:ilvl w:val="1"/>
          <w:numId w:val="1"/>
        </w:numPr>
        <w:tabs>
          <w:tab w:val="left" w:pos="1134"/>
          <w:tab w:val="left" w:pos="1701"/>
        </w:tabs>
        <w:autoSpaceDE w:val="0"/>
        <w:autoSpaceDN w:val="0"/>
        <w:adjustRightInd w:val="0"/>
        <w:ind w:left="1134" w:firstLine="0"/>
        <w:contextualSpacing/>
        <w:jc w:val="left"/>
        <w:rPr>
          <w:rFonts w:cs="Arial"/>
          <w:lang w:val="es-ES" w:eastAsia="fr-FR"/>
        </w:rPr>
      </w:pPr>
      <w:r w:rsidRPr="00EF6860">
        <w:rPr>
          <w:rFonts w:cs="Arial"/>
          <w:lang w:val="es-ES_tradnl" w:eastAsia="fr-FR"/>
        </w:rPr>
        <w:t>Informes de los miembros y observadores</w:t>
      </w:r>
      <w:r w:rsidRPr="00EF6860">
        <w:rPr>
          <w:rFonts w:cs="Arial"/>
          <w:lang w:val="es-ES" w:eastAsia="fr-FR"/>
        </w:rPr>
        <w:t xml:space="preserve"> </w:t>
      </w:r>
    </w:p>
    <w:p w:rsidR="00EF6860" w:rsidRPr="00EF6860" w:rsidRDefault="00EF6860" w:rsidP="00EF6860">
      <w:pPr>
        <w:numPr>
          <w:ilvl w:val="1"/>
          <w:numId w:val="1"/>
        </w:numPr>
        <w:tabs>
          <w:tab w:val="left" w:pos="1134"/>
          <w:tab w:val="left" w:pos="1701"/>
        </w:tabs>
        <w:autoSpaceDE w:val="0"/>
        <w:autoSpaceDN w:val="0"/>
        <w:adjustRightInd w:val="0"/>
        <w:ind w:left="1134" w:firstLine="0"/>
        <w:contextualSpacing/>
        <w:jc w:val="left"/>
        <w:rPr>
          <w:rFonts w:cs="Arial"/>
          <w:lang w:val="es-ES" w:eastAsia="fr-FR"/>
        </w:rPr>
      </w:pPr>
      <w:r w:rsidRPr="00EF6860">
        <w:rPr>
          <w:rFonts w:cs="Arial"/>
          <w:lang w:val="es-ES_tradnl" w:eastAsia="fr-FR"/>
        </w:rPr>
        <w:t>Informes sobre los avances logrados en la UPOV</w:t>
      </w:r>
      <w:r w:rsidRPr="00EF6860">
        <w:rPr>
          <w:rFonts w:cs="Arial"/>
          <w:lang w:val="es-ES" w:eastAsia="fr-FR"/>
        </w:rPr>
        <w:t xml:space="preserve"> </w:t>
      </w:r>
    </w:p>
    <w:p w:rsidR="00EF6860" w:rsidRPr="00EF6860" w:rsidRDefault="00357402" w:rsidP="00EF6860">
      <w:pPr>
        <w:tabs>
          <w:tab w:val="left" w:pos="1134"/>
          <w:tab w:val="left" w:pos="1701"/>
        </w:tabs>
        <w:autoSpaceDE w:val="0"/>
        <w:autoSpaceDN w:val="0"/>
        <w:adjustRightInd w:val="0"/>
        <w:ind w:left="1134" w:hanging="567"/>
        <w:rPr>
          <w:rFonts w:cs="Arial"/>
          <w:lang w:val="es-ES"/>
        </w:rPr>
      </w:pPr>
      <w:r>
        <w:rPr>
          <w:rFonts w:cs="Arial"/>
          <w:lang w:val="es-ES"/>
        </w:rPr>
        <w:t>4.</w:t>
      </w:r>
      <w:r w:rsidR="00EF6860" w:rsidRPr="00EF6860">
        <w:rPr>
          <w:rFonts w:cs="Arial"/>
          <w:lang w:val="es-ES"/>
        </w:rPr>
        <w:tab/>
      </w:r>
      <w:r w:rsidR="00EF6860" w:rsidRPr="00EF6860">
        <w:rPr>
          <w:rFonts w:cs="Arial"/>
          <w:lang w:val="es-ES_tradnl"/>
        </w:rPr>
        <w:t>Técnicas moleculares</w:t>
      </w:r>
    </w:p>
    <w:p w:rsidR="00EF6860" w:rsidRPr="00EF6860" w:rsidRDefault="00357402" w:rsidP="00EF6860">
      <w:pPr>
        <w:tabs>
          <w:tab w:val="left" w:pos="1134"/>
          <w:tab w:val="left" w:pos="1701"/>
        </w:tabs>
        <w:autoSpaceDE w:val="0"/>
        <w:autoSpaceDN w:val="0"/>
        <w:adjustRightInd w:val="0"/>
        <w:ind w:left="1134" w:hanging="567"/>
        <w:rPr>
          <w:rFonts w:cs="Arial"/>
          <w:lang w:val="es-ES"/>
        </w:rPr>
      </w:pPr>
      <w:r>
        <w:rPr>
          <w:rFonts w:cs="Arial"/>
          <w:lang w:val="es-ES"/>
        </w:rPr>
        <w:t>5.</w:t>
      </w:r>
      <w:r w:rsidR="00EF6860" w:rsidRPr="00EF6860">
        <w:rPr>
          <w:rFonts w:cs="Arial"/>
          <w:lang w:val="es-ES"/>
        </w:rPr>
        <w:tab/>
      </w:r>
      <w:r w:rsidR="00EF6860" w:rsidRPr="00EF6860">
        <w:rPr>
          <w:rFonts w:cs="Arial"/>
          <w:lang w:val="es-ES_tradnl"/>
        </w:rPr>
        <w:t>Documentos TGP</w:t>
      </w:r>
      <w:r w:rsidR="00EF6860" w:rsidRPr="00EF6860">
        <w:rPr>
          <w:rFonts w:cs="Arial"/>
          <w:lang w:val="es-ES"/>
        </w:rPr>
        <w:t xml:space="preserve"> </w:t>
      </w:r>
    </w:p>
    <w:p w:rsidR="00EF6860" w:rsidRPr="00EF6860" w:rsidRDefault="00357402" w:rsidP="00EF6860">
      <w:pPr>
        <w:tabs>
          <w:tab w:val="left" w:pos="1134"/>
          <w:tab w:val="left" w:pos="1701"/>
        </w:tabs>
        <w:autoSpaceDE w:val="0"/>
        <w:autoSpaceDN w:val="0"/>
        <w:adjustRightInd w:val="0"/>
        <w:ind w:left="1134" w:hanging="567"/>
        <w:rPr>
          <w:rFonts w:cs="Arial"/>
          <w:lang w:val="es-ES"/>
        </w:rPr>
      </w:pPr>
      <w:r>
        <w:rPr>
          <w:rFonts w:cs="Arial"/>
          <w:lang w:val="es-ES"/>
        </w:rPr>
        <w:t>6.</w:t>
      </w:r>
      <w:r w:rsidR="00EF6860" w:rsidRPr="00EF6860">
        <w:rPr>
          <w:rFonts w:cs="Arial"/>
          <w:lang w:val="es-ES"/>
        </w:rPr>
        <w:tab/>
      </w:r>
      <w:r w:rsidR="00EF6860" w:rsidRPr="00EF6860">
        <w:rPr>
          <w:rFonts w:cs="Arial"/>
          <w:lang w:val="es-ES_tradnl"/>
        </w:rPr>
        <w:t>Información y bases de datos</w:t>
      </w:r>
    </w:p>
    <w:p w:rsidR="00EF6860" w:rsidRPr="00EF6860" w:rsidRDefault="00EF6860" w:rsidP="00EF6860">
      <w:pPr>
        <w:numPr>
          <w:ilvl w:val="0"/>
          <w:numId w:val="5"/>
        </w:numPr>
        <w:tabs>
          <w:tab w:val="left" w:pos="1134"/>
          <w:tab w:val="left" w:pos="1701"/>
        </w:tabs>
        <w:autoSpaceDE w:val="0"/>
        <w:autoSpaceDN w:val="0"/>
        <w:adjustRightInd w:val="0"/>
        <w:ind w:firstLine="54"/>
        <w:contextualSpacing/>
        <w:jc w:val="left"/>
        <w:rPr>
          <w:rFonts w:cs="Arial"/>
          <w:lang w:val="es-ES" w:eastAsia="fr-FR"/>
        </w:rPr>
      </w:pPr>
      <w:r w:rsidRPr="00EF6860">
        <w:rPr>
          <w:rFonts w:cs="Arial"/>
          <w:lang w:val="es-ES_tradnl" w:eastAsia="fr-FR"/>
        </w:rPr>
        <w:t>Bases de datos de información de la UPOV</w:t>
      </w:r>
      <w:r w:rsidRPr="00EF6860">
        <w:rPr>
          <w:rFonts w:cs="Arial"/>
          <w:lang w:val="es-ES" w:eastAsia="fr-FR"/>
        </w:rPr>
        <w:t xml:space="preserve"> </w:t>
      </w:r>
    </w:p>
    <w:p w:rsidR="00EF6860" w:rsidRPr="00EF6860" w:rsidRDefault="00EF6860" w:rsidP="00EF6860">
      <w:pPr>
        <w:numPr>
          <w:ilvl w:val="0"/>
          <w:numId w:val="5"/>
        </w:numPr>
        <w:tabs>
          <w:tab w:val="left" w:pos="1134"/>
          <w:tab w:val="left" w:pos="1701"/>
        </w:tabs>
        <w:autoSpaceDE w:val="0"/>
        <w:autoSpaceDN w:val="0"/>
        <w:adjustRightInd w:val="0"/>
        <w:ind w:firstLine="54"/>
        <w:contextualSpacing/>
        <w:jc w:val="left"/>
        <w:rPr>
          <w:rFonts w:cs="Arial"/>
          <w:lang w:val="es-ES" w:eastAsia="fr-FR"/>
        </w:rPr>
      </w:pPr>
      <w:r w:rsidRPr="00EF6860">
        <w:rPr>
          <w:rFonts w:cs="Arial"/>
          <w:lang w:val="es-ES_tradnl" w:eastAsia="fr-FR"/>
        </w:rPr>
        <w:t>Bases de datos de descripciones de variedades</w:t>
      </w:r>
      <w:r w:rsidRPr="00EF6860">
        <w:rPr>
          <w:rFonts w:cs="Arial"/>
          <w:lang w:val="es-ES" w:eastAsia="fr-FR"/>
        </w:rPr>
        <w:t xml:space="preserve"> </w:t>
      </w:r>
    </w:p>
    <w:p w:rsidR="00EF6860" w:rsidRPr="00EF6860" w:rsidRDefault="00EF6860" w:rsidP="00EF6860">
      <w:pPr>
        <w:numPr>
          <w:ilvl w:val="0"/>
          <w:numId w:val="5"/>
        </w:numPr>
        <w:tabs>
          <w:tab w:val="left" w:pos="1134"/>
          <w:tab w:val="left" w:pos="1701"/>
        </w:tabs>
        <w:autoSpaceDE w:val="0"/>
        <w:autoSpaceDN w:val="0"/>
        <w:adjustRightInd w:val="0"/>
        <w:ind w:firstLine="54"/>
        <w:contextualSpacing/>
        <w:jc w:val="left"/>
        <w:rPr>
          <w:rFonts w:cs="Arial"/>
          <w:lang w:eastAsia="fr-FR"/>
        </w:rPr>
      </w:pPr>
      <w:r w:rsidRPr="00EF6860">
        <w:rPr>
          <w:rFonts w:cs="Arial"/>
          <w:lang w:val="es-ES_tradnl" w:eastAsia="fr-FR"/>
        </w:rPr>
        <w:t>Programas informáticos para intercambio</w:t>
      </w:r>
      <w:r w:rsidRPr="00EF6860">
        <w:rPr>
          <w:rFonts w:cs="Arial"/>
          <w:lang w:eastAsia="fr-FR"/>
        </w:rPr>
        <w:t xml:space="preserve"> </w:t>
      </w:r>
    </w:p>
    <w:p w:rsidR="00EF6860" w:rsidRPr="00EF6860" w:rsidRDefault="00EF6860" w:rsidP="00EF6860">
      <w:pPr>
        <w:numPr>
          <w:ilvl w:val="0"/>
          <w:numId w:val="5"/>
        </w:numPr>
        <w:tabs>
          <w:tab w:val="left" w:pos="1134"/>
          <w:tab w:val="left" w:pos="1701"/>
        </w:tabs>
        <w:autoSpaceDE w:val="0"/>
        <w:autoSpaceDN w:val="0"/>
        <w:adjustRightInd w:val="0"/>
        <w:ind w:firstLine="54"/>
        <w:contextualSpacing/>
        <w:jc w:val="left"/>
        <w:rPr>
          <w:rFonts w:cs="Arial"/>
          <w:lang w:val="es-ES" w:eastAsia="fr-FR"/>
        </w:rPr>
      </w:pPr>
      <w:r w:rsidRPr="00EF6860">
        <w:rPr>
          <w:rFonts w:cs="Arial"/>
          <w:lang w:val="es-ES_tradnl" w:eastAsia="fr-FR"/>
        </w:rPr>
        <w:t>Sistemas de presentación electrónica de solicitudes</w:t>
      </w:r>
      <w:r w:rsidRPr="00EF6860">
        <w:rPr>
          <w:rFonts w:cs="Arial"/>
          <w:lang w:val="es-ES" w:eastAsia="fr-FR"/>
        </w:rPr>
        <w:t xml:space="preserve"> </w:t>
      </w:r>
    </w:p>
    <w:p w:rsidR="00EF6860" w:rsidRPr="00EF6860" w:rsidRDefault="00EF6860" w:rsidP="00EF6860">
      <w:pPr>
        <w:numPr>
          <w:ilvl w:val="0"/>
          <w:numId w:val="5"/>
        </w:numPr>
        <w:tabs>
          <w:tab w:val="left" w:pos="1134"/>
          <w:tab w:val="left" w:pos="1701"/>
        </w:tabs>
        <w:autoSpaceDE w:val="0"/>
        <w:autoSpaceDN w:val="0"/>
        <w:adjustRightInd w:val="0"/>
        <w:ind w:firstLine="54"/>
        <w:contextualSpacing/>
        <w:jc w:val="left"/>
        <w:rPr>
          <w:rFonts w:cs="Arial"/>
          <w:lang w:eastAsia="fr-FR"/>
        </w:rPr>
      </w:pPr>
      <w:r w:rsidRPr="00EF6860">
        <w:rPr>
          <w:rFonts w:cs="Arial"/>
          <w:lang w:val="es-ES_tradnl" w:eastAsia="fr-FR"/>
        </w:rPr>
        <w:t>Gestión de grandes bases de datos</w:t>
      </w:r>
    </w:p>
    <w:p w:rsidR="00EF6860" w:rsidRPr="00EF6860" w:rsidRDefault="00EF6860" w:rsidP="00EF6860">
      <w:pPr>
        <w:numPr>
          <w:ilvl w:val="0"/>
          <w:numId w:val="5"/>
        </w:numPr>
        <w:tabs>
          <w:tab w:val="left" w:pos="1134"/>
          <w:tab w:val="left" w:pos="1701"/>
        </w:tabs>
        <w:autoSpaceDE w:val="0"/>
        <w:autoSpaceDN w:val="0"/>
        <w:adjustRightInd w:val="0"/>
        <w:ind w:firstLine="54"/>
        <w:contextualSpacing/>
        <w:jc w:val="left"/>
        <w:rPr>
          <w:rFonts w:cs="Arial"/>
          <w:lang w:eastAsia="fr-FR"/>
        </w:rPr>
      </w:pPr>
      <w:r w:rsidRPr="00EF6860">
        <w:rPr>
          <w:rFonts w:cs="Arial"/>
          <w:lang w:val="es-ES_tradnl" w:eastAsia="fr-FR"/>
        </w:rPr>
        <w:t>Bioinformática</w:t>
      </w:r>
    </w:p>
    <w:p w:rsidR="00EF6860" w:rsidRPr="00EF6860" w:rsidRDefault="00357402" w:rsidP="00EF6860">
      <w:pPr>
        <w:tabs>
          <w:tab w:val="left" w:pos="1134"/>
          <w:tab w:val="left" w:pos="1701"/>
        </w:tabs>
        <w:autoSpaceDE w:val="0"/>
        <w:autoSpaceDN w:val="0"/>
        <w:adjustRightInd w:val="0"/>
        <w:ind w:left="1134" w:hanging="567"/>
        <w:rPr>
          <w:rFonts w:cs="Arial"/>
        </w:rPr>
      </w:pPr>
      <w:r>
        <w:rPr>
          <w:rFonts w:cs="Arial"/>
        </w:rPr>
        <w:t>7.</w:t>
      </w:r>
      <w:r w:rsidR="00EF6860" w:rsidRPr="00EF6860">
        <w:rPr>
          <w:rFonts w:cs="Arial"/>
        </w:rPr>
        <w:tab/>
      </w:r>
      <w:r w:rsidR="00EF6860" w:rsidRPr="00EF6860">
        <w:rPr>
          <w:rFonts w:cs="Arial"/>
          <w:lang w:val="es-ES_tradnl"/>
        </w:rPr>
        <w:t>Denominaciones de variedades</w:t>
      </w:r>
      <w:r w:rsidR="00EF6860" w:rsidRPr="00EF6860">
        <w:rPr>
          <w:rFonts w:cs="Arial"/>
        </w:rPr>
        <w:t xml:space="preserve"> </w:t>
      </w:r>
    </w:p>
    <w:p w:rsidR="00EF6860" w:rsidRPr="00EF6860" w:rsidRDefault="00357402" w:rsidP="00EF6860">
      <w:pPr>
        <w:tabs>
          <w:tab w:val="left" w:pos="1134"/>
          <w:tab w:val="left" w:pos="1701"/>
        </w:tabs>
        <w:autoSpaceDE w:val="0"/>
        <w:autoSpaceDN w:val="0"/>
        <w:adjustRightInd w:val="0"/>
        <w:ind w:left="1134" w:hanging="567"/>
        <w:rPr>
          <w:rFonts w:cs="Arial"/>
          <w:lang w:val="es-ES"/>
        </w:rPr>
      </w:pPr>
      <w:r>
        <w:rPr>
          <w:rFonts w:cs="Arial"/>
          <w:lang w:val="es-ES"/>
        </w:rPr>
        <w:t>8.</w:t>
      </w:r>
      <w:r w:rsidR="00EF6860" w:rsidRPr="00EF6860">
        <w:rPr>
          <w:rFonts w:cs="Arial"/>
          <w:lang w:val="es-ES"/>
        </w:rPr>
        <w:tab/>
      </w:r>
      <w:r w:rsidR="00EF6860" w:rsidRPr="00EF6860">
        <w:rPr>
          <w:rFonts w:cs="Arial"/>
          <w:lang w:val="es-ES_tradnl"/>
        </w:rPr>
        <w:t>Experiencia con nuevos tipos y especies</w:t>
      </w:r>
      <w:r w:rsidR="00EF6860" w:rsidRPr="00EF6860">
        <w:rPr>
          <w:rFonts w:cs="Arial"/>
          <w:lang w:val="es-ES"/>
        </w:rPr>
        <w:t xml:space="preserve"> </w:t>
      </w:r>
    </w:p>
    <w:p w:rsidR="00EF6860" w:rsidRPr="00EF6860" w:rsidRDefault="00357402" w:rsidP="00EF6860">
      <w:pPr>
        <w:tabs>
          <w:tab w:val="left" w:pos="1134"/>
          <w:tab w:val="left" w:pos="1701"/>
        </w:tabs>
        <w:autoSpaceDE w:val="0"/>
        <w:autoSpaceDN w:val="0"/>
        <w:adjustRightInd w:val="0"/>
        <w:ind w:left="1134" w:hanging="567"/>
        <w:rPr>
          <w:rFonts w:cs="Arial"/>
          <w:lang w:val="es-ES"/>
        </w:rPr>
      </w:pPr>
      <w:r>
        <w:rPr>
          <w:rFonts w:cs="Arial"/>
          <w:lang w:val="es-ES"/>
        </w:rPr>
        <w:t>9.</w:t>
      </w:r>
      <w:r w:rsidR="00EF6860" w:rsidRPr="00EF6860">
        <w:rPr>
          <w:rFonts w:cs="Arial"/>
          <w:lang w:val="es-ES"/>
        </w:rPr>
        <w:tab/>
      </w:r>
      <w:r w:rsidR="00EF6860" w:rsidRPr="00EF6860">
        <w:rPr>
          <w:rFonts w:cs="Arial"/>
          <w:lang w:val="es-ES_tradnl"/>
        </w:rPr>
        <w:t>Evaluación de la homogeneidad mediante plantas fuera de tipo</w:t>
      </w:r>
    </w:p>
    <w:p w:rsidR="00EF6860" w:rsidRPr="00EF6860" w:rsidRDefault="00EF6860" w:rsidP="00EF6860">
      <w:pPr>
        <w:numPr>
          <w:ilvl w:val="0"/>
          <w:numId w:val="6"/>
        </w:numPr>
        <w:tabs>
          <w:tab w:val="left" w:pos="1701"/>
        </w:tabs>
        <w:autoSpaceDE w:val="0"/>
        <w:autoSpaceDN w:val="0"/>
        <w:adjustRightInd w:val="0"/>
        <w:ind w:left="1701" w:hanging="567"/>
        <w:contextualSpacing/>
        <w:rPr>
          <w:rFonts w:cs="Arial"/>
          <w:lang w:val="es-ES" w:eastAsia="fr-FR"/>
        </w:rPr>
      </w:pPr>
      <w:r w:rsidRPr="00EF6860">
        <w:rPr>
          <w:rFonts w:cs="Arial"/>
          <w:lang w:val="es-ES_tradnl" w:eastAsia="fr-FR"/>
        </w:rPr>
        <w:t>Evaluación de la homogeneidad mediante plantas fuera de tipo</w:t>
      </w:r>
      <w:r w:rsidRPr="00EF6860">
        <w:rPr>
          <w:rFonts w:cs="Arial"/>
          <w:lang w:val="es-ES" w:eastAsia="fr-FR"/>
        </w:rPr>
        <w:t xml:space="preserve"> </w:t>
      </w:r>
    </w:p>
    <w:p w:rsidR="00EF6860" w:rsidRPr="00EF6860" w:rsidRDefault="00EF6860" w:rsidP="00EF6860">
      <w:pPr>
        <w:numPr>
          <w:ilvl w:val="0"/>
          <w:numId w:val="6"/>
        </w:numPr>
        <w:tabs>
          <w:tab w:val="left" w:pos="1701"/>
        </w:tabs>
        <w:autoSpaceDE w:val="0"/>
        <w:autoSpaceDN w:val="0"/>
        <w:adjustRightInd w:val="0"/>
        <w:ind w:left="1701" w:hanging="567"/>
        <w:contextualSpacing/>
        <w:rPr>
          <w:rFonts w:cs="Arial"/>
          <w:lang w:val="es-ES" w:eastAsia="fr-FR"/>
        </w:rPr>
      </w:pPr>
      <w:r w:rsidRPr="00EF6860">
        <w:rPr>
          <w:rFonts w:cs="Arial"/>
          <w:lang w:val="es-ES_tradnl" w:eastAsia="fr-FR"/>
        </w:rPr>
        <w:t>Experiencia práctica sobre la homogeneidad de las plantas fuera de tipo en colza oleaginosa, trigo, maíz y girasol</w:t>
      </w:r>
    </w:p>
    <w:p w:rsidR="00EF6860" w:rsidRPr="00EF6860" w:rsidRDefault="00357402" w:rsidP="00EF6860">
      <w:pPr>
        <w:tabs>
          <w:tab w:val="left" w:pos="1134"/>
          <w:tab w:val="left" w:pos="1701"/>
        </w:tabs>
        <w:autoSpaceDE w:val="0"/>
        <w:autoSpaceDN w:val="0"/>
        <w:adjustRightInd w:val="0"/>
        <w:ind w:left="1134" w:hanging="567"/>
        <w:rPr>
          <w:rFonts w:cs="Arial"/>
        </w:rPr>
      </w:pPr>
      <w:r>
        <w:rPr>
          <w:rFonts w:cs="Arial"/>
        </w:rPr>
        <w:t>10.</w:t>
      </w:r>
      <w:r w:rsidR="00EF6860" w:rsidRPr="00EF6860">
        <w:rPr>
          <w:rFonts w:cs="Arial"/>
        </w:rPr>
        <w:tab/>
      </w:r>
      <w:r w:rsidR="00EF6860" w:rsidRPr="00EF6860">
        <w:rPr>
          <w:rFonts w:cs="Arial"/>
          <w:lang w:val="es-ES_tradnl"/>
        </w:rPr>
        <w:t>Métodos estadísticos</w:t>
      </w:r>
    </w:p>
    <w:p w:rsidR="00EF6860" w:rsidRPr="00EF6860" w:rsidRDefault="00EF6860" w:rsidP="00EF6860">
      <w:pPr>
        <w:numPr>
          <w:ilvl w:val="0"/>
          <w:numId w:val="2"/>
        </w:numPr>
        <w:tabs>
          <w:tab w:val="left" w:pos="1701"/>
        </w:tabs>
        <w:autoSpaceDE w:val="0"/>
        <w:autoSpaceDN w:val="0"/>
        <w:adjustRightInd w:val="0"/>
        <w:ind w:left="1701" w:hanging="567"/>
        <w:contextualSpacing/>
        <w:jc w:val="left"/>
        <w:rPr>
          <w:rFonts w:cs="Arial"/>
          <w:lang w:eastAsia="fr-FR"/>
        </w:rPr>
      </w:pPr>
      <w:r w:rsidRPr="00EF6860">
        <w:rPr>
          <w:rFonts w:cs="Arial"/>
          <w:lang w:val="es-ES_tradnl" w:eastAsia="fr-FR"/>
        </w:rPr>
        <w:t>Método de cálculo del COYU</w:t>
      </w:r>
    </w:p>
    <w:p w:rsidR="00EF6860" w:rsidRPr="00EF6860" w:rsidRDefault="00EF6860" w:rsidP="00EF6860">
      <w:pPr>
        <w:numPr>
          <w:ilvl w:val="0"/>
          <w:numId w:val="2"/>
        </w:numPr>
        <w:tabs>
          <w:tab w:val="left" w:pos="1701"/>
        </w:tabs>
        <w:autoSpaceDE w:val="0"/>
        <w:autoSpaceDN w:val="0"/>
        <w:adjustRightInd w:val="0"/>
        <w:ind w:left="1701" w:hanging="567"/>
        <w:contextualSpacing/>
        <w:jc w:val="left"/>
        <w:rPr>
          <w:rFonts w:cs="Arial"/>
          <w:lang w:val="es-ES" w:eastAsia="fr-FR"/>
        </w:rPr>
      </w:pPr>
      <w:r w:rsidRPr="00EF6860">
        <w:rPr>
          <w:rFonts w:cs="Arial"/>
          <w:lang w:val="es-ES_tradnl" w:eastAsia="fr-FR"/>
        </w:rPr>
        <w:t>Métodos estadísticos utilizados en el programa informático DUSTC</w:t>
      </w:r>
      <w:r w:rsidRPr="00EF6860">
        <w:rPr>
          <w:rFonts w:cs="Arial"/>
          <w:lang w:val="es-ES" w:eastAsia="fr-FR"/>
        </w:rPr>
        <w:t xml:space="preserve"> </w:t>
      </w:r>
    </w:p>
    <w:p w:rsidR="00EF6860" w:rsidRPr="00EF6860" w:rsidRDefault="00EF6860" w:rsidP="00EF6860">
      <w:pPr>
        <w:numPr>
          <w:ilvl w:val="0"/>
          <w:numId w:val="2"/>
        </w:numPr>
        <w:tabs>
          <w:tab w:val="left" w:pos="1701"/>
        </w:tabs>
        <w:autoSpaceDE w:val="0"/>
        <w:autoSpaceDN w:val="0"/>
        <w:adjustRightInd w:val="0"/>
        <w:ind w:left="1701" w:hanging="567"/>
        <w:contextualSpacing/>
        <w:jc w:val="left"/>
        <w:rPr>
          <w:rFonts w:cs="Arial"/>
          <w:lang w:val="es-ES" w:eastAsia="fr-FR"/>
        </w:rPr>
      </w:pPr>
      <w:r w:rsidRPr="00EF6860">
        <w:rPr>
          <w:rFonts w:cs="Arial"/>
          <w:lang w:val="es-ES_tradnl" w:eastAsia="fr-FR"/>
        </w:rPr>
        <w:t>Exclusión de las variedades notoriamente conocidas del segundo ciclo de cultivo</w:t>
      </w:r>
      <w:r w:rsidRPr="00EF6860">
        <w:rPr>
          <w:rFonts w:cs="Arial"/>
          <w:lang w:val="es-ES" w:eastAsia="fr-FR"/>
        </w:rPr>
        <w:t xml:space="preserve"> </w:t>
      </w:r>
    </w:p>
    <w:p w:rsidR="00EF6860" w:rsidRPr="00EF6860" w:rsidRDefault="00EF6860" w:rsidP="00EF6860">
      <w:pPr>
        <w:tabs>
          <w:tab w:val="left" w:pos="1134"/>
          <w:tab w:val="left" w:pos="1701"/>
        </w:tabs>
        <w:autoSpaceDE w:val="0"/>
        <w:autoSpaceDN w:val="0"/>
        <w:adjustRightInd w:val="0"/>
        <w:ind w:left="1134" w:hanging="567"/>
        <w:rPr>
          <w:rFonts w:cs="Arial"/>
          <w:lang w:val="es-ES"/>
        </w:rPr>
      </w:pPr>
      <w:r w:rsidRPr="00EF6860">
        <w:rPr>
          <w:rFonts w:cs="Arial"/>
          <w:lang w:val="es-ES"/>
        </w:rPr>
        <w:t>11.</w:t>
      </w:r>
      <w:r w:rsidRPr="00EF6860">
        <w:rPr>
          <w:rFonts w:cs="Arial"/>
          <w:lang w:val="es-ES"/>
        </w:rPr>
        <w:tab/>
      </w:r>
      <w:r w:rsidRPr="00EF6860">
        <w:rPr>
          <w:rFonts w:cs="Arial"/>
          <w:lang w:val="es-ES_tradnl"/>
        </w:rPr>
        <w:t>Programas informáticos para el examen DHE</w:t>
      </w:r>
    </w:p>
    <w:p w:rsidR="00EF6860" w:rsidRPr="00EF6860" w:rsidRDefault="00EF6860" w:rsidP="00EF6860">
      <w:pPr>
        <w:numPr>
          <w:ilvl w:val="0"/>
          <w:numId w:val="3"/>
        </w:numPr>
        <w:tabs>
          <w:tab w:val="left" w:pos="1701"/>
        </w:tabs>
        <w:autoSpaceDE w:val="0"/>
        <w:autoSpaceDN w:val="0"/>
        <w:adjustRightInd w:val="0"/>
        <w:ind w:left="1701" w:hanging="567"/>
        <w:contextualSpacing/>
        <w:jc w:val="left"/>
        <w:rPr>
          <w:rFonts w:cs="Arial"/>
          <w:lang w:val="es-ES" w:eastAsia="fr-FR"/>
        </w:rPr>
      </w:pPr>
      <w:r w:rsidRPr="00EF6860">
        <w:rPr>
          <w:rFonts w:cs="Arial"/>
          <w:lang w:val="es-ES_tradnl" w:eastAsia="fr-FR"/>
        </w:rPr>
        <w:t>Programas informáticos para datos con distribuciones ordinales, nominales y binomiales</w:t>
      </w:r>
      <w:r w:rsidRPr="00EF6860">
        <w:rPr>
          <w:rFonts w:cs="Arial"/>
          <w:lang w:val="es-ES" w:eastAsia="fr-FR"/>
        </w:rPr>
        <w:t xml:space="preserve"> </w:t>
      </w:r>
    </w:p>
    <w:p w:rsidR="00EF6860" w:rsidRPr="00EF6860" w:rsidRDefault="00EF6860" w:rsidP="00EF6860">
      <w:pPr>
        <w:numPr>
          <w:ilvl w:val="0"/>
          <w:numId w:val="3"/>
        </w:numPr>
        <w:tabs>
          <w:tab w:val="left" w:pos="1701"/>
        </w:tabs>
        <w:autoSpaceDE w:val="0"/>
        <w:autoSpaceDN w:val="0"/>
        <w:adjustRightInd w:val="0"/>
        <w:ind w:left="1701" w:hanging="567"/>
        <w:contextualSpacing/>
        <w:jc w:val="left"/>
        <w:rPr>
          <w:rFonts w:cs="Arial"/>
          <w:lang w:val="es-ES" w:eastAsia="fr-FR"/>
        </w:rPr>
      </w:pPr>
      <w:r w:rsidRPr="00EF6860">
        <w:rPr>
          <w:rFonts w:cs="Arial"/>
          <w:lang w:val="es-ES_tradnl" w:eastAsia="fr-FR"/>
        </w:rPr>
        <w:t>Programas informáticos para definir las colecciones de referencia</w:t>
      </w:r>
      <w:r w:rsidRPr="00EF6860">
        <w:rPr>
          <w:rFonts w:cs="Arial"/>
          <w:lang w:val="es-ES" w:eastAsia="fr-FR"/>
        </w:rPr>
        <w:t xml:space="preserve"> </w:t>
      </w:r>
    </w:p>
    <w:p w:rsidR="00EF6860" w:rsidRPr="00EF6860" w:rsidRDefault="00EF6860" w:rsidP="00EF6860">
      <w:pPr>
        <w:numPr>
          <w:ilvl w:val="0"/>
          <w:numId w:val="3"/>
        </w:numPr>
        <w:tabs>
          <w:tab w:val="left" w:pos="1701"/>
        </w:tabs>
        <w:autoSpaceDE w:val="0"/>
        <w:autoSpaceDN w:val="0"/>
        <w:adjustRightInd w:val="0"/>
        <w:ind w:left="1701" w:hanging="567"/>
        <w:contextualSpacing/>
        <w:jc w:val="left"/>
        <w:rPr>
          <w:rFonts w:cs="Arial"/>
          <w:lang w:val="es-ES" w:eastAsia="fr-FR"/>
        </w:rPr>
      </w:pPr>
      <w:r w:rsidRPr="00EF6860">
        <w:rPr>
          <w:rFonts w:cs="Arial"/>
          <w:lang w:val="es-ES_tradnl" w:eastAsia="fr-FR"/>
        </w:rPr>
        <w:t>Matriz de ponderación para la soja en el programa informático GAIA</w:t>
      </w:r>
      <w:r w:rsidRPr="00EF6860">
        <w:rPr>
          <w:rFonts w:cs="Arial"/>
          <w:lang w:val="es-ES" w:eastAsia="fr-FR"/>
        </w:rPr>
        <w:t xml:space="preserve"> </w:t>
      </w:r>
    </w:p>
    <w:p w:rsidR="00EF6860" w:rsidRPr="00EF6860" w:rsidRDefault="00EF6860" w:rsidP="00EF6860">
      <w:pPr>
        <w:numPr>
          <w:ilvl w:val="0"/>
          <w:numId w:val="3"/>
        </w:numPr>
        <w:tabs>
          <w:tab w:val="left" w:pos="1701"/>
        </w:tabs>
        <w:autoSpaceDE w:val="0"/>
        <w:autoSpaceDN w:val="0"/>
        <w:adjustRightInd w:val="0"/>
        <w:ind w:left="1701" w:hanging="567"/>
        <w:contextualSpacing/>
        <w:jc w:val="left"/>
        <w:rPr>
          <w:rFonts w:cs="Arial"/>
          <w:lang w:val="es-ES" w:eastAsia="fr-FR"/>
        </w:rPr>
      </w:pPr>
      <w:r w:rsidRPr="00EF6860">
        <w:rPr>
          <w:rFonts w:cs="Arial"/>
          <w:lang w:val="es-ES_tradnl" w:eastAsia="fr-FR"/>
        </w:rPr>
        <w:t>Integración de los métodos GAIA, COYU y COYD con la misma interfaz</w:t>
      </w:r>
      <w:r w:rsidRPr="00EF6860">
        <w:rPr>
          <w:rFonts w:cs="Arial"/>
          <w:lang w:val="es-ES" w:eastAsia="fr-FR"/>
        </w:rPr>
        <w:t xml:space="preserve"> </w:t>
      </w:r>
    </w:p>
    <w:p w:rsidR="00EF6860" w:rsidRPr="00EF6860" w:rsidRDefault="00EF6860" w:rsidP="00EF6860">
      <w:pPr>
        <w:numPr>
          <w:ilvl w:val="0"/>
          <w:numId w:val="3"/>
        </w:numPr>
        <w:tabs>
          <w:tab w:val="left" w:pos="1701"/>
        </w:tabs>
        <w:autoSpaceDE w:val="0"/>
        <w:autoSpaceDN w:val="0"/>
        <w:adjustRightInd w:val="0"/>
        <w:ind w:left="1701" w:hanging="567"/>
        <w:contextualSpacing/>
        <w:jc w:val="left"/>
        <w:rPr>
          <w:rFonts w:cs="Arial"/>
          <w:lang w:val="es-ES" w:eastAsia="fr-FR"/>
        </w:rPr>
      </w:pPr>
      <w:r w:rsidRPr="00EF6860">
        <w:rPr>
          <w:rFonts w:cs="Arial"/>
          <w:lang w:val="es-ES_tradnl" w:eastAsia="fr-FR"/>
        </w:rPr>
        <w:t>Prueba de comparación (</w:t>
      </w:r>
      <w:r w:rsidRPr="00EF6860">
        <w:rPr>
          <w:rFonts w:cs="Arial"/>
          <w:i/>
          <w:lang w:val="es-ES_tradnl" w:eastAsia="fr-FR"/>
        </w:rPr>
        <w:t>ring-test</w:t>
      </w:r>
      <w:r w:rsidRPr="00EF6860">
        <w:rPr>
          <w:rFonts w:cs="Arial"/>
          <w:lang w:val="es-ES_tradnl" w:eastAsia="fr-FR"/>
        </w:rPr>
        <w:t>) de tres programas informáticos diferentes para el COYD</w:t>
      </w:r>
      <w:r w:rsidRPr="00EF6860">
        <w:rPr>
          <w:rFonts w:cs="Arial"/>
          <w:lang w:val="es-ES" w:eastAsia="fr-FR"/>
        </w:rPr>
        <w:t xml:space="preserve"> </w:t>
      </w:r>
    </w:p>
    <w:p w:rsidR="00EF6860" w:rsidRPr="00EF6860" w:rsidRDefault="00EF6860" w:rsidP="00EF6860">
      <w:pPr>
        <w:tabs>
          <w:tab w:val="left" w:pos="1134"/>
          <w:tab w:val="left" w:pos="1701"/>
        </w:tabs>
        <w:autoSpaceDE w:val="0"/>
        <w:autoSpaceDN w:val="0"/>
        <w:adjustRightInd w:val="0"/>
        <w:ind w:left="1134" w:hanging="567"/>
        <w:rPr>
          <w:rFonts w:cs="Arial"/>
        </w:rPr>
      </w:pPr>
      <w:r w:rsidRPr="00EF6860">
        <w:rPr>
          <w:rFonts w:cs="Arial"/>
        </w:rPr>
        <w:t>12.</w:t>
      </w:r>
      <w:r w:rsidRPr="00EF6860">
        <w:rPr>
          <w:rFonts w:cs="Arial"/>
        </w:rPr>
        <w:tab/>
      </w:r>
      <w:r w:rsidRPr="00EF6860">
        <w:rPr>
          <w:rFonts w:cs="Arial"/>
          <w:lang w:val="es-ES_tradnl"/>
        </w:rPr>
        <w:t>Análisis de imágenes</w:t>
      </w:r>
    </w:p>
    <w:p w:rsidR="00EF6860" w:rsidRPr="00EF6860" w:rsidRDefault="00EF6860" w:rsidP="00EF6860">
      <w:pPr>
        <w:numPr>
          <w:ilvl w:val="0"/>
          <w:numId w:val="45"/>
        </w:numPr>
        <w:tabs>
          <w:tab w:val="left" w:pos="1701"/>
        </w:tabs>
        <w:autoSpaceDE w:val="0"/>
        <w:autoSpaceDN w:val="0"/>
        <w:adjustRightInd w:val="0"/>
        <w:ind w:left="1701" w:hanging="567"/>
        <w:contextualSpacing/>
        <w:jc w:val="left"/>
        <w:rPr>
          <w:rFonts w:cs="Arial"/>
          <w:lang w:val="es-ES" w:eastAsia="fr-FR"/>
        </w:rPr>
      </w:pPr>
      <w:r w:rsidRPr="00EF6860">
        <w:rPr>
          <w:rFonts w:cs="Arial"/>
          <w:lang w:val="es-ES_tradnl" w:eastAsia="fr-FR"/>
        </w:rPr>
        <w:t>Demostración del programa informático chino para el análisis de imágenes</w:t>
      </w:r>
    </w:p>
    <w:p w:rsidR="00EF6860" w:rsidRPr="00EF6860" w:rsidRDefault="00EF6860" w:rsidP="00EF6860">
      <w:pPr>
        <w:numPr>
          <w:ilvl w:val="0"/>
          <w:numId w:val="45"/>
        </w:numPr>
        <w:tabs>
          <w:tab w:val="left" w:pos="1701"/>
        </w:tabs>
        <w:autoSpaceDE w:val="0"/>
        <w:autoSpaceDN w:val="0"/>
        <w:adjustRightInd w:val="0"/>
        <w:ind w:left="1701" w:hanging="567"/>
        <w:contextualSpacing/>
        <w:jc w:val="left"/>
        <w:rPr>
          <w:rFonts w:cs="Arial"/>
          <w:lang w:val="es-ES" w:eastAsia="fr-FR"/>
        </w:rPr>
      </w:pPr>
      <w:r w:rsidRPr="00EF6860">
        <w:rPr>
          <w:rFonts w:cs="Arial"/>
          <w:lang w:val="es-ES_tradnl" w:eastAsia="fr-FR"/>
        </w:rPr>
        <w:t>Búsqueda de variedades de referencia en una base de datos de fotografías</w:t>
      </w:r>
      <w:r w:rsidRPr="00EF6860">
        <w:rPr>
          <w:rFonts w:cs="Arial"/>
          <w:lang w:val="es-ES" w:eastAsia="fr-FR"/>
        </w:rPr>
        <w:t xml:space="preserve"> </w:t>
      </w:r>
    </w:p>
    <w:p w:rsidR="00EF6860" w:rsidRPr="00EF6860" w:rsidRDefault="00EF6860" w:rsidP="00EF6860">
      <w:pPr>
        <w:tabs>
          <w:tab w:val="left" w:pos="1134"/>
          <w:tab w:val="left" w:pos="1701"/>
        </w:tabs>
        <w:autoSpaceDE w:val="0"/>
        <w:autoSpaceDN w:val="0"/>
        <w:adjustRightInd w:val="0"/>
        <w:ind w:left="1134" w:hanging="567"/>
        <w:rPr>
          <w:rFonts w:cs="Arial"/>
          <w:lang w:val="es-ES"/>
        </w:rPr>
      </w:pPr>
      <w:r w:rsidRPr="00EF6860">
        <w:rPr>
          <w:rFonts w:cs="Arial"/>
          <w:lang w:val="es-ES"/>
        </w:rPr>
        <w:t>13.</w:t>
      </w:r>
      <w:r w:rsidRPr="00EF6860">
        <w:rPr>
          <w:rFonts w:cs="Arial"/>
          <w:lang w:val="es-ES"/>
        </w:rPr>
        <w:tab/>
      </w:r>
      <w:r w:rsidRPr="00EF6860">
        <w:rPr>
          <w:rFonts w:cs="Arial"/>
          <w:lang w:val="es-ES_tradnl"/>
        </w:rPr>
        <w:t>Reducción al mínimo de la variación entre observadores</w:t>
      </w:r>
      <w:r w:rsidRPr="00EF6860">
        <w:rPr>
          <w:rFonts w:cs="Arial"/>
          <w:lang w:val="es-ES"/>
        </w:rPr>
        <w:t xml:space="preserve"> </w:t>
      </w:r>
    </w:p>
    <w:p w:rsidR="00EF6860" w:rsidRPr="00EF6860" w:rsidRDefault="00EF6860" w:rsidP="00EF6860">
      <w:pPr>
        <w:tabs>
          <w:tab w:val="left" w:pos="1134"/>
          <w:tab w:val="left" w:pos="1701"/>
        </w:tabs>
        <w:autoSpaceDE w:val="0"/>
        <w:autoSpaceDN w:val="0"/>
        <w:adjustRightInd w:val="0"/>
        <w:ind w:left="1134" w:hanging="567"/>
        <w:rPr>
          <w:rFonts w:cs="Arial"/>
          <w:lang w:val="es-ES"/>
        </w:rPr>
      </w:pPr>
      <w:r w:rsidRPr="00EF6860">
        <w:rPr>
          <w:rFonts w:cs="Arial"/>
          <w:lang w:val="es-ES"/>
        </w:rPr>
        <w:t>14.</w:t>
      </w:r>
      <w:r w:rsidRPr="00EF6860">
        <w:rPr>
          <w:rFonts w:cs="Arial"/>
          <w:lang w:val="es-ES"/>
        </w:rPr>
        <w:tab/>
      </w:r>
      <w:r w:rsidRPr="00EF6860">
        <w:rPr>
          <w:rFonts w:cs="Arial"/>
          <w:lang w:val="es-ES_tradnl"/>
        </w:rPr>
        <w:t>Interacción genotipo-medio ambiente, exámenes DHE y transformación de los datos en niveles de expresión</w:t>
      </w:r>
      <w:r w:rsidRPr="00EF6860">
        <w:rPr>
          <w:rFonts w:cs="Arial"/>
          <w:lang w:val="es-ES"/>
        </w:rPr>
        <w:t xml:space="preserve"> </w:t>
      </w:r>
    </w:p>
    <w:p w:rsidR="00EF6860" w:rsidRPr="00EF6860" w:rsidRDefault="00EF6860" w:rsidP="00EF6860">
      <w:pPr>
        <w:tabs>
          <w:tab w:val="left" w:pos="1134"/>
          <w:tab w:val="left" w:pos="1701"/>
        </w:tabs>
        <w:autoSpaceDE w:val="0"/>
        <w:autoSpaceDN w:val="0"/>
        <w:adjustRightInd w:val="0"/>
        <w:ind w:left="1134" w:hanging="567"/>
        <w:rPr>
          <w:rFonts w:cs="Arial"/>
          <w:lang w:val="es-ES"/>
        </w:rPr>
      </w:pPr>
      <w:r w:rsidRPr="00EF6860">
        <w:rPr>
          <w:rFonts w:cs="Arial"/>
          <w:lang w:val="es-ES"/>
        </w:rPr>
        <w:t>15.</w:t>
      </w:r>
      <w:r w:rsidRPr="00EF6860">
        <w:rPr>
          <w:rFonts w:cs="Arial"/>
          <w:lang w:val="es-ES"/>
        </w:rPr>
        <w:tab/>
      </w:r>
      <w:r w:rsidRPr="00EF6860">
        <w:rPr>
          <w:rFonts w:cs="Arial"/>
          <w:lang w:val="es-ES_tradnl"/>
        </w:rPr>
        <w:t>Fecha y lugar de la siguiente reunión</w:t>
      </w:r>
    </w:p>
    <w:p w:rsidR="00EF6860" w:rsidRPr="00EF6860" w:rsidRDefault="00EF6860" w:rsidP="00EF6860">
      <w:pPr>
        <w:tabs>
          <w:tab w:val="left" w:pos="1134"/>
          <w:tab w:val="left" w:pos="1701"/>
        </w:tabs>
        <w:autoSpaceDE w:val="0"/>
        <w:autoSpaceDN w:val="0"/>
        <w:adjustRightInd w:val="0"/>
        <w:ind w:left="1134" w:hanging="567"/>
        <w:rPr>
          <w:rFonts w:cs="Arial"/>
          <w:lang w:val="es-ES"/>
        </w:rPr>
      </w:pPr>
      <w:r w:rsidRPr="00EF6860">
        <w:rPr>
          <w:rFonts w:cs="Arial"/>
          <w:lang w:val="es-ES"/>
        </w:rPr>
        <w:t>16.</w:t>
      </w:r>
      <w:r w:rsidRPr="00EF6860">
        <w:rPr>
          <w:rFonts w:cs="Arial"/>
          <w:lang w:val="es-ES"/>
        </w:rPr>
        <w:tab/>
      </w:r>
      <w:r w:rsidRPr="00EF6860">
        <w:rPr>
          <w:rFonts w:cs="Arial"/>
          <w:lang w:val="es-ES_tradnl"/>
        </w:rPr>
        <w:t>Programa futuro</w:t>
      </w:r>
    </w:p>
    <w:p w:rsidR="00EF6860" w:rsidRPr="00EF6860" w:rsidRDefault="00EF6860" w:rsidP="00EF6860">
      <w:pPr>
        <w:tabs>
          <w:tab w:val="left" w:pos="1134"/>
          <w:tab w:val="left" w:pos="1701"/>
        </w:tabs>
        <w:autoSpaceDE w:val="0"/>
        <w:autoSpaceDN w:val="0"/>
        <w:adjustRightInd w:val="0"/>
        <w:ind w:left="1134" w:hanging="567"/>
        <w:rPr>
          <w:rFonts w:cs="Arial"/>
          <w:lang w:val="es-ES"/>
        </w:rPr>
      </w:pPr>
      <w:r w:rsidRPr="00EF6860">
        <w:rPr>
          <w:rFonts w:cs="Arial"/>
          <w:lang w:val="es-ES"/>
        </w:rPr>
        <w:t>17.</w:t>
      </w:r>
      <w:r w:rsidRPr="00EF6860">
        <w:rPr>
          <w:rFonts w:cs="Arial"/>
          <w:lang w:val="es-ES"/>
        </w:rPr>
        <w:tab/>
      </w:r>
      <w:r w:rsidRPr="00EF6860">
        <w:rPr>
          <w:rFonts w:cs="Arial"/>
          <w:lang w:val="es-ES_tradnl"/>
        </w:rPr>
        <w:t>Informe de la reunión</w:t>
      </w:r>
      <w:r w:rsidRPr="00EF6860">
        <w:rPr>
          <w:rFonts w:cs="Arial"/>
          <w:lang w:val="es-ES"/>
        </w:rPr>
        <w:t xml:space="preserve"> </w:t>
      </w:r>
    </w:p>
    <w:p w:rsidR="00EF6860" w:rsidRPr="00EF6860" w:rsidRDefault="00EF6860" w:rsidP="00EF6860">
      <w:pPr>
        <w:tabs>
          <w:tab w:val="left" w:pos="1134"/>
          <w:tab w:val="left" w:pos="1701"/>
        </w:tabs>
        <w:autoSpaceDE w:val="0"/>
        <w:autoSpaceDN w:val="0"/>
        <w:adjustRightInd w:val="0"/>
        <w:ind w:left="1134" w:hanging="567"/>
        <w:rPr>
          <w:rFonts w:cs="Arial"/>
          <w:lang w:val="es-ES"/>
        </w:rPr>
      </w:pPr>
      <w:r w:rsidRPr="00EF6860">
        <w:rPr>
          <w:rFonts w:cs="Arial"/>
          <w:lang w:val="es-ES"/>
        </w:rPr>
        <w:t>18.</w:t>
      </w:r>
      <w:r w:rsidRPr="00EF6860">
        <w:rPr>
          <w:rFonts w:cs="Arial"/>
          <w:lang w:val="es-ES"/>
        </w:rPr>
        <w:tab/>
      </w:r>
      <w:r w:rsidRPr="00EF6860">
        <w:rPr>
          <w:rFonts w:cs="Arial"/>
          <w:lang w:val="es-ES_tradnl"/>
        </w:rPr>
        <w:t>Clausura de la reunión</w:t>
      </w:r>
    </w:p>
    <w:p w:rsidR="00EF6860" w:rsidRPr="00EF6860" w:rsidRDefault="00EF6860" w:rsidP="00EF6860">
      <w:pPr>
        <w:autoSpaceDE w:val="0"/>
        <w:autoSpaceDN w:val="0"/>
        <w:adjustRightInd w:val="0"/>
        <w:rPr>
          <w:rFonts w:cs="Arial"/>
          <w:lang w:val="es-ES"/>
        </w:rPr>
      </w:pPr>
    </w:p>
    <w:p w:rsidR="00EF6860" w:rsidRPr="00EF6860" w:rsidRDefault="00EF6860" w:rsidP="00EF6860">
      <w:pPr>
        <w:tabs>
          <w:tab w:val="left" w:pos="567"/>
        </w:tabs>
        <w:autoSpaceDE w:val="0"/>
        <w:autoSpaceDN w:val="0"/>
        <w:adjustRightInd w:val="0"/>
        <w:rPr>
          <w:rFonts w:cs="Arial"/>
          <w:lang w:val="es-ES"/>
        </w:rPr>
      </w:pPr>
      <w:r w:rsidRPr="00EF6860">
        <w:rPr>
          <w:rFonts w:cs="Arial"/>
        </w:rPr>
        <w:fldChar w:fldCharType="begin"/>
      </w:r>
      <w:r w:rsidRPr="00EF6860">
        <w:rPr>
          <w:rFonts w:cs="Arial"/>
          <w:lang w:val="es-ES"/>
        </w:rPr>
        <w:instrText xml:space="preserve"> AUTONUM  </w:instrText>
      </w:r>
      <w:r w:rsidRPr="00EF6860">
        <w:rPr>
          <w:rFonts w:cs="Arial"/>
        </w:rPr>
        <w:fldChar w:fldCharType="end"/>
      </w:r>
      <w:r w:rsidRPr="00EF6860">
        <w:rPr>
          <w:rFonts w:cs="Arial"/>
          <w:lang w:val="es-ES"/>
        </w:rPr>
        <w:tab/>
      </w:r>
      <w:r w:rsidRPr="00EF6860">
        <w:rPr>
          <w:rFonts w:cs="Arial"/>
          <w:lang w:val="es-ES_tradnl"/>
        </w:rPr>
        <w:t>El 1 de julio por la tarde, el TWC asistió a demostraciones ofrecidas por el Servicio nacional de protección de las obtenciones vegetales (SNPC) del Brasil sobre la base de datos de su sistema de gestión y sobre su sistema de presentación electrónica de solicitudes.</w:t>
      </w:r>
      <w:r w:rsidRPr="00EF6860">
        <w:rPr>
          <w:rFonts w:cs="Arial"/>
          <w:lang w:val="es-ES"/>
        </w:rPr>
        <w:t xml:space="preserve"> </w:t>
      </w:r>
      <w:r w:rsidRPr="00EF6860">
        <w:rPr>
          <w:rFonts w:cs="Arial"/>
          <w:lang w:val="es-ES_tradnl"/>
        </w:rPr>
        <w:t xml:space="preserve">Además, el Sr. Joel Yutaka Sugano, de la </w:t>
      </w:r>
      <w:r w:rsidRPr="00EF6860">
        <w:rPr>
          <w:rFonts w:cs="Arial"/>
          <w:i/>
          <w:lang w:val="es-ES_tradnl"/>
        </w:rPr>
        <w:t>Universidade Federal de Lavras</w:t>
      </w:r>
      <w:r w:rsidRPr="00EF6860">
        <w:rPr>
          <w:rFonts w:cs="Arial"/>
          <w:lang w:val="es-ES_tradnl"/>
        </w:rPr>
        <w:t xml:space="preserve"> ofreció una demostración de un sistema completo (equipo y programa informático) para la medición automática mediante análisis de imágenes.</w:t>
      </w:r>
    </w:p>
    <w:p w:rsidR="00EF6860" w:rsidRPr="00EF6860" w:rsidRDefault="00EF6860" w:rsidP="00EF6860">
      <w:pPr>
        <w:rPr>
          <w:lang w:val="es-ES"/>
        </w:rPr>
      </w:pPr>
    </w:p>
    <w:p w:rsidR="00EF6860" w:rsidRPr="00EF6860" w:rsidRDefault="00EF6860" w:rsidP="00357402">
      <w:pPr>
        <w:outlineLvl w:val="2"/>
        <w:rPr>
          <w:i/>
          <w:lang w:val="es-ES"/>
        </w:rPr>
      </w:pPr>
      <w:bookmarkStart w:id="97" w:name="_Toc463512529"/>
      <w:r w:rsidRPr="00EF6860">
        <w:rPr>
          <w:i/>
          <w:lang w:val="es-ES_tradnl"/>
        </w:rPr>
        <w:t>Grupo de Trabajo Técnico sobre Plantas Frutales</w:t>
      </w:r>
      <w:bookmarkEnd w:id="97"/>
    </w:p>
    <w:p w:rsidR="00EF6860" w:rsidRPr="00EF6860" w:rsidRDefault="00EF6860" w:rsidP="00357402">
      <w:pPr>
        <w:rPr>
          <w:lang w:val="es-ES"/>
        </w:rPr>
      </w:pPr>
    </w:p>
    <w:p w:rsidR="00EF6860" w:rsidRPr="00EF6860" w:rsidRDefault="00EF6860" w:rsidP="00357402">
      <w:pPr>
        <w:rPr>
          <w:rFonts w:cs="Arial"/>
          <w:lang w:val="es-ES"/>
        </w:rPr>
      </w:pPr>
      <w:r w:rsidRPr="00EF6860">
        <w:rPr>
          <w:rFonts w:cs="Arial"/>
        </w:rPr>
        <w:fldChar w:fldCharType="begin"/>
      </w:r>
      <w:r w:rsidRPr="00EF6860">
        <w:rPr>
          <w:rFonts w:cs="Arial"/>
          <w:lang w:val="es-ES"/>
        </w:rPr>
        <w:instrText xml:space="preserve"> AUTONUM  </w:instrText>
      </w:r>
      <w:r w:rsidRPr="00EF6860">
        <w:rPr>
          <w:rFonts w:cs="Arial"/>
        </w:rPr>
        <w:fldChar w:fldCharType="end"/>
      </w:r>
      <w:r w:rsidRPr="00EF6860">
        <w:rPr>
          <w:rFonts w:cs="Arial"/>
          <w:lang w:val="es-ES"/>
        </w:rPr>
        <w:tab/>
      </w:r>
      <w:r w:rsidRPr="00EF6860">
        <w:rPr>
          <w:rFonts w:cs="Arial"/>
          <w:lang w:val="es-ES_tradnl"/>
        </w:rPr>
        <w:t>El TWF celebró su cuadragésima sexta sesión en Mpumalanga (Sudáfrica) del 24 al 28 de agosto de 2015.</w:t>
      </w:r>
      <w:r w:rsidRPr="00EF6860">
        <w:rPr>
          <w:rFonts w:cs="Arial"/>
          <w:lang w:val="es-ES"/>
        </w:rPr>
        <w:t xml:space="preserve"> </w:t>
      </w:r>
      <w:r w:rsidRPr="00EF6860">
        <w:rPr>
          <w:rFonts w:cs="Arial"/>
          <w:lang w:val="es-ES_tradnl"/>
        </w:rPr>
        <w:t>Inauguró la sesión el Sr. Katsumi Yamaguchi (Japón), Presidente del TWF.</w:t>
      </w:r>
    </w:p>
    <w:p w:rsidR="00EF6860" w:rsidRPr="00EF6860" w:rsidRDefault="00EF6860" w:rsidP="00357402">
      <w:pPr>
        <w:rPr>
          <w:rFonts w:cs="Arial"/>
          <w:lang w:val="es-ES"/>
        </w:rPr>
      </w:pPr>
    </w:p>
    <w:p w:rsidR="00EF6860" w:rsidRPr="00EF6860" w:rsidRDefault="00EF6860" w:rsidP="00357402">
      <w:pPr>
        <w:rPr>
          <w:rFonts w:cs="Arial"/>
          <w:lang w:val="es-ES"/>
        </w:rPr>
      </w:pPr>
      <w:r w:rsidRPr="00EF6860">
        <w:rPr>
          <w:rFonts w:cs="Arial"/>
        </w:rPr>
        <w:fldChar w:fldCharType="begin"/>
      </w:r>
      <w:r w:rsidRPr="00EF6860">
        <w:rPr>
          <w:rFonts w:cs="Arial"/>
          <w:lang w:val="es-ES"/>
        </w:rPr>
        <w:instrText xml:space="preserve"> AUTONUM  </w:instrText>
      </w:r>
      <w:r w:rsidRPr="00EF6860">
        <w:rPr>
          <w:rFonts w:cs="Arial"/>
        </w:rPr>
        <w:fldChar w:fldCharType="end"/>
      </w:r>
      <w:r w:rsidRPr="00EF6860">
        <w:rPr>
          <w:rFonts w:cs="Arial"/>
          <w:lang w:val="es-ES"/>
        </w:rPr>
        <w:tab/>
      </w:r>
      <w:r w:rsidRPr="00EF6860">
        <w:rPr>
          <w:rFonts w:cs="Arial"/>
          <w:lang w:val="es-ES_tradnl"/>
        </w:rPr>
        <w:t>Asistieron a la reunión del TWF 39 participantes de 16 miembros de la Unión, 3 Estados en calidad de observadores y 1 organización en calidad de observadora.</w:t>
      </w:r>
      <w:r w:rsidRPr="00EF6860">
        <w:rPr>
          <w:rFonts w:cs="Arial"/>
          <w:lang w:val="es-ES"/>
        </w:rPr>
        <w:t xml:space="preserve"> </w:t>
      </w:r>
      <w:r w:rsidRPr="00EF6860">
        <w:rPr>
          <w:rFonts w:cs="Arial"/>
          <w:lang w:val="es-ES_tradnl"/>
        </w:rPr>
        <w:t>Al taller preparatorio asistieron 17 participantes procedentes de 7 miembros de la Unión y 3 Estados en calidad de observadores.</w:t>
      </w:r>
    </w:p>
    <w:p w:rsidR="00EF6860" w:rsidRPr="00EF6860" w:rsidRDefault="00EF6860" w:rsidP="00EF6860">
      <w:pPr>
        <w:rPr>
          <w:rFonts w:cs="Arial"/>
          <w:lang w:val="es-ES"/>
        </w:rPr>
      </w:pPr>
    </w:p>
    <w:p w:rsidR="00EF6860" w:rsidRPr="00EF6860" w:rsidRDefault="00EF6860" w:rsidP="00EF6860">
      <w:pPr>
        <w:rPr>
          <w:rFonts w:cs="Arial"/>
          <w:shd w:val="clear" w:color="auto" w:fill="FFFFFF"/>
          <w:lang w:val="es-ES"/>
        </w:rPr>
      </w:pPr>
      <w:r w:rsidRPr="00EF6860">
        <w:rPr>
          <w:rFonts w:cs="Arial"/>
        </w:rPr>
        <w:fldChar w:fldCharType="begin"/>
      </w:r>
      <w:r w:rsidRPr="00EF6860">
        <w:rPr>
          <w:rFonts w:cs="Arial"/>
          <w:lang w:val="es-ES"/>
        </w:rPr>
        <w:instrText xml:space="preserve"> AUTONUM  </w:instrText>
      </w:r>
      <w:r w:rsidRPr="00EF6860">
        <w:rPr>
          <w:rFonts w:cs="Arial"/>
        </w:rPr>
        <w:fldChar w:fldCharType="end"/>
      </w:r>
      <w:r w:rsidRPr="00EF6860">
        <w:rPr>
          <w:rFonts w:cs="Arial"/>
          <w:lang w:val="es-ES"/>
        </w:rPr>
        <w:tab/>
      </w:r>
      <w:r w:rsidRPr="00EF6860">
        <w:rPr>
          <w:rFonts w:cs="Arial"/>
          <w:lang w:val="es-ES_tradnl"/>
        </w:rPr>
        <w:t>Dio la bienvenida al TWF el Sr. Julian Jaftha, Director Jefe de Producción y Sanidad Vegetal del Departamento de Agricultura, Silvicultura y Pesca.</w:t>
      </w:r>
      <w:r w:rsidRPr="00EF6860">
        <w:rPr>
          <w:rFonts w:cs="Arial"/>
          <w:lang w:val="es-ES"/>
        </w:rPr>
        <w:t xml:space="preserve"> </w:t>
      </w:r>
      <w:r w:rsidRPr="00EF6860">
        <w:rPr>
          <w:rFonts w:cs="Arial"/>
          <w:lang w:val="es-ES_tradnl"/>
        </w:rPr>
        <w:t>El Sr. Luvuyo Khoza, Responsable Superior Científico de Producción Técnica de la Dirección de Recursos Genéticos del Departamento de Agricultura, Silvicultura y Pesca, presentó una ponencia sobre el sistema de derechos de obtentor en Sudáfrica y el Sr. Arthur Sippel, Jefe de Equipo de Investigaciones en Fitomejoramiento, presentó una ponencia sobre el fitomejoramiento y la comercialización de cítricos y cultivos subtropicales por el Consejo de Investigaciones Agrícolas (ARC).</w:t>
      </w:r>
    </w:p>
    <w:p w:rsidR="00EF6860" w:rsidRPr="00EF6860" w:rsidRDefault="00EF6860" w:rsidP="00EF6860">
      <w:pPr>
        <w:rPr>
          <w:rFonts w:cs="Arial"/>
          <w:lang w:val="es-ES"/>
        </w:rPr>
      </w:pPr>
    </w:p>
    <w:p w:rsidR="00EF6860" w:rsidRPr="00EF6860" w:rsidRDefault="00EF6860" w:rsidP="00EF6860">
      <w:pPr>
        <w:rPr>
          <w:rFonts w:cs="Arial"/>
          <w:lang w:val="es-ES"/>
        </w:rPr>
      </w:pPr>
      <w:r w:rsidRPr="00EF6860">
        <w:rPr>
          <w:rFonts w:cs="Arial"/>
        </w:rPr>
        <w:fldChar w:fldCharType="begin"/>
      </w:r>
      <w:r w:rsidRPr="00EF6860">
        <w:rPr>
          <w:rFonts w:cs="Arial"/>
          <w:lang w:val="es-ES"/>
        </w:rPr>
        <w:instrText xml:space="preserve"> AUTONUM  </w:instrText>
      </w:r>
      <w:r w:rsidRPr="00EF6860">
        <w:rPr>
          <w:rFonts w:cs="Arial"/>
        </w:rPr>
        <w:fldChar w:fldCharType="end"/>
      </w:r>
      <w:r w:rsidRPr="00EF6860">
        <w:rPr>
          <w:rFonts w:cs="Arial"/>
          <w:lang w:val="es-ES"/>
        </w:rPr>
        <w:tab/>
      </w:r>
      <w:r w:rsidRPr="00EF6860">
        <w:rPr>
          <w:rFonts w:cs="Arial"/>
          <w:lang w:val="es-ES_tradnl"/>
        </w:rPr>
        <w:t>El TWF examinó el documento TWF/46/13 “</w:t>
      </w:r>
      <w:r w:rsidRPr="00EF6860">
        <w:rPr>
          <w:rFonts w:cs="Arial"/>
          <w:i/>
          <w:lang w:val="es-ES_tradnl"/>
        </w:rPr>
        <w:t>Use of Proprietary Photographs and Illustrations in Test Guidelines</w:t>
      </w:r>
      <w:r w:rsidRPr="00EF6860">
        <w:rPr>
          <w:rFonts w:cs="Arial"/>
          <w:lang w:val="es-ES_tradnl"/>
        </w:rPr>
        <w:t>” (Uso en las directrices de examen de fotografías e ilustraciones amparadas por derechos de propiedad intelectual) y suscribió la orientación propuesta relativa al texto, las fotografías, o las ilustraciones u otros materiales que podrían estar amparados por derechos de terceros, tal como se expone en el párrafo 7 del documento TWF/46/13, para su inclusión en una futura revisión del documento TGP/7.</w:t>
      </w:r>
      <w:r w:rsidRPr="00EF6860">
        <w:rPr>
          <w:rFonts w:cs="Arial"/>
          <w:lang w:val="es-ES" w:eastAsia="ja-JP"/>
        </w:rPr>
        <w:t xml:space="preserve"> </w:t>
      </w:r>
      <w:r w:rsidRPr="00EF6860">
        <w:rPr>
          <w:rFonts w:cs="Arial"/>
          <w:lang w:val="es-ES_tradnl" w:eastAsia="ja-JP"/>
        </w:rPr>
        <w:t>El TWF convino en que la mención del tercero que haya autorizado la utilización del material en un documento de la UPOV deberá ser conforme con las condiciones de la autorización.</w:t>
      </w:r>
    </w:p>
    <w:p w:rsidR="00EF6860" w:rsidRPr="00EF6860" w:rsidRDefault="00EF6860" w:rsidP="00EF6860">
      <w:pPr>
        <w:rPr>
          <w:rFonts w:cs="Arial"/>
          <w:lang w:val="es-ES"/>
        </w:rPr>
      </w:pPr>
    </w:p>
    <w:p w:rsidR="00EF6860" w:rsidRPr="00EF6860" w:rsidRDefault="00EF6860" w:rsidP="00EF6860">
      <w:pPr>
        <w:rPr>
          <w:rFonts w:cs="Arial"/>
          <w:lang w:val="es-ES"/>
        </w:rPr>
      </w:pPr>
      <w:r w:rsidRPr="00EF6860">
        <w:rPr>
          <w:rFonts w:cs="Arial"/>
        </w:rPr>
        <w:fldChar w:fldCharType="begin"/>
      </w:r>
      <w:r w:rsidRPr="00EF6860">
        <w:rPr>
          <w:rFonts w:cs="Arial"/>
          <w:lang w:val="es-ES"/>
        </w:rPr>
        <w:instrText xml:space="preserve"> AUTONUM  </w:instrText>
      </w:r>
      <w:r w:rsidRPr="00EF6860">
        <w:rPr>
          <w:rFonts w:cs="Arial"/>
        </w:rPr>
        <w:fldChar w:fldCharType="end"/>
      </w:r>
      <w:r w:rsidRPr="00EF6860">
        <w:rPr>
          <w:rFonts w:cs="Arial"/>
          <w:lang w:val="es-ES"/>
        </w:rPr>
        <w:tab/>
      </w:r>
      <w:r w:rsidRPr="00EF6860">
        <w:rPr>
          <w:rFonts w:cs="Arial"/>
          <w:lang w:val="es-ES_tradnl"/>
        </w:rPr>
        <w:t>El TWF examinó el documento TWF/46/14 “</w:t>
      </w:r>
      <w:r w:rsidRPr="00EF6860">
        <w:rPr>
          <w:rFonts w:cs="Arial"/>
          <w:i/>
          <w:lang w:val="es-ES_tradnl"/>
        </w:rPr>
        <w:t>Regional sets of example varieties</w:t>
      </w:r>
      <w:r w:rsidRPr="00EF6860">
        <w:rPr>
          <w:rFonts w:cs="Arial"/>
          <w:lang w:val="es-ES_tradnl"/>
        </w:rPr>
        <w:t>” (Conjuntos regionales de variedades ejemplo) y coincidió con el TWV en que la finalidad de las directrices de examen de la UPOV era la armonización internacional y que, por lo tanto, no eran partidarios de elaborar conjuntos regionales de variedades ejemplo como práctica habitual.</w:t>
      </w:r>
      <w:r w:rsidRPr="00EF6860">
        <w:rPr>
          <w:rFonts w:cs="Arial"/>
          <w:lang w:val="es-ES"/>
        </w:rPr>
        <w:t xml:space="preserve">  </w:t>
      </w:r>
      <w:r w:rsidRPr="00EF6860">
        <w:rPr>
          <w:rFonts w:cs="Arial"/>
          <w:lang w:val="es-ES_tradnl"/>
        </w:rPr>
        <w:t>Sin embargo, el TWF convino en que cuando no se disponía de variedades ejemplo o estas no eran adecuadas para el cultivo en una región geográfica en concreto, la información sobre las variedades ejemplo empleadas en regiones diferentes facilitaba la interpretación de los resultados del examen DHE y el uso de las descripciones de variedades a los fines de la distinción.</w:t>
      </w:r>
    </w:p>
    <w:p w:rsidR="00EF6860" w:rsidRPr="00EF6860" w:rsidRDefault="00EF6860" w:rsidP="00EF6860">
      <w:pPr>
        <w:rPr>
          <w:rFonts w:cs="Arial"/>
          <w:lang w:val="es-ES"/>
        </w:rPr>
      </w:pPr>
    </w:p>
    <w:p w:rsidR="00EF6860" w:rsidRPr="00EF6860" w:rsidRDefault="00EF6860" w:rsidP="00EF6860">
      <w:pPr>
        <w:rPr>
          <w:rFonts w:cs="Arial"/>
          <w:lang w:val="es-ES"/>
        </w:rPr>
      </w:pPr>
      <w:r w:rsidRPr="00EF6860">
        <w:rPr>
          <w:rFonts w:cs="Arial"/>
        </w:rPr>
        <w:fldChar w:fldCharType="begin"/>
      </w:r>
      <w:r w:rsidRPr="00EF6860">
        <w:rPr>
          <w:rFonts w:cs="Arial"/>
          <w:lang w:val="es-ES"/>
        </w:rPr>
        <w:instrText xml:space="preserve"> AUTONUM  </w:instrText>
      </w:r>
      <w:r w:rsidRPr="00EF6860">
        <w:rPr>
          <w:rFonts w:cs="Arial"/>
        </w:rPr>
        <w:fldChar w:fldCharType="end"/>
      </w:r>
      <w:r w:rsidRPr="00EF6860">
        <w:rPr>
          <w:rFonts w:cs="Arial"/>
          <w:lang w:val="es-ES"/>
        </w:rPr>
        <w:tab/>
      </w:r>
      <w:r w:rsidRPr="00EF6860">
        <w:rPr>
          <w:rFonts w:cs="Arial"/>
          <w:lang w:val="es-ES_tradnl"/>
        </w:rPr>
        <w:t>El TWF examinó el documento TWF/46/15 “</w:t>
      </w:r>
      <w:r w:rsidRPr="00EF6860">
        <w:rPr>
          <w:rFonts w:cs="Arial"/>
          <w:i/>
          <w:lang w:val="es-ES"/>
        </w:rPr>
        <w:t>Revision of document TGP/8: part I: DUS Trial Design and Data Analysis, New Section: Minimizing the Variation Due to Different Observers</w:t>
      </w:r>
      <w:r w:rsidRPr="00EF6860">
        <w:rPr>
          <w:rFonts w:cs="Arial"/>
          <w:lang w:val="es-ES_tradnl"/>
        </w:rPr>
        <w:t>” (Revisión del documento TGP/8: Parte I: Diseño de los ensayos DHE y análisis de datos, nueva sección: Minimizar la variación resultante de la ejecución de los ensayos por distintos observadores).  El Sr. Nik Hulse (Australia), redactor del documento, explicó al TWF la orientación propuesta sobre la manera de “minimizar la variación resultante de la ejecución de los ensayos por distintos observadores.”</w:t>
      </w:r>
      <w:r w:rsidRPr="00EF6860">
        <w:rPr>
          <w:rFonts w:cs="Arial"/>
          <w:lang w:val="es-ES"/>
        </w:rPr>
        <w:t xml:space="preserve"> </w:t>
      </w:r>
      <w:r w:rsidRPr="00EF6860">
        <w:rPr>
          <w:rFonts w:cs="Arial"/>
          <w:lang w:val="es-ES_tradnl"/>
        </w:rPr>
        <w:t>El TWF suscribió el proyecto de orientación que se recoge en el Anexo del documento TWF/46/15, para su inclusión en una futura revisión del documento TGP/8 sobre la manera de minimizar la variación resultante de la ejecución de los ensayos por distintos observadores, con el cambio de redacción que se expone en el párrafo 39 del documento TWF/46/29 Rev.</w:t>
      </w:r>
      <w:r w:rsidRPr="00EF6860">
        <w:rPr>
          <w:rFonts w:cs="Arial"/>
          <w:lang w:val="es-ES"/>
        </w:rPr>
        <w:t xml:space="preserve"> </w:t>
      </w:r>
      <w:r w:rsidRPr="00EF6860">
        <w:rPr>
          <w:rFonts w:cs="Arial"/>
          <w:lang w:val="es-ES_tradnl"/>
        </w:rPr>
        <w:t>El TWF recordó que, en su cuadragésima quinta sesión, convino en la importancia de minimizar la variación entre distintos observadores así como entre autoridades, y propuso considerar la posibilidad de emprender un proyecto sobre la descripción armonizada de variedades para un conjunto de variedades acordado.</w:t>
      </w:r>
    </w:p>
    <w:p w:rsidR="00EF6860" w:rsidRPr="00EF6860" w:rsidRDefault="00EF6860" w:rsidP="00EF6860">
      <w:pPr>
        <w:rPr>
          <w:rFonts w:cs="Arial"/>
          <w:lang w:val="es-ES"/>
        </w:rPr>
      </w:pPr>
    </w:p>
    <w:p w:rsidR="00EF6860" w:rsidRPr="00EF6860" w:rsidRDefault="00EF6860" w:rsidP="00EF6860">
      <w:pPr>
        <w:rPr>
          <w:rFonts w:cs="Arial"/>
          <w:lang w:val="es-ES"/>
        </w:rPr>
      </w:pPr>
      <w:r w:rsidRPr="00EF6860">
        <w:rPr>
          <w:rFonts w:cs="Arial"/>
        </w:rPr>
        <w:fldChar w:fldCharType="begin"/>
      </w:r>
      <w:r w:rsidRPr="00EF6860">
        <w:rPr>
          <w:rFonts w:cs="Arial"/>
          <w:lang w:val="es-ES"/>
        </w:rPr>
        <w:instrText xml:space="preserve"> AUTONUM  </w:instrText>
      </w:r>
      <w:r w:rsidRPr="00EF6860">
        <w:rPr>
          <w:rFonts w:cs="Arial"/>
        </w:rPr>
        <w:fldChar w:fldCharType="end"/>
      </w:r>
      <w:r w:rsidRPr="00EF6860">
        <w:rPr>
          <w:rFonts w:cs="Arial"/>
          <w:lang w:val="es-ES"/>
        </w:rPr>
        <w:tab/>
      </w:r>
      <w:r w:rsidRPr="00EF6860">
        <w:rPr>
          <w:rFonts w:cs="Arial"/>
          <w:lang w:val="es-ES_tradnl"/>
        </w:rPr>
        <w:t>El TWF examinó el documento TWF/46/27 “</w:t>
      </w:r>
      <w:r w:rsidRPr="00EF6860">
        <w:rPr>
          <w:rFonts w:cs="Arial"/>
          <w:i/>
          <w:lang w:val="es-ES"/>
        </w:rPr>
        <w:t>Harmonized example varieties for Apple:  historical data and possible new development</w:t>
      </w:r>
      <w:r w:rsidRPr="00EF6860">
        <w:rPr>
          <w:rFonts w:cs="Arial"/>
          <w:lang w:val="es-ES_tradnl"/>
        </w:rPr>
        <w:t>” (Variedades ejemplo armonizadas del manzano: datos históricos y posibles novedades).</w:t>
      </w:r>
      <w:r w:rsidRPr="00EF6860">
        <w:rPr>
          <w:rFonts w:cs="Arial"/>
          <w:lang w:val="es-ES"/>
        </w:rPr>
        <w:t xml:space="preserve"> </w:t>
      </w:r>
      <w:r w:rsidRPr="00EF6860">
        <w:rPr>
          <w:rFonts w:cs="Arial"/>
          <w:lang w:val="es-ES_tradnl"/>
        </w:rPr>
        <w:t>El TWF convino en que resultaría útil elaborar orientaciones sobre el modo de reducir al mínimo la variación entre autoridades, y acordó considerar la posibilidad de confeccionar un manual comparativo para la armonización de las descripciones de variedades.</w:t>
      </w:r>
      <w:r w:rsidRPr="00EF6860">
        <w:rPr>
          <w:rFonts w:cs="Arial"/>
          <w:lang w:val="es-ES"/>
        </w:rPr>
        <w:t xml:space="preserve"> </w:t>
      </w:r>
      <w:r w:rsidRPr="00EF6860">
        <w:rPr>
          <w:rFonts w:cs="Arial"/>
          <w:lang w:val="es-ES_tradnl"/>
        </w:rPr>
        <w:t>El TWF decidió que el Sr. Jean Maison (Unión Europea) coordine el proyecto y seleccione variedades que distintos miembros de la UPOV hayan descrito utilizando la versión actual de las directrices de examen del manzano.</w:t>
      </w:r>
      <w:r w:rsidRPr="00EF6860">
        <w:rPr>
          <w:rFonts w:cs="Arial"/>
          <w:lang w:val="es-ES"/>
        </w:rPr>
        <w:t xml:space="preserve">   </w:t>
      </w:r>
    </w:p>
    <w:p w:rsidR="00EF6860" w:rsidRPr="00EF6860" w:rsidRDefault="00EF6860" w:rsidP="00EF6860">
      <w:pPr>
        <w:rPr>
          <w:rFonts w:cs="Arial"/>
          <w:lang w:val="es-ES"/>
        </w:rPr>
      </w:pPr>
    </w:p>
    <w:p w:rsidR="00EF6860" w:rsidRPr="00EF6860" w:rsidRDefault="00EF6860" w:rsidP="00EF6860">
      <w:pPr>
        <w:rPr>
          <w:rFonts w:cs="Arial"/>
          <w:lang w:val="es-ES"/>
        </w:rPr>
      </w:pPr>
      <w:r w:rsidRPr="00EF6860">
        <w:rPr>
          <w:rFonts w:cs="Arial"/>
        </w:rPr>
        <w:fldChar w:fldCharType="begin"/>
      </w:r>
      <w:r w:rsidRPr="00EF6860">
        <w:rPr>
          <w:rFonts w:cs="Arial"/>
          <w:lang w:val="es-ES"/>
        </w:rPr>
        <w:instrText xml:space="preserve"> AUTONUM  </w:instrText>
      </w:r>
      <w:r w:rsidRPr="00EF6860">
        <w:rPr>
          <w:rFonts w:cs="Arial"/>
        </w:rPr>
        <w:fldChar w:fldCharType="end"/>
      </w:r>
      <w:r w:rsidRPr="00EF6860">
        <w:rPr>
          <w:rFonts w:cs="Arial"/>
          <w:lang w:val="es-ES"/>
        </w:rPr>
        <w:tab/>
      </w:r>
      <w:r w:rsidRPr="00EF6860">
        <w:rPr>
          <w:rFonts w:cs="Arial"/>
          <w:lang w:val="es-ES_tradnl"/>
        </w:rPr>
        <w:t>El TWF examinó el documento TWF/46/10 “</w:t>
      </w:r>
      <w:r w:rsidRPr="00EF6860">
        <w:rPr>
          <w:rFonts w:cs="Arial"/>
          <w:i/>
          <w:lang w:val="es-ES_tradnl"/>
        </w:rPr>
        <w:t>Matters concerning variety descriptions</w:t>
      </w:r>
      <w:r w:rsidRPr="00EF6860">
        <w:rPr>
          <w:rFonts w:cs="Arial"/>
          <w:lang w:val="es-ES_tradnl"/>
        </w:rPr>
        <w:t>” (Asuntos relativos a las descripciones de variedades) y asistió a una ponencia de un experto de la Unión Europea titulada “Experiencia relativa a las descripciones de variedades y el control del mantenimiento de la variedad en la Oficina Comunitaria de Variedades Vegetales (OCVV) de la Unión Europea”.</w:t>
      </w:r>
      <w:r w:rsidRPr="00EF6860">
        <w:rPr>
          <w:rFonts w:cs="Arial"/>
          <w:lang w:val="es-ES"/>
        </w:rPr>
        <w:t xml:space="preserve"> </w:t>
      </w:r>
      <w:r w:rsidRPr="00EF6860">
        <w:rPr>
          <w:rFonts w:cs="Arial"/>
          <w:lang w:val="es-ES_tradnl"/>
        </w:rPr>
        <w:t>El TWF convino en que el material vegetal utilizado como base para el examen DHE era representativo de la variedad protegida.</w:t>
      </w:r>
      <w:r w:rsidRPr="00EF6860">
        <w:rPr>
          <w:rFonts w:cs="Arial"/>
          <w:lang w:val="es-ES"/>
        </w:rPr>
        <w:t xml:space="preserve">  </w:t>
      </w:r>
      <w:r w:rsidRPr="00EF6860">
        <w:rPr>
          <w:rFonts w:cs="Arial"/>
          <w:lang w:val="es-ES_tradnl"/>
        </w:rPr>
        <w:t>El TWF convino en que, siempre que fuera posible, las autoridades debían conservar una muestra de referencia del material vegetal de una variedad protegida y en que la descripción de una variedad vegetal tenía limitaciones debido a su relación con las circunstancias del examen DHE; no obstante, era un elemento importante de su sistema de protección de variedades y un instrumento útil para el análisis de la distinción.</w:t>
      </w:r>
    </w:p>
    <w:p w:rsidR="00EF6860" w:rsidRPr="00EF6860" w:rsidRDefault="00EF6860" w:rsidP="00EF6860">
      <w:pPr>
        <w:rPr>
          <w:rFonts w:cs="Arial"/>
          <w:lang w:val="es-ES"/>
        </w:rPr>
      </w:pPr>
    </w:p>
    <w:p w:rsidR="00EF6860" w:rsidRPr="00EF6860" w:rsidRDefault="00EF6860" w:rsidP="00EF6860">
      <w:pPr>
        <w:rPr>
          <w:rFonts w:cs="Arial"/>
          <w:lang w:val="es-ES"/>
        </w:rPr>
      </w:pPr>
      <w:r w:rsidRPr="00EF6860">
        <w:rPr>
          <w:rFonts w:cs="Arial"/>
        </w:rPr>
        <w:fldChar w:fldCharType="begin"/>
      </w:r>
      <w:r w:rsidRPr="00EF6860">
        <w:rPr>
          <w:rFonts w:cs="Arial"/>
          <w:lang w:val="es-ES"/>
        </w:rPr>
        <w:instrText xml:space="preserve"> AUTONUM  </w:instrText>
      </w:r>
      <w:r w:rsidRPr="00EF6860">
        <w:rPr>
          <w:rFonts w:cs="Arial"/>
        </w:rPr>
        <w:fldChar w:fldCharType="end"/>
      </w:r>
      <w:r w:rsidRPr="00EF6860">
        <w:rPr>
          <w:rFonts w:cs="Arial"/>
          <w:lang w:val="es-ES"/>
        </w:rPr>
        <w:tab/>
      </w:r>
      <w:r w:rsidRPr="00EF6860">
        <w:rPr>
          <w:rFonts w:cs="Arial"/>
          <w:lang w:val="es-ES_tradnl"/>
        </w:rPr>
        <w:t>El TWF examinó el documento TWF/46/2 “</w:t>
      </w:r>
      <w:r w:rsidRPr="00EF6860">
        <w:rPr>
          <w:rFonts w:cs="Arial"/>
          <w:i/>
          <w:lang w:val="es-ES_tradnl"/>
        </w:rPr>
        <w:t>Molecular Techniques</w:t>
      </w:r>
      <w:r w:rsidRPr="00EF6860">
        <w:rPr>
          <w:rFonts w:cs="Arial"/>
          <w:lang w:val="es-ES_tradnl"/>
        </w:rPr>
        <w:t>” (Técnicas moleculares).</w:t>
      </w:r>
      <w:r w:rsidRPr="00EF6860">
        <w:rPr>
          <w:rFonts w:cs="Arial"/>
          <w:lang w:val="es-ES"/>
        </w:rPr>
        <w:t xml:space="preserve"> </w:t>
      </w:r>
      <w:r w:rsidRPr="00EF6860">
        <w:rPr>
          <w:rFonts w:cs="Arial"/>
          <w:snapToGrid w:val="0"/>
          <w:lang w:val="es-ES_tradnl"/>
        </w:rPr>
        <w:t xml:space="preserve">El TWF examinó la propuesta inicial de pregunta y respuesta relativa a la información sobre la situación en la UPOV en lo que respecta al uso de técnicas moleculares, para un público más amplio, que incluya al público en general, debatida en la quincuagésima primera sesión del TC, según se reproduce en el párrafo 32 del documento TWF/46/2, y coincidió con el TWA en que su redacción debe ser la siguiente (véase el párrafo 72 del documento TWF/46/29 Rev. </w:t>
      </w:r>
      <w:r w:rsidRPr="00EF6860">
        <w:rPr>
          <w:rFonts w:cs="Arial"/>
          <w:lang w:val="es-ES_tradnl"/>
        </w:rPr>
        <w:t>“</w:t>
      </w:r>
      <w:r w:rsidRPr="00EF6860">
        <w:rPr>
          <w:rFonts w:cs="Arial"/>
          <w:i/>
          <w:lang w:val="es-ES_tradnl"/>
        </w:rPr>
        <w:t>Revised Report</w:t>
      </w:r>
      <w:r w:rsidRPr="00EF6860">
        <w:rPr>
          <w:rFonts w:cs="Arial"/>
          <w:lang w:val="es-ES_tradnl"/>
        </w:rPr>
        <w:t>”:</w:t>
      </w:r>
      <w:r w:rsidRPr="00EF6860">
        <w:rPr>
          <w:rFonts w:cs="Arial"/>
          <w:snapToGrid w:val="0"/>
          <w:lang w:val="es-ES_tradnl"/>
        </w:rPr>
        <w:t xml:space="preserve"> Informe revisado):</w:t>
      </w:r>
    </w:p>
    <w:p w:rsidR="00EF6860" w:rsidRPr="00EF6860" w:rsidRDefault="00EF6860" w:rsidP="00EF6860">
      <w:pPr>
        <w:rPr>
          <w:rFonts w:cs="Arial"/>
          <w:lang w:val="es-ES"/>
        </w:rPr>
      </w:pPr>
    </w:p>
    <w:p w:rsidR="00EF6860" w:rsidRPr="00EF6860" w:rsidRDefault="00EF6860" w:rsidP="00EF6860">
      <w:pPr>
        <w:keepNext/>
        <w:ind w:left="567"/>
        <w:rPr>
          <w:sz w:val="18"/>
          <w:lang w:val="es-ES"/>
        </w:rPr>
      </w:pPr>
      <w:r w:rsidRPr="00EF6860">
        <w:rPr>
          <w:sz w:val="18"/>
          <w:lang w:val="es-ES_tradnl"/>
        </w:rPr>
        <w:t>“¿Es posible obtener la protección de una variedad sobre la base de su perfil de ADN?</w:t>
      </w:r>
    </w:p>
    <w:p w:rsidR="00EF6860" w:rsidRPr="00EF6860" w:rsidRDefault="00EF6860" w:rsidP="00EF6860">
      <w:pPr>
        <w:keepNext/>
        <w:ind w:left="567" w:right="567"/>
        <w:rPr>
          <w:sz w:val="18"/>
          <w:lang w:val="es-ES"/>
        </w:rPr>
      </w:pPr>
    </w:p>
    <w:p w:rsidR="00EF6860" w:rsidRPr="00EF6860" w:rsidRDefault="00EF6860" w:rsidP="00EF6860">
      <w:pPr>
        <w:ind w:left="567" w:right="567"/>
        <w:rPr>
          <w:strike/>
          <w:sz w:val="18"/>
          <w:lang w:val="es-ES"/>
        </w:rPr>
      </w:pPr>
      <w:r w:rsidRPr="00EF6860">
        <w:rPr>
          <w:sz w:val="18"/>
          <w:lang w:val="es-ES_tradnl"/>
        </w:rPr>
        <w:t>“</w:t>
      </w:r>
      <w:r w:rsidRPr="00EF6860">
        <w:rPr>
          <w:sz w:val="18"/>
          <w:highlight w:val="lightGray"/>
          <w:u w:val="single"/>
          <w:lang w:val="es-ES_tradnl"/>
        </w:rPr>
        <w:t>La protección de una variedad no puede basarse en los perfiles de ADN.</w:t>
      </w:r>
      <w:r w:rsidRPr="00EF6860">
        <w:rPr>
          <w:sz w:val="18"/>
          <w:lang w:val="es-ES"/>
        </w:rPr>
        <w:t xml:space="preserve"> </w:t>
      </w:r>
      <w:r w:rsidRPr="00EF6860">
        <w:rPr>
          <w:sz w:val="18"/>
          <w:lang w:val="es-ES_tradnl"/>
        </w:rPr>
        <w:t>Para obtener protección, una variedad ha de poder distinguirse claramente de todas las variedades existentes, sobre la base de caracteres que se expresan físicamente, por ejemplo, altura de la planta, época de floración, color del fruto, resistencia a las enfermedades, etcétera.</w:t>
      </w:r>
      <w:r w:rsidRPr="00EF6860">
        <w:rPr>
          <w:sz w:val="18"/>
          <w:lang w:val="es-ES"/>
        </w:rPr>
        <w:t xml:space="preserve">  </w:t>
      </w:r>
      <w:r w:rsidRPr="00EF6860">
        <w:rPr>
          <w:strike/>
          <w:sz w:val="18"/>
          <w:highlight w:val="lightGray"/>
          <w:lang w:val="es-ES_tradnl"/>
        </w:rPr>
        <w:t>[Las técnicas moleculares (los perfiles de ADN) pueden utilizarse como información complementaria].</w:t>
      </w:r>
      <w:r w:rsidRPr="00EF6860">
        <w:rPr>
          <w:sz w:val="18"/>
          <w:lang w:val="es-ES"/>
        </w:rPr>
        <w:t>”</w:t>
      </w:r>
    </w:p>
    <w:p w:rsidR="00EF6860" w:rsidRPr="00EF6860" w:rsidRDefault="00EF6860" w:rsidP="00EF6860">
      <w:pPr>
        <w:rPr>
          <w:rFonts w:cs="Arial"/>
          <w:snapToGrid w:val="0"/>
          <w:lang w:val="es-ES"/>
        </w:rPr>
      </w:pPr>
    </w:p>
    <w:p w:rsidR="00EF6860" w:rsidRPr="00EF6860" w:rsidRDefault="00EF6860" w:rsidP="00EF6860">
      <w:pPr>
        <w:rPr>
          <w:rFonts w:cs="Arial"/>
          <w:lang w:val="es-ES"/>
        </w:rPr>
      </w:pPr>
      <w:r w:rsidRPr="00EF6860">
        <w:rPr>
          <w:rFonts w:cs="Arial"/>
        </w:rPr>
        <w:fldChar w:fldCharType="begin"/>
      </w:r>
      <w:r w:rsidRPr="00EF6860">
        <w:rPr>
          <w:rFonts w:cs="Arial"/>
          <w:lang w:val="es-ES"/>
        </w:rPr>
        <w:instrText xml:space="preserve"> AUTONUM  </w:instrText>
      </w:r>
      <w:r w:rsidRPr="00EF6860">
        <w:rPr>
          <w:rFonts w:cs="Arial"/>
        </w:rPr>
        <w:fldChar w:fldCharType="end"/>
      </w:r>
      <w:r w:rsidRPr="00EF6860">
        <w:rPr>
          <w:rFonts w:cs="Arial"/>
          <w:lang w:val="es-ES"/>
        </w:rPr>
        <w:tab/>
      </w:r>
      <w:r w:rsidRPr="00EF6860">
        <w:rPr>
          <w:rFonts w:cs="Arial"/>
          <w:lang w:val="es-ES_tradnl"/>
        </w:rPr>
        <w:t>El TWF examinó el documento TWF/46/25 Rev “</w:t>
      </w:r>
      <w:r w:rsidRPr="00EF6860">
        <w:rPr>
          <w:rFonts w:cs="Arial"/>
          <w:i/>
          <w:lang w:val="es-ES"/>
        </w:rPr>
        <w:t>Duration of DUS tests in the fruit secto</w:t>
      </w:r>
      <w:r w:rsidRPr="00EF6860">
        <w:rPr>
          <w:rFonts w:cs="Arial"/>
          <w:i/>
          <w:lang w:val="es-ES_tradnl"/>
        </w:rPr>
        <w:t>r</w:t>
      </w:r>
      <w:r w:rsidRPr="00EF6860">
        <w:rPr>
          <w:rFonts w:cs="Arial"/>
          <w:lang w:val="es-ES_tradnl"/>
        </w:rPr>
        <w:t>” (Duración de los exámenes DHE en el sector frutícola).</w:t>
      </w:r>
      <w:r w:rsidRPr="00EF6860">
        <w:rPr>
          <w:rFonts w:cs="Arial"/>
          <w:lang w:val="es-ES"/>
        </w:rPr>
        <w:t xml:space="preserve"> </w:t>
      </w:r>
      <w:r w:rsidRPr="00EF6860">
        <w:rPr>
          <w:rFonts w:cs="Arial"/>
          <w:lang w:val="es-ES_tradnl"/>
        </w:rPr>
        <w:t>El TWF tomó nota de que, para algunas autoridades, la duración total de los exámenes DHE de las plantas frutales incluye el período necesario para el establecimiento de las plantas y convino en que debía ser factible concluir el examen DHE durante el período de establecimiento de las plantas cuando la autoridad examinadora tuviera la certeza de que el resultado sería negativo.</w:t>
      </w:r>
      <w:r w:rsidRPr="00EF6860">
        <w:rPr>
          <w:rFonts w:cs="Arial"/>
          <w:lang w:val="es-ES"/>
        </w:rPr>
        <w:t xml:space="preserve">  </w:t>
      </w:r>
      <w:r w:rsidRPr="00EF6860">
        <w:rPr>
          <w:rFonts w:cs="Arial"/>
          <w:lang w:val="es-ES_tradnl"/>
        </w:rPr>
        <w:t>El TWF también convino en que el examen DHE y la descripción de la variedad se pudieran completar tras el primer ciclo de cultivo y convino en invitar a la Unión Europea a que continúe elaborando una propuesta de acortamiento de los exámenes DHE en el sector frutícola que contemple las observaciones recibidas y estuvo de acuerdo en continuar los debates en su próxima sesión.</w:t>
      </w:r>
    </w:p>
    <w:p w:rsidR="00EF6860" w:rsidRPr="00EF6860" w:rsidRDefault="00EF6860" w:rsidP="00EF6860">
      <w:pPr>
        <w:rPr>
          <w:rFonts w:cs="Arial"/>
          <w:lang w:val="es-ES"/>
        </w:rPr>
      </w:pPr>
    </w:p>
    <w:p w:rsidR="00EF6860" w:rsidRPr="00EF6860" w:rsidRDefault="00EF6860" w:rsidP="00EF6860">
      <w:pPr>
        <w:rPr>
          <w:rFonts w:cs="Arial"/>
          <w:lang w:val="es-ES"/>
        </w:rPr>
      </w:pPr>
      <w:r w:rsidRPr="00EF6860">
        <w:rPr>
          <w:rFonts w:cs="Arial"/>
        </w:rPr>
        <w:fldChar w:fldCharType="begin"/>
      </w:r>
      <w:r w:rsidRPr="00EF6860">
        <w:rPr>
          <w:rFonts w:cs="Arial"/>
          <w:lang w:val="es-ES"/>
        </w:rPr>
        <w:instrText xml:space="preserve"> AUTONUM  </w:instrText>
      </w:r>
      <w:r w:rsidRPr="00EF6860">
        <w:rPr>
          <w:rFonts w:cs="Arial"/>
        </w:rPr>
        <w:fldChar w:fldCharType="end"/>
      </w:r>
      <w:r w:rsidRPr="00EF6860">
        <w:rPr>
          <w:rFonts w:cs="Arial"/>
          <w:lang w:val="es-ES"/>
        </w:rPr>
        <w:tab/>
      </w:r>
      <w:r w:rsidRPr="00EF6860">
        <w:rPr>
          <w:rFonts w:cs="Arial"/>
          <w:lang w:val="es-ES_tradnl"/>
        </w:rPr>
        <w:t>El TWF acordó presentar al TC los siguientes proyectos de directrices de examen para su aprobación:</w:t>
      </w:r>
      <w:r w:rsidRPr="00EF6860">
        <w:rPr>
          <w:rFonts w:cs="Arial"/>
          <w:iCs/>
          <w:color w:val="000000"/>
          <w:lang w:val="es-ES"/>
        </w:rPr>
        <w:t xml:space="preserve"> </w:t>
      </w:r>
      <w:r w:rsidRPr="00EF6860">
        <w:rPr>
          <w:rFonts w:cs="Arial"/>
          <w:color w:val="000000"/>
          <w:lang w:val="es-ES_tradnl"/>
        </w:rPr>
        <w:t>Portainjertos de aguacate;</w:t>
      </w:r>
      <w:r w:rsidRPr="00EF6860">
        <w:rPr>
          <w:rFonts w:cs="Arial"/>
          <w:iCs/>
          <w:color w:val="000000"/>
          <w:lang w:val="es-ES"/>
        </w:rPr>
        <w:t xml:space="preserve"> </w:t>
      </w:r>
      <w:r w:rsidRPr="00EF6860">
        <w:rPr>
          <w:rFonts w:cs="Arial"/>
          <w:lang w:val="es-ES_tradnl"/>
        </w:rPr>
        <w:t>Cocotero.</w:t>
      </w:r>
      <w:r w:rsidRPr="00EF6860">
        <w:rPr>
          <w:rFonts w:cs="Arial"/>
          <w:iCs/>
          <w:color w:val="000000"/>
          <w:lang w:val="es-ES"/>
        </w:rPr>
        <w:t xml:space="preserve">  </w:t>
      </w:r>
      <w:r w:rsidRPr="00EF6860">
        <w:rPr>
          <w:rFonts w:cs="Arial"/>
          <w:lang w:val="es-ES_tradnl"/>
        </w:rPr>
        <w:t>El TWF acordó examinar 12 proyectos de directrices de examen en su cuadragésima séptima sesión.</w:t>
      </w:r>
    </w:p>
    <w:p w:rsidR="00EF6860" w:rsidRPr="00EF6860" w:rsidRDefault="00EF6860" w:rsidP="00EF6860">
      <w:pPr>
        <w:rPr>
          <w:rFonts w:cs="Arial"/>
          <w:lang w:val="es-ES"/>
        </w:rPr>
      </w:pPr>
    </w:p>
    <w:p w:rsidR="00EF6860" w:rsidRPr="00EF6860" w:rsidRDefault="00EF6860" w:rsidP="00EF6860">
      <w:pPr>
        <w:rPr>
          <w:rFonts w:cs="Arial"/>
          <w:lang w:val="es-ES"/>
        </w:rPr>
      </w:pPr>
      <w:r w:rsidRPr="00EF6860">
        <w:rPr>
          <w:rFonts w:cs="Arial"/>
        </w:rPr>
        <w:fldChar w:fldCharType="begin"/>
      </w:r>
      <w:r w:rsidRPr="00EF6860">
        <w:rPr>
          <w:rFonts w:cs="Arial"/>
          <w:lang w:val="es-ES"/>
        </w:rPr>
        <w:instrText xml:space="preserve"> AUTONUM  </w:instrText>
      </w:r>
      <w:r w:rsidRPr="00EF6860">
        <w:rPr>
          <w:rFonts w:cs="Arial"/>
        </w:rPr>
        <w:fldChar w:fldCharType="end"/>
      </w:r>
      <w:r w:rsidRPr="00EF6860">
        <w:rPr>
          <w:rFonts w:cs="Arial"/>
          <w:lang w:val="es-ES"/>
        </w:rPr>
        <w:tab/>
      </w:r>
      <w:r w:rsidRPr="00EF6860">
        <w:rPr>
          <w:rFonts w:cs="Arial"/>
          <w:lang w:val="es-ES_tradnl"/>
        </w:rPr>
        <w:t>Por invitación de la Unión Europea, el TWF acordó celebrar su cuadragésima séptima sesión en Angers (Francia) del 14 al 18 de noviembre de 2016, y el taller preparatorio el 13 de noviembre de 2016.</w:t>
      </w:r>
    </w:p>
    <w:p w:rsidR="00EF6860" w:rsidRPr="00EF6860" w:rsidRDefault="00EF6860" w:rsidP="00EF6860">
      <w:pPr>
        <w:rPr>
          <w:rFonts w:cs="Arial"/>
          <w:lang w:val="es-ES"/>
        </w:rPr>
      </w:pPr>
    </w:p>
    <w:p w:rsidR="00EF6860" w:rsidRPr="00EF6860" w:rsidRDefault="00EF6860" w:rsidP="00EF6860">
      <w:pPr>
        <w:rPr>
          <w:rFonts w:cs="Arial"/>
          <w:lang w:val="es-ES"/>
        </w:rPr>
      </w:pPr>
      <w:r w:rsidRPr="00EF6860">
        <w:rPr>
          <w:rFonts w:cs="Arial"/>
        </w:rPr>
        <w:fldChar w:fldCharType="begin"/>
      </w:r>
      <w:r w:rsidRPr="00EF6860">
        <w:rPr>
          <w:rFonts w:cs="Arial"/>
          <w:lang w:val="es-ES"/>
        </w:rPr>
        <w:instrText xml:space="preserve"> AUTONUM  </w:instrText>
      </w:r>
      <w:r w:rsidRPr="00EF6860">
        <w:rPr>
          <w:rFonts w:cs="Arial"/>
        </w:rPr>
        <w:fldChar w:fldCharType="end"/>
      </w:r>
      <w:r w:rsidRPr="00EF6860">
        <w:rPr>
          <w:rFonts w:cs="Arial"/>
          <w:lang w:val="es-ES"/>
        </w:rPr>
        <w:tab/>
      </w:r>
      <w:r w:rsidRPr="00EF6860">
        <w:rPr>
          <w:rFonts w:cs="Arial"/>
          <w:lang w:val="es-ES_tradnl"/>
        </w:rPr>
        <w:t>El TWF propuso examinar los siguientes puntos en su próxima reunión:</w:t>
      </w:r>
    </w:p>
    <w:p w:rsidR="00EF6860" w:rsidRPr="00EF6860" w:rsidRDefault="00EF6860" w:rsidP="00EF6860">
      <w:pPr>
        <w:rPr>
          <w:lang w:val="es-ES"/>
        </w:rPr>
      </w:pPr>
    </w:p>
    <w:p w:rsidR="00EF6860" w:rsidRPr="00EF6860" w:rsidRDefault="00EF6860" w:rsidP="00EF6860">
      <w:pPr>
        <w:ind w:left="1134" w:hanging="567"/>
        <w:rPr>
          <w:rFonts w:cs="Arial"/>
          <w:lang w:val="es-ES_tradnl"/>
        </w:rPr>
      </w:pPr>
      <w:r w:rsidRPr="00EF6860">
        <w:rPr>
          <w:rFonts w:cs="Arial"/>
          <w:lang w:val="es-ES"/>
        </w:rPr>
        <w:t>1.</w:t>
      </w:r>
      <w:r w:rsidRPr="00EF6860">
        <w:rPr>
          <w:rFonts w:cs="Arial"/>
          <w:lang w:val="es-ES"/>
        </w:rPr>
        <w:tab/>
      </w:r>
      <w:r w:rsidRPr="00EF6860">
        <w:rPr>
          <w:rFonts w:cs="Arial"/>
          <w:lang w:val="es-ES_tradnl"/>
        </w:rPr>
        <w:t>Apertura de la sesión</w:t>
      </w:r>
    </w:p>
    <w:p w:rsidR="00EF6860" w:rsidRPr="00EF6860" w:rsidRDefault="00EF6860" w:rsidP="00EF6860">
      <w:pPr>
        <w:ind w:left="1134" w:hanging="567"/>
        <w:rPr>
          <w:rFonts w:cs="Arial"/>
          <w:lang w:val="es-ES_tradnl"/>
        </w:rPr>
      </w:pPr>
      <w:r w:rsidRPr="00EF6860">
        <w:rPr>
          <w:rFonts w:cs="Arial"/>
          <w:lang w:val="es-ES_tradnl"/>
        </w:rPr>
        <w:t>2.</w:t>
      </w:r>
      <w:r w:rsidRPr="00EF6860">
        <w:rPr>
          <w:rFonts w:cs="Arial"/>
          <w:lang w:val="es-ES_tradnl"/>
        </w:rPr>
        <w:tab/>
        <w:t>Aprobación del orden del día</w:t>
      </w:r>
    </w:p>
    <w:p w:rsidR="00EF6860" w:rsidRPr="00EF6860" w:rsidRDefault="00EF6860" w:rsidP="00EF6860">
      <w:pPr>
        <w:ind w:left="1134" w:hanging="567"/>
        <w:rPr>
          <w:rFonts w:cs="Arial"/>
          <w:lang w:val="es-ES"/>
        </w:rPr>
      </w:pPr>
      <w:r w:rsidRPr="00EF6860">
        <w:rPr>
          <w:rFonts w:cs="Arial"/>
          <w:lang w:val="es-ES_tradnl"/>
        </w:rPr>
        <w:t>3.</w:t>
      </w:r>
      <w:r w:rsidRPr="00EF6860">
        <w:rPr>
          <w:rFonts w:cs="Arial"/>
          <w:lang w:val="es-ES_tradnl"/>
        </w:rPr>
        <w:tab/>
        <w:t>Breves informes sobre los avances logrados en la protección de las variedades vegetales</w:t>
      </w:r>
    </w:p>
    <w:p w:rsidR="00EF6860" w:rsidRPr="00EF6860" w:rsidRDefault="00EF6860" w:rsidP="00EF6860">
      <w:pPr>
        <w:ind w:left="1701" w:hanging="567"/>
        <w:rPr>
          <w:rFonts w:cs="Arial"/>
          <w:lang w:val="es-ES"/>
        </w:rPr>
      </w:pPr>
      <w:r w:rsidRPr="00EF6860">
        <w:rPr>
          <w:rFonts w:cs="Arial"/>
          <w:lang w:val="es-ES"/>
        </w:rPr>
        <w:t>a)</w:t>
      </w:r>
      <w:r w:rsidRPr="00EF6860">
        <w:rPr>
          <w:rFonts w:cs="Arial"/>
          <w:lang w:val="es-ES"/>
        </w:rPr>
        <w:tab/>
      </w:r>
      <w:r w:rsidRPr="00EF6860">
        <w:rPr>
          <w:rFonts w:cs="Arial"/>
          <w:lang w:val="es-ES_tradnl"/>
        </w:rPr>
        <w:t>Informes de los miembros y observadores (informes escritos que elaborarán los miembros y observadores)</w:t>
      </w:r>
    </w:p>
    <w:p w:rsidR="00EF6860" w:rsidRPr="00EF6860" w:rsidRDefault="00EF6860" w:rsidP="00EF6860">
      <w:pPr>
        <w:ind w:left="1701" w:hanging="567"/>
        <w:rPr>
          <w:rFonts w:cs="Arial"/>
          <w:lang w:val="es-ES"/>
        </w:rPr>
      </w:pPr>
      <w:r w:rsidRPr="00EF6860">
        <w:rPr>
          <w:rFonts w:cs="Arial"/>
          <w:lang w:val="es-ES"/>
        </w:rPr>
        <w:t>b)</w:t>
      </w:r>
      <w:r w:rsidRPr="00EF6860">
        <w:rPr>
          <w:rFonts w:cs="Arial"/>
          <w:lang w:val="es-ES"/>
        </w:rPr>
        <w:tab/>
      </w:r>
      <w:r w:rsidRPr="00EF6860">
        <w:rPr>
          <w:rFonts w:cs="Arial"/>
          <w:lang w:val="es-ES_tradnl"/>
        </w:rPr>
        <w:t>Informes sobre los avances logrados en la UPOV (informe verbal de la Oficina de la Unión)</w:t>
      </w:r>
    </w:p>
    <w:p w:rsidR="00EF6860" w:rsidRPr="00EF6860" w:rsidRDefault="00EF6860" w:rsidP="00EF6860">
      <w:pPr>
        <w:ind w:left="1134" w:hanging="567"/>
        <w:rPr>
          <w:rFonts w:cs="Arial"/>
          <w:lang w:val="es-ES_tradnl"/>
        </w:rPr>
      </w:pPr>
      <w:r w:rsidRPr="00EF6860">
        <w:rPr>
          <w:rFonts w:cs="Arial"/>
          <w:lang w:val="es-ES"/>
        </w:rPr>
        <w:t>4.</w:t>
      </w:r>
      <w:r w:rsidRPr="00EF6860">
        <w:rPr>
          <w:rFonts w:cs="Arial"/>
          <w:lang w:val="es-ES"/>
        </w:rPr>
        <w:tab/>
      </w:r>
      <w:r w:rsidRPr="00EF6860">
        <w:rPr>
          <w:rFonts w:cs="Arial"/>
          <w:lang w:val="es-ES_tradnl"/>
        </w:rPr>
        <w:t>Técnicas moleculares (documento que elaborará la Oficina de la Unión)</w:t>
      </w:r>
    </w:p>
    <w:p w:rsidR="00EF6860" w:rsidRPr="00EF6860" w:rsidRDefault="00EF6860" w:rsidP="00EF6860">
      <w:pPr>
        <w:ind w:left="1134" w:hanging="567"/>
        <w:rPr>
          <w:rFonts w:cs="Arial"/>
          <w:lang w:val="es-ES_tradnl"/>
        </w:rPr>
      </w:pPr>
      <w:r w:rsidRPr="00EF6860">
        <w:rPr>
          <w:rFonts w:cs="Arial"/>
          <w:lang w:val="es-ES_tradnl"/>
        </w:rPr>
        <w:t>5.</w:t>
      </w:r>
      <w:r w:rsidRPr="00EF6860">
        <w:rPr>
          <w:rFonts w:cs="Arial"/>
          <w:lang w:val="es-ES_tradnl"/>
        </w:rPr>
        <w:tab/>
        <w:t>Documentos TGP (documentos que elaborará la Oficina de la Unión)</w:t>
      </w:r>
    </w:p>
    <w:p w:rsidR="00EF6860" w:rsidRPr="00EF6860" w:rsidRDefault="00EF6860" w:rsidP="00EF6860">
      <w:pPr>
        <w:ind w:left="1134" w:hanging="567"/>
        <w:rPr>
          <w:rFonts w:cs="Arial"/>
          <w:lang w:val="es-ES_tradnl"/>
        </w:rPr>
      </w:pPr>
      <w:r w:rsidRPr="00EF6860">
        <w:rPr>
          <w:rFonts w:cs="Arial"/>
          <w:lang w:val="es-ES_tradnl"/>
        </w:rPr>
        <w:t>6.</w:t>
      </w:r>
      <w:r w:rsidRPr="00EF6860">
        <w:rPr>
          <w:rFonts w:cs="Arial"/>
          <w:lang w:val="es-ES_tradnl"/>
        </w:rPr>
        <w:tab/>
        <w:t>Denominaciones de variedades (documento que elaborará la Oficina de la Unión)</w:t>
      </w:r>
    </w:p>
    <w:p w:rsidR="00EF6860" w:rsidRPr="00EF6860" w:rsidRDefault="00EF6860" w:rsidP="00EF6860">
      <w:pPr>
        <w:ind w:left="1134" w:hanging="567"/>
        <w:rPr>
          <w:rFonts w:cs="Arial"/>
          <w:lang w:val="es-ES"/>
        </w:rPr>
      </w:pPr>
      <w:r w:rsidRPr="00EF6860">
        <w:rPr>
          <w:rFonts w:cs="Arial"/>
          <w:lang w:val="es-ES_tradnl"/>
        </w:rPr>
        <w:t>7.</w:t>
      </w:r>
      <w:r w:rsidRPr="00EF6860">
        <w:rPr>
          <w:rFonts w:cs="Arial"/>
          <w:lang w:val="es-ES_tradnl"/>
        </w:rPr>
        <w:tab/>
        <w:t>Información y bases de datos</w:t>
      </w:r>
    </w:p>
    <w:p w:rsidR="00EF6860" w:rsidRPr="00EF6860" w:rsidRDefault="00EF6860" w:rsidP="00EF6860">
      <w:pPr>
        <w:ind w:left="1701" w:hanging="567"/>
        <w:rPr>
          <w:rFonts w:cs="Arial"/>
          <w:lang w:val="es-ES"/>
        </w:rPr>
      </w:pPr>
      <w:r w:rsidRPr="00EF6860">
        <w:rPr>
          <w:rFonts w:cs="Arial"/>
          <w:lang w:val="es-ES"/>
        </w:rPr>
        <w:t>a)</w:t>
      </w:r>
      <w:r w:rsidRPr="00EF6860">
        <w:rPr>
          <w:rFonts w:cs="Arial"/>
          <w:lang w:val="es-ES"/>
        </w:rPr>
        <w:tab/>
      </w:r>
      <w:r w:rsidRPr="00EF6860">
        <w:rPr>
          <w:rFonts w:cs="Arial"/>
          <w:lang w:val="es-ES_tradnl"/>
        </w:rPr>
        <w:t>Bases de datos de información de la UPOV (documentos que elaborará la Oficina de la Unión)</w:t>
      </w:r>
    </w:p>
    <w:p w:rsidR="00EF6860" w:rsidRPr="00EF6860" w:rsidRDefault="00EF6860" w:rsidP="00EF6860">
      <w:pPr>
        <w:ind w:left="1701" w:hanging="567"/>
        <w:jc w:val="left"/>
        <w:rPr>
          <w:rFonts w:cs="Arial"/>
          <w:lang w:val="es-ES"/>
        </w:rPr>
      </w:pPr>
      <w:r w:rsidRPr="00EF6860">
        <w:rPr>
          <w:rFonts w:cs="Arial"/>
          <w:lang w:val="es-ES"/>
        </w:rPr>
        <w:t>b)</w:t>
      </w:r>
      <w:r w:rsidRPr="00EF6860">
        <w:rPr>
          <w:rFonts w:cs="Arial"/>
          <w:lang w:val="es-ES"/>
        </w:rPr>
        <w:tab/>
      </w:r>
      <w:r w:rsidRPr="00EF6860">
        <w:rPr>
          <w:rFonts w:cs="Arial"/>
          <w:lang w:val="es-ES_tradnl"/>
        </w:rPr>
        <w:t>Bases de datos de descripciones de variedades (documentos que elaborará la Oficina de la Unión)</w:t>
      </w:r>
    </w:p>
    <w:p w:rsidR="00EF6860" w:rsidRPr="00EF6860" w:rsidRDefault="00EF6860" w:rsidP="00EF6860">
      <w:pPr>
        <w:ind w:left="1701" w:hanging="567"/>
        <w:rPr>
          <w:rFonts w:cs="Arial"/>
          <w:lang w:val="es-ES"/>
        </w:rPr>
      </w:pPr>
      <w:r w:rsidRPr="00EF6860">
        <w:rPr>
          <w:rFonts w:cs="Arial"/>
          <w:lang w:val="es-ES"/>
        </w:rPr>
        <w:t>c)</w:t>
      </w:r>
      <w:r w:rsidRPr="00EF6860">
        <w:rPr>
          <w:rFonts w:cs="Arial"/>
          <w:lang w:val="es-ES"/>
        </w:rPr>
        <w:tab/>
      </w:r>
      <w:r w:rsidRPr="00EF6860">
        <w:rPr>
          <w:rFonts w:cs="Arial"/>
          <w:lang w:val="es-ES_tradnl"/>
        </w:rPr>
        <w:t>Programas informáticos para intercambio (documento que elaborará la Oficina de la Unión)</w:t>
      </w:r>
    </w:p>
    <w:p w:rsidR="00EF6860" w:rsidRPr="00EF6860" w:rsidRDefault="00EF6860" w:rsidP="00EF6860">
      <w:pPr>
        <w:ind w:left="1701" w:hanging="567"/>
        <w:rPr>
          <w:rFonts w:cs="Arial"/>
          <w:lang w:val="es-ES"/>
        </w:rPr>
      </w:pPr>
      <w:r w:rsidRPr="00EF6860">
        <w:rPr>
          <w:rFonts w:cs="Arial"/>
          <w:lang w:val="es-ES"/>
        </w:rPr>
        <w:t>d)</w:t>
      </w:r>
      <w:r w:rsidRPr="00EF6860">
        <w:rPr>
          <w:rFonts w:cs="Arial"/>
          <w:lang w:val="es-ES"/>
        </w:rPr>
        <w:tab/>
      </w:r>
      <w:r w:rsidRPr="00EF6860">
        <w:rPr>
          <w:rFonts w:cs="Arial"/>
          <w:lang w:val="es-ES_tradnl"/>
        </w:rPr>
        <w:t>Sistemas de presentación electrónica de solicitudes (documento que elaborará la Oficina de la Unión)</w:t>
      </w:r>
    </w:p>
    <w:p w:rsidR="00EF6860" w:rsidRPr="00EF6860" w:rsidRDefault="00EF6860" w:rsidP="00EF6860">
      <w:pPr>
        <w:ind w:left="1134" w:hanging="567"/>
        <w:rPr>
          <w:rFonts w:cs="Arial"/>
          <w:lang w:val="es-ES_tradnl"/>
        </w:rPr>
      </w:pPr>
      <w:r w:rsidRPr="00EF6860">
        <w:rPr>
          <w:rFonts w:cs="Arial"/>
          <w:lang w:val="es-ES"/>
        </w:rPr>
        <w:t>8.</w:t>
      </w:r>
      <w:r w:rsidRPr="00EF6860">
        <w:rPr>
          <w:rFonts w:cs="Arial"/>
          <w:lang w:val="es-ES"/>
        </w:rPr>
        <w:tab/>
      </w:r>
      <w:r w:rsidRPr="00EF6860">
        <w:rPr>
          <w:rFonts w:cs="Arial"/>
          <w:lang w:val="es-ES_tradnl"/>
        </w:rPr>
        <w:t>Evaluación de la homogeneidad (documento que elaborará la Oficina de la Unión)</w:t>
      </w:r>
    </w:p>
    <w:p w:rsidR="00EF6860" w:rsidRPr="00EF6860" w:rsidRDefault="00EF6860" w:rsidP="00EF6860">
      <w:pPr>
        <w:ind w:left="1134" w:hanging="567"/>
        <w:rPr>
          <w:rFonts w:cs="Arial"/>
          <w:lang w:val="es-ES_tradnl"/>
        </w:rPr>
      </w:pPr>
      <w:r w:rsidRPr="00EF6860">
        <w:rPr>
          <w:rFonts w:cs="Arial"/>
          <w:lang w:val="es-ES_tradnl"/>
        </w:rPr>
        <w:t>9.</w:t>
      </w:r>
      <w:r w:rsidRPr="00EF6860">
        <w:rPr>
          <w:rFonts w:cs="Arial"/>
          <w:lang w:val="es-ES_tradnl"/>
        </w:rPr>
        <w:tab/>
        <w:t>Experiencias con nuevos tipos y especies (invitación a presentar informes verbales)</w:t>
      </w:r>
    </w:p>
    <w:p w:rsidR="00EF6860" w:rsidRPr="00EF6860" w:rsidRDefault="00EF6860" w:rsidP="00EF6860">
      <w:pPr>
        <w:ind w:left="1134" w:hanging="567"/>
        <w:rPr>
          <w:rFonts w:cs="Arial"/>
          <w:color w:val="000000"/>
          <w:lang w:val="es-ES"/>
        </w:rPr>
      </w:pPr>
      <w:r w:rsidRPr="00EF6860">
        <w:rPr>
          <w:rFonts w:cs="Arial"/>
          <w:lang w:val="es-ES_tradnl"/>
        </w:rPr>
        <w:t>10.</w:t>
      </w:r>
      <w:r w:rsidRPr="00EF6860">
        <w:rPr>
          <w:rFonts w:cs="Arial"/>
          <w:lang w:val="es-ES_tradnl"/>
        </w:rPr>
        <w:tab/>
        <w:t>Gestió</w:t>
      </w:r>
      <w:r w:rsidRPr="00EF6860">
        <w:rPr>
          <w:rFonts w:cs="Arial"/>
          <w:color w:val="000000"/>
          <w:lang w:val="es-ES_tradnl"/>
        </w:rPr>
        <w:t>n de las colecciones de variedades (</w:t>
      </w:r>
      <w:r w:rsidRPr="00EF6860">
        <w:rPr>
          <w:rFonts w:cs="Arial"/>
          <w:lang w:val="es-ES_tradnl"/>
        </w:rPr>
        <w:t xml:space="preserve">invitación a presentar </w:t>
      </w:r>
      <w:r w:rsidRPr="00EF6860">
        <w:rPr>
          <w:rFonts w:cs="Arial"/>
          <w:color w:val="000000"/>
          <w:lang w:val="es-ES_tradnl"/>
        </w:rPr>
        <w:t>informes verbales)</w:t>
      </w:r>
    </w:p>
    <w:p w:rsidR="00EF6860" w:rsidRPr="00EF6860" w:rsidRDefault="00EF6860" w:rsidP="00EF6860">
      <w:pPr>
        <w:ind w:left="1134" w:hanging="567"/>
        <w:rPr>
          <w:rFonts w:cs="Arial"/>
          <w:lang w:val="es-ES"/>
        </w:rPr>
      </w:pPr>
      <w:r w:rsidRPr="00EF6860">
        <w:rPr>
          <w:rFonts w:cs="Arial"/>
          <w:color w:val="000000"/>
          <w:lang w:val="es-ES"/>
        </w:rPr>
        <w:t>11.</w:t>
      </w:r>
      <w:r w:rsidRPr="00EF6860">
        <w:rPr>
          <w:rFonts w:cs="Arial"/>
          <w:color w:val="000000"/>
          <w:lang w:val="es-ES"/>
        </w:rPr>
        <w:tab/>
      </w:r>
      <w:r w:rsidRPr="00EF6860">
        <w:rPr>
          <w:rFonts w:cs="Arial"/>
          <w:lang w:val="es-ES_tradnl"/>
        </w:rPr>
        <w:t>Duración</w:t>
      </w:r>
      <w:r w:rsidRPr="00EF6860">
        <w:rPr>
          <w:rFonts w:cs="Arial"/>
          <w:color w:val="000000"/>
          <w:lang w:val="es-ES_tradnl"/>
        </w:rPr>
        <w:t xml:space="preserve"> de los exámenes DHE en el sector frutícola (documento que elaborará la Unión Europea)</w:t>
      </w:r>
    </w:p>
    <w:p w:rsidR="00EF6860" w:rsidRPr="00EF6860" w:rsidRDefault="00EF6860" w:rsidP="00EF6860">
      <w:pPr>
        <w:ind w:left="1134" w:hanging="567"/>
        <w:rPr>
          <w:rFonts w:cs="Arial"/>
          <w:color w:val="000000"/>
          <w:lang w:val="es-ES"/>
        </w:rPr>
      </w:pPr>
      <w:r w:rsidRPr="00EF6860">
        <w:rPr>
          <w:rFonts w:cs="Arial"/>
          <w:color w:val="000000"/>
          <w:lang w:val="es-ES"/>
        </w:rPr>
        <w:t>12.</w:t>
      </w:r>
      <w:r w:rsidRPr="00EF6860">
        <w:rPr>
          <w:rFonts w:cs="Arial"/>
          <w:color w:val="000000"/>
          <w:lang w:val="es-ES"/>
        </w:rPr>
        <w:tab/>
      </w:r>
      <w:r w:rsidRPr="00EF6860">
        <w:rPr>
          <w:rFonts w:cs="Arial"/>
          <w:lang w:val="es-ES_tradnl"/>
        </w:rPr>
        <w:t>Manual comparativo para la armonización de las descripciones de variedades</w:t>
      </w:r>
      <w:r w:rsidRPr="00EF6860">
        <w:rPr>
          <w:rFonts w:cs="Arial"/>
          <w:color w:val="000000"/>
          <w:lang w:val="es-ES_tradnl"/>
        </w:rPr>
        <w:t xml:space="preserve"> del manzano (documento que elaborará la Unión Europea)</w:t>
      </w:r>
    </w:p>
    <w:p w:rsidR="00EF6860" w:rsidRPr="00EF6860" w:rsidRDefault="00EF6860" w:rsidP="00EF6860">
      <w:pPr>
        <w:ind w:left="1134" w:hanging="567"/>
        <w:rPr>
          <w:rFonts w:cs="Arial"/>
          <w:color w:val="000000"/>
          <w:lang w:val="es-ES"/>
        </w:rPr>
      </w:pPr>
      <w:r w:rsidRPr="00EF6860">
        <w:rPr>
          <w:rFonts w:cs="Arial"/>
          <w:color w:val="000000"/>
          <w:lang w:val="es-ES"/>
        </w:rPr>
        <w:t>13.</w:t>
      </w:r>
      <w:r w:rsidRPr="00EF6860">
        <w:rPr>
          <w:rFonts w:cs="Arial"/>
          <w:color w:val="000000"/>
          <w:lang w:val="es-ES"/>
        </w:rPr>
        <w:tab/>
      </w:r>
      <w:r w:rsidRPr="00EF6860">
        <w:rPr>
          <w:rFonts w:cs="Arial"/>
          <w:color w:val="000000"/>
          <w:lang w:val="es-ES_tradnl"/>
        </w:rPr>
        <w:t>Asuntos relativos a las descripciones de variedades (documento que elaborará la Oficina de la Unión e invitación a presentar documentos)</w:t>
      </w:r>
    </w:p>
    <w:p w:rsidR="00EF6860" w:rsidRPr="00EF6860" w:rsidRDefault="00EF6860" w:rsidP="00EF6860">
      <w:pPr>
        <w:ind w:left="1134" w:hanging="567"/>
        <w:rPr>
          <w:rFonts w:cs="Arial"/>
          <w:color w:val="000000"/>
          <w:lang w:val="es-ES"/>
        </w:rPr>
      </w:pPr>
      <w:r w:rsidRPr="00EF6860">
        <w:rPr>
          <w:rFonts w:cs="Arial"/>
          <w:color w:val="000000"/>
          <w:lang w:val="es-ES"/>
        </w:rPr>
        <w:t>14.</w:t>
      </w:r>
      <w:r w:rsidRPr="00EF6860">
        <w:rPr>
          <w:rFonts w:cs="Arial"/>
          <w:color w:val="000000"/>
          <w:lang w:val="es-ES"/>
        </w:rPr>
        <w:tab/>
      </w:r>
      <w:r w:rsidRPr="00EF6860">
        <w:rPr>
          <w:rFonts w:cs="Arial"/>
          <w:lang w:val="es-ES_tradnl"/>
        </w:rPr>
        <w:t>Propuesta</w:t>
      </w:r>
      <w:r w:rsidRPr="00EF6860">
        <w:rPr>
          <w:rFonts w:cs="Arial"/>
          <w:color w:val="000000"/>
          <w:lang w:val="es-ES_tradnl"/>
        </w:rPr>
        <w:t xml:space="preserve"> de revisión del término “recurvado” (documento que elaborará Israel)</w:t>
      </w:r>
    </w:p>
    <w:p w:rsidR="00EF6860" w:rsidRPr="00EF6860" w:rsidRDefault="00EF6860" w:rsidP="00EF6860">
      <w:pPr>
        <w:ind w:left="1134" w:hanging="567"/>
        <w:rPr>
          <w:rFonts w:cs="Arial"/>
          <w:lang w:val="es-ES"/>
        </w:rPr>
      </w:pPr>
      <w:r w:rsidRPr="00EF6860">
        <w:rPr>
          <w:rFonts w:cs="Arial"/>
          <w:lang w:val="es-ES"/>
        </w:rPr>
        <w:t>15.</w:t>
      </w:r>
      <w:r w:rsidRPr="00EF6860">
        <w:rPr>
          <w:rFonts w:cs="Arial"/>
          <w:lang w:val="es-ES"/>
        </w:rPr>
        <w:tab/>
      </w:r>
      <w:r w:rsidRPr="00EF6860">
        <w:rPr>
          <w:rFonts w:cs="Arial"/>
          <w:lang w:val="es-ES_tradnl"/>
        </w:rPr>
        <w:t>Cuestiones por resolver en lo que respecta a directrices de examen aprobadas por el Comité Técnico</w:t>
      </w:r>
      <w:r w:rsidRPr="00EF6860">
        <w:rPr>
          <w:rFonts w:cs="Arial"/>
          <w:lang w:val="es-ES"/>
        </w:rPr>
        <w:t xml:space="preserve"> </w:t>
      </w:r>
    </w:p>
    <w:p w:rsidR="00EF6860" w:rsidRPr="00EF6860" w:rsidRDefault="00EF6860" w:rsidP="00EF6860">
      <w:pPr>
        <w:ind w:left="1134" w:hanging="567"/>
        <w:rPr>
          <w:rFonts w:cs="Arial"/>
          <w:lang w:val="es-ES_tradnl"/>
        </w:rPr>
      </w:pPr>
      <w:r w:rsidRPr="00EF6860">
        <w:rPr>
          <w:lang w:val="es-ES"/>
        </w:rPr>
        <w:t>16.</w:t>
      </w:r>
      <w:r w:rsidRPr="00EF6860">
        <w:rPr>
          <w:lang w:val="es-ES"/>
        </w:rPr>
        <w:tab/>
      </w:r>
      <w:r w:rsidRPr="00EF6860">
        <w:rPr>
          <w:lang w:val="es-ES_tradnl"/>
        </w:rPr>
        <w:t>Propue</w:t>
      </w:r>
      <w:r w:rsidRPr="00EF6860">
        <w:rPr>
          <w:rFonts w:cs="Arial"/>
          <w:lang w:val="es-ES_tradnl"/>
        </w:rPr>
        <w:t xml:space="preserve">stas de revisión parcial/correcciones de directrices de examen </w:t>
      </w:r>
    </w:p>
    <w:p w:rsidR="00EF6860" w:rsidRPr="00EF6860" w:rsidRDefault="00EF6860" w:rsidP="00EF6860">
      <w:pPr>
        <w:ind w:left="1134" w:hanging="567"/>
        <w:rPr>
          <w:rFonts w:cs="Arial"/>
          <w:lang w:val="es-ES_tradnl"/>
        </w:rPr>
      </w:pPr>
      <w:r w:rsidRPr="00EF6860">
        <w:rPr>
          <w:rFonts w:cs="Arial"/>
          <w:lang w:val="es-ES_tradnl"/>
        </w:rPr>
        <w:t>17.</w:t>
      </w:r>
      <w:r w:rsidRPr="00EF6860">
        <w:rPr>
          <w:rFonts w:cs="Arial"/>
          <w:lang w:val="es-ES_tradnl"/>
        </w:rPr>
        <w:tab/>
        <w:t>Debates sobre proyectos de directrices de examen (subgrupos)</w:t>
      </w:r>
    </w:p>
    <w:p w:rsidR="00EF6860" w:rsidRPr="00EF6860" w:rsidRDefault="00EF6860" w:rsidP="00EF6860">
      <w:pPr>
        <w:ind w:left="1134" w:hanging="567"/>
        <w:rPr>
          <w:rFonts w:cs="Arial"/>
          <w:lang w:val="es-ES_tradnl"/>
        </w:rPr>
      </w:pPr>
      <w:r w:rsidRPr="00EF6860">
        <w:rPr>
          <w:rFonts w:cs="Arial"/>
          <w:lang w:val="es-ES_tradnl"/>
        </w:rPr>
        <w:t>18.</w:t>
      </w:r>
      <w:r w:rsidRPr="00EF6860">
        <w:rPr>
          <w:rFonts w:cs="Arial"/>
          <w:lang w:val="es-ES_tradnl"/>
        </w:rPr>
        <w:tab/>
        <w:t>Recomendaciones sobre proyectos de directrices de examen</w:t>
      </w:r>
    </w:p>
    <w:p w:rsidR="00EF6860" w:rsidRPr="00EF6860" w:rsidRDefault="00EF6860" w:rsidP="00EF6860">
      <w:pPr>
        <w:ind w:left="1134" w:hanging="567"/>
        <w:rPr>
          <w:rFonts w:cs="Arial"/>
          <w:lang w:val="es-ES"/>
        </w:rPr>
      </w:pPr>
      <w:r w:rsidRPr="00EF6860">
        <w:rPr>
          <w:rFonts w:cs="Arial"/>
          <w:lang w:val="es-ES_tradnl"/>
        </w:rPr>
        <w:t>19.</w:t>
      </w:r>
      <w:r w:rsidRPr="00EF6860">
        <w:rPr>
          <w:rFonts w:cs="Arial"/>
          <w:lang w:val="es-ES_tradnl"/>
        </w:rPr>
        <w:tab/>
        <w:t>Guía para los redactores de las directrices de examen</w:t>
      </w:r>
    </w:p>
    <w:p w:rsidR="00EF6860" w:rsidRPr="00EF6860" w:rsidRDefault="00EF6860" w:rsidP="00EF6860">
      <w:pPr>
        <w:ind w:left="1134" w:hanging="567"/>
        <w:rPr>
          <w:rFonts w:cs="Arial"/>
          <w:color w:val="000000"/>
          <w:lang w:val="es-ES"/>
        </w:rPr>
      </w:pPr>
      <w:r w:rsidRPr="00EF6860">
        <w:rPr>
          <w:rFonts w:cs="Arial"/>
          <w:lang w:val="es-ES"/>
        </w:rPr>
        <w:t>20.</w:t>
      </w:r>
      <w:r w:rsidRPr="00EF6860">
        <w:rPr>
          <w:rFonts w:cs="Arial"/>
          <w:lang w:val="es-ES"/>
        </w:rPr>
        <w:tab/>
      </w:r>
      <w:r w:rsidRPr="00EF6860">
        <w:rPr>
          <w:rFonts w:cs="Arial"/>
          <w:lang w:val="es-ES_tradnl"/>
        </w:rPr>
        <w:t>Examen DHE de variedades mutantes de manzano (documento que elaborará la Unión Europea)</w:t>
      </w:r>
    </w:p>
    <w:p w:rsidR="00EF6860" w:rsidRPr="00EF6860" w:rsidRDefault="00EF6860" w:rsidP="00EF6860">
      <w:pPr>
        <w:ind w:left="1134" w:hanging="567"/>
        <w:rPr>
          <w:rFonts w:cs="Arial"/>
          <w:lang w:val="es-ES"/>
        </w:rPr>
      </w:pPr>
      <w:r w:rsidRPr="00EF6860">
        <w:rPr>
          <w:rFonts w:cs="Arial"/>
          <w:lang w:val="es-ES"/>
        </w:rPr>
        <w:t>21.</w:t>
      </w:r>
      <w:r w:rsidRPr="00EF6860">
        <w:rPr>
          <w:rFonts w:cs="Arial"/>
          <w:lang w:val="es-ES"/>
        </w:rPr>
        <w:tab/>
      </w:r>
      <w:r w:rsidRPr="00EF6860">
        <w:rPr>
          <w:rFonts w:cs="Arial"/>
          <w:lang w:val="es-ES_tradnl"/>
        </w:rPr>
        <w:t>La distancia mínima entre variedades (documento que elaborará la Unión Europea)</w:t>
      </w:r>
    </w:p>
    <w:p w:rsidR="00EF6860" w:rsidRPr="00EF6860" w:rsidRDefault="00EF6860" w:rsidP="00EF6860">
      <w:pPr>
        <w:ind w:left="1134" w:hanging="567"/>
        <w:rPr>
          <w:rFonts w:cs="Arial"/>
          <w:lang w:val="es-ES"/>
        </w:rPr>
      </w:pPr>
      <w:r w:rsidRPr="00EF6860">
        <w:rPr>
          <w:rFonts w:cs="Arial"/>
          <w:lang w:val="es-ES"/>
        </w:rPr>
        <w:t>22.</w:t>
      </w:r>
      <w:r w:rsidRPr="00EF6860">
        <w:rPr>
          <w:rFonts w:cs="Arial"/>
          <w:lang w:val="es-ES"/>
        </w:rPr>
        <w:tab/>
      </w:r>
      <w:r w:rsidRPr="00EF6860">
        <w:rPr>
          <w:rFonts w:cs="Arial"/>
          <w:lang w:val="es-ES_tradnl"/>
        </w:rPr>
        <w:t xml:space="preserve">Método de observación de los caracteres derivados (documento que elaborará Nueva Zelandia </w:t>
      </w:r>
      <w:r w:rsidRPr="00EF6860">
        <w:rPr>
          <w:rFonts w:cs="Arial"/>
          <w:color w:val="000000"/>
          <w:lang w:val="es-ES_tradnl"/>
        </w:rPr>
        <w:t>e invitación a presentar documentos</w:t>
      </w:r>
      <w:r w:rsidRPr="00EF6860">
        <w:rPr>
          <w:rFonts w:cs="Arial"/>
          <w:lang w:val="es-ES_tradnl"/>
        </w:rPr>
        <w:t>)</w:t>
      </w:r>
    </w:p>
    <w:p w:rsidR="00EF6860" w:rsidRPr="00EF6860" w:rsidRDefault="00EF6860" w:rsidP="00EF6860">
      <w:pPr>
        <w:ind w:left="1134" w:hanging="567"/>
        <w:rPr>
          <w:rFonts w:cs="Arial"/>
          <w:lang w:val="es-ES_tradnl"/>
        </w:rPr>
      </w:pPr>
      <w:r w:rsidRPr="00EF6860">
        <w:rPr>
          <w:rFonts w:cs="Arial"/>
          <w:lang w:val="es-ES"/>
        </w:rPr>
        <w:t>23.</w:t>
      </w:r>
      <w:r w:rsidRPr="00EF6860">
        <w:rPr>
          <w:rFonts w:cs="Arial"/>
          <w:lang w:val="es-ES"/>
        </w:rPr>
        <w:tab/>
      </w:r>
      <w:r w:rsidRPr="00EF6860">
        <w:rPr>
          <w:rFonts w:cs="Arial"/>
          <w:lang w:val="es-ES_tradnl"/>
        </w:rPr>
        <w:t>Fecha y lugar de la siguiente reunión</w:t>
      </w:r>
    </w:p>
    <w:p w:rsidR="00EF6860" w:rsidRPr="00EF6860" w:rsidRDefault="00EF6860" w:rsidP="00EF6860">
      <w:pPr>
        <w:ind w:left="1134" w:hanging="567"/>
        <w:rPr>
          <w:rFonts w:cs="Arial"/>
          <w:lang w:val="es-ES_tradnl"/>
        </w:rPr>
      </w:pPr>
      <w:r w:rsidRPr="00EF6860">
        <w:rPr>
          <w:rFonts w:cs="Arial"/>
          <w:lang w:val="es-ES_tradnl"/>
        </w:rPr>
        <w:t>24.</w:t>
      </w:r>
      <w:r w:rsidRPr="00EF6860">
        <w:rPr>
          <w:rFonts w:cs="Arial"/>
          <w:lang w:val="es-ES_tradnl"/>
        </w:rPr>
        <w:tab/>
        <w:t>Programa futuro</w:t>
      </w:r>
    </w:p>
    <w:p w:rsidR="00EF6860" w:rsidRPr="00EF6860" w:rsidRDefault="00EF6860" w:rsidP="00EF6860">
      <w:pPr>
        <w:ind w:left="1134" w:hanging="567"/>
        <w:rPr>
          <w:rFonts w:cs="Arial"/>
          <w:lang w:val="es-ES_tradnl"/>
        </w:rPr>
      </w:pPr>
      <w:r w:rsidRPr="00EF6860">
        <w:rPr>
          <w:rFonts w:cs="Arial"/>
          <w:lang w:val="es-ES_tradnl"/>
        </w:rPr>
        <w:t>25.</w:t>
      </w:r>
      <w:r w:rsidRPr="00EF6860">
        <w:rPr>
          <w:rFonts w:cs="Arial"/>
          <w:lang w:val="es-ES_tradnl"/>
        </w:rPr>
        <w:tab/>
        <w:t>Aprobación del informe de la reunión (si se dispone de tiempo suficiente)</w:t>
      </w:r>
    </w:p>
    <w:p w:rsidR="00EF6860" w:rsidRPr="00EF6860" w:rsidRDefault="00EF6860" w:rsidP="00EF6860">
      <w:pPr>
        <w:ind w:left="1134" w:hanging="567"/>
        <w:rPr>
          <w:rFonts w:cs="Arial"/>
          <w:lang w:val="es-ES"/>
        </w:rPr>
      </w:pPr>
      <w:r w:rsidRPr="00EF6860">
        <w:rPr>
          <w:rFonts w:cs="Arial"/>
          <w:lang w:val="es-ES_tradnl"/>
        </w:rPr>
        <w:t>26.</w:t>
      </w:r>
      <w:r w:rsidRPr="00EF6860">
        <w:rPr>
          <w:rFonts w:cs="Arial"/>
          <w:lang w:val="es-ES_tradnl"/>
        </w:rPr>
        <w:tab/>
        <w:t>Clausura de la reunión</w:t>
      </w:r>
    </w:p>
    <w:p w:rsidR="00EF6860" w:rsidRPr="00EF6860" w:rsidRDefault="00EF6860" w:rsidP="00EF6860">
      <w:pPr>
        <w:rPr>
          <w:rFonts w:cs="Arial"/>
          <w:lang w:val="es-ES"/>
        </w:rPr>
      </w:pPr>
    </w:p>
    <w:p w:rsidR="00EF6860" w:rsidRPr="00EF6860" w:rsidRDefault="00EF6860" w:rsidP="00EF6860">
      <w:pPr>
        <w:rPr>
          <w:rFonts w:cs="Arial"/>
          <w:lang w:val="es-ES"/>
        </w:rPr>
      </w:pPr>
      <w:r w:rsidRPr="00EF6860">
        <w:rPr>
          <w:rFonts w:cs="Arial"/>
        </w:rPr>
        <w:fldChar w:fldCharType="begin"/>
      </w:r>
      <w:r w:rsidRPr="00EF6860">
        <w:rPr>
          <w:rFonts w:cs="Arial"/>
          <w:lang w:val="es-ES"/>
        </w:rPr>
        <w:instrText xml:space="preserve"> AUTONUM  </w:instrText>
      </w:r>
      <w:r w:rsidRPr="00EF6860">
        <w:rPr>
          <w:rFonts w:cs="Arial"/>
        </w:rPr>
        <w:fldChar w:fldCharType="end"/>
      </w:r>
      <w:r w:rsidRPr="00EF6860">
        <w:rPr>
          <w:rFonts w:cs="Arial"/>
          <w:lang w:val="es-ES"/>
        </w:rPr>
        <w:tab/>
      </w:r>
      <w:r w:rsidRPr="00EF6860">
        <w:rPr>
          <w:rFonts w:cs="Arial"/>
          <w:lang w:val="es-ES_tradnl"/>
        </w:rPr>
        <w:t>El 26 de agosto de 2015 por la tarde, el TWF visitó el Consejo de Investigaciones Agrícolas de Cultivos Tropicales y Subtropicales (ARC-ITSC) en Mbombela, provincia de Mpumalanga, donde fue recibido por el Sr. Mduduzi Ngcobo, Jefe de Equipo de Investigación de la División de Horticultura y Poscosecha del ARC-ITSC, que ofreció una presentación general del ARC-ITSC.</w:t>
      </w:r>
      <w:r w:rsidRPr="00EF6860">
        <w:rPr>
          <w:rFonts w:cs="Arial"/>
          <w:lang w:val="es-ES"/>
        </w:rPr>
        <w:t xml:space="preserve">  </w:t>
      </w:r>
      <w:r w:rsidRPr="00EF6860">
        <w:rPr>
          <w:rFonts w:cs="Arial"/>
          <w:lang w:val="es-ES_tradnl"/>
        </w:rPr>
        <w:t>El TWF también asistió a una ponencia sobre el fitomejoramiento y la producción de aguacate, por el Sr. Theo Bekker, Director Técnico de Westfalia Technological Services, y a una ponencia sobre el árbol de marula, por el Sr. Dudley McKnight, Director General de Mirma Products.</w:t>
      </w:r>
      <w:r w:rsidRPr="00EF6860">
        <w:rPr>
          <w:rFonts w:cs="Arial"/>
          <w:lang w:val="es-ES"/>
        </w:rPr>
        <w:t xml:space="preserve"> </w:t>
      </w:r>
      <w:r w:rsidRPr="00EF6860">
        <w:rPr>
          <w:rFonts w:cs="Arial"/>
          <w:lang w:val="es-ES_tradnl"/>
        </w:rPr>
        <w:t>Además, el TWF visitó las colecciones de variedades y los programas de fitomejoramiento de maracuyá, litchi, aguacate y macadamia del ARC-ITSC.</w:t>
      </w:r>
    </w:p>
    <w:p w:rsidR="00EF6860" w:rsidRPr="00EF6860" w:rsidRDefault="00EF6860" w:rsidP="00EF6860">
      <w:pPr>
        <w:rPr>
          <w:lang w:val="es-ES"/>
        </w:rPr>
      </w:pPr>
    </w:p>
    <w:p w:rsidR="00EF6860" w:rsidRPr="00EF6860" w:rsidRDefault="00EF6860" w:rsidP="00EF6860">
      <w:pPr>
        <w:keepNext/>
        <w:outlineLvl w:val="2"/>
        <w:rPr>
          <w:i/>
          <w:lang w:val="es-ES"/>
        </w:rPr>
      </w:pPr>
      <w:bookmarkStart w:id="98" w:name="_Toc463512530"/>
      <w:r w:rsidRPr="00EF6860">
        <w:rPr>
          <w:i/>
          <w:lang w:val="es-ES_tradnl"/>
        </w:rPr>
        <w:t>Grupo de Trabajo Técnico sobre Plantas Ornamentales y Árboles Forestales</w:t>
      </w:r>
      <w:bookmarkEnd w:id="98"/>
    </w:p>
    <w:p w:rsidR="00EF6860" w:rsidRPr="00EF6860" w:rsidRDefault="00EF6860" w:rsidP="00EF6860">
      <w:pPr>
        <w:keepNext/>
        <w:rPr>
          <w:lang w:val="es-ES"/>
        </w:rPr>
      </w:pPr>
    </w:p>
    <w:p w:rsidR="00EF6860" w:rsidRPr="00EF6860" w:rsidRDefault="00EF6860" w:rsidP="00EF6860">
      <w:pPr>
        <w:keepNext/>
        <w:rPr>
          <w:rFonts w:cs="Arial"/>
          <w:lang w:val="es-ES"/>
        </w:rPr>
      </w:pPr>
      <w:r w:rsidRPr="00EF6860">
        <w:rPr>
          <w:rFonts w:cs="Arial"/>
        </w:rPr>
        <w:fldChar w:fldCharType="begin"/>
      </w:r>
      <w:r w:rsidRPr="00EF6860">
        <w:rPr>
          <w:rFonts w:cs="Arial"/>
          <w:lang w:val="es-ES"/>
        </w:rPr>
        <w:instrText xml:space="preserve"> AUTONUM  \* Arabic </w:instrText>
      </w:r>
      <w:r w:rsidRPr="00EF6860">
        <w:rPr>
          <w:rFonts w:cs="Arial"/>
        </w:rPr>
        <w:fldChar w:fldCharType="end"/>
      </w:r>
      <w:r w:rsidRPr="00EF6860">
        <w:rPr>
          <w:rFonts w:cs="Arial"/>
          <w:lang w:val="es-ES"/>
        </w:rPr>
        <w:tab/>
      </w:r>
      <w:r w:rsidRPr="00EF6860">
        <w:rPr>
          <w:rFonts w:cs="Arial"/>
          <w:lang w:val="es-ES_tradnl"/>
        </w:rPr>
        <w:t>El TWO celebró su cuadragésima octava sesión en Cambridge (Reino Unido) del 14 al 18 de septiembre de 2015.</w:t>
      </w:r>
      <w:r w:rsidRPr="00EF6860">
        <w:rPr>
          <w:rFonts w:cs="Arial"/>
          <w:lang w:val="es-ES"/>
        </w:rPr>
        <w:t xml:space="preserve"> </w:t>
      </w:r>
      <w:r w:rsidRPr="00EF6860">
        <w:rPr>
          <w:rFonts w:cs="Arial"/>
          <w:lang w:val="es-ES_tradnl"/>
        </w:rPr>
        <w:t>Inauguró la sesión el Sr. Kenji Numaguchi (Japón), Presidente del TWO.</w:t>
      </w:r>
      <w:r w:rsidRPr="00EF6860">
        <w:rPr>
          <w:rFonts w:cs="Arial"/>
          <w:lang w:val="es-ES"/>
        </w:rPr>
        <w:t xml:space="preserve">  </w:t>
      </w:r>
      <w:r w:rsidRPr="00EF6860">
        <w:rPr>
          <w:rFonts w:cs="Arial"/>
          <w:lang w:val="es-ES_tradnl"/>
        </w:rPr>
        <w:t>El informe detallado figura en el documento TWO/48/26 “</w:t>
      </w:r>
      <w:r w:rsidRPr="00EF6860">
        <w:rPr>
          <w:rFonts w:cs="Arial"/>
          <w:i/>
          <w:lang w:val="es-ES_tradnl"/>
        </w:rPr>
        <w:t>Report</w:t>
      </w:r>
      <w:r w:rsidRPr="00EF6860">
        <w:rPr>
          <w:rFonts w:cs="Arial"/>
          <w:lang w:val="es-ES_tradnl"/>
        </w:rPr>
        <w:t>” (Informe).</w:t>
      </w:r>
      <w:r w:rsidRPr="00EF6860">
        <w:rPr>
          <w:rFonts w:cs="Arial"/>
          <w:lang w:val="es-ES"/>
        </w:rPr>
        <w:t xml:space="preserve"> </w:t>
      </w:r>
    </w:p>
    <w:p w:rsidR="00EF6860" w:rsidRPr="00EF6860" w:rsidRDefault="00EF6860" w:rsidP="00EF6860">
      <w:pPr>
        <w:rPr>
          <w:rFonts w:cs="Arial"/>
          <w:lang w:val="es-ES"/>
        </w:rPr>
      </w:pPr>
    </w:p>
    <w:p w:rsidR="00EF6860" w:rsidRPr="00EF6860" w:rsidRDefault="00EF6860" w:rsidP="00EF6860">
      <w:pPr>
        <w:rPr>
          <w:rFonts w:cs="Arial"/>
          <w:lang w:val="es-ES"/>
        </w:rPr>
      </w:pPr>
      <w:r w:rsidRPr="00EF6860">
        <w:rPr>
          <w:rFonts w:cs="Arial"/>
        </w:rPr>
        <w:fldChar w:fldCharType="begin"/>
      </w:r>
      <w:r w:rsidRPr="00EF6860">
        <w:rPr>
          <w:rFonts w:cs="Arial"/>
          <w:lang w:val="es-ES"/>
        </w:rPr>
        <w:instrText xml:space="preserve"> AUTONUM  \* Arabic </w:instrText>
      </w:r>
      <w:r w:rsidRPr="00EF6860">
        <w:rPr>
          <w:rFonts w:cs="Arial"/>
        </w:rPr>
        <w:fldChar w:fldCharType="end"/>
      </w:r>
      <w:r w:rsidRPr="00EF6860">
        <w:rPr>
          <w:rFonts w:cs="Arial"/>
          <w:lang w:val="es-ES"/>
        </w:rPr>
        <w:tab/>
      </w:r>
      <w:r w:rsidRPr="00EF6860">
        <w:rPr>
          <w:rFonts w:cs="Arial"/>
          <w:lang w:val="es-ES_tradnl"/>
        </w:rPr>
        <w:t>Asistieron a la sesión 56 participantes procedentes de 16 miembros de la Unión, 2 Estados en calidad de observadores y 2 organizaciones en calidad de observadoras.</w:t>
      </w:r>
      <w:r w:rsidRPr="00EF6860">
        <w:rPr>
          <w:rFonts w:cs="Arial"/>
          <w:lang w:val="es-ES"/>
        </w:rPr>
        <w:t xml:space="preserve"> </w:t>
      </w:r>
      <w:r w:rsidRPr="00EF6860">
        <w:rPr>
          <w:rFonts w:cs="Arial"/>
          <w:lang w:val="es-ES_tradnl"/>
        </w:rPr>
        <w:t>El taller preparatorio, al que asistieron 36 participantes, se celebró el 13 de septiembre por la tarde.</w:t>
      </w:r>
      <w:r w:rsidRPr="00EF6860">
        <w:rPr>
          <w:rFonts w:cs="Arial"/>
          <w:lang w:val="es-ES"/>
        </w:rPr>
        <w:t xml:space="preserve"> </w:t>
      </w:r>
    </w:p>
    <w:p w:rsidR="00EF6860" w:rsidRPr="00EF6860" w:rsidRDefault="00EF6860" w:rsidP="00EF6860">
      <w:pPr>
        <w:rPr>
          <w:rFonts w:cs="Arial"/>
          <w:lang w:val="es-ES"/>
        </w:rPr>
      </w:pPr>
    </w:p>
    <w:p w:rsidR="00EF6860" w:rsidRPr="00EF6860" w:rsidRDefault="00EF6860" w:rsidP="00EF6860">
      <w:pPr>
        <w:tabs>
          <w:tab w:val="left" w:pos="630"/>
        </w:tabs>
        <w:rPr>
          <w:rFonts w:cs="Arial"/>
          <w:lang w:val="es-ES"/>
        </w:rPr>
      </w:pPr>
      <w:r w:rsidRPr="00EF6860">
        <w:rPr>
          <w:rFonts w:cs="Arial"/>
        </w:rPr>
        <w:fldChar w:fldCharType="begin"/>
      </w:r>
      <w:r w:rsidRPr="00EF6860">
        <w:rPr>
          <w:rFonts w:cs="Arial"/>
          <w:lang w:val="es-ES"/>
        </w:rPr>
        <w:instrText xml:space="preserve"> AUTONUM  \* Arabic </w:instrText>
      </w:r>
      <w:r w:rsidRPr="00EF6860">
        <w:rPr>
          <w:rFonts w:cs="Arial"/>
        </w:rPr>
        <w:fldChar w:fldCharType="end"/>
      </w:r>
      <w:r w:rsidRPr="00EF6860">
        <w:rPr>
          <w:rFonts w:cs="Arial"/>
          <w:lang w:val="es-ES"/>
        </w:rPr>
        <w:tab/>
      </w:r>
      <w:r w:rsidRPr="00EF6860">
        <w:rPr>
          <w:rFonts w:cs="Arial"/>
          <w:lang w:val="es-ES_tradnl"/>
        </w:rPr>
        <w:t>Dio la bienvenida al TWO el Sr. Andrew Mitchell, Jefe de Políticas sobre Variedades y Semillas y Director de Derechos de Obtentor del Departamento de Medio Ambiente, Alimentación y Asuntos Rurales (DEFRA), quien ofreció una ponencia sobre la agricultura y el examen de variedades vegetales en el Reino Unido.</w:t>
      </w:r>
      <w:r w:rsidRPr="00EF6860">
        <w:rPr>
          <w:rFonts w:cs="Arial"/>
          <w:lang w:val="es-ES"/>
        </w:rPr>
        <w:t xml:space="preserve"> </w:t>
      </w:r>
      <w:r w:rsidRPr="00EF6860">
        <w:rPr>
          <w:rFonts w:cs="Arial"/>
          <w:lang w:val="es-ES_tradnl"/>
        </w:rPr>
        <w:t>También dio la bienvenida al TWO la Sra. Tina Barsby, Directora Ejecutiva del Instituto Nacional de Botánica Agrícola (NIAB).</w:t>
      </w:r>
    </w:p>
    <w:p w:rsidR="00EF6860" w:rsidRPr="00EF6860" w:rsidRDefault="00EF6860" w:rsidP="00EF6860">
      <w:pPr>
        <w:rPr>
          <w:rFonts w:cs="Arial"/>
          <w:lang w:val="es-ES"/>
        </w:rPr>
      </w:pPr>
    </w:p>
    <w:p w:rsidR="00EF6860" w:rsidRPr="00EF6860" w:rsidRDefault="00EF6860" w:rsidP="00EF6860">
      <w:pPr>
        <w:rPr>
          <w:rFonts w:cs="Arial"/>
          <w:lang w:val="es-ES"/>
        </w:rPr>
      </w:pPr>
      <w:r w:rsidRPr="00EF6860">
        <w:rPr>
          <w:rFonts w:cs="Arial"/>
        </w:rPr>
        <w:fldChar w:fldCharType="begin"/>
      </w:r>
      <w:r w:rsidRPr="00EF6860">
        <w:rPr>
          <w:rFonts w:cs="Arial"/>
          <w:lang w:val="es-ES"/>
        </w:rPr>
        <w:instrText xml:space="preserve"> AUTONUM  </w:instrText>
      </w:r>
      <w:r w:rsidRPr="00EF6860">
        <w:rPr>
          <w:rFonts w:cs="Arial"/>
        </w:rPr>
        <w:fldChar w:fldCharType="end"/>
      </w:r>
      <w:r w:rsidRPr="00EF6860">
        <w:rPr>
          <w:rFonts w:cs="Arial"/>
          <w:lang w:val="es-ES"/>
        </w:rPr>
        <w:tab/>
      </w:r>
      <w:r w:rsidRPr="00EF6860">
        <w:rPr>
          <w:rFonts w:cs="Arial"/>
          <w:lang w:val="es-ES_tradnl"/>
        </w:rPr>
        <w:t>El TWO examinó el documento TWO/48/9 “</w:t>
      </w:r>
      <w:r w:rsidRPr="00EF6860">
        <w:rPr>
          <w:rFonts w:cs="Arial"/>
          <w:i/>
          <w:lang w:val="es-ES"/>
        </w:rPr>
        <w:t>Assessing Uniformity by Off-Types on Basis of more than one Growing Cycle or on the Basis of Sub-Samples</w:t>
      </w:r>
      <w:r w:rsidRPr="00EF6860">
        <w:rPr>
          <w:rFonts w:cs="Arial"/>
          <w:lang w:val="es-ES_tradnl"/>
        </w:rPr>
        <w:t>” (Evaluación de la homogeneidad de las plantas fuera de tipo mediante la observación de más de un ciclo de cultivo o mediante la observación de submuestras) y convino en que en el documento se debe aclarar que el uso previsto de la orientación facilitada no es la evaluación de la homogeneidad de las plantas fuera de tipo en las mismas plantas en dos ciclos de cultivo.</w:t>
      </w:r>
      <w:r w:rsidRPr="00EF6860">
        <w:rPr>
          <w:rFonts w:cs="Arial"/>
          <w:lang w:val="es-ES"/>
        </w:rPr>
        <w:t xml:space="preserve"> </w:t>
      </w:r>
      <w:r w:rsidRPr="00EF6860">
        <w:rPr>
          <w:rFonts w:cs="Arial"/>
          <w:lang w:val="es-ES_tradnl"/>
        </w:rPr>
        <w:t>El TWO también convino en que junto al número de plantas fuera de tipo de los ejemplos facilitados en el Anexo I, en las líneas 2 y 3 (número de plantas fuera de tipo = 3) de la columna correspondiente al segundo ciclo de cultivo, se debía introducir un asterisco para indicar que “es preciso poner cuidado al examinar resultados que sean muy diferentes en cada uno de los ciclos de cultivo, por ejemplo cuando se observe una gran abundancia de plantas fuera de tipo en un ciclo de cultivo y su ausencia en otro ciclo”.</w:t>
      </w:r>
    </w:p>
    <w:p w:rsidR="00EF6860" w:rsidRPr="00EF6860" w:rsidRDefault="00EF6860" w:rsidP="00EF6860">
      <w:pPr>
        <w:rPr>
          <w:rFonts w:cs="Arial"/>
          <w:lang w:val="es-ES"/>
        </w:rPr>
      </w:pPr>
    </w:p>
    <w:p w:rsidR="00EF6860" w:rsidRPr="00EF6860" w:rsidRDefault="00EF6860" w:rsidP="00EF6860">
      <w:pPr>
        <w:tabs>
          <w:tab w:val="left" w:pos="630"/>
        </w:tabs>
        <w:rPr>
          <w:rFonts w:cs="Arial"/>
          <w:lang w:val="es-ES"/>
        </w:rPr>
      </w:pPr>
      <w:r w:rsidRPr="00EF6860">
        <w:rPr>
          <w:rFonts w:cs="Arial"/>
        </w:rPr>
        <w:fldChar w:fldCharType="begin"/>
      </w:r>
      <w:r w:rsidRPr="00EF6860">
        <w:rPr>
          <w:rFonts w:cs="Arial"/>
          <w:lang w:val="es-ES"/>
        </w:rPr>
        <w:instrText xml:space="preserve"> AUTONUM  </w:instrText>
      </w:r>
      <w:r w:rsidRPr="00EF6860">
        <w:rPr>
          <w:rFonts w:cs="Arial"/>
        </w:rPr>
        <w:fldChar w:fldCharType="end"/>
      </w:r>
      <w:r w:rsidRPr="00EF6860">
        <w:rPr>
          <w:rFonts w:cs="Arial"/>
          <w:lang w:val="es-ES"/>
        </w:rPr>
        <w:tab/>
      </w:r>
      <w:r w:rsidRPr="00EF6860">
        <w:rPr>
          <w:rFonts w:cs="Arial"/>
          <w:lang w:val="es-ES_tradnl"/>
        </w:rPr>
        <w:t>El TWO examinó el documento TWO/48/10 “</w:t>
      </w:r>
      <w:r w:rsidRPr="00EF6860">
        <w:rPr>
          <w:rFonts w:cs="Arial"/>
          <w:i/>
          <w:lang w:val="es-ES_tradnl"/>
        </w:rPr>
        <w:t>Matters concerning variety descriptions</w:t>
      </w:r>
      <w:r w:rsidRPr="00EF6860">
        <w:rPr>
          <w:rFonts w:cs="Arial"/>
          <w:lang w:val="es-ES_tradnl"/>
        </w:rPr>
        <w:t>” (Asuntos relativos a las descripciones de variedades) y asistió a una ponencia de un experto de la Unión Europea titulada “Experiencia relativa a las descripciones de variedades y el control del mantenimiento de la variedad en la Oficina Comunitaria de Variedades Vegetales (OCVV) de la Unión Europea”.</w:t>
      </w:r>
      <w:r w:rsidRPr="00EF6860">
        <w:rPr>
          <w:rFonts w:cs="Arial"/>
          <w:lang w:val="es-ES"/>
        </w:rPr>
        <w:t xml:space="preserve">  </w:t>
      </w:r>
      <w:r w:rsidRPr="00EF6860">
        <w:rPr>
          <w:rFonts w:cs="Arial"/>
          <w:lang w:val="es-ES_tradnl"/>
        </w:rPr>
        <w:t>Se proporciona una copia de esta ponencia en el documento TWF/46/10 Add.</w:t>
      </w:r>
      <w:r w:rsidRPr="00EF6860">
        <w:rPr>
          <w:rFonts w:cs="Arial"/>
          <w:lang w:val="es-ES"/>
        </w:rPr>
        <w:t xml:space="preserve"> </w:t>
      </w:r>
      <w:r w:rsidRPr="00EF6860">
        <w:rPr>
          <w:rFonts w:cs="Arial"/>
          <w:lang w:val="es-ES_tradnl"/>
        </w:rPr>
        <w:t>El TWO tomó nota de que en algunos miembros, en casos de litigio, había debates en curso acerca de la titularidad y el derecho de acceso al material vegetal que la autoridad no mantenía y convino en que la comprobación de que un material vegetal correspondía a una variedad protegida era más difícil cuando la autoridad no conservaba una muestra patrón del material empleado para el examen DHE.</w:t>
      </w:r>
      <w:r w:rsidRPr="00EF6860">
        <w:rPr>
          <w:rFonts w:cs="Arial"/>
          <w:lang w:val="es-ES"/>
        </w:rPr>
        <w:t xml:space="preserve">  </w:t>
      </w:r>
      <w:r w:rsidRPr="00EF6860">
        <w:rPr>
          <w:rFonts w:eastAsia="SimSun" w:cs="Arial"/>
          <w:lang w:val="es-ES_tradnl"/>
        </w:rPr>
        <w:t xml:space="preserve">El TWO </w:t>
      </w:r>
      <w:r w:rsidRPr="00EF6860">
        <w:rPr>
          <w:lang w:val="es-ES_tradnl"/>
        </w:rPr>
        <w:t>convino en invitar a Australia, la Unión Europea, Alemania y los Países Bajos a presentar ponencias sobre los asuntos relativos a las descripciones de variedades en su cuadragésima novena sesión que se celebrará en 2016</w:t>
      </w:r>
      <w:r w:rsidRPr="00EF6860">
        <w:rPr>
          <w:rFonts w:eastAsia="SimSun" w:cs="Arial"/>
          <w:lang w:val="es-ES_tradnl"/>
        </w:rPr>
        <w:t>.</w:t>
      </w:r>
    </w:p>
    <w:p w:rsidR="00EF6860" w:rsidRPr="00EF6860" w:rsidRDefault="00EF6860" w:rsidP="00EF6860">
      <w:pPr>
        <w:rPr>
          <w:rFonts w:cs="Arial"/>
          <w:lang w:val="es-ES"/>
        </w:rPr>
      </w:pPr>
    </w:p>
    <w:p w:rsidR="00EF6860" w:rsidRPr="00EF6860" w:rsidRDefault="00EF6860" w:rsidP="00EF6860">
      <w:pPr>
        <w:tabs>
          <w:tab w:val="left" w:pos="630"/>
        </w:tabs>
        <w:rPr>
          <w:rFonts w:cs="Arial"/>
          <w:lang w:val="es-ES"/>
        </w:rPr>
      </w:pPr>
      <w:r w:rsidRPr="00EF6860">
        <w:rPr>
          <w:rFonts w:cs="Arial"/>
        </w:rPr>
        <w:fldChar w:fldCharType="begin"/>
      </w:r>
      <w:r w:rsidRPr="00EF6860">
        <w:rPr>
          <w:rFonts w:cs="Arial"/>
          <w:lang w:val="es-ES"/>
        </w:rPr>
        <w:instrText xml:space="preserve"> AUTONUM  </w:instrText>
      </w:r>
      <w:r w:rsidRPr="00EF6860">
        <w:rPr>
          <w:rFonts w:cs="Arial"/>
        </w:rPr>
        <w:fldChar w:fldCharType="end"/>
      </w:r>
      <w:r w:rsidRPr="00EF6860">
        <w:rPr>
          <w:rFonts w:cs="Arial"/>
          <w:lang w:val="es-ES"/>
        </w:rPr>
        <w:tab/>
      </w:r>
      <w:r w:rsidRPr="00EF6860">
        <w:rPr>
          <w:rFonts w:cs="Arial"/>
          <w:lang w:val="es-ES_tradnl"/>
        </w:rPr>
        <w:t>El TWO examinó el documento TWO/48/12 “</w:t>
      </w:r>
      <w:r w:rsidRPr="00EF6860">
        <w:rPr>
          <w:rFonts w:cs="Arial"/>
          <w:i/>
          <w:lang w:val="es-ES_tradnl"/>
        </w:rPr>
        <w:t>Revision of document TGP/7: Drafter’s Kit for Test Guidelines</w:t>
      </w:r>
      <w:r w:rsidRPr="00EF6860">
        <w:rPr>
          <w:rFonts w:cs="Arial"/>
          <w:lang w:val="es-ES_tradnl"/>
        </w:rPr>
        <w:t>” (Revisión del documento TGP/7: Carpeta de material para los redactores de directrices de examen) y tomó nota de que no había ninguna orientación sobre el orden en que figuran los métodos de observación de un carácter en la tabla de caracteres (por ejemplo VG/MS) y convino en proponer que se faciliten orientaciones en el documento TGP/7 y las directrices de examen que enuncien, por ejemplo, que el método empleado con mayor frecuencia es el indicado en primer término.</w:t>
      </w:r>
      <w:r w:rsidRPr="00EF6860">
        <w:rPr>
          <w:rFonts w:cs="Arial"/>
          <w:lang w:val="es-ES"/>
        </w:rPr>
        <w:t xml:space="preserve">  </w:t>
      </w:r>
      <w:r w:rsidRPr="00EF6860">
        <w:rPr>
          <w:rFonts w:cs="Arial"/>
          <w:lang w:val="es-ES_tradnl"/>
        </w:rPr>
        <w:t>El TWO convino en solicitar a la Oficina de la Unión que estudie la posibilidad de incluir las observaciones formuladas por la Oficina sobre el proyecto de directrices de examen en la plantilla en Internet de los documentos TG, a fin de que el experto principal tenga todas las observaciones en dicha plantilla.</w:t>
      </w:r>
      <w:r w:rsidRPr="00EF6860">
        <w:rPr>
          <w:rFonts w:cs="Arial"/>
          <w:lang w:val="es-ES"/>
        </w:rPr>
        <w:t xml:space="preserve">  </w:t>
      </w:r>
      <w:r w:rsidRPr="00EF6860">
        <w:rPr>
          <w:rFonts w:cs="Arial"/>
          <w:lang w:val="es-ES_tradnl"/>
        </w:rPr>
        <w:t>El TWO convino en que sería útil para los expertos principales e interesados disponer de guías didácticas y notas orientativas en línea.</w:t>
      </w:r>
    </w:p>
    <w:p w:rsidR="00EF6860" w:rsidRPr="00EF6860" w:rsidRDefault="00EF6860" w:rsidP="00EF6860">
      <w:pPr>
        <w:rPr>
          <w:rFonts w:cs="Arial"/>
          <w:lang w:val="es-ES"/>
        </w:rPr>
      </w:pPr>
    </w:p>
    <w:p w:rsidR="00EF6860" w:rsidRPr="00EF6860" w:rsidRDefault="00EF6860" w:rsidP="00EF6860">
      <w:pPr>
        <w:tabs>
          <w:tab w:val="left" w:pos="630"/>
        </w:tabs>
        <w:rPr>
          <w:rFonts w:cs="Arial"/>
          <w:lang w:val="es-ES"/>
        </w:rPr>
      </w:pPr>
      <w:r w:rsidRPr="00EF6860">
        <w:rPr>
          <w:rFonts w:cs="Arial"/>
        </w:rPr>
        <w:fldChar w:fldCharType="begin"/>
      </w:r>
      <w:r w:rsidRPr="00EF6860">
        <w:rPr>
          <w:rFonts w:cs="Arial"/>
          <w:lang w:val="es-ES"/>
        </w:rPr>
        <w:instrText xml:space="preserve"> AUTONUM  </w:instrText>
      </w:r>
      <w:r w:rsidRPr="00EF6860">
        <w:rPr>
          <w:rFonts w:cs="Arial"/>
        </w:rPr>
        <w:fldChar w:fldCharType="end"/>
      </w:r>
      <w:r w:rsidRPr="00EF6860">
        <w:rPr>
          <w:rFonts w:cs="Arial"/>
          <w:lang w:val="es-ES"/>
        </w:rPr>
        <w:tab/>
      </w:r>
      <w:r w:rsidRPr="00EF6860">
        <w:rPr>
          <w:rFonts w:cs="Arial"/>
          <w:lang w:val="es-ES_tradnl"/>
        </w:rPr>
        <w:t>El TWO examinó el documento TWO/48/14 “</w:t>
      </w:r>
      <w:r w:rsidRPr="00EF6860">
        <w:rPr>
          <w:rFonts w:cs="Arial"/>
          <w:i/>
          <w:lang w:val="es-ES_tradnl"/>
        </w:rPr>
        <w:t>Regional sets of example varieties</w:t>
      </w:r>
      <w:r w:rsidRPr="00EF6860">
        <w:rPr>
          <w:rFonts w:cs="Arial"/>
          <w:lang w:val="es-ES_tradnl"/>
        </w:rPr>
        <w:t>” (Conjuntos regionales de variedades ejemplo).</w:t>
      </w:r>
      <w:r w:rsidRPr="00EF6860">
        <w:rPr>
          <w:rFonts w:cs="Arial"/>
          <w:lang w:val="es-ES"/>
        </w:rPr>
        <w:t xml:space="preserve">  </w:t>
      </w:r>
      <w:r w:rsidRPr="00EF6860">
        <w:rPr>
          <w:rFonts w:cs="Arial"/>
          <w:lang w:val="es-ES_tradnl"/>
        </w:rPr>
        <w:t>El TWO convino en que sería importante explicar el fundamento para el establecimiento de conjuntos regionales de variedades ejemplo en directrices de examen concretas.</w:t>
      </w:r>
      <w:r w:rsidRPr="00EF6860">
        <w:rPr>
          <w:rFonts w:cs="Arial"/>
          <w:lang w:val="es-ES"/>
        </w:rPr>
        <w:t xml:space="preserve"> </w:t>
      </w:r>
      <w:r w:rsidRPr="00EF6860">
        <w:rPr>
          <w:rFonts w:cs="Arial"/>
          <w:lang w:val="es-ES_tradnl"/>
        </w:rPr>
        <w:t xml:space="preserve">El TWA convino en incluir en el documento TGP/7 orientaciones en el sentido de que incumbe al TWP determinar en qué debe basarse una región para establecer un conjunto regional acordado de variedades ejemplo (p. ej., el intercambio de información o un </w:t>
      </w:r>
      <w:r w:rsidRPr="00EF6860">
        <w:rPr>
          <w:rFonts w:cs="Arial"/>
          <w:i/>
          <w:lang w:val="es-ES_tradnl"/>
        </w:rPr>
        <w:t>ring-test</w:t>
      </w:r>
      <w:r w:rsidRPr="00EF6860">
        <w:rPr>
          <w:rFonts w:cs="Arial"/>
          <w:lang w:val="es-ES_tradnl"/>
        </w:rPr>
        <w:t>).</w:t>
      </w:r>
    </w:p>
    <w:p w:rsidR="00EF6860" w:rsidRPr="00EF6860" w:rsidRDefault="00EF6860" w:rsidP="00EF6860">
      <w:pPr>
        <w:rPr>
          <w:rFonts w:cs="Arial"/>
          <w:lang w:val="es-ES"/>
        </w:rPr>
      </w:pPr>
    </w:p>
    <w:p w:rsidR="00EF6860" w:rsidRPr="00EF6860" w:rsidRDefault="00EF6860" w:rsidP="00EF6860">
      <w:pPr>
        <w:tabs>
          <w:tab w:val="left" w:pos="630"/>
        </w:tabs>
        <w:rPr>
          <w:rFonts w:cs="Arial"/>
          <w:lang w:val="es-ES"/>
        </w:rPr>
      </w:pPr>
      <w:r w:rsidRPr="00EF6860">
        <w:rPr>
          <w:rFonts w:cs="Arial"/>
        </w:rPr>
        <w:fldChar w:fldCharType="begin"/>
      </w:r>
      <w:r w:rsidRPr="00EF6860">
        <w:rPr>
          <w:rFonts w:cs="Arial"/>
          <w:lang w:val="es-ES"/>
        </w:rPr>
        <w:instrText xml:space="preserve"> AUTONUM  </w:instrText>
      </w:r>
      <w:r w:rsidRPr="00EF6860">
        <w:rPr>
          <w:rFonts w:cs="Arial"/>
        </w:rPr>
        <w:fldChar w:fldCharType="end"/>
      </w:r>
      <w:r w:rsidRPr="00EF6860">
        <w:rPr>
          <w:rFonts w:cs="Arial"/>
          <w:lang w:val="es-ES"/>
        </w:rPr>
        <w:tab/>
      </w:r>
      <w:r w:rsidRPr="00EF6860">
        <w:rPr>
          <w:rFonts w:cs="Arial"/>
          <w:lang w:val="es-ES_tradnl"/>
        </w:rPr>
        <w:t>El TWO examinó el documento TWO/48/19 “</w:t>
      </w:r>
      <w:r w:rsidRPr="00EF6860">
        <w:rPr>
          <w:rFonts w:cs="Arial"/>
          <w:i/>
          <w:lang w:val="es-ES_tradnl"/>
        </w:rPr>
        <w:t>Definition of color groups from RHS Colour charts</w:t>
      </w:r>
      <w:r w:rsidRPr="00EF6860">
        <w:rPr>
          <w:rFonts w:cs="Arial"/>
          <w:lang w:val="es-ES_tradnl"/>
        </w:rPr>
        <w:t>” (Definición de grupos de color en referencia a la carta de colores RHS</w:t>
      </w:r>
      <w:r w:rsidRPr="00EF6860">
        <w:rPr>
          <w:lang w:val="es-ES"/>
        </w:rPr>
        <w:t>”</w:t>
      </w:r>
      <w:r w:rsidRPr="00EF6860">
        <w:rPr>
          <w:rFonts w:cs="Arial"/>
          <w:lang w:val="es-ES_tradnl"/>
        </w:rPr>
        <w:t xml:space="preserve"> y asistió a ponencias de la Royal Horticultural Society (RHS), del Japón, el Reino Unido y la Unión Europea.</w:t>
      </w:r>
      <w:r w:rsidRPr="00EF6860">
        <w:rPr>
          <w:rFonts w:cs="Arial"/>
          <w:lang w:val="es-ES"/>
        </w:rPr>
        <w:t xml:space="preserve"> </w:t>
      </w:r>
      <w:r w:rsidRPr="00EF6860">
        <w:rPr>
          <w:rFonts w:cs="Arial"/>
          <w:lang w:val="es-ES_tradnl"/>
        </w:rPr>
        <w:t>El TWO tomó nota de que en la edición más reciente (sexta edición) de la carta de colores RHS se asigna un nombre a cada color específico, y acordó solicitar al experto de Alemania que elabore un estudio, con el apoyo de los expertos de Australia, el Canadá, la Unión Europea, los Países Bajos, Nueva Zelandia y el Reino Unido, sobre la posibilidad de basar la definición de los grupos de color, a efectos de la agrupación de variedades y la organización del ensayo en cultivo, en referencias a la sexta edición de la carta de colores RHS.</w:t>
      </w:r>
      <w:r w:rsidRPr="00EF6860">
        <w:rPr>
          <w:rFonts w:cs="Arial"/>
          <w:lang w:val="es-ES"/>
        </w:rPr>
        <w:t xml:space="preserve">  </w:t>
      </w:r>
      <w:r w:rsidRPr="00EF6860">
        <w:rPr>
          <w:rFonts w:cs="Arial"/>
          <w:lang w:val="es-ES_tradnl"/>
        </w:rPr>
        <w:t>El TWO convino en que debía tenerse en cuenta el solapamiento de algunos colores.</w:t>
      </w:r>
      <w:r w:rsidRPr="00EF6860">
        <w:rPr>
          <w:rFonts w:cs="Arial"/>
          <w:lang w:val="es-ES"/>
        </w:rPr>
        <w:t xml:space="preserve">  </w:t>
      </w:r>
      <w:r w:rsidRPr="00EF6860">
        <w:rPr>
          <w:rFonts w:cs="Arial"/>
          <w:lang w:val="es-ES_tradnl"/>
        </w:rPr>
        <w:t>El TWO también convino en que en el estudio debía considerarse si es preciso revisar la asignación de grupos de color UPOV a cada color RHS que figura en el documento TGP/14.</w:t>
      </w:r>
      <w:r w:rsidRPr="00EF6860">
        <w:rPr>
          <w:rFonts w:cs="Arial"/>
          <w:lang w:val="es-ES"/>
        </w:rPr>
        <w:t xml:space="preserve">  </w:t>
      </w:r>
      <w:r w:rsidRPr="00EF6860">
        <w:rPr>
          <w:rFonts w:cs="Arial"/>
          <w:lang w:val="es-ES_tradnl"/>
        </w:rPr>
        <w:t>El TWO tomó nota de que la Royal Horticultural Society (RHS) estaba examinando el procedimiento para la revisión de la sexta edición de la carta de colores RHS antes de organizar la séptima edición y convino en solicitar a un experto del Reino Unido que organice la recopilación de ejemplos de variedades a las que no corresponda un color en la sexta edición de la carta de colores RHS (lagunas).</w:t>
      </w:r>
      <w:r w:rsidRPr="00EF6860">
        <w:rPr>
          <w:rFonts w:cs="Arial"/>
          <w:lang w:val="es-ES"/>
        </w:rPr>
        <w:t xml:space="preserve">  </w:t>
      </w:r>
      <w:r w:rsidRPr="00EF6860">
        <w:rPr>
          <w:rFonts w:cs="Arial"/>
          <w:lang w:val="es-ES_tradnl"/>
        </w:rPr>
        <w:t>Los ejemplos recopilados se presentarían a la RHS a efectos de proponer nuevos colores y de la posible armonización de la terminología.</w:t>
      </w:r>
      <w:r w:rsidRPr="00EF6860">
        <w:rPr>
          <w:rFonts w:cs="Arial"/>
          <w:lang w:val="es-ES"/>
        </w:rPr>
        <w:t xml:space="preserve">  </w:t>
      </w:r>
      <w:r w:rsidRPr="00EF6860">
        <w:rPr>
          <w:rFonts w:cs="Arial"/>
          <w:lang w:val="es-ES_tradnl"/>
        </w:rPr>
        <w:t xml:space="preserve">El TWO tomó nota de que </w:t>
      </w:r>
      <w:r w:rsidRPr="00EF6860">
        <w:rPr>
          <w:lang w:val="es-ES_tradnl"/>
        </w:rPr>
        <w:t>los nombres de los colores pueden ser relevantes para las denominaciones de variedades y podrían tener consecuencias en la aceptación de las denominaciones de variedades para algunos miembros de la UPOV</w:t>
      </w:r>
      <w:r w:rsidRPr="00EF6860">
        <w:rPr>
          <w:rFonts w:cs="Arial"/>
          <w:lang w:val="es-ES_tradnl"/>
        </w:rPr>
        <w:t>.</w:t>
      </w:r>
    </w:p>
    <w:p w:rsidR="00EF6860" w:rsidRPr="00EF6860" w:rsidRDefault="00EF6860" w:rsidP="00EF6860">
      <w:pPr>
        <w:rPr>
          <w:rFonts w:cs="Arial"/>
          <w:lang w:val="es-ES"/>
        </w:rPr>
      </w:pPr>
    </w:p>
    <w:p w:rsidR="00EF6860" w:rsidRPr="00EF6860" w:rsidRDefault="00EF6860" w:rsidP="00EF6860">
      <w:pPr>
        <w:tabs>
          <w:tab w:val="left" w:pos="630"/>
        </w:tabs>
        <w:rPr>
          <w:rFonts w:cs="Arial"/>
          <w:lang w:val="es-ES"/>
        </w:rPr>
      </w:pPr>
      <w:r w:rsidRPr="00EF6860">
        <w:rPr>
          <w:rFonts w:cs="Arial"/>
        </w:rPr>
        <w:fldChar w:fldCharType="begin"/>
      </w:r>
      <w:r w:rsidRPr="00EF6860">
        <w:rPr>
          <w:rFonts w:cs="Arial"/>
          <w:lang w:val="es-ES"/>
        </w:rPr>
        <w:instrText xml:space="preserve"> AUTONUM  </w:instrText>
      </w:r>
      <w:r w:rsidRPr="00EF6860">
        <w:rPr>
          <w:rFonts w:cs="Arial"/>
        </w:rPr>
        <w:fldChar w:fldCharType="end"/>
      </w:r>
      <w:r w:rsidRPr="00EF6860">
        <w:rPr>
          <w:rFonts w:cs="Arial"/>
          <w:lang w:val="es-ES"/>
        </w:rPr>
        <w:tab/>
      </w:r>
      <w:r w:rsidRPr="00EF6860">
        <w:rPr>
          <w:rFonts w:cs="Arial"/>
          <w:lang w:val="es-ES_tradnl"/>
        </w:rPr>
        <w:t>El TWO escuchó una exposición oral a cargo de un experto de Alemania sobre el examen DHE de una nueva variedad de Calibrachoa cuyas flores presentan una gran tendencia a cambiar de color con los cambios de temperatura.</w:t>
      </w:r>
      <w:r w:rsidRPr="00EF6860">
        <w:rPr>
          <w:rFonts w:cs="Arial"/>
          <w:lang w:val="es-ES"/>
        </w:rPr>
        <w:t xml:space="preserve">  </w:t>
      </w:r>
      <w:r w:rsidRPr="00EF6860">
        <w:rPr>
          <w:rFonts w:cs="Arial"/>
          <w:lang w:val="es-ES_tradnl"/>
        </w:rPr>
        <w:t>El TWO tomó nota de que la nueva variedad es muy sensible a los cambios de temperatura en condiciones estándar de cultivo en invernaderos y difiere de otras variedades a este respecto.</w:t>
      </w:r>
      <w:r w:rsidRPr="00EF6860">
        <w:rPr>
          <w:rFonts w:cs="Arial"/>
          <w:lang w:val="es-ES"/>
        </w:rPr>
        <w:t xml:space="preserve">  </w:t>
      </w:r>
      <w:r w:rsidRPr="00EF6860">
        <w:rPr>
          <w:rFonts w:cs="Arial"/>
          <w:lang w:val="es-ES_tradnl"/>
        </w:rPr>
        <w:t>El TWO señaló que se han observado cambios similares en el color de las flores y la intensidad de las manchas, debidos a la temperatura y a la intensidad de la luz, en variedades de crisantemo y de Phalaenopsis, respectivamente.</w:t>
      </w:r>
    </w:p>
    <w:p w:rsidR="00EF6860" w:rsidRPr="00EF6860" w:rsidRDefault="00EF6860" w:rsidP="00EF6860">
      <w:pPr>
        <w:rPr>
          <w:rFonts w:cs="Arial"/>
          <w:lang w:val="es-ES"/>
        </w:rPr>
      </w:pPr>
    </w:p>
    <w:p w:rsidR="00EF6860" w:rsidRPr="00EF6860" w:rsidRDefault="00EF6860" w:rsidP="00EF6860">
      <w:pPr>
        <w:rPr>
          <w:rFonts w:cs="Arial"/>
          <w:lang w:val="es-ES"/>
        </w:rPr>
      </w:pPr>
      <w:r w:rsidRPr="00EF6860">
        <w:rPr>
          <w:rFonts w:cs="Arial"/>
        </w:rPr>
        <w:fldChar w:fldCharType="begin"/>
      </w:r>
      <w:r w:rsidRPr="00EF6860">
        <w:rPr>
          <w:rFonts w:cs="Arial"/>
          <w:lang w:val="es-ES"/>
        </w:rPr>
        <w:instrText xml:space="preserve"> AUTONUM  </w:instrText>
      </w:r>
      <w:r w:rsidRPr="00EF6860">
        <w:rPr>
          <w:rFonts w:cs="Arial"/>
        </w:rPr>
        <w:fldChar w:fldCharType="end"/>
      </w:r>
      <w:r w:rsidRPr="00EF6860">
        <w:rPr>
          <w:rFonts w:cs="Arial"/>
          <w:lang w:val="es-ES"/>
        </w:rPr>
        <w:tab/>
      </w:r>
      <w:r w:rsidRPr="00EF6860">
        <w:rPr>
          <w:rFonts w:cs="Arial"/>
          <w:lang w:val="es-ES_tradnl"/>
        </w:rPr>
        <w:t>El TWO acordó presentar cuatro directrices de examen al TC para su aprobación:</w:t>
      </w:r>
      <w:r w:rsidRPr="00EF6860">
        <w:rPr>
          <w:rFonts w:cs="Arial"/>
          <w:lang w:val="es-ES"/>
        </w:rPr>
        <w:t xml:space="preserve"> </w:t>
      </w:r>
      <w:r w:rsidRPr="00EF6860">
        <w:rPr>
          <w:rFonts w:cs="Arial"/>
          <w:lang w:val="es-ES_tradnl"/>
        </w:rPr>
        <w:t>Calibrachoa (revisión); Cordyline; Plectranthus; y Salvia.</w:t>
      </w:r>
      <w:r w:rsidRPr="00EF6860">
        <w:rPr>
          <w:rFonts w:cs="Arial"/>
          <w:lang w:val="es-ES"/>
        </w:rPr>
        <w:t xml:space="preserve">  </w:t>
      </w:r>
      <w:r w:rsidRPr="00EF6860">
        <w:rPr>
          <w:rFonts w:cs="Arial"/>
          <w:lang w:val="es-ES_tradnl"/>
        </w:rPr>
        <w:t>El TWO tiene previsto examinar 16 directrices de examen (8 revisiones y 8 nuevas directrices de examen) en su cuadragésima novena sesión, que se celebrará en 2016.</w:t>
      </w:r>
      <w:r w:rsidRPr="00EF6860">
        <w:rPr>
          <w:rFonts w:cs="Arial"/>
          <w:lang w:val="es-ES"/>
        </w:rPr>
        <w:t xml:space="preserve"> </w:t>
      </w:r>
    </w:p>
    <w:p w:rsidR="00EF6860" w:rsidRPr="00EF6860" w:rsidRDefault="00EF6860" w:rsidP="00EF6860">
      <w:pPr>
        <w:rPr>
          <w:rFonts w:cs="Arial"/>
          <w:i/>
          <w:lang w:val="es-ES"/>
        </w:rPr>
      </w:pPr>
    </w:p>
    <w:p w:rsidR="00EF6860" w:rsidRPr="00EF6860" w:rsidRDefault="00EF6860" w:rsidP="00EF6860">
      <w:pPr>
        <w:rPr>
          <w:rFonts w:cs="Arial"/>
          <w:lang w:val="es-ES"/>
        </w:rPr>
      </w:pPr>
      <w:r w:rsidRPr="00EF6860">
        <w:rPr>
          <w:rFonts w:cs="Arial"/>
        </w:rPr>
        <w:fldChar w:fldCharType="begin"/>
      </w:r>
      <w:r w:rsidRPr="00EF6860">
        <w:rPr>
          <w:rFonts w:cs="Arial"/>
          <w:lang w:val="es-ES"/>
        </w:rPr>
        <w:instrText xml:space="preserve"> AUTONUM  </w:instrText>
      </w:r>
      <w:r w:rsidRPr="00EF6860">
        <w:rPr>
          <w:rFonts w:cs="Arial"/>
        </w:rPr>
        <w:fldChar w:fldCharType="end"/>
      </w:r>
      <w:r w:rsidRPr="00EF6860">
        <w:rPr>
          <w:rFonts w:cs="Arial"/>
          <w:lang w:val="es-ES"/>
        </w:rPr>
        <w:tab/>
      </w:r>
      <w:r w:rsidRPr="00EF6860">
        <w:rPr>
          <w:rFonts w:cs="Arial"/>
          <w:lang w:val="es-ES_tradnl"/>
        </w:rPr>
        <w:t>Por invitación de la República de Corea, el TWO decidió celebrar su cuadragésima novena sesión en Gimcheon (República de Corea) los días 13 al 17 de junio de 2016, y el taller</w:t>
      </w:r>
      <w:r w:rsidR="00357402">
        <w:rPr>
          <w:rFonts w:cs="Arial"/>
          <w:lang w:val="es-ES_tradnl"/>
        </w:rPr>
        <w:t xml:space="preserve"> preparatorio el 12 de junio de </w:t>
      </w:r>
      <w:r w:rsidRPr="00EF6860">
        <w:rPr>
          <w:rFonts w:cs="Arial"/>
          <w:lang w:val="es-ES_tradnl"/>
        </w:rPr>
        <w:t>2016.</w:t>
      </w:r>
    </w:p>
    <w:p w:rsidR="00EF6860" w:rsidRPr="00EF6860" w:rsidRDefault="00EF6860" w:rsidP="00EF6860">
      <w:pPr>
        <w:rPr>
          <w:rFonts w:cs="Arial"/>
          <w:lang w:val="es-ES"/>
        </w:rPr>
      </w:pPr>
    </w:p>
    <w:p w:rsidR="00EF6860" w:rsidRPr="00EF6860" w:rsidRDefault="00EF6860" w:rsidP="00EF6860">
      <w:pPr>
        <w:rPr>
          <w:rFonts w:cs="Arial"/>
          <w:lang w:val="es-ES"/>
        </w:rPr>
      </w:pPr>
      <w:r w:rsidRPr="00EF6860">
        <w:rPr>
          <w:rFonts w:cs="Arial"/>
        </w:rPr>
        <w:fldChar w:fldCharType="begin"/>
      </w:r>
      <w:r w:rsidRPr="00EF6860">
        <w:rPr>
          <w:rFonts w:cs="Arial"/>
          <w:lang w:val="es-ES"/>
        </w:rPr>
        <w:instrText xml:space="preserve"> AUTONUM  </w:instrText>
      </w:r>
      <w:r w:rsidRPr="00EF6860">
        <w:rPr>
          <w:rFonts w:cs="Arial"/>
        </w:rPr>
        <w:fldChar w:fldCharType="end"/>
      </w:r>
      <w:r w:rsidRPr="00EF6860">
        <w:rPr>
          <w:rFonts w:cs="Arial"/>
          <w:lang w:val="es-ES"/>
        </w:rPr>
        <w:tab/>
      </w:r>
      <w:r w:rsidRPr="00EF6860">
        <w:rPr>
          <w:rFonts w:cs="Arial"/>
          <w:lang w:val="es-ES_tradnl"/>
        </w:rPr>
        <w:t>El TWO propuso examinar los siguientes puntos en su próxima reunión:</w:t>
      </w:r>
    </w:p>
    <w:p w:rsidR="00EF6860" w:rsidRPr="00EF6860" w:rsidRDefault="00EF6860" w:rsidP="00EF6860">
      <w:pPr>
        <w:ind w:left="567"/>
        <w:rPr>
          <w:lang w:val="es-ES"/>
        </w:rPr>
      </w:pPr>
    </w:p>
    <w:p w:rsidR="00EF6860" w:rsidRPr="00EF6860" w:rsidRDefault="00EF6860" w:rsidP="00EF6860">
      <w:pPr>
        <w:tabs>
          <w:tab w:val="left" w:pos="1134"/>
        </w:tabs>
        <w:ind w:left="567"/>
        <w:rPr>
          <w:rFonts w:cs="Arial"/>
          <w:lang w:val="es-ES_tradnl"/>
        </w:rPr>
      </w:pPr>
      <w:r w:rsidRPr="00EF6860">
        <w:rPr>
          <w:rFonts w:cs="Arial"/>
          <w:lang w:val="es-ES"/>
        </w:rPr>
        <w:t>1.</w:t>
      </w:r>
      <w:r w:rsidRPr="00EF6860">
        <w:rPr>
          <w:rFonts w:cs="Arial"/>
          <w:lang w:val="es-ES"/>
        </w:rPr>
        <w:tab/>
      </w:r>
      <w:r w:rsidRPr="00EF6860">
        <w:rPr>
          <w:rFonts w:cs="Arial"/>
          <w:lang w:val="es-ES_tradnl"/>
        </w:rPr>
        <w:t>Apertura de la sesión</w:t>
      </w:r>
    </w:p>
    <w:p w:rsidR="00EF6860" w:rsidRPr="00EF6860" w:rsidRDefault="00EF6860" w:rsidP="00EF6860">
      <w:pPr>
        <w:tabs>
          <w:tab w:val="left" w:pos="1134"/>
        </w:tabs>
        <w:ind w:left="567"/>
        <w:rPr>
          <w:rFonts w:cs="Arial"/>
          <w:lang w:val="es-ES_tradnl"/>
        </w:rPr>
      </w:pPr>
      <w:r w:rsidRPr="00EF6860">
        <w:rPr>
          <w:rFonts w:cs="Arial"/>
          <w:lang w:val="es-ES_tradnl"/>
        </w:rPr>
        <w:t>2.</w:t>
      </w:r>
      <w:r w:rsidRPr="00EF6860">
        <w:rPr>
          <w:rFonts w:cs="Arial"/>
          <w:lang w:val="es-ES_tradnl"/>
        </w:rPr>
        <w:tab/>
        <w:t>Aprobación del orden del día</w:t>
      </w:r>
    </w:p>
    <w:p w:rsidR="00EF6860" w:rsidRPr="00EF6860" w:rsidRDefault="00EF6860" w:rsidP="00EF6860">
      <w:pPr>
        <w:tabs>
          <w:tab w:val="left" w:pos="1134"/>
        </w:tabs>
        <w:ind w:left="567"/>
        <w:rPr>
          <w:rFonts w:cs="Arial"/>
          <w:lang w:val="es-ES"/>
        </w:rPr>
      </w:pPr>
      <w:r w:rsidRPr="00EF6860">
        <w:rPr>
          <w:rFonts w:cs="Arial"/>
          <w:lang w:val="es-ES_tradnl"/>
        </w:rPr>
        <w:t>3.</w:t>
      </w:r>
      <w:r w:rsidRPr="00EF6860">
        <w:rPr>
          <w:rFonts w:cs="Arial"/>
          <w:lang w:val="es-ES_tradnl"/>
        </w:rPr>
        <w:tab/>
        <w:t>Breves informes sobre los avances logrados en la protección de las variedades vegetales</w:t>
      </w:r>
    </w:p>
    <w:p w:rsidR="00EF6860" w:rsidRPr="00EF6860" w:rsidRDefault="00EF6860" w:rsidP="00EF6860">
      <w:pPr>
        <w:ind w:left="1418"/>
        <w:rPr>
          <w:rFonts w:cs="Arial"/>
          <w:lang w:val="es-ES"/>
        </w:rPr>
      </w:pPr>
      <w:r w:rsidRPr="00EF6860">
        <w:rPr>
          <w:rFonts w:cs="Arial"/>
          <w:lang w:val="es-ES"/>
        </w:rPr>
        <w:t>a)</w:t>
      </w:r>
      <w:r w:rsidRPr="00EF6860">
        <w:rPr>
          <w:rFonts w:cs="Arial"/>
          <w:lang w:val="es-ES"/>
        </w:rPr>
        <w:tab/>
      </w:r>
      <w:r w:rsidRPr="00EF6860">
        <w:rPr>
          <w:rFonts w:cs="Arial"/>
          <w:lang w:val="es-ES_tradnl"/>
        </w:rPr>
        <w:t>Informes de miembros y observadores</w:t>
      </w:r>
      <w:r w:rsidRPr="00EF6860">
        <w:rPr>
          <w:rFonts w:cs="Arial"/>
          <w:lang w:val="es-ES"/>
        </w:rPr>
        <w:t xml:space="preserve"> </w:t>
      </w:r>
    </w:p>
    <w:p w:rsidR="00EF6860" w:rsidRPr="00EF6860" w:rsidRDefault="00EF6860" w:rsidP="00EF6860">
      <w:pPr>
        <w:ind w:left="1418"/>
        <w:rPr>
          <w:rFonts w:cs="Arial"/>
          <w:lang w:val="es-ES"/>
        </w:rPr>
      </w:pPr>
      <w:r w:rsidRPr="00EF6860">
        <w:rPr>
          <w:rFonts w:cs="Arial"/>
          <w:lang w:val="es-ES"/>
        </w:rPr>
        <w:t>b)</w:t>
      </w:r>
      <w:r w:rsidRPr="00EF6860">
        <w:rPr>
          <w:rFonts w:cs="Arial"/>
          <w:lang w:val="es-ES"/>
        </w:rPr>
        <w:tab/>
      </w:r>
      <w:r w:rsidRPr="00EF6860">
        <w:rPr>
          <w:rFonts w:cs="Arial"/>
          <w:lang w:val="es-ES_tradnl"/>
        </w:rPr>
        <w:t>Informes sobre los avances logrados en la UPOV</w:t>
      </w:r>
    </w:p>
    <w:p w:rsidR="00EF6860" w:rsidRPr="00EF6860" w:rsidRDefault="00EF6860" w:rsidP="00EF6860">
      <w:pPr>
        <w:tabs>
          <w:tab w:val="left" w:pos="1134"/>
        </w:tabs>
        <w:ind w:left="567"/>
        <w:rPr>
          <w:rFonts w:cs="Arial"/>
          <w:lang w:val="es-ES_tradnl"/>
        </w:rPr>
      </w:pPr>
      <w:r w:rsidRPr="00EF6860">
        <w:rPr>
          <w:rFonts w:cs="Arial"/>
          <w:lang w:val="es-ES"/>
        </w:rPr>
        <w:t>4.</w:t>
      </w:r>
      <w:r w:rsidRPr="00EF6860">
        <w:rPr>
          <w:rFonts w:cs="Arial"/>
          <w:lang w:val="es-ES"/>
        </w:rPr>
        <w:tab/>
      </w:r>
      <w:r w:rsidRPr="00EF6860">
        <w:rPr>
          <w:rFonts w:cs="Arial"/>
          <w:lang w:val="es-ES_tradnl"/>
        </w:rPr>
        <w:t>Técnicas moleculares</w:t>
      </w:r>
    </w:p>
    <w:p w:rsidR="00EF6860" w:rsidRPr="00EF6860" w:rsidRDefault="00EF6860" w:rsidP="00EF6860">
      <w:pPr>
        <w:tabs>
          <w:tab w:val="left" w:pos="1134"/>
        </w:tabs>
        <w:ind w:left="567"/>
        <w:rPr>
          <w:rFonts w:cs="Arial"/>
          <w:lang w:val="es-ES_tradnl"/>
        </w:rPr>
      </w:pPr>
      <w:r w:rsidRPr="00EF6860">
        <w:rPr>
          <w:rFonts w:cs="Arial"/>
          <w:lang w:val="es-ES_tradnl"/>
        </w:rPr>
        <w:t>5.</w:t>
      </w:r>
      <w:r w:rsidRPr="00EF6860">
        <w:rPr>
          <w:rFonts w:cs="Arial"/>
          <w:lang w:val="es-ES_tradnl"/>
        </w:rPr>
        <w:tab/>
        <w:t xml:space="preserve">Documentos TGP </w:t>
      </w:r>
    </w:p>
    <w:p w:rsidR="00EF6860" w:rsidRPr="00EF6860" w:rsidRDefault="00EF6860" w:rsidP="00EF6860">
      <w:pPr>
        <w:tabs>
          <w:tab w:val="left" w:pos="1134"/>
        </w:tabs>
        <w:ind w:left="567"/>
        <w:rPr>
          <w:rFonts w:cs="Arial"/>
          <w:lang w:val="es-ES_tradnl"/>
        </w:rPr>
      </w:pPr>
      <w:r w:rsidRPr="00EF6860">
        <w:rPr>
          <w:rFonts w:cs="Arial"/>
          <w:lang w:val="es-ES_tradnl"/>
        </w:rPr>
        <w:t>6.</w:t>
      </w:r>
      <w:r w:rsidRPr="00EF6860">
        <w:rPr>
          <w:rFonts w:cs="Arial"/>
          <w:lang w:val="es-ES_tradnl"/>
        </w:rPr>
        <w:tab/>
        <w:t>Denominaciones de variedades</w:t>
      </w:r>
    </w:p>
    <w:p w:rsidR="00EF6860" w:rsidRPr="00EF6860" w:rsidRDefault="00EF6860" w:rsidP="00EF6860">
      <w:pPr>
        <w:tabs>
          <w:tab w:val="left" w:pos="1134"/>
        </w:tabs>
        <w:ind w:left="567"/>
        <w:rPr>
          <w:rFonts w:cs="Arial"/>
          <w:lang w:val="es-ES"/>
        </w:rPr>
      </w:pPr>
      <w:r w:rsidRPr="00EF6860">
        <w:rPr>
          <w:rFonts w:cs="Arial"/>
          <w:lang w:val="es-ES_tradnl"/>
        </w:rPr>
        <w:t>7.</w:t>
      </w:r>
      <w:r w:rsidRPr="00EF6860">
        <w:rPr>
          <w:rFonts w:cs="Arial"/>
          <w:lang w:val="es-ES_tradnl"/>
        </w:rPr>
        <w:tab/>
        <w:t>Información y bases de datos</w:t>
      </w:r>
    </w:p>
    <w:p w:rsidR="00EF6860" w:rsidRPr="00EF6860" w:rsidRDefault="00EF6860" w:rsidP="00EF6860">
      <w:pPr>
        <w:ind w:left="1418"/>
        <w:rPr>
          <w:rFonts w:cs="Arial"/>
          <w:lang w:val="es-ES"/>
        </w:rPr>
      </w:pPr>
      <w:r w:rsidRPr="00EF6860">
        <w:rPr>
          <w:rFonts w:cs="Arial"/>
          <w:lang w:val="es-ES"/>
        </w:rPr>
        <w:t>a)</w:t>
      </w:r>
      <w:r w:rsidRPr="00EF6860">
        <w:rPr>
          <w:rFonts w:cs="Arial"/>
          <w:lang w:val="es-ES"/>
        </w:rPr>
        <w:tab/>
      </w:r>
      <w:r w:rsidRPr="00EF6860">
        <w:rPr>
          <w:rFonts w:cs="Arial"/>
          <w:lang w:val="es-ES_tradnl"/>
        </w:rPr>
        <w:t>Bases de datos de información de la UPOV</w:t>
      </w:r>
      <w:r w:rsidRPr="00EF6860">
        <w:rPr>
          <w:rFonts w:cs="Arial"/>
          <w:lang w:val="es-ES"/>
        </w:rPr>
        <w:t xml:space="preserve"> </w:t>
      </w:r>
    </w:p>
    <w:p w:rsidR="00EF6860" w:rsidRPr="00EF6860" w:rsidRDefault="00EF6860" w:rsidP="00EF6860">
      <w:pPr>
        <w:ind w:left="1418"/>
        <w:jc w:val="left"/>
        <w:rPr>
          <w:rFonts w:cs="Arial"/>
          <w:lang w:val="es-ES"/>
        </w:rPr>
      </w:pPr>
      <w:r w:rsidRPr="00EF6860">
        <w:rPr>
          <w:rFonts w:cs="Arial"/>
          <w:lang w:val="es-ES"/>
        </w:rPr>
        <w:t>b)</w:t>
      </w:r>
      <w:r w:rsidRPr="00EF6860">
        <w:rPr>
          <w:rFonts w:cs="Arial"/>
          <w:lang w:val="es-ES"/>
        </w:rPr>
        <w:tab/>
      </w:r>
      <w:r w:rsidRPr="00EF6860">
        <w:rPr>
          <w:rFonts w:cs="Arial"/>
          <w:lang w:val="es-ES_tradnl"/>
        </w:rPr>
        <w:t>Bases de datos de descripciones de variedades</w:t>
      </w:r>
      <w:r w:rsidRPr="00EF6860">
        <w:rPr>
          <w:rFonts w:cs="Arial"/>
          <w:lang w:val="es-ES"/>
        </w:rPr>
        <w:t xml:space="preserve"> </w:t>
      </w:r>
    </w:p>
    <w:p w:rsidR="00EF6860" w:rsidRPr="00EF6860" w:rsidRDefault="00EF6860" w:rsidP="00EF6860">
      <w:pPr>
        <w:ind w:left="1418"/>
        <w:rPr>
          <w:rFonts w:cs="Arial"/>
          <w:lang w:val="es-ES"/>
        </w:rPr>
      </w:pPr>
      <w:r w:rsidRPr="00EF6860">
        <w:rPr>
          <w:rFonts w:cs="Arial"/>
          <w:lang w:val="es-ES"/>
        </w:rPr>
        <w:t>c)</w:t>
      </w:r>
      <w:r w:rsidRPr="00EF6860">
        <w:rPr>
          <w:rFonts w:cs="Arial"/>
          <w:lang w:val="es-ES"/>
        </w:rPr>
        <w:tab/>
      </w:r>
      <w:r w:rsidRPr="00EF6860">
        <w:rPr>
          <w:rFonts w:cs="Arial"/>
          <w:lang w:val="es-ES_tradnl"/>
        </w:rPr>
        <w:t>Intercambio y uso de programas informáticos y equipos</w:t>
      </w:r>
    </w:p>
    <w:p w:rsidR="00EF6860" w:rsidRPr="00EF6860" w:rsidRDefault="00EF6860" w:rsidP="00EF6860">
      <w:pPr>
        <w:ind w:left="1418"/>
        <w:rPr>
          <w:rFonts w:cs="Arial"/>
          <w:lang w:val="es-ES"/>
        </w:rPr>
      </w:pPr>
      <w:r w:rsidRPr="00EF6860">
        <w:rPr>
          <w:rFonts w:cs="Arial"/>
          <w:lang w:val="es-ES"/>
        </w:rPr>
        <w:t>d)</w:t>
      </w:r>
      <w:r w:rsidRPr="00EF6860">
        <w:rPr>
          <w:rFonts w:cs="Arial"/>
          <w:lang w:val="es-ES"/>
        </w:rPr>
        <w:tab/>
      </w:r>
      <w:r w:rsidRPr="00EF6860">
        <w:rPr>
          <w:rFonts w:cs="Arial"/>
          <w:lang w:val="es-ES_tradnl"/>
        </w:rPr>
        <w:t>Sistemas de presentación electrónica de solicitudes</w:t>
      </w:r>
      <w:r w:rsidRPr="00EF6860">
        <w:rPr>
          <w:rFonts w:cs="Arial"/>
          <w:lang w:val="es-ES"/>
        </w:rPr>
        <w:t xml:space="preserve"> </w:t>
      </w:r>
    </w:p>
    <w:p w:rsidR="00EF6860" w:rsidRPr="00EF6860" w:rsidRDefault="00EF6860" w:rsidP="00EF6860">
      <w:pPr>
        <w:tabs>
          <w:tab w:val="left" w:pos="1134"/>
        </w:tabs>
        <w:ind w:left="567"/>
        <w:rPr>
          <w:rFonts w:cs="Arial"/>
          <w:lang w:val="es-ES"/>
        </w:rPr>
      </w:pPr>
      <w:r w:rsidRPr="00EF6860">
        <w:rPr>
          <w:rFonts w:cs="Arial"/>
          <w:lang w:val="es-ES"/>
        </w:rPr>
        <w:t>8.</w:t>
      </w:r>
      <w:r w:rsidRPr="00EF6860">
        <w:rPr>
          <w:rFonts w:cs="Arial"/>
          <w:lang w:val="es-ES"/>
        </w:rPr>
        <w:tab/>
      </w:r>
      <w:r w:rsidRPr="00EF6860">
        <w:rPr>
          <w:rFonts w:cs="Arial"/>
          <w:lang w:val="es-ES_tradnl"/>
        </w:rPr>
        <w:t>Evaluación de la homogeneidad</w:t>
      </w:r>
      <w:r w:rsidRPr="00EF6860">
        <w:rPr>
          <w:rFonts w:cs="Arial"/>
          <w:lang w:val="es-ES"/>
        </w:rPr>
        <w:t xml:space="preserve"> </w:t>
      </w:r>
    </w:p>
    <w:p w:rsidR="00EF6860" w:rsidRPr="00EF6860" w:rsidRDefault="00EF6860" w:rsidP="00EF6860">
      <w:pPr>
        <w:tabs>
          <w:tab w:val="left" w:pos="1134"/>
        </w:tabs>
        <w:ind w:left="567"/>
        <w:rPr>
          <w:rFonts w:cs="Arial"/>
          <w:lang w:val="es-ES"/>
        </w:rPr>
      </w:pPr>
      <w:r w:rsidRPr="00EF6860">
        <w:rPr>
          <w:rFonts w:cs="Arial"/>
          <w:szCs w:val="24"/>
          <w:lang w:val="es-ES"/>
        </w:rPr>
        <w:t>9.</w:t>
      </w:r>
      <w:r w:rsidRPr="00EF6860">
        <w:rPr>
          <w:rFonts w:cs="Arial"/>
          <w:szCs w:val="24"/>
          <w:lang w:val="es-ES"/>
        </w:rPr>
        <w:tab/>
      </w:r>
      <w:r w:rsidRPr="00EF6860">
        <w:rPr>
          <w:rFonts w:cs="Arial"/>
          <w:lang w:val="es-ES_tradnl"/>
        </w:rPr>
        <w:t>Experiencias con nuevos tipos y especies</w:t>
      </w:r>
    </w:p>
    <w:p w:rsidR="00EF6860" w:rsidRPr="00EF6860" w:rsidRDefault="00EF6860" w:rsidP="00EF6860">
      <w:pPr>
        <w:tabs>
          <w:tab w:val="left" w:pos="1134"/>
        </w:tabs>
        <w:ind w:leftChars="283" w:left="567" w:hanging="1"/>
        <w:rPr>
          <w:rFonts w:cs="Arial"/>
          <w:color w:val="000000"/>
          <w:lang w:val="es-ES"/>
        </w:rPr>
      </w:pPr>
      <w:r w:rsidRPr="00EF6860">
        <w:rPr>
          <w:rFonts w:cs="Arial"/>
          <w:color w:val="000000"/>
          <w:lang w:val="es-ES"/>
        </w:rPr>
        <w:t>10.</w:t>
      </w:r>
      <w:r w:rsidRPr="00EF6860">
        <w:rPr>
          <w:rFonts w:cs="Arial"/>
          <w:color w:val="000000"/>
          <w:lang w:val="es-ES"/>
        </w:rPr>
        <w:tab/>
      </w:r>
      <w:r w:rsidRPr="00EF6860">
        <w:rPr>
          <w:rFonts w:cs="Arial"/>
          <w:color w:val="000000"/>
          <w:lang w:val="es-ES_tradnl"/>
        </w:rPr>
        <w:t>Descripciones de variedades</w:t>
      </w:r>
      <w:r w:rsidRPr="00EF6860">
        <w:rPr>
          <w:rFonts w:cs="Arial"/>
          <w:color w:val="000000"/>
          <w:lang w:val="es-ES"/>
        </w:rPr>
        <w:t xml:space="preserve"> </w:t>
      </w:r>
    </w:p>
    <w:p w:rsidR="00EF6860" w:rsidRPr="00EF6860" w:rsidRDefault="00EF6860" w:rsidP="00EF6860">
      <w:pPr>
        <w:tabs>
          <w:tab w:val="left" w:pos="1134"/>
        </w:tabs>
        <w:ind w:leftChars="283" w:left="1134" w:hanging="568"/>
        <w:rPr>
          <w:rFonts w:cs="Arial"/>
          <w:lang w:val="es-ES"/>
        </w:rPr>
      </w:pPr>
      <w:r w:rsidRPr="00EF6860">
        <w:rPr>
          <w:rFonts w:cs="Arial"/>
          <w:color w:val="000000"/>
          <w:lang w:val="es-ES"/>
        </w:rPr>
        <w:t>11.</w:t>
      </w:r>
      <w:r w:rsidRPr="00EF6860">
        <w:rPr>
          <w:rFonts w:cs="Arial"/>
          <w:color w:val="000000"/>
          <w:lang w:val="es-ES"/>
        </w:rPr>
        <w:tab/>
      </w:r>
      <w:r w:rsidRPr="00EF6860">
        <w:rPr>
          <w:rFonts w:cs="Arial"/>
          <w:color w:val="000000"/>
          <w:lang w:val="es-ES_tradnl"/>
        </w:rPr>
        <w:t>Estudio de caso sobre las distancias mínimas entre las variedades ornamentales y frutales de multiplicación vegetativa</w:t>
      </w:r>
    </w:p>
    <w:p w:rsidR="00EF6860" w:rsidRPr="00EF6860" w:rsidRDefault="00EF6860" w:rsidP="00EF6860">
      <w:pPr>
        <w:tabs>
          <w:tab w:val="left" w:pos="1134"/>
        </w:tabs>
        <w:ind w:leftChars="283" w:left="567" w:hanging="1"/>
        <w:rPr>
          <w:rFonts w:cs="Arial"/>
          <w:color w:val="000000"/>
          <w:lang w:val="es-ES"/>
        </w:rPr>
      </w:pPr>
      <w:r w:rsidRPr="00EF6860">
        <w:rPr>
          <w:rFonts w:cs="Arial"/>
          <w:color w:val="000000"/>
          <w:lang w:val="es-ES"/>
        </w:rPr>
        <w:t>12.</w:t>
      </w:r>
      <w:r w:rsidRPr="00EF6860">
        <w:rPr>
          <w:rFonts w:cs="Arial"/>
          <w:color w:val="000000"/>
          <w:lang w:val="es-ES"/>
        </w:rPr>
        <w:tab/>
      </w:r>
      <w:r w:rsidRPr="00EF6860">
        <w:rPr>
          <w:rFonts w:cs="Arial"/>
          <w:color w:val="000000"/>
          <w:lang w:val="es-ES_tradnl"/>
        </w:rPr>
        <w:t>Definición de grupos de color en referencia a la carta de colores RHS</w:t>
      </w:r>
      <w:r w:rsidRPr="00EF6860">
        <w:rPr>
          <w:rFonts w:cs="Arial"/>
          <w:color w:val="000000"/>
          <w:lang w:val="es-ES"/>
        </w:rPr>
        <w:t xml:space="preserve"> </w:t>
      </w:r>
    </w:p>
    <w:p w:rsidR="00EF6860" w:rsidRPr="00EF6860" w:rsidRDefault="00EF6860" w:rsidP="00EF6860">
      <w:pPr>
        <w:tabs>
          <w:tab w:val="left" w:pos="1134"/>
        </w:tabs>
        <w:ind w:leftChars="283" w:left="567" w:hanging="1"/>
        <w:rPr>
          <w:rFonts w:cs="Arial"/>
          <w:color w:val="000000"/>
          <w:lang w:val="es-ES"/>
        </w:rPr>
      </w:pPr>
      <w:r w:rsidRPr="00EF6860">
        <w:rPr>
          <w:rFonts w:cs="Arial"/>
          <w:color w:val="000000"/>
          <w:lang w:val="es-ES"/>
        </w:rPr>
        <w:t>13.</w:t>
      </w:r>
      <w:r w:rsidRPr="00EF6860">
        <w:rPr>
          <w:rFonts w:cs="Arial"/>
          <w:color w:val="000000"/>
          <w:lang w:val="es-ES"/>
        </w:rPr>
        <w:tab/>
      </w:r>
      <w:r w:rsidRPr="00EF6860">
        <w:rPr>
          <w:rFonts w:cs="Arial"/>
          <w:color w:val="000000"/>
          <w:lang w:val="es-ES_tradnl"/>
        </w:rPr>
        <w:t>Experiencia con la carta de colores RHS y posible añadidura futura de colores</w:t>
      </w:r>
      <w:r w:rsidRPr="00EF6860">
        <w:rPr>
          <w:rFonts w:cs="Arial"/>
          <w:color w:val="000000"/>
          <w:lang w:val="es-ES"/>
        </w:rPr>
        <w:t xml:space="preserve"> </w:t>
      </w:r>
    </w:p>
    <w:p w:rsidR="00EF6860" w:rsidRPr="00EF6860" w:rsidRDefault="00EF6860" w:rsidP="00EF6860">
      <w:pPr>
        <w:tabs>
          <w:tab w:val="left" w:pos="1134"/>
        </w:tabs>
        <w:ind w:leftChars="283" w:left="567" w:hanging="1"/>
        <w:rPr>
          <w:rFonts w:cs="Arial"/>
          <w:color w:val="000000"/>
          <w:lang w:val="es-ES"/>
        </w:rPr>
      </w:pPr>
      <w:r w:rsidRPr="00EF6860">
        <w:rPr>
          <w:rFonts w:cs="Arial"/>
          <w:color w:val="000000"/>
          <w:lang w:val="es-ES"/>
        </w:rPr>
        <w:t>14.</w:t>
      </w:r>
      <w:r w:rsidRPr="00EF6860">
        <w:rPr>
          <w:rFonts w:cs="Arial"/>
          <w:color w:val="000000"/>
          <w:lang w:val="es-ES"/>
        </w:rPr>
        <w:tab/>
      </w:r>
      <w:r w:rsidRPr="00EF6860">
        <w:rPr>
          <w:rFonts w:cs="Arial"/>
          <w:color w:val="000000"/>
          <w:lang w:val="es-ES_tradnl"/>
        </w:rPr>
        <w:t>Creación de ilustraciones para las directrices de examen</w:t>
      </w:r>
    </w:p>
    <w:p w:rsidR="00EF6860" w:rsidRPr="00EF6860" w:rsidRDefault="00EF6860" w:rsidP="00EF6860">
      <w:pPr>
        <w:tabs>
          <w:tab w:val="left" w:pos="1134"/>
        </w:tabs>
        <w:ind w:leftChars="283" w:left="567" w:hanging="1"/>
        <w:rPr>
          <w:rFonts w:cs="Arial"/>
          <w:color w:val="000000"/>
          <w:lang w:val="es-ES"/>
        </w:rPr>
      </w:pPr>
      <w:r w:rsidRPr="00EF6860">
        <w:rPr>
          <w:rFonts w:cs="Arial"/>
          <w:color w:val="000000"/>
          <w:lang w:val="es-ES"/>
        </w:rPr>
        <w:t>15.</w:t>
      </w:r>
      <w:r w:rsidRPr="00EF6860">
        <w:rPr>
          <w:rFonts w:cs="Arial"/>
          <w:color w:val="000000"/>
          <w:lang w:val="es-ES"/>
        </w:rPr>
        <w:tab/>
      </w:r>
      <w:r w:rsidRPr="00EF6860">
        <w:rPr>
          <w:rFonts w:cs="Arial"/>
          <w:color w:val="000000"/>
          <w:lang w:val="es-ES_tradnl"/>
        </w:rPr>
        <w:t>Plantilla en Internet de los documentos TG</w:t>
      </w:r>
      <w:r w:rsidRPr="00EF6860">
        <w:rPr>
          <w:rFonts w:cs="Arial"/>
          <w:color w:val="000000"/>
          <w:lang w:val="es-ES"/>
        </w:rPr>
        <w:t xml:space="preserve"> </w:t>
      </w:r>
    </w:p>
    <w:p w:rsidR="00EF6860" w:rsidRPr="00EF6860" w:rsidRDefault="00EF6860" w:rsidP="00EF6860">
      <w:pPr>
        <w:tabs>
          <w:tab w:val="left" w:pos="1134"/>
        </w:tabs>
        <w:ind w:left="1134" w:hanging="567"/>
        <w:rPr>
          <w:rFonts w:cs="Arial"/>
          <w:lang w:val="es-ES"/>
        </w:rPr>
      </w:pPr>
      <w:r w:rsidRPr="00EF6860">
        <w:rPr>
          <w:rFonts w:cs="Arial"/>
          <w:lang w:val="es-ES"/>
        </w:rPr>
        <w:t>16.</w:t>
      </w:r>
      <w:r w:rsidRPr="00EF6860">
        <w:rPr>
          <w:rFonts w:cs="Arial"/>
          <w:lang w:val="es-ES"/>
        </w:rPr>
        <w:tab/>
      </w:r>
      <w:r w:rsidRPr="00EF6860">
        <w:rPr>
          <w:rFonts w:cs="Arial"/>
          <w:lang w:val="es-ES_tradnl"/>
        </w:rPr>
        <w:t>Cuestiones por resolver en lo que respecta a directrices de examen aprobadas por el Comité Técnico</w:t>
      </w:r>
      <w:r w:rsidRPr="00EF6860">
        <w:rPr>
          <w:rFonts w:cs="Arial"/>
          <w:lang w:val="es-ES"/>
        </w:rPr>
        <w:t xml:space="preserve"> </w:t>
      </w:r>
    </w:p>
    <w:p w:rsidR="00EF6860" w:rsidRPr="00EF6860" w:rsidRDefault="00EF6860" w:rsidP="00EF6860">
      <w:pPr>
        <w:tabs>
          <w:tab w:val="left" w:pos="1134"/>
        </w:tabs>
        <w:ind w:left="567"/>
        <w:rPr>
          <w:rFonts w:cs="Arial"/>
          <w:color w:val="000000"/>
          <w:lang w:val="es-ES"/>
        </w:rPr>
      </w:pPr>
      <w:r w:rsidRPr="00EF6860">
        <w:rPr>
          <w:rFonts w:cs="Arial"/>
          <w:color w:val="000000"/>
          <w:sz w:val="21"/>
          <w:szCs w:val="21"/>
          <w:lang w:val="es-ES" w:eastAsia="ja-JP"/>
        </w:rPr>
        <w:t>17.</w:t>
      </w:r>
      <w:r w:rsidRPr="00EF6860">
        <w:rPr>
          <w:rFonts w:cs="Arial"/>
          <w:color w:val="000000"/>
          <w:lang w:val="es-ES"/>
        </w:rPr>
        <w:tab/>
      </w:r>
      <w:r w:rsidRPr="00EF6860">
        <w:rPr>
          <w:rFonts w:cs="Arial"/>
          <w:color w:val="000000"/>
          <w:lang w:val="es-ES_tradnl"/>
        </w:rPr>
        <w:t>Propuestas de revisión parcial/correcciones de directrices de examen</w:t>
      </w:r>
      <w:r w:rsidRPr="00EF6860">
        <w:rPr>
          <w:rFonts w:cs="Arial"/>
          <w:color w:val="000000"/>
          <w:lang w:val="es-ES"/>
        </w:rPr>
        <w:t xml:space="preserve"> </w:t>
      </w:r>
    </w:p>
    <w:p w:rsidR="00EF6860" w:rsidRPr="00EF6860" w:rsidRDefault="00EF6860" w:rsidP="00EF6860">
      <w:pPr>
        <w:tabs>
          <w:tab w:val="left" w:pos="1134"/>
        </w:tabs>
        <w:ind w:left="567"/>
        <w:rPr>
          <w:rFonts w:cs="Arial"/>
          <w:lang w:val="es-ES"/>
        </w:rPr>
      </w:pPr>
      <w:r w:rsidRPr="00EF6860">
        <w:rPr>
          <w:rFonts w:cs="Arial"/>
          <w:lang w:val="es-ES"/>
        </w:rPr>
        <w:t>18.</w:t>
      </w:r>
      <w:r w:rsidRPr="00EF6860">
        <w:rPr>
          <w:rFonts w:cs="Arial"/>
          <w:lang w:val="es-ES"/>
        </w:rPr>
        <w:tab/>
      </w:r>
      <w:r w:rsidRPr="00EF6860">
        <w:rPr>
          <w:rFonts w:cs="Arial"/>
          <w:lang w:val="es-ES_tradnl"/>
        </w:rPr>
        <w:t>Debates sobre proyectos de directrices de examen (subgrupos)</w:t>
      </w:r>
    </w:p>
    <w:p w:rsidR="00EF6860" w:rsidRPr="00EF6860" w:rsidRDefault="00EF6860" w:rsidP="00EF6860">
      <w:pPr>
        <w:tabs>
          <w:tab w:val="left" w:pos="1134"/>
        </w:tabs>
        <w:ind w:left="567"/>
        <w:rPr>
          <w:rFonts w:cs="Arial"/>
          <w:lang w:val="es-ES"/>
        </w:rPr>
      </w:pPr>
      <w:r w:rsidRPr="00EF6860">
        <w:rPr>
          <w:rFonts w:cs="Arial"/>
          <w:lang w:val="es-ES"/>
        </w:rPr>
        <w:t>19.</w:t>
      </w:r>
      <w:r w:rsidRPr="00EF6860">
        <w:rPr>
          <w:rFonts w:cs="Arial"/>
          <w:lang w:val="es-ES"/>
        </w:rPr>
        <w:tab/>
      </w:r>
      <w:r w:rsidRPr="00EF6860">
        <w:rPr>
          <w:rFonts w:cs="Arial"/>
          <w:lang w:val="es-ES_tradnl"/>
        </w:rPr>
        <w:t>Recomendaciones sobre proyectos de directrices de examen</w:t>
      </w:r>
    </w:p>
    <w:p w:rsidR="00EF6860" w:rsidRPr="00EF6860" w:rsidRDefault="00EF6860" w:rsidP="00EF6860">
      <w:pPr>
        <w:tabs>
          <w:tab w:val="left" w:pos="1134"/>
        </w:tabs>
        <w:ind w:left="567"/>
        <w:rPr>
          <w:rFonts w:cs="Arial"/>
          <w:lang w:val="es-ES"/>
        </w:rPr>
      </w:pPr>
      <w:r w:rsidRPr="00EF6860">
        <w:rPr>
          <w:rFonts w:cs="Arial"/>
          <w:lang w:val="es-ES"/>
        </w:rPr>
        <w:t>20.</w:t>
      </w:r>
      <w:r w:rsidRPr="00EF6860">
        <w:rPr>
          <w:rFonts w:cs="Arial"/>
          <w:lang w:val="es-ES"/>
        </w:rPr>
        <w:tab/>
      </w:r>
      <w:r w:rsidRPr="00EF6860">
        <w:rPr>
          <w:rFonts w:cs="Arial"/>
          <w:lang w:val="es-ES_tradnl"/>
        </w:rPr>
        <w:t>Guía para los redactores de las directrices de examen</w:t>
      </w:r>
    </w:p>
    <w:p w:rsidR="00EF6860" w:rsidRPr="00EF6860" w:rsidRDefault="00EF6860" w:rsidP="00EF6860">
      <w:pPr>
        <w:tabs>
          <w:tab w:val="left" w:pos="1134"/>
        </w:tabs>
        <w:ind w:left="567"/>
        <w:rPr>
          <w:rFonts w:cs="Arial"/>
          <w:lang w:val="es-ES"/>
        </w:rPr>
      </w:pPr>
      <w:r w:rsidRPr="00EF6860">
        <w:rPr>
          <w:rFonts w:cs="Arial"/>
          <w:lang w:val="es-ES"/>
        </w:rPr>
        <w:t>21.</w:t>
      </w:r>
      <w:r w:rsidRPr="00EF6860">
        <w:rPr>
          <w:rFonts w:cs="Arial"/>
          <w:lang w:val="es-ES"/>
        </w:rPr>
        <w:tab/>
      </w:r>
      <w:r w:rsidRPr="00EF6860">
        <w:rPr>
          <w:rFonts w:cs="Arial"/>
          <w:lang w:val="es-ES_tradnl"/>
        </w:rPr>
        <w:t>Fecha y lugar de la siguiente reunión</w:t>
      </w:r>
    </w:p>
    <w:p w:rsidR="00EF6860" w:rsidRPr="00EF6860" w:rsidRDefault="00EF6860" w:rsidP="00EF6860">
      <w:pPr>
        <w:tabs>
          <w:tab w:val="left" w:pos="1134"/>
        </w:tabs>
        <w:ind w:left="567"/>
        <w:rPr>
          <w:rFonts w:cs="Arial"/>
          <w:lang w:val="es-ES"/>
        </w:rPr>
      </w:pPr>
      <w:r w:rsidRPr="00EF6860">
        <w:rPr>
          <w:rFonts w:cs="Arial"/>
          <w:lang w:val="es-ES"/>
        </w:rPr>
        <w:t>22.</w:t>
      </w:r>
      <w:r w:rsidRPr="00EF6860">
        <w:rPr>
          <w:rFonts w:cs="Arial"/>
          <w:lang w:val="es-ES"/>
        </w:rPr>
        <w:tab/>
      </w:r>
      <w:r w:rsidRPr="00EF6860">
        <w:rPr>
          <w:rFonts w:cs="Arial"/>
          <w:lang w:val="es-ES_tradnl"/>
        </w:rPr>
        <w:t>Programa futuro</w:t>
      </w:r>
    </w:p>
    <w:p w:rsidR="00EF6860" w:rsidRPr="00EF6860" w:rsidRDefault="00EF6860" w:rsidP="00EF6860">
      <w:pPr>
        <w:tabs>
          <w:tab w:val="left" w:pos="1134"/>
        </w:tabs>
        <w:ind w:left="567"/>
        <w:rPr>
          <w:rFonts w:cs="Arial"/>
          <w:lang w:val="es-ES"/>
        </w:rPr>
      </w:pPr>
      <w:r w:rsidRPr="00EF6860">
        <w:rPr>
          <w:rFonts w:cs="Arial"/>
          <w:lang w:val="es-ES"/>
        </w:rPr>
        <w:t>23.</w:t>
      </w:r>
      <w:r w:rsidRPr="00EF6860">
        <w:rPr>
          <w:rFonts w:cs="Arial"/>
          <w:lang w:val="es-ES"/>
        </w:rPr>
        <w:tab/>
      </w:r>
      <w:r w:rsidRPr="00EF6860">
        <w:rPr>
          <w:rFonts w:cs="Arial"/>
          <w:lang w:val="es-ES_tradnl"/>
        </w:rPr>
        <w:t>Aprobación del informe de la reunión (si se dispone de tiempo suficiente)</w:t>
      </w:r>
    </w:p>
    <w:p w:rsidR="00EF6860" w:rsidRPr="00EF6860" w:rsidRDefault="00EF6860" w:rsidP="00EF6860">
      <w:pPr>
        <w:tabs>
          <w:tab w:val="left" w:pos="1134"/>
        </w:tabs>
        <w:ind w:left="567"/>
        <w:rPr>
          <w:rFonts w:cs="Arial"/>
          <w:lang w:val="es-ES"/>
        </w:rPr>
      </w:pPr>
      <w:r w:rsidRPr="00EF6860">
        <w:rPr>
          <w:rFonts w:cs="Arial"/>
          <w:lang w:val="es-ES"/>
        </w:rPr>
        <w:t>24.</w:t>
      </w:r>
      <w:r w:rsidRPr="00EF6860">
        <w:rPr>
          <w:rFonts w:cs="Arial"/>
          <w:lang w:val="es-ES"/>
        </w:rPr>
        <w:tab/>
      </w:r>
      <w:r w:rsidRPr="00EF6860">
        <w:rPr>
          <w:rFonts w:cs="Arial"/>
          <w:lang w:val="es-ES_tradnl"/>
        </w:rPr>
        <w:t>Clausura de la reunión</w:t>
      </w:r>
    </w:p>
    <w:p w:rsidR="00EF6860" w:rsidRPr="00EF6860" w:rsidRDefault="00EF6860" w:rsidP="00EF6860">
      <w:pPr>
        <w:rPr>
          <w:rFonts w:cs="Arial"/>
          <w:lang w:val="es-ES"/>
        </w:rPr>
      </w:pPr>
    </w:p>
    <w:p w:rsidR="00EF6860" w:rsidRPr="00EF6860" w:rsidRDefault="00EF6860" w:rsidP="00EF6860">
      <w:pPr>
        <w:rPr>
          <w:rFonts w:cs="Arial"/>
          <w:lang w:val="es-ES"/>
        </w:rPr>
      </w:pPr>
      <w:r w:rsidRPr="00EF6860">
        <w:rPr>
          <w:rFonts w:cs="Arial"/>
        </w:rPr>
        <w:fldChar w:fldCharType="begin"/>
      </w:r>
      <w:r w:rsidRPr="00EF6860">
        <w:rPr>
          <w:rFonts w:cs="Arial"/>
          <w:lang w:val="es-ES"/>
        </w:rPr>
        <w:instrText xml:space="preserve"> AUTONUM  </w:instrText>
      </w:r>
      <w:r w:rsidRPr="00EF6860">
        <w:rPr>
          <w:rFonts w:cs="Arial"/>
        </w:rPr>
        <w:fldChar w:fldCharType="end"/>
      </w:r>
      <w:r w:rsidRPr="00EF6860">
        <w:rPr>
          <w:rFonts w:cs="Arial"/>
          <w:lang w:val="es-ES"/>
        </w:rPr>
        <w:tab/>
      </w:r>
      <w:r w:rsidRPr="00EF6860">
        <w:rPr>
          <w:rFonts w:cs="Arial"/>
          <w:shd w:val="clear" w:color="auto" w:fill="FFFFFF"/>
          <w:lang w:val="es-ES_tradnl"/>
        </w:rPr>
        <w:t>En 16 de septiembre de 2015 por la tarde, el TWO visitó la estación experimental del Instituto Nacional de Botánica Agrícola (NIAB), en Cambridge, donde se examinan anualmente más de 1.000 variedades agrícolas y ornamentales a efectos de los derechos de obtentor y la inclusión en la lista nacional.</w:t>
      </w:r>
      <w:r w:rsidRPr="00EF6860">
        <w:rPr>
          <w:rFonts w:cs="Arial"/>
          <w:shd w:val="clear" w:color="auto" w:fill="FFFFFF"/>
          <w:lang w:val="es-ES"/>
        </w:rPr>
        <w:t xml:space="preserve">  </w:t>
      </w:r>
      <w:r w:rsidRPr="00EF6860">
        <w:rPr>
          <w:rFonts w:cs="Arial"/>
          <w:shd w:val="clear" w:color="auto" w:fill="FFFFFF"/>
          <w:lang w:val="es-ES_tradnl"/>
        </w:rPr>
        <w:t>Las pruebas se realizan en una finca de 250 hectáreas que incluye 3.300 m</w:t>
      </w:r>
      <w:r w:rsidRPr="00EF6860">
        <w:rPr>
          <w:rFonts w:cs="Arial"/>
          <w:shd w:val="clear" w:color="auto" w:fill="FFFFFF"/>
          <w:vertAlign w:val="superscript"/>
          <w:lang w:val="es-ES_tradnl"/>
        </w:rPr>
        <w:t>2</w:t>
      </w:r>
      <w:r w:rsidRPr="00EF6860">
        <w:rPr>
          <w:rFonts w:cs="Arial"/>
          <w:shd w:val="clear" w:color="auto" w:fill="FFFFFF"/>
          <w:lang w:val="es-ES_tradnl"/>
        </w:rPr>
        <w:t xml:space="preserve"> de invernaderos.</w:t>
      </w:r>
      <w:r w:rsidRPr="00EF6860">
        <w:rPr>
          <w:rFonts w:cs="Arial"/>
          <w:shd w:val="clear" w:color="auto" w:fill="FFFFFF"/>
          <w:lang w:val="es-ES"/>
        </w:rPr>
        <w:t xml:space="preserve">  </w:t>
      </w:r>
      <w:r w:rsidRPr="00EF6860">
        <w:rPr>
          <w:rFonts w:cs="Arial"/>
          <w:shd w:val="clear" w:color="auto" w:fill="FFFFFF"/>
          <w:lang w:val="es-ES_tradnl"/>
        </w:rPr>
        <w:t>Dio la bienvenida al TWO y ofreció una charla introductoria la Sra. Elizabeth Scott, Jefa de Caracterización de cultivos del NIAB.</w:t>
      </w:r>
      <w:r w:rsidRPr="00EF6860">
        <w:rPr>
          <w:rFonts w:cs="Arial"/>
          <w:shd w:val="clear" w:color="auto" w:fill="FFFFFF"/>
          <w:lang w:val="es-ES"/>
        </w:rPr>
        <w:t xml:space="preserve">  </w:t>
      </w:r>
      <w:r w:rsidRPr="00EF6860">
        <w:rPr>
          <w:rFonts w:cs="Arial"/>
          <w:shd w:val="clear" w:color="auto" w:fill="FFFFFF"/>
          <w:lang w:val="es-ES_tradnl"/>
        </w:rPr>
        <w:t>El TWO visitó el complejo de invernaderos y varios ensayos DHE de plantas ornamentales.</w:t>
      </w:r>
      <w:r w:rsidRPr="00EF6860">
        <w:rPr>
          <w:rFonts w:cs="Arial"/>
          <w:shd w:val="clear" w:color="auto" w:fill="FFFFFF"/>
          <w:lang w:val="es-ES"/>
        </w:rPr>
        <w:t xml:space="preserve">  </w:t>
      </w:r>
      <w:r w:rsidRPr="00EF6860">
        <w:rPr>
          <w:rFonts w:cs="Arial"/>
          <w:shd w:val="clear" w:color="auto" w:fill="FFFFFF"/>
          <w:lang w:val="es-ES_tradnl"/>
        </w:rPr>
        <w:t>El TWO mantuvo deliberaciones prácticas, en subgrupos, sobre los proyectos de directrices de examen de Abelia, Coleus, Salvia y Zinnia, usando una colección de variedades proporcionadas por el NIAB.</w:t>
      </w:r>
    </w:p>
    <w:p w:rsidR="00EF6860" w:rsidRPr="00EF6860" w:rsidRDefault="00EF6860" w:rsidP="00EF6860">
      <w:pPr>
        <w:rPr>
          <w:lang w:val="es-ES"/>
        </w:rPr>
      </w:pPr>
    </w:p>
    <w:p w:rsidR="00EF6860" w:rsidRPr="00EF6860" w:rsidRDefault="00EF6860" w:rsidP="00EF6860">
      <w:pPr>
        <w:keepNext/>
        <w:outlineLvl w:val="2"/>
        <w:rPr>
          <w:i/>
          <w:lang w:val="es-ES"/>
        </w:rPr>
      </w:pPr>
      <w:bookmarkStart w:id="99" w:name="_Toc463512531"/>
      <w:r w:rsidRPr="00EF6860">
        <w:rPr>
          <w:i/>
          <w:lang w:val="es-ES_tradnl"/>
        </w:rPr>
        <w:t>Grupo de Trabajo Técnico sobre Hortalizas</w:t>
      </w:r>
      <w:bookmarkEnd w:id="99"/>
    </w:p>
    <w:p w:rsidR="00EF6860" w:rsidRPr="00EF6860" w:rsidRDefault="00EF6860" w:rsidP="00EF6860">
      <w:pPr>
        <w:keepNext/>
        <w:rPr>
          <w:lang w:val="es-ES"/>
        </w:rPr>
      </w:pPr>
    </w:p>
    <w:p w:rsidR="00EF6860" w:rsidRPr="00EF6860" w:rsidRDefault="00EF6860" w:rsidP="00EF6860">
      <w:pPr>
        <w:keepNext/>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La cuadragésima novena sesión del TWV se celebró del 15 al 19 de junio de 2015 en Angers (Francia), organizada por la Oficina Comunitaria de Variedades Vegetales (OCVV) como representante de la Unión Europea.</w:t>
      </w:r>
    </w:p>
    <w:p w:rsidR="00EF6860" w:rsidRPr="00EF6860" w:rsidRDefault="00EF6860" w:rsidP="00EF6860">
      <w:pPr>
        <w:rPr>
          <w:lang w:val="es-ES"/>
        </w:rPr>
      </w:pPr>
    </w:p>
    <w:p w:rsidR="00EF6860" w:rsidRPr="00EF6860" w:rsidRDefault="00EF6860" w:rsidP="00EF6860">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 xml:space="preserve">La sesión contó con 52 participantes de </w:t>
      </w:r>
      <w:r w:rsidRPr="00EF6860">
        <w:rPr>
          <w:color w:val="000000"/>
          <w:lang w:val="es-ES_tradnl"/>
        </w:rPr>
        <w:t xml:space="preserve">20 </w:t>
      </w:r>
      <w:r w:rsidRPr="00EF6860">
        <w:rPr>
          <w:lang w:val="es-ES_tradnl"/>
        </w:rPr>
        <w:t>miembros, 4 Estados en calidad de observadores y 3 organizaciones en calidad de observadoras.</w:t>
      </w:r>
      <w:r w:rsidRPr="00EF6860">
        <w:rPr>
          <w:lang w:val="es-ES"/>
        </w:rPr>
        <w:t xml:space="preserve">  </w:t>
      </w:r>
      <w:r w:rsidRPr="00EF6860">
        <w:rPr>
          <w:lang w:val="es-ES_tradnl"/>
        </w:rPr>
        <w:t>Al taller preparatorio del 14 de junio de 2015 asistieron 17 participantes de 11 miembros, 4 Estados en calidad de observadores y 1 organización en calidad de observadora.</w:t>
      </w:r>
      <w:r w:rsidRPr="00EF6860">
        <w:rPr>
          <w:lang w:val="es-ES"/>
        </w:rPr>
        <w:t xml:space="preserve"> </w:t>
      </w:r>
    </w:p>
    <w:p w:rsidR="00EF6860" w:rsidRPr="00EF6860" w:rsidRDefault="00EF6860" w:rsidP="00EF6860">
      <w:pPr>
        <w:rPr>
          <w:lang w:val="es-ES"/>
        </w:rPr>
      </w:pPr>
    </w:p>
    <w:p w:rsidR="00EF6860" w:rsidRPr="00EF6860" w:rsidRDefault="00EF6860" w:rsidP="00EF6860">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Dio la bienvenida al TWV el Sr. Martin Ekvad, Presidente de la Oficina Comunitaria de Variedades Vegetales de la Unión Europea (OCVV), que ofreció una ponencia sobre el sistema de protección de las obtenciones vegetales en la Unión Europea.</w:t>
      </w:r>
      <w:r w:rsidRPr="00EF6860">
        <w:rPr>
          <w:lang w:val="es-ES"/>
        </w:rPr>
        <w:t xml:space="preserve"> </w:t>
      </w:r>
    </w:p>
    <w:p w:rsidR="00EF6860" w:rsidRPr="00EF6860" w:rsidRDefault="00EF6860" w:rsidP="00EF6860">
      <w:pPr>
        <w:rPr>
          <w:color w:val="000000"/>
          <w:lang w:val="es-ES"/>
        </w:rPr>
      </w:pPr>
    </w:p>
    <w:p w:rsidR="00EF6860" w:rsidRPr="00EF6860" w:rsidRDefault="00EF6860" w:rsidP="00EF6860">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TWV examino revisiones de documentos TGP y escuchó ponencias sobre “asuntos relativos a las descripciones de variedades”, “experiencias con nuevos tipos y especies” y “nuevas cuestiones que se plantean en relación con el examen DHE”.</w:t>
      </w:r>
      <w:r w:rsidRPr="00EF6860">
        <w:rPr>
          <w:lang w:val="es-ES"/>
        </w:rPr>
        <w:t xml:space="preserve"> </w:t>
      </w:r>
      <w:r w:rsidRPr="00EF6860">
        <w:rPr>
          <w:lang w:val="es-ES_tradnl"/>
        </w:rPr>
        <w:t>Hubo un intercambio dinámico de opiniones y experiencias en relación con estos temas y el grupo agradeció la posibilidad de contar en el futuro con un espacio en el orden del día para este tipo de deliberaciones abiertas.</w:t>
      </w:r>
      <w:r w:rsidRPr="00EF6860">
        <w:rPr>
          <w:lang w:val="es-ES"/>
        </w:rPr>
        <w:t xml:space="preserve"> </w:t>
      </w:r>
      <w:r w:rsidRPr="00EF6860">
        <w:rPr>
          <w:lang w:val="es-ES_tradnl"/>
        </w:rPr>
        <w:t>En la próxima sesión del TWV se debatirá la importante cuestión de la utilización de caracteres de resistencia a las enfermedades en el examen DHE.</w:t>
      </w:r>
    </w:p>
    <w:p w:rsidR="00EF6860" w:rsidRPr="00EF6860" w:rsidRDefault="00EF6860" w:rsidP="00EF6860">
      <w:pPr>
        <w:rPr>
          <w:lang w:val="es-ES"/>
        </w:rPr>
      </w:pPr>
    </w:p>
    <w:p w:rsidR="00EF6860" w:rsidRPr="00EF6860" w:rsidRDefault="00EF6860" w:rsidP="00EF6860">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TWV convino en presentar los siguientes proyectos de directrices de examen al TC para su aprobación:</w:t>
      </w:r>
      <w:r w:rsidRPr="00EF6860">
        <w:rPr>
          <w:lang w:val="es-ES"/>
        </w:rPr>
        <w:t xml:space="preserve"> </w:t>
      </w:r>
      <w:r w:rsidRPr="00EF6860">
        <w:rPr>
          <w:lang w:val="es-ES_tradnl"/>
        </w:rPr>
        <w:t>albahaca (revisión);</w:t>
      </w:r>
      <w:r w:rsidRPr="00EF6860">
        <w:rPr>
          <w:lang w:val="es-ES"/>
        </w:rPr>
        <w:t xml:space="preserve"> </w:t>
      </w:r>
      <w:r w:rsidRPr="00EF6860">
        <w:rPr>
          <w:lang w:val="es-ES_tradnl"/>
        </w:rPr>
        <w:t>coles (coliflor, repollo, col de Bruselas, colinabo, berza y brócoli: revisión parcial del carácter androesterilidad);</w:t>
      </w:r>
      <w:r w:rsidRPr="00EF6860">
        <w:rPr>
          <w:lang w:val="es-ES"/>
        </w:rPr>
        <w:t xml:space="preserve"> </w:t>
      </w:r>
      <w:r w:rsidRPr="00EF6860">
        <w:rPr>
          <w:lang w:val="es-ES_tradnl"/>
        </w:rPr>
        <w:t>espinaca (revisión parcial);</w:t>
      </w:r>
      <w:r w:rsidRPr="00EF6860">
        <w:rPr>
          <w:lang w:val="es-ES"/>
        </w:rPr>
        <w:t xml:space="preserve"> </w:t>
      </w:r>
      <w:r w:rsidRPr="00EF6860">
        <w:rPr>
          <w:lang w:val="es-ES_tradnl"/>
        </w:rPr>
        <w:t>portainjerto del tomate (revisión parcial), y rábano y rábano negro (revisión parcial).</w:t>
      </w:r>
      <w:r w:rsidRPr="00EF6860">
        <w:rPr>
          <w:lang w:val="es-ES"/>
        </w:rPr>
        <w:t xml:space="preserve"> </w:t>
      </w:r>
    </w:p>
    <w:p w:rsidR="00EF6860" w:rsidRPr="00EF6860" w:rsidRDefault="00EF6860" w:rsidP="00EF6860">
      <w:pPr>
        <w:rPr>
          <w:lang w:val="es-ES"/>
        </w:rPr>
      </w:pPr>
    </w:p>
    <w:p w:rsidR="00EF6860" w:rsidRPr="00EF6860" w:rsidRDefault="00EF6860" w:rsidP="00EF6860">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En su quincuagésima sesión, el TWV tiene previsto examinar tres nuevas directrices de examen, siete revisiones de directrices de examen, y una revisión parcial.</w:t>
      </w:r>
      <w:r w:rsidRPr="00EF6860">
        <w:rPr>
          <w:lang w:val="es-ES"/>
        </w:rPr>
        <w:t xml:space="preserve"> </w:t>
      </w:r>
    </w:p>
    <w:p w:rsidR="00EF6860" w:rsidRPr="00EF6860" w:rsidRDefault="00EF6860" w:rsidP="00EF6860">
      <w:pPr>
        <w:rPr>
          <w:lang w:val="es-ES"/>
        </w:rPr>
      </w:pPr>
    </w:p>
    <w:p w:rsidR="00EF6860" w:rsidRPr="00EF6860" w:rsidRDefault="00EF6860" w:rsidP="00EF6860">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Por invitación de la República Checa, el TWV decidió celebrar su quincuagésima sesión en Brno (República Checa) del 27 de junio al 1 de julio de 2016, y el taller preparatorio el 26 de junio de 2016.</w:t>
      </w:r>
    </w:p>
    <w:p w:rsidR="00EF6860" w:rsidRPr="00EF6860" w:rsidRDefault="00EF6860" w:rsidP="00EF6860">
      <w:pPr>
        <w:rPr>
          <w:lang w:val="es-ES"/>
        </w:rPr>
      </w:pPr>
    </w:p>
    <w:p w:rsidR="00EF6860" w:rsidRPr="00EF6860" w:rsidRDefault="00EF6860" w:rsidP="00EF6860">
      <w:pPr>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TWV propuso examinar los siguientes puntos en su próxima sesión:</w:t>
      </w:r>
    </w:p>
    <w:p w:rsidR="00EF6860" w:rsidRPr="00EF6860" w:rsidRDefault="00EF6860" w:rsidP="00EF6860">
      <w:pPr>
        <w:rPr>
          <w:lang w:val="es-ES"/>
        </w:rPr>
      </w:pPr>
    </w:p>
    <w:p w:rsidR="00EF6860" w:rsidRPr="00EF6860" w:rsidRDefault="00EF6860" w:rsidP="00EF6860">
      <w:pPr>
        <w:ind w:left="1134" w:right="-425" w:hanging="567"/>
        <w:rPr>
          <w:lang w:val="es-ES_tradnl"/>
        </w:rPr>
      </w:pPr>
      <w:r w:rsidRPr="00EF6860">
        <w:rPr>
          <w:lang w:val="es-ES"/>
        </w:rPr>
        <w:t>1.</w:t>
      </w:r>
      <w:r w:rsidRPr="00EF6860">
        <w:rPr>
          <w:lang w:val="es-ES"/>
        </w:rPr>
        <w:tab/>
      </w:r>
      <w:r w:rsidRPr="00EF6860">
        <w:rPr>
          <w:lang w:val="es-ES_tradnl"/>
        </w:rPr>
        <w:t>Apertura de la sesión</w:t>
      </w:r>
    </w:p>
    <w:p w:rsidR="00EF6860" w:rsidRPr="00EF6860" w:rsidRDefault="00EF6860" w:rsidP="00EF6860">
      <w:pPr>
        <w:ind w:left="1134" w:right="-425" w:hanging="567"/>
        <w:rPr>
          <w:lang w:val="es-ES_tradnl"/>
        </w:rPr>
      </w:pPr>
      <w:r w:rsidRPr="00EF6860">
        <w:rPr>
          <w:lang w:val="es-ES_tradnl"/>
        </w:rPr>
        <w:t>2.</w:t>
      </w:r>
      <w:r w:rsidRPr="00EF6860">
        <w:rPr>
          <w:lang w:val="es-ES_tradnl"/>
        </w:rPr>
        <w:tab/>
        <w:t>Aprobación del orden del día</w:t>
      </w:r>
    </w:p>
    <w:p w:rsidR="00EF6860" w:rsidRPr="00EF6860" w:rsidRDefault="00EF6860" w:rsidP="00EF6860">
      <w:pPr>
        <w:ind w:left="1134" w:right="-425" w:hanging="567"/>
        <w:rPr>
          <w:lang w:val="es-ES_tradnl"/>
        </w:rPr>
      </w:pPr>
      <w:r w:rsidRPr="00EF6860">
        <w:rPr>
          <w:lang w:val="es-ES_tradnl"/>
        </w:rPr>
        <w:t>3.</w:t>
      </w:r>
      <w:r w:rsidRPr="00EF6860">
        <w:rPr>
          <w:lang w:val="es-ES_tradnl"/>
        </w:rPr>
        <w:tab/>
        <w:t>Breves informes sobre los avances logrados en la protección de las variedades vegetales</w:t>
      </w:r>
    </w:p>
    <w:p w:rsidR="00EF6860" w:rsidRPr="00EF6860" w:rsidRDefault="00EF6860" w:rsidP="00EF6860">
      <w:pPr>
        <w:ind w:left="1134" w:right="-425" w:hanging="567"/>
        <w:rPr>
          <w:lang w:val="es-ES_tradnl"/>
        </w:rPr>
      </w:pPr>
      <w:r w:rsidRPr="00EF6860">
        <w:rPr>
          <w:lang w:val="es-ES_tradnl"/>
        </w:rPr>
        <w:t>4.</w:t>
      </w:r>
      <w:r w:rsidRPr="00EF6860">
        <w:rPr>
          <w:lang w:val="es-ES_tradnl"/>
        </w:rPr>
        <w:tab/>
        <w:t xml:space="preserve">Informes de miembros y observadores </w:t>
      </w:r>
    </w:p>
    <w:p w:rsidR="00EF6860" w:rsidRPr="00EF6860" w:rsidRDefault="00EF6860" w:rsidP="00EF6860">
      <w:pPr>
        <w:ind w:left="1134" w:right="-425" w:hanging="567"/>
        <w:rPr>
          <w:lang w:val="es-ES_tradnl"/>
        </w:rPr>
      </w:pPr>
      <w:r w:rsidRPr="00EF6860">
        <w:rPr>
          <w:lang w:val="es-ES_tradnl"/>
        </w:rPr>
        <w:t>5.</w:t>
      </w:r>
      <w:r w:rsidRPr="00EF6860">
        <w:rPr>
          <w:lang w:val="es-ES_tradnl"/>
        </w:rPr>
        <w:tab/>
        <w:t xml:space="preserve">Informes sobre los avances logrados en la UPOV </w:t>
      </w:r>
    </w:p>
    <w:p w:rsidR="00EF6860" w:rsidRPr="00EF6860" w:rsidRDefault="00EF6860" w:rsidP="00EF6860">
      <w:pPr>
        <w:ind w:left="1134" w:right="-425" w:hanging="567"/>
        <w:rPr>
          <w:lang w:val="es-ES_tradnl"/>
        </w:rPr>
      </w:pPr>
      <w:r w:rsidRPr="00EF6860">
        <w:rPr>
          <w:lang w:val="es-ES_tradnl"/>
        </w:rPr>
        <w:t>6.</w:t>
      </w:r>
      <w:r w:rsidRPr="00EF6860">
        <w:rPr>
          <w:lang w:val="es-ES_tradnl"/>
        </w:rPr>
        <w:tab/>
        <w:t xml:space="preserve">Técnicas moleculares </w:t>
      </w:r>
    </w:p>
    <w:p w:rsidR="00EF6860" w:rsidRPr="00EF6860" w:rsidRDefault="00EF6860" w:rsidP="00EF6860">
      <w:pPr>
        <w:ind w:left="1134" w:right="-425" w:hanging="567"/>
        <w:rPr>
          <w:lang w:val="es-ES_tradnl"/>
        </w:rPr>
      </w:pPr>
      <w:r w:rsidRPr="00EF6860">
        <w:rPr>
          <w:lang w:val="es-ES_tradnl"/>
        </w:rPr>
        <w:t>7.</w:t>
      </w:r>
      <w:r w:rsidRPr="00EF6860">
        <w:rPr>
          <w:lang w:val="es-ES_tradnl"/>
        </w:rPr>
        <w:tab/>
        <w:t>Novedades acaecidas en la UPOV</w:t>
      </w:r>
    </w:p>
    <w:p w:rsidR="00EF6860" w:rsidRPr="00EF6860" w:rsidRDefault="00EF6860" w:rsidP="00EF6860">
      <w:pPr>
        <w:ind w:left="1134" w:right="-425" w:hanging="567"/>
        <w:rPr>
          <w:lang w:val="es-ES_tradnl"/>
        </w:rPr>
      </w:pPr>
      <w:r w:rsidRPr="00EF6860">
        <w:rPr>
          <w:lang w:val="es-ES_tradnl"/>
        </w:rPr>
        <w:t>8.</w:t>
      </w:r>
      <w:r w:rsidRPr="00EF6860">
        <w:rPr>
          <w:lang w:val="es-ES_tradnl"/>
        </w:rPr>
        <w:tab/>
        <w:t xml:space="preserve">Ponencia sobre la utilización de técnicas moleculares en el examen DHE </w:t>
      </w:r>
    </w:p>
    <w:p w:rsidR="00EF6860" w:rsidRPr="00EF6860" w:rsidRDefault="00EF6860" w:rsidP="00EF6860">
      <w:pPr>
        <w:ind w:left="1134" w:right="-425" w:hanging="567"/>
        <w:rPr>
          <w:lang w:val="es-ES_tradnl"/>
        </w:rPr>
      </w:pPr>
      <w:r w:rsidRPr="00EF6860">
        <w:rPr>
          <w:lang w:val="es-ES_tradnl"/>
        </w:rPr>
        <w:t>9.</w:t>
      </w:r>
      <w:r w:rsidRPr="00EF6860">
        <w:rPr>
          <w:lang w:val="es-ES_tradnl"/>
        </w:rPr>
        <w:tab/>
        <w:t xml:space="preserve">Documentos TGP </w:t>
      </w:r>
    </w:p>
    <w:p w:rsidR="00EF6860" w:rsidRPr="00EF6860" w:rsidRDefault="00EF6860" w:rsidP="00EF6860">
      <w:pPr>
        <w:ind w:left="1134" w:right="-425" w:hanging="567"/>
        <w:rPr>
          <w:lang w:val="es-ES_tradnl"/>
        </w:rPr>
      </w:pPr>
      <w:r w:rsidRPr="00EF6860">
        <w:rPr>
          <w:lang w:val="es-ES_tradnl"/>
        </w:rPr>
        <w:t>10.</w:t>
      </w:r>
      <w:r w:rsidRPr="00EF6860">
        <w:rPr>
          <w:lang w:val="es-ES_tradnl"/>
        </w:rPr>
        <w:tab/>
        <w:t xml:space="preserve">Denominaciones de variedades </w:t>
      </w:r>
    </w:p>
    <w:p w:rsidR="00EF6860" w:rsidRPr="00EF6860" w:rsidRDefault="00EF6860" w:rsidP="00EF6860">
      <w:pPr>
        <w:ind w:left="1134" w:right="-425" w:hanging="567"/>
        <w:rPr>
          <w:lang w:val="es-ES"/>
        </w:rPr>
      </w:pPr>
      <w:r w:rsidRPr="00EF6860">
        <w:rPr>
          <w:lang w:val="es-ES_tradnl"/>
        </w:rPr>
        <w:t>11.</w:t>
      </w:r>
      <w:r w:rsidRPr="00EF6860">
        <w:rPr>
          <w:lang w:val="es-ES_tradnl"/>
        </w:rPr>
        <w:tab/>
        <w:t>Información y bases de datos</w:t>
      </w:r>
    </w:p>
    <w:p w:rsidR="00EF6860" w:rsidRPr="00EF6860" w:rsidRDefault="00EF6860" w:rsidP="00EF6860">
      <w:pPr>
        <w:ind w:left="1418" w:right="-425"/>
        <w:rPr>
          <w:lang w:val="es-ES"/>
        </w:rPr>
      </w:pPr>
      <w:r w:rsidRPr="00EF6860">
        <w:rPr>
          <w:lang w:val="es-ES"/>
        </w:rPr>
        <w:t>a)</w:t>
      </w:r>
      <w:r w:rsidRPr="00EF6860">
        <w:rPr>
          <w:lang w:val="es-ES"/>
        </w:rPr>
        <w:tab/>
      </w:r>
      <w:r w:rsidRPr="00EF6860">
        <w:rPr>
          <w:lang w:val="es-ES_tradnl"/>
        </w:rPr>
        <w:t>Bases de datos de información de la UPOV</w:t>
      </w:r>
      <w:r w:rsidRPr="00EF6860">
        <w:rPr>
          <w:lang w:val="es-ES"/>
        </w:rPr>
        <w:t xml:space="preserve"> </w:t>
      </w:r>
    </w:p>
    <w:p w:rsidR="00EF6860" w:rsidRPr="00EF6860" w:rsidRDefault="00EF6860" w:rsidP="00EF6860">
      <w:pPr>
        <w:ind w:left="1418" w:right="-425"/>
        <w:rPr>
          <w:lang w:val="es-ES"/>
        </w:rPr>
      </w:pPr>
      <w:r w:rsidRPr="00EF6860">
        <w:rPr>
          <w:lang w:val="es-ES"/>
        </w:rPr>
        <w:t>b)</w:t>
      </w:r>
      <w:r w:rsidRPr="00EF6860">
        <w:rPr>
          <w:lang w:val="es-ES"/>
        </w:rPr>
        <w:tab/>
      </w:r>
      <w:r w:rsidRPr="00EF6860">
        <w:rPr>
          <w:lang w:val="es-ES_tradnl"/>
        </w:rPr>
        <w:t>Bases de datos de descripciones de variedades</w:t>
      </w:r>
      <w:r w:rsidRPr="00EF6860">
        <w:rPr>
          <w:lang w:val="es-ES"/>
        </w:rPr>
        <w:t xml:space="preserve"> </w:t>
      </w:r>
    </w:p>
    <w:p w:rsidR="00EF6860" w:rsidRPr="00EF6860" w:rsidRDefault="00EF6860" w:rsidP="00EF6860">
      <w:pPr>
        <w:ind w:left="1418" w:right="-425"/>
        <w:rPr>
          <w:lang w:val="es-ES"/>
        </w:rPr>
      </w:pPr>
      <w:r w:rsidRPr="00EF6860">
        <w:rPr>
          <w:lang w:val="es-ES"/>
        </w:rPr>
        <w:t>c)</w:t>
      </w:r>
      <w:r w:rsidRPr="00EF6860">
        <w:rPr>
          <w:lang w:val="es-ES"/>
        </w:rPr>
        <w:tab/>
      </w:r>
      <w:r w:rsidRPr="00EF6860">
        <w:rPr>
          <w:lang w:val="es-ES_tradnl"/>
        </w:rPr>
        <w:t>Intercambio y uso de programas informáticos y equipos</w:t>
      </w:r>
      <w:r w:rsidRPr="00EF6860">
        <w:rPr>
          <w:lang w:val="es-ES"/>
        </w:rPr>
        <w:t xml:space="preserve"> </w:t>
      </w:r>
    </w:p>
    <w:p w:rsidR="00EF6860" w:rsidRPr="00EF6860" w:rsidRDefault="00EF6860" w:rsidP="00EF6860">
      <w:pPr>
        <w:ind w:left="1418" w:right="-425"/>
        <w:rPr>
          <w:lang w:val="es-ES"/>
        </w:rPr>
      </w:pPr>
      <w:r w:rsidRPr="00EF6860">
        <w:rPr>
          <w:lang w:val="es-ES"/>
        </w:rPr>
        <w:t>d)</w:t>
      </w:r>
      <w:r w:rsidRPr="00EF6860">
        <w:rPr>
          <w:lang w:val="es-ES"/>
        </w:rPr>
        <w:tab/>
      </w:r>
      <w:r w:rsidRPr="00EF6860">
        <w:rPr>
          <w:lang w:val="es-ES_tradnl"/>
        </w:rPr>
        <w:t>Sistemas de presentación electrónica de solicitudes</w:t>
      </w:r>
      <w:r w:rsidRPr="00EF6860">
        <w:rPr>
          <w:lang w:val="es-ES"/>
        </w:rPr>
        <w:t xml:space="preserve"> </w:t>
      </w:r>
    </w:p>
    <w:p w:rsidR="00EF6860" w:rsidRPr="00EF6860" w:rsidRDefault="00EF6860" w:rsidP="00EF6860">
      <w:pPr>
        <w:ind w:left="1134" w:right="-425" w:hanging="567"/>
        <w:rPr>
          <w:lang w:val="es-ES_tradnl"/>
        </w:rPr>
      </w:pPr>
      <w:r w:rsidRPr="00EF6860">
        <w:rPr>
          <w:lang w:val="es-ES"/>
        </w:rPr>
        <w:t>12.</w:t>
      </w:r>
      <w:r w:rsidRPr="00EF6860">
        <w:rPr>
          <w:lang w:val="es-ES"/>
        </w:rPr>
        <w:tab/>
      </w:r>
      <w:r w:rsidRPr="00EF6860">
        <w:rPr>
          <w:lang w:val="es-ES_tradnl"/>
        </w:rPr>
        <w:t xml:space="preserve">Evaluación de la homogeneidad  </w:t>
      </w:r>
    </w:p>
    <w:p w:rsidR="00EF6860" w:rsidRPr="00EF6860" w:rsidRDefault="00EF6860" w:rsidP="00EF6860">
      <w:pPr>
        <w:ind w:left="1134" w:right="-425" w:hanging="567"/>
        <w:rPr>
          <w:lang w:val="es-ES_tradnl"/>
        </w:rPr>
      </w:pPr>
      <w:r w:rsidRPr="00EF6860">
        <w:rPr>
          <w:lang w:val="es-ES_tradnl"/>
        </w:rPr>
        <w:t>13.</w:t>
      </w:r>
      <w:r w:rsidRPr="00EF6860">
        <w:rPr>
          <w:lang w:val="es-ES_tradnl"/>
        </w:rPr>
        <w:tab/>
        <w:t xml:space="preserve">Experiencias con nuevos tipos y especies </w:t>
      </w:r>
    </w:p>
    <w:p w:rsidR="00EF6860" w:rsidRPr="00EF6860" w:rsidRDefault="00EF6860" w:rsidP="00EF6860">
      <w:pPr>
        <w:ind w:left="1134" w:right="-425" w:hanging="567"/>
        <w:rPr>
          <w:lang w:val="es-ES_tradnl"/>
        </w:rPr>
      </w:pPr>
      <w:r w:rsidRPr="00EF6860">
        <w:rPr>
          <w:lang w:val="es-ES_tradnl"/>
        </w:rPr>
        <w:t>14.</w:t>
      </w:r>
      <w:r w:rsidRPr="00EF6860">
        <w:rPr>
          <w:lang w:val="es-ES_tradnl"/>
        </w:rPr>
        <w:tab/>
        <w:t xml:space="preserve">Nuevas cuestiones que se plantean en relación con el examen DHE </w:t>
      </w:r>
    </w:p>
    <w:p w:rsidR="00EF6860" w:rsidRPr="00EF6860" w:rsidRDefault="00EF6860" w:rsidP="00EF6860">
      <w:pPr>
        <w:ind w:left="1134" w:right="-425" w:hanging="567"/>
        <w:rPr>
          <w:lang w:val="es-ES_tradnl"/>
        </w:rPr>
      </w:pPr>
      <w:r w:rsidRPr="00EF6860">
        <w:rPr>
          <w:lang w:val="es-ES_tradnl"/>
        </w:rPr>
        <w:t>15.</w:t>
      </w:r>
      <w:r w:rsidRPr="00EF6860">
        <w:rPr>
          <w:lang w:val="es-ES_tradnl"/>
        </w:rPr>
        <w:tab/>
        <w:t xml:space="preserve">Utilización de caracteres de resistencia a las enfermedades en el examen DHE </w:t>
      </w:r>
    </w:p>
    <w:p w:rsidR="00EF6860" w:rsidRPr="00EF6860" w:rsidRDefault="00EF6860" w:rsidP="00EF6860">
      <w:pPr>
        <w:ind w:left="1134" w:right="-425" w:hanging="567"/>
        <w:rPr>
          <w:lang w:val="es-ES_tradnl"/>
        </w:rPr>
      </w:pPr>
      <w:r w:rsidRPr="00EF6860">
        <w:rPr>
          <w:lang w:val="es-ES_tradnl"/>
        </w:rPr>
        <w:t>16.</w:t>
      </w:r>
      <w:r w:rsidRPr="00EF6860">
        <w:rPr>
          <w:lang w:val="es-ES_tradnl"/>
        </w:rPr>
        <w:tab/>
        <w:t>Cuestiones por resolver en lo que respecta a directrices de examen aprobadas por el Comité Técnico (en su caso)</w:t>
      </w:r>
    </w:p>
    <w:p w:rsidR="00EF6860" w:rsidRPr="00EF6860" w:rsidRDefault="00EF6860" w:rsidP="00EF6860">
      <w:pPr>
        <w:ind w:left="1134" w:right="-425" w:hanging="567"/>
        <w:rPr>
          <w:lang w:val="es-ES_tradnl"/>
        </w:rPr>
      </w:pPr>
      <w:r w:rsidRPr="00EF6860">
        <w:rPr>
          <w:lang w:val="es-ES_tradnl"/>
        </w:rPr>
        <w:t>17.</w:t>
      </w:r>
      <w:r w:rsidRPr="00EF6860">
        <w:rPr>
          <w:lang w:val="es-ES_tradnl"/>
        </w:rPr>
        <w:tab/>
        <w:t>Debates sobre proyectos de directrices de examen (subgrupos)</w:t>
      </w:r>
    </w:p>
    <w:p w:rsidR="00EF6860" w:rsidRPr="00EF6860" w:rsidRDefault="00EF6860" w:rsidP="00EF6860">
      <w:pPr>
        <w:ind w:left="1134" w:right="-425" w:hanging="567"/>
        <w:rPr>
          <w:lang w:val="es-ES_tradnl"/>
        </w:rPr>
      </w:pPr>
      <w:r w:rsidRPr="00EF6860">
        <w:rPr>
          <w:lang w:val="es-ES_tradnl"/>
        </w:rPr>
        <w:t>18.</w:t>
      </w:r>
      <w:r w:rsidRPr="00EF6860">
        <w:rPr>
          <w:lang w:val="es-ES_tradnl"/>
        </w:rPr>
        <w:tab/>
        <w:t>Recomendaciones sobre proyectos de directrices de examen</w:t>
      </w:r>
    </w:p>
    <w:p w:rsidR="00EF6860" w:rsidRPr="00EF6860" w:rsidRDefault="00EF6860" w:rsidP="00EF6860">
      <w:pPr>
        <w:ind w:left="1134" w:right="-425" w:hanging="567"/>
        <w:rPr>
          <w:lang w:val="es-ES_tradnl"/>
        </w:rPr>
      </w:pPr>
      <w:r w:rsidRPr="00EF6860">
        <w:rPr>
          <w:lang w:val="es-ES_tradnl"/>
        </w:rPr>
        <w:t>19.</w:t>
      </w:r>
      <w:r w:rsidRPr="00EF6860">
        <w:rPr>
          <w:lang w:val="es-ES_tradnl"/>
        </w:rPr>
        <w:tab/>
        <w:t>Guía para los redactores de las directrices de examen</w:t>
      </w:r>
    </w:p>
    <w:p w:rsidR="00EF6860" w:rsidRPr="00EF6860" w:rsidRDefault="00EF6860" w:rsidP="00EF6860">
      <w:pPr>
        <w:ind w:left="1134" w:right="-425" w:hanging="567"/>
        <w:rPr>
          <w:lang w:val="es-ES_tradnl"/>
        </w:rPr>
      </w:pPr>
      <w:r w:rsidRPr="00EF6860">
        <w:rPr>
          <w:lang w:val="es-ES_tradnl"/>
        </w:rPr>
        <w:t>20.</w:t>
      </w:r>
      <w:r w:rsidRPr="00EF6860">
        <w:rPr>
          <w:lang w:val="es-ES_tradnl"/>
        </w:rPr>
        <w:tab/>
        <w:t>Fecha y lugar de la siguiente reunión</w:t>
      </w:r>
    </w:p>
    <w:p w:rsidR="00EF6860" w:rsidRPr="00EF6860" w:rsidRDefault="00EF6860" w:rsidP="00EF6860">
      <w:pPr>
        <w:ind w:left="1134" w:right="-425" w:hanging="567"/>
        <w:rPr>
          <w:lang w:val="es-ES_tradnl"/>
        </w:rPr>
      </w:pPr>
      <w:r w:rsidRPr="00EF6860">
        <w:rPr>
          <w:lang w:val="es-ES_tradnl"/>
        </w:rPr>
        <w:t>21.</w:t>
      </w:r>
      <w:r w:rsidRPr="00EF6860">
        <w:rPr>
          <w:lang w:val="es-ES_tradnl"/>
        </w:rPr>
        <w:tab/>
        <w:t>Programa futuro</w:t>
      </w:r>
    </w:p>
    <w:p w:rsidR="00EF6860" w:rsidRPr="00EF6860" w:rsidRDefault="00EF6860" w:rsidP="00EF6860">
      <w:pPr>
        <w:ind w:left="1134" w:right="-425" w:hanging="567"/>
        <w:rPr>
          <w:lang w:val="es-ES_tradnl"/>
        </w:rPr>
      </w:pPr>
      <w:r w:rsidRPr="00EF6860">
        <w:rPr>
          <w:lang w:val="es-ES_tradnl"/>
        </w:rPr>
        <w:t>22.</w:t>
      </w:r>
      <w:r w:rsidRPr="00EF6860">
        <w:rPr>
          <w:lang w:val="es-ES_tradnl"/>
        </w:rPr>
        <w:tab/>
        <w:t>Informe de la reunión (si se dispone de tiempo suficiente)</w:t>
      </w:r>
    </w:p>
    <w:p w:rsidR="00EF6860" w:rsidRPr="00EF6860" w:rsidRDefault="00EF6860" w:rsidP="00EF6860">
      <w:pPr>
        <w:ind w:left="1134" w:right="-425" w:hanging="567"/>
        <w:rPr>
          <w:lang w:val="es-ES"/>
        </w:rPr>
      </w:pPr>
      <w:r w:rsidRPr="00EF6860">
        <w:rPr>
          <w:lang w:val="es-ES_tradnl"/>
        </w:rPr>
        <w:t>23.</w:t>
      </w:r>
      <w:r w:rsidRPr="00EF6860">
        <w:rPr>
          <w:lang w:val="es-ES_tradnl"/>
        </w:rPr>
        <w:tab/>
        <w:t>Clausura de la reunión</w:t>
      </w:r>
    </w:p>
    <w:p w:rsidR="00EF6860" w:rsidRPr="00EF6860" w:rsidRDefault="00EF6860" w:rsidP="00EF6860">
      <w:pPr>
        <w:rPr>
          <w:lang w:val="es-ES"/>
        </w:rPr>
      </w:pPr>
    </w:p>
    <w:p w:rsidR="00EF6860" w:rsidRPr="00EF6860" w:rsidRDefault="00EF6860" w:rsidP="00EF6860">
      <w:pPr>
        <w:rPr>
          <w:color w:val="000000"/>
          <w:lang w:val="es-ES"/>
        </w:rPr>
      </w:pPr>
      <w:r w:rsidRPr="00EF6860">
        <w:rPr>
          <w:color w:val="000000"/>
        </w:rPr>
        <w:fldChar w:fldCharType="begin"/>
      </w:r>
      <w:r w:rsidRPr="00EF6860">
        <w:rPr>
          <w:color w:val="000000"/>
          <w:lang w:val="es-ES"/>
        </w:rPr>
        <w:instrText xml:space="preserve"> AUTONUM  </w:instrText>
      </w:r>
      <w:r w:rsidRPr="00EF6860">
        <w:rPr>
          <w:color w:val="000000"/>
        </w:rPr>
        <w:fldChar w:fldCharType="end"/>
      </w:r>
      <w:r w:rsidRPr="00EF6860">
        <w:rPr>
          <w:color w:val="000000"/>
          <w:lang w:val="es-ES"/>
        </w:rPr>
        <w:tab/>
      </w:r>
      <w:r w:rsidRPr="00EF6860">
        <w:rPr>
          <w:color w:val="000000"/>
          <w:lang w:val="es-ES_tradnl"/>
        </w:rPr>
        <w:t xml:space="preserve">El 17 de junio de 2015 por la tarde, el TWV visitó la estación de examen de Brion del </w:t>
      </w:r>
      <w:r w:rsidRPr="00EF6860">
        <w:rPr>
          <w:i/>
          <w:color w:val="000000"/>
          <w:lang w:val="es-ES_tradnl"/>
        </w:rPr>
        <w:t>Groupe d'étude et de contrôle des variétés et des semences</w:t>
      </w:r>
      <w:r w:rsidRPr="00EF6860">
        <w:rPr>
          <w:color w:val="000000"/>
          <w:lang w:val="es-ES_tradnl"/>
        </w:rPr>
        <w:t xml:space="preserve"> (Grupo de estudio y control de variedades y semillas, GEVES), donde fue recibido por el Sr. Pascal Coquin, Director de la estación.</w:t>
      </w:r>
      <w:r w:rsidRPr="00EF6860">
        <w:rPr>
          <w:color w:val="000000"/>
          <w:lang w:val="es-ES"/>
        </w:rPr>
        <w:t xml:space="preserve"> </w:t>
      </w:r>
      <w:r w:rsidRPr="00EF6860">
        <w:rPr>
          <w:color w:val="000000"/>
          <w:lang w:val="es-ES_tradnl"/>
        </w:rPr>
        <w:t>El TWV visitó ensayos DHE de lechuga, chalotas, guisante y quinoa y los ensayos especiales de los caracteres de resistencia a las enfermedades en lechuga.</w:t>
      </w:r>
      <w:r w:rsidRPr="00EF6860">
        <w:rPr>
          <w:color w:val="000000"/>
          <w:lang w:val="es-ES"/>
        </w:rPr>
        <w:t xml:space="preserve"> </w:t>
      </w:r>
      <w:r w:rsidRPr="00EF6860">
        <w:rPr>
          <w:color w:val="000000"/>
          <w:lang w:val="es-ES_tradnl"/>
        </w:rPr>
        <w:t>El TWV visitó también un ensayo comparativo (</w:t>
      </w:r>
      <w:r w:rsidRPr="00EF6860">
        <w:rPr>
          <w:i/>
          <w:color w:val="000000"/>
          <w:lang w:val="es-ES_tradnl"/>
        </w:rPr>
        <w:t>ring trial</w:t>
      </w:r>
      <w:r w:rsidRPr="00EF6860">
        <w:rPr>
          <w:color w:val="000000"/>
          <w:lang w:val="es-ES_tradnl"/>
        </w:rPr>
        <w:t>) organizado juntamente con la revisión de las directrices de examen de la lechuga.</w:t>
      </w:r>
    </w:p>
    <w:p w:rsidR="00EF6860" w:rsidRPr="00EF6860" w:rsidRDefault="00EF6860" w:rsidP="00EF6860">
      <w:pPr>
        <w:rPr>
          <w:color w:val="000000"/>
          <w:lang w:val="es-ES"/>
        </w:rPr>
      </w:pPr>
    </w:p>
    <w:p w:rsidR="00EF6860" w:rsidRPr="00EF6860" w:rsidRDefault="00EF6860" w:rsidP="00EF6860">
      <w:pPr>
        <w:rPr>
          <w:color w:val="000000"/>
          <w:lang w:val="es-ES"/>
        </w:rPr>
      </w:pPr>
      <w:r w:rsidRPr="00EF6860">
        <w:rPr>
          <w:color w:val="000000"/>
        </w:rPr>
        <w:fldChar w:fldCharType="begin"/>
      </w:r>
      <w:r w:rsidRPr="00EF6860">
        <w:rPr>
          <w:color w:val="000000"/>
          <w:lang w:val="es-ES"/>
        </w:rPr>
        <w:instrText xml:space="preserve"> AUTONUM  </w:instrText>
      </w:r>
      <w:r w:rsidRPr="00EF6860">
        <w:rPr>
          <w:color w:val="000000"/>
        </w:rPr>
        <w:fldChar w:fldCharType="end"/>
      </w:r>
      <w:r w:rsidRPr="00EF6860">
        <w:rPr>
          <w:color w:val="000000"/>
          <w:lang w:val="es-ES"/>
        </w:rPr>
        <w:tab/>
      </w:r>
      <w:r w:rsidRPr="00EF6860">
        <w:rPr>
          <w:color w:val="000000"/>
          <w:lang w:val="es-ES_tradnl"/>
        </w:rPr>
        <w:t>El TWV visitó HM Clause, unidad operativa de la empresa de semillas Limagrain en La Bohalle (Francia).</w:t>
      </w:r>
      <w:r w:rsidRPr="00EF6860">
        <w:rPr>
          <w:color w:val="000000"/>
          <w:lang w:val="es-ES"/>
        </w:rPr>
        <w:t xml:space="preserve"> </w:t>
      </w:r>
      <w:r w:rsidRPr="00EF6860">
        <w:rPr>
          <w:color w:val="000000"/>
          <w:lang w:val="es-ES_tradnl"/>
        </w:rPr>
        <w:t>La empresa se especializa en el fitomejoramiento y la producción de semillas de nueve especies de hortalizas, como el tomate, el pimiento y el melón.</w:t>
      </w:r>
      <w:r w:rsidRPr="00EF6860">
        <w:rPr>
          <w:color w:val="000000"/>
          <w:lang w:val="es-ES"/>
        </w:rPr>
        <w:t xml:space="preserve"> </w:t>
      </w:r>
      <w:r w:rsidRPr="00EF6860">
        <w:rPr>
          <w:color w:val="000000"/>
          <w:lang w:val="es-ES_tradnl"/>
        </w:rPr>
        <w:t>El TWO visitó las instalaciones de fitomejoramiento y los laboratorios de marcadores moleculares, biología celular y patología.</w:t>
      </w:r>
    </w:p>
    <w:p w:rsidR="00EF6860" w:rsidRPr="00EF6860" w:rsidRDefault="00EF6860" w:rsidP="00EF6860">
      <w:pPr>
        <w:rPr>
          <w:lang w:val="es-ES"/>
        </w:rPr>
      </w:pPr>
    </w:p>
    <w:p w:rsidR="00EF6860" w:rsidRPr="00EF6860" w:rsidRDefault="00EF6860" w:rsidP="00EF6860">
      <w:pPr>
        <w:keepNext/>
        <w:outlineLvl w:val="2"/>
        <w:rPr>
          <w:i/>
          <w:lang w:val="es-ES"/>
        </w:rPr>
      </w:pPr>
      <w:bookmarkStart w:id="100" w:name="_Toc463512532"/>
      <w:r w:rsidRPr="00EF6860">
        <w:rPr>
          <w:i/>
          <w:lang w:val="es-ES_tradnl"/>
        </w:rPr>
        <w:t>Grupo de Trabajo sobre Técnicas Bioquímicas y Moleculares y Perfiles de ADN en particular</w:t>
      </w:r>
      <w:bookmarkEnd w:id="100"/>
    </w:p>
    <w:p w:rsidR="00EF6860" w:rsidRPr="00EF6860" w:rsidRDefault="00EF6860" w:rsidP="00EF6860">
      <w:pPr>
        <w:keepNext/>
        <w:rPr>
          <w:lang w:val="es-ES"/>
        </w:rPr>
      </w:pPr>
    </w:p>
    <w:p w:rsidR="00EF6860" w:rsidRPr="00EF6860" w:rsidRDefault="00EF6860" w:rsidP="00EF6860">
      <w:pPr>
        <w:keepNext/>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 xml:space="preserve">El Grupo de Trabajo sobre Técnicas Bioquímicas y Moleculares, y Perfiles de ADN en particular (BMT) no se reunió en </w:t>
      </w:r>
      <w:r w:rsidRPr="00EF6860">
        <w:rPr>
          <w:color w:val="000000"/>
          <w:lang w:val="es-ES_tradnl"/>
        </w:rPr>
        <w:t>2015.</w:t>
      </w:r>
    </w:p>
    <w:p w:rsidR="00EF6860" w:rsidRPr="00EF6860" w:rsidRDefault="00EF6860" w:rsidP="00EF6860">
      <w:pPr>
        <w:keepNext/>
        <w:rPr>
          <w:lang w:val="es-ES"/>
        </w:rPr>
      </w:pPr>
    </w:p>
    <w:p w:rsidR="00EF6860" w:rsidRPr="00EF6860" w:rsidRDefault="00EF6860" w:rsidP="00EF6860">
      <w:pPr>
        <w:keepNext/>
        <w:rPr>
          <w:lang w:val="es-ES"/>
        </w:rPr>
      </w:pPr>
      <w:r w:rsidRPr="00EF6860">
        <w:fldChar w:fldCharType="begin"/>
      </w:r>
      <w:r w:rsidRPr="00EF6860">
        <w:rPr>
          <w:lang w:val="es-ES"/>
        </w:rPr>
        <w:instrText xml:space="preserve"> AUTONUM  </w:instrText>
      </w:r>
      <w:r w:rsidRPr="00EF6860">
        <w:fldChar w:fldCharType="end"/>
      </w:r>
      <w:r w:rsidRPr="00EF6860">
        <w:rPr>
          <w:lang w:val="es-ES"/>
        </w:rPr>
        <w:tab/>
      </w:r>
      <w:r w:rsidRPr="00EF6860">
        <w:rPr>
          <w:lang w:val="es-ES_tradnl"/>
        </w:rPr>
        <w:t>El TC recibió una presentación en video de la Federación de Rusia sobre el lugar de celebración de la decimoquinta sesión del BMT, que se celebrará en Moscú del 24 al 27 de mayo de 2016, con un taller preparatorio el 23 de mayo de 2016.</w:t>
      </w:r>
      <w:r w:rsidRPr="00EF6860">
        <w:rPr>
          <w:lang w:val="es-ES"/>
        </w:rPr>
        <w:t xml:space="preserve">  </w:t>
      </w:r>
      <w:r w:rsidRPr="00EF6860">
        <w:rPr>
          <w:lang w:val="es-ES_tradnl"/>
        </w:rPr>
        <w:t>El TC señaló que se publicaría una copia del video en la página del BMT del sitio web de la UPOV.</w:t>
      </w:r>
    </w:p>
    <w:p w:rsidR="000E71FA" w:rsidRPr="00194B80" w:rsidRDefault="000E71FA" w:rsidP="000E71FA">
      <w:pPr>
        <w:rPr>
          <w:lang w:val="es-ES"/>
        </w:rPr>
      </w:pPr>
    </w:p>
    <w:p w:rsidR="000E71FA" w:rsidRPr="00194B80" w:rsidRDefault="000E71FA" w:rsidP="000E71FA">
      <w:pPr>
        <w:pStyle w:val="DecisionParagraphs"/>
        <w:rPr>
          <w:lang w:val="es-ES"/>
        </w:rPr>
      </w:pPr>
      <w:r w:rsidRPr="00194B80">
        <w:rPr>
          <w:lang w:val="es-ES"/>
        </w:rPr>
        <w:fldChar w:fldCharType="begin"/>
      </w:r>
      <w:r w:rsidRPr="00194B80">
        <w:rPr>
          <w:lang w:val="es-ES"/>
        </w:rPr>
        <w:instrText xml:space="preserve"> AUTONUM  </w:instrText>
      </w:r>
      <w:r w:rsidRPr="00194B80">
        <w:rPr>
          <w:lang w:val="es-ES"/>
        </w:rPr>
        <w:fldChar w:fldCharType="end"/>
      </w:r>
      <w:r w:rsidRPr="00194B80">
        <w:rPr>
          <w:lang w:val="es-ES"/>
        </w:rPr>
        <w:tab/>
      </w:r>
      <w:r w:rsidR="00FD65CE">
        <w:rPr>
          <w:lang w:val="es-ES"/>
        </w:rPr>
        <w:t>Se invita al Consejo a</w:t>
      </w:r>
      <w:r w:rsidRPr="00194B80">
        <w:rPr>
          <w:lang w:val="es-ES"/>
        </w:rPr>
        <w:t>:</w:t>
      </w:r>
    </w:p>
    <w:p w:rsidR="000E71FA" w:rsidRPr="00194B80" w:rsidRDefault="000E71FA" w:rsidP="000E71FA">
      <w:pPr>
        <w:pStyle w:val="DecisionParagraphs"/>
        <w:rPr>
          <w:lang w:val="es-ES"/>
        </w:rPr>
      </w:pPr>
    </w:p>
    <w:p w:rsidR="000E71FA" w:rsidRPr="00194B80" w:rsidRDefault="00FD65CE" w:rsidP="000E71FA">
      <w:pPr>
        <w:pStyle w:val="DecisionParagraphs"/>
        <w:tabs>
          <w:tab w:val="left" w:pos="5954"/>
        </w:tabs>
        <w:rPr>
          <w:lang w:val="es-ES"/>
        </w:rPr>
      </w:pPr>
      <w:r>
        <w:rPr>
          <w:lang w:val="es-ES"/>
        </w:rPr>
        <w:tab/>
      </w:r>
      <w:r w:rsidR="000E71FA" w:rsidRPr="00194B80">
        <w:rPr>
          <w:lang w:val="es-ES"/>
        </w:rPr>
        <w:t>a)</w:t>
      </w:r>
      <w:r w:rsidR="000E71FA" w:rsidRPr="00194B80">
        <w:rPr>
          <w:lang w:val="es-ES"/>
        </w:rPr>
        <w:tab/>
      </w:r>
      <w:r w:rsidRPr="00FD65CE">
        <w:rPr>
          <w:lang w:val="es-ES"/>
        </w:rPr>
        <w:t>tomar nota de la labor realizada por el TC y por los TWP</w:t>
      </w:r>
      <w:r>
        <w:rPr>
          <w:lang w:val="es-ES"/>
        </w:rPr>
        <w:t xml:space="preserve"> y el BMT</w:t>
      </w:r>
      <w:r w:rsidRPr="00FD65CE">
        <w:rPr>
          <w:lang w:val="es-ES"/>
        </w:rPr>
        <w:t>, según los informes presentados al TC, tal como se deja constancia en el presente documento; y</w:t>
      </w:r>
    </w:p>
    <w:p w:rsidR="000E71FA" w:rsidRPr="00194B80" w:rsidRDefault="000E71FA" w:rsidP="000E71FA">
      <w:pPr>
        <w:pStyle w:val="DecisionParagraphs"/>
        <w:rPr>
          <w:lang w:val="es-ES"/>
        </w:rPr>
      </w:pPr>
    </w:p>
    <w:p w:rsidR="000E71FA" w:rsidRPr="00194B80" w:rsidRDefault="000E71FA" w:rsidP="000E71FA">
      <w:pPr>
        <w:pStyle w:val="DecisionParagraphs"/>
        <w:tabs>
          <w:tab w:val="left" w:pos="5954"/>
        </w:tabs>
        <w:rPr>
          <w:lang w:val="es-ES"/>
        </w:rPr>
      </w:pPr>
      <w:r w:rsidRPr="00194B80">
        <w:rPr>
          <w:lang w:val="es-ES"/>
        </w:rPr>
        <w:tab/>
        <w:t>b)</w:t>
      </w:r>
      <w:r w:rsidRPr="00194B80">
        <w:rPr>
          <w:lang w:val="es-ES"/>
        </w:rPr>
        <w:tab/>
      </w:r>
      <w:r w:rsidR="00FD65CE" w:rsidRPr="00FD65CE">
        <w:rPr>
          <w:lang w:val="es-ES"/>
        </w:rPr>
        <w:t xml:space="preserve">aprobar el programa de trabajo del TC y los programas de trabajo presentados por los TWP </w:t>
      </w:r>
      <w:r w:rsidR="00FD65CE">
        <w:rPr>
          <w:lang w:val="es-ES"/>
        </w:rPr>
        <w:t xml:space="preserve">y el BMT </w:t>
      </w:r>
      <w:r w:rsidR="00FD65CE" w:rsidRPr="00FD65CE">
        <w:rPr>
          <w:lang w:val="es-ES"/>
        </w:rPr>
        <w:t>al TC, tal como se deja constancia en el presente documento.</w:t>
      </w:r>
    </w:p>
    <w:p w:rsidR="000E71FA" w:rsidRPr="00194B80" w:rsidRDefault="000E71FA" w:rsidP="000E71FA">
      <w:pPr>
        <w:rPr>
          <w:lang w:val="es-ES"/>
        </w:rPr>
      </w:pPr>
    </w:p>
    <w:p w:rsidR="000E71FA" w:rsidRPr="00194B80" w:rsidRDefault="000E71FA" w:rsidP="000E71FA">
      <w:pPr>
        <w:rPr>
          <w:lang w:val="es-ES"/>
        </w:rPr>
      </w:pPr>
    </w:p>
    <w:p w:rsidR="000E71FA" w:rsidRPr="00194B80" w:rsidRDefault="000E71FA" w:rsidP="006D6EC4">
      <w:pPr>
        <w:jc w:val="right"/>
        <w:rPr>
          <w:lang w:val="es-ES"/>
        </w:rPr>
        <w:sectPr w:rsidR="000E71FA" w:rsidRPr="00194B80" w:rsidSect="006D6EC4">
          <w:headerReference w:type="default" r:id="rId9"/>
          <w:pgSz w:w="11907" w:h="16840" w:code="9"/>
          <w:pgMar w:top="510" w:right="1134" w:bottom="851" w:left="1134" w:header="510" w:footer="680" w:gutter="0"/>
          <w:cols w:space="720"/>
          <w:titlePg/>
        </w:sectPr>
      </w:pPr>
      <w:r w:rsidRPr="00194B80">
        <w:rPr>
          <w:lang w:val="es-ES"/>
        </w:rPr>
        <w:t>[</w:t>
      </w:r>
      <w:r w:rsidR="00EF6860">
        <w:rPr>
          <w:lang w:val="es-ES"/>
        </w:rPr>
        <w:t>Sigue el Anexo</w:t>
      </w:r>
      <w:r w:rsidRPr="00194B80">
        <w:rPr>
          <w:lang w:val="es-ES"/>
        </w:rPr>
        <w:t>]</w:t>
      </w:r>
    </w:p>
    <w:p w:rsidR="000E71FA" w:rsidRPr="002E3FB9" w:rsidRDefault="000E71FA" w:rsidP="002E3FB9">
      <w:pPr>
        <w:pStyle w:val="endofdoc"/>
      </w:pPr>
    </w:p>
    <w:p w:rsidR="002E3FB9" w:rsidRPr="00194B80" w:rsidRDefault="002E3FB9" w:rsidP="002E3FB9">
      <w:pPr>
        <w:pStyle w:val="endofdoc"/>
        <w:rPr>
          <w:lang w:val="es-ES"/>
        </w:rPr>
      </w:pPr>
      <w:r>
        <w:drawing>
          <wp:inline distT="0" distB="0" distL="0" distR="0" wp14:anchorId="5E80C0F8" wp14:editId="0C77DE76">
            <wp:extent cx="8623088" cy="5712031"/>
            <wp:effectExtent l="0" t="0" r="6985" b="3175"/>
            <wp:docPr id="6" name="5 Imagen" descr="caj_73_8_40262_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j_73_8_40262_ES.jpg"/>
                    <pic:cNvPicPr/>
                  </pic:nvPicPr>
                  <pic:blipFill>
                    <a:blip r:embed="rId10" cstate="print"/>
                    <a:stretch>
                      <a:fillRect/>
                    </a:stretch>
                  </pic:blipFill>
                  <pic:spPr>
                    <a:xfrm>
                      <a:off x="0" y="0"/>
                      <a:ext cx="8634702" cy="5719724"/>
                    </a:xfrm>
                    <a:prstGeom prst="rect">
                      <a:avLst/>
                    </a:prstGeom>
                  </pic:spPr>
                </pic:pic>
              </a:graphicData>
            </a:graphic>
          </wp:inline>
        </w:drawing>
      </w:r>
    </w:p>
    <w:p w:rsidR="002A755F" w:rsidRDefault="002A755F" w:rsidP="002E3FB9">
      <w:pPr>
        <w:pStyle w:val="endofdoc"/>
        <w:jc w:val="right"/>
        <w:rPr>
          <w:lang w:val="es-ES"/>
        </w:rPr>
      </w:pPr>
    </w:p>
    <w:p w:rsidR="006B17D2" w:rsidRPr="00194B80" w:rsidRDefault="0061555F" w:rsidP="002E3FB9">
      <w:pPr>
        <w:pStyle w:val="endofdoc"/>
        <w:jc w:val="right"/>
        <w:rPr>
          <w:lang w:val="es-ES"/>
        </w:rPr>
      </w:pPr>
      <w:r w:rsidRPr="00194B80">
        <w:rPr>
          <w:lang w:val="es-ES"/>
        </w:rPr>
        <w:t>[</w:t>
      </w:r>
      <w:r w:rsidR="00C13808" w:rsidRPr="00194B80">
        <w:rPr>
          <w:lang w:val="es-ES"/>
        </w:rPr>
        <w:t xml:space="preserve">Fin </w:t>
      </w:r>
      <w:r w:rsidR="008D3729" w:rsidRPr="00194B80">
        <w:rPr>
          <w:lang w:val="es-ES"/>
        </w:rPr>
        <w:t>del documento</w:t>
      </w:r>
      <w:r w:rsidRPr="00194B80">
        <w:rPr>
          <w:lang w:val="es-ES"/>
        </w:rPr>
        <w:t>]</w:t>
      </w:r>
    </w:p>
    <w:sectPr w:rsidR="006B17D2" w:rsidRPr="00194B80" w:rsidSect="002E3FB9">
      <w:headerReference w:type="first" r:id="rId11"/>
      <w:footerReference w:type="first" r:id="rId12"/>
      <w:pgSz w:w="16840" w:h="11907" w:orient="landscape" w:code="9"/>
      <w:pgMar w:top="1134" w:right="510" w:bottom="851"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D0A" w:rsidRDefault="00B90D0A" w:rsidP="00F45372">
      <w:r>
        <w:separator/>
      </w:r>
    </w:p>
    <w:p w:rsidR="00B90D0A" w:rsidRDefault="00B90D0A" w:rsidP="00F45372"/>
    <w:p w:rsidR="00B90D0A" w:rsidRDefault="00B90D0A" w:rsidP="00F45372"/>
  </w:endnote>
  <w:endnote w:type="continuationSeparator" w:id="0">
    <w:p w:rsidR="00B90D0A" w:rsidRDefault="00B90D0A" w:rsidP="00F45372">
      <w:r>
        <w:separator/>
      </w:r>
    </w:p>
    <w:p w:rsidR="00B90D0A" w:rsidRPr="00B108A6" w:rsidRDefault="00B90D0A">
      <w:pPr>
        <w:pStyle w:val="Footer"/>
        <w:spacing w:after="60"/>
        <w:rPr>
          <w:sz w:val="18"/>
          <w:lang w:val="fr-FR"/>
        </w:rPr>
      </w:pPr>
      <w:r w:rsidRPr="00B108A6">
        <w:rPr>
          <w:sz w:val="18"/>
          <w:lang w:val="fr-FR"/>
        </w:rPr>
        <w:t>[Suite de la note de la page précédente]</w:t>
      </w:r>
    </w:p>
    <w:p w:rsidR="00B90D0A" w:rsidRPr="00B108A6" w:rsidRDefault="00B90D0A" w:rsidP="00F45372">
      <w:pPr>
        <w:rPr>
          <w:lang w:val="fr-FR"/>
        </w:rPr>
      </w:pPr>
    </w:p>
    <w:p w:rsidR="00B90D0A" w:rsidRPr="00B108A6" w:rsidRDefault="00B90D0A" w:rsidP="00F45372">
      <w:pPr>
        <w:rPr>
          <w:lang w:val="fr-FR"/>
        </w:rPr>
      </w:pPr>
    </w:p>
  </w:endnote>
  <w:endnote w:type="continuationNotice" w:id="1">
    <w:p w:rsidR="00B90D0A" w:rsidRPr="00B108A6" w:rsidRDefault="00B90D0A" w:rsidP="00F45372">
      <w:pPr>
        <w:rPr>
          <w:lang w:val="fr-FR"/>
        </w:rPr>
      </w:pPr>
      <w:r w:rsidRPr="00B108A6">
        <w:rPr>
          <w:lang w:val="fr-FR"/>
        </w:rPr>
        <w:t>[Suite de la note page suivante]</w:t>
      </w:r>
    </w:p>
    <w:p w:rsidR="00B90D0A" w:rsidRPr="00B108A6" w:rsidRDefault="00B90D0A" w:rsidP="00F45372">
      <w:pPr>
        <w:rPr>
          <w:lang w:val="fr-FR"/>
        </w:rPr>
      </w:pPr>
    </w:p>
    <w:p w:rsidR="00B90D0A" w:rsidRPr="00B108A6" w:rsidRDefault="00B90D0A" w:rsidP="00F45372">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ArialM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D0A" w:rsidRPr="000E71FA" w:rsidRDefault="00B90D0A" w:rsidP="000E71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D0A" w:rsidRDefault="00B90D0A" w:rsidP="006A59FA">
      <w:pPr>
        <w:spacing w:before="120"/>
      </w:pPr>
      <w:r>
        <w:separator/>
      </w:r>
    </w:p>
  </w:footnote>
  <w:footnote w:type="continuationSeparator" w:id="0">
    <w:p w:rsidR="00B90D0A" w:rsidRDefault="00B90D0A" w:rsidP="00F45372">
      <w:r>
        <w:separator/>
      </w:r>
    </w:p>
  </w:footnote>
  <w:footnote w:type="continuationNotice" w:id="1">
    <w:p w:rsidR="00B90D0A" w:rsidRPr="00721353" w:rsidRDefault="00B90D0A" w:rsidP="00721353">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D0A" w:rsidRPr="008D3729" w:rsidRDefault="00B90D0A" w:rsidP="002E3FB9">
    <w:pPr>
      <w:pStyle w:val="Header"/>
      <w:rPr>
        <w:rStyle w:val="PageNumber"/>
        <w:lang w:val="es-ES_tradnl"/>
      </w:rPr>
    </w:pPr>
    <w:r>
      <w:rPr>
        <w:rStyle w:val="PageNumber"/>
        <w:lang w:val="es-ES_tradnl"/>
      </w:rPr>
      <w:t>C/50/10</w:t>
    </w:r>
  </w:p>
  <w:p w:rsidR="00B90D0A" w:rsidRPr="008D3729" w:rsidRDefault="00B90D0A" w:rsidP="002E3FB9">
    <w:pPr>
      <w:pStyle w:val="Header"/>
    </w:pPr>
    <w:r w:rsidRPr="008D3729">
      <w:t xml:space="preserve">página </w:t>
    </w:r>
    <w:r w:rsidRPr="008D3729">
      <w:rPr>
        <w:rStyle w:val="PageNumber"/>
        <w:lang w:val="es-ES_tradnl"/>
      </w:rPr>
      <w:fldChar w:fldCharType="begin"/>
    </w:r>
    <w:r w:rsidRPr="008D3729">
      <w:rPr>
        <w:rStyle w:val="PageNumber"/>
        <w:lang w:val="es-ES_tradnl"/>
      </w:rPr>
      <w:instrText xml:space="preserve"> PAGE </w:instrText>
    </w:r>
    <w:r w:rsidRPr="008D3729">
      <w:rPr>
        <w:rStyle w:val="PageNumber"/>
        <w:lang w:val="es-ES_tradnl"/>
      </w:rPr>
      <w:fldChar w:fldCharType="separate"/>
    </w:r>
    <w:r w:rsidR="00C868E7">
      <w:rPr>
        <w:rStyle w:val="PageNumber"/>
        <w:noProof/>
        <w:lang w:val="es-ES_tradnl"/>
      </w:rPr>
      <w:t>2</w:t>
    </w:r>
    <w:r w:rsidRPr="008D3729">
      <w:rPr>
        <w:rStyle w:val="PageNumber"/>
        <w:lang w:val="es-ES_tradnl"/>
      </w:rPr>
      <w:fldChar w:fldCharType="end"/>
    </w:r>
  </w:p>
  <w:p w:rsidR="00B90D0A" w:rsidRPr="008D3729" w:rsidRDefault="00B90D0A" w:rsidP="00F45372">
    <w:pPr>
      <w:rPr>
        <w:lang w:val="es-ES_tradn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D0A" w:rsidRPr="00EF6860" w:rsidRDefault="00B90D0A" w:rsidP="002E3FB9">
    <w:pPr>
      <w:pStyle w:val="Header"/>
    </w:pPr>
    <w:r w:rsidRPr="00EF6860">
      <w:t>C/50/10</w:t>
    </w:r>
  </w:p>
  <w:p w:rsidR="00B90D0A" w:rsidRPr="002E3FB9" w:rsidRDefault="00B90D0A" w:rsidP="002E3FB9">
    <w:pPr>
      <w:pStyle w:val="Header"/>
    </w:pPr>
  </w:p>
  <w:p w:rsidR="00B90D0A" w:rsidRPr="00EF6860" w:rsidRDefault="00B90D0A" w:rsidP="002E3FB9">
    <w:pPr>
      <w:pStyle w:val="Header"/>
    </w:pPr>
    <w:r w:rsidRPr="00EF6860">
      <w:t>ANEXO</w:t>
    </w:r>
  </w:p>
  <w:p w:rsidR="00B90D0A" w:rsidRPr="002E3FB9" w:rsidRDefault="00B90D0A" w:rsidP="002E3FB9">
    <w:pPr>
      <w:pStyle w:val="Header"/>
    </w:pPr>
  </w:p>
  <w:p w:rsidR="00B90D0A" w:rsidRPr="00EF6860" w:rsidRDefault="00B90D0A" w:rsidP="002E3FB9">
    <w:pPr>
      <w:pStyle w:val="Header"/>
    </w:pPr>
    <w:r w:rsidRPr="00EF6860">
      <w:t xml:space="preserve">PROGRAMA PARA LA ELABORACIÓN DE </w:t>
    </w:r>
    <w:r>
      <w:t xml:space="preserve">LOS </w:t>
    </w:r>
    <w:r w:rsidRPr="00EF6860">
      <w:t xml:space="preserve">DOCUMENTOS TGP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80494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B74AEB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03AB2B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01876A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6D851B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A4E08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274554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0AAFF4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4483E5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184C596"/>
    <w:lvl w:ilvl="0">
      <w:start w:val="1"/>
      <w:numFmt w:val="bullet"/>
      <w:lvlText w:val=""/>
      <w:lvlJc w:val="left"/>
      <w:pPr>
        <w:tabs>
          <w:tab w:val="num" w:pos="360"/>
        </w:tabs>
        <w:ind w:left="360" w:hanging="360"/>
      </w:pPr>
      <w:rPr>
        <w:rFonts w:ascii="Symbol" w:hAnsi="Symbol" w:hint="default"/>
      </w:rPr>
    </w:lvl>
  </w:abstractNum>
  <w:abstractNum w:abstractNumId="10">
    <w:nsid w:val="0AAE6E24"/>
    <w:multiLevelType w:val="hybridMultilevel"/>
    <w:tmpl w:val="7EC85364"/>
    <w:lvl w:ilvl="0" w:tplc="8AFE977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FFB4888"/>
    <w:multiLevelType w:val="hybridMultilevel"/>
    <w:tmpl w:val="BCD4A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21137D"/>
    <w:multiLevelType w:val="hybridMultilevel"/>
    <w:tmpl w:val="C3F2ADC4"/>
    <w:lvl w:ilvl="0" w:tplc="8B5CD19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77404A9"/>
    <w:multiLevelType w:val="hybridMultilevel"/>
    <w:tmpl w:val="4C6C24DC"/>
    <w:lvl w:ilvl="0" w:tplc="20C0E7DA">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nsid w:val="18152454"/>
    <w:multiLevelType w:val="hybridMultilevel"/>
    <w:tmpl w:val="A57AB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83D1B75"/>
    <w:multiLevelType w:val="hybridMultilevel"/>
    <w:tmpl w:val="D654F4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E7348E7"/>
    <w:multiLevelType w:val="hybridMultilevel"/>
    <w:tmpl w:val="03B0D01C"/>
    <w:lvl w:ilvl="0" w:tplc="604A7942">
      <w:start w:val="1"/>
      <w:numFmt w:val="lowerLetter"/>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0092B0F"/>
    <w:multiLevelType w:val="hybridMultilevel"/>
    <w:tmpl w:val="62969500"/>
    <w:lvl w:ilvl="0" w:tplc="0409000F">
      <w:start w:val="1"/>
      <w:numFmt w:val="decimal"/>
      <w:lvlText w:val="%1."/>
      <w:lvlJc w:val="left"/>
      <w:pPr>
        <w:ind w:left="1065" w:hanging="70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nsid w:val="21405F5D"/>
    <w:multiLevelType w:val="hybridMultilevel"/>
    <w:tmpl w:val="497C83A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2E13B2C"/>
    <w:multiLevelType w:val="hybridMultilevel"/>
    <w:tmpl w:val="F492436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6152A2F"/>
    <w:multiLevelType w:val="singleLevel"/>
    <w:tmpl w:val="04090019"/>
    <w:lvl w:ilvl="0">
      <w:start w:val="1"/>
      <w:numFmt w:val="lowerLetter"/>
      <w:lvlText w:val="(%1)"/>
      <w:lvlJc w:val="left"/>
      <w:pPr>
        <w:tabs>
          <w:tab w:val="num" w:pos="360"/>
        </w:tabs>
        <w:ind w:left="360" w:hanging="360"/>
      </w:pPr>
    </w:lvl>
  </w:abstractNum>
  <w:abstractNum w:abstractNumId="21">
    <w:nsid w:val="2CC07DC8"/>
    <w:multiLevelType w:val="hybridMultilevel"/>
    <w:tmpl w:val="8104150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6E3A1E"/>
    <w:multiLevelType w:val="hybridMultilevel"/>
    <w:tmpl w:val="A4025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061408B"/>
    <w:multiLevelType w:val="hybridMultilevel"/>
    <w:tmpl w:val="EADA5152"/>
    <w:lvl w:ilvl="0" w:tplc="0809000F">
      <w:start w:val="1"/>
      <w:numFmt w:val="decimal"/>
      <w:lvlText w:val="%1."/>
      <w:lvlJc w:val="left"/>
      <w:pPr>
        <w:ind w:left="360" w:hanging="360"/>
      </w:pPr>
    </w:lvl>
    <w:lvl w:ilvl="1" w:tplc="04090017">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334A4B92"/>
    <w:multiLevelType w:val="singleLevel"/>
    <w:tmpl w:val="0409000F"/>
    <w:lvl w:ilvl="0">
      <w:start w:val="1"/>
      <w:numFmt w:val="decimal"/>
      <w:lvlText w:val="%1."/>
      <w:lvlJc w:val="left"/>
      <w:pPr>
        <w:tabs>
          <w:tab w:val="num" w:pos="360"/>
        </w:tabs>
        <w:ind w:left="360" w:hanging="360"/>
      </w:pPr>
    </w:lvl>
  </w:abstractNum>
  <w:abstractNum w:abstractNumId="25">
    <w:nsid w:val="35FE117F"/>
    <w:multiLevelType w:val="hybridMultilevel"/>
    <w:tmpl w:val="EA7E6684"/>
    <w:lvl w:ilvl="0" w:tplc="0C0A0017">
      <w:start w:val="1"/>
      <w:numFmt w:val="lowerLetter"/>
      <w:lvlText w:val="%1)"/>
      <w:lvlJc w:val="left"/>
      <w:pPr>
        <w:ind w:left="1494" w:hanging="360"/>
      </w:p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6">
    <w:nsid w:val="3C4B4723"/>
    <w:multiLevelType w:val="hybridMultilevel"/>
    <w:tmpl w:val="B6B01DEA"/>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7">
    <w:nsid w:val="3E354B4B"/>
    <w:multiLevelType w:val="multilevel"/>
    <w:tmpl w:val="60F068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3EAF00DD"/>
    <w:multiLevelType w:val="hybridMultilevel"/>
    <w:tmpl w:val="27C631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35B2AF2"/>
    <w:multiLevelType w:val="hybridMultilevel"/>
    <w:tmpl w:val="79AE6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5075894"/>
    <w:multiLevelType w:val="hybridMultilevel"/>
    <w:tmpl w:val="FDCABA6A"/>
    <w:lvl w:ilvl="0" w:tplc="04090001">
      <w:start w:val="1"/>
      <w:numFmt w:val="bullet"/>
      <w:lvlText w:val=""/>
      <w:lvlJc w:val="left"/>
      <w:pPr>
        <w:ind w:left="1853" w:hanging="360"/>
      </w:pPr>
      <w:rPr>
        <w:rFonts w:ascii="Symbol" w:hAnsi="Symbol" w:hint="default"/>
      </w:rPr>
    </w:lvl>
    <w:lvl w:ilvl="1" w:tplc="04090003" w:tentative="1">
      <w:start w:val="1"/>
      <w:numFmt w:val="bullet"/>
      <w:lvlText w:val="o"/>
      <w:lvlJc w:val="left"/>
      <w:pPr>
        <w:ind w:left="2573" w:hanging="360"/>
      </w:pPr>
      <w:rPr>
        <w:rFonts w:ascii="Courier New" w:hAnsi="Courier New" w:hint="default"/>
      </w:rPr>
    </w:lvl>
    <w:lvl w:ilvl="2" w:tplc="04090005" w:tentative="1">
      <w:start w:val="1"/>
      <w:numFmt w:val="bullet"/>
      <w:lvlText w:val=""/>
      <w:lvlJc w:val="left"/>
      <w:pPr>
        <w:ind w:left="3293" w:hanging="360"/>
      </w:pPr>
      <w:rPr>
        <w:rFonts w:ascii="Wingdings" w:hAnsi="Wingdings" w:hint="default"/>
      </w:rPr>
    </w:lvl>
    <w:lvl w:ilvl="3" w:tplc="04090001" w:tentative="1">
      <w:start w:val="1"/>
      <w:numFmt w:val="bullet"/>
      <w:lvlText w:val=""/>
      <w:lvlJc w:val="left"/>
      <w:pPr>
        <w:ind w:left="4013" w:hanging="360"/>
      </w:pPr>
      <w:rPr>
        <w:rFonts w:ascii="Symbol" w:hAnsi="Symbol" w:hint="default"/>
      </w:rPr>
    </w:lvl>
    <w:lvl w:ilvl="4" w:tplc="04090003" w:tentative="1">
      <w:start w:val="1"/>
      <w:numFmt w:val="bullet"/>
      <w:lvlText w:val="o"/>
      <w:lvlJc w:val="left"/>
      <w:pPr>
        <w:ind w:left="4733" w:hanging="360"/>
      </w:pPr>
      <w:rPr>
        <w:rFonts w:ascii="Courier New" w:hAnsi="Courier New" w:hint="default"/>
      </w:rPr>
    </w:lvl>
    <w:lvl w:ilvl="5" w:tplc="04090005" w:tentative="1">
      <w:start w:val="1"/>
      <w:numFmt w:val="bullet"/>
      <w:lvlText w:val=""/>
      <w:lvlJc w:val="left"/>
      <w:pPr>
        <w:ind w:left="5453" w:hanging="360"/>
      </w:pPr>
      <w:rPr>
        <w:rFonts w:ascii="Wingdings" w:hAnsi="Wingdings" w:hint="default"/>
      </w:rPr>
    </w:lvl>
    <w:lvl w:ilvl="6" w:tplc="04090001" w:tentative="1">
      <w:start w:val="1"/>
      <w:numFmt w:val="bullet"/>
      <w:lvlText w:val=""/>
      <w:lvlJc w:val="left"/>
      <w:pPr>
        <w:ind w:left="6173" w:hanging="360"/>
      </w:pPr>
      <w:rPr>
        <w:rFonts w:ascii="Symbol" w:hAnsi="Symbol" w:hint="default"/>
      </w:rPr>
    </w:lvl>
    <w:lvl w:ilvl="7" w:tplc="04090003" w:tentative="1">
      <w:start w:val="1"/>
      <w:numFmt w:val="bullet"/>
      <w:lvlText w:val="o"/>
      <w:lvlJc w:val="left"/>
      <w:pPr>
        <w:ind w:left="6893" w:hanging="360"/>
      </w:pPr>
      <w:rPr>
        <w:rFonts w:ascii="Courier New" w:hAnsi="Courier New" w:hint="default"/>
      </w:rPr>
    </w:lvl>
    <w:lvl w:ilvl="8" w:tplc="04090005" w:tentative="1">
      <w:start w:val="1"/>
      <w:numFmt w:val="bullet"/>
      <w:lvlText w:val=""/>
      <w:lvlJc w:val="left"/>
      <w:pPr>
        <w:ind w:left="7613" w:hanging="360"/>
      </w:pPr>
      <w:rPr>
        <w:rFonts w:ascii="Wingdings" w:hAnsi="Wingdings" w:hint="default"/>
      </w:rPr>
    </w:lvl>
  </w:abstractNum>
  <w:abstractNum w:abstractNumId="31">
    <w:nsid w:val="46E62735"/>
    <w:multiLevelType w:val="hybridMultilevel"/>
    <w:tmpl w:val="0854D8B0"/>
    <w:lvl w:ilvl="0" w:tplc="D124CC2A">
      <w:start w:val="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4C743694"/>
    <w:multiLevelType w:val="hybridMultilevel"/>
    <w:tmpl w:val="4D74D27A"/>
    <w:lvl w:ilvl="0" w:tplc="B2387A04">
      <w:start w:val="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4E777821"/>
    <w:multiLevelType w:val="hybridMultilevel"/>
    <w:tmpl w:val="44A6EB50"/>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4">
    <w:nsid w:val="55C769DC"/>
    <w:multiLevelType w:val="hybridMultilevel"/>
    <w:tmpl w:val="3CD628DA"/>
    <w:lvl w:ilvl="0" w:tplc="290E460A">
      <w:start w:val="8"/>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nsid w:val="576E5080"/>
    <w:multiLevelType w:val="hybridMultilevel"/>
    <w:tmpl w:val="10BEA48C"/>
    <w:lvl w:ilvl="0" w:tplc="0C0A0017">
      <w:start w:val="1"/>
      <w:numFmt w:val="lowerLetter"/>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FC31741"/>
    <w:multiLevelType w:val="hybridMultilevel"/>
    <w:tmpl w:val="0A92BE7A"/>
    <w:lvl w:ilvl="0" w:tplc="92AA238C">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7">
    <w:nsid w:val="6A823DC3"/>
    <w:multiLevelType w:val="hybridMultilevel"/>
    <w:tmpl w:val="764258C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8">
    <w:nsid w:val="6CE974C8"/>
    <w:multiLevelType w:val="hybridMultilevel"/>
    <w:tmpl w:val="F8B872C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7368B3"/>
    <w:multiLevelType w:val="hybridMultilevel"/>
    <w:tmpl w:val="EBFE0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3DB60EA"/>
    <w:multiLevelType w:val="hybridMultilevel"/>
    <w:tmpl w:val="45289DBA"/>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1">
    <w:nsid w:val="7A77042D"/>
    <w:multiLevelType w:val="hybridMultilevel"/>
    <w:tmpl w:val="C6A8A29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2">
    <w:nsid w:val="7AD51284"/>
    <w:multiLevelType w:val="hybridMultilevel"/>
    <w:tmpl w:val="E94EF586"/>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3">
    <w:nsid w:val="7B5C4B81"/>
    <w:multiLevelType w:val="hybridMultilevel"/>
    <w:tmpl w:val="EB4C88FC"/>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C8D04CB"/>
    <w:multiLevelType w:val="hybridMultilevel"/>
    <w:tmpl w:val="FC32B2D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3"/>
  </w:num>
  <w:num w:numId="2">
    <w:abstractNumId w:val="21"/>
  </w:num>
  <w:num w:numId="3">
    <w:abstractNumId w:val="38"/>
  </w:num>
  <w:num w:numId="4">
    <w:abstractNumId w:val="10"/>
  </w:num>
  <w:num w:numId="5">
    <w:abstractNumId w:val="19"/>
  </w:num>
  <w:num w:numId="6">
    <w:abstractNumId w:val="18"/>
  </w:num>
  <w:num w:numId="7">
    <w:abstractNumId w:val="24"/>
  </w:num>
  <w:num w:numId="8">
    <w:abstractNumId w:val="20"/>
  </w:num>
  <w:num w:numId="9">
    <w:abstractNumId w:val="29"/>
  </w:num>
  <w:num w:numId="10">
    <w:abstractNumId w:val="22"/>
  </w:num>
  <w:num w:numId="11">
    <w:abstractNumId w:val="28"/>
  </w:num>
  <w:num w:numId="12">
    <w:abstractNumId w:val="43"/>
  </w:num>
  <w:num w:numId="13">
    <w:abstractNumId w:val="15"/>
  </w:num>
  <w:num w:numId="14">
    <w:abstractNumId w:val="33"/>
  </w:num>
  <w:num w:numId="15">
    <w:abstractNumId w:val="42"/>
  </w:num>
  <w:num w:numId="16">
    <w:abstractNumId w:val="13"/>
  </w:num>
  <w:num w:numId="17">
    <w:abstractNumId w:val="36"/>
  </w:num>
  <w:num w:numId="18">
    <w:abstractNumId w:val="34"/>
  </w:num>
  <w:num w:numId="19">
    <w:abstractNumId w:val="11"/>
  </w:num>
  <w:num w:numId="20">
    <w:abstractNumId w:val="31"/>
  </w:num>
  <w:num w:numId="21">
    <w:abstractNumId w:val="17"/>
  </w:num>
  <w:num w:numId="22">
    <w:abstractNumId w:val="14"/>
  </w:num>
  <w:num w:numId="23">
    <w:abstractNumId w:val="32"/>
  </w:num>
  <w:num w:numId="24">
    <w:abstractNumId w:val="12"/>
  </w:num>
  <w:num w:numId="25">
    <w:abstractNumId w:val="27"/>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37"/>
  </w:num>
  <w:num w:numId="37">
    <w:abstractNumId w:val="26"/>
  </w:num>
  <w:num w:numId="38">
    <w:abstractNumId w:val="41"/>
  </w:num>
  <w:num w:numId="39">
    <w:abstractNumId w:val="40"/>
  </w:num>
  <w:num w:numId="40">
    <w:abstractNumId w:val="44"/>
  </w:num>
  <w:num w:numId="41">
    <w:abstractNumId w:val="39"/>
  </w:num>
  <w:num w:numId="42">
    <w:abstractNumId w:val="30"/>
  </w:num>
  <w:num w:numId="43">
    <w:abstractNumId w:val="25"/>
  </w:num>
  <w:num w:numId="44">
    <w:abstractNumId w:val="35"/>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590"/>
    <w:rsid w:val="0000571E"/>
    <w:rsid w:val="00010CF3"/>
    <w:rsid w:val="00011E27"/>
    <w:rsid w:val="000148BC"/>
    <w:rsid w:val="00024AB8"/>
    <w:rsid w:val="00030854"/>
    <w:rsid w:val="00036028"/>
    <w:rsid w:val="00044642"/>
    <w:rsid w:val="000446B9"/>
    <w:rsid w:val="00047E21"/>
    <w:rsid w:val="00085505"/>
    <w:rsid w:val="000C244A"/>
    <w:rsid w:val="000C7021"/>
    <w:rsid w:val="000D6BBC"/>
    <w:rsid w:val="000D7780"/>
    <w:rsid w:val="000E71FA"/>
    <w:rsid w:val="00105929"/>
    <w:rsid w:val="001131D5"/>
    <w:rsid w:val="00113590"/>
    <w:rsid w:val="00141DB8"/>
    <w:rsid w:val="00142198"/>
    <w:rsid w:val="001604A2"/>
    <w:rsid w:val="0017474A"/>
    <w:rsid w:val="001758C6"/>
    <w:rsid w:val="00194B80"/>
    <w:rsid w:val="001B4E8A"/>
    <w:rsid w:val="001C5971"/>
    <w:rsid w:val="001F7DBD"/>
    <w:rsid w:val="0021332C"/>
    <w:rsid w:val="00213982"/>
    <w:rsid w:val="00231D29"/>
    <w:rsid w:val="00235267"/>
    <w:rsid w:val="0024416D"/>
    <w:rsid w:val="00264A36"/>
    <w:rsid w:val="00266E18"/>
    <w:rsid w:val="00273A54"/>
    <w:rsid w:val="002800A0"/>
    <w:rsid w:val="002801B3"/>
    <w:rsid w:val="00281060"/>
    <w:rsid w:val="002940E8"/>
    <w:rsid w:val="002A6E50"/>
    <w:rsid w:val="002A755F"/>
    <w:rsid w:val="002C256A"/>
    <w:rsid w:val="002E3FB9"/>
    <w:rsid w:val="00305A7F"/>
    <w:rsid w:val="003152FE"/>
    <w:rsid w:val="00320AE8"/>
    <w:rsid w:val="003252C5"/>
    <w:rsid w:val="00327436"/>
    <w:rsid w:val="00344BD6"/>
    <w:rsid w:val="0035528D"/>
    <w:rsid w:val="00357402"/>
    <w:rsid w:val="00361821"/>
    <w:rsid w:val="00362FBA"/>
    <w:rsid w:val="00370631"/>
    <w:rsid w:val="00373109"/>
    <w:rsid w:val="003D227C"/>
    <w:rsid w:val="003D2B4D"/>
    <w:rsid w:val="003D7E71"/>
    <w:rsid w:val="003E7998"/>
    <w:rsid w:val="00423EF1"/>
    <w:rsid w:val="00444A88"/>
    <w:rsid w:val="00463CB3"/>
    <w:rsid w:val="00474DA4"/>
    <w:rsid w:val="004C070C"/>
    <w:rsid w:val="004D047D"/>
    <w:rsid w:val="004F305A"/>
    <w:rsid w:val="00512164"/>
    <w:rsid w:val="00520297"/>
    <w:rsid w:val="005338F9"/>
    <w:rsid w:val="0054281C"/>
    <w:rsid w:val="0055268D"/>
    <w:rsid w:val="00570465"/>
    <w:rsid w:val="00576BE4"/>
    <w:rsid w:val="00576BF0"/>
    <w:rsid w:val="005A400A"/>
    <w:rsid w:val="00612379"/>
    <w:rsid w:val="0061555F"/>
    <w:rsid w:val="00641200"/>
    <w:rsid w:val="006567B2"/>
    <w:rsid w:val="00687EB4"/>
    <w:rsid w:val="0069689A"/>
    <w:rsid w:val="006A59FA"/>
    <w:rsid w:val="006B17D2"/>
    <w:rsid w:val="006C224E"/>
    <w:rsid w:val="006D6EC4"/>
    <w:rsid w:val="006D780A"/>
    <w:rsid w:val="00721353"/>
    <w:rsid w:val="00732DEC"/>
    <w:rsid w:val="00735BD5"/>
    <w:rsid w:val="00745D66"/>
    <w:rsid w:val="007556F6"/>
    <w:rsid w:val="00760EEF"/>
    <w:rsid w:val="00773167"/>
    <w:rsid w:val="00776588"/>
    <w:rsid w:val="00777EE5"/>
    <w:rsid w:val="00784836"/>
    <w:rsid w:val="0079023E"/>
    <w:rsid w:val="007A2854"/>
    <w:rsid w:val="007D0B9D"/>
    <w:rsid w:val="007D19B0"/>
    <w:rsid w:val="007D1D09"/>
    <w:rsid w:val="007F498F"/>
    <w:rsid w:val="0080679D"/>
    <w:rsid w:val="008108B0"/>
    <w:rsid w:val="00811B20"/>
    <w:rsid w:val="0082296E"/>
    <w:rsid w:val="00824099"/>
    <w:rsid w:val="0083734C"/>
    <w:rsid w:val="00853943"/>
    <w:rsid w:val="00855190"/>
    <w:rsid w:val="00867AC1"/>
    <w:rsid w:val="008A743F"/>
    <w:rsid w:val="008C0970"/>
    <w:rsid w:val="008D2CF7"/>
    <w:rsid w:val="008D3729"/>
    <w:rsid w:val="00900C26"/>
    <w:rsid w:val="0090197F"/>
    <w:rsid w:val="00906DDC"/>
    <w:rsid w:val="00934E09"/>
    <w:rsid w:val="00936253"/>
    <w:rsid w:val="00952DD4"/>
    <w:rsid w:val="00970FED"/>
    <w:rsid w:val="00997029"/>
    <w:rsid w:val="009A0B1E"/>
    <w:rsid w:val="009D690D"/>
    <w:rsid w:val="009E65B6"/>
    <w:rsid w:val="00A138E3"/>
    <w:rsid w:val="00A42AC3"/>
    <w:rsid w:val="00A430CF"/>
    <w:rsid w:val="00A47CDB"/>
    <w:rsid w:val="00A54309"/>
    <w:rsid w:val="00A929D4"/>
    <w:rsid w:val="00AB2B93"/>
    <w:rsid w:val="00AB7E5B"/>
    <w:rsid w:val="00AC67A0"/>
    <w:rsid w:val="00AE0EF1"/>
    <w:rsid w:val="00B07301"/>
    <w:rsid w:val="00B108A6"/>
    <w:rsid w:val="00B224DE"/>
    <w:rsid w:val="00B72907"/>
    <w:rsid w:val="00B84BBD"/>
    <w:rsid w:val="00B90D0A"/>
    <w:rsid w:val="00BA43FB"/>
    <w:rsid w:val="00BC127D"/>
    <w:rsid w:val="00BC1FE6"/>
    <w:rsid w:val="00C061B6"/>
    <w:rsid w:val="00C13808"/>
    <w:rsid w:val="00C2446C"/>
    <w:rsid w:val="00C36AE5"/>
    <w:rsid w:val="00C41F17"/>
    <w:rsid w:val="00C5791C"/>
    <w:rsid w:val="00C66290"/>
    <w:rsid w:val="00C72B7A"/>
    <w:rsid w:val="00C868E7"/>
    <w:rsid w:val="00C92624"/>
    <w:rsid w:val="00C973F2"/>
    <w:rsid w:val="00CA13DD"/>
    <w:rsid w:val="00CA774A"/>
    <w:rsid w:val="00CC11B0"/>
    <w:rsid w:val="00CF4DD0"/>
    <w:rsid w:val="00CF7E36"/>
    <w:rsid w:val="00D261C5"/>
    <w:rsid w:val="00D3708D"/>
    <w:rsid w:val="00D40426"/>
    <w:rsid w:val="00D57C96"/>
    <w:rsid w:val="00D72695"/>
    <w:rsid w:val="00D91203"/>
    <w:rsid w:val="00D95174"/>
    <w:rsid w:val="00DA4685"/>
    <w:rsid w:val="00DA6F36"/>
    <w:rsid w:val="00DB596E"/>
    <w:rsid w:val="00DC00EA"/>
    <w:rsid w:val="00E14071"/>
    <w:rsid w:val="00E72D49"/>
    <w:rsid w:val="00E7593C"/>
    <w:rsid w:val="00E7678A"/>
    <w:rsid w:val="00E80F31"/>
    <w:rsid w:val="00E935F1"/>
    <w:rsid w:val="00E94A81"/>
    <w:rsid w:val="00EA1FFB"/>
    <w:rsid w:val="00EA5245"/>
    <w:rsid w:val="00EB048E"/>
    <w:rsid w:val="00EE34DF"/>
    <w:rsid w:val="00EF2F89"/>
    <w:rsid w:val="00EF3902"/>
    <w:rsid w:val="00EF6860"/>
    <w:rsid w:val="00F00A88"/>
    <w:rsid w:val="00F1237A"/>
    <w:rsid w:val="00F22CBD"/>
    <w:rsid w:val="00F45372"/>
    <w:rsid w:val="00F560F7"/>
    <w:rsid w:val="00F6334D"/>
    <w:rsid w:val="00F73179"/>
    <w:rsid w:val="00F875C7"/>
    <w:rsid w:val="00FA49AB"/>
    <w:rsid w:val="00FC5581"/>
    <w:rsid w:val="00FD65CE"/>
    <w:rsid w:val="00FE39C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1D09"/>
    <w:pPr>
      <w:jc w:val="both"/>
    </w:pPr>
    <w:rPr>
      <w:rFonts w:ascii="Arial" w:hAnsi="Arial"/>
    </w:rPr>
  </w:style>
  <w:style w:type="paragraph" w:styleId="Heading1">
    <w:name w:val="heading 1"/>
    <w:aliases w:val="COMMON NAME,common"/>
    <w:next w:val="Normal"/>
    <w:link w:val="Heading1Char"/>
    <w:autoRedefine/>
    <w:qFormat/>
    <w:rsid w:val="00F73179"/>
    <w:pPr>
      <w:keepNext/>
      <w:jc w:val="both"/>
      <w:outlineLvl w:val="0"/>
    </w:pPr>
    <w:rPr>
      <w:rFonts w:ascii="Arial" w:hAnsi="Arial"/>
      <w:caps/>
    </w:rPr>
  </w:style>
  <w:style w:type="paragraph" w:styleId="Heading2">
    <w:name w:val="heading 2"/>
    <w:next w:val="Normal"/>
    <w:link w:val="Heading2Char"/>
    <w:autoRedefine/>
    <w:qFormat/>
    <w:rsid w:val="00F73179"/>
    <w:pPr>
      <w:keepNext/>
      <w:jc w:val="both"/>
      <w:outlineLvl w:val="1"/>
    </w:pPr>
    <w:rPr>
      <w:rFonts w:ascii="Arial" w:hAnsi="Arial"/>
      <w:u w:val="single"/>
    </w:rPr>
  </w:style>
  <w:style w:type="paragraph" w:styleId="Heading3">
    <w:name w:val="heading 3"/>
    <w:next w:val="Normal"/>
    <w:link w:val="Heading3Char"/>
    <w:autoRedefine/>
    <w:qFormat/>
    <w:rsid w:val="00F73179"/>
    <w:pPr>
      <w:keepNext/>
      <w:jc w:val="both"/>
      <w:outlineLvl w:val="2"/>
    </w:pPr>
    <w:rPr>
      <w:rFonts w:ascii="Arial" w:hAnsi="Arial"/>
      <w:i/>
    </w:rPr>
  </w:style>
  <w:style w:type="paragraph" w:styleId="Heading4">
    <w:name w:val="heading 4"/>
    <w:next w:val="Normal"/>
    <w:link w:val="Heading4Char"/>
    <w:autoRedefine/>
    <w:qFormat/>
    <w:rsid w:val="00F73179"/>
    <w:pPr>
      <w:keepNext/>
      <w:ind w:left="567"/>
      <w:jc w:val="both"/>
      <w:outlineLvl w:val="3"/>
    </w:pPr>
    <w:rPr>
      <w:rFonts w:ascii="Arial" w:hAnsi="Arial"/>
      <w:i/>
      <w:lang w:val="fr-FR"/>
    </w:rPr>
  </w:style>
  <w:style w:type="paragraph" w:styleId="Heading5">
    <w:name w:val="heading 5"/>
    <w:next w:val="Normal"/>
    <w:link w:val="Heading5Char"/>
    <w:autoRedefine/>
    <w:qFormat/>
    <w:rsid w:val="00F73179"/>
    <w:pPr>
      <w:keepNext/>
      <w:ind w:left="1134" w:hanging="567"/>
      <w:jc w:val="both"/>
      <w:outlineLvl w:val="4"/>
    </w:pPr>
    <w:rPr>
      <w:rFonts w:ascii="Arial" w:hAnsi="Arial"/>
      <w:sz w:val="18"/>
      <w:szCs w:val="18"/>
    </w:rPr>
  </w:style>
  <w:style w:type="paragraph" w:styleId="Heading6">
    <w:name w:val="heading 6"/>
    <w:basedOn w:val="Normal"/>
    <w:next w:val="Normal"/>
    <w:link w:val="Heading6Char"/>
    <w:qFormat/>
    <w:rsid w:val="000E71FA"/>
    <w:pPr>
      <w:outlineLvl w:val="5"/>
    </w:pPr>
    <w:rPr>
      <w:lang w:val="es-ES_tradnl"/>
    </w:rPr>
  </w:style>
  <w:style w:type="paragraph" w:styleId="Heading7">
    <w:name w:val="heading 7"/>
    <w:basedOn w:val="Normal"/>
    <w:next w:val="Normal"/>
    <w:link w:val="Heading7Char"/>
    <w:qFormat/>
    <w:rsid w:val="000E71FA"/>
    <w:pPr>
      <w:spacing w:before="240" w:after="60"/>
      <w:outlineLvl w:val="6"/>
    </w:pPr>
    <w:rPr>
      <w:szCs w:val="24"/>
    </w:rPr>
  </w:style>
  <w:style w:type="paragraph" w:styleId="Heading8">
    <w:name w:val="heading 8"/>
    <w:basedOn w:val="Normal"/>
    <w:next w:val="Normal"/>
    <w:link w:val="Heading8Char"/>
    <w:qFormat/>
    <w:rsid w:val="000E71FA"/>
    <w:pPr>
      <w:keepNext/>
      <w:jc w:val="center"/>
      <w:outlineLvl w:val="7"/>
    </w:pPr>
    <w:rPr>
      <w:u w:val="single"/>
    </w:rPr>
  </w:style>
  <w:style w:type="paragraph" w:styleId="Heading9">
    <w:name w:val="heading 9"/>
    <w:basedOn w:val="Normal"/>
    <w:next w:val="Normal"/>
    <w:link w:val="Heading9Char"/>
    <w:qFormat/>
    <w:rsid w:val="00F7317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2E3FB9"/>
    <w:pPr>
      <w:tabs>
        <w:tab w:val="center" w:pos="4536"/>
        <w:tab w:val="right" w:pos="9072"/>
      </w:tabs>
      <w:jc w:val="center"/>
    </w:pPr>
    <w:rPr>
      <w:rFonts w:ascii="Arial" w:hAnsi="Arial"/>
      <w:sz w:val="16"/>
      <w:szCs w:val="16"/>
      <w:lang w:val="es-ES"/>
    </w:rPr>
  </w:style>
  <w:style w:type="paragraph" w:styleId="Footer">
    <w:name w:val="footer"/>
    <w:aliases w:val="doc_path_name"/>
    <w:link w:val="FooterChar"/>
    <w:autoRedefine/>
    <w:rsid w:val="00F73179"/>
    <w:pPr>
      <w:jc w:val="both"/>
    </w:pPr>
    <w:rPr>
      <w:rFonts w:ascii="Arial" w:hAnsi="Arial"/>
      <w:sz w:val="14"/>
    </w:rPr>
  </w:style>
  <w:style w:type="character" w:styleId="PageNumber">
    <w:name w:val="page number"/>
    <w:basedOn w:val="DefaultParagraphFont"/>
    <w:rsid w:val="00F73179"/>
    <w:rPr>
      <w:rFonts w:ascii="Arial" w:hAnsi="Arial"/>
      <w:sz w:val="20"/>
    </w:rPr>
  </w:style>
  <w:style w:type="paragraph" w:styleId="Title">
    <w:name w:val="Title"/>
    <w:basedOn w:val="Normal"/>
    <w:link w:val="TitleChar"/>
    <w:qFormat/>
    <w:rsid w:val="00F73179"/>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Normal"/>
    <w:link w:val="DocoriginalChar"/>
    <w:rsid w:val="00F73179"/>
    <w:pPr>
      <w:spacing w:line="280" w:lineRule="exact"/>
      <w:ind w:left="1361"/>
    </w:pPr>
    <w:rPr>
      <w:b/>
      <w:bCs/>
      <w:spacing w:val="10"/>
    </w:rPr>
  </w:style>
  <w:style w:type="paragraph" w:customStyle="1" w:styleId="DecisionParagraphs">
    <w:name w:val="DecisionParagraphs"/>
    <w:basedOn w:val="Normal"/>
    <w:link w:val="DecisionParagraphsChar"/>
    <w:qFormat/>
    <w:rsid w:val="00F73179"/>
    <w:pPr>
      <w:tabs>
        <w:tab w:val="left" w:pos="5387"/>
      </w:tabs>
      <w:ind w:left="4820"/>
    </w:pPr>
    <w:rPr>
      <w:i/>
    </w:rPr>
  </w:style>
  <w:style w:type="paragraph" w:styleId="FootnoteText">
    <w:name w:val="footnote text"/>
    <w:link w:val="FootnoteTextChar"/>
    <w:autoRedefine/>
    <w:rsid w:val="00F73179"/>
    <w:pPr>
      <w:spacing w:before="60"/>
      <w:ind w:left="567" w:hanging="567"/>
      <w:jc w:val="both"/>
    </w:pPr>
    <w:rPr>
      <w:rFonts w:ascii="Arial" w:hAnsi="Arial"/>
      <w:sz w:val="16"/>
    </w:rPr>
  </w:style>
  <w:style w:type="character" w:styleId="FootnoteReference">
    <w:name w:val="footnote reference"/>
    <w:basedOn w:val="DefaultParagraphFont"/>
    <w:rsid w:val="00F73179"/>
    <w:rPr>
      <w:vertAlign w:val="superscript"/>
    </w:rPr>
  </w:style>
  <w:style w:type="paragraph" w:styleId="Closing">
    <w:name w:val="Closing"/>
    <w:basedOn w:val="Normal"/>
    <w:link w:val="ClosingChar"/>
    <w:rsid w:val="00F73179"/>
    <w:pPr>
      <w:ind w:left="4536"/>
      <w:jc w:val="center"/>
    </w:pPr>
  </w:style>
  <w:style w:type="paragraph" w:styleId="Index1">
    <w:name w:val="index 1"/>
    <w:basedOn w:val="Normal"/>
    <w:next w:val="Normal"/>
    <w:semiHidden/>
    <w:rsid w:val="00F73179"/>
    <w:pPr>
      <w:tabs>
        <w:tab w:val="right" w:leader="dot" w:pos="9071"/>
      </w:tabs>
      <w:ind w:left="284" w:hanging="284"/>
    </w:pPr>
    <w:rPr>
      <w:sz w:val="24"/>
    </w:rPr>
  </w:style>
  <w:style w:type="paragraph" w:styleId="Index2">
    <w:name w:val="index 2"/>
    <w:basedOn w:val="Normal"/>
    <w:next w:val="Normal"/>
    <w:semiHidden/>
    <w:rsid w:val="00F73179"/>
    <w:pPr>
      <w:tabs>
        <w:tab w:val="right" w:leader="dot" w:pos="9071"/>
      </w:tabs>
      <w:ind w:left="568" w:hanging="284"/>
    </w:pPr>
    <w:rPr>
      <w:sz w:val="24"/>
    </w:rPr>
  </w:style>
  <w:style w:type="paragraph" w:styleId="Index3">
    <w:name w:val="index 3"/>
    <w:basedOn w:val="Normal"/>
    <w:next w:val="Normal"/>
    <w:semiHidden/>
    <w:rsid w:val="00F73179"/>
    <w:pPr>
      <w:tabs>
        <w:tab w:val="right" w:leader="dot" w:pos="9071"/>
      </w:tabs>
      <w:ind w:left="851" w:hanging="284"/>
    </w:pPr>
    <w:rPr>
      <w:sz w:val="24"/>
    </w:rPr>
  </w:style>
  <w:style w:type="paragraph" w:styleId="MacroText">
    <w:name w:val="macro"/>
    <w:link w:val="MacroTextChar"/>
    <w:semiHidden/>
    <w:rsid w:val="00F7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F73179"/>
    <w:pPr>
      <w:ind w:left="4536"/>
      <w:jc w:val="center"/>
    </w:pPr>
  </w:style>
  <w:style w:type="character" w:customStyle="1" w:styleId="Doclang">
    <w:name w:val="Doc_lang"/>
    <w:basedOn w:val="DefaultParagraphFont"/>
    <w:rsid w:val="00F73179"/>
    <w:rPr>
      <w:rFonts w:ascii="Arial" w:hAnsi="Arial"/>
      <w:sz w:val="20"/>
      <w:lang w:val="en-US"/>
    </w:rPr>
  </w:style>
  <w:style w:type="paragraph" w:customStyle="1" w:styleId="Session">
    <w:name w:val="Session"/>
    <w:basedOn w:val="Normal"/>
    <w:rsid w:val="00F73179"/>
    <w:pPr>
      <w:spacing w:before="60"/>
      <w:jc w:val="center"/>
    </w:pPr>
    <w:rPr>
      <w:b/>
    </w:rPr>
  </w:style>
  <w:style w:type="paragraph" w:customStyle="1" w:styleId="Organizer">
    <w:name w:val="Organizer"/>
    <w:basedOn w:val="Normal"/>
    <w:rsid w:val="00F73179"/>
    <w:pPr>
      <w:spacing w:after="600"/>
      <w:ind w:left="-993" w:right="-994"/>
      <w:jc w:val="center"/>
    </w:pPr>
    <w:rPr>
      <w:b/>
      <w:caps/>
      <w:kern w:val="26"/>
      <w:sz w:val="26"/>
    </w:rPr>
  </w:style>
  <w:style w:type="paragraph" w:styleId="BodyText">
    <w:name w:val="Body Text"/>
    <w:basedOn w:val="Normal"/>
    <w:link w:val="BodyTextChar"/>
    <w:rsid w:val="00F73179"/>
  </w:style>
  <w:style w:type="paragraph" w:customStyle="1" w:styleId="StyleDocoriginalNotBold">
    <w:name w:val="Style Doc_original + Not Bold"/>
    <w:basedOn w:val="Docoriginal"/>
    <w:link w:val="StyleDocoriginalNotBoldChar"/>
    <w:autoRedefine/>
    <w:rsid w:val="00F73179"/>
    <w:pPr>
      <w:ind w:left="1589"/>
      <w:jc w:val="left"/>
    </w:pPr>
  </w:style>
  <w:style w:type="paragraph" w:customStyle="1" w:styleId="upove">
    <w:name w:val="upov_e"/>
    <w:basedOn w:val="Normal"/>
    <w:rsid w:val="00F73179"/>
    <w:pPr>
      <w:spacing w:before="60"/>
      <w:jc w:val="center"/>
    </w:pPr>
    <w:rPr>
      <w:b/>
      <w:bCs/>
      <w:spacing w:val="8"/>
      <w:sz w:val="24"/>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F73179"/>
  </w:style>
  <w:style w:type="paragraph" w:styleId="EndnoteText">
    <w:name w:val="endnote text"/>
    <w:basedOn w:val="Normal"/>
    <w:link w:val="EndnoteTextChar"/>
    <w:rsid w:val="00F73179"/>
  </w:style>
  <w:style w:type="character" w:styleId="EndnoteReference">
    <w:name w:val="endnote reference"/>
    <w:basedOn w:val="DefaultParagraphFont"/>
    <w:rsid w:val="00F73179"/>
    <w:rPr>
      <w:vertAlign w:val="superscript"/>
    </w:rPr>
  </w:style>
  <w:style w:type="paragraph" w:customStyle="1" w:styleId="SessionMeetingPlace">
    <w:name w:val="Session_MeetingPlace"/>
    <w:basedOn w:val="Normal"/>
    <w:semiHidden/>
    <w:rsid w:val="00F73179"/>
    <w:pPr>
      <w:spacing w:before="480"/>
      <w:jc w:val="center"/>
    </w:pPr>
    <w:rPr>
      <w:b/>
      <w:bCs/>
      <w:kern w:val="28"/>
      <w:sz w:val="24"/>
    </w:rPr>
  </w:style>
  <w:style w:type="paragraph" w:customStyle="1" w:styleId="Original">
    <w:name w:val="Original"/>
    <w:basedOn w:val="Normal"/>
    <w:rsid w:val="00F73179"/>
    <w:pPr>
      <w:spacing w:before="60"/>
      <w:ind w:left="1276"/>
    </w:pPr>
    <w:rPr>
      <w:b/>
      <w:sz w:val="22"/>
    </w:rPr>
  </w:style>
  <w:style w:type="paragraph" w:styleId="Date">
    <w:name w:val="Date"/>
    <w:basedOn w:val="Normal"/>
    <w:link w:val="DateChar"/>
    <w:rsid w:val="00F73179"/>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73179"/>
    <w:pPr>
      <w:spacing w:before="60" w:after="480"/>
      <w:jc w:val="center"/>
    </w:pPr>
  </w:style>
  <w:style w:type="paragraph" w:customStyle="1" w:styleId="Lettrine">
    <w:name w:val="Lettrine"/>
    <w:basedOn w:val="Normal"/>
    <w:rsid w:val="00F73179"/>
    <w:pPr>
      <w:spacing w:after="120" w:line="340" w:lineRule="atLeast"/>
      <w:jc w:val="right"/>
    </w:pPr>
    <w:rPr>
      <w:b/>
      <w:bCs/>
      <w:sz w:val="56"/>
    </w:rPr>
  </w:style>
  <w:style w:type="paragraph" w:customStyle="1" w:styleId="LogoUPOV">
    <w:name w:val="LogoUPOV"/>
    <w:basedOn w:val="Normal"/>
    <w:rsid w:val="00F73179"/>
    <w:pPr>
      <w:spacing w:before="720"/>
      <w:jc w:val="center"/>
    </w:pPr>
  </w:style>
  <w:style w:type="paragraph" w:customStyle="1" w:styleId="Sessiontc">
    <w:name w:val="Session_tc"/>
    <w:basedOn w:val="StyleSessionAllcaps"/>
    <w:rsid w:val="00F73179"/>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73179"/>
    <w:pPr>
      <w:spacing w:before="480"/>
    </w:pPr>
    <w:rPr>
      <w:bCs/>
      <w:caps/>
      <w:kern w:val="28"/>
      <w:sz w:val="24"/>
    </w:rPr>
  </w:style>
  <w:style w:type="paragraph" w:customStyle="1" w:styleId="plcountry">
    <w:name w:val="plcountry"/>
    <w:basedOn w:val="Normal"/>
    <w:rsid w:val="00F73179"/>
    <w:pPr>
      <w:keepNext/>
      <w:keepLines/>
      <w:spacing w:before="180" w:after="120"/>
      <w:jc w:val="left"/>
    </w:pPr>
    <w:rPr>
      <w:caps/>
      <w:noProof/>
      <w:snapToGrid w:val="0"/>
      <w:u w:val="single"/>
    </w:rPr>
  </w:style>
  <w:style w:type="paragraph" w:customStyle="1" w:styleId="pldetails">
    <w:name w:val="pldetails"/>
    <w:basedOn w:val="Normal"/>
    <w:link w:val="pldetailsChar"/>
    <w:rsid w:val="00F73179"/>
    <w:pPr>
      <w:keepLines/>
      <w:spacing w:before="60" w:after="60"/>
      <w:jc w:val="left"/>
    </w:pPr>
    <w:rPr>
      <w:noProof/>
      <w:snapToGrid w:val="0"/>
    </w:rPr>
  </w:style>
  <w:style w:type="paragraph" w:customStyle="1" w:styleId="plheading">
    <w:name w:val="plheading"/>
    <w:basedOn w:val="Normal"/>
    <w:rsid w:val="00F73179"/>
    <w:pPr>
      <w:keepNext/>
      <w:spacing w:before="480" w:after="120"/>
      <w:jc w:val="center"/>
    </w:pPr>
    <w:rPr>
      <w:caps/>
      <w:snapToGrid w:val="0"/>
      <w:u w:val="single"/>
    </w:rPr>
  </w:style>
  <w:style w:type="paragraph" w:customStyle="1" w:styleId="Sessiontcplacedate">
    <w:name w:val="Session_tc_place_date"/>
    <w:basedOn w:val="SessionMeetingPlace"/>
    <w:rsid w:val="00F73179"/>
    <w:pPr>
      <w:spacing w:before="240"/>
    </w:pPr>
  </w:style>
  <w:style w:type="paragraph" w:customStyle="1" w:styleId="Titleofdoc0">
    <w:name w:val="Title_of_doc"/>
    <w:basedOn w:val="Normal"/>
    <w:rsid w:val="00F73179"/>
    <w:pPr>
      <w:spacing w:before="600"/>
      <w:jc w:val="center"/>
    </w:pPr>
    <w:rPr>
      <w:caps/>
    </w:rPr>
  </w:style>
  <w:style w:type="paragraph" w:customStyle="1" w:styleId="preparedby1">
    <w:name w:val="prepared_by"/>
    <w:basedOn w:val="Normal"/>
    <w:rsid w:val="00F73179"/>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2E3FB9"/>
    <w:pPr>
      <w:ind w:left="567" w:hanging="567"/>
      <w:jc w:val="center"/>
    </w:pPr>
    <w:rPr>
      <w:rFonts w:ascii="Arial" w:hAnsi="Arial"/>
      <w:noProof/>
      <w:sz w:val="16"/>
      <w:szCs w:val="16"/>
    </w:rPr>
  </w:style>
  <w:style w:type="character" w:customStyle="1" w:styleId="DocoriginalChar">
    <w:name w:val="Doc_original Char"/>
    <w:basedOn w:val="DefaultParagraphFont"/>
    <w:link w:val="Docoriginal"/>
    <w:rsid w:val="00F731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73179"/>
    <w:rPr>
      <w:rFonts w:ascii="Arial" w:hAnsi="Arial"/>
      <w:b/>
      <w:bCs/>
      <w:spacing w:val="10"/>
      <w:lang w:val="en-US" w:eastAsia="en-US" w:bidi="ar-SA"/>
    </w:rPr>
  </w:style>
  <w:style w:type="paragraph" w:customStyle="1" w:styleId="StyleDocnumber">
    <w:name w:val="Style Doc_number"/>
    <w:basedOn w:val="Docoriginal"/>
    <w:rsid w:val="00F73179"/>
    <w:pPr>
      <w:ind w:left="1589"/>
    </w:pPr>
  </w:style>
  <w:style w:type="paragraph" w:customStyle="1" w:styleId="StyleDocoriginal">
    <w:name w:val="Style Doc_original"/>
    <w:basedOn w:val="Docoriginal"/>
    <w:link w:val="StyleDocoriginalChar"/>
    <w:rsid w:val="00F73179"/>
  </w:style>
  <w:style w:type="character" w:customStyle="1" w:styleId="StyleDocoriginalChar">
    <w:name w:val="Style Doc_original Char"/>
    <w:basedOn w:val="DocoriginalChar"/>
    <w:link w:val="StyleDocoriginal"/>
    <w:rsid w:val="00F73179"/>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73179"/>
    <w:rPr>
      <w:rFonts w:ascii="Arial" w:hAnsi="Arial"/>
      <w:b/>
      <w:bCs/>
      <w:spacing w:val="10"/>
      <w:lang w:val="en-US" w:eastAsia="en-US" w:bidi="ar-SA"/>
    </w:rPr>
  </w:style>
  <w:style w:type="character" w:customStyle="1" w:styleId="StyleDoclangBold">
    <w:name w:val="Style Doc_lang + Bold"/>
    <w:basedOn w:val="Doclang"/>
    <w:rsid w:val="00F73179"/>
    <w:rPr>
      <w:rFonts w:ascii="Arial" w:hAnsi="Arial"/>
      <w:b/>
      <w:bCs/>
      <w:sz w:val="20"/>
      <w:lang w:val="en-US"/>
    </w:rPr>
  </w:style>
  <w:style w:type="paragraph" w:styleId="TOC2">
    <w:name w:val="toc 2"/>
    <w:next w:val="Normal"/>
    <w:autoRedefine/>
    <w:uiPriority w:val="39"/>
    <w:rsid w:val="007D1D09"/>
    <w:pPr>
      <w:tabs>
        <w:tab w:val="right" w:leader="dot" w:pos="9639"/>
      </w:tabs>
      <w:spacing w:after="120"/>
      <w:ind w:left="284" w:right="283"/>
    </w:pPr>
    <w:rPr>
      <w:rFonts w:ascii="Arial" w:hAnsi="Arial"/>
      <w:noProof/>
    </w:rPr>
  </w:style>
  <w:style w:type="paragraph" w:styleId="TOC3">
    <w:name w:val="toc 3"/>
    <w:next w:val="Normal"/>
    <w:autoRedefine/>
    <w:uiPriority w:val="39"/>
    <w:rsid w:val="007D1D09"/>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F73179"/>
    <w:rPr>
      <w:rFonts w:ascii="Arial" w:hAnsi="Arial"/>
      <w:color w:val="0000FF"/>
      <w:u w:val="single"/>
    </w:rPr>
  </w:style>
  <w:style w:type="paragraph" w:styleId="TOC4">
    <w:name w:val="toc 4"/>
    <w:next w:val="Normal"/>
    <w:autoRedefine/>
    <w:rsid w:val="00F73179"/>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6D6EC4"/>
    <w:pPr>
      <w:tabs>
        <w:tab w:val="right" w:leader="dot" w:pos="9639"/>
      </w:tabs>
      <w:spacing w:after="240"/>
      <w:ind w:right="425"/>
    </w:pPr>
    <w:rPr>
      <w:rFonts w:ascii="Arial" w:hAnsi="Arial"/>
      <w:caps/>
      <w:noProof/>
    </w:rPr>
  </w:style>
  <w:style w:type="paragraph" w:styleId="TOC5">
    <w:name w:val="toc 5"/>
    <w:next w:val="Normal"/>
    <w:autoRedefine/>
    <w:rsid w:val="00F73179"/>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00571E"/>
    <w:rPr>
      <w:rFonts w:ascii="Tahoma" w:hAnsi="Tahoma" w:cs="Tahoma"/>
      <w:sz w:val="16"/>
      <w:szCs w:val="16"/>
    </w:rPr>
  </w:style>
  <w:style w:type="character" w:customStyle="1" w:styleId="BalloonTextChar">
    <w:name w:val="Balloon Text Char"/>
    <w:basedOn w:val="DefaultParagraphFont"/>
    <w:link w:val="BalloonText"/>
    <w:rsid w:val="0000571E"/>
    <w:rPr>
      <w:rFonts w:ascii="Tahoma" w:hAnsi="Tahoma" w:cs="Tahoma"/>
      <w:sz w:val="16"/>
      <w:szCs w:val="16"/>
    </w:rPr>
  </w:style>
  <w:style w:type="character" w:customStyle="1" w:styleId="Heading6Char">
    <w:name w:val="Heading 6 Char"/>
    <w:basedOn w:val="DefaultParagraphFont"/>
    <w:link w:val="Heading6"/>
    <w:rsid w:val="000E71FA"/>
    <w:rPr>
      <w:rFonts w:ascii="Arial" w:hAnsi="Arial"/>
      <w:lang w:val="es-ES_tradnl"/>
    </w:rPr>
  </w:style>
  <w:style w:type="character" w:customStyle="1" w:styleId="Heading7Char">
    <w:name w:val="Heading 7 Char"/>
    <w:basedOn w:val="DefaultParagraphFont"/>
    <w:link w:val="Heading7"/>
    <w:rsid w:val="000E71FA"/>
    <w:rPr>
      <w:rFonts w:ascii="Arial" w:hAnsi="Arial"/>
      <w:szCs w:val="24"/>
    </w:rPr>
  </w:style>
  <w:style w:type="character" w:customStyle="1" w:styleId="Heading8Char">
    <w:name w:val="Heading 8 Char"/>
    <w:basedOn w:val="DefaultParagraphFont"/>
    <w:link w:val="Heading8"/>
    <w:rsid w:val="000E71FA"/>
    <w:rPr>
      <w:rFonts w:ascii="Arial" w:hAnsi="Arial"/>
      <w:u w:val="single"/>
    </w:rPr>
  </w:style>
  <w:style w:type="character" w:customStyle="1" w:styleId="Heading2Char">
    <w:name w:val="Heading 2 Char"/>
    <w:link w:val="Heading2"/>
    <w:rsid w:val="000E71FA"/>
    <w:rPr>
      <w:rFonts w:ascii="Arial" w:hAnsi="Arial"/>
      <w:u w:val="single"/>
    </w:rPr>
  </w:style>
  <w:style w:type="character" w:customStyle="1" w:styleId="Heading3Char">
    <w:name w:val="Heading 3 Char"/>
    <w:link w:val="Heading3"/>
    <w:locked/>
    <w:rsid w:val="000E71FA"/>
    <w:rPr>
      <w:rFonts w:ascii="Arial" w:hAnsi="Arial"/>
      <w:i/>
    </w:rPr>
  </w:style>
  <w:style w:type="character" w:customStyle="1" w:styleId="Heading4Char">
    <w:name w:val="Heading 4 Char"/>
    <w:link w:val="Heading4"/>
    <w:rsid w:val="000E71FA"/>
    <w:rPr>
      <w:rFonts w:ascii="Arial" w:hAnsi="Arial"/>
      <w:i/>
      <w:lang w:val="fr-FR"/>
    </w:rPr>
  </w:style>
  <w:style w:type="character" w:customStyle="1" w:styleId="Heading5Char">
    <w:name w:val="Heading 5 Char"/>
    <w:link w:val="Heading5"/>
    <w:rsid w:val="000E71FA"/>
    <w:rPr>
      <w:rFonts w:ascii="Arial" w:hAnsi="Arial"/>
      <w:sz w:val="18"/>
      <w:szCs w:val="18"/>
    </w:rPr>
  </w:style>
  <w:style w:type="character" w:customStyle="1" w:styleId="Heading1Char">
    <w:name w:val="Heading 1 Char"/>
    <w:aliases w:val="COMMON NAME Char,common Char"/>
    <w:basedOn w:val="DefaultParagraphFont"/>
    <w:link w:val="Heading1"/>
    <w:rsid w:val="000E71FA"/>
    <w:rPr>
      <w:rFonts w:ascii="Arial" w:hAnsi="Arial"/>
      <w:caps/>
    </w:rPr>
  </w:style>
  <w:style w:type="character" w:styleId="Emphasis">
    <w:name w:val="Emphasis"/>
    <w:basedOn w:val="DefaultParagraphFont"/>
    <w:qFormat/>
    <w:rsid w:val="000E71FA"/>
    <w:rPr>
      <w:i/>
      <w:iCs/>
    </w:rPr>
  </w:style>
  <w:style w:type="paragraph" w:styleId="ListParagraph">
    <w:name w:val="List Paragraph"/>
    <w:basedOn w:val="Normal"/>
    <w:uiPriority w:val="34"/>
    <w:qFormat/>
    <w:rsid w:val="000E71FA"/>
    <w:pPr>
      <w:spacing w:after="200" w:line="276" w:lineRule="auto"/>
      <w:ind w:left="720"/>
      <w:contextualSpacing/>
      <w:jc w:val="left"/>
    </w:pPr>
    <w:rPr>
      <w:rFonts w:asciiTheme="minorHAnsi" w:eastAsiaTheme="minorHAnsi" w:hAnsiTheme="minorHAnsi" w:cstheme="minorBidi"/>
      <w:sz w:val="22"/>
      <w:szCs w:val="22"/>
      <w:lang w:val="fi-FI"/>
    </w:rPr>
  </w:style>
  <w:style w:type="paragraph" w:customStyle="1" w:styleId="Default">
    <w:name w:val="Default"/>
    <w:rsid w:val="000E71FA"/>
    <w:pPr>
      <w:autoSpaceDE w:val="0"/>
      <w:autoSpaceDN w:val="0"/>
      <w:adjustRightInd w:val="0"/>
    </w:pPr>
    <w:rPr>
      <w:rFonts w:ascii="Arial" w:eastAsiaTheme="minorEastAsia" w:hAnsi="Arial" w:cs="Arial"/>
      <w:color w:val="000000"/>
      <w:sz w:val="24"/>
      <w:szCs w:val="24"/>
    </w:rPr>
  </w:style>
  <w:style w:type="character" w:customStyle="1" w:styleId="DecisionParagraphsChar">
    <w:name w:val="DecisionParagraphs Char"/>
    <w:link w:val="DecisionParagraphs"/>
    <w:rsid w:val="000E71FA"/>
    <w:rPr>
      <w:rFonts w:ascii="Arial" w:hAnsi="Arial"/>
      <w:i/>
    </w:rPr>
  </w:style>
  <w:style w:type="table" w:styleId="TableGrid">
    <w:name w:val="Table Grid"/>
    <w:basedOn w:val="TableNormal"/>
    <w:rsid w:val="000E71FA"/>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2E3FB9"/>
    <w:rPr>
      <w:rFonts w:ascii="Arial" w:hAnsi="Arial"/>
      <w:sz w:val="16"/>
      <w:szCs w:val="16"/>
      <w:lang w:val="es-ES"/>
    </w:rPr>
  </w:style>
  <w:style w:type="paragraph" w:customStyle="1" w:styleId="tgchartextcentered">
    <w:name w:val="tg_char_text_centered"/>
    <w:basedOn w:val="Normal"/>
    <w:rsid w:val="000E71FA"/>
    <w:pPr>
      <w:spacing w:before="80" w:after="80"/>
      <w:jc w:val="center"/>
    </w:pPr>
    <w:rPr>
      <w:b/>
      <w:sz w:val="16"/>
    </w:rPr>
  </w:style>
  <w:style w:type="paragraph" w:customStyle="1" w:styleId="tgchartext">
    <w:name w:val="tg_char_text"/>
    <w:basedOn w:val="Normal"/>
    <w:rsid w:val="000E71FA"/>
    <w:pPr>
      <w:spacing w:before="80" w:after="80"/>
      <w:jc w:val="left"/>
    </w:pPr>
    <w:rPr>
      <w:sz w:val="16"/>
    </w:rPr>
  </w:style>
  <w:style w:type="character" w:customStyle="1" w:styleId="FootnoteTextChar">
    <w:name w:val="Footnote Text Char"/>
    <w:link w:val="FootnoteText"/>
    <w:rsid w:val="000E71FA"/>
    <w:rPr>
      <w:rFonts w:ascii="Arial" w:hAnsi="Arial"/>
      <w:sz w:val="16"/>
    </w:rPr>
  </w:style>
  <w:style w:type="character" w:customStyle="1" w:styleId="pldetailsChar">
    <w:name w:val="pldetails Char"/>
    <w:link w:val="pldetails"/>
    <w:locked/>
    <w:rsid w:val="000E71FA"/>
    <w:rPr>
      <w:rFonts w:ascii="Arial" w:hAnsi="Arial"/>
      <w:noProof/>
      <w:snapToGrid w:val="0"/>
    </w:rPr>
  </w:style>
  <w:style w:type="paragraph" w:styleId="NormalWeb">
    <w:name w:val="Normal (Web)"/>
    <w:basedOn w:val="Normal"/>
    <w:rsid w:val="000E71FA"/>
    <w:pPr>
      <w:spacing w:before="100" w:beforeAutospacing="1" w:after="100" w:afterAutospacing="1"/>
      <w:jc w:val="left"/>
    </w:pPr>
    <w:rPr>
      <w:szCs w:val="24"/>
    </w:rPr>
  </w:style>
  <w:style w:type="paragraph" w:customStyle="1" w:styleId="pdflink">
    <w:name w:val="pdflink"/>
    <w:basedOn w:val="Normal"/>
    <w:next w:val="Normal"/>
    <w:rsid w:val="000E71FA"/>
    <w:rPr>
      <w:color w:val="800000"/>
      <w:u w:val="words"/>
    </w:rPr>
  </w:style>
  <w:style w:type="paragraph" w:customStyle="1" w:styleId="Draft">
    <w:name w:val="Draft"/>
    <w:basedOn w:val="Normal"/>
    <w:next w:val="preparedby"/>
    <w:rsid w:val="000E71FA"/>
    <w:pPr>
      <w:spacing w:before="720" w:after="480"/>
      <w:jc w:val="center"/>
    </w:pPr>
    <w:rPr>
      <w:caps/>
      <w:sz w:val="28"/>
    </w:rPr>
  </w:style>
  <w:style w:type="paragraph" w:customStyle="1" w:styleId="quote1">
    <w:name w:val="quote1"/>
    <w:basedOn w:val="Normal"/>
    <w:semiHidden/>
    <w:rsid w:val="000E71FA"/>
    <w:pPr>
      <w:ind w:left="567" w:right="565" w:firstLine="567"/>
    </w:pPr>
    <w:rPr>
      <w:snapToGrid w:val="0"/>
      <w:sz w:val="22"/>
      <w:szCs w:val="22"/>
    </w:rPr>
  </w:style>
  <w:style w:type="paragraph" w:customStyle="1" w:styleId="tqparabox">
    <w:name w:val="tqparabox"/>
    <w:basedOn w:val="Normal"/>
    <w:rsid w:val="000E71FA"/>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rsid w:val="000E71FA"/>
    <w:pPr>
      <w:ind w:left="1200"/>
    </w:pPr>
  </w:style>
  <w:style w:type="paragraph" w:styleId="BodyTextIndent">
    <w:name w:val="Body Text Indent"/>
    <w:basedOn w:val="Normal"/>
    <w:link w:val="BodyTextIndentChar"/>
    <w:rsid w:val="000E71FA"/>
    <w:pPr>
      <w:ind w:left="567"/>
    </w:pPr>
    <w:rPr>
      <w:lang w:val="es-ES_tradnl"/>
    </w:rPr>
  </w:style>
  <w:style w:type="character" w:customStyle="1" w:styleId="BodyTextIndentChar">
    <w:name w:val="Body Text Indent Char"/>
    <w:basedOn w:val="DefaultParagraphFont"/>
    <w:link w:val="BodyTextIndent"/>
    <w:rsid w:val="000E71FA"/>
    <w:rPr>
      <w:rFonts w:ascii="Arial" w:hAnsi="Arial"/>
      <w:lang w:val="es-ES_tradnl"/>
    </w:rPr>
  </w:style>
  <w:style w:type="paragraph" w:customStyle="1" w:styleId="twpcheck">
    <w:name w:val="twpcheck"/>
    <w:basedOn w:val="Normal"/>
    <w:rsid w:val="000E71FA"/>
    <w:pPr>
      <w:spacing w:before="80" w:after="80"/>
      <w:jc w:val="left"/>
    </w:pPr>
    <w:rPr>
      <w:rFonts w:cs="Arial"/>
      <w:snapToGrid w:val="0"/>
      <w:sz w:val="16"/>
      <w:szCs w:val="16"/>
    </w:rPr>
  </w:style>
  <w:style w:type="paragraph" w:customStyle="1" w:styleId="DecisionInvitingPara">
    <w:name w:val="Decision Inviting Para."/>
    <w:basedOn w:val="Normal"/>
    <w:rsid w:val="000E71FA"/>
    <w:pPr>
      <w:ind w:left="4536"/>
    </w:pPr>
    <w:rPr>
      <w:i/>
      <w:lang w:val="es-ES_tradnl"/>
    </w:rPr>
  </w:style>
  <w:style w:type="paragraph" w:customStyle="1" w:styleId="Enttepair">
    <w:name w:val="Entête_pair"/>
    <w:basedOn w:val="Normal"/>
    <w:next w:val="Normal"/>
    <w:rsid w:val="000E71FA"/>
    <w:pPr>
      <w:pBdr>
        <w:bottom w:val="single" w:sz="4" w:space="1" w:color="auto"/>
      </w:pBdr>
      <w:jc w:val="left"/>
    </w:pPr>
    <w:rPr>
      <w:szCs w:val="24"/>
    </w:rPr>
  </w:style>
  <w:style w:type="paragraph" w:customStyle="1" w:styleId="Entteimpair">
    <w:name w:val="Entête_impair"/>
    <w:basedOn w:val="Normal"/>
    <w:next w:val="Normal"/>
    <w:rsid w:val="000E71FA"/>
    <w:pPr>
      <w:pBdr>
        <w:bottom w:val="single" w:sz="4" w:space="1" w:color="auto"/>
      </w:pBdr>
      <w:jc w:val="right"/>
    </w:pPr>
  </w:style>
  <w:style w:type="paragraph" w:styleId="E-mailSignature">
    <w:name w:val="E-mail Signature"/>
    <w:basedOn w:val="Normal"/>
    <w:link w:val="E-mailSignatureChar"/>
    <w:rsid w:val="000E71FA"/>
  </w:style>
  <w:style w:type="character" w:customStyle="1" w:styleId="E-mailSignatureChar">
    <w:name w:val="E-mail Signature Char"/>
    <w:basedOn w:val="DefaultParagraphFont"/>
    <w:link w:val="E-mailSignature"/>
    <w:rsid w:val="000E71FA"/>
    <w:rPr>
      <w:rFonts w:ascii="Arial" w:hAnsi="Arial"/>
    </w:rPr>
  </w:style>
  <w:style w:type="paragraph" w:styleId="EnvelopeAddress">
    <w:name w:val="envelope address"/>
    <w:basedOn w:val="Normal"/>
    <w:rsid w:val="000E71FA"/>
    <w:pPr>
      <w:framePr w:w="7920" w:h="1980" w:hRule="exact" w:hSpace="180" w:wrap="auto" w:hAnchor="page" w:xAlign="center" w:yAlign="bottom"/>
      <w:ind w:left="2880"/>
    </w:pPr>
    <w:rPr>
      <w:rFonts w:cs="Arial"/>
      <w:szCs w:val="24"/>
    </w:rPr>
  </w:style>
  <w:style w:type="paragraph" w:styleId="EnvelopeReturn">
    <w:name w:val="envelope return"/>
    <w:basedOn w:val="Normal"/>
    <w:rsid w:val="000E71FA"/>
    <w:rPr>
      <w:rFonts w:cs="Arial"/>
    </w:rPr>
  </w:style>
  <w:style w:type="character" w:styleId="HTMLAcronym">
    <w:name w:val="HTML Acronym"/>
    <w:basedOn w:val="DefaultParagraphFont"/>
    <w:rsid w:val="000E71FA"/>
  </w:style>
  <w:style w:type="paragraph" w:styleId="HTMLAddress">
    <w:name w:val="HTML Address"/>
    <w:basedOn w:val="Normal"/>
    <w:link w:val="HTMLAddressChar"/>
    <w:rsid w:val="000E71FA"/>
    <w:rPr>
      <w:i/>
      <w:iCs/>
    </w:rPr>
  </w:style>
  <w:style w:type="character" w:customStyle="1" w:styleId="HTMLAddressChar">
    <w:name w:val="HTML Address Char"/>
    <w:basedOn w:val="DefaultParagraphFont"/>
    <w:link w:val="HTMLAddress"/>
    <w:rsid w:val="000E71FA"/>
    <w:rPr>
      <w:rFonts w:ascii="Arial" w:hAnsi="Arial"/>
      <w:i/>
      <w:iCs/>
    </w:rPr>
  </w:style>
  <w:style w:type="character" w:styleId="HTMLCite">
    <w:name w:val="HTML Cite"/>
    <w:basedOn w:val="DefaultParagraphFont"/>
    <w:rsid w:val="000E71FA"/>
    <w:rPr>
      <w:i/>
      <w:iCs/>
    </w:rPr>
  </w:style>
  <w:style w:type="character" w:styleId="HTMLCode">
    <w:name w:val="HTML Code"/>
    <w:basedOn w:val="DefaultParagraphFont"/>
    <w:rsid w:val="000E71FA"/>
    <w:rPr>
      <w:rFonts w:ascii="Courier New" w:hAnsi="Courier New" w:cs="Courier New"/>
      <w:sz w:val="20"/>
      <w:szCs w:val="20"/>
    </w:rPr>
  </w:style>
  <w:style w:type="character" w:styleId="HTMLDefinition">
    <w:name w:val="HTML Definition"/>
    <w:basedOn w:val="DefaultParagraphFont"/>
    <w:rsid w:val="000E71FA"/>
    <w:rPr>
      <w:i/>
      <w:iCs/>
    </w:rPr>
  </w:style>
  <w:style w:type="character" w:styleId="HTMLKeyboard">
    <w:name w:val="HTML Keyboard"/>
    <w:basedOn w:val="DefaultParagraphFont"/>
    <w:rsid w:val="000E71FA"/>
    <w:rPr>
      <w:rFonts w:ascii="Courier New" w:hAnsi="Courier New" w:cs="Courier New"/>
      <w:sz w:val="20"/>
      <w:szCs w:val="20"/>
    </w:rPr>
  </w:style>
  <w:style w:type="paragraph" w:styleId="HTMLPreformatted">
    <w:name w:val="HTML Preformatted"/>
    <w:basedOn w:val="Normal"/>
    <w:link w:val="HTMLPreformattedChar"/>
    <w:rsid w:val="000E71FA"/>
    <w:rPr>
      <w:rFonts w:ascii="Courier New" w:hAnsi="Courier New" w:cs="Courier New"/>
    </w:rPr>
  </w:style>
  <w:style w:type="character" w:customStyle="1" w:styleId="HTMLPreformattedChar">
    <w:name w:val="HTML Preformatted Char"/>
    <w:basedOn w:val="DefaultParagraphFont"/>
    <w:link w:val="HTMLPreformatted"/>
    <w:rsid w:val="000E71FA"/>
    <w:rPr>
      <w:rFonts w:ascii="Courier New" w:hAnsi="Courier New" w:cs="Courier New"/>
    </w:rPr>
  </w:style>
  <w:style w:type="character" w:styleId="HTMLSample">
    <w:name w:val="HTML Sample"/>
    <w:basedOn w:val="DefaultParagraphFont"/>
    <w:rsid w:val="000E71FA"/>
    <w:rPr>
      <w:rFonts w:ascii="Courier New" w:hAnsi="Courier New" w:cs="Courier New"/>
    </w:rPr>
  </w:style>
  <w:style w:type="character" w:styleId="HTMLTypewriter">
    <w:name w:val="HTML Typewriter"/>
    <w:basedOn w:val="DefaultParagraphFont"/>
    <w:rsid w:val="000E71FA"/>
    <w:rPr>
      <w:rFonts w:ascii="Courier New" w:hAnsi="Courier New" w:cs="Courier New"/>
      <w:sz w:val="20"/>
      <w:szCs w:val="20"/>
    </w:rPr>
  </w:style>
  <w:style w:type="character" w:styleId="HTMLVariable">
    <w:name w:val="HTML Variable"/>
    <w:basedOn w:val="DefaultParagraphFont"/>
    <w:rsid w:val="000E71FA"/>
    <w:rPr>
      <w:i/>
      <w:iCs/>
    </w:rPr>
  </w:style>
  <w:style w:type="character" w:styleId="LineNumber">
    <w:name w:val="line number"/>
    <w:basedOn w:val="DefaultParagraphFont"/>
    <w:rsid w:val="000E71FA"/>
  </w:style>
  <w:style w:type="paragraph" w:styleId="List">
    <w:name w:val="List"/>
    <w:basedOn w:val="Normal"/>
    <w:rsid w:val="000E71FA"/>
    <w:pPr>
      <w:ind w:left="360" w:hanging="360"/>
    </w:pPr>
  </w:style>
  <w:style w:type="paragraph" w:styleId="List2">
    <w:name w:val="List 2"/>
    <w:basedOn w:val="Normal"/>
    <w:rsid w:val="000E71FA"/>
    <w:pPr>
      <w:ind w:left="720" w:hanging="360"/>
    </w:pPr>
  </w:style>
  <w:style w:type="paragraph" w:styleId="List3">
    <w:name w:val="List 3"/>
    <w:basedOn w:val="Normal"/>
    <w:rsid w:val="000E71FA"/>
    <w:pPr>
      <w:ind w:left="1080" w:hanging="360"/>
    </w:pPr>
  </w:style>
  <w:style w:type="paragraph" w:styleId="List4">
    <w:name w:val="List 4"/>
    <w:basedOn w:val="Normal"/>
    <w:rsid w:val="000E71FA"/>
    <w:pPr>
      <w:ind w:left="1440" w:hanging="360"/>
    </w:pPr>
  </w:style>
  <w:style w:type="paragraph" w:styleId="List5">
    <w:name w:val="List 5"/>
    <w:basedOn w:val="Normal"/>
    <w:rsid w:val="000E71FA"/>
    <w:pPr>
      <w:ind w:left="1800" w:hanging="360"/>
    </w:pPr>
  </w:style>
  <w:style w:type="paragraph" w:styleId="ListBullet">
    <w:name w:val="List Bullet"/>
    <w:basedOn w:val="Normal"/>
    <w:autoRedefine/>
    <w:rsid w:val="000E71FA"/>
    <w:pPr>
      <w:tabs>
        <w:tab w:val="num" w:pos="360"/>
      </w:tabs>
      <w:ind w:left="360" w:hanging="360"/>
    </w:pPr>
    <w:rPr>
      <w:bCs/>
      <w:szCs w:val="24"/>
      <w:lang w:val="es-ES" w:eastAsia="zh-CN"/>
    </w:rPr>
  </w:style>
  <w:style w:type="paragraph" w:styleId="ListBullet2">
    <w:name w:val="List Bullet 2"/>
    <w:basedOn w:val="Normal"/>
    <w:rsid w:val="000E71FA"/>
    <w:pPr>
      <w:tabs>
        <w:tab w:val="num" w:pos="720"/>
      </w:tabs>
      <w:ind w:left="720" w:hanging="360"/>
    </w:pPr>
  </w:style>
  <w:style w:type="paragraph" w:styleId="ListBullet3">
    <w:name w:val="List Bullet 3"/>
    <w:basedOn w:val="Normal"/>
    <w:rsid w:val="000E71FA"/>
    <w:pPr>
      <w:tabs>
        <w:tab w:val="num" w:pos="1080"/>
      </w:tabs>
      <w:ind w:left="1080" w:hanging="360"/>
    </w:pPr>
  </w:style>
  <w:style w:type="paragraph" w:styleId="ListBullet4">
    <w:name w:val="List Bullet 4"/>
    <w:basedOn w:val="Normal"/>
    <w:rsid w:val="000E71FA"/>
    <w:pPr>
      <w:tabs>
        <w:tab w:val="num" w:pos="1440"/>
      </w:tabs>
      <w:ind w:left="1440" w:hanging="360"/>
    </w:pPr>
  </w:style>
  <w:style w:type="paragraph" w:styleId="ListBullet5">
    <w:name w:val="List Bullet 5"/>
    <w:basedOn w:val="Normal"/>
    <w:rsid w:val="000E71FA"/>
    <w:pPr>
      <w:tabs>
        <w:tab w:val="num" w:pos="1800"/>
      </w:tabs>
      <w:ind w:left="1800" w:hanging="360"/>
    </w:pPr>
  </w:style>
  <w:style w:type="paragraph" w:styleId="ListContinue">
    <w:name w:val="List Continue"/>
    <w:basedOn w:val="Normal"/>
    <w:rsid w:val="000E71FA"/>
    <w:pPr>
      <w:spacing w:after="120"/>
      <w:ind w:left="360"/>
    </w:pPr>
  </w:style>
  <w:style w:type="paragraph" w:styleId="ListContinue2">
    <w:name w:val="List Continue 2"/>
    <w:basedOn w:val="Normal"/>
    <w:rsid w:val="000E71FA"/>
    <w:pPr>
      <w:spacing w:after="120"/>
      <w:ind w:left="720"/>
    </w:pPr>
  </w:style>
  <w:style w:type="paragraph" w:styleId="ListContinue3">
    <w:name w:val="List Continue 3"/>
    <w:basedOn w:val="Normal"/>
    <w:rsid w:val="000E71FA"/>
    <w:pPr>
      <w:spacing w:after="120"/>
      <w:ind w:left="1080"/>
    </w:pPr>
  </w:style>
  <w:style w:type="paragraph" w:styleId="ListContinue4">
    <w:name w:val="List Continue 4"/>
    <w:basedOn w:val="Normal"/>
    <w:rsid w:val="000E71FA"/>
    <w:pPr>
      <w:spacing w:after="120"/>
      <w:ind w:left="1440"/>
    </w:pPr>
  </w:style>
  <w:style w:type="paragraph" w:styleId="ListContinue5">
    <w:name w:val="List Continue 5"/>
    <w:basedOn w:val="Normal"/>
    <w:rsid w:val="000E71FA"/>
    <w:pPr>
      <w:spacing w:after="120"/>
      <w:ind w:left="1800"/>
    </w:pPr>
  </w:style>
  <w:style w:type="paragraph" w:styleId="ListNumber">
    <w:name w:val="List Number"/>
    <w:basedOn w:val="Normal"/>
    <w:rsid w:val="000E71FA"/>
    <w:pPr>
      <w:tabs>
        <w:tab w:val="num" w:pos="360"/>
      </w:tabs>
      <w:ind w:left="360" w:hanging="360"/>
    </w:pPr>
  </w:style>
  <w:style w:type="paragraph" w:styleId="ListNumber2">
    <w:name w:val="List Number 2"/>
    <w:basedOn w:val="Normal"/>
    <w:rsid w:val="000E71FA"/>
    <w:pPr>
      <w:tabs>
        <w:tab w:val="num" w:pos="720"/>
      </w:tabs>
      <w:ind w:left="720" w:hanging="360"/>
    </w:pPr>
  </w:style>
  <w:style w:type="paragraph" w:styleId="ListNumber3">
    <w:name w:val="List Number 3"/>
    <w:basedOn w:val="Normal"/>
    <w:rsid w:val="000E71FA"/>
    <w:pPr>
      <w:tabs>
        <w:tab w:val="num" w:pos="1080"/>
      </w:tabs>
      <w:ind w:left="1080" w:hanging="360"/>
    </w:pPr>
  </w:style>
  <w:style w:type="paragraph" w:styleId="ListNumber4">
    <w:name w:val="List Number 4"/>
    <w:basedOn w:val="Normal"/>
    <w:rsid w:val="000E71FA"/>
    <w:pPr>
      <w:tabs>
        <w:tab w:val="num" w:pos="1440"/>
      </w:tabs>
      <w:ind w:left="1440" w:hanging="360"/>
    </w:pPr>
  </w:style>
  <w:style w:type="paragraph" w:styleId="ListNumber5">
    <w:name w:val="List Number 5"/>
    <w:basedOn w:val="Normal"/>
    <w:rsid w:val="000E71FA"/>
    <w:pPr>
      <w:tabs>
        <w:tab w:val="num" w:pos="1800"/>
      </w:tabs>
      <w:ind w:left="1800" w:hanging="360"/>
    </w:pPr>
  </w:style>
  <w:style w:type="paragraph" w:styleId="MessageHeader">
    <w:name w:val="Message Header"/>
    <w:basedOn w:val="Normal"/>
    <w:link w:val="MessageHeaderChar"/>
    <w:rsid w:val="000E71FA"/>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rsid w:val="000E71FA"/>
    <w:rPr>
      <w:rFonts w:ascii="Arial" w:hAnsi="Arial" w:cs="Arial"/>
      <w:szCs w:val="24"/>
      <w:shd w:val="pct20" w:color="auto" w:fill="auto"/>
    </w:rPr>
  </w:style>
  <w:style w:type="paragraph" w:styleId="NoteHeading">
    <w:name w:val="Note Heading"/>
    <w:basedOn w:val="Normal"/>
    <w:next w:val="Normal"/>
    <w:link w:val="NoteHeadingChar"/>
    <w:rsid w:val="000E71FA"/>
  </w:style>
  <w:style w:type="character" w:customStyle="1" w:styleId="NoteHeadingChar">
    <w:name w:val="Note Heading Char"/>
    <w:basedOn w:val="DefaultParagraphFont"/>
    <w:link w:val="NoteHeading"/>
    <w:rsid w:val="000E71FA"/>
    <w:rPr>
      <w:rFonts w:ascii="Arial" w:hAnsi="Arial"/>
    </w:rPr>
  </w:style>
  <w:style w:type="paragraph" w:styleId="Salutation">
    <w:name w:val="Salutation"/>
    <w:basedOn w:val="Normal"/>
    <w:next w:val="Normal"/>
    <w:link w:val="SalutationChar"/>
    <w:rsid w:val="000E71FA"/>
  </w:style>
  <w:style w:type="character" w:customStyle="1" w:styleId="SalutationChar">
    <w:name w:val="Salutation Char"/>
    <w:basedOn w:val="DefaultParagraphFont"/>
    <w:link w:val="Salutation"/>
    <w:rsid w:val="000E71FA"/>
    <w:rPr>
      <w:rFonts w:ascii="Arial" w:hAnsi="Arial"/>
    </w:rPr>
  </w:style>
  <w:style w:type="character" w:styleId="Strong">
    <w:name w:val="Strong"/>
    <w:basedOn w:val="DefaultParagraphFont"/>
    <w:qFormat/>
    <w:rsid w:val="000E71FA"/>
    <w:rPr>
      <w:b/>
      <w:bCs/>
    </w:rPr>
  </w:style>
  <w:style w:type="paragraph" w:styleId="Subtitle">
    <w:name w:val="Subtitle"/>
    <w:basedOn w:val="Normal"/>
    <w:link w:val="SubtitleChar"/>
    <w:qFormat/>
    <w:rsid w:val="000E71FA"/>
    <w:pPr>
      <w:spacing w:after="60"/>
      <w:jc w:val="center"/>
      <w:outlineLvl w:val="1"/>
    </w:pPr>
    <w:rPr>
      <w:rFonts w:cs="Arial"/>
      <w:szCs w:val="24"/>
    </w:rPr>
  </w:style>
  <w:style w:type="character" w:customStyle="1" w:styleId="SubtitleChar">
    <w:name w:val="Subtitle Char"/>
    <w:basedOn w:val="DefaultParagraphFont"/>
    <w:link w:val="Subtitle"/>
    <w:rsid w:val="000E71FA"/>
    <w:rPr>
      <w:rFonts w:ascii="Arial" w:hAnsi="Arial" w:cs="Arial"/>
      <w:szCs w:val="24"/>
    </w:rPr>
  </w:style>
  <w:style w:type="table" w:styleId="Table3Deffects1">
    <w:name w:val="Table 3D effects 1"/>
    <w:basedOn w:val="TableNormal"/>
    <w:rsid w:val="000E71FA"/>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E71FA"/>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E71FA"/>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E71FA"/>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E71FA"/>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E71FA"/>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E71FA"/>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E71FA"/>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E71FA"/>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E71FA"/>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E71FA"/>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E71FA"/>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E71FA"/>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E71FA"/>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E71FA"/>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E71FA"/>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E71FA"/>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0E71FA"/>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E71FA"/>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E71FA"/>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E71FA"/>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E71FA"/>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E71FA"/>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E71FA"/>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E71FA"/>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E71FA"/>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E71FA"/>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E71FA"/>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E71FA"/>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E71FA"/>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E71FA"/>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E71FA"/>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E71FA"/>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0E71FA"/>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E71FA"/>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E71FA"/>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E71FA"/>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E71FA"/>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E71FA"/>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E71F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E71FA"/>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E71FA"/>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E71FA"/>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E71FA"/>
    <w:pPr>
      <w:ind w:left="1440"/>
    </w:pPr>
  </w:style>
  <w:style w:type="paragraph" w:styleId="TOC8">
    <w:name w:val="toc 8"/>
    <w:basedOn w:val="Normal"/>
    <w:next w:val="Normal"/>
    <w:autoRedefine/>
    <w:rsid w:val="000E71FA"/>
    <w:pPr>
      <w:ind w:left="1680"/>
    </w:pPr>
  </w:style>
  <w:style w:type="paragraph" w:styleId="TOC9">
    <w:name w:val="toc 9"/>
    <w:basedOn w:val="Normal"/>
    <w:next w:val="Normal"/>
    <w:autoRedefine/>
    <w:rsid w:val="000E71FA"/>
    <w:pPr>
      <w:ind w:left="1920"/>
    </w:pPr>
  </w:style>
  <w:style w:type="character" w:styleId="FollowedHyperlink">
    <w:name w:val="FollowedHyperlink"/>
    <w:basedOn w:val="DefaultParagraphFont"/>
    <w:rsid w:val="000E71FA"/>
    <w:rPr>
      <w:color w:val="606420"/>
      <w:u w:val="single"/>
    </w:rPr>
  </w:style>
  <w:style w:type="paragraph" w:styleId="BlockText">
    <w:name w:val="Block Text"/>
    <w:basedOn w:val="Normal"/>
    <w:rsid w:val="000E71FA"/>
    <w:pPr>
      <w:ind w:left="567" w:right="566"/>
    </w:pPr>
    <w:rPr>
      <w:sz w:val="22"/>
    </w:rPr>
  </w:style>
  <w:style w:type="paragraph" w:styleId="Caption">
    <w:name w:val="caption"/>
    <w:basedOn w:val="Normal"/>
    <w:next w:val="Normal"/>
    <w:qFormat/>
    <w:rsid w:val="000E71FA"/>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0E71FA"/>
    <w:rPr>
      <w:sz w:val="22"/>
      <w:lang w:val="es-ES_tradnl"/>
    </w:rPr>
  </w:style>
  <w:style w:type="character" w:customStyle="1" w:styleId="CommentTextChar">
    <w:name w:val="Comment Text Char"/>
    <w:basedOn w:val="DefaultParagraphFont"/>
    <w:link w:val="CommentText"/>
    <w:rsid w:val="000E71FA"/>
    <w:rPr>
      <w:rFonts w:ascii="Arial" w:hAnsi="Arial"/>
      <w:sz w:val="22"/>
      <w:lang w:val="es-ES_tradnl"/>
    </w:rPr>
  </w:style>
  <w:style w:type="paragraph" w:customStyle="1" w:styleId="Committee">
    <w:name w:val="Committee"/>
    <w:basedOn w:val="Title"/>
    <w:rsid w:val="000E71FA"/>
    <w:rPr>
      <w:caps w:val="0"/>
    </w:rPr>
  </w:style>
  <w:style w:type="paragraph" w:customStyle="1" w:styleId="n">
    <w:name w:val="n"/>
    <w:basedOn w:val="Header"/>
    <w:rsid w:val="000E71FA"/>
    <w:pPr>
      <w:tabs>
        <w:tab w:val="clear" w:pos="4536"/>
        <w:tab w:val="clear" w:pos="9072"/>
      </w:tabs>
    </w:pPr>
  </w:style>
  <w:style w:type="paragraph" w:customStyle="1" w:styleId="TitleofSection">
    <w:name w:val="Title of Section"/>
    <w:basedOn w:val="TitleofDoc"/>
    <w:rsid w:val="000E71FA"/>
    <w:pPr>
      <w:spacing w:before="120" w:after="120"/>
    </w:pPr>
    <w:rPr>
      <w:b/>
      <w:caps w:val="0"/>
      <w:lang w:eastAsia="de-DE"/>
    </w:rPr>
  </w:style>
  <w:style w:type="paragraph" w:customStyle="1" w:styleId="TOCAnnex">
    <w:name w:val="TOC Annex"/>
    <w:basedOn w:val="Normal"/>
    <w:rsid w:val="000E71FA"/>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0E71FA"/>
    <w:pPr>
      <w:jc w:val="center"/>
    </w:pPr>
    <w:rPr>
      <w:b/>
      <w:caps/>
      <w:szCs w:val="24"/>
    </w:rPr>
  </w:style>
  <w:style w:type="paragraph" w:customStyle="1" w:styleId="Notetoarticle">
    <w:name w:val="Note to article"/>
    <w:basedOn w:val="Normal"/>
    <w:semiHidden/>
    <w:rsid w:val="000E71FA"/>
  </w:style>
  <w:style w:type="paragraph" w:styleId="PlainText">
    <w:name w:val="Plain Text"/>
    <w:basedOn w:val="Normal"/>
    <w:link w:val="PlainTextChar"/>
    <w:rsid w:val="000E71FA"/>
    <w:rPr>
      <w:rFonts w:ascii="Courier New" w:hAnsi="Courier New" w:cs="Courier New"/>
      <w:lang w:eastAsia="fr-FR"/>
    </w:rPr>
  </w:style>
  <w:style w:type="character" w:customStyle="1" w:styleId="PlainTextChar">
    <w:name w:val="Plain Text Char"/>
    <w:basedOn w:val="DefaultParagraphFont"/>
    <w:link w:val="PlainText"/>
    <w:rsid w:val="000E71FA"/>
    <w:rPr>
      <w:rFonts w:ascii="Courier New" w:hAnsi="Courier New" w:cs="Courier New"/>
      <w:lang w:eastAsia="fr-FR"/>
    </w:rPr>
  </w:style>
  <w:style w:type="character" w:customStyle="1" w:styleId="FooterChar">
    <w:name w:val="Footer Char"/>
    <w:aliases w:val="doc_path_name Char"/>
    <w:link w:val="Footer"/>
    <w:rsid w:val="000E71FA"/>
    <w:rPr>
      <w:rFonts w:ascii="Arial" w:hAnsi="Arial"/>
      <w:sz w:val="14"/>
    </w:rPr>
  </w:style>
  <w:style w:type="character" w:styleId="CommentReference">
    <w:name w:val="annotation reference"/>
    <w:basedOn w:val="DefaultParagraphFont"/>
    <w:rsid w:val="000E71FA"/>
    <w:rPr>
      <w:rFonts w:cs="Times New Roman"/>
      <w:sz w:val="16"/>
      <w:szCs w:val="16"/>
    </w:rPr>
  </w:style>
  <w:style w:type="paragraph" w:styleId="Revision">
    <w:name w:val="Revision"/>
    <w:hidden/>
    <w:uiPriority w:val="99"/>
    <w:semiHidden/>
    <w:rsid w:val="000E71FA"/>
    <w:rPr>
      <w:rFonts w:ascii="Arial" w:hAnsi="Arial"/>
    </w:rPr>
  </w:style>
  <w:style w:type="paragraph" w:styleId="CommentSubject">
    <w:name w:val="annotation subject"/>
    <w:basedOn w:val="CommentText"/>
    <w:next w:val="CommentText"/>
    <w:link w:val="CommentSubjectChar"/>
    <w:rsid w:val="000E71FA"/>
    <w:rPr>
      <w:b/>
      <w:bCs/>
      <w:sz w:val="20"/>
      <w:lang w:val="en-US"/>
    </w:rPr>
  </w:style>
  <w:style w:type="character" w:customStyle="1" w:styleId="CommentSubjectChar">
    <w:name w:val="Comment Subject Char"/>
    <w:basedOn w:val="CommentTextChar"/>
    <w:link w:val="CommentSubject"/>
    <w:rsid w:val="000E71FA"/>
    <w:rPr>
      <w:rFonts w:ascii="Arial" w:hAnsi="Arial"/>
      <w:b/>
      <w:bCs/>
      <w:sz w:val="22"/>
      <w:lang w:val="es-ES_tradnl"/>
    </w:rPr>
  </w:style>
  <w:style w:type="paragraph" w:customStyle="1" w:styleId="Normaltg">
    <w:name w:val="Normaltg"/>
    <w:basedOn w:val="Normal"/>
    <w:link w:val="NormaltgChar"/>
    <w:rsid w:val="000E71FA"/>
    <w:rPr>
      <w:rFonts w:cs="Angsana New"/>
      <w:szCs w:val="24"/>
      <w:lang w:eastAsia="ja-JP" w:bidi="th-TH"/>
    </w:rPr>
  </w:style>
  <w:style w:type="character" w:customStyle="1" w:styleId="NormaltgChar">
    <w:name w:val="Normaltg Char"/>
    <w:link w:val="Normaltg"/>
    <w:rsid w:val="000E71FA"/>
    <w:rPr>
      <w:rFonts w:ascii="Arial" w:hAnsi="Arial" w:cs="Angsana New"/>
      <w:szCs w:val="24"/>
      <w:lang w:eastAsia="ja-JP" w:bidi="th-TH"/>
    </w:rPr>
  </w:style>
  <w:style w:type="character" w:customStyle="1" w:styleId="hps">
    <w:name w:val="hps"/>
    <w:basedOn w:val="DefaultParagraphFont"/>
    <w:rsid w:val="000E71FA"/>
  </w:style>
  <w:style w:type="character" w:customStyle="1" w:styleId="Standaardalinea-lettertype">
    <w:name w:val="Standaardalinea-lettertype"/>
    <w:rsid w:val="000E71FA"/>
  </w:style>
  <w:style w:type="character" w:customStyle="1" w:styleId="BodyTextChar">
    <w:name w:val="Body Text Char"/>
    <w:basedOn w:val="DefaultParagraphFont"/>
    <w:link w:val="BodyText"/>
    <w:rsid w:val="000E71FA"/>
    <w:rPr>
      <w:rFonts w:ascii="Arial" w:hAnsi="Arial"/>
    </w:rPr>
  </w:style>
  <w:style w:type="character" w:customStyle="1" w:styleId="Heading9Char">
    <w:name w:val="Heading 9 Char"/>
    <w:basedOn w:val="DefaultParagraphFont"/>
    <w:link w:val="Heading9"/>
    <w:uiPriority w:val="99"/>
    <w:locked/>
    <w:rsid w:val="00EF6860"/>
    <w:rPr>
      <w:rFonts w:ascii="Arial" w:hAnsi="Arial"/>
      <w:i/>
      <w:sz w:val="18"/>
    </w:rPr>
  </w:style>
  <w:style w:type="character" w:customStyle="1" w:styleId="TitleChar">
    <w:name w:val="Title Char"/>
    <w:basedOn w:val="DefaultParagraphFont"/>
    <w:link w:val="Title"/>
    <w:uiPriority w:val="99"/>
    <w:locked/>
    <w:rsid w:val="00EF6860"/>
    <w:rPr>
      <w:rFonts w:ascii="Arial" w:hAnsi="Arial"/>
      <w:b/>
      <w:caps/>
      <w:kern w:val="28"/>
      <w:sz w:val="30"/>
    </w:rPr>
  </w:style>
  <w:style w:type="character" w:customStyle="1" w:styleId="ClosingChar">
    <w:name w:val="Closing Char"/>
    <w:basedOn w:val="DefaultParagraphFont"/>
    <w:link w:val="Closing"/>
    <w:uiPriority w:val="99"/>
    <w:locked/>
    <w:rsid w:val="00EF6860"/>
    <w:rPr>
      <w:rFonts w:ascii="Arial" w:hAnsi="Arial"/>
    </w:rPr>
  </w:style>
  <w:style w:type="character" w:customStyle="1" w:styleId="MacroTextChar">
    <w:name w:val="Macro Text Char"/>
    <w:basedOn w:val="DefaultParagraphFont"/>
    <w:link w:val="MacroText"/>
    <w:uiPriority w:val="99"/>
    <w:semiHidden/>
    <w:locked/>
    <w:rsid w:val="00EF6860"/>
    <w:rPr>
      <w:rFonts w:ascii="Courier New" w:hAnsi="Courier New"/>
      <w:sz w:val="16"/>
    </w:rPr>
  </w:style>
  <w:style w:type="character" w:customStyle="1" w:styleId="SignatureChar">
    <w:name w:val="Signature Char"/>
    <w:basedOn w:val="DefaultParagraphFont"/>
    <w:link w:val="Signature"/>
    <w:uiPriority w:val="99"/>
    <w:locked/>
    <w:rsid w:val="00EF6860"/>
    <w:rPr>
      <w:rFonts w:ascii="Arial" w:hAnsi="Arial"/>
    </w:rPr>
  </w:style>
  <w:style w:type="character" w:customStyle="1" w:styleId="EndnoteTextChar">
    <w:name w:val="Endnote Text Char"/>
    <w:basedOn w:val="DefaultParagraphFont"/>
    <w:link w:val="EndnoteText"/>
    <w:uiPriority w:val="99"/>
    <w:locked/>
    <w:rsid w:val="00EF6860"/>
    <w:rPr>
      <w:rFonts w:ascii="Arial" w:hAnsi="Arial"/>
    </w:rPr>
  </w:style>
  <w:style w:type="character" w:customStyle="1" w:styleId="DateChar">
    <w:name w:val="Date Char"/>
    <w:basedOn w:val="DefaultParagraphFont"/>
    <w:link w:val="Date"/>
    <w:uiPriority w:val="99"/>
    <w:locked/>
    <w:rsid w:val="00EF6860"/>
    <w:rPr>
      <w:rFonts w:ascii="Arial" w:hAnsi="Arial"/>
      <w:b/>
      <w:sz w:val="22"/>
    </w:rPr>
  </w:style>
  <w:style w:type="paragraph" w:customStyle="1" w:styleId="style1">
    <w:name w:val="style1"/>
    <w:basedOn w:val="Normal"/>
    <w:uiPriority w:val="99"/>
    <w:rsid w:val="00EF6860"/>
    <w:pPr>
      <w:jc w:val="left"/>
    </w:pPr>
    <w:rPr>
      <w:rFonts w:ascii="Times New Roman" w:hAnsi="Times New Roman"/>
      <w:sz w:val="24"/>
      <w:szCs w:val="24"/>
    </w:rPr>
  </w:style>
  <w:style w:type="paragraph" w:customStyle="1" w:styleId="normaltg0">
    <w:name w:val="normaltg"/>
    <w:basedOn w:val="Normal"/>
    <w:uiPriority w:val="99"/>
    <w:rsid w:val="00EF6860"/>
    <w:pPr>
      <w:spacing w:before="100" w:beforeAutospacing="1" w:after="100" w:afterAutospacing="1"/>
      <w:jc w:val="left"/>
    </w:pPr>
    <w:rPr>
      <w:rFonts w:ascii="Times New Roman" w:hAnsi="Times New Roman"/>
      <w:sz w:val="24"/>
      <w:szCs w:val="24"/>
      <w:lang w:val="fr-FR" w:eastAsia="fr-FR"/>
    </w:rPr>
  </w:style>
  <w:style w:type="paragraph" w:customStyle="1" w:styleId="StyleTOC1Before6ptAfter6pt">
    <w:name w:val="Style TOC 1 + Before:  6 pt After:  6 pt"/>
    <w:basedOn w:val="TOC1"/>
    <w:uiPriority w:val="99"/>
    <w:rsid w:val="00EF6860"/>
    <w:pPr>
      <w:spacing w:before="120" w:after="120"/>
    </w:pPr>
  </w:style>
  <w:style w:type="paragraph" w:customStyle="1" w:styleId="Normalt">
    <w:name w:val="Normalt"/>
    <w:basedOn w:val="Normal"/>
    <w:uiPriority w:val="99"/>
    <w:rsid w:val="00EF6860"/>
    <w:pPr>
      <w:spacing w:before="120" w:after="120"/>
      <w:jc w:val="left"/>
    </w:pPr>
    <w:rPr>
      <w:rFonts w:ascii="Times New Roman" w:hAnsi="Times New Roman"/>
      <w:noProof/>
      <w:lang w:eastAsia="es-ES"/>
    </w:rPr>
  </w:style>
  <w:style w:type="paragraph" w:customStyle="1" w:styleId="Normaltb">
    <w:name w:val="Normaltb"/>
    <w:basedOn w:val="Normalt"/>
    <w:uiPriority w:val="99"/>
    <w:rsid w:val="00EF6860"/>
    <w:pPr>
      <w:keepNext/>
    </w:pPr>
    <w:rPr>
      <w:b/>
    </w:rPr>
  </w:style>
  <w:style w:type="paragraph" w:customStyle="1" w:styleId="ecxmsonormal">
    <w:name w:val="ecxmsonormal"/>
    <w:basedOn w:val="Normal"/>
    <w:uiPriority w:val="99"/>
    <w:rsid w:val="00EF6860"/>
    <w:pPr>
      <w:spacing w:before="100" w:beforeAutospacing="1" w:after="100" w:afterAutospacing="1"/>
      <w:jc w:val="left"/>
    </w:pPr>
    <w:rPr>
      <w:rFonts w:ascii="Times New Roman" w:hAnsi="Times New Roman"/>
      <w:sz w:val="24"/>
      <w:szCs w:val="24"/>
      <w:lang w:val="es-ES" w:eastAsia="es-ES"/>
    </w:rPr>
  </w:style>
  <w:style w:type="table" w:customStyle="1" w:styleId="TableGrid10">
    <w:name w:val="Table Grid1"/>
    <w:basedOn w:val="TableNormal"/>
    <w:next w:val="TableGrid"/>
    <w:rsid w:val="00EF6860"/>
    <w:rPr>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uiPriority w:val="99"/>
    <w:rsid w:val="00EF6860"/>
    <w:rPr>
      <w:rFonts w:cs="Times New Roman"/>
    </w:rPr>
  </w:style>
  <w:style w:type="table" w:customStyle="1" w:styleId="TableGrid20">
    <w:name w:val="Table Grid2"/>
    <w:basedOn w:val="TableNormal"/>
    <w:next w:val="TableGrid"/>
    <w:rsid w:val="00EF6860"/>
    <w:rPr>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1D09"/>
    <w:pPr>
      <w:jc w:val="both"/>
    </w:pPr>
    <w:rPr>
      <w:rFonts w:ascii="Arial" w:hAnsi="Arial"/>
    </w:rPr>
  </w:style>
  <w:style w:type="paragraph" w:styleId="Heading1">
    <w:name w:val="heading 1"/>
    <w:aliases w:val="COMMON NAME,common"/>
    <w:next w:val="Normal"/>
    <w:link w:val="Heading1Char"/>
    <w:autoRedefine/>
    <w:qFormat/>
    <w:rsid w:val="00F73179"/>
    <w:pPr>
      <w:keepNext/>
      <w:jc w:val="both"/>
      <w:outlineLvl w:val="0"/>
    </w:pPr>
    <w:rPr>
      <w:rFonts w:ascii="Arial" w:hAnsi="Arial"/>
      <w:caps/>
    </w:rPr>
  </w:style>
  <w:style w:type="paragraph" w:styleId="Heading2">
    <w:name w:val="heading 2"/>
    <w:next w:val="Normal"/>
    <w:link w:val="Heading2Char"/>
    <w:autoRedefine/>
    <w:qFormat/>
    <w:rsid w:val="00F73179"/>
    <w:pPr>
      <w:keepNext/>
      <w:jc w:val="both"/>
      <w:outlineLvl w:val="1"/>
    </w:pPr>
    <w:rPr>
      <w:rFonts w:ascii="Arial" w:hAnsi="Arial"/>
      <w:u w:val="single"/>
    </w:rPr>
  </w:style>
  <w:style w:type="paragraph" w:styleId="Heading3">
    <w:name w:val="heading 3"/>
    <w:next w:val="Normal"/>
    <w:link w:val="Heading3Char"/>
    <w:autoRedefine/>
    <w:qFormat/>
    <w:rsid w:val="00F73179"/>
    <w:pPr>
      <w:keepNext/>
      <w:jc w:val="both"/>
      <w:outlineLvl w:val="2"/>
    </w:pPr>
    <w:rPr>
      <w:rFonts w:ascii="Arial" w:hAnsi="Arial"/>
      <w:i/>
    </w:rPr>
  </w:style>
  <w:style w:type="paragraph" w:styleId="Heading4">
    <w:name w:val="heading 4"/>
    <w:next w:val="Normal"/>
    <w:link w:val="Heading4Char"/>
    <w:autoRedefine/>
    <w:qFormat/>
    <w:rsid w:val="00F73179"/>
    <w:pPr>
      <w:keepNext/>
      <w:ind w:left="567"/>
      <w:jc w:val="both"/>
      <w:outlineLvl w:val="3"/>
    </w:pPr>
    <w:rPr>
      <w:rFonts w:ascii="Arial" w:hAnsi="Arial"/>
      <w:i/>
      <w:lang w:val="fr-FR"/>
    </w:rPr>
  </w:style>
  <w:style w:type="paragraph" w:styleId="Heading5">
    <w:name w:val="heading 5"/>
    <w:next w:val="Normal"/>
    <w:link w:val="Heading5Char"/>
    <w:autoRedefine/>
    <w:qFormat/>
    <w:rsid w:val="00F73179"/>
    <w:pPr>
      <w:keepNext/>
      <w:ind w:left="1134" w:hanging="567"/>
      <w:jc w:val="both"/>
      <w:outlineLvl w:val="4"/>
    </w:pPr>
    <w:rPr>
      <w:rFonts w:ascii="Arial" w:hAnsi="Arial"/>
      <w:sz w:val="18"/>
      <w:szCs w:val="18"/>
    </w:rPr>
  </w:style>
  <w:style w:type="paragraph" w:styleId="Heading6">
    <w:name w:val="heading 6"/>
    <w:basedOn w:val="Normal"/>
    <w:next w:val="Normal"/>
    <w:link w:val="Heading6Char"/>
    <w:qFormat/>
    <w:rsid w:val="000E71FA"/>
    <w:pPr>
      <w:outlineLvl w:val="5"/>
    </w:pPr>
    <w:rPr>
      <w:lang w:val="es-ES_tradnl"/>
    </w:rPr>
  </w:style>
  <w:style w:type="paragraph" w:styleId="Heading7">
    <w:name w:val="heading 7"/>
    <w:basedOn w:val="Normal"/>
    <w:next w:val="Normal"/>
    <w:link w:val="Heading7Char"/>
    <w:qFormat/>
    <w:rsid w:val="000E71FA"/>
    <w:pPr>
      <w:spacing w:before="240" w:after="60"/>
      <w:outlineLvl w:val="6"/>
    </w:pPr>
    <w:rPr>
      <w:szCs w:val="24"/>
    </w:rPr>
  </w:style>
  <w:style w:type="paragraph" w:styleId="Heading8">
    <w:name w:val="heading 8"/>
    <w:basedOn w:val="Normal"/>
    <w:next w:val="Normal"/>
    <w:link w:val="Heading8Char"/>
    <w:qFormat/>
    <w:rsid w:val="000E71FA"/>
    <w:pPr>
      <w:keepNext/>
      <w:jc w:val="center"/>
      <w:outlineLvl w:val="7"/>
    </w:pPr>
    <w:rPr>
      <w:u w:val="single"/>
    </w:rPr>
  </w:style>
  <w:style w:type="paragraph" w:styleId="Heading9">
    <w:name w:val="heading 9"/>
    <w:basedOn w:val="Normal"/>
    <w:next w:val="Normal"/>
    <w:link w:val="Heading9Char"/>
    <w:qFormat/>
    <w:rsid w:val="00F7317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2E3FB9"/>
    <w:pPr>
      <w:tabs>
        <w:tab w:val="center" w:pos="4536"/>
        <w:tab w:val="right" w:pos="9072"/>
      </w:tabs>
      <w:jc w:val="center"/>
    </w:pPr>
    <w:rPr>
      <w:rFonts w:ascii="Arial" w:hAnsi="Arial"/>
      <w:sz w:val="16"/>
      <w:szCs w:val="16"/>
      <w:lang w:val="es-ES"/>
    </w:rPr>
  </w:style>
  <w:style w:type="paragraph" w:styleId="Footer">
    <w:name w:val="footer"/>
    <w:aliases w:val="doc_path_name"/>
    <w:link w:val="FooterChar"/>
    <w:autoRedefine/>
    <w:rsid w:val="00F73179"/>
    <w:pPr>
      <w:jc w:val="both"/>
    </w:pPr>
    <w:rPr>
      <w:rFonts w:ascii="Arial" w:hAnsi="Arial"/>
      <w:sz w:val="14"/>
    </w:rPr>
  </w:style>
  <w:style w:type="character" w:styleId="PageNumber">
    <w:name w:val="page number"/>
    <w:basedOn w:val="DefaultParagraphFont"/>
    <w:rsid w:val="00F73179"/>
    <w:rPr>
      <w:rFonts w:ascii="Arial" w:hAnsi="Arial"/>
      <w:sz w:val="20"/>
    </w:rPr>
  </w:style>
  <w:style w:type="paragraph" w:styleId="Title">
    <w:name w:val="Title"/>
    <w:basedOn w:val="Normal"/>
    <w:link w:val="TitleChar"/>
    <w:qFormat/>
    <w:rsid w:val="00F73179"/>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Normal"/>
    <w:link w:val="DocoriginalChar"/>
    <w:rsid w:val="00F73179"/>
    <w:pPr>
      <w:spacing w:line="280" w:lineRule="exact"/>
      <w:ind w:left="1361"/>
    </w:pPr>
    <w:rPr>
      <w:b/>
      <w:bCs/>
      <w:spacing w:val="10"/>
    </w:rPr>
  </w:style>
  <w:style w:type="paragraph" w:customStyle="1" w:styleId="DecisionParagraphs">
    <w:name w:val="DecisionParagraphs"/>
    <w:basedOn w:val="Normal"/>
    <w:link w:val="DecisionParagraphsChar"/>
    <w:qFormat/>
    <w:rsid w:val="00F73179"/>
    <w:pPr>
      <w:tabs>
        <w:tab w:val="left" w:pos="5387"/>
      </w:tabs>
      <w:ind w:left="4820"/>
    </w:pPr>
    <w:rPr>
      <w:i/>
    </w:rPr>
  </w:style>
  <w:style w:type="paragraph" w:styleId="FootnoteText">
    <w:name w:val="footnote text"/>
    <w:link w:val="FootnoteTextChar"/>
    <w:autoRedefine/>
    <w:rsid w:val="00F73179"/>
    <w:pPr>
      <w:spacing w:before="60"/>
      <w:ind w:left="567" w:hanging="567"/>
      <w:jc w:val="both"/>
    </w:pPr>
    <w:rPr>
      <w:rFonts w:ascii="Arial" w:hAnsi="Arial"/>
      <w:sz w:val="16"/>
    </w:rPr>
  </w:style>
  <w:style w:type="character" w:styleId="FootnoteReference">
    <w:name w:val="footnote reference"/>
    <w:basedOn w:val="DefaultParagraphFont"/>
    <w:rsid w:val="00F73179"/>
    <w:rPr>
      <w:vertAlign w:val="superscript"/>
    </w:rPr>
  </w:style>
  <w:style w:type="paragraph" w:styleId="Closing">
    <w:name w:val="Closing"/>
    <w:basedOn w:val="Normal"/>
    <w:link w:val="ClosingChar"/>
    <w:rsid w:val="00F73179"/>
    <w:pPr>
      <w:ind w:left="4536"/>
      <w:jc w:val="center"/>
    </w:pPr>
  </w:style>
  <w:style w:type="paragraph" w:styleId="Index1">
    <w:name w:val="index 1"/>
    <w:basedOn w:val="Normal"/>
    <w:next w:val="Normal"/>
    <w:semiHidden/>
    <w:rsid w:val="00F73179"/>
    <w:pPr>
      <w:tabs>
        <w:tab w:val="right" w:leader="dot" w:pos="9071"/>
      </w:tabs>
      <w:ind w:left="284" w:hanging="284"/>
    </w:pPr>
    <w:rPr>
      <w:sz w:val="24"/>
    </w:rPr>
  </w:style>
  <w:style w:type="paragraph" w:styleId="Index2">
    <w:name w:val="index 2"/>
    <w:basedOn w:val="Normal"/>
    <w:next w:val="Normal"/>
    <w:semiHidden/>
    <w:rsid w:val="00F73179"/>
    <w:pPr>
      <w:tabs>
        <w:tab w:val="right" w:leader="dot" w:pos="9071"/>
      </w:tabs>
      <w:ind w:left="568" w:hanging="284"/>
    </w:pPr>
    <w:rPr>
      <w:sz w:val="24"/>
    </w:rPr>
  </w:style>
  <w:style w:type="paragraph" w:styleId="Index3">
    <w:name w:val="index 3"/>
    <w:basedOn w:val="Normal"/>
    <w:next w:val="Normal"/>
    <w:semiHidden/>
    <w:rsid w:val="00F73179"/>
    <w:pPr>
      <w:tabs>
        <w:tab w:val="right" w:leader="dot" w:pos="9071"/>
      </w:tabs>
      <w:ind w:left="851" w:hanging="284"/>
    </w:pPr>
    <w:rPr>
      <w:sz w:val="24"/>
    </w:rPr>
  </w:style>
  <w:style w:type="paragraph" w:styleId="MacroText">
    <w:name w:val="macro"/>
    <w:link w:val="MacroTextChar"/>
    <w:semiHidden/>
    <w:rsid w:val="00F7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F73179"/>
    <w:pPr>
      <w:ind w:left="4536"/>
      <w:jc w:val="center"/>
    </w:pPr>
  </w:style>
  <w:style w:type="character" w:customStyle="1" w:styleId="Doclang">
    <w:name w:val="Doc_lang"/>
    <w:basedOn w:val="DefaultParagraphFont"/>
    <w:rsid w:val="00F73179"/>
    <w:rPr>
      <w:rFonts w:ascii="Arial" w:hAnsi="Arial"/>
      <w:sz w:val="20"/>
      <w:lang w:val="en-US"/>
    </w:rPr>
  </w:style>
  <w:style w:type="paragraph" w:customStyle="1" w:styleId="Session">
    <w:name w:val="Session"/>
    <w:basedOn w:val="Normal"/>
    <w:rsid w:val="00F73179"/>
    <w:pPr>
      <w:spacing w:before="60"/>
      <w:jc w:val="center"/>
    </w:pPr>
    <w:rPr>
      <w:b/>
    </w:rPr>
  </w:style>
  <w:style w:type="paragraph" w:customStyle="1" w:styleId="Organizer">
    <w:name w:val="Organizer"/>
    <w:basedOn w:val="Normal"/>
    <w:rsid w:val="00F73179"/>
    <w:pPr>
      <w:spacing w:after="600"/>
      <w:ind w:left="-993" w:right="-994"/>
      <w:jc w:val="center"/>
    </w:pPr>
    <w:rPr>
      <w:b/>
      <w:caps/>
      <w:kern w:val="26"/>
      <w:sz w:val="26"/>
    </w:rPr>
  </w:style>
  <w:style w:type="paragraph" w:styleId="BodyText">
    <w:name w:val="Body Text"/>
    <w:basedOn w:val="Normal"/>
    <w:link w:val="BodyTextChar"/>
    <w:rsid w:val="00F73179"/>
  </w:style>
  <w:style w:type="paragraph" w:customStyle="1" w:styleId="StyleDocoriginalNotBold">
    <w:name w:val="Style Doc_original + Not Bold"/>
    <w:basedOn w:val="Docoriginal"/>
    <w:link w:val="StyleDocoriginalNotBoldChar"/>
    <w:autoRedefine/>
    <w:rsid w:val="00F73179"/>
    <w:pPr>
      <w:ind w:left="1589"/>
      <w:jc w:val="left"/>
    </w:pPr>
  </w:style>
  <w:style w:type="paragraph" w:customStyle="1" w:styleId="upove">
    <w:name w:val="upov_e"/>
    <w:basedOn w:val="Normal"/>
    <w:rsid w:val="00F73179"/>
    <w:pPr>
      <w:spacing w:before="60"/>
      <w:jc w:val="center"/>
    </w:pPr>
    <w:rPr>
      <w:b/>
      <w:bCs/>
      <w:spacing w:val="8"/>
      <w:sz w:val="24"/>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F73179"/>
  </w:style>
  <w:style w:type="paragraph" w:styleId="EndnoteText">
    <w:name w:val="endnote text"/>
    <w:basedOn w:val="Normal"/>
    <w:link w:val="EndnoteTextChar"/>
    <w:rsid w:val="00F73179"/>
  </w:style>
  <w:style w:type="character" w:styleId="EndnoteReference">
    <w:name w:val="endnote reference"/>
    <w:basedOn w:val="DefaultParagraphFont"/>
    <w:rsid w:val="00F73179"/>
    <w:rPr>
      <w:vertAlign w:val="superscript"/>
    </w:rPr>
  </w:style>
  <w:style w:type="paragraph" w:customStyle="1" w:styleId="SessionMeetingPlace">
    <w:name w:val="Session_MeetingPlace"/>
    <w:basedOn w:val="Normal"/>
    <w:semiHidden/>
    <w:rsid w:val="00F73179"/>
    <w:pPr>
      <w:spacing w:before="480"/>
      <w:jc w:val="center"/>
    </w:pPr>
    <w:rPr>
      <w:b/>
      <w:bCs/>
      <w:kern w:val="28"/>
      <w:sz w:val="24"/>
    </w:rPr>
  </w:style>
  <w:style w:type="paragraph" w:customStyle="1" w:styleId="Original">
    <w:name w:val="Original"/>
    <w:basedOn w:val="Normal"/>
    <w:rsid w:val="00F73179"/>
    <w:pPr>
      <w:spacing w:before="60"/>
      <w:ind w:left="1276"/>
    </w:pPr>
    <w:rPr>
      <w:b/>
      <w:sz w:val="22"/>
    </w:rPr>
  </w:style>
  <w:style w:type="paragraph" w:styleId="Date">
    <w:name w:val="Date"/>
    <w:basedOn w:val="Normal"/>
    <w:link w:val="DateChar"/>
    <w:rsid w:val="00F73179"/>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73179"/>
    <w:pPr>
      <w:spacing w:before="60" w:after="480"/>
      <w:jc w:val="center"/>
    </w:pPr>
  </w:style>
  <w:style w:type="paragraph" w:customStyle="1" w:styleId="Lettrine">
    <w:name w:val="Lettrine"/>
    <w:basedOn w:val="Normal"/>
    <w:rsid w:val="00F73179"/>
    <w:pPr>
      <w:spacing w:after="120" w:line="340" w:lineRule="atLeast"/>
      <w:jc w:val="right"/>
    </w:pPr>
    <w:rPr>
      <w:b/>
      <w:bCs/>
      <w:sz w:val="56"/>
    </w:rPr>
  </w:style>
  <w:style w:type="paragraph" w:customStyle="1" w:styleId="LogoUPOV">
    <w:name w:val="LogoUPOV"/>
    <w:basedOn w:val="Normal"/>
    <w:rsid w:val="00F73179"/>
    <w:pPr>
      <w:spacing w:before="720"/>
      <w:jc w:val="center"/>
    </w:pPr>
  </w:style>
  <w:style w:type="paragraph" w:customStyle="1" w:styleId="Sessiontc">
    <w:name w:val="Session_tc"/>
    <w:basedOn w:val="StyleSessionAllcaps"/>
    <w:rsid w:val="00F73179"/>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73179"/>
    <w:pPr>
      <w:spacing w:before="480"/>
    </w:pPr>
    <w:rPr>
      <w:bCs/>
      <w:caps/>
      <w:kern w:val="28"/>
      <w:sz w:val="24"/>
    </w:rPr>
  </w:style>
  <w:style w:type="paragraph" w:customStyle="1" w:styleId="plcountry">
    <w:name w:val="plcountry"/>
    <w:basedOn w:val="Normal"/>
    <w:rsid w:val="00F73179"/>
    <w:pPr>
      <w:keepNext/>
      <w:keepLines/>
      <w:spacing w:before="180" w:after="120"/>
      <w:jc w:val="left"/>
    </w:pPr>
    <w:rPr>
      <w:caps/>
      <w:noProof/>
      <w:snapToGrid w:val="0"/>
      <w:u w:val="single"/>
    </w:rPr>
  </w:style>
  <w:style w:type="paragraph" w:customStyle="1" w:styleId="pldetails">
    <w:name w:val="pldetails"/>
    <w:basedOn w:val="Normal"/>
    <w:link w:val="pldetailsChar"/>
    <w:rsid w:val="00F73179"/>
    <w:pPr>
      <w:keepLines/>
      <w:spacing w:before="60" w:after="60"/>
      <w:jc w:val="left"/>
    </w:pPr>
    <w:rPr>
      <w:noProof/>
      <w:snapToGrid w:val="0"/>
    </w:rPr>
  </w:style>
  <w:style w:type="paragraph" w:customStyle="1" w:styleId="plheading">
    <w:name w:val="plheading"/>
    <w:basedOn w:val="Normal"/>
    <w:rsid w:val="00F73179"/>
    <w:pPr>
      <w:keepNext/>
      <w:spacing w:before="480" w:after="120"/>
      <w:jc w:val="center"/>
    </w:pPr>
    <w:rPr>
      <w:caps/>
      <w:snapToGrid w:val="0"/>
      <w:u w:val="single"/>
    </w:rPr>
  </w:style>
  <w:style w:type="paragraph" w:customStyle="1" w:styleId="Sessiontcplacedate">
    <w:name w:val="Session_tc_place_date"/>
    <w:basedOn w:val="SessionMeetingPlace"/>
    <w:rsid w:val="00F73179"/>
    <w:pPr>
      <w:spacing w:before="240"/>
    </w:pPr>
  </w:style>
  <w:style w:type="paragraph" w:customStyle="1" w:styleId="Titleofdoc0">
    <w:name w:val="Title_of_doc"/>
    <w:basedOn w:val="Normal"/>
    <w:rsid w:val="00F73179"/>
    <w:pPr>
      <w:spacing w:before="600"/>
      <w:jc w:val="center"/>
    </w:pPr>
    <w:rPr>
      <w:caps/>
    </w:rPr>
  </w:style>
  <w:style w:type="paragraph" w:customStyle="1" w:styleId="preparedby1">
    <w:name w:val="prepared_by"/>
    <w:basedOn w:val="Normal"/>
    <w:rsid w:val="00F73179"/>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2E3FB9"/>
    <w:pPr>
      <w:ind w:left="567" w:hanging="567"/>
      <w:jc w:val="center"/>
    </w:pPr>
    <w:rPr>
      <w:rFonts w:ascii="Arial" w:hAnsi="Arial"/>
      <w:noProof/>
      <w:sz w:val="16"/>
      <w:szCs w:val="16"/>
    </w:rPr>
  </w:style>
  <w:style w:type="character" w:customStyle="1" w:styleId="DocoriginalChar">
    <w:name w:val="Doc_original Char"/>
    <w:basedOn w:val="DefaultParagraphFont"/>
    <w:link w:val="Docoriginal"/>
    <w:rsid w:val="00F731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73179"/>
    <w:rPr>
      <w:rFonts w:ascii="Arial" w:hAnsi="Arial"/>
      <w:b/>
      <w:bCs/>
      <w:spacing w:val="10"/>
      <w:lang w:val="en-US" w:eastAsia="en-US" w:bidi="ar-SA"/>
    </w:rPr>
  </w:style>
  <w:style w:type="paragraph" w:customStyle="1" w:styleId="StyleDocnumber">
    <w:name w:val="Style Doc_number"/>
    <w:basedOn w:val="Docoriginal"/>
    <w:rsid w:val="00F73179"/>
    <w:pPr>
      <w:ind w:left="1589"/>
    </w:pPr>
  </w:style>
  <w:style w:type="paragraph" w:customStyle="1" w:styleId="StyleDocoriginal">
    <w:name w:val="Style Doc_original"/>
    <w:basedOn w:val="Docoriginal"/>
    <w:link w:val="StyleDocoriginalChar"/>
    <w:rsid w:val="00F73179"/>
  </w:style>
  <w:style w:type="character" w:customStyle="1" w:styleId="StyleDocoriginalChar">
    <w:name w:val="Style Doc_original Char"/>
    <w:basedOn w:val="DocoriginalChar"/>
    <w:link w:val="StyleDocoriginal"/>
    <w:rsid w:val="00F73179"/>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73179"/>
    <w:rPr>
      <w:rFonts w:ascii="Arial" w:hAnsi="Arial"/>
      <w:b/>
      <w:bCs/>
      <w:spacing w:val="10"/>
      <w:lang w:val="en-US" w:eastAsia="en-US" w:bidi="ar-SA"/>
    </w:rPr>
  </w:style>
  <w:style w:type="character" w:customStyle="1" w:styleId="StyleDoclangBold">
    <w:name w:val="Style Doc_lang + Bold"/>
    <w:basedOn w:val="Doclang"/>
    <w:rsid w:val="00F73179"/>
    <w:rPr>
      <w:rFonts w:ascii="Arial" w:hAnsi="Arial"/>
      <w:b/>
      <w:bCs/>
      <w:sz w:val="20"/>
      <w:lang w:val="en-US"/>
    </w:rPr>
  </w:style>
  <w:style w:type="paragraph" w:styleId="TOC2">
    <w:name w:val="toc 2"/>
    <w:next w:val="Normal"/>
    <w:autoRedefine/>
    <w:uiPriority w:val="39"/>
    <w:rsid w:val="007D1D09"/>
    <w:pPr>
      <w:tabs>
        <w:tab w:val="right" w:leader="dot" w:pos="9639"/>
      </w:tabs>
      <w:spacing w:after="120"/>
      <w:ind w:left="284" w:right="283"/>
    </w:pPr>
    <w:rPr>
      <w:rFonts w:ascii="Arial" w:hAnsi="Arial"/>
      <w:noProof/>
    </w:rPr>
  </w:style>
  <w:style w:type="paragraph" w:styleId="TOC3">
    <w:name w:val="toc 3"/>
    <w:next w:val="Normal"/>
    <w:autoRedefine/>
    <w:uiPriority w:val="39"/>
    <w:rsid w:val="007D1D09"/>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F73179"/>
    <w:rPr>
      <w:rFonts w:ascii="Arial" w:hAnsi="Arial"/>
      <w:color w:val="0000FF"/>
      <w:u w:val="single"/>
    </w:rPr>
  </w:style>
  <w:style w:type="paragraph" w:styleId="TOC4">
    <w:name w:val="toc 4"/>
    <w:next w:val="Normal"/>
    <w:autoRedefine/>
    <w:rsid w:val="00F73179"/>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6D6EC4"/>
    <w:pPr>
      <w:tabs>
        <w:tab w:val="right" w:leader="dot" w:pos="9639"/>
      </w:tabs>
      <w:spacing w:after="240"/>
      <w:ind w:right="425"/>
    </w:pPr>
    <w:rPr>
      <w:rFonts w:ascii="Arial" w:hAnsi="Arial"/>
      <w:caps/>
      <w:noProof/>
    </w:rPr>
  </w:style>
  <w:style w:type="paragraph" w:styleId="TOC5">
    <w:name w:val="toc 5"/>
    <w:next w:val="Normal"/>
    <w:autoRedefine/>
    <w:rsid w:val="00F73179"/>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00571E"/>
    <w:rPr>
      <w:rFonts w:ascii="Tahoma" w:hAnsi="Tahoma" w:cs="Tahoma"/>
      <w:sz w:val="16"/>
      <w:szCs w:val="16"/>
    </w:rPr>
  </w:style>
  <w:style w:type="character" w:customStyle="1" w:styleId="BalloonTextChar">
    <w:name w:val="Balloon Text Char"/>
    <w:basedOn w:val="DefaultParagraphFont"/>
    <w:link w:val="BalloonText"/>
    <w:rsid w:val="0000571E"/>
    <w:rPr>
      <w:rFonts w:ascii="Tahoma" w:hAnsi="Tahoma" w:cs="Tahoma"/>
      <w:sz w:val="16"/>
      <w:szCs w:val="16"/>
    </w:rPr>
  </w:style>
  <w:style w:type="character" w:customStyle="1" w:styleId="Heading6Char">
    <w:name w:val="Heading 6 Char"/>
    <w:basedOn w:val="DefaultParagraphFont"/>
    <w:link w:val="Heading6"/>
    <w:rsid w:val="000E71FA"/>
    <w:rPr>
      <w:rFonts w:ascii="Arial" w:hAnsi="Arial"/>
      <w:lang w:val="es-ES_tradnl"/>
    </w:rPr>
  </w:style>
  <w:style w:type="character" w:customStyle="1" w:styleId="Heading7Char">
    <w:name w:val="Heading 7 Char"/>
    <w:basedOn w:val="DefaultParagraphFont"/>
    <w:link w:val="Heading7"/>
    <w:rsid w:val="000E71FA"/>
    <w:rPr>
      <w:rFonts w:ascii="Arial" w:hAnsi="Arial"/>
      <w:szCs w:val="24"/>
    </w:rPr>
  </w:style>
  <w:style w:type="character" w:customStyle="1" w:styleId="Heading8Char">
    <w:name w:val="Heading 8 Char"/>
    <w:basedOn w:val="DefaultParagraphFont"/>
    <w:link w:val="Heading8"/>
    <w:rsid w:val="000E71FA"/>
    <w:rPr>
      <w:rFonts w:ascii="Arial" w:hAnsi="Arial"/>
      <w:u w:val="single"/>
    </w:rPr>
  </w:style>
  <w:style w:type="character" w:customStyle="1" w:styleId="Heading2Char">
    <w:name w:val="Heading 2 Char"/>
    <w:link w:val="Heading2"/>
    <w:rsid w:val="000E71FA"/>
    <w:rPr>
      <w:rFonts w:ascii="Arial" w:hAnsi="Arial"/>
      <w:u w:val="single"/>
    </w:rPr>
  </w:style>
  <w:style w:type="character" w:customStyle="1" w:styleId="Heading3Char">
    <w:name w:val="Heading 3 Char"/>
    <w:link w:val="Heading3"/>
    <w:locked/>
    <w:rsid w:val="000E71FA"/>
    <w:rPr>
      <w:rFonts w:ascii="Arial" w:hAnsi="Arial"/>
      <w:i/>
    </w:rPr>
  </w:style>
  <w:style w:type="character" w:customStyle="1" w:styleId="Heading4Char">
    <w:name w:val="Heading 4 Char"/>
    <w:link w:val="Heading4"/>
    <w:rsid w:val="000E71FA"/>
    <w:rPr>
      <w:rFonts w:ascii="Arial" w:hAnsi="Arial"/>
      <w:i/>
      <w:lang w:val="fr-FR"/>
    </w:rPr>
  </w:style>
  <w:style w:type="character" w:customStyle="1" w:styleId="Heading5Char">
    <w:name w:val="Heading 5 Char"/>
    <w:link w:val="Heading5"/>
    <w:rsid w:val="000E71FA"/>
    <w:rPr>
      <w:rFonts w:ascii="Arial" w:hAnsi="Arial"/>
      <w:sz w:val="18"/>
      <w:szCs w:val="18"/>
    </w:rPr>
  </w:style>
  <w:style w:type="character" w:customStyle="1" w:styleId="Heading1Char">
    <w:name w:val="Heading 1 Char"/>
    <w:aliases w:val="COMMON NAME Char,common Char"/>
    <w:basedOn w:val="DefaultParagraphFont"/>
    <w:link w:val="Heading1"/>
    <w:rsid w:val="000E71FA"/>
    <w:rPr>
      <w:rFonts w:ascii="Arial" w:hAnsi="Arial"/>
      <w:caps/>
    </w:rPr>
  </w:style>
  <w:style w:type="character" w:styleId="Emphasis">
    <w:name w:val="Emphasis"/>
    <w:basedOn w:val="DefaultParagraphFont"/>
    <w:qFormat/>
    <w:rsid w:val="000E71FA"/>
    <w:rPr>
      <w:i/>
      <w:iCs/>
    </w:rPr>
  </w:style>
  <w:style w:type="paragraph" w:styleId="ListParagraph">
    <w:name w:val="List Paragraph"/>
    <w:basedOn w:val="Normal"/>
    <w:uiPriority w:val="34"/>
    <w:qFormat/>
    <w:rsid w:val="000E71FA"/>
    <w:pPr>
      <w:spacing w:after="200" w:line="276" w:lineRule="auto"/>
      <w:ind w:left="720"/>
      <w:contextualSpacing/>
      <w:jc w:val="left"/>
    </w:pPr>
    <w:rPr>
      <w:rFonts w:asciiTheme="minorHAnsi" w:eastAsiaTheme="minorHAnsi" w:hAnsiTheme="minorHAnsi" w:cstheme="minorBidi"/>
      <w:sz w:val="22"/>
      <w:szCs w:val="22"/>
      <w:lang w:val="fi-FI"/>
    </w:rPr>
  </w:style>
  <w:style w:type="paragraph" w:customStyle="1" w:styleId="Default">
    <w:name w:val="Default"/>
    <w:rsid w:val="000E71FA"/>
    <w:pPr>
      <w:autoSpaceDE w:val="0"/>
      <w:autoSpaceDN w:val="0"/>
      <w:adjustRightInd w:val="0"/>
    </w:pPr>
    <w:rPr>
      <w:rFonts w:ascii="Arial" w:eastAsiaTheme="minorEastAsia" w:hAnsi="Arial" w:cs="Arial"/>
      <w:color w:val="000000"/>
      <w:sz w:val="24"/>
      <w:szCs w:val="24"/>
    </w:rPr>
  </w:style>
  <w:style w:type="character" w:customStyle="1" w:styleId="DecisionParagraphsChar">
    <w:name w:val="DecisionParagraphs Char"/>
    <w:link w:val="DecisionParagraphs"/>
    <w:rsid w:val="000E71FA"/>
    <w:rPr>
      <w:rFonts w:ascii="Arial" w:hAnsi="Arial"/>
      <w:i/>
    </w:rPr>
  </w:style>
  <w:style w:type="table" w:styleId="TableGrid">
    <w:name w:val="Table Grid"/>
    <w:basedOn w:val="TableNormal"/>
    <w:rsid w:val="000E71FA"/>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2E3FB9"/>
    <w:rPr>
      <w:rFonts w:ascii="Arial" w:hAnsi="Arial"/>
      <w:sz w:val="16"/>
      <w:szCs w:val="16"/>
      <w:lang w:val="es-ES"/>
    </w:rPr>
  </w:style>
  <w:style w:type="paragraph" w:customStyle="1" w:styleId="tgchartextcentered">
    <w:name w:val="tg_char_text_centered"/>
    <w:basedOn w:val="Normal"/>
    <w:rsid w:val="000E71FA"/>
    <w:pPr>
      <w:spacing w:before="80" w:after="80"/>
      <w:jc w:val="center"/>
    </w:pPr>
    <w:rPr>
      <w:b/>
      <w:sz w:val="16"/>
    </w:rPr>
  </w:style>
  <w:style w:type="paragraph" w:customStyle="1" w:styleId="tgchartext">
    <w:name w:val="tg_char_text"/>
    <w:basedOn w:val="Normal"/>
    <w:rsid w:val="000E71FA"/>
    <w:pPr>
      <w:spacing w:before="80" w:after="80"/>
      <w:jc w:val="left"/>
    </w:pPr>
    <w:rPr>
      <w:sz w:val="16"/>
    </w:rPr>
  </w:style>
  <w:style w:type="character" w:customStyle="1" w:styleId="FootnoteTextChar">
    <w:name w:val="Footnote Text Char"/>
    <w:link w:val="FootnoteText"/>
    <w:rsid w:val="000E71FA"/>
    <w:rPr>
      <w:rFonts w:ascii="Arial" w:hAnsi="Arial"/>
      <w:sz w:val="16"/>
    </w:rPr>
  </w:style>
  <w:style w:type="character" w:customStyle="1" w:styleId="pldetailsChar">
    <w:name w:val="pldetails Char"/>
    <w:link w:val="pldetails"/>
    <w:locked/>
    <w:rsid w:val="000E71FA"/>
    <w:rPr>
      <w:rFonts w:ascii="Arial" w:hAnsi="Arial"/>
      <w:noProof/>
      <w:snapToGrid w:val="0"/>
    </w:rPr>
  </w:style>
  <w:style w:type="paragraph" w:styleId="NormalWeb">
    <w:name w:val="Normal (Web)"/>
    <w:basedOn w:val="Normal"/>
    <w:rsid w:val="000E71FA"/>
    <w:pPr>
      <w:spacing w:before="100" w:beforeAutospacing="1" w:after="100" w:afterAutospacing="1"/>
      <w:jc w:val="left"/>
    </w:pPr>
    <w:rPr>
      <w:szCs w:val="24"/>
    </w:rPr>
  </w:style>
  <w:style w:type="paragraph" w:customStyle="1" w:styleId="pdflink">
    <w:name w:val="pdflink"/>
    <w:basedOn w:val="Normal"/>
    <w:next w:val="Normal"/>
    <w:rsid w:val="000E71FA"/>
    <w:rPr>
      <w:color w:val="800000"/>
      <w:u w:val="words"/>
    </w:rPr>
  </w:style>
  <w:style w:type="paragraph" w:customStyle="1" w:styleId="Draft">
    <w:name w:val="Draft"/>
    <w:basedOn w:val="Normal"/>
    <w:next w:val="preparedby"/>
    <w:rsid w:val="000E71FA"/>
    <w:pPr>
      <w:spacing w:before="720" w:after="480"/>
      <w:jc w:val="center"/>
    </w:pPr>
    <w:rPr>
      <w:caps/>
      <w:sz w:val="28"/>
    </w:rPr>
  </w:style>
  <w:style w:type="paragraph" w:customStyle="1" w:styleId="quote1">
    <w:name w:val="quote1"/>
    <w:basedOn w:val="Normal"/>
    <w:semiHidden/>
    <w:rsid w:val="000E71FA"/>
    <w:pPr>
      <w:ind w:left="567" w:right="565" w:firstLine="567"/>
    </w:pPr>
    <w:rPr>
      <w:snapToGrid w:val="0"/>
      <w:sz w:val="22"/>
      <w:szCs w:val="22"/>
    </w:rPr>
  </w:style>
  <w:style w:type="paragraph" w:customStyle="1" w:styleId="tqparabox">
    <w:name w:val="tqparabox"/>
    <w:basedOn w:val="Normal"/>
    <w:rsid w:val="000E71FA"/>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rsid w:val="000E71FA"/>
    <w:pPr>
      <w:ind w:left="1200"/>
    </w:pPr>
  </w:style>
  <w:style w:type="paragraph" w:styleId="BodyTextIndent">
    <w:name w:val="Body Text Indent"/>
    <w:basedOn w:val="Normal"/>
    <w:link w:val="BodyTextIndentChar"/>
    <w:rsid w:val="000E71FA"/>
    <w:pPr>
      <w:ind w:left="567"/>
    </w:pPr>
    <w:rPr>
      <w:lang w:val="es-ES_tradnl"/>
    </w:rPr>
  </w:style>
  <w:style w:type="character" w:customStyle="1" w:styleId="BodyTextIndentChar">
    <w:name w:val="Body Text Indent Char"/>
    <w:basedOn w:val="DefaultParagraphFont"/>
    <w:link w:val="BodyTextIndent"/>
    <w:rsid w:val="000E71FA"/>
    <w:rPr>
      <w:rFonts w:ascii="Arial" w:hAnsi="Arial"/>
      <w:lang w:val="es-ES_tradnl"/>
    </w:rPr>
  </w:style>
  <w:style w:type="paragraph" w:customStyle="1" w:styleId="twpcheck">
    <w:name w:val="twpcheck"/>
    <w:basedOn w:val="Normal"/>
    <w:rsid w:val="000E71FA"/>
    <w:pPr>
      <w:spacing w:before="80" w:after="80"/>
      <w:jc w:val="left"/>
    </w:pPr>
    <w:rPr>
      <w:rFonts w:cs="Arial"/>
      <w:snapToGrid w:val="0"/>
      <w:sz w:val="16"/>
      <w:szCs w:val="16"/>
    </w:rPr>
  </w:style>
  <w:style w:type="paragraph" w:customStyle="1" w:styleId="DecisionInvitingPara">
    <w:name w:val="Decision Inviting Para."/>
    <w:basedOn w:val="Normal"/>
    <w:rsid w:val="000E71FA"/>
    <w:pPr>
      <w:ind w:left="4536"/>
    </w:pPr>
    <w:rPr>
      <w:i/>
      <w:lang w:val="es-ES_tradnl"/>
    </w:rPr>
  </w:style>
  <w:style w:type="paragraph" w:customStyle="1" w:styleId="Enttepair">
    <w:name w:val="Entête_pair"/>
    <w:basedOn w:val="Normal"/>
    <w:next w:val="Normal"/>
    <w:rsid w:val="000E71FA"/>
    <w:pPr>
      <w:pBdr>
        <w:bottom w:val="single" w:sz="4" w:space="1" w:color="auto"/>
      </w:pBdr>
      <w:jc w:val="left"/>
    </w:pPr>
    <w:rPr>
      <w:szCs w:val="24"/>
    </w:rPr>
  </w:style>
  <w:style w:type="paragraph" w:customStyle="1" w:styleId="Entteimpair">
    <w:name w:val="Entête_impair"/>
    <w:basedOn w:val="Normal"/>
    <w:next w:val="Normal"/>
    <w:rsid w:val="000E71FA"/>
    <w:pPr>
      <w:pBdr>
        <w:bottom w:val="single" w:sz="4" w:space="1" w:color="auto"/>
      </w:pBdr>
      <w:jc w:val="right"/>
    </w:pPr>
  </w:style>
  <w:style w:type="paragraph" w:styleId="E-mailSignature">
    <w:name w:val="E-mail Signature"/>
    <w:basedOn w:val="Normal"/>
    <w:link w:val="E-mailSignatureChar"/>
    <w:rsid w:val="000E71FA"/>
  </w:style>
  <w:style w:type="character" w:customStyle="1" w:styleId="E-mailSignatureChar">
    <w:name w:val="E-mail Signature Char"/>
    <w:basedOn w:val="DefaultParagraphFont"/>
    <w:link w:val="E-mailSignature"/>
    <w:rsid w:val="000E71FA"/>
    <w:rPr>
      <w:rFonts w:ascii="Arial" w:hAnsi="Arial"/>
    </w:rPr>
  </w:style>
  <w:style w:type="paragraph" w:styleId="EnvelopeAddress">
    <w:name w:val="envelope address"/>
    <w:basedOn w:val="Normal"/>
    <w:rsid w:val="000E71FA"/>
    <w:pPr>
      <w:framePr w:w="7920" w:h="1980" w:hRule="exact" w:hSpace="180" w:wrap="auto" w:hAnchor="page" w:xAlign="center" w:yAlign="bottom"/>
      <w:ind w:left="2880"/>
    </w:pPr>
    <w:rPr>
      <w:rFonts w:cs="Arial"/>
      <w:szCs w:val="24"/>
    </w:rPr>
  </w:style>
  <w:style w:type="paragraph" w:styleId="EnvelopeReturn">
    <w:name w:val="envelope return"/>
    <w:basedOn w:val="Normal"/>
    <w:rsid w:val="000E71FA"/>
    <w:rPr>
      <w:rFonts w:cs="Arial"/>
    </w:rPr>
  </w:style>
  <w:style w:type="character" w:styleId="HTMLAcronym">
    <w:name w:val="HTML Acronym"/>
    <w:basedOn w:val="DefaultParagraphFont"/>
    <w:rsid w:val="000E71FA"/>
  </w:style>
  <w:style w:type="paragraph" w:styleId="HTMLAddress">
    <w:name w:val="HTML Address"/>
    <w:basedOn w:val="Normal"/>
    <w:link w:val="HTMLAddressChar"/>
    <w:rsid w:val="000E71FA"/>
    <w:rPr>
      <w:i/>
      <w:iCs/>
    </w:rPr>
  </w:style>
  <w:style w:type="character" w:customStyle="1" w:styleId="HTMLAddressChar">
    <w:name w:val="HTML Address Char"/>
    <w:basedOn w:val="DefaultParagraphFont"/>
    <w:link w:val="HTMLAddress"/>
    <w:rsid w:val="000E71FA"/>
    <w:rPr>
      <w:rFonts w:ascii="Arial" w:hAnsi="Arial"/>
      <w:i/>
      <w:iCs/>
    </w:rPr>
  </w:style>
  <w:style w:type="character" w:styleId="HTMLCite">
    <w:name w:val="HTML Cite"/>
    <w:basedOn w:val="DefaultParagraphFont"/>
    <w:rsid w:val="000E71FA"/>
    <w:rPr>
      <w:i/>
      <w:iCs/>
    </w:rPr>
  </w:style>
  <w:style w:type="character" w:styleId="HTMLCode">
    <w:name w:val="HTML Code"/>
    <w:basedOn w:val="DefaultParagraphFont"/>
    <w:rsid w:val="000E71FA"/>
    <w:rPr>
      <w:rFonts w:ascii="Courier New" w:hAnsi="Courier New" w:cs="Courier New"/>
      <w:sz w:val="20"/>
      <w:szCs w:val="20"/>
    </w:rPr>
  </w:style>
  <w:style w:type="character" w:styleId="HTMLDefinition">
    <w:name w:val="HTML Definition"/>
    <w:basedOn w:val="DefaultParagraphFont"/>
    <w:rsid w:val="000E71FA"/>
    <w:rPr>
      <w:i/>
      <w:iCs/>
    </w:rPr>
  </w:style>
  <w:style w:type="character" w:styleId="HTMLKeyboard">
    <w:name w:val="HTML Keyboard"/>
    <w:basedOn w:val="DefaultParagraphFont"/>
    <w:rsid w:val="000E71FA"/>
    <w:rPr>
      <w:rFonts w:ascii="Courier New" w:hAnsi="Courier New" w:cs="Courier New"/>
      <w:sz w:val="20"/>
      <w:szCs w:val="20"/>
    </w:rPr>
  </w:style>
  <w:style w:type="paragraph" w:styleId="HTMLPreformatted">
    <w:name w:val="HTML Preformatted"/>
    <w:basedOn w:val="Normal"/>
    <w:link w:val="HTMLPreformattedChar"/>
    <w:rsid w:val="000E71FA"/>
    <w:rPr>
      <w:rFonts w:ascii="Courier New" w:hAnsi="Courier New" w:cs="Courier New"/>
    </w:rPr>
  </w:style>
  <w:style w:type="character" w:customStyle="1" w:styleId="HTMLPreformattedChar">
    <w:name w:val="HTML Preformatted Char"/>
    <w:basedOn w:val="DefaultParagraphFont"/>
    <w:link w:val="HTMLPreformatted"/>
    <w:rsid w:val="000E71FA"/>
    <w:rPr>
      <w:rFonts w:ascii="Courier New" w:hAnsi="Courier New" w:cs="Courier New"/>
    </w:rPr>
  </w:style>
  <w:style w:type="character" w:styleId="HTMLSample">
    <w:name w:val="HTML Sample"/>
    <w:basedOn w:val="DefaultParagraphFont"/>
    <w:rsid w:val="000E71FA"/>
    <w:rPr>
      <w:rFonts w:ascii="Courier New" w:hAnsi="Courier New" w:cs="Courier New"/>
    </w:rPr>
  </w:style>
  <w:style w:type="character" w:styleId="HTMLTypewriter">
    <w:name w:val="HTML Typewriter"/>
    <w:basedOn w:val="DefaultParagraphFont"/>
    <w:rsid w:val="000E71FA"/>
    <w:rPr>
      <w:rFonts w:ascii="Courier New" w:hAnsi="Courier New" w:cs="Courier New"/>
      <w:sz w:val="20"/>
      <w:szCs w:val="20"/>
    </w:rPr>
  </w:style>
  <w:style w:type="character" w:styleId="HTMLVariable">
    <w:name w:val="HTML Variable"/>
    <w:basedOn w:val="DefaultParagraphFont"/>
    <w:rsid w:val="000E71FA"/>
    <w:rPr>
      <w:i/>
      <w:iCs/>
    </w:rPr>
  </w:style>
  <w:style w:type="character" w:styleId="LineNumber">
    <w:name w:val="line number"/>
    <w:basedOn w:val="DefaultParagraphFont"/>
    <w:rsid w:val="000E71FA"/>
  </w:style>
  <w:style w:type="paragraph" w:styleId="List">
    <w:name w:val="List"/>
    <w:basedOn w:val="Normal"/>
    <w:rsid w:val="000E71FA"/>
    <w:pPr>
      <w:ind w:left="360" w:hanging="360"/>
    </w:pPr>
  </w:style>
  <w:style w:type="paragraph" w:styleId="List2">
    <w:name w:val="List 2"/>
    <w:basedOn w:val="Normal"/>
    <w:rsid w:val="000E71FA"/>
    <w:pPr>
      <w:ind w:left="720" w:hanging="360"/>
    </w:pPr>
  </w:style>
  <w:style w:type="paragraph" w:styleId="List3">
    <w:name w:val="List 3"/>
    <w:basedOn w:val="Normal"/>
    <w:rsid w:val="000E71FA"/>
    <w:pPr>
      <w:ind w:left="1080" w:hanging="360"/>
    </w:pPr>
  </w:style>
  <w:style w:type="paragraph" w:styleId="List4">
    <w:name w:val="List 4"/>
    <w:basedOn w:val="Normal"/>
    <w:rsid w:val="000E71FA"/>
    <w:pPr>
      <w:ind w:left="1440" w:hanging="360"/>
    </w:pPr>
  </w:style>
  <w:style w:type="paragraph" w:styleId="List5">
    <w:name w:val="List 5"/>
    <w:basedOn w:val="Normal"/>
    <w:rsid w:val="000E71FA"/>
    <w:pPr>
      <w:ind w:left="1800" w:hanging="360"/>
    </w:pPr>
  </w:style>
  <w:style w:type="paragraph" w:styleId="ListBullet">
    <w:name w:val="List Bullet"/>
    <w:basedOn w:val="Normal"/>
    <w:autoRedefine/>
    <w:rsid w:val="000E71FA"/>
    <w:pPr>
      <w:tabs>
        <w:tab w:val="num" w:pos="360"/>
      </w:tabs>
      <w:ind w:left="360" w:hanging="360"/>
    </w:pPr>
    <w:rPr>
      <w:bCs/>
      <w:szCs w:val="24"/>
      <w:lang w:val="es-ES" w:eastAsia="zh-CN"/>
    </w:rPr>
  </w:style>
  <w:style w:type="paragraph" w:styleId="ListBullet2">
    <w:name w:val="List Bullet 2"/>
    <w:basedOn w:val="Normal"/>
    <w:rsid w:val="000E71FA"/>
    <w:pPr>
      <w:tabs>
        <w:tab w:val="num" w:pos="720"/>
      </w:tabs>
      <w:ind w:left="720" w:hanging="360"/>
    </w:pPr>
  </w:style>
  <w:style w:type="paragraph" w:styleId="ListBullet3">
    <w:name w:val="List Bullet 3"/>
    <w:basedOn w:val="Normal"/>
    <w:rsid w:val="000E71FA"/>
    <w:pPr>
      <w:tabs>
        <w:tab w:val="num" w:pos="1080"/>
      </w:tabs>
      <w:ind w:left="1080" w:hanging="360"/>
    </w:pPr>
  </w:style>
  <w:style w:type="paragraph" w:styleId="ListBullet4">
    <w:name w:val="List Bullet 4"/>
    <w:basedOn w:val="Normal"/>
    <w:rsid w:val="000E71FA"/>
    <w:pPr>
      <w:tabs>
        <w:tab w:val="num" w:pos="1440"/>
      </w:tabs>
      <w:ind w:left="1440" w:hanging="360"/>
    </w:pPr>
  </w:style>
  <w:style w:type="paragraph" w:styleId="ListBullet5">
    <w:name w:val="List Bullet 5"/>
    <w:basedOn w:val="Normal"/>
    <w:rsid w:val="000E71FA"/>
    <w:pPr>
      <w:tabs>
        <w:tab w:val="num" w:pos="1800"/>
      </w:tabs>
      <w:ind w:left="1800" w:hanging="360"/>
    </w:pPr>
  </w:style>
  <w:style w:type="paragraph" w:styleId="ListContinue">
    <w:name w:val="List Continue"/>
    <w:basedOn w:val="Normal"/>
    <w:rsid w:val="000E71FA"/>
    <w:pPr>
      <w:spacing w:after="120"/>
      <w:ind w:left="360"/>
    </w:pPr>
  </w:style>
  <w:style w:type="paragraph" w:styleId="ListContinue2">
    <w:name w:val="List Continue 2"/>
    <w:basedOn w:val="Normal"/>
    <w:rsid w:val="000E71FA"/>
    <w:pPr>
      <w:spacing w:after="120"/>
      <w:ind w:left="720"/>
    </w:pPr>
  </w:style>
  <w:style w:type="paragraph" w:styleId="ListContinue3">
    <w:name w:val="List Continue 3"/>
    <w:basedOn w:val="Normal"/>
    <w:rsid w:val="000E71FA"/>
    <w:pPr>
      <w:spacing w:after="120"/>
      <w:ind w:left="1080"/>
    </w:pPr>
  </w:style>
  <w:style w:type="paragraph" w:styleId="ListContinue4">
    <w:name w:val="List Continue 4"/>
    <w:basedOn w:val="Normal"/>
    <w:rsid w:val="000E71FA"/>
    <w:pPr>
      <w:spacing w:after="120"/>
      <w:ind w:left="1440"/>
    </w:pPr>
  </w:style>
  <w:style w:type="paragraph" w:styleId="ListContinue5">
    <w:name w:val="List Continue 5"/>
    <w:basedOn w:val="Normal"/>
    <w:rsid w:val="000E71FA"/>
    <w:pPr>
      <w:spacing w:after="120"/>
      <w:ind w:left="1800"/>
    </w:pPr>
  </w:style>
  <w:style w:type="paragraph" w:styleId="ListNumber">
    <w:name w:val="List Number"/>
    <w:basedOn w:val="Normal"/>
    <w:rsid w:val="000E71FA"/>
    <w:pPr>
      <w:tabs>
        <w:tab w:val="num" w:pos="360"/>
      </w:tabs>
      <w:ind w:left="360" w:hanging="360"/>
    </w:pPr>
  </w:style>
  <w:style w:type="paragraph" w:styleId="ListNumber2">
    <w:name w:val="List Number 2"/>
    <w:basedOn w:val="Normal"/>
    <w:rsid w:val="000E71FA"/>
    <w:pPr>
      <w:tabs>
        <w:tab w:val="num" w:pos="720"/>
      </w:tabs>
      <w:ind w:left="720" w:hanging="360"/>
    </w:pPr>
  </w:style>
  <w:style w:type="paragraph" w:styleId="ListNumber3">
    <w:name w:val="List Number 3"/>
    <w:basedOn w:val="Normal"/>
    <w:rsid w:val="000E71FA"/>
    <w:pPr>
      <w:tabs>
        <w:tab w:val="num" w:pos="1080"/>
      </w:tabs>
      <w:ind w:left="1080" w:hanging="360"/>
    </w:pPr>
  </w:style>
  <w:style w:type="paragraph" w:styleId="ListNumber4">
    <w:name w:val="List Number 4"/>
    <w:basedOn w:val="Normal"/>
    <w:rsid w:val="000E71FA"/>
    <w:pPr>
      <w:tabs>
        <w:tab w:val="num" w:pos="1440"/>
      </w:tabs>
      <w:ind w:left="1440" w:hanging="360"/>
    </w:pPr>
  </w:style>
  <w:style w:type="paragraph" w:styleId="ListNumber5">
    <w:name w:val="List Number 5"/>
    <w:basedOn w:val="Normal"/>
    <w:rsid w:val="000E71FA"/>
    <w:pPr>
      <w:tabs>
        <w:tab w:val="num" w:pos="1800"/>
      </w:tabs>
      <w:ind w:left="1800" w:hanging="360"/>
    </w:pPr>
  </w:style>
  <w:style w:type="paragraph" w:styleId="MessageHeader">
    <w:name w:val="Message Header"/>
    <w:basedOn w:val="Normal"/>
    <w:link w:val="MessageHeaderChar"/>
    <w:rsid w:val="000E71FA"/>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rsid w:val="000E71FA"/>
    <w:rPr>
      <w:rFonts w:ascii="Arial" w:hAnsi="Arial" w:cs="Arial"/>
      <w:szCs w:val="24"/>
      <w:shd w:val="pct20" w:color="auto" w:fill="auto"/>
    </w:rPr>
  </w:style>
  <w:style w:type="paragraph" w:styleId="NoteHeading">
    <w:name w:val="Note Heading"/>
    <w:basedOn w:val="Normal"/>
    <w:next w:val="Normal"/>
    <w:link w:val="NoteHeadingChar"/>
    <w:rsid w:val="000E71FA"/>
  </w:style>
  <w:style w:type="character" w:customStyle="1" w:styleId="NoteHeadingChar">
    <w:name w:val="Note Heading Char"/>
    <w:basedOn w:val="DefaultParagraphFont"/>
    <w:link w:val="NoteHeading"/>
    <w:rsid w:val="000E71FA"/>
    <w:rPr>
      <w:rFonts w:ascii="Arial" w:hAnsi="Arial"/>
    </w:rPr>
  </w:style>
  <w:style w:type="paragraph" w:styleId="Salutation">
    <w:name w:val="Salutation"/>
    <w:basedOn w:val="Normal"/>
    <w:next w:val="Normal"/>
    <w:link w:val="SalutationChar"/>
    <w:rsid w:val="000E71FA"/>
  </w:style>
  <w:style w:type="character" w:customStyle="1" w:styleId="SalutationChar">
    <w:name w:val="Salutation Char"/>
    <w:basedOn w:val="DefaultParagraphFont"/>
    <w:link w:val="Salutation"/>
    <w:rsid w:val="000E71FA"/>
    <w:rPr>
      <w:rFonts w:ascii="Arial" w:hAnsi="Arial"/>
    </w:rPr>
  </w:style>
  <w:style w:type="character" w:styleId="Strong">
    <w:name w:val="Strong"/>
    <w:basedOn w:val="DefaultParagraphFont"/>
    <w:qFormat/>
    <w:rsid w:val="000E71FA"/>
    <w:rPr>
      <w:b/>
      <w:bCs/>
    </w:rPr>
  </w:style>
  <w:style w:type="paragraph" w:styleId="Subtitle">
    <w:name w:val="Subtitle"/>
    <w:basedOn w:val="Normal"/>
    <w:link w:val="SubtitleChar"/>
    <w:qFormat/>
    <w:rsid w:val="000E71FA"/>
    <w:pPr>
      <w:spacing w:after="60"/>
      <w:jc w:val="center"/>
      <w:outlineLvl w:val="1"/>
    </w:pPr>
    <w:rPr>
      <w:rFonts w:cs="Arial"/>
      <w:szCs w:val="24"/>
    </w:rPr>
  </w:style>
  <w:style w:type="character" w:customStyle="1" w:styleId="SubtitleChar">
    <w:name w:val="Subtitle Char"/>
    <w:basedOn w:val="DefaultParagraphFont"/>
    <w:link w:val="Subtitle"/>
    <w:rsid w:val="000E71FA"/>
    <w:rPr>
      <w:rFonts w:ascii="Arial" w:hAnsi="Arial" w:cs="Arial"/>
      <w:szCs w:val="24"/>
    </w:rPr>
  </w:style>
  <w:style w:type="table" w:styleId="Table3Deffects1">
    <w:name w:val="Table 3D effects 1"/>
    <w:basedOn w:val="TableNormal"/>
    <w:rsid w:val="000E71FA"/>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E71FA"/>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E71FA"/>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E71FA"/>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E71FA"/>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E71FA"/>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E71FA"/>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E71FA"/>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E71FA"/>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E71FA"/>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E71FA"/>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E71FA"/>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E71FA"/>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E71FA"/>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E71FA"/>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E71FA"/>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E71FA"/>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0E71FA"/>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E71FA"/>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E71FA"/>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E71FA"/>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E71FA"/>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E71FA"/>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E71FA"/>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E71FA"/>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E71FA"/>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E71FA"/>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E71FA"/>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E71FA"/>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E71FA"/>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E71FA"/>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E71FA"/>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E71FA"/>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0E71FA"/>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E71FA"/>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E71FA"/>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E71FA"/>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E71FA"/>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E71FA"/>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E71F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E71FA"/>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E71FA"/>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E71FA"/>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E71FA"/>
    <w:pPr>
      <w:ind w:left="1440"/>
    </w:pPr>
  </w:style>
  <w:style w:type="paragraph" w:styleId="TOC8">
    <w:name w:val="toc 8"/>
    <w:basedOn w:val="Normal"/>
    <w:next w:val="Normal"/>
    <w:autoRedefine/>
    <w:rsid w:val="000E71FA"/>
    <w:pPr>
      <w:ind w:left="1680"/>
    </w:pPr>
  </w:style>
  <w:style w:type="paragraph" w:styleId="TOC9">
    <w:name w:val="toc 9"/>
    <w:basedOn w:val="Normal"/>
    <w:next w:val="Normal"/>
    <w:autoRedefine/>
    <w:rsid w:val="000E71FA"/>
    <w:pPr>
      <w:ind w:left="1920"/>
    </w:pPr>
  </w:style>
  <w:style w:type="character" w:styleId="FollowedHyperlink">
    <w:name w:val="FollowedHyperlink"/>
    <w:basedOn w:val="DefaultParagraphFont"/>
    <w:rsid w:val="000E71FA"/>
    <w:rPr>
      <w:color w:val="606420"/>
      <w:u w:val="single"/>
    </w:rPr>
  </w:style>
  <w:style w:type="paragraph" w:styleId="BlockText">
    <w:name w:val="Block Text"/>
    <w:basedOn w:val="Normal"/>
    <w:rsid w:val="000E71FA"/>
    <w:pPr>
      <w:ind w:left="567" w:right="566"/>
    </w:pPr>
    <w:rPr>
      <w:sz w:val="22"/>
    </w:rPr>
  </w:style>
  <w:style w:type="paragraph" w:styleId="Caption">
    <w:name w:val="caption"/>
    <w:basedOn w:val="Normal"/>
    <w:next w:val="Normal"/>
    <w:qFormat/>
    <w:rsid w:val="000E71FA"/>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0E71FA"/>
    <w:rPr>
      <w:sz w:val="22"/>
      <w:lang w:val="es-ES_tradnl"/>
    </w:rPr>
  </w:style>
  <w:style w:type="character" w:customStyle="1" w:styleId="CommentTextChar">
    <w:name w:val="Comment Text Char"/>
    <w:basedOn w:val="DefaultParagraphFont"/>
    <w:link w:val="CommentText"/>
    <w:rsid w:val="000E71FA"/>
    <w:rPr>
      <w:rFonts w:ascii="Arial" w:hAnsi="Arial"/>
      <w:sz w:val="22"/>
      <w:lang w:val="es-ES_tradnl"/>
    </w:rPr>
  </w:style>
  <w:style w:type="paragraph" w:customStyle="1" w:styleId="Committee">
    <w:name w:val="Committee"/>
    <w:basedOn w:val="Title"/>
    <w:rsid w:val="000E71FA"/>
    <w:rPr>
      <w:caps w:val="0"/>
    </w:rPr>
  </w:style>
  <w:style w:type="paragraph" w:customStyle="1" w:styleId="n">
    <w:name w:val="n"/>
    <w:basedOn w:val="Header"/>
    <w:rsid w:val="000E71FA"/>
    <w:pPr>
      <w:tabs>
        <w:tab w:val="clear" w:pos="4536"/>
        <w:tab w:val="clear" w:pos="9072"/>
      </w:tabs>
    </w:pPr>
  </w:style>
  <w:style w:type="paragraph" w:customStyle="1" w:styleId="TitleofSection">
    <w:name w:val="Title of Section"/>
    <w:basedOn w:val="TitleofDoc"/>
    <w:rsid w:val="000E71FA"/>
    <w:pPr>
      <w:spacing w:before="120" w:after="120"/>
    </w:pPr>
    <w:rPr>
      <w:b/>
      <w:caps w:val="0"/>
      <w:lang w:eastAsia="de-DE"/>
    </w:rPr>
  </w:style>
  <w:style w:type="paragraph" w:customStyle="1" w:styleId="TOCAnnex">
    <w:name w:val="TOC Annex"/>
    <w:basedOn w:val="Normal"/>
    <w:rsid w:val="000E71FA"/>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0E71FA"/>
    <w:pPr>
      <w:jc w:val="center"/>
    </w:pPr>
    <w:rPr>
      <w:b/>
      <w:caps/>
      <w:szCs w:val="24"/>
    </w:rPr>
  </w:style>
  <w:style w:type="paragraph" w:customStyle="1" w:styleId="Notetoarticle">
    <w:name w:val="Note to article"/>
    <w:basedOn w:val="Normal"/>
    <w:semiHidden/>
    <w:rsid w:val="000E71FA"/>
  </w:style>
  <w:style w:type="paragraph" w:styleId="PlainText">
    <w:name w:val="Plain Text"/>
    <w:basedOn w:val="Normal"/>
    <w:link w:val="PlainTextChar"/>
    <w:rsid w:val="000E71FA"/>
    <w:rPr>
      <w:rFonts w:ascii="Courier New" w:hAnsi="Courier New" w:cs="Courier New"/>
      <w:lang w:eastAsia="fr-FR"/>
    </w:rPr>
  </w:style>
  <w:style w:type="character" w:customStyle="1" w:styleId="PlainTextChar">
    <w:name w:val="Plain Text Char"/>
    <w:basedOn w:val="DefaultParagraphFont"/>
    <w:link w:val="PlainText"/>
    <w:rsid w:val="000E71FA"/>
    <w:rPr>
      <w:rFonts w:ascii="Courier New" w:hAnsi="Courier New" w:cs="Courier New"/>
      <w:lang w:eastAsia="fr-FR"/>
    </w:rPr>
  </w:style>
  <w:style w:type="character" w:customStyle="1" w:styleId="FooterChar">
    <w:name w:val="Footer Char"/>
    <w:aliases w:val="doc_path_name Char"/>
    <w:link w:val="Footer"/>
    <w:rsid w:val="000E71FA"/>
    <w:rPr>
      <w:rFonts w:ascii="Arial" w:hAnsi="Arial"/>
      <w:sz w:val="14"/>
    </w:rPr>
  </w:style>
  <w:style w:type="character" w:styleId="CommentReference">
    <w:name w:val="annotation reference"/>
    <w:basedOn w:val="DefaultParagraphFont"/>
    <w:rsid w:val="000E71FA"/>
    <w:rPr>
      <w:rFonts w:cs="Times New Roman"/>
      <w:sz w:val="16"/>
      <w:szCs w:val="16"/>
    </w:rPr>
  </w:style>
  <w:style w:type="paragraph" w:styleId="Revision">
    <w:name w:val="Revision"/>
    <w:hidden/>
    <w:uiPriority w:val="99"/>
    <w:semiHidden/>
    <w:rsid w:val="000E71FA"/>
    <w:rPr>
      <w:rFonts w:ascii="Arial" w:hAnsi="Arial"/>
    </w:rPr>
  </w:style>
  <w:style w:type="paragraph" w:styleId="CommentSubject">
    <w:name w:val="annotation subject"/>
    <w:basedOn w:val="CommentText"/>
    <w:next w:val="CommentText"/>
    <w:link w:val="CommentSubjectChar"/>
    <w:rsid w:val="000E71FA"/>
    <w:rPr>
      <w:b/>
      <w:bCs/>
      <w:sz w:val="20"/>
      <w:lang w:val="en-US"/>
    </w:rPr>
  </w:style>
  <w:style w:type="character" w:customStyle="1" w:styleId="CommentSubjectChar">
    <w:name w:val="Comment Subject Char"/>
    <w:basedOn w:val="CommentTextChar"/>
    <w:link w:val="CommentSubject"/>
    <w:rsid w:val="000E71FA"/>
    <w:rPr>
      <w:rFonts w:ascii="Arial" w:hAnsi="Arial"/>
      <w:b/>
      <w:bCs/>
      <w:sz w:val="22"/>
      <w:lang w:val="es-ES_tradnl"/>
    </w:rPr>
  </w:style>
  <w:style w:type="paragraph" w:customStyle="1" w:styleId="Normaltg">
    <w:name w:val="Normaltg"/>
    <w:basedOn w:val="Normal"/>
    <w:link w:val="NormaltgChar"/>
    <w:rsid w:val="000E71FA"/>
    <w:rPr>
      <w:rFonts w:cs="Angsana New"/>
      <w:szCs w:val="24"/>
      <w:lang w:eastAsia="ja-JP" w:bidi="th-TH"/>
    </w:rPr>
  </w:style>
  <w:style w:type="character" w:customStyle="1" w:styleId="NormaltgChar">
    <w:name w:val="Normaltg Char"/>
    <w:link w:val="Normaltg"/>
    <w:rsid w:val="000E71FA"/>
    <w:rPr>
      <w:rFonts w:ascii="Arial" w:hAnsi="Arial" w:cs="Angsana New"/>
      <w:szCs w:val="24"/>
      <w:lang w:eastAsia="ja-JP" w:bidi="th-TH"/>
    </w:rPr>
  </w:style>
  <w:style w:type="character" w:customStyle="1" w:styleId="hps">
    <w:name w:val="hps"/>
    <w:basedOn w:val="DefaultParagraphFont"/>
    <w:rsid w:val="000E71FA"/>
  </w:style>
  <w:style w:type="character" w:customStyle="1" w:styleId="Standaardalinea-lettertype">
    <w:name w:val="Standaardalinea-lettertype"/>
    <w:rsid w:val="000E71FA"/>
  </w:style>
  <w:style w:type="character" w:customStyle="1" w:styleId="BodyTextChar">
    <w:name w:val="Body Text Char"/>
    <w:basedOn w:val="DefaultParagraphFont"/>
    <w:link w:val="BodyText"/>
    <w:rsid w:val="000E71FA"/>
    <w:rPr>
      <w:rFonts w:ascii="Arial" w:hAnsi="Arial"/>
    </w:rPr>
  </w:style>
  <w:style w:type="character" w:customStyle="1" w:styleId="Heading9Char">
    <w:name w:val="Heading 9 Char"/>
    <w:basedOn w:val="DefaultParagraphFont"/>
    <w:link w:val="Heading9"/>
    <w:uiPriority w:val="99"/>
    <w:locked/>
    <w:rsid w:val="00EF6860"/>
    <w:rPr>
      <w:rFonts w:ascii="Arial" w:hAnsi="Arial"/>
      <w:i/>
      <w:sz w:val="18"/>
    </w:rPr>
  </w:style>
  <w:style w:type="character" w:customStyle="1" w:styleId="TitleChar">
    <w:name w:val="Title Char"/>
    <w:basedOn w:val="DefaultParagraphFont"/>
    <w:link w:val="Title"/>
    <w:uiPriority w:val="99"/>
    <w:locked/>
    <w:rsid w:val="00EF6860"/>
    <w:rPr>
      <w:rFonts w:ascii="Arial" w:hAnsi="Arial"/>
      <w:b/>
      <w:caps/>
      <w:kern w:val="28"/>
      <w:sz w:val="30"/>
    </w:rPr>
  </w:style>
  <w:style w:type="character" w:customStyle="1" w:styleId="ClosingChar">
    <w:name w:val="Closing Char"/>
    <w:basedOn w:val="DefaultParagraphFont"/>
    <w:link w:val="Closing"/>
    <w:uiPriority w:val="99"/>
    <w:locked/>
    <w:rsid w:val="00EF6860"/>
    <w:rPr>
      <w:rFonts w:ascii="Arial" w:hAnsi="Arial"/>
    </w:rPr>
  </w:style>
  <w:style w:type="character" w:customStyle="1" w:styleId="MacroTextChar">
    <w:name w:val="Macro Text Char"/>
    <w:basedOn w:val="DefaultParagraphFont"/>
    <w:link w:val="MacroText"/>
    <w:uiPriority w:val="99"/>
    <w:semiHidden/>
    <w:locked/>
    <w:rsid w:val="00EF6860"/>
    <w:rPr>
      <w:rFonts w:ascii="Courier New" w:hAnsi="Courier New"/>
      <w:sz w:val="16"/>
    </w:rPr>
  </w:style>
  <w:style w:type="character" w:customStyle="1" w:styleId="SignatureChar">
    <w:name w:val="Signature Char"/>
    <w:basedOn w:val="DefaultParagraphFont"/>
    <w:link w:val="Signature"/>
    <w:uiPriority w:val="99"/>
    <w:locked/>
    <w:rsid w:val="00EF6860"/>
    <w:rPr>
      <w:rFonts w:ascii="Arial" w:hAnsi="Arial"/>
    </w:rPr>
  </w:style>
  <w:style w:type="character" w:customStyle="1" w:styleId="EndnoteTextChar">
    <w:name w:val="Endnote Text Char"/>
    <w:basedOn w:val="DefaultParagraphFont"/>
    <w:link w:val="EndnoteText"/>
    <w:uiPriority w:val="99"/>
    <w:locked/>
    <w:rsid w:val="00EF6860"/>
    <w:rPr>
      <w:rFonts w:ascii="Arial" w:hAnsi="Arial"/>
    </w:rPr>
  </w:style>
  <w:style w:type="character" w:customStyle="1" w:styleId="DateChar">
    <w:name w:val="Date Char"/>
    <w:basedOn w:val="DefaultParagraphFont"/>
    <w:link w:val="Date"/>
    <w:uiPriority w:val="99"/>
    <w:locked/>
    <w:rsid w:val="00EF6860"/>
    <w:rPr>
      <w:rFonts w:ascii="Arial" w:hAnsi="Arial"/>
      <w:b/>
      <w:sz w:val="22"/>
    </w:rPr>
  </w:style>
  <w:style w:type="paragraph" w:customStyle="1" w:styleId="style1">
    <w:name w:val="style1"/>
    <w:basedOn w:val="Normal"/>
    <w:uiPriority w:val="99"/>
    <w:rsid w:val="00EF6860"/>
    <w:pPr>
      <w:jc w:val="left"/>
    </w:pPr>
    <w:rPr>
      <w:rFonts w:ascii="Times New Roman" w:hAnsi="Times New Roman"/>
      <w:sz w:val="24"/>
      <w:szCs w:val="24"/>
    </w:rPr>
  </w:style>
  <w:style w:type="paragraph" w:customStyle="1" w:styleId="normaltg0">
    <w:name w:val="normaltg"/>
    <w:basedOn w:val="Normal"/>
    <w:uiPriority w:val="99"/>
    <w:rsid w:val="00EF6860"/>
    <w:pPr>
      <w:spacing w:before="100" w:beforeAutospacing="1" w:after="100" w:afterAutospacing="1"/>
      <w:jc w:val="left"/>
    </w:pPr>
    <w:rPr>
      <w:rFonts w:ascii="Times New Roman" w:hAnsi="Times New Roman"/>
      <w:sz w:val="24"/>
      <w:szCs w:val="24"/>
      <w:lang w:val="fr-FR" w:eastAsia="fr-FR"/>
    </w:rPr>
  </w:style>
  <w:style w:type="paragraph" w:customStyle="1" w:styleId="StyleTOC1Before6ptAfter6pt">
    <w:name w:val="Style TOC 1 + Before:  6 pt After:  6 pt"/>
    <w:basedOn w:val="TOC1"/>
    <w:uiPriority w:val="99"/>
    <w:rsid w:val="00EF6860"/>
    <w:pPr>
      <w:spacing w:before="120" w:after="120"/>
    </w:pPr>
  </w:style>
  <w:style w:type="paragraph" w:customStyle="1" w:styleId="Normalt">
    <w:name w:val="Normalt"/>
    <w:basedOn w:val="Normal"/>
    <w:uiPriority w:val="99"/>
    <w:rsid w:val="00EF6860"/>
    <w:pPr>
      <w:spacing w:before="120" w:after="120"/>
      <w:jc w:val="left"/>
    </w:pPr>
    <w:rPr>
      <w:rFonts w:ascii="Times New Roman" w:hAnsi="Times New Roman"/>
      <w:noProof/>
      <w:lang w:eastAsia="es-ES"/>
    </w:rPr>
  </w:style>
  <w:style w:type="paragraph" w:customStyle="1" w:styleId="Normaltb">
    <w:name w:val="Normaltb"/>
    <w:basedOn w:val="Normalt"/>
    <w:uiPriority w:val="99"/>
    <w:rsid w:val="00EF6860"/>
    <w:pPr>
      <w:keepNext/>
    </w:pPr>
    <w:rPr>
      <w:b/>
    </w:rPr>
  </w:style>
  <w:style w:type="paragraph" w:customStyle="1" w:styleId="ecxmsonormal">
    <w:name w:val="ecxmsonormal"/>
    <w:basedOn w:val="Normal"/>
    <w:uiPriority w:val="99"/>
    <w:rsid w:val="00EF6860"/>
    <w:pPr>
      <w:spacing w:before="100" w:beforeAutospacing="1" w:after="100" w:afterAutospacing="1"/>
      <w:jc w:val="left"/>
    </w:pPr>
    <w:rPr>
      <w:rFonts w:ascii="Times New Roman" w:hAnsi="Times New Roman"/>
      <w:sz w:val="24"/>
      <w:szCs w:val="24"/>
      <w:lang w:val="es-ES" w:eastAsia="es-ES"/>
    </w:rPr>
  </w:style>
  <w:style w:type="table" w:customStyle="1" w:styleId="TableGrid10">
    <w:name w:val="Table Grid1"/>
    <w:basedOn w:val="TableNormal"/>
    <w:next w:val="TableGrid"/>
    <w:rsid w:val="00EF6860"/>
    <w:rPr>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uiPriority w:val="99"/>
    <w:rsid w:val="00EF6860"/>
    <w:rPr>
      <w:rFonts w:cs="Times New Roman"/>
    </w:rPr>
  </w:style>
  <w:style w:type="table" w:customStyle="1" w:styleId="TableGrid20">
    <w:name w:val="Table Grid2"/>
    <w:basedOn w:val="TableNormal"/>
    <w:next w:val="TableGrid"/>
    <w:rsid w:val="00EF6860"/>
    <w:rPr>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31</Pages>
  <Words>18003</Words>
  <Characters>96981</Characters>
  <Application>Microsoft Office Word</Application>
  <DocSecurity>0</DocSecurity>
  <Lines>808</Lines>
  <Paragraphs>229</Paragraphs>
  <ScaleCrop>false</ScaleCrop>
  <HeadingPairs>
    <vt:vector size="2" baseType="variant">
      <vt:variant>
        <vt:lpstr>Title</vt:lpstr>
      </vt:variant>
      <vt:variant>
        <vt:i4>1</vt:i4>
      </vt:variant>
    </vt:vector>
  </HeadingPairs>
  <TitlesOfParts>
    <vt:vector size="1" baseType="lpstr">
      <vt:lpstr>C/50/10</vt:lpstr>
    </vt:vector>
  </TitlesOfParts>
  <Company>UPOV</Company>
  <LinksUpToDate>false</LinksUpToDate>
  <CharactersWithSpaces>114755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C/50/10</dc:title>
  <dc:creator>CEVALLOS DUQUE Nilo</dc:creator>
  <cp:lastModifiedBy>BESSE Ariane</cp:lastModifiedBy>
  <cp:revision>30</cp:revision>
  <cp:lastPrinted>2016-10-10T16:07:00Z</cp:lastPrinted>
  <dcterms:created xsi:type="dcterms:W3CDTF">2016-08-24T08:56:00Z</dcterms:created>
  <dcterms:modified xsi:type="dcterms:W3CDTF">2016-10-10T16:07:00Z</dcterms:modified>
</cp:coreProperties>
</file>