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D42A19" w:rsidTr="00C13808">
        <w:trPr>
          <w:trHeight w:val="1760"/>
        </w:trPr>
        <w:tc>
          <w:tcPr>
            <w:tcW w:w="4243" w:type="dxa"/>
          </w:tcPr>
          <w:p w:rsidR="000D7780" w:rsidRPr="00D42A19" w:rsidRDefault="000D7780" w:rsidP="00F45372"/>
        </w:tc>
        <w:tc>
          <w:tcPr>
            <w:tcW w:w="1646" w:type="dxa"/>
            <w:vAlign w:val="center"/>
          </w:tcPr>
          <w:p w:rsidR="000D7780" w:rsidRPr="00D42A19" w:rsidRDefault="00745D66" w:rsidP="00F45372">
            <w:pPr>
              <w:pStyle w:val="LogoUPOV"/>
            </w:pPr>
            <w:r w:rsidRPr="00D42A19">
              <w:rPr>
                <w:noProof/>
                <w:lang w:val="en-US"/>
              </w:rPr>
              <w:drawing>
                <wp:inline distT="0" distB="0" distL="0" distR="0" wp14:anchorId="536EFBF4" wp14:editId="63C4A8D7">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C336C5" w:rsidRDefault="00A47CDB" w:rsidP="00F45372">
            <w:pPr>
              <w:pStyle w:val="Lettrine"/>
            </w:pPr>
            <w:r w:rsidRPr="00C336C5">
              <w:t>S</w:t>
            </w:r>
          </w:p>
          <w:p w:rsidR="001365D1" w:rsidRPr="00C336C5" w:rsidRDefault="001365D1" w:rsidP="001365D1">
            <w:pPr>
              <w:pStyle w:val="Docoriginal"/>
              <w:ind w:left="313"/>
            </w:pPr>
            <w:r w:rsidRPr="00C336C5">
              <w:t>C/49/</w:t>
            </w:r>
            <w:bookmarkStart w:id="0" w:name="Code"/>
            <w:bookmarkEnd w:id="0"/>
            <w:r w:rsidRPr="00C336C5">
              <w:t>15</w:t>
            </w:r>
          </w:p>
          <w:p w:rsidR="001365D1" w:rsidRPr="00C336C5" w:rsidRDefault="001365D1" w:rsidP="001365D1">
            <w:pPr>
              <w:pStyle w:val="Docoriginal"/>
              <w:ind w:left="313"/>
              <w:rPr>
                <w:b w:val="0"/>
                <w:spacing w:val="0"/>
              </w:rPr>
            </w:pPr>
            <w:r w:rsidRPr="00C336C5">
              <w:rPr>
                <w:rStyle w:val="StyleDoclangBold"/>
                <w:b/>
                <w:bCs/>
                <w:spacing w:val="0"/>
                <w:lang w:val="es-ES_tradnl"/>
              </w:rPr>
              <w:t>ORIGINAL:</w:t>
            </w:r>
            <w:r w:rsidRPr="00C336C5">
              <w:rPr>
                <w:rStyle w:val="StyleDocoriginalNotBold1"/>
                <w:spacing w:val="0"/>
                <w:lang w:val="es-ES_tradnl"/>
              </w:rPr>
              <w:t xml:space="preserve"> </w:t>
            </w:r>
            <w:r w:rsidRPr="00C336C5">
              <w:t xml:space="preserve"> </w:t>
            </w:r>
            <w:bookmarkStart w:id="1" w:name="Original"/>
            <w:bookmarkEnd w:id="1"/>
            <w:r w:rsidRPr="00C336C5">
              <w:rPr>
                <w:b w:val="0"/>
                <w:spacing w:val="0"/>
                <w:sz w:val="18"/>
                <w:szCs w:val="18"/>
              </w:rPr>
              <w:t>English/</w:t>
            </w:r>
            <w:proofErr w:type="spellStart"/>
            <w:r w:rsidRPr="00C336C5">
              <w:rPr>
                <w:b w:val="0"/>
                <w:spacing w:val="0"/>
                <w:sz w:val="18"/>
                <w:szCs w:val="18"/>
              </w:rPr>
              <w:t>français</w:t>
            </w:r>
            <w:proofErr w:type="spellEnd"/>
            <w:r w:rsidRPr="00C336C5">
              <w:rPr>
                <w:b w:val="0"/>
                <w:spacing w:val="0"/>
                <w:sz w:val="18"/>
                <w:szCs w:val="18"/>
              </w:rPr>
              <w:t>/</w:t>
            </w:r>
            <w:proofErr w:type="spellStart"/>
            <w:r w:rsidRPr="00C336C5">
              <w:rPr>
                <w:b w:val="0"/>
                <w:spacing w:val="0"/>
                <w:sz w:val="18"/>
                <w:szCs w:val="18"/>
              </w:rPr>
              <w:t>deutsch</w:t>
            </w:r>
            <w:proofErr w:type="spellEnd"/>
            <w:r w:rsidRPr="00C336C5">
              <w:rPr>
                <w:b w:val="0"/>
                <w:spacing w:val="0"/>
                <w:sz w:val="18"/>
                <w:szCs w:val="18"/>
              </w:rPr>
              <w:t>/español</w:t>
            </w:r>
          </w:p>
          <w:p w:rsidR="000D7780" w:rsidRPr="00C336C5" w:rsidRDefault="001365D1" w:rsidP="001365D1">
            <w:pPr>
              <w:pStyle w:val="Docoriginal"/>
              <w:ind w:left="313"/>
            </w:pPr>
            <w:r w:rsidRPr="00C336C5">
              <w:t xml:space="preserve">FECHA: </w:t>
            </w:r>
            <w:r w:rsidRPr="00C336C5">
              <w:rPr>
                <w:rStyle w:val="StyleDocoriginalNotBold1"/>
                <w:spacing w:val="0"/>
                <w:lang w:val="es-ES_tradnl"/>
              </w:rPr>
              <w:t xml:space="preserve"> </w:t>
            </w:r>
            <w:bookmarkStart w:id="2" w:name="Date"/>
            <w:bookmarkEnd w:id="2"/>
            <w:r w:rsidR="00042D04" w:rsidRPr="00C336C5">
              <w:rPr>
                <w:rStyle w:val="StyleDocoriginalNotBold1"/>
                <w:spacing w:val="0"/>
                <w:lang w:val="es-ES_tradnl"/>
              </w:rPr>
              <w:t>16</w:t>
            </w:r>
            <w:r w:rsidRPr="00C336C5">
              <w:rPr>
                <w:rStyle w:val="StyleDocoriginalNotBold1"/>
                <w:spacing w:val="0"/>
                <w:lang w:val="es-ES_tradnl"/>
              </w:rPr>
              <w:t xml:space="preserve"> de octubre de</w:t>
            </w:r>
            <w:r w:rsidRPr="00C336C5">
              <w:rPr>
                <w:b w:val="0"/>
                <w:spacing w:val="0"/>
              </w:rPr>
              <w:t xml:space="preserve"> 2015</w:t>
            </w:r>
          </w:p>
        </w:tc>
      </w:tr>
      <w:tr w:rsidR="000D7780" w:rsidRPr="00D42A19" w:rsidTr="00C13808">
        <w:tc>
          <w:tcPr>
            <w:tcW w:w="10131" w:type="dxa"/>
            <w:gridSpan w:val="3"/>
          </w:tcPr>
          <w:p w:rsidR="000D7780" w:rsidRPr="00D42A19" w:rsidRDefault="00A47CDB" w:rsidP="00F45372">
            <w:pPr>
              <w:pStyle w:val="upove"/>
              <w:rPr>
                <w:sz w:val="28"/>
              </w:rPr>
            </w:pPr>
            <w:r w:rsidRPr="00D42A19">
              <w:rPr>
                <w:spacing w:val="2"/>
              </w:rPr>
              <w:t>UNIÓN INTERNACIONAL PARA LA PROTECCIÓN DE LAS OBTENCIONES VEGETALES</w:t>
            </w:r>
          </w:p>
        </w:tc>
      </w:tr>
      <w:tr w:rsidR="000D7780" w:rsidRPr="00D42A19" w:rsidTr="00C13808">
        <w:tc>
          <w:tcPr>
            <w:tcW w:w="10131" w:type="dxa"/>
            <w:gridSpan w:val="3"/>
          </w:tcPr>
          <w:p w:rsidR="000D7780" w:rsidRPr="00D42A19" w:rsidRDefault="00A47CDB" w:rsidP="00F45372">
            <w:pPr>
              <w:pStyle w:val="Country"/>
            </w:pPr>
            <w:r w:rsidRPr="00D42A19">
              <w:t>Ginebra</w:t>
            </w:r>
          </w:p>
        </w:tc>
      </w:tr>
    </w:tbl>
    <w:p w:rsidR="000D7780" w:rsidRPr="00D42A19" w:rsidRDefault="00E80F31" w:rsidP="00F45372">
      <w:pPr>
        <w:pStyle w:val="Sessiontc"/>
      </w:pPr>
      <w:r w:rsidRPr="00D42A19">
        <w:t>CONSEJO</w:t>
      </w:r>
    </w:p>
    <w:p w:rsidR="00361821" w:rsidRPr="00D42A19" w:rsidRDefault="00A47CDB" w:rsidP="00F45372">
      <w:pPr>
        <w:pStyle w:val="Sessiontcplacedate"/>
      </w:pPr>
      <w:r w:rsidRPr="00D42A19">
        <w:t xml:space="preserve">Cuadragésima </w:t>
      </w:r>
      <w:r w:rsidR="009A0B1E" w:rsidRPr="00D42A19">
        <w:t xml:space="preserve">novena </w:t>
      </w:r>
      <w:r w:rsidR="00142198" w:rsidRPr="00D42A19">
        <w:t>sesión ordinaria</w:t>
      </w:r>
      <w:r w:rsidRPr="00D42A19">
        <w:br/>
        <w:t xml:space="preserve">Ginebra, </w:t>
      </w:r>
      <w:r w:rsidR="009A0B1E" w:rsidRPr="00D42A19">
        <w:t>29</w:t>
      </w:r>
      <w:r w:rsidR="00E80F31" w:rsidRPr="00D42A19">
        <w:t xml:space="preserve"> de </w:t>
      </w:r>
      <w:r w:rsidR="00F73179" w:rsidRPr="00D42A19">
        <w:t xml:space="preserve">octubre </w:t>
      </w:r>
      <w:r w:rsidR="00E80F31" w:rsidRPr="00D42A19">
        <w:t xml:space="preserve">de </w:t>
      </w:r>
      <w:r w:rsidRPr="00D42A19">
        <w:t>201</w:t>
      </w:r>
      <w:r w:rsidR="009A0B1E" w:rsidRPr="00D42A19">
        <w:t>5</w:t>
      </w:r>
    </w:p>
    <w:p w:rsidR="001365D1" w:rsidRPr="00D42A19" w:rsidRDefault="001365D1" w:rsidP="001365D1">
      <w:pPr>
        <w:pStyle w:val="Titleofdoc0"/>
      </w:pPr>
      <w:bookmarkStart w:id="3" w:name="TitleOfDoc"/>
      <w:bookmarkEnd w:id="3"/>
      <w:r w:rsidRPr="00D42A19">
        <w:t xml:space="preserve">INFORMES DE REPRESENTANTES DE MIEMBROS Y OBSERVADORES </w:t>
      </w:r>
      <w:r w:rsidRPr="00D42A19">
        <w:br/>
        <w:t>SOBRE LOS ÁMBITOS LEGISLATIVO, ADMINISTRATIVO Y TÉCNICO</w:t>
      </w:r>
    </w:p>
    <w:p w:rsidR="001365D1" w:rsidRPr="00D42A19" w:rsidRDefault="001365D1" w:rsidP="001365D1">
      <w:pPr>
        <w:pStyle w:val="preparedby1"/>
      </w:pPr>
      <w:bookmarkStart w:id="4" w:name="Prepared"/>
      <w:bookmarkEnd w:id="4"/>
      <w:r w:rsidRPr="00D42A19">
        <w:t>Documento preparado por la Oficina de la Unión</w:t>
      </w:r>
      <w:r w:rsidRPr="00D42A19">
        <w:br/>
      </w:r>
      <w:r w:rsidRPr="00D42A19">
        <w:br/>
      </w:r>
      <w:r w:rsidRPr="00D42A19">
        <w:rPr>
          <w:color w:val="A6A6A6"/>
        </w:rPr>
        <w:t>Descargo de responsabilidad:  el presente documento no constituye</w:t>
      </w:r>
      <w:r w:rsidRPr="00D42A19">
        <w:rPr>
          <w:color w:val="A6A6A6"/>
        </w:rPr>
        <w:br/>
        <w:t>un documento de política u orientación de la UPOV</w:t>
      </w:r>
    </w:p>
    <w:p w:rsidR="001365D1" w:rsidRPr="00D42A19" w:rsidRDefault="001365D1" w:rsidP="001365D1">
      <w:r w:rsidRPr="00D42A19">
        <w:fldChar w:fldCharType="begin"/>
      </w:r>
      <w:r w:rsidRPr="00D42A19">
        <w:instrText xml:space="preserve"> AUTONUM  </w:instrText>
      </w:r>
      <w:r w:rsidRPr="00D42A19">
        <w:fldChar w:fldCharType="end"/>
      </w:r>
      <w:r w:rsidRPr="00D42A19">
        <w:tab/>
        <w:t>De conformidad con el procedimiento introducido con ocasión del vigésimo sexto período ordinario de sesiones del Consejo, se solicita que los informes de representantes de miembros y observadores sobre la situación en los ámbitos legislativo, administrativo y técnico de la protección de las obtenciones vegetales y sectores afines se presenten por escrito y con antelación a fin de permitir al Consejo desempeñar más eficazmente sus funciones.</w:t>
      </w:r>
    </w:p>
    <w:p w:rsidR="001365D1" w:rsidRPr="00D42A19" w:rsidRDefault="001365D1" w:rsidP="001365D1">
      <w:pPr>
        <w:widowControl w:val="0"/>
      </w:pPr>
    </w:p>
    <w:p w:rsidR="001365D1" w:rsidRPr="00D42A19" w:rsidRDefault="001365D1" w:rsidP="001365D1">
      <w:pPr>
        <w:widowControl w:val="0"/>
      </w:pPr>
      <w:r w:rsidRPr="00D42A19">
        <w:fldChar w:fldCharType="begin"/>
      </w:r>
      <w:r w:rsidRPr="00D42A19">
        <w:instrText xml:space="preserve"> AUTONUM  </w:instrText>
      </w:r>
      <w:r w:rsidRPr="00D42A19">
        <w:fldChar w:fldCharType="end"/>
      </w:r>
      <w:r w:rsidRPr="00D42A19">
        <w:tab/>
        <w:t>En las circulares de invitación a la presente sesión, la Oficina de la Unión ha solicitado informes escritos y ha propuesto un modelo de formato a tal efecto.  Se han presentado los informes siguientes (por orden alfabético de los nombres de los miembros y observadores en francés):</w:t>
      </w:r>
    </w:p>
    <w:p w:rsidR="001365D1" w:rsidRPr="00D42A19" w:rsidRDefault="001365D1" w:rsidP="001365D1">
      <w:pPr>
        <w:widowControl w:val="0"/>
      </w:pPr>
    </w:p>
    <w:p w:rsidR="001365D1" w:rsidRPr="00D42A19" w:rsidRDefault="001365D1" w:rsidP="001365D1">
      <w:pPr>
        <w:widowControl w:val="0"/>
        <w:ind w:left="567" w:right="-1"/>
        <w:rPr>
          <w:szCs w:val="24"/>
        </w:rPr>
      </w:pPr>
      <w:r w:rsidRPr="00D42A19">
        <w:rPr>
          <w:spacing w:val="-2"/>
          <w:szCs w:val="24"/>
          <w:u w:val="single"/>
        </w:rPr>
        <w:t>Miembros</w:t>
      </w:r>
      <w:r w:rsidRPr="00D42A19">
        <w:rPr>
          <w:spacing w:val="-2"/>
          <w:szCs w:val="24"/>
        </w:rPr>
        <w:t xml:space="preserve">:  Anexos I a XVII:  Alemania, Chile, Colombia, Croacia, Dinamarca, Letonia, Lituania, Marruecos, Nueva Zelandia, Polonia, República de Corea, República de </w:t>
      </w:r>
      <w:proofErr w:type="spellStart"/>
      <w:r w:rsidRPr="00D42A19">
        <w:rPr>
          <w:spacing w:val="-2"/>
          <w:szCs w:val="24"/>
        </w:rPr>
        <w:t>Moldova</w:t>
      </w:r>
      <w:proofErr w:type="spellEnd"/>
      <w:r w:rsidRPr="00D42A19">
        <w:rPr>
          <w:spacing w:val="-2"/>
          <w:szCs w:val="24"/>
        </w:rPr>
        <w:t>, República Checa, Serbia, Suiza, Túnez y Unión Europea</w:t>
      </w:r>
    </w:p>
    <w:p w:rsidR="001365D1" w:rsidRPr="00D42A19" w:rsidRDefault="001365D1" w:rsidP="001365D1">
      <w:pPr>
        <w:widowControl w:val="0"/>
        <w:ind w:left="567" w:right="-1"/>
        <w:rPr>
          <w:szCs w:val="24"/>
        </w:rPr>
      </w:pPr>
    </w:p>
    <w:p w:rsidR="001365D1" w:rsidRPr="00D42A19" w:rsidRDefault="001365D1" w:rsidP="001365D1">
      <w:pPr>
        <w:widowControl w:val="0"/>
        <w:ind w:left="567" w:right="-1"/>
        <w:rPr>
          <w:spacing w:val="-2"/>
          <w:szCs w:val="24"/>
        </w:rPr>
      </w:pPr>
      <w:r w:rsidRPr="00D42A19">
        <w:rPr>
          <w:szCs w:val="24"/>
          <w:u w:val="single"/>
        </w:rPr>
        <w:t>Observador</w:t>
      </w:r>
      <w:r w:rsidRPr="00D42A19">
        <w:rPr>
          <w:szCs w:val="24"/>
        </w:rPr>
        <w:t>:  Anexo XVIII:  ARIPO</w:t>
      </w:r>
    </w:p>
    <w:p w:rsidR="001365D1" w:rsidRPr="00D42A19" w:rsidRDefault="001365D1" w:rsidP="001365D1">
      <w:pPr>
        <w:widowControl w:val="0"/>
        <w:ind w:right="567"/>
      </w:pPr>
    </w:p>
    <w:p w:rsidR="001365D1" w:rsidRPr="00D42A19" w:rsidRDefault="001365D1" w:rsidP="001365D1">
      <w:r w:rsidRPr="00D42A19">
        <w:fldChar w:fldCharType="begin"/>
      </w:r>
      <w:r w:rsidRPr="00D42A19">
        <w:instrText xml:space="preserve"> AUTONUM  </w:instrText>
      </w:r>
      <w:r w:rsidRPr="00D42A19">
        <w:fldChar w:fldCharType="end"/>
      </w:r>
      <w:r w:rsidRPr="00D42A19">
        <w:tab/>
        <w:t>Los informes recibidos después del 9 de octubre de 2015 se incluirán como adenda a este documento y se publicarán después de la sesión del Consejo.</w:t>
      </w:r>
    </w:p>
    <w:p w:rsidR="001365D1" w:rsidRPr="00D42A19" w:rsidRDefault="001365D1" w:rsidP="001365D1"/>
    <w:p w:rsidR="001365D1" w:rsidRPr="00D42A19" w:rsidRDefault="001365D1" w:rsidP="001365D1"/>
    <w:p w:rsidR="001365D1" w:rsidRPr="00D42A19" w:rsidRDefault="001365D1" w:rsidP="001365D1"/>
    <w:p w:rsidR="00A929D4" w:rsidRPr="00D42A19" w:rsidRDefault="001365D1" w:rsidP="001365D1">
      <w:pPr>
        <w:jc w:val="right"/>
      </w:pPr>
      <w:r w:rsidRPr="00D42A19">
        <w:t>[Siguen los Anexos]</w:t>
      </w:r>
    </w:p>
    <w:p w:rsidR="006B17D2" w:rsidRPr="00D42A19" w:rsidRDefault="006B17D2" w:rsidP="003E7998">
      <w:pPr>
        <w:jc w:val="left"/>
      </w:pPr>
    </w:p>
    <w:p w:rsidR="00AA1F60" w:rsidRPr="00D42A19" w:rsidRDefault="00AA1F60" w:rsidP="003E7998">
      <w:pPr>
        <w:jc w:val="left"/>
        <w:sectPr w:rsidR="00AA1F60" w:rsidRPr="00D42A19" w:rsidSect="00906DDC">
          <w:headerReference w:type="default" r:id="rId10"/>
          <w:pgSz w:w="11907" w:h="16840" w:code="9"/>
          <w:pgMar w:top="510" w:right="1134" w:bottom="1134" w:left="1134" w:header="510" w:footer="680" w:gutter="0"/>
          <w:cols w:space="720"/>
          <w:titlePg/>
        </w:sectPr>
      </w:pPr>
    </w:p>
    <w:p w:rsidR="003F39F5" w:rsidRPr="00D42A19" w:rsidRDefault="003F39F5" w:rsidP="003F39F5">
      <w:pPr>
        <w:jc w:val="center"/>
      </w:pPr>
      <w:r w:rsidRPr="00D42A19">
        <w:lastRenderedPageBreak/>
        <w:t>C/49/15</w:t>
      </w:r>
    </w:p>
    <w:p w:rsidR="003F39F5" w:rsidRPr="00D42A19" w:rsidRDefault="003F39F5" w:rsidP="003F39F5">
      <w:pPr>
        <w:jc w:val="center"/>
      </w:pPr>
    </w:p>
    <w:p w:rsidR="003F39F5" w:rsidRPr="00D42A19" w:rsidRDefault="00F14899" w:rsidP="003F39F5">
      <w:pPr>
        <w:jc w:val="center"/>
      </w:pPr>
      <w:r w:rsidRPr="00D42A19">
        <w:t>ANEXO</w:t>
      </w:r>
      <w:r w:rsidR="003F39F5" w:rsidRPr="00D42A19">
        <w:t xml:space="preserve"> I</w:t>
      </w:r>
    </w:p>
    <w:p w:rsidR="003F39F5" w:rsidRPr="00D42A19" w:rsidRDefault="003F39F5" w:rsidP="003F39F5">
      <w:pPr>
        <w:jc w:val="center"/>
      </w:pPr>
    </w:p>
    <w:p w:rsidR="003F39F5" w:rsidRPr="00D42A19" w:rsidRDefault="003F39F5" w:rsidP="003F39F5">
      <w:pPr>
        <w:jc w:val="center"/>
      </w:pPr>
    </w:p>
    <w:p w:rsidR="003F39F5" w:rsidRPr="00D42A19" w:rsidRDefault="00F14899" w:rsidP="003F39F5">
      <w:pPr>
        <w:jc w:val="center"/>
      </w:pPr>
      <w:r w:rsidRPr="00D42A19">
        <w:t>ALEMANIA</w:t>
      </w:r>
    </w:p>
    <w:p w:rsidR="003F39F5" w:rsidRPr="00D42A19" w:rsidRDefault="003F39F5" w:rsidP="003F39F5">
      <w:pPr>
        <w:jc w:val="left"/>
      </w:pPr>
    </w:p>
    <w:p w:rsidR="003F39F5" w:rsidRPr="00D42A19" w:rsidRDefault="003F39F5" w:rsidP="003F39F5">
      <w:pPr>
        <w:jc w:val="left"/>
      </w:pPr>
    </w:p>
    <w:p w:rsidR="00473D0E" w:rsidRPr="00D42A19" w:rsidRDefault="00473D0E" w:rsidP="00473D0E">
      <w:r w:rsidRPr="00D42A19">
        <w:t>PROTECCIÓN DE LAS OBTENCIONES VEGETALES</w:t>
      </w:r>
    </w:p>
    <w:p w:rsidR="00473D0E" w:rsidRPr="00D42A19" w:rsidRDefault="00473D0E" w:rsidP="00473D0E"/>
    <w:p w:rsidR="00473D0E" w:rsidRPr="00D42A19" w:rsidRDefault="00473D0E" w:rsidP="00473D0E">
      <w:pPr>
        <w:rPr>
          <w:u w:val="single"/>
        </w:rPr>
      </w:pPr>
      <w:r w:rsidRPr="00D42A19">
        <w:rPr>
          <w:u w:val="single"/>
        </w:rPr>
        <w:t>Actividades para la promoción de la protección de las obtenciones vegetales</w:t>
      </w:r>
    </w:p>
    <w:p w:rsidR="00473D0E" w:rsidRPr="00D42A19" w:rsidRDefault="00473D0E" w:rsidP="00473D0E"/>
    <w:p w:rsidR="00473D0E" w:rsidRPr="00D42A19" w:rsidRDefault="00473D0E" w:rsidP="00473D0E">
      <w:r w:rsidRPr="00D42A19">
        <w:t>Durante el período objeto del informe, representantes de la Oficina Federal de Variedades Vegetales y el sector empresarial visitaron Mongolia donde se organizó un taller sobre las obtenciones vegetales y la ley de semillas.</w:t>
      </w:r>
    </w:p>
    <w:p w:rsidR="00473D0E" w:rsidRPr="00D42A19" w:rsidRDefault="00473D0E" w:rsidP="00473D0E"/>
    <w:p w:rsidR="00473D0E" w:rsidRPr="00D42A19" w:rsidRDefault="00473D0E" w:rsidP="00473D0E">
      <w:r w:rsidRPr="00D42A19">
        <w:t xml:space="preserve">En diciembre de 2014 se hizo una nueva visita a la India como parte de un proyecto de cooperación en el que participó el Ministerio de Agricultura.  En esa ocasión, tuvo lugar un debate con los representantes locales de la industria </w:t>
      </w:r>
      <w:proofErr w:type="spellStart"/>
      <w:r w:rsidRPr="00D42A19">
        <w:t>semillera</w:t>
      </w:r>
      <w:proofErr w:type="spellEnd"/>
      <w:r w:rsidRPr="00D42A19">
        <w:t xml:space="preserve"> y el Ministerio, además de las autoridades examinadoras, en especial en lo relativo a las características específicas del sistema de la India de protección de las obtenciones vegetales (entre ellas, los derechos del agricultor).  Dicho debate se afianzó cuando la Oficina India de Variedades Vegetales devolvió la visita a la Oficina Federal de Variedades Vegetales, además de reunirse con distintas empresas de la industria </w:t>
      </w:r>
      <w:proofErr w:type="spellStart"/>
      <w:r w:rsidRPr="00D42A19">
        <w:t>semillera</w:t>
      </w:r>
      <w:proofErr w:type="spellEnd"/>
      <w:r w:rsidRPr="00D42A19">
        <w:t xml:space="preserve"> alemana.</w:t>
      </w:r>
    </w:p>
    <w:p w:rsidR="003F39F5" w:rsidRPr="00D42A19" w:rsidRDefault="003F39F5" w:rsidP="003F39F5"/>
    <w:p w:rsidR="003F39F5" w:rsidRPr="00D42A19" w:rsidRDefault="003F39F5" w:rsidP="003F39F5">
      <w:pPr>
        <w:jc w:val="left"/>
      </w:pPr>
    </w:p>
    <w:p w:rsidR="003F39F5" w:rsidRPr="00D42A19" w:rsidRDefault="003F39F5" w:rsidP="003F39F5"/>
    <w:p w:rsidR="003F39F5" w:rsidRPr="00D42A19" w:rsidRDefault="00F14899" w:rsidP="003F39F5">
      <w:pPr>
        <w:jc w:val="right"/>
      </w:pPr>
      <w:r w:rsidRPr="00D42A19">
        <w:t>[Sigue el Anexo</w:t>
      </w:r>
      <w:r w:rsidR="003F39F5" w:rsidRPr="00D42A19">
        <w:t xml:space="preserve"> II</w:t>
      </w:r>
      <w:r w:rsidRPr="00D42A19">
        <w:t>]</w:t>
      </w:r>
    </w:p>
    <w:p w:rsidR="003F39F5" w:rsidRPr="00D42A19" w:rsidRDefault="003F39F5" w:rsidP="003F39F5">
      <w:pPr>
        <w:jc w:val="left"/>
      </w:pPr>
    </w:p>
    <w:p w:rsidR="003F39F5" w:rsidRPr="00D42A19" w:rsidRDefault="003F39F5" w:rsidP="003F39F5">
      <w:pPr>
        <w:jc w:val="left"/>
        <w:sectPr w:rsidR="003F39F5" w:rsidRPr="00D42A19" w:rsidSect="004F3A50">
          <w:headerReference w:type="default" r:id="rId11"/>
          <w:pgSz w:w="11907" w:h="16840" w:code="9"/>
          <w:pgMar w:top="510" w:right="1134" w:bottom="1134" w:left="1134" w:header="510" w:footer="680" w:gutter="0"/>
          <w:pgNumType w:start="1"/>
          <w:cols w:space="720"/>
          <w:titlePg/>
        </w:sectPr>
      </w:pPr>
    </w:p>
    <w:p w:rsidR="003F39F5" w:rsidRPr="00D42A19" w:rsidRDefault="003F39F5" w:rsidP="003F39F5">
      <w:pPr>
        <w:jc w:val="center"/>
      </w:pPr>
      <w:r w:rsidRPr="00D42A19">
        <w:lastRenderedPageBreak/>
        <w:t>C/49/15</w:t>
      </w:r>
    </w:p>
    <w:p w:rsidR="003F39F5" w:rsidRPr="00D42A19" w:rsidRDefault="003F39F5" w:rsidP="003F39F5">
      <w:pPr>
        <w:jc w:val="center"/>
      </w:pPr>
    </w:p>
    <w:p w:rsidR="003F39F5" w:rsidRPr="00D42A19" w:rsidRDefault="00F14899" w:rsidP="003F39F5">
      <w:pPr>
        <w:jc w:val="center"/>
      </w:pPr>
      <w:r w:rsidRPr="00D42A19">
        <w:t>ANEXO</w:t>
      </w:r>
      <w:r w:rsidR="003F39F5" w:rsidRPr="00D42A19">
        <w:t xml:space="preserve"> II</w:t>
      </w:r>
    </w:p>
    <w:p w:rsidR="003F39F5" w:rsidRPr="00D42A19" w:rsidRDefault="003F39F5" w:rsidP="003F39F5">
      <w:pPr>
        <w:jc w:val="center"/>
      </w:pPr>
    </w:p>
    <w:p w:rsidR="003F39F5" w:rsidRPr="00D42A19" w:rsidRDefault="003F39F5" w:rsidP="003F39F5">
      <w:pPr>
        <w:jc w:val="center"/>
      </w:pPr>
    </w:p>
    <w:p w:rsidR="003F39F5" w:rsidRPr="00D42A19" w:rsidRDefault="003F39F5" w:rsidP="003F39F5">
      <w:pPr>
        <w:jc w:val="center"/>
      </w:pPr>
      <w:r w:rsidRPr="00D42A19">
        <w:t>CHILE</w:t>
      </w:r>
    </w:p>
    <w:p w:rsidR="003F39F5" w:rsidRPr="00D42A19" w:rsidRDefault="003F39F5" w:rsidP="003F39F5">
      <w:pPr>
        <w:jc w:val="left"/>
      </w:pPr>
    </w:p>
    <w:p w:rsidR="003F39F5" w:rsidRPr="00D42A19" w:rsidRDefault="003F39F5" w:rsidP="003F39F5">
      <w:pPr>
        <w:jc w:val="left"/>
      </w:pPr>
    </w:p>
    <w:p w:rsidR="00473D0E" w:rsidRPr="00D42A19" w:rsidRDefault="00473D0E" w:rsidP="00473D0E">
      <w:r w:rsidRPr="00D42A19">
        <w:t>I.</w:t>
      </w:r>
      <w:r w:rsidRPr="00D42A19">
        <w:tab/>
        <w:t>PROTECCIÓN DE LAS OBTENCIONES VEGETALES</w:t>
      </w:r>
    </w:p>
    <w:p w:rsidR="00473D0E" w:rsidRPr="00D42A19" w:rsidRDefault="00473D0E" w:rsidP="00473D0E"/>
    <w:p w:rsidR="00473D0E" w:rsidRPr="00D42A19" w:rsidRDefault="00473D0E" w:rsidP="00473D0E">
      <w:pPr>
        <w:rPr>
          <w:u w:val="single"/>
        </w:rPr>
      </w:pPr>
      <w:r w:rsidRPr="00D42A19">
        <w:t>1.</w:t>
      </w:r>
      <w:r w:rsidRPr="00D42A19">
        <w:tab/>
      </w:r>
      <w:r w:rsidRPr="00D42A19">
        <w:rPr>
          <w:u w:val="single"/>
        </w:rPr>
        <w:t>Situación en el campo legislativo</w:t>
      </w:r>
    </w:p>
    <w:p w:rsidR="00473D0E" w:rsidRPr="00D42A19" w:rsidRDefault="00473D0E" w:rsidP="00473D0E"/>
    <w:p w:rsidR="00473D0E" w:rsidRPr="00D42A19" w:rsidRDefault="00473D0E" w:rsidP="00473D0E">
      <w:r w:rsidRPr="00D42A19">
        <w:tab/>
        <w:t>1.1</w:t>
      </w:r>
      <w:r w:rsidRPr="00D42A19">
        <w:tab/>
        <w:t>Modificaciones de la ley y de los reglamentos</w:t>
      </w:r>
    </w:p>
    <w:p w:rsidR="00473D0E" w:rsidRPr="00D42A19" w:rsidRDefault="00473D0E" w:rsidP="00473D0E">
      <w:pPr>
        <w:ind w:left="851"/>
      </w:pPr>
      <w:r w:rsidRPr="00D42A19">
        <w:t>-</w:t>
      </w:r>
      <w:r w:rsidRPr="00D42A19">
        <w:tab/>
        <w:t>Adaptación al Acta de 1991 del Convenio</w:t>
      </w:r>
    </w:p>
    <w:p w:rsidR="00473D0E" w:rsidRPr="00D42A19" w:rsidRDefault="00473D0E" w:rsidP="00473D0E">
      <w:pPr>
        <w:ind w:left="851"/>
      </w:pPr>
      <w:r w:rsidRPr="00D42A19">
        <w:t>-</w:t>
      </w:r>
      <w:r w:rsidRPr="00D42A19">
        <w:tab/>
        <w:t>Otras modificaciones, incluyendo las referentes a las tasas</w:t>
      </w:r>
    </w:p>
    <w:p w:rsidR="00473D0E" w:rsidRPr="00D42A19" w:rsidRDefault="00473D0E" w:rsidP="00473D0E">
      <w:pPr>
        <w:ind w:left="851"/>
      </w:pPr>
    </w:p>
    <w:p w:rsidR="00473D0E" w:rsidRPr="00D42A19" w:rsidRDefault="00473D0E" w:rsidP="00473D0E">
      <w:pPr>
        <w:ind w:left="851"/>
      </w:pPr>
      <w:r w:rsidRPr="00D42A19">
        <w:t>A contar del 1º de agosto de 2015 se modificaron las tasas de inscripción y de mantención.  Las Resoluciones que dictan las nuevas tasas se adjuntan a este documento</w:t>
      </w:r>
    </w:p>
    <w:p w:rsidR="00473D0E" w:rsidRPr="00D42A19" w:rsidRDefault="00473D0E" w:rsidP="00473D0E"/>
    <w:p w:rsidR="00473D0E" w:rsidRPr="00D42A19" w:rsidRDefault="00473D0E" w:rsidP="00473D0E"/>
    <w:p w:rsidR="00473D0E" w:rsidRPr="00D42A19" w:rsidRDefault="00473D0E" w:rsidP="00473D0E">
      <w:pPr>
        <w:rPr>
          <w:u w:val="single"/>
        </w:rPr>
      </w:pPr>
      <w:r w:rsidRPr="00D42A19">
        <w:t>2.</w:t>
      </w:r>
      <w:r w:rsidRPr="00D42A19">
        <w:tab/>
      </w:r>
      <w:r w:rsidRPr="00D42A19">
        <w:rPr>
          <w:u w:val="single"/>
        </w:rPr>
        <w:t>Cooperación en el examen</w:t>
      </w:r>
    </w:p>
    <w:p w:rsidR="00473D0E" w:rsidRPr="00D42A19" w:rsidRDefault="00473D0E" w:rsidP="00473D0E">
      <w:pPr>
        <w:rPr>
          <w:u w:val="single"/>
        </w:rPr>
      </w:pPr>
    </w:p>
    <w:p w:rsidR="00473D0E" w:rsidRPr="00D42A19" w:rsidRDefault="00473D0E" w:rsidP="00473D0E">
      <w:pPr>
        <w:tabs>
          <w:tab w:val="left" w:pos="851"/>
          <w:tab w:val="left" w:pos="4111"/>
        </w:tabs>
        <w:ind w:left="426"/>
      </w:pPr>
      <w:r w:rsidRPr="00D42A19">
        <w:t>-</w:t>
      </w:r>
      <w:r w:rsidRPr="00D42A19">
        <w:tab/>
        <w:t>Conclusión de nuevos acuerdos (realizados, en proceso o en proyecto)</w:t>
      </w:r>
    </w:p>
    <w:p w:rsidR="00473D0E" w:rsidRPr="00D42A19" w:rsidRDefault="00473D0E" w:rsidP="00473D0E">
      <w:pPr>
        <w:tabs>
          <w:tab w:val="left" w:pos="851"/>
        </w:tabs>
        <w:ind w:left="426"/>
      </w:pPr>
      <w:r w:rsidRPr="00D42A19">
        <w:t>-</w:t>
      </w:r>
      <w:r w:rsidRPr="00D42A19">
        <w:tab/>
        <w:t>Modificación de los ya existentes (realizados, en proceso o en proyecto)</w:t>
      </w:r>
    </w:p>
    <w:p w:rsidR="00473D0E" w:rsidRPr="00D42A19" w:rsidRDefault="00473D0E" w:rsidP="00473D0E">
      <w:pPr>
        <w:tabs>
          <w:tab w:val="left" w:pos="851"/>
        </w:tabs>
        <w:ind w:left="426"/>
      </w:pPr>
    </w:p>
    <w:p w:rsidR="00473D0E" w:rsidRPr="00D42A19" w:rsidRDefault="00473D0E" w:rsidP="00473D0E">
      <w:pPr>
        <w:tabs>
          <w:tab w:val="left" w:pos="851"/>
        </w:tabs>
        <w:ind w:left="426"/>
      </w:pPr>
      <w:r w:rsidRPr="00D42A19">
        <w:t>No se han realizado o firmados convenios, pero se ha realizado venta de informes a Perú, Ecuador, Marruecos y Colombia de acuerdo a lo establecido en el documento TGP/5.</w:t>
      </w:r>
    </w:p>
    <w:p w:rsidR="00473D0E" w:rsidRPr="00D42A19" w:rsidRDefault="00473D0E" w:rsidP="00473D0E"/>
    <w:p w:rsidR="00473D0E" w:rsidRPr="00D42A19" w:rsidRDefault="00473D0E" w:rsidP="00473D0E"/>
    <w:p w:rsidR="00473D0E" w:rsidRPr="00D42A19" w:rsidRDefault="00473D0E" w:rsidP="00473D0E">
      <w:pPr>
        <w:rPr>
          <w:u w:val="single"/>
        </w:rPr>
      </w:pPr>
      <w:r w:rsidRPr="00D42A19">
        <w:t>3.</w:t>
      </w:r>
      <w:r w:rsidRPr="00D42A19">
        <w:tab/>
      </w:r>
      <w:r w:rsidRPr="00D42A19">
        <w:rPr>
          <w:u w:val="single"/>
        </w:rPr>
        <w:t>Situación en el campo administrativo</w:t>
      </w:r>
    </w:p>
    <w:p w:rsidR="00473D0E" w:rsidRPr="00D42A19" w:rsidRDefault="00473D0E" w:rsidP="00473D0E">
      <w:pPr>
        <w:rPr>
          <w:u w:val="single"/>
        </w:rPr>
      </w:pPr>
    </w:p>
    <w:p w:rsidR="00473D0E" w:rsidRPr="00D42A19" w:rsidRDefault="00473D0E" w:rsidP="00473D0E">
      <w:pPr>
        <w:ind w:left="851" w:hanging="425"/>
      </w:pPr>
      <w:r w:rsidRPr="00D42A19">
        <w:t>-</w:t>
      </w:r>
      <w:r w:rsidRPr="00D42A19">
        <w:tab/>
        <w:t xml:space="preserve">Cambios en la estructura administrativa:  no ha habido cambios </w:t>
      </w:r>
    </w:p>
    <w:p w:rsidR="00473D0E" w:rsidRPr="00D42A19" w:rsidRDefault="00473D0E" w:rsidP="00473D0E">
      <w:pPr>
        <w:ind w:left="851" w:hanging="425"/>
      </w:pPr>
      <w:r w:rsidRPr="00D42A19">
        <w:t>-</w:t>
      </w:r>
      <w:r w:rsidRPr="00D42A19">
        <w:tab/>
        <w:t>Cambios en los procedimientos y sistemas:  no ha habido cambios (administrativos)</w:t>
      </w:r>
    </w:p>
    <w:p w:rsidR="00473D0E" w:rsidRPr="00D42A19" w:rsidRDefault="00473D0E" w:rsidP="00473D0E"/>
    <w:p w:rsidR="00473D0E" w:rsidRPr="00D42A19" w:rsidRDefault="00473D0E" w:rsidP="00473D0E"/>
    <w:p w:rsidR="00473D0E" w:rsidRPr="00D42A19" w:rsidRDefault="00473D0E" w:rsidP="00473D0E">
      <w:r w:rsidRPr="00D42A19">
        <w:t>4.</w:t>
      </w:r>
      <w:r w:rsidRPr="00D42A19">
        <w:tab/>
      </w:r>
      <w:r w:rsidRPr="00D42A19">
        <w:rPr>
          <w:u w:val="single"/>
        </w:rPr>
        <w:t>Situación en el campo técnico</w:t>
      </w:r>
      <w:r w:rsidRPr="00D42A19">
        <w:t xml:space="preserve"> (véase el punto 3)</w:t>
      </w:r>
    </w:p>
    <w:p w:rsidR="00473D0E" w:rsidRPr="00D42A19" w:rsidRDefault="00473D0E" w:rsidP="00473D0E"/>
    <w:p w:rsidR="00473D0E" w:rsidRPr="00D42A19" w:rsidRDefault="00473D0E" w:rsidP="00473D0E"/>
    <w:p w:rsidR="00473D0E" w:rsidRPr="00D42A19" w:rsidRDefault="00473D0E" w:rsidP="00473D0E">
      <w:pPr>
        <w:rPr>
          <w:u w:val="single"/>
        </w:rPr>
      </w:pPr>
      <w:r w:rsidRPr="00D42A19">
        <w:t>5.</w:t>
      </w:r>
      <w:r w:rsidRPr="00D42A19">
        <w:tab/>
      </w:r>
      <w:r w:rsidRPr="00D42A19">
        <w:rPr>
          <w:u w:val="single"/>
        </w:rPr>
        <w:t>Actividades para la promoción de la protección de las obtenciones vegetales</w:t>
      </w:r>
    </w:p>
    <w:p w:rsidR="00473D0E" w:rsidRPr="00D42A19" w:rsidRDefault="00473D0E" w:rsidP="00473D0E"/>
    <w:tbl>
      <w:tblPr>
        <w:tblStyle w:val="TableGrid"/>
        <w:tblW w:w="9747" w:type="dxa"/>
        <w:tblLayout w:type="fixed"/>
        <w:tblCellMar>
          <w:left w:w="57" w:type="dxa"/>
          <w:right w:w="57" w:type="dxa"/>
        </w:tblCellMar>
        <w:tblLook w:val="01E0" w:firstRow="1" w:lastRow="1" w:firstColumn="1" w:lastColumn="1" w:noHBand="0" w:noVBand="0"/>
      </w:tblPr>
      <w:tblGrid>
        <w:gridCol w:w="1101"/>
        <w:gridCol w:w="679"/>
        <w:gridCol w:w="1022"/>
        <w:gridCol w:w="1417"/>
        <w:gridCol w:w="1508"/>
        <w:gridCol w:w="2319"/>
        <w:gridCol w:w="1701"/>
      </w:tblGrid>
      <w:tr w:rsidR="00473D0E" w:rsidRPr="00D42A19" w:rsidTr="004F3A50">
        <w:trPr>
          <w:tblHeader/>
        </w:trPr>
        <w:tc>
          <w:tcPr>
            <w:tcW w:w="1101" w:type="dxa"/>
          </w:tcPr>
          <w:p w:rsidR="00473D0E" w:rsidRPr="00D42A19" w:rsidRDefault="00473D0E" w:rsidP="004F3A50">
            <w:pPr>
              <w:jc w:val="left"/>
              <w:rPr>
                <w:sz w:val="18"/>
                <w:szCs w:val="18"/>
              </w:rPr>
            </w:pPr>
            <w:r w:rsidRPr="00D42A19">
              <w:rPr>
                <w:sz w:val="18"/>
                <w:szCs w:val="18"/>
              </w:rPr>
              <w:t>Título de la actividad</w:t>
            </w:r>
          </w:p>
        </w:tc>
        <w:tc>
          <w:tcPr>
            <w:tcW w:w="679" w:type="dxa"/>
          </w:tcPr>
          <w:p w:rsidR="00473D0E" w:rsidRPr="00D42A19" w:rsidRDefault="00473D0E" w:rsidP="004F3A50">
            <w:pPr>
              <w:jc w:val="left"/>
              <w:rPr>
                <w:sz w:val="18"/>
                <w:szCs w:val="18"/>
              </w:rPr>
            </w:pPr>
            <w:r w:rsidRPr="00D42A19">
              <w:rPr>
                <w:sz w:val="18"/>
                <w:szCs w:val="18"/>
              </w:rPr>
              <w:t>Fecha</w:t>
            </w:r>
          </w:p>
        </w:tc>
        <w:tc>
          <w:tcPr>
            <w:tcW w:w="1022" w:type="dxa"/>
          </w:tcPr>
          <w:p w:rsidR="00473D0E" w:rsidRPr="00D42A19" w:rsidRDefault="00473D0E" w:rsidP="004F3A50">
            <w:pPr>
              <w:jc w:val="left"/>
              <w:rPr>
                <w:sz w:val="18"/>
                <w:szCs w:val="18"/>
              </w:rPr>
            </w:pPr>
            <w:r w:rsidRPr="00D42A19">
              <w:rPr>
                <w:sz w:val="18"/>
                <w:szCs w:val="18"/>
              </w:rPr>
              <w:t>Lugar</w:t>
            </w:r>
          </w:p>
        </w:tc>
        <w:tc>
          <w:tcPr>
            <w:tcW w:w="1417" w:type="dxa"/>
          </w:tcPr>
          <w:p w:rsidR="00473D0E" w:rsidRPr="00D42A19" w:rsidRDefault="00473D0E" w:rsidP="004F3A50">
            <w:pPr>
              <w:jc w:val="left"/>
              <w:rPr>
                <w:sz w:val="18"/>
                <w:szCs w:val="18"/>
              </w:rPr>
            </w:pPr>
            <w:r w:rsidRPr="00D42A19">
              <w:rPr>
                <w:sz w:val="18"/>
                <w:szCs w:val="18"/>
              </w:rPr>
              <w:t>Organizadores</w:t>
            </w:r>
          </w:p>
        </w:tc>
        <w:tc>
          <w:tcPr>
            <w:tcW w:w="1508" w:type="dxa"/>
          </w:tcPr>
          <w:p w:rsidR="00473D0E" w:rsidRPr="00D42A19" w:rsidRDefault="00473D0E" w:rsidP="004F3A50">
            <w:pPr>
              <w:jc w:val="left"/>
              <w:rPr>
                <w:sz w:val="18"/>
                <w:szCs w:val="18"/>
              </w:rPr>
            </w:pPr>
            <w:r w:rsidRPr="00D42A19">
              <w:rPr>
                <w:sz w:val="18"/>
                <w:szCs w:val="18"/>
              </w:rPr>
              <w:t>Finalidad de la actividad</w:t>
            </w:r>
          </w:p>
        </w:tc>
        <w:tc>
          <w:tcPr>
            <w:tcW w:w="2319" w:type="dxa"/>
          </w:tcPr>
          <w:p w:rsidR="00473D0E" w:rsidRPr="00D42A19" w:rsidRDefault="00473D0E" w:rsidP="004F3A50">
            <w:pPr>
              <w:jc w:val="left"/>
              <w:rPr>
                <w:sz w:val="18"/>
                <w:szCs w:val="18"/>
              </w:rPr>
            </w:pPr>
            <w:r w:rsidRPr="00D42A19">
              <w:rPr>
                <w:sz w:val="18"/>
                <w:szCs w:val="18"/>
              </w:rPr>
              <w:t>Países participantes/ organizaciones (número de participantes de cada país/organización)</w:t>
            </w:r>
          </w:p>
        </w:tc>
        <w:tc>
          <w:tcPr>
            <w:tcW w:w="1701" w:type="dxa"/>
          </w:tcPr>
          <w:p w:rsidR="00473D0E" w:rsidRPr="00D42A19" w:rsidRDefault="00473D0E" w:rsidP="004F3A50">
            <w:pPr>
              <w:jc w:val="left"/>
              <w:rPr>
                <w:sz w:val="18"/>
                <w:szCs w:val="18"/>
              </w:rPr>
            </w:pPr>
            <w:r w:rsidRPr="00D42A19">
              <w:rPr>
                <w:sz w:val="18"/>
                <w:szCs w:val="18"/>
              </w:rPr>
              <w:t>Comentarios</w:t>
            </w:r>
          </w:p>
        </w:tc>
      </w:tr>
      <w:tr w:rsidR="00473D0E" w:rsidRPr="00D42A19" w:rsidTr="004F3A50">
        <w:tc>
          <w:tcPr>
            <w:tcW w:w="1101" w:type="dxa"/>
          </w:tcPr>
          <w:p w:rsidR="00473D0E" w:rsidRPr="00D42A19" w:rsidRDefault="00473D0E" w:rsidP="004F3A50">
            <w:pPr>
              <w:jc w:val="left"/>
              <w:rPr>
                <w:sz w:val="18"/>
                <w:szCs w:val="18"/>
              </w:rPr>
            </w:pPr>
            <w:r w:rsidRPr="00D42A19">
              <w:rPr>
                <w:sz w:val="18"/>
                <w:szCs w:val="18"/>
              </w:rPr>
              <w:t>1.</w:t>
            </w:r>
          </w:p>
          <w:p w:rsidR="00473D0E" w:rsidRPr="00D42A19" w:rsidRDefault="00473D0E" w:rsidP="004F3A50">
            <w:pPr>
              <w:jc w:val="left"/>
              <w:rPr>
                <w:sz w:val="18"/>
                <w:szCs w:val="18"/>
              </w:rPr>
            </w:pPr>
          </w:p>
        </w:tc>
        <w:tc>
          <w:tcPr>
            <w:tcW w:w="679" w:type="dxa"/>
          </w:tcPr>
          <w:p w:rsidR="00473D0E" w:rsidRPr="00D42A19" w:rsidRDefault="00473D0E" w:rsidP="004F3A50">
            <w:pPr>
              <w:jc w:val="left"/>
              <w:rPr>
                <w:sz w:val="18"/>
                <w:szCs w:val="18"/>
              </w:rPr>
            </w:pPr>
            <w:r w:rsidRPr="00D42A19">
              <w:rPr>
                <w:sz w:val="18"/>
                <w:szCs w:val="18"/>
              </w:rPr>
              <w:t>21/10/2014</w:t>
            </w:r>
          </w:p>
        </w:tc>
        <w:tc>
          <w:tcPr>
            <w:tcW w:w="1022" w:type="dxa"/>
          </w:tcPr>
          <w:p w:rsidR="00473D0E" w:rsidRPr="00D42A19" w:rsidRDefault="00473D0E" w:rsidP="004F3A50">
            <w:pPr>
              <w:jc w:val="left"/>
              <w:rPr>
                <w:sz w:val="18"/>
                <w:szCs w:val="18"/>
              </w:rPr>
            </w:pPr>
            <w:r w:rsidRPr="00D42A19">
              <w:rPr>
                <w:sz w:val="18"/>
                <w:szCs w:val="18"/>
              </w:rPr>
              <w:t>Hotel Neruda, Santiago</w:t>
            </w:r>
          </w:p>
        </w:tc>
        <w:tc>
          <w:tcPr>
            <w:tcW w:w="1417" w:type="dxa"/>
          </w:tcPr>
          <w:p w:rsidR="00473D0E" w:rsidRPr="00D42A19" w:rsidRDefault="00473D0E" w:rsidP="004F3A50">
            <w:pPr>
              <w:jc w:val="left"/>
              <w:rPr>
                <w:sz w:val="18"/>
                <w:szCs w:val="18"/>
              </w:rPr>
            </w:pPr>
            <w:r w:rsidRPr="00D42A19">
              <w:rPr>
                <w:sz w:val="18"/>
                <w:szCs w:val="18"/>
              </w:rPr>
              <w:t xml:space="preserve">Servicio </w:t>
            </w:r>
            <w:proofErr w:type="spellStart"/>
            <w:r w:rsidRPr="00D42A19">
              <w:rPr>
                <w:sz w:val="18"/>
                <w:szCs w:val="18"/>
              </w:rPr>
              <w:t>Agricola</w:t>
            </w:r>
            <w:proofErr w:type="spellEnd"/>
            <w:r w:rsidRPr="00D42A19">
              <w:rPr>
                <w:sz w:val="18"/>
                <w:szCs w:val="18"/>
              </w:rPr>
              <w:t xml:space="preserve"> y Ganadero / UPOV</w:t>
            </w:r>
          </w:p>
        </w:tc>
        <w:tc>
          <w:tcPr>
            <w:tcW w:w="1508" w:type="dxa"/>
          </w:tcPr>
          <w:p w:rsidR="00473D0E" w:rsidRPr="00D42A19" w:rsidRDefault="00473D0E" w:rsidP="004F3A50">
            <w:pPr>
              <w:jc w:val="left"/>
              <w:rPr>
                <w:sz w:val="18"/>
                <w:szCs w:val="18"/>
              </w:rPr>
            </w:pPr>
            <w:r w:rsidRPr="00D42A19">
              <w:rPr>
                <w:sz w:val="18"/>
                <w:szCs w:val="18"/>
              </w:rPr>
              <w:t>Taller Internacional  del Derecho del Obtentor</w:t>
            </w:r>
          </w:p>
        </w:tc>
        <w:tc>
          <w:tcPr>
            <w:tcW w:w="2319" w:type="dxa"/>
          </w:tcPr>
          <w:p w:rsidR="00473D0E" w:rsidRPr="00D42A19" w:rsidRDefault="00473D0E" w:rsidP="004F3A50">
            <w:pPr>
              <w:jc w:val="left"/>
              <w:rPr>
                <w:sz w:val="18"/>
                <w:szCs w:val="18"/>
              </w:rPr>
            </w:pPr>
            <w:r w:rsidRPr="00D42A19">
              <w:rPr>
                <w:sz w:val="18"/>
                <w:szCs w:val="18"/>
              </w:rPr>
              <w:t>Chile</w:t>
            </w:r>
          </w:p>
        </w:tc>
        <w:tc>
          <w:tcPr>
            <w:tcW w:w="1701" w:type="dxa"/>
          </w:tcPr>
          <w:p w:rsidR="00473D0E" w:rsidRPr="00D42A19" w:rsidRDefault="00473D0E" w:rsidP="004F3A50">
            <w:pPr>
              <w:jc w:val="left"/>
              <w:rPr>
                <w:sz w:val="18"/>
                <w:szCs w:val="18"/>
              </w:rPr>
            </w:pPr>
            <w:r w:rsidRPr="00D42A19">
              <w:rPr>
                <w:sz w:val="18"/>
                <w:szCs w:val="18"/>
              </w:rPr>
              <w:t xml:space="preserve">Participaron 50 personas: Obtentores, representantes, asociación de productores de semillas, </w:t>
            </w:r>
            <w:proofErr w:type="spellStart"/>
            <w:r w:rsidRPr="00D42A19">
              <w:rPr>
                <w:sz w:val="18"/>
                <w:szCs w:val="18"/>
              </w:rPr>
              <w:t>asoc</w:t>
            </w:r>
            <w:proofErr w:type="spellEnd"/>
            <w:r w:rsidRPr="00D42A19">
              <w:rPr>
                <w:sz w:val="18"/>
                <w:szCs w:val="18"/>
              </w:rPr>
              <w:t xml:space="preserve">. de viveros, estudios de abogados, </w:t>
            </w:r>
            <w:proofErr w:type="spellStart"/>
            <w:r w:rsidRPr="00D42A19">
              <w:rPr>
                <w:sz w:val="18"/>
                <w:szCs w:val="18"/>
              </w:rPr>
              <w:t>fitomejoradores</w:t>
            </w:r>
            <w:proofErr w:type="spellEnd"/>
            <w:r w:rsidRPr="00D42A19">
              <w:rPr>
                <w:sz w:val="18"/>
                <w:szCs w:val="18"/>
              </w:rPr>
              <w:t>, universidades</w:t>
            </w:r>
          </w:p>
        </w:tc>
      </w:tr>
      <w:tr w:rsidR="00473D0E" w:rsidRPr="00D42A19" w:rsidTr="004F3A50">
        <w:tc>
          <w:tcPr>
            <w:tcW w:w="1101" w:type="dxa"/>
          </w:tcPr>
          <w:p w:rsidR="00473D0E" w:rsidRPr="00D42A19" w:rsidRDefault="00473D0E" w:rsidP="004F3A50">
            <w:pPr>
              <w:jc w:val="left"/>
              <w:rPr>
                <w:sz w:val="18"/>
                <w:szCs w:val="18"/>
              </w:rPr>
            </w:pPr>
            <w:r w:rsidRPr="00D42A19">
              <w:rPr>
                <w:sz w:val="18"/>
                <w:szCs w:val="18"/>
              </w:rPr>
              <w:t>2.</w:t>
            </w:r>
          </w:p>
          <w:p w:rsidR="00473D0E" w:rsidRPr="00D42A19" w:rsidRDefault="00473D0E" w:rsidP="004F3A50">
            <w:pPr>
              <w:jc w:val="left"/>
              <w:rPr>
                <w:sz w:val="18"/>
                <w:szCs w:val="18"/>
              </w:rPr>
            </w:pPr>
          </w:p>
        </w:tc>
        <w:tc>
          <w:tcPr>
            <w:tcW w:w="679" w:type="dxa"/>
          </w:tcPr>
          <w:p w:rsidR="00473D0E" w:rsidRPr="00D42A19" w:rsidRDefault="00473D0E" w:rsidP="004F3A50">
            <w:pPr>
              <w:jc w:val="left"/>
              <w:rPr>
                <w:sz w:val="18"/>
                <w:szCs w:val="18"/>
              </w:rPr>
            </w:pPr>
            <w:r w:rsidRPr="00D42A19">
              <w:rPr>
                <w:sz w:val="18"/>
                <w:szCs w:val="18"/>
              </w:rPr>
              <w:t>23/01/2015</w:t>
            </w:r>
          </w:p>
        </w:tc>
        <w:tc>
          <w:tcPr>
            <w:tcW w:w="1022" w:type="dxa"/>
          </w:tcPr>
          <w:p w:rsidR="00473D0E" w:rsidRPr="00D42A19" w:rsidRDefault="00473D0E" w:rsidP="004F3A50">
            <w:pPr>
              <w:jc w:val="left"/>
              <w:rPr>
                <w:sz w:val="18"/>
                <w:szCs w:val="18"/>
              </w:rPr>
            </w:pPr>
            <w:r w:rsidRPr="00D42A19">
              <w:rPr>
                <w:sz w:val="18"/>
                <w:szCs w:val="18"/>
              </w:rPr>
              <w:t>Instituto Nacional de Propiedad Industrial, Santiago</w:t>
            </w:r>
          </w:p>
        </w:tc>
        <w:tc>
          <w:tcPr>
            <w:tcW w:w="1417" w:type="dxa"/>
          </w:tcPr>
          <w:p w:rsidR="00473D0E" w:rsidRPr="00D42A19" w:rsidRDefault="00473D0E" w:rsidP="004F3A50">
            <w:pPr>
              <w:jc w:val="left"/>
              <w:rPr>
                <w:sz w:val="18"/>
                <w:szCs w:val="18"/>
              </w:rPr>
            </w:pPr>
            <w:r w:rsidRPr="00D42A19">
              <w:rPr>
                <w:sz w:val="18"/>
                <w:szCs w:val="18"/>
              </w:rPr>
              <w:t>Instituto Nacional de Propiedad Industrial,  OMPI</w:t>
            </w:r>
          </w:p>
        </w:tc>
        <w:tc>
          <w:tcPr>
            <w:tcW w:w="1508" w:type="dxa"/>
          </w:tcPr>
          <w:p w:rsidR="00473D0E" w:rsidRPr="00D42A19" w:rsidRDefault="00473D0E" w:rsidP="004F3A50">
            <w:pPr>
              <w:jc w:val="left"/>
              <w:rPr>
                <w:sz w:val="18"/>
                <w:szCs w:val="18"/>
              </w:rPr>
            </w:pPr>
            <w:r w:rsidRPr="00D42A19">
              <w:rPr>
                <w:sz w:val="18"/>
                <w:szCs w:val="18"/>
              </w:rPr>
              <w:t xml:space="preserve">WIPO </w:t>
            </w:r>
            <w:proofErr w:type="spellStart"/>
            <w:r w:rsidRPr="00D42A19">
              <w:rPr>
                <w:sz w:val="18"/>
                <w:szCs w:val="18"/>
              </w:rPr>
              <w:t>Summer</w:t>
            </w:r>
            <w:proofErr w:type="spellEnd"/>
            <w:r w:rsidRPr="00D42A19">
              <w:rPr>
                <w:sz w:val="18"/>
                <w:szCs w:val="18"/>
              </w:rPr>
              <w:t xml:space="preserve">  </w:t>
            </w:r>
            <w:proofErr w:type="spellStart"/>
            <w:r w:rsidRPr="00D42A19">
              <w:rPr>
                <w:sz w:val="18"/>
                <w:szCs w:val="18"/>
              </w:rPr>
              <w:t>School</w:t>
            </w:r>
            <w:proofErr w:type="spellEnd"/>
          </w:p>
        </w:tc>
        <w:tc>
          <w:tcPr>
            <w:tcW w:w="2319" w:type="dxa"/>
          </w:tcPr>
          <w:p w:rsidR="00473D0E" w:rsidRPr="00D42A19" w:rsidRDefault="00473D0E" w:rsidP="004F3A50">
            <w:pPr>
              <w:jc w:val="left"/>
              <w:rPr>
                <w:sz w:val="18"/>
                <w:szCs w:val="18"/>
              </w:rPr>
            </w:pPr>
            <w:r w:rsidRPr="00D42A19">
              <w:rPr>
                <w:sz w:val="18"/>
                <w:szCs w:val="18"/>
              </w:rPr>
              <w:t>Chile, Colombia, Paraguay, Perú, Ecuador,  Argentina, Uruguay, Brasil</w:t>
            </w:r>
          </w:p>
        </w:tc>
        <w:tc>
          <w:tcPr>
            <w:tcW w:w="1701" w:type="dxa"/>
          </w:tcPr>
          <w:p w:rsidR="00473D0E" w:rsidRPr="00D42A19" w:rsidRDefault="00473D0E" w:rsidP="004F3A50">
            <w:pPr>
              <w:jc w:val="left"/>
              <w:rPr>
                <w:sz w:val="18"/>
                <w:szCs w:val="18"/>
              </w:rPr>
            </w:pPr>
            <w:r w:rsidRPr="00D42A19">
              <w:rPr>
                <w:sz w:val="18"/>
                <w:szCs w:val="18"/>
              </w:rPr>
              <w:t>Participación con el tema “Protección de las Variedades Vegetales, Convención de la Unión Internacional para la Protección de las Obtenciones Vegetales  (UPOV)”</w:t>
            </w:r>
          </w:p>
        </w:tc>
      </w:tr>
      <w:tr w:rsidR="00473D0E" w:rsidRPr="00D42A19" w:rsidTr="004F3A50">
        <w:trPr>
          <w:trHeight w:val="2173"/>
        </w:trPr>
        <w:tc>
          <w:tcPr>
            <w:tcW w:w="1101" w:type="dxa"/>
          </w:tcPr>
          <w:p w:rsidR="00473D0E" w:rsidRPr="00D42A19" w:rsidRDefault="00473D0E" w:rsidP="004F3A50">
            <w:pPr>
              <w:jc w:val="left"/>
              <w:rPr>
                <w:sz w:val="18"/>
                <w:szCs w:val="18"/>
              </w:rPr>
            </w:pPr>
            <w:r w:rsidRPr="00D42A19">
              <w:rPr>
                <w:sz w:val="18"/>
                <w:szCs w:val="18"/>
              </w:rPr>
              <w:t xml:space="preserve">3.- </w:t>
            </w:r>
          </w:p>
          <w:p w:rsidR="00473D0E" w:rsidRPr="00D42A19" w:rsidRDefault="00473D0E" w:rsidP="004F3A50">
            <w:pPr>
              <w:jc w:val="left"/>
              <w:rPr>
                <w:sz w:val="18"/>
                <w:szCs w:val="18"/>
              </w:rPr>
            </w:pPr>
          </w:p>
        </w:tc>
        <w:tc>
          <w:tcPr>
            <w:tcW w:w="679" w:type="dxa"/>
          </w:tcPr>
          <w:p w:rsidR="00473D0E" w:rsidRPr="00D42A19" w:rsidRDefault="00473D0E" w:rsidP="004F3A50">
            <w:pPr>
              <w:jc w:val="left"/>
              <w:rPr>
                <w:sz w:val="18"/>
                <w:szCs w:val="18"/>
              </w:rPr>
            </w:pPr>
            <w:r w:rsidRPr="00D42A19">
              <w:rPr>
                <w:sz w:val="18"/>
                <w:szCs w:val="18"/>
              </w:rPr>
              <w:t>Mayo 2015</w:t>
            </w:r>
          </w:p>
        </w:tc>
        <w:tc>
          <w:tcPr>
            <w:tcW w:w="1022" w:type="dxa"/>
          </w:tcPr>
          <w:p w:rsidR="00473D0E" w:rsidRPr="00D42A19" w:rsidRDefault="00473D0E" w:rsidP="004F3A50">
            <w:pPr>
              <w:jc w:val="left"/>
              <w:rPr>
                <w:sz w:val="18"/>
                <w:szCs w:val="18"/>
              </w:rPr>
            </w:pPr>
            <w:r w:rsidRPr="00D42A19">
              <w:rPr>
                <w:sz w:val="18"/>
                <w:szCs w:val="18"/>
              </w:rPr>
              <w:t>Santiago</w:t>
            </w:r>
          </w:p>
        </w:tc>
        <w:tc>
          <w:tcPr>
            <w:tcW w:w="1417" w:type="dxa"/>
          </w:tcPr>
          <w:p w:rsidR="00473D0E" w:rsidRPr="00D42A19" w:rsidRDefault="00473D0E" w:rsidP="004F3A50">
            <w:pPr>
              <w:jc w:val="left"/>
              <w:rPr>
                <w:sz w:val="18"/>
                <w:szCs w:val="18"/>
              </w:rPr>
            </w:pPr>
            <w:r w:rsidRPr="00D42A19">
              <w:rPr>
                <w:sz w:val="18"/>
                <w:szCs w:val="18"/>
              </w:rPr>
              <w:t xml:space="preserve">Servicio </w:t>
            </w:r>
            <w:proofErr w:type="spellStart"/>
            <w:r w:rsidRPr="00D42A19">
              <w:rPr>
                <w:sz w:val="18"/>
                <w:szCs w:val="18"/>
              </w:rPr>
              <w:t>Agricola</w:t>
            </w:r>
            <w:proofErr w:type="spellEnd"/>
            <w:r w:rsidRPr="00D42A19">
              <w:rPr>
                <w:sz w:val="18"/>
                <w:szCs w:val="18"/>
              </w:rPr>
              <w:t xml:space="preserve"> y Ganadero / UPOV</w:t>
            </w:r>
          </w:p>
        </w:tc>
        <w:tc>
          <w:tcPr>
            <w:tcW w:w="1508" w:type="dxa"/>
          </w:tcPr>
          <w:p w:rsidR="00473D0E" w:rsidRPr="00D42A19" w:rsidRDefault="00473D0E" w:rsidP="004F3A50">
            <w:pPr>
              <w:jc w:val="left"/>
              <w:rPr>
                <w:sz w:val="18"/>
                <w:szCs w:val="18"/>
              </w:rPr>
            </w:pPr>
            <w:r w:rsidRPr="00D42A19">
              <w:rPr>
                <w:sz w:val="18"/>
                <w:szCs w:val="18"/>
              </w:rPr>
              <w:t xml:space="preserve">Sesión especial Curso DL 205 </w:t>
            </w:r>
          </w:p>
        </w:tc>
        <w:tc>
          <w:tcPr>
            <w:tcW w:w="2319" w:type="dxa"/>
          </w:tcPr>
          <w:p w:rsidR="00473D0E" w:rsidRPr="00D42A19" w:rsidRDefault="00473D0E" w:rsidP="004F3A50">
            <w:pPr>
              <w:jc w:val="left"/>
              <w:rPr>
                <w:sz w:val="18"/>
                <w:szCs w:val="18"/>
              </w:rPr>
            </w:pPr>
            <w:r w:rsidRPr="00D42A19">
              <w:rPr>
                <w:sz w:val="18"/>
                <w:szCs w:val="18"/>
              </w:rPr>
              <w:t xml:space="preserve">Chile </w:t>
            </w:r>
          </w:p>
        </w:tc>
        <w:tc>
          <w:tcPr>
            <w:tcW w:w="1701" w:type="dxa"/>
          </w:tcPr>
          <w:p w:rsidR="00473D0E" w:rsidRPr="00D42A19" w:rsidRDefault="00473D0E" w:rsidP="004F3A50">
            <w:pPr>
              <w:jc w:val="left"/>
              <w:rPr>
                <w:sz w:val="18"/>
                <w:szCs w:val="18"/>
              </w:rPr>
            </w:pPr>
            <w:r w:rsidRPr="00D42A19">
              <w:rPr>
                <w:sz w:val="18"/>
                <w:szCs w:val="18"/>
              </w:rPr>
              <w:t xml:space="preserve">Participaron 35 personas: Obtentores, representantes, asociación de productores de semillas, </w:t>
            </w:r>
            <w:proofErr w:type="spellStart"/>
            <w:r w:rsidRPr="00D42A19">
              <w:rPr>
                <w:sz w:val="18"/>
                <w:szCs w:val="18"/>
              </w:rPr>
              <w:t>asoc</w:t>
            </w:r>
            <w:proofErr w:type="spellEnd"/>
            <w:r w:rsidRPr="00D42A19">
              <w:rPr>
                <w:sz w:val="18"/>
                <w:szCs w:val="18"/>
              </w:rPr>
              <w:t xml:space="preserve">. de viveros, estudios jurídicos, </w:t>
            </w:r>
            <w:proofErr w:type="spellStart"/>
            <w:r w:rsidRPr="00D42A19">
              <w:rPr>
                <w:sz w:val="18"/>
                <w:szCs w:val="18"/>
              </w:rPr>
              <w:t>fitomejoradores</w:t>
            </w:r>
            <w:proofErr w:type="spellEnd"/>
            <w:r w:rsidRPr="00D42A19">
              <w:rPr>
                <w:sz w:val="18"/>
                <w:szCs w:val="18"/>
              </w:rPr>
              <w:t>, universidades</w:t>
            </w:r>
          </w:p>
        </w:tc>
      </w:tr>
      <w:tr w:rsidR="00473D0E" w:rsidRPr="00D42A19" w:rsidTr="004F3A50">
        <w:trPr>
          <w:trHeight w:val="2173"/>
        </w:trPr>
        <w:tc>
          <w:tcPr>
            <w:tcW w:w="1101" w:type="dxa"/>
          </w:tcPr>
          <w:p w:rsidR="00473D0E" w:rsidRPr="00D42A19" w:rsidRDefault="00473D0E" w:rsidP="004F3A50">
            <w:pPr>
              <w:jc w:val="left"/>
              <w:rPr>
                <w:sz w:val="18"/>
                <w:szCs w:val="18"/>
              </w:rPr>
            </w:pPr>
            <w:r w:rsidRPr="00D42A19">
              <w:rPr>
                <w:sz w:val="18"/>
                <w:szCs w:val="18"/>
              </w:rPr>
              <w:t>4.-</w:t>
            </w:r>
          </w:p>
        </w:tc>
        <w:tc>
          <w:tcPr>
            <w:tcW w:w="679" w:type="dxa"/>
          </w:tcPr>
          <w:p w:rsidR="00473D0E" w:rsidRPr="00D42A19" w:rsidRDefault="00473D0E" w:rsidP="004F3A50">
            <w:pPr>
              <w:jc w:val="left"/>
              <w:rPr>
                <w:sz w:val="18"/>
                <w:szCs w:val="18"/>
              </w:rPr>
            </w:pPr>
            <w:r w:rsidRPr="00D42A19">
              <w:rPr>
                <w:sz w:val="18"/>
                <w:szCs w:val="18"/>
              </w:rPr>
              <w:t>25 agosto 2015</w:t>
            </w:r>
          </w:p>
        </w:tc>
        <w:tc>
          <w:tcPr>
            <w:tcW w:w="1022" w:type="dxa"/>
          </w:tcPr>
          <w:p w:rsidR="00473D0E" w:rsidRPr="00D42A19" w:rsidRDefault="00473D0E" w:rsidP="004F3A50">
            <w:pPr>
              <w:jc w:val="left"/>
              <w:rPr>
                <w:sz w:val="18"/>
                <w:szCs w:val="18"/>
              </w:rPr>
            </w:pPr>
            <w:r w:rsidRPr="00D42A19">
              <w:rPr>
                <w:sz w:val="18"/>
                <w:szCs w:val="18"/>
              </w:rPr>
              <w:t>Hotel Fundador, Santiago</w:t>
            </w:r>
          </w:p>
        </w:tc>
        <w:tc>
          <w:tcPr>
            <w:tcW w:w="1417" w:type="dxa"/>
          </w:tcPr>
          <w:p w:rsidR="00473D0E" w:rsidRPr="00D42A19" w:rsidRDefault="00473D0E" w:rsidP="004F3A50">
            <w:pPr>
              <w:jc w:val="left"/>
              <w:rPr>
                <w:sz w:val="18"/>
                <w:szCs w:val="18"/>
              </w:rPr>
            </w:pPr>
            <w:r w:rsidRPr="00D42A19">
              <w:rPr>
                <w:sz w:val="18"/>
                <w:szCs w:val="18"/>
              </w:rPr>
              <w:t>Servicio Agrícola y Ganadero</w:t>
            </w:r>
          </w:p>
        </w:tc>
        <w:tc>
          <w:tcPr>
            <w:tcW w:w="1508" w:type="dxa"/>
          </w:tcPr>
          <w:p w:rsidR="00473D0E" w:rsidRPr="00D42A19" w:rsidRDefault="00473D0E" w:rsidP="004F3A50">
            <w:pPr>
              <w:jc w:val="left"/>
              <w:rPr>
                <w:sz w:val="18"/>
                <w:szCs w:val="18"/>
              </w:rPr>
            </w:pPr>
            <w:r w:rsidRPr="00D42A19">
              <w:rPr>
                <w:sz w:val="18"/>
                <w:szCs w:val="18"/>
              </w:rPr>
              <w:t>Taller del Derecho del Obtentor</w:t>
            </w:r>
          </w:p>
        </w:tc>
        <w:tc>
          <w:tcPr>
            <w:tcW w:w="2319" w:type="dxa"/>
          </w:tcPr>
          <w:p w:rsidR="00473D0E" w:rsidRPr="00D42A19" w:rsidRDefault="00473D0E" w:rsidP="004F3A50">
            <w:pPr>
              <w:jc w:val="left"/>
              <w:rPr>
                <w:sz w:val="18"/>
                <w:szCs w:val="18"/>
              </w:rPr>
            </w:pPr>
            <w:r w:rsidRPr="00D42A19">
              <w:rPr>
                <w:sz w:val="18"/>
                <w:szCs w:val="18"/>
              </w:rPr>
              <w:t>Chile</w:t>
            </w:r>
          </w:p>
        </w:tc>
        <w:tc>
          <w:tcPr>
            <w:tcW w:w="1701" w:type="dxa"/>
          </w:tcPr>
          <w:p w:rsidR="00473D0E" w:rsidRPr="00D42A19" w:rsidRDefault="00473D0E" w:rsidP="004F3A50">
            <w:pPr>
              <w:jc w:val="left"/>
              <w:rPr>
                <w:sz w:val="18"/>
                <w:szCs w:val="18"/>
              </w:rPr>
            </w:pPr>
            <w:r w:rsidRPr="00D42A19">
              <w:rPr>
                <w:sz w:val="18"/>
                <w:szCs w:val="18"/>
              </w:rPr>
              <w:t xml:space="preserve">Participaron 50 personas: Obtentores, representantes, asociación de productores de semillas, </w:t>
            </w:r>
            <w:proofErr w:type="spellStart"/>
            <w:r w:rsidRPr="00D42A19">
              <w:rPr>
                <w:sz w:val="18"/>
                <w:szCs w:val="18"/>
              </w:rPr>
              <w:t>asoc</w:t>
            </w:r>
            <w:proofErr w:type="spellEnd"/>
            <w:r w:rsidRPr="00D42A19">
              <w:rPr>
                <w:sz w:val="18"/>
                <w:szCs w:val="18"/>
              </w:rPr>
              <w:t xml:space="preserve">. de viveros, estudios jurídicos, </w:t>
            </w:r>
            <w:proofErr w:type="spellStart"/>
            <w:r w:rsidRPr="00D42A19">
              <w:rPr>
                <w:sz w:val="18"/>
                <w:szCs w:val="18"/>
              </w:rPr>
              <w:t>fitomejoradores</w:t>
            </w:r>
            <w:proofErr w:type="spellEnd"/>
            <w:r w:rsidRPr="00D42A19">
              <w:rPr>
                <w:sz w:val="18"/>
                <w:szCs w:val="18"/>
              </w:rPr>
              <w:t>, universidades</w:t>
            </w:r>
          </w:p>
        </w:tc>
      </w:tr>
    </w:tbl>
    <w:p w:rsidR="00473D0E" w:rsidRPr="00D42A19" w:rsidRDefault="00473D0E" w:rsidP="00473D0E"/>
    <w:p w:rsidR="003F39F5" w:rsidRPr="00D42A19" w:rsidRDefault="003F39F5" w:rsidP="003F39F5"/>
    <w:p w:rsidR="003F39F5" w:rsidRPr="00D42A19" w:rsidRDefault="003F39F5" w:rsidP="003F39F5"/>
    <w:p w:rsidR="003F39F5" w:rsidRPr="00D42A19" w:rsidRDefault="00F14899" w:rsidP="003F39F5">
      <w:pPr>
        <w:jc w:val="right"/>
      </w:pPr>
      <w:r w:rsidRPr="00D42A19">
        <w:t>[Sigue el Anexo</w:t>
      </w:r>
      <w:r w:rsidR="003F39F5" w:rsidRPr="00D42A19">
        <w:t xml:space="preserve"> III</w:t>
      </w:r>
      <w:r w:rsidRPr="00D42A19">
        <w:t>]</w:t>
      </w:r>
    </w:p>
    <w:p w:rsidR="003F39F5" w:rsidRPr="00D42A19" w:rsidRDefault="003F39F5" w:rsidP="003F39F5">
      <w:pPr>
        <w:jc w:val="left"/>
      </w:pPr>
    </w:p>
    <w:p w:rsidR="003F39F5" w:rsidRPr="00D42A19" w:rsidRDefault="003F39F5" w:rsidP="003F39F5">
      <w:pPr>
        <w:jc w:val="left"/>
        <w:sectPr w:rsidR="003F39F5" w:rsidRPr="00D42A19" w:rsidSect="004F3A50">
          <w:headerReference w:type="default" r:id="rId12"/>
          <w:pgSz w:w="11907" w:h="16840" w:code="9"/>
          <w:pgMar w:top="510" w:right="1134" w:bottom="1134" w:left="1134" w:header="510" w:footer="680" w:gutter="0"/>
          <w:pgNumType w:start="1"/>
          <w:cols w:space="720"/>
          <w:titlePg/>
        </w:sectPr>
      </w:pPr>
    </w:p>
    <w:p w:rsidR="003F39F5" w:rsidRPr="00D42A19" w:rsidRDefault="003F39F5" w:rsidP="003F39F5">
      <w:pPr>
        <w:jc w:val="center"/>
      </w:pPr>
      <w:r w:rsidRPr="00D42A19">
        <w:t>C/49/15</w:t>
      </w:r>
    </w:p>
    <w:p w:rsidR="003F39F5" w:rsidRPr="00D42A19" w:rsidRDefault="003F39F5" w:rsidP="003F39F5">
      <w:pPr>
        <w:jc w:val="center"/>
      </w:pPr>
    </w:p>
    <w:p w:rsidR="003F39F5" w:rsidRPr="00D42A19" w:rsidRDefault="00F14899" w:rsidP="003F39F5">
      <w:pPr>
        <w:jc w:val="center"/>
      </w:pPr>
      <w:r w:rsidRPr="00D42A19">
        <w:t>ANEXO</w:t>
      </w:r>
      <w:r w:rsidR="003F39F5" w:rsidRPr="00D42A19">
        <w:t xml:space="preserve"> III</w:t>
      </w:r>
    </w:p>
    <w:p w:rsidR="003F39F5" w:rsidRPr="00D42A19" w:rsidRDefault="003F39F5" w:rsidP="003F39F5">
      <w:pPr>
        <w:jc w:val="center"/>
      </w:pPr>
    </w:p>
    <w:p w:rsidR="003F39F5" w:rsidRPr="00D42A19" w:rsidRDefault="003F39F5" w:rsidP="003F39F5">
      <w:pPr>
        <w:jc w:val="center"/>
      </w:pPr>
    </w:p>
    <w:p w:rsidR="003F39F5" w:rsidRPr="00D42A19" w:rsidRDefault="003F39F5" w:rsidP="003F39F5">
      <w:pPr>
        <w:jc w:val="center"/>
      </w:pPr>
      <w:r w:rsidRPr="00D42A19">
        <w:t>COLOMBIA</w:t>
      </w:r>
    </w:p>
    <w:p w:rsidR="00473D0E" w:rsidRPr="00D42A19" w:rsidRDefault="00473D0E" w:rsidP="00473D0E">
      <w:pPr>
        <w:jc w:val="center"/>
      </w:pPr>
      <w:r w:rsidRPr="00D42A19">
        <w:t>Período: Octubre de 2014 – Septiembre de 2015</w:t>
      </w:r>
    </w:p>
    <w:p w:rsidR="00473D0E" w:rsidRPr="00D42A19" w:rsidRDefault="00473D0E" w:rsidP="00473D0E"/>
    <w:p w:rsidR="00473D0E" w:rsidRPr="00D42A19" w:rsidRDefault="00473D0E" w:rsidP="00473D0E"/>
    <w:p w:rsidR="00473D0E" w:rsidRPr="00D42A19" w:rsidRDefault="00473D0E" w:rsidP="00473D0E">
      <w:pPr>
        <w:rPr>
          <w:u w:val="single"/>
        </w:rPr>
      </w:pPr>
      <w:r w:rsidRPr="00D42A19">
        <w:rPr>
          <w:u w:val="single"/>
        </w:rPr>
        <w:t>Situación en el campo legislativo</w:t>
      </w:r>
    </w:p>
    <w:p w:rsidR="00473D0E" w:rsidRPr="00D42A19" w:rsidRDefault="00473D0E" w:rsidP="00473D0E"/>
    <w:p w:rsidR="00473D0E" w:rsidRPr="00D42A19" w:rsidRDefault="00473D0E" w:rsidP="00473D0E">
      <w:r w:rsidRPr="00D42A19">
        <w:t xml:space="preserve">Durante el período objeto del informe no se produjeron modificaciones de la legislación en materia de Derechos de Obtentor. Colombia continúa aplicando la legislación vigente para proteger los derechos de los obtentores de variedades vegetales, basados en la Decisión 345 de 1993, hace parte del Convenio UPOV por la aprobación del Acta de 1978 y en la práctica se está aplicando las reglas previstas en el Acta de 1991 ya que cuenta con un cuerpo normativo que estructura el régimen sobre Derechos de Obtentor bajo los mismos pilares y fundamentos básicos a los del Convenio UPOV de 1991. </w:t>
      </w:r>
    </w:p>
    <w:p w:rsidR="00473D0E" w:rsidRPr="00D42A19" w:rsidRDefault="00473D0E" w:rsidP="00473D0E"/>
    <w:p w:rsidR="00473D0E" w:rsidRPr="00D42A19" w:rsidRDefault="00473D0E" w:rsidP="00473D0E">
      <w:r w:rsidRPr="00D42A19">
        <w:t xml:space="preserve">En Colombia el derecho de obtentor es aplicable a las variedades de todos los géneros y especies botánicas siempre que su cultivo, posesión o utilización no se encuentren prohibidos por razones de salud humana, animal o vegetal. </w:t>
      </w:r>
    </w:p>
    <w:p w:rsidR="00473D0E" w:rsidRPr="00D42A19" w:rsidRDefault="00473D0E" w:rsidP="00473D0E"/>
    <w:p w:rsidR="00473D0E" w:rsidRPr="00D42A19" w:rsidRDefault="00473D0E" w:rsidP="00473D0E"/>
    <w:p w:rsidR="00473D0E" w:rsidRPr="00D42A19" w:rsidRDefault="00473D0E" w:rsidP="00473D0E">
      <w:pPr>
        <w:rPr>
          <w:u w:val="single"/>
        </w:rPr>
      </w:pPr>
      <w:r w:rsidRPr="00D42A19">
        <w:rPr>
          <w:u w:val="single"/>
        </w:rPr>
        <w:t>Situación en el campo administrativo y técnico</w:t>
      </w:r>
    </w:p>
    <w:p w:rsidR="00473D0E" w:rsidRPr="00D42A19" w:rsidRDefault="00473D0E" w:rsidP="00473D0E"/>
    <w:p w:rsidR="00473D0E" w:rsidRPr="00D42A19" w:rsidRDefault="00473D0E" w:rsidP="00473D0E">
      <w:r w:rsidRPr="00D42A19">
        <w:t>No se han producido cambios en la estructura administrativa ni en los procedimientos y sistemas administrativos de la Dirección Técnica de Semillas del Instituto Colombiano Agropecuario ICA. Se continúa manteniendo vínculos de cooperación en materia de examen técnico con varios de los países miembros de la Unión.  Tal como se observa en el Gráfico 1 durante el periodo del informe (Octubre de 2014 – Septiembre de 2015) se recibieron, analizaron y atendieron 214 solicitudes procedentes de diferentes países. Especialmente Holanda, Alemania, Italia, Estados Unidos y Colombia entre otros.</w:t>
      </w:r>
    </w:p>
    <w:p w:rsidR="00473D0E" w:rsidRPr="00D42A19" w:rsidRDefault="00473D0E" w:rsidP="00473D0E"/>
    <w:p w:rsidR="00473D0E" w:rsidRPr="00D42A19" w:rsidRDefault="00473D0E" w:rsidP="00473D0E">
      <w:r w:rsidRPr="00D42A19">
        <w:t xml:space="preserve">Las variedades que se solicitaron fueron de las especies de Rosa, Crisantemo, Clavel, Café, Alstroemeria y Tomate entre otras. Se realizaron pruebas de </w:t>
      </w:r>
      <w:proofErr w:type="spellStart"/>
      <w:r w:rsidRPr="00D42A19">
        <w:t>distinguibilidad</w:t>
      </w:r>
      <w:proofErr w:type="spellEnd"/>
      <w:r w:rsidRPr="00D42A19">
        <w:t>, homogeneidad y estabilidad (D.H.E) en 29 variedades candidatas de diferentes especies, como soya, arroz, algodón y están en curso de realización las de café. Se emitieron 170 certificados de obtentor (Grafico 2).</w:t>
      </w:r>
    </w:p>
    <w:p w:rsidR="00473D0E" w:rsidRPr="00D42A19" w:rsidRDefault="00473D0E" w:rsidP="00473D0E"/>
    <w:p w:rsidR="00473D0E" w:rsidRPr="00D42A19" w:rsidRDefault="00473D0E" w:rsidP="00473D0E">
      <w:r w:rsidRPr="00D42A19">
        <w:t>El ICA elabora y publica la Gaceta de Variedades Vegetales Protegidas que contiene información detallada sobre la protección de los derechos de obtentor en Colombia. Durante el periodo del informe se publicó la Gaceta No 17.</w:t>
      </w:r>
    </w:p>
    <w:p w:rsidR="00473D0E" w:rsidRPr="00D42A19" w:rsidRDefault="00473D0E" w:rsidP="00473D0E"/>
    <w:p w:rsidR="00473D0E" w:rsidRPr="00D42A19" w:rsidRDefault="00473D0E" w:rsidP="00473D0E">
      <w:r w:rsidRPr="00D42A19">
        <w:t xml:space="preserve">Igualmente en el campo administrativo el ICA fungió como autoridad nacional competente en materia de derechos de obtentor y perito técnico designado para la identificación de variedades vegetales protegidas dentro de distintos trámites judiciales en donde se discute la infracción de derechos de obtentor. Así las cosas el ICA adelantó en su condición de experto y perito técnico una actividad de apoyo judicial en donde rindió diversos conceptos y peritajes sobre la infracción de derechos de obtentor.  </w:t>
      </w:r>
    </w:p>
    <w:p w:rsidR="00473D0E" w:rsidRPr="00D42A19" w:rsidRDefault="00473D0E" w:rsidP="00473D0E"/>
    <w:p w:rsidR="00473D0E" w:rsidRPr="00D42A19" w:rsidRDefault="00473D0E" w:rsidP="00473D0E">
      <w:pPr>
        <w:keepNext/>
      </w:pPr>
      <w:r w:rsidRPr="00D42A19">
        <w:t>Grafico 1:</w:t>
      </w:r>
    </w:p>
    <w:p w:rsidR="00473D0E" w:rsidRPr="00D42A19" w:rsidRDefault="00473D0E" w:rsidP="00473D0E">
      <w:pPr>
        <w:keepNext/>
      </w:pPr>
    </w:p>
    <w:p w:rsidR="00473D0E" w:rsidRPr="00D42A19" w:rsidRDefault="00473D0E" w:rsidP="00473D0E">
      <w:pPr>
        <w:rPr>
          <w:rFonts w:cs="Arial"/>
        </w:rPr>
      </w:pPr>
      <w:r w:rsidRPr="00D42A19">
        <w:rPr>
          <w:noProof/>
          <w:lang w:val="en-US"/>
        </w:rPr>
        <w:drawing>
          <wp:inline distT="0" distB="0" distL="0" distR="0" wp14:anchorId="0A8E1AD9" wp14:editId="08A8A90A">
            <wp:extent cx="5615940" cy="3409950"/>
            <wp:effectExtent l="0" t="0" r="2286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73D0E" w:rsidRPr="00D42A19" w:rsidRDefault="00473D0E" w:rsidP="00473D0E">
      <w:pPr>
        <w:rPr>
          <w:rFonts w:cs="Arial"/>
        </w:rPr>
      </w:pPr>
    </w:p>
    <w:p w:rsidR="00473D0E" w:rsidRPr="00D42A19" w:rsidRDefault="00473D0E" w:rsidP="00473D0E">
      <w:pPr>
        <w:rPr>
          <w:rFonts w:cs="Arial"/>
        </w:rPr>
      </w:pPr>
    </w:p>
    <w:p w:rsidR="00473D0E" w:rsidRPr="00D42A19" w:rsidRDefault="00473D0E" w:rsidP="00473D0E">
      <w:pPr>
        <w:rPr>
          <w:rFonts w:cs="Arial"/>
        </w:rPr>
      </w:pPr>
      <w:r w:rsidRPr="00D42A19">
        <w:rPr>
          <w:rFonts w:cs="Arial"/>
        </w:rPr>
        <w:t>Grafico 2:</w:t>
      </w:r>
    </w:p>
    <w:p w:rsidR="00473D0E" w:rsidRPr="00D42A19" w:rsidRDefault="00473D0E" w:rsidP="00473D0E">
      <w:pPr>
        <w:rPr>
          <w:rFonts w:cs="Arial"/>
        </w:rPr>
      </w:pPr>
    </w:p>
    <w:p w:rsidR="00473D0E" w:rsidRPr="00D42A19" w:rsidRDefault="00473D0E" w:rsidP="00473D0E">
      <w:pPr>
        <w:tabs>
          <w:tab w:val="left" w:pos="4962"/>
        </w:tabs>
        <w:rPr>
          <w:rFonts w:cs="Arial"/>
        </w:rPr>
      </w:pPr>
      <w:r w:rsidRPr="00D42A19">
        <w:rPr>
          <w:noProof/>
          <w:lang w:val="en-US"/>
        </w:rPr>
        <w:drawing>
          <wp:inline distT="0" distB="0" distL="0" distR="0" wp14:anchorId="49698C92" wp14:editId="71428FC2">
            <wp:extent cx="5615940" cy="4313555"/>
            <wp:effectExtent l="0" t="0" r="22860" b="1079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F39F5" w:rsidRPr="00D42A19" w:rsidRDefault="003F39F5" w:rsidP="003F39F5"/>
    <w:p w:rsidR="003F39F5" w:rsidRPr="00D42A19" w:rsidRDefault="003F39F5" w:rsidP="003F39F5"/>
    <w:p w:rsidR="003F39F5" w:rsidRPr="00D42A19" w:rsidRDefault="00F14899" w:rsidP="00473D0E">
      <w:pPr>
        <w:jc w:val="right"/>
      </w:pPr>
      <w:r w:rsidRPr="00D42A19">
        <w:t>[Sigue el Anexo</w:t>
      </w:r>
      <w:r w:rsidR="003F39F5" w:rsidRPr="00D42A19">
        <w:t xml:space="preserve"> IV</w:t>
      </w:r>
      <w:r w:rsidRPr="00D42A19">
        <w:t>]</w:t>
      </w:r>
    </w:p>
    <w:p w:rsidR="003F39F5" w:rsidRPr="00D42A19" w:rsidRDefault="003F39F5" w:rsidP="003F39F5">
      <w:pPr>
        <w:jc w:val="left"/>
        <w:sectPr w:rsidR="003F39F5" w:rsidRPr="00D42A19" w:rsidSect="004F3A50">
          <w:headerReference w:type="default" r:id="rId15"/>
          <w:pgSz w:w="11907" w:h="16840" w:code="9"/>
          <w:pgMar w:top="510" w:right="1134" w:bottom="1134" w:left="1134" w:header="510" w:footer="680" w:gutter="0"/>
          <w:pgNumType w:start="1"/>
          <w:cols w:space="720"/>
          <w:titlePg/>
        </w:sectPr>
      </w:pPr>
    </w:p>
    <w:p w:rsidR="003F39F5" w:rsidRPr="00D42A19" w:rsidRDefault="003F39F5" w:rsidP="003F39F5">
      <w:pPr>
        <w:jc w:val="center"/>
      </w:pPr>
      <w:r w:rsidRPr="00D42A19">
        <w:t>C/49/15</w:t>
      </w:r>
    </w:p>
    <w:p w:rsidR="003F39F5" w:rsidRPr="00D42A19" w:rsidRDefault="003F39F5" w:rsidP="003F39F5">
      <w:pPr>
        <w:jc w:val="center"/>
      </w:pPr>
    </w:p>
    <w:p w:rsidR="003F39F5" w:rsidRPr="00D42A19" w:rsidRDefault="00F14899" w:rsidP="003F39F5">
      <w:pPr>
        <w:jc w:val="center"/>
      </w:pPr>
      <w:r w:rsidRPr="00D42A19">
        <w:t>ANEXO</w:t>
      </w:r>
      <w:r w:rsidR="003F39F5" w:rsidRPr="00D42A19">
        <w:t xml:space="preserve"> IV</w:t>
      </w:r>
    </w:p>
    <w:p w:rsidR="003F39F5" w:rsidRPr="00D42A19" w:rsidRDefault="003F39F5" w:rsidP="003F39F5">
      <w:pPr>
        <w:jc w:val="center"/>
      </w:pPr>
    </w:p>
    <w:p w:rsidR="003F39F5" w:rsidRPr="00D42A19" w:rsidRDefault="003F39F5" w:rsidP="003F39F5">
      <w:pPr>
        <w:jc w:val="center"/>
      </w:pPr>
    </w:p>
    <w:p w:rsidR="003F39F5" w:rsidRPr="00D42A19" w:rsidRDefault="003F39F5" w:rsidP="003F39F5">
      <w:pPr>
        <w:jc w:val="center"/>
      </w:pPr>
      <w:r w:rsidRPr="00D42A19">
        <w:t>CROA</w:t>
      </w:r>
      <w:r w:rsidR="00F14899" w:rsidRPr="00D42A19">
        <w:t>C</w:t>
      </w:r>
      <w:r w:rsidRPr="00D42A19">
        <w:t>IA</w:t>
      </w:r>
    </w:p>
    <w:p w:rsidR="003F39F5" w:rsidRPr="00D42A19" w:rsidRDefault="003F39F5" w:rsidP="003F39F5">
      <w:pPr>
        <w:jc w:val="left"/>
      </w:pPr>
    </w:p>
    <w:p w:rsidR="003F39F5" w:rsidRPr="00D42A19" w:rsidRDefault="003F39F5" w:rsidP="003F39F5">
      <w:pPr>
        <w:jc w:val="left"/>
      </w:pPr>
    </w:p>
    <w:p w:rsidR="00473D0E" w:rsidRPr="00D42A19" w:rsidRDefault="00473D0E" w:rsidP="00473D0E">
      <w:r w:rsidRPr="00D42A19">
        <w:t>PROTECCIÓN DE LAS OBTENCIONES VEGETALES</w:t>
      </w:r>
    </w:p>
    <w:p w:rsidR="00473D0E" w:rsidRPr="00D42A19" w:rsidRDefault="00473D0E" w:rsidP="00473D0E"/>
    <w:p w:rsidR="00473D0E" w:rsidRPr="00D42A19" w:rsidRDefault="00473D0E" w:rsidP="00473D0E">
      <w:pPr>
        <w:tabs>
          <w:tab w:val="left" w:pos="426"/>
          <w:tab w:val="left" w:pos="1276"/>
        </w:tabs>
        <w:rPr>
          <w:u w:val="single"/>
        </w:rPr>
      </w:pPr>
      <w:r w:rsidRPr="00D42A19">
        <w:t xml:space="preserve">1. </w:t>
      </w:r>
      <w:r w:rsidRPr="00D42A19">
        <w:tab/>
      </w:r>
      <w:r w:rsidRPr="00D42A19">
        <w:rPr>
          <w:u w:val="single"/>
        </w:rPr>
        <w:t>Situación en el campo legislativo</w:t>
      </w:r>
    </w:p>
    <w:p w:rsidR="00473D0E" w:rsidRPr="00D42A19" w:rsidRDefault="00473D0E" w:rsidP="00473D0E">
      <w:pPr>
        <w:tabs>
          <w:tab w:val="left" w:pos="426"/>
          <w:tab w:val="left" w:pos="1276"/>
        </w:tabs>
      </w:pPr>
    </w:p>
    <w:p w:rsidR="00473D0E" w:rsidRPr="00D42A19" w:rsidRDefault="00473D0E" w:rsidP="00473D0E">
      <w:r w:rsidRPr="00D42A19">
        <w:t>1.1</w:t>
      </w:r>
      <w:r w:rsidRPr="00D42A19">
        <w:tab/>
        <w:t>Croacia depositó su instrumento de adhesión al Acta de 1991 del Convenio de la UPOV el 1 de agosto de 2001 y pasó a ser miembro de la UPOV el 1 de septiembre de 2001.</w:t>
      </w:r>
    </w:p>
    <w:p w:rsidR="00473D0E" w:rsidRPr="00D42A19" w:rsidRDefault="00473D0E" w:rsidP="00473D0E"/>
    <w:p w:rsidR="00473D0E" w:rsidRPr="00D42A19" w:rsidRDefault="00473D0E" w:rsidP="00473D0E">
      <w:pPr>
        <w:ind w:left="567"/>
      </w:pPr>
      <w:r w:rsidRPr="00D42A19">
        <w:t>Ley sobre la Protección de las Obtenciones Vegetales (con modificaciones y enmiendas) (Gaceta oficial N</w:t>
      </w:r>
      <w:r w:rsidRPr="00D42A19">
        <w:rPr>
          <w:vertAlign w:val="superscript"/>
        </w:rPr>
        <w:t>os</w:t>
      </w:r>
      <w:r w:rsidRPr="00D42A19">
        <w:t> 131/1997, 62/2000, 67/2008 y 24/2011).</w:t>
      </w:r>
    </w:p>
    <w:p w:rsidR="00473D0E" w:rsidRPr="00D42A19" w:rsidRDefault="00473D0E" w:rsidP="00473D0E">
      <w:pPr>
        <w:ind w:left="567"/>
      </w:pPr>
    </w:p>
    <w:p w:rsidR="00473D0E" w:rsidRPr="00D42A19" w:rsidRDefault="00473D0E" w:rsidP="00473D0E">
      <w:pPr>
        <w:ind w:left="567"/>
      </w:pPr>
      <w:r w:rsidRPr="00D42A19">
        <w:t>Reglamento sobre el Examen de la Distinción, la Homogeneidad y la Estabilidad de las Nuevas Obtenciones Vegetales a los Fines de Garantizar los Derechos del Obtentor y el Registro de las Obtenciones Vegetales (Gaceta oficial N</w:t>
      </w:r>
      <w:r w:rsidRPr="00D42A19">
        <w:rPr>
          <w:vertAlign w:val="superscript"/>
        </w:rPr>
        <w:t>o</w:t>
      </w:r>
      <w:r w:rsidRPr="00D42A19">
        <w:t> 61/2011).</w:t>
      </w:r>
    </w:p>
    <w:p w:rsidR="00473D0E" w:rsidRPr="00D42A19" w:rsidRDefault="00473D0E" w:rsidP="00473D0E">
      <w:pPr>
        <w:ind w:left="567"/>
      </w:pPr>
    </w:p>
    <w:p w:rsidR="00473D0E" w:rsidRPr="00D42A19" w:rsidRDefault="00473D0E" w:rsidP="00473D0E">
      <w:pPr>
        <w:ind w:left="567"/>
      </w:pPr>
      <w:r w:rsidRPr="00D42A19">
        <w:t>Reglamento sobre los Registros de Protección de las Obtenciones Vegetales (Gaceta oficial N</w:t>
      </w:r>
      <w:r w:rsidRPr="00D42A19">
        <w:rPr>
          <w:vertAlign w:val="superscript"/>
        </w:rPr>
        <w:t>o</w:t>
      </w:r>
      <w:r w:rsidRPr="00D42A19">
        <w:t> 58/2011).</w:t>
      </w:r>
    </w:p>
    <w:p w:rsidR="00473D0E" w:rsidRPr="00D42A19" w:rsidRDefault="00473D0E" w:rsidP="00473D0E">
      <w:pPr>
        <w:ind w:left="567"/>
      </w:pPr>
    </w:p>
    <w:p w:rsidR="00473D0E" w:rsidRPr="00D42A19" w:rsidRDefault="00473D0E" w:rsidP="00473D0E">
      <w:pPr>
        <w:ind w:left="567"/>
      </w:pPr>
      <w:r w:rsidRPr="00D42A19">
        <w:t>Reglamento sobre las Condiciones de Utilización de las Semillas Conservadas en Finca de las Obtenciones Vegetales Protegidas y Criterios para Determinar la Condición de Pequeño Agricultor (Gaceta oficial N</w:t>
      </w:r>
      <w:r w:rsidRPr="00D42A19">
        <w:rPr>
          <w:vertAlign w:val="superscript"/>
        </w:rPr>
        <w:t>o</w:t>
      </w:r>
      <w:r w:rsidRPr="00D42A19">
        <w:t> 145/2011).</w:t>
      </w:r>
    </w:p>
    <w:p w:rsidR="00473D0E" w:rsidRPr="00D42A19" w:rsidRDefault="00473D0E" w:rsidP="00473D0E"/>
    <w:p w:rsidR="00473D0E" w:rsidRPr="00D42A19" w:rsidRDefault="00473D0E" w:rsidP="00473D0E">
      <w:r w:rsidRPr="00D42A19">
        <w:t>1.2</w:t>
      </w:r>
      <w:r w:rsidRPr="00D42A19">
        <w:tab/>
        <w:t>Desde el 1 de septiembre de 2011, las obtenciones vegetales de todos los géneros y especies pueden ser objeto de protección.</w:t>
      </w:r>
    </w:p>
    <w:p w:rsidR="00473D0E" w:rsidRPr="00D42A19" w:rsidRDefault="00473D0E" w:rsidP="00473D0E">
      <w:pPr>
        <w:rPr>
          <w:sz w:val="16"/>
          <w:szCs w:val="16"/>
        </w:rPr>
      </w:pPr>
    </w:p>
    <w:p w:rsidR="00473D0E" w:rsidRPr="00D42A19" w:rsidRDefault="00473D0E" w:rsidP="00473D0E">
      <w:pPr>
        <w:rPr>
          <w:sz w:val="16"/>
          <w:szCs w:val="16"/>
        </w:rPr>
      </w:pPr>
    </w:p>
    <w:p w:rsidR="00473D0E" w:rsidRPr="00D42A19" w:rsidRDefault="00473D0E" w:rsidP="00473D0E">
      <w:pPr>
        <w:rPr>
          <w:u w:val="single"/>
        </w:rPr>
      </w:pPr>
      <w:r w:rsidRPr="00D42A19">
        <w:t>2.</w:t>
      </w:r>
      <w:r w:rsidRPr="00D42A19">
        <w:tab/>
      </w:r>
      <w:r w:rsidRPr="00D42A19">
        <w:rPr>
          <w:u w:val="single"/>
        </w:rPr>
        <w:t>Cooperación en el examen</w:t>
      </w:r>
    </w:p>
    <w:p w:rsidR="00473D0E" w:rsidRPr="00D42A19" w:rsidRDefault="00473D0E" w:rsidP="00473D0E">
      <w:pPr>
        <w:tabs>
          <w:tab w:val="left" w:pos="426"/>
          <w:tab w:val="left" w:pos="851"/>
        </w:tabs>
      </w:pPr>
    </w:p>
    <w:p w:rsidR="00473D0E" w:rsidRPr="00D42A19" w:rsidRDefault="00473D0E" w:rsidP="00473D0E">
      <w:r w:rsidRPr="00D42A19">
        <w:t xml:space="preserve">Croacia lleva a cabo el examen DHE para Eslovenia (trigo, cebada y maíz) y Rumania (trigo). </w:t>
      </w:r>
    </w:p>
    <w:p w:rsidR="00473D0E" w:rsidRPr="00D42A19" w:rsidRDefault="00473D0E" w:rsidP="00473D0E"/>
    <w:p w:rsidR="00473D0E" w:rsidRPr="00D42A19" w:rsidRDefault="00473D0E" w:rsidP="00473D0E">
      <w:r w:rsidRPr="00D42A19">
        <w:t xml:space="preserve">Enmienda Nº 3 del acuerdo existente con la Dirección de Seguridad Sanitaria de los Alimentos, Veterinaria y </w:t>
      </w:r>
      <w:proofErr w:type="spellStart"/>
      <w:r w:rsidRPr="00D42A19">
        <w:t>Fitosanidad</w:t>
      </w:r>
      <w:proofErr w:type="spellEnd"/>
      <w:r w:rsidRPr="00D42A19">
        <w:t xml:space="preserve"> de Eslovenia (AFSVSPP) (finalizada el 22/09/2014).</w:t>
      </w:r>
    </w:p>
    <w:p w:rsidR="00473D0E" w:rsidRPr="00D42A19" w:rsidRDefault="00473D0E" w:rsidP="00473D0E"/>
    <w:p w:rsidR="00473D0E" w:rsidRPr="00D42A19" w:rsidRDefault="00473D0E" w:rsidP="00473D0E">
      <w:r w:rsidRPr="00D42A19">
        <w:t>Austria, Eslovaquia, Hungría, Polonia y la República Checa realizan el examen DHE de ciertas especies en nombre de Croacia.</w:t>
      </w:r>
    </w:p>
    <w:p w:rsidR="00473D0E" w:rsidRPr="00D42A19" w:rsidRDefault="00473D0E" w:rsidP="00473D0E"/>
    <w:p w:rsidR="00473D0E" w:rsidRPr="00D42A19" w:rsidRDefault="00473D0E" w:rsidP="00473D0E">
      <w:r w:rsidRPr="00D42A19">
        <w:t>Hasta ahora, Croacia proporcionaba los informes DHE existentes a Eslovenia, la Federación de Rusia, Rumania, Serbia, Turquía y la Unión Europea (OCVV).</w:t>
      </w:r>
    </w:p>
    <w:p w:rsidR="00473D0E" w:rsidRPr="00D42A19" w:rsidRDefault="00473D0E" w:rsidP="00473D0E"/>
    <w:p w:rsidR="00473D0E" w:rsidRPr="00D42A19" w:rsidRDefault="00473D0E" w:rsidP="00473D0E">
      <w:r w:rsidRPr="00D42A19">
        <w:t>En general, Croacia acepta los informes DHE existentes de otros miembros de la UPOV para todas las especies.</w:t>
      </w:r>
    </w:p>
    <w:p w:rsidR="00473D0E" w:rsidRPr="00D42A19" w:rsidRDefault="00473D0E" w:rsidP="00473D0E">
      <w:pPr>
        <w:rPr>
          <w:sz w:val="16"/>
          <w:szCs w:val="16"/>
        </w:rPr>
      </w:pPr>
    </w:p>
    <w:p w:rsidR="00473D0E" w:rsidRPr="00D42A19" w:rsidRDefault="00473D0E" w:rsidP="00473D0E">
      <w:pPr>
        <w:rPr>
          <w:sz w:val="16"/>
          <w:szCs w:val="16"/>
        </w:rPr>
      </w:pPr>
    </w:p>
    <w:p w:rsidR="00473D0E" w:rsidRPr="00D42A19" w:rsidRDefault="00473D0E" w:rsidP="00473D0E">
      <w:pPr>
        <w:rPr>
          <w:u w:val="single"/>
        </w:rPr>
      </w:pPr>
      <w:r w:rsidRPr="00D42A19">
        <w:t>3.</w:t>
      </w:r>
      <w:r w:rsidRPr="00D42A19">
        <w:tab/>
      </w:r>
      <w:r w:rsidRPr="00D42A19">
        <w:rPr>
          <w:u w:val="single"/>
        </w:rPr>
        <w:t>Situación en el campo legislativo</w:t>
      </w:r>
    </w:p>
    <w:p w:rsidR="00473D0E" w:rsidRPr="00D42A19" w:rsidRDefault="00473D0E" w:rsidP="00473D0E">
      <w:pPr>
        <w:rPr>
          <w:u w:val="single"/>
        </w:rPr>
      </w:pPr>
    </w:p>
    <w:p w:rsidR="00473D0E" w:rsidRPr="00D42A19" w:rsidRDefault="00473D0E" w:rsidP="00473D0E">
      <w:r w:rsidRPr="00D42A19">
        <w:t>Autoridad nacional:  el Ministerio de Agricultura y el Instituto de Semillas y Plántulas del Centro de Asuntos Agrícolas, Alimentarios y Rurales de Croacia (Departamento de Protección y Registro de las Obtenciones Vegetales).</w:t>
      </w:r>
    </w:p>
    <w:p w:rsidR="00473D0E" w:rsidRPr="00D42A19" w:rsidRDefault="00473D0E" w:rsidP="00473D0E"/>
    <w:p w:rsidR="00473D0E" w:rsidRPr="00D42A19" w:rsidRDefault="00473D0E" w:rsidP="00473D0E">
      <w:r w:rsidRPr="00D42A19">
        <w:t>El órgano que toma las decisiones es el Comité de Protección de Obtenciones Vegetales.</w:t>
      </w:r>
    </w:p>
    <w:p w:rsidR="00473D0E" w:rsidRPr="00D42A19" w:rsidRDefault="00473D0E" w:rsidP="00473D0E">
      <w:pPr>
        <w:rPr>
          <w:sz w:val="16"/>
          <w:szCs w:val="16"/>
        </w:rPr>
      </w:pPr>
    </w:p>
    <w:p w:rsidR="00473D0E" w:rsidRPr="00D42A19" w:rsidRDefault="00473D0E" w:rsidP="00473D0E">
      <w:pPr>
        <w:rPr>
          <w:sz w:val="16"/>
          <w:szCs w:val="16"/>
        </w:rPr>
      </w:pPr>
    </w:p>
    <w:p w:rsidR="00473D0E" w:rsidRPr="00D42A19" w:rsidRDefault="00473D0E" w:rsidP="00473D0E">
      <w:pPr>
        <w:rPr>
          <w:u w:val="single"/>
        </w:rPr>
      </w:pPr>
      <w:r w:rsidRPr="00D42A19">
        <w:t>4.</w:t>
      </w:r>
      <w:r w:rsidRPr="00D42A19">
        <w:tab/>
      </w:r>
      <w:r w:rsidRPr="00D42A19">
        <w:rPr>
          <w:u w:val="single"/>
        </w:rPr>
        <w:t>Situación en el campo técnico</w:t>
      </w:r>
    </w:p>
    <w:p w:rsidR="00473D0E" w:rsidRPr="00D42A19" w:rsidRDefault="00473D0E" w:rsidP="00473D0E"/>
    <w:p w:rsidR="00473D0E" w:rsidRPr="00D42A19" w:rsidRDefault="00473D0E" w:rsidP="00473D0E">
      <w:r w:rsidRPr="00D42A19">
        <w:t xml:space="preserve">El examen DHE de los cereales (avena, cebada, centeno, trigo, trigo duro y </w:t>
      </w:r>
      <w:proofErr w:type="spellStart"/>
      <w:r w:rsidRPr="00D42A19">
        <w:t>triticale</w:t>
      </w:r>
      <w:proofErr w:type="spellEnd"/>
      <w:r w:rsidRPr="00D42A19">
        <w:t>), el maíz y la soja se lleva a cabo en el Instituto de Semillas y Plántulas del Centro de Asuntos Agrícolas, Alimentarios y Rurales de Croacia.</w:t>
      </w:r>
    </w:p>
    <w:p w:rsidR="003F39F5" w:rsidRPr="00D42A19" w:rsidRDefault="003F39F5" w:rsidP="003F39F5"/>
    <w:p w:rsidR="003F39F5" w:rsidRPr="00D42A19" w:rsidRDefault="003F39F5" w:rsidP="003F39F5"/>
    <w:p w:rsidR="003F39F5" w:rsidRPr="00D42A19" w:rsidRDefault="00F14899" w:rsidP="00473D0E">
      <w:pPr>
        <w:jc w:val="right"/>
      </w:pPr>
      <w:r w:rsidRPr="00D42A19">
        <w:t>[Sigue el Anexo</w:t>
      </w:r>
      <w:r w:rsidR="003F39F5" w:rsidRPr="00D42A19">
        <w:t xml:space="preserve"> V</w:t>
      </w:r>
      <w:r w:rsidRPr="00D42A19">
        <w:t>]</w:t>
      </w:r>
    </w:p>
    <w:p w:rsidR="003F39F5" w:rsidRPr="00D42A19" w:rsidRDefault="003F39F5" w:rsidP="003F39F5">
      <w:pPr>
        <w:jc w:val="left"/>
        <w:sectPr w:rsidR="003F39F5" w:rsidRPr="00D42A19" w:rsidSect="004F3A50">
          <w:headerReference w:type="default" r:id="rId16"/>
          <w:pgSz w:w="11907" w:h="16840" w:code="9"/>
          <w:pgMar w:top="510" w:right="1134" w:bottom="1134" w:left="1134" w:header="510" w:footer="680" w:gutter="0"/>
          <w:pgNumType w:start="1"/>
          <w:cols w:space="720"/>
          <w:titlePg/>
        </w:sectPr>
      </w:pPr>
    </w:p>
    <w:p w:rsidR="003F39F5" w:rsidRPr="00D42A19" w:rsidRDefault="003F39F5" w:rsidP="003F39F5">
      <w:pPr>
        <w:jc w:val="center"/>
      </w:pPr>
      <w:r w:rsidRPr="00D42A19">
        <w:t>C/49/15</w:t>
      </w:r>
    </w:p>
    <w:p w:rsidR="003F39F5" w:rsidRPr="00D42A19" w:rsidRDefault="003F39F5" w:rsidP="003F39F5">
      <w:pPr>
        <w:jc w:val="center"/>
      </w:pPr>
    </w:p>
    <w:p w:rsidR="003F39F5" w:rsidRPr="00D42A19" w:rsidRDefault="00F14899" w:rsidP="003F39F5">
      <w:pPr>
        <w:jc w:val="center"/>
      </w:pPr>
      <w:r w:rsidRPr="00D42A19">
        <w:t>ANEXO</w:t>
      </w:r>
      <w:r w:rsidR="003F39F5" w:rsidRPr="00D42A19">
        <w:t xml:space="preserve"> V</w:t>
      </w:r>
    </w:p>
    <w:p w:rsidR="003F39F5" w:rsidRPr="00D42A19" w:rsidRDefault="003F39F5" w:rsidP="003F39F5">
      <w:pPr>
        <w:jc w:val="center"/>
      </w:pPr>
    </w:p>
    <w:p w:rsidR="003F39F5" w:rsidRPr="00D42A19" w:rsidRDefault="003F39F5" w:rsidP="003F39F5">
      <w:pPr>
        <w:jc w:val="center"/>
      </w:pPr>
    </w:p>
    <w:p w:rsidR="003F39F5" w:rsidRPr="00D42A19" w:rsidRDefault="00F14899" w:rsidP="003F39F5">
      <w:pPr>
        <w:jc w:val="center"/>
      </w:pPr>
      <w:r w:rsidRPr="00D42A19">
        <w:t>DINAMARCA</w:t>
      </w:r>
    </w:p>
    <w:p w:rsidR="003F39F5" w:rsidRPr="00D42A19" w:rsidRDefault="003F39F5" w:rsidP="003F39F5">
      <w:pPr>
        <w:jc w:val="left"/>
      </w:pPr>
    </w:p>
    <w:p w:rsidR="003F39F5" w:rsidRPr="00D42A19" w:rsidRDefault="003F39F5" w:rsidP="003F39F5">
      <w:pPr>
        <w:jc w:val="left"/>
      </w:pPr>
    </w:p>
    <w:p w:rsidR="00473D0E" w:rsidRPr="00D42A19" w:rsidRDefault="00473D0E" w:rsidP="00473D0E">
      <w:r w:rsidRPr="00D42A19">
        <w:t>PROTECCIÓN DE LAS OBTENCIONES VEGETALES</w:t>
      </w:r>
    </w:p>
    <w:p w:rsidR="00473D0E" w:rsidRPr="00D42A19" w:rsidRDefault="00473D0E" w:rsidP="00473D0E"/>
    <w:p w:rsidR="00473D0E" w:rsidRPr="00D42A19" w:rsidRDefault="00473D0E" w:rsidP="00473D0E">
      <w:r w:rsidRPr="00D42A19">
        <w:t>1.</w:t>
      </w:r>
      <w:r w:rsidRPr="00D42A19">
        <w:tab/>
      </w:r>
      <w:r w:rsidRPr="00D42A19">
        <w:rPr>
          <w:u w:val="single"/>
        </w:rPr>
        <w:t>Situación en el campo legislativo</w:t>
      </w:r>
    </w:p>
    <w:p w:rsidR="00473D0E" w:rsidRPr="00D42A19" w:rsidRDefault="00473D0E" w:rsidP="00473D0E"/>
    <w:p w:rsidR="00473D0E" w:rsidRPr="00D42A19" w:rsidRDefault="00473D0E" w:rsidP="00473D0E">
      <w:r w:rsidRPr="00D42A19">
        <w:t>1.1  Modificaciones de la ley y de los reglamentos</w:t>
      </w:r>
    </w:p>
    <w:p w:rsidR="00473D0E" w:rsidRPr="00D42A19" w:rsidRDefault="00473D0E" w:rsidP="00473D0E"/>
    <w:p w:rsidR="00473D0E" w:rsidRPr="00D42A19" w:rsidRDefault="00473D0E" w:rsidP="00473D0E">
      <w:pPr>
        <w:spacing w:after="120"/>
      </w:pPr>
      <w:r w:rsidRPr="00D42A19">
        <w:tab/>
        <w:t>-</w:t>
      </w:r>
      <w:r w:rsidRPr="00D42A19">
        <w:tab/>
        <w:t>Adaptación al Acta de 1991 del Convenio</w:t>
      </w:r>
    </w:p>
    <w:p w:rsidR="00473D0E" w:rsidRPr="00D42A19" w:rsidRDefault="00473D0E" w:rsidP="00473D0E">
      <w:r w:rsidRPr="00D42A19">
        <w:t xml:space="preserve">La Ley Danesa Unificada Nº 190 sobre la Protección de las Obtenciones Vegetales (en danés:  </w:t>
      </w:r>
      <w:proofErr w:type="spellStart"/>
      <w:r w:rsidRPr="00D42A19">
        <w:rPr>
          <w:i/>
        </w:rPr>
        <w:t>Bekendtgørelse</w:t>
      </w:r>
      <w:proofErr w:type="spellEnd"/>
      <w:r w:rsidRPr="00D42A19">
        <w:rPr>
          <w:i/>
        </w:rPr>
        <w:t xml:space="preserve"> </w:t>
      </w:r>
      <w:proofErr w:type="spellStart"/>
      <w:r w:rsidRPr="00D42A19">
        <w:rPr>
          <w:i/>
        </w:rPr>
        <w:t>af</w:t>
      </w:r>
      <w:proofErr w:type="spellEnd"/>
      <w:r w:rsidRPr="00D42A19">
        <w:rPr>
          <w:i/>
        </w:rPr>
        <w:t xml:space="preserve"> </w:t>
      </w:r>
      <w:proofErr w:type="spellStart"/>
      <w:r w:rsidRPr="00D42A19">
        <w:rPr>
          <w:i/>
        </w:rPr>
        <w:t>lov</w:t>
      </w:r>
      <w:proofErr w:type="spellEnd"/>
      <w:r w:rsidRPr="00D42A19">
        <w:rPr>
          <w:i/>
        </w:rPr>
        <w:t xml:space="preserve"> </w:t>
      </w:r>
      <w:proofErr w:type="spellStart"/>
      <w:r w:rsidRPr="00D42A19">
        <w:rPr>
          <w:i/>
        </w:rPr>
        <w:t>om</w:t>
      </w:r>
      <w:proofErr w:type="spellEnd"/>
      <w:r w:rsidRPr="00D42A19">
        <w:rPr>
          <w:i/>
        </w:rPr>
        <w:t xml:space="preserve"> </w:t>
      </w:r>
      <w:proofErr w:type="spellStart"/>
      <w:r w:rsidRPr="00D42A19">
        <w:rPr>
          <w:i/>
        </w:rPr>
        <w:t>plantenyheder</w:t>
      </w:r>
      <w:proofErr w:type="spellEnd"/>
      <w:r w:rsidRPr="00D42A19">
        <w:t>) entró en vigor el 1 de enero de 2009.  Incorpora la Ley Nº 51 del 5 de febrero de 1996, que es la que en este momento figura en WIPO </w:t>
      </w:r>
      <w:proofErr w:type="spellStart"/>
      <w:r w:rsidRPr="00D42A19">
        <w:t>Lex</w:t>
      </w:r>
      <w:proofErr w:type="spellEnd"/>
      <w:r w:rsidRPr="00D42A19">
        <w:t xml:space="preserve"> y que, por lo tanto, se debe reemplazar por la legislación en vigor actualmente.</w:t>
      </w:r>
    </w:p>
    <w:p w:rsidR="00473D0E" w:rsidRPr="00D42A19" w:rsidRDefault="00473D0E" w:rsidP="00473D0E"/>
    <w:p w:rsidR="00473D0E" w:rsidRPr="00D42A19" w:rsidRDefault="00473D0E" w:rsidP="00473D0E">
      <w:r w:rsidRPr="00D42A19">
        <w:t xml:space="preserve">De conformidad con el documento UPOV/INF/15/3, facilitaremos a la UPOV una traducción oficial al inglés de la versión actualizada de la Ley Unificada sobre la Protección de las Obtenciones Vegetales que se debe publicar en UPOV </w:t>
      </w:r>
      <w:proofErr w:type="spellStart"/>
      <w:r w:rsidRPr="00D42A19">
        <w:t>Lex</w:t>
      </w:r>
      <w:proofErr w:type="spellEnd"/>
      <w:r w:rsidRPr="00D42A19">
        <w:t xml:space="preserve">, la </w:t>
      </w:r>
      <w:r w:rsidRPr="00D42A19">
        <w:rPr>
          <w:i/>
        </w:rPr>
        <w:t xml:space="preserve">UPOV </w:t>
      </w:r>
      <w:proofErr w:type="spellStart"/>
      <w:r w:rsidRPr="00D42A19">
        <w:rPr>
          <w:i/>
        </w:rPr>
        <w:t>Gazette</w:t>
      </w:r>
      <w:proofErr w:type="spellEnd"/>
      <w:r w:rsidRPr="00D42A19">
        <w:t xml:space="preserve"> (Gaceta de la UPOV) y </w:t>
      </w:r>
      <w:proofErr w:type="spellStart"/>
      <w:r w:rsidRPr="00D42A19">
        <w:rPr>
          <w:i/>
        </w:rPr>
        <w:t>Newsletter</w:t>
      </w:r>
      <w:proofErr w:type="spellEnd"/>
      <w:r w:rsidRPr="00D42A19">
        <w:t xml:space="preserve"> (Boletín).</w:t>
      </w:r>
    </w:p>
    <w:p w:rsidR="00473D0E" w:rsidRPr="00D42A19" w:rsidRDefault="00473D0E" w:rsidP="00473D0E"/>
    <w:p w:rsidR="00473D0E" w:rsidRPr="00D42A19" w:rsidRDefault="00473D0E" w:rsidP="00473D0E">
      <w:r w:rsidRPr="00D42A19">
        <w:t xml:space="preserve">Por este motivo, en la actualidad estamos dialogando con la Secretaría de la UPOV para llegar a un acuerdo en relación con la traducción y estamos a la espera de recibir más información. </w:t>
      </w:r>
    </w:p>
    <w:p w:rsidR="00473D0E" w:rsidRPr="00D42A19" w:rsidRDefault="00473D0E" w:rsidP="00473D0E"/>
    <w:p w:rsidR="00473D0E" w:rsidRPr="00D42A19" w:rsidRDefault="00473D0E" w:rsidP="00473D0E">
      <w:r w:rsidRPr="00D42A19">
        <w:t xml:space="preserve">La versión danesa de la Ley Nº 190 sobre la Protección de las Obtenciones Vegetales puede consultarse en la base de datos jurídica pública danesa:  </w:t>
      </w:r>
      <w:hyperlink r:id="rId17">
        <w:r w:rsidRPr="00D42A19">
          <w:rPr>
            <w:rStyle w:val="Hyperlink"/>
          </w:rPr>
          <w:t>https://www.retsinformation.dk/Forms/R0710.aspx?id=123418</w:t>
        </w:r>
      </w:hyperlink>
    </w:p>
    <w:p w:rsidR="00473D0E" w:rsidRPr="00D42A19" w:rsidRDefault="00473D0E" w:rsidP="00473D0E"/>
    <w:p w:rsidR="00473D0E" w:rsidRPr="00D42A19" w:rsidRDefault="00473D0E" w:rsidP="00473D0E">
      <w:pPr>
        <w:spacing w:after="120"/>
      </w:pPr>
      <w:r w:rsidRPr="00D42A19">
        <w:tab/>
        <w:t>-</w:t>
      </w:r>
      <w:r w:rsidRPr="00D42A19">
        <w:tab/>
        <w:t>Otras modificaciones, incluidas las referentes a las tasas</w:t>
      </w:r>
    </w:p>
    <w:p w:rsidR="00473D0E" w:rsidRPr="00D42A19" w:rsidRDefault="00473D0E" w:rsidP="00473D0E">
      <w:r w:rsidRPr="00D42A19">
        <w:t xml:space="preserve">La Orden danesa nº 941 de 11 de agosto de 2015 sobre el Pago por el Control, etc. de Semillas y la Semillas de Siembra (en danés:  </w:t>
      </w:r>
      <w:proofErr w:type="spellStart"/>
      <w:r w:rsidRPr="00D42A19">
        <w:rPr>
          <w:i/>
        </w:rPr>
        <w:t>Bekendtgørelse</w:t>
      </w:r>
      <w:proofErr w:type="spellEnd"/>
      <w:r w:rsidRPr="00D42A19">
        <w:rPr>
          <w:i/>
        </w:rPr>
        <w:t xml:space="preserve"> </w:t>
      </w:r>
      <w:proofErr w:type="spellStart"/>
      <w:r w:rsidRPr="00D42A19">
        <w:rPr>
          <w:i/>
        </w:rPr>
        <w:t>om</w:t>
      </w:r>
      <w:proofErr w:type="spellEnd"/>
      <w:r w:rsidRPr="00D42A19">
        <w:rPr>
          <w:i/>
        </w:rPr>
        <w:t xml:space="preserve"> </w:t>
      </w:r>
      <w:proofErr w:type="spellStart"/>
      <w:r w:rsidRPr="00D42A19">
        <w:rPr>
          <w:i/>
        </w:rPr>
        <w:t>betaling</w:t>
      </w:r>
      <w:proofErr w:type="spellEnd"/>
      <w:r w:rsidRPr="00D42A19">
        <w:rPr>
          <w:i/>
        </w:rPr>
        <w:t xml:space="preserve"> </w:t>
      </w:r>
      <w:proofErr w:type="spellStart"/>
      <w:r w:rsidRPr="00D42A19">
        <w:rPr>
          <w:i/>
        </w:rPr>
        <w:t>for</w:t>
      </w:r>
      <w:proofErr w:type="spellEnd"/>
      <w:r w:rsidRPr="00D42A19">
        <w:rPr>
          <w:i/>
        </w:rPr>
        <w:t xml:space="preserve"> </w:t>
      </w:r>
      <w:proofErr w:type="spellStart"/>
      <w:r w:rsidRPr="00D42A19">
        <w:rPr>
          <w:i/>
        </w:rPr>
        <w:t>kontrol</w:t>
      </w:r>
      <w:proofErr w:type="spellEnd"/>
      <w:r w:rsidRPr="00D42A19">
        <w:rPr>
          <w:i/>
        </w:rPr>
        <w:t xml:space="preserve"> </w:t>
      </w:r>
      <w:proofErr w:type="spellStart"/>
      <w:r w:rsidRPr="00D42A19">
        <w:rPr>
          <w:i/>
        </w:rPr>
        <w:t>m.m</w:t>
      </w:r>
      <w:proofErr w:type="spellEnd"/>
      <w:r w:rsidRPr="00D42A19">
        <w:rPr>
          <w:i/>
        </w:rPr>
        <w:t xml:space="preserve">. </w:t>
      </w:r>
      <w:proofErr w:type="spellStart"/>
      <w:r w:rsidRPr="00D42A19">
        <w:rPr>
          <w:i/>
        </w:rPr>
        <w:t>med</w:t>
      </w:r>
      <w:proofErr w:type="spellEnd"/>
      <w:r w:rsidRPr="00D42A19">
        <w:rPr>
          <w:i/>
        </w:rPr>
        <w:t xml:space="preserve"> </w:t>
      </w:r>
      <w:proofErr w:type="spellStart"/>
      <w:r w:rsidRPr="00D42A19">
        <w:rPr>
          <w:i/>
        </w:rPr>
        <w:t>frø</w:t>
      </w:r>
      <w:proofErr w:type="spellEnd"/>
      <w:r w:rsidRPr="00D42A19">
        <w:rPr>
          <w:i/>
        </w:rPr>
        <w:t xml:space="preserve"> </w:t>
      </w:r>
      <w:proofErr w:type="spellStart"/>
      <w:r w:rsidRPr="00D42A19">
        <w:rPr>
          <w:i/>
        </w:rPr>
        <w:t>og</w:t>
      </w:r>
      <w:proofErr w:type="spellEnd"/>
      <w:r w:rsidRPr="00D42A19">
        <w:rPr>
          <w:i/>
        </w:rPr>
        <w:t xml:space="preserve"> </w:t>
      </w:r>
      <w:proofErr w:type="spellStart"/>
      <w:r w:rsidRPr="00D42A19">
        <w:rPr>
          <w:i/>
        </w:rPr>
        <w:t>sædekorn</w:t>
      </w:r>
      <w:proofErr w:type="spellEnd"/>
      <w:r w:rsidRPr="00D42A19">
        <w:t>) entró en vigor el 15 de agosto 2015.  Esta orden no se ha traducido al inglés ni se ha publicado en las bases de datos antes mencionadas.</w:t>
      </w:r>
    </w:p>
    <w:p w:rsidR="00473D0E" w:rsidRPr="00D42A19" w:rsidRDefault="00473D0E" w:rsidP="00473D0E"/>
    <w:p w:rsidR="00473D0E" w:rsidRPr="00D42A19" w:rsidRDefault="00473D0E" w:rsidP="00473D0E">
      <w:r w:rsidRPr="00D42A19">
        <w:t xml:space="preserve">En virtud del artículo 17 de la orden, Dinamarca ha introducido una tasa de autorización para la entrada en su Catálogo de obtenciones vegetales (lista de variedades) y para la protección de las obtenciones vegetales.  El importe de la tasa de autorización es de </w:t>
      </w:r>
      <w:r w:rsidRPr="00D42A19">
        <w:rPr>
          <w:u w:val="single"/>
        </w:rPr>
        <w:t>700 DKK</w:t>
      </w:r>
      <w:r w:rsidRPr="00D42A19">
        <w:t xml:space="preserve"> (véase el Anexo 1 de la orden).</w:t>
      </w:r>
    </w:p>
    <w:p w:rsidR="00473D0E" w:rsidRPr="00D42A19" w:rsidRDefault="00473D0E" w:rsidP="00473D0E"/>
    <w:p w:rsidR="00473D0E" w:rsidRPr="00D42A19" w:rsidRDefault="00473D0E" w:rsidP="00473D0E">
      <w:r w:rsidRPr="00D42A19">
        <w:t>La versión danesa de la Orden Nº 941 del 11 de agosto de 2015, la Orden sobre Tasas de Control, etc. de Semillas y Semillas de Siembra, puede consultarse en la base de datos jurídica pública danesa:</w:t>
      </w:r>
    </w:p>
    <w:p w:rsidR="00473D0E" w:rsidRPr="00D42A19" w:rsidRDefault="001714F3" w:rsidP="00473D0E">
      <w:hyperlink r:id="rId18">
        <w:r w:rsidR="00473D0E" w:rsidRPr="00D42A19">
          <w:rPr>
            <w:rStyle w:val="Hyperlink"/>
          </w:rPr>
          <w:t>https://www.retsinformation.dk/Forms/R0710.aspx?id=173645</w:t>
        </w:r>
      </w:hyperlink>
    </w:p>
    <w:p w:rsidR="00473D0E" w:rsidRPr="00D42A19" w:rsidRDefault="00473D0E" w:rsidP="00473D0E"/>
    <w:p w:rsidR="00473D0E" w:rsidRPr="00D42A19" w:rsidRDefault="00473D0E" w:rsidP="00473D0E">
      <w:r w:rsidRPr="00D42A19">
        <w:t xml:space="preserve">Desde el 1 de julio de 2015, el principal instituto de examen de obtenciones vegetales de Dinamarca es la fundación privada </w:t>
      </w:r>
      <w:proofErr w:type="spellStart"/>
      <w:r w:rsidRPr="00D42A19">
        <w:rPr>
          <w:i/>
        </w:rPr>
        <w:t>TystofteFoundation</w:t>
      </w:r>
      <w:proofErr w:type="spellEnd"/>
      <w:r w:rsidRPr="00D42A19">
        <w:t xml:space="preserve">.  Véase la información relativa a las tasas (anuales) de administración, análisis, examen DHE y examen del valor que reviste la variedad para el cultivo (VCU), parcelas de control, etc. en el sitio web de la </w:t>
      </w:r>
      <w:proofErr w:type="spellStart"/>
      <w:r w:rsidRPr="00D42A19">
        <w:rPr>
          <w:i/>
        </w:rPr>
        <w:t>TystofteFoundation</w:t>
      </w:r>
      <w:proofErr w:type="spellEnd"/>
      <w:r w:rsidRPr="00D42A19">
        <w:t>:</w:t>
      </w:r>
    </w:p>
    <w:p w:rsidR="00473D0E" w:rsidRPr="00D42A19" w:rsidRDefault="00473D0E" w:rsidP="00473D0E"/>
    <w:p w:rsidR="00473D0E" w:rsidRPr="00D42A19" w:rsidRDefault="00473D0E" w:rsidP="00473D0E">
      <w:r w:rsidRPr="00D42A19">
        <w:t>Tasas de 2015:</w:t>
      </w:r>
    </w:p>
    <w:p w:rsidR="00473D0E" w:rsidRPr="00D42A19" w:rsidRDefault="001714F3" w:rsidP="00473D0E">
      <w:hyperlink r:id="rId19">
        <w:r w:rsidR="00473D0E" w:rsidRPr="00D42A19">
          <w:rPr>
            <w:rStyle w:val="Hyperlink"/>
          </w:rPr>
          <w:t>http://www.tystofte.dk/wp-content/uploads/2015/06/prisliste-2015-pricelist-2015.pdf</w:t>
        </w:r>
      </w:hyperlink>
    </w:p>
    <w:p w:rsidR="00473D0E" w:rsidRPr="00D42A19" w:rsidRDefault="00473D0E" w:rsidP="00473D0E">
      <w:pPr>
        <w:spacing w:before="120"/>
      </w:pPr>
      <w:r w:rsidRPr="00D42A19">
        <w:t>Tasas de 2016:</w:t>
      </w:r>
    </w:p>
    <w:p w:rsidR="00473D0E" w:rsidRPr="00D42A19" w:rsidRDefault="001714F3" w:rsidP="00473D0E">
      <w:hyperlink r:id="rId20">
        <w:r w:rsidR="00473D0E" w:rsidRPr="00D42A19">
          <w:rPr>
            <w:rStyle w:val="Hyperlink"/>
          </w:rPr>
          <w:t>http://www.tystofte.dk/wp-content/uploads/2015/08/prisliste-2016-pricelist-2016.pdf</w:t>
        </w:r>
      </w:hyperlink>
    </w:p>
    <w:p w:rsidR="00473D0E" w:rsidRPr="00D42A19" w:rsidRDefault="00473D0E" w:rsidP="00473D0E"/>
    <w:p w:rsidR="00473D0E" w:rsidRPr="00D42A19" w:rsidRDefault="00473D0E">
      <w:pPr>
        <w:jc w:val="left"/>
      </w:pPr>
    </w:p>
    <w:p w:rsidR="00473D0E" w:rsidRPr="00D42A19" w:rsidRDefault="00473D0E" w:rsidP="00473D0E">
      <w:pPr>
        <w:rPr>
          <w:u w:val="single"/>
        </w:rPr>
      </w:pPr>
      <w:r w:rsidRPr="00D42A19">
        <w:t>2.</w:t>
      </w:r>
      <w:r w:rsidRPr="00D42A19">
        <w:tab/>
      </w:r>
      <w:r w:rsidRPr="00D42A19">
        <w:rPr>
          <w:u w:val="single"/>
        </w:rPr>
        <w:t>Situación en el campo legislativo</w:t>
      </w:r>
    </w:p>
    <w:p w:rsidR="00473D0E" w:rsidRPr="00D42A19" w:rsidRDefault="00473D0E" w:rsidP="00473D0E"/>
    <w:p w:rsidR="00473D0E" w:rsidRPr="00D42A19" w:rsidRDefault="00473D0E" w:rsidP="00473D0E">
      <w:r w:rsidRPr="00D42A19">
        <w:tab/>
        <w:t>-</w:t>
      </w:r>
      <w:r w:rsidRPr="00D42A19">
        <w:tab/>
        <w:t>Cambios en la estructura administrativa</w:t>
      </w:r>
    </w:p>
    <w:p w:rsidR="00473D0E" w:rsidRPr="00D42A19" w:rsidRDefault="00473D0E" w:rsidP="00473D0E"/>
    <w:p w:rsidR="00473D0E" w:rsidRPr="00D42A19" w:rsidRDefault="00473D0E" w:rsidP="00473D0E">
      <w:r w:rsidRPr="00D42A19">
        <w:t xml:space="preserve">El 17 de agosto de 2015, enviamos </w:t>
      </w:r>
      <w:proofErr w:type="gramStart"/>
      <w:r w:rsidRPr="00D42A19">
        <w:t>un correo electrónico con cartas adjuntas a la UPOV (</w:t>
      </w:r>
      <w:hyperlink r:id="rId21">
        <w:r w:rsidRPr="00D42A19">
          <w:rPr>
            <w:rStyle w:val="Hyperlink"/>
          </w:rPr>
          <w:t>upov.mail@upov.int</w:t>
        </w:r>
      </w:hyperlink>
      <w:r w:rsidRPr="00D42A19">
        <w:t>) dirigidas al Sr. Peter Button, relativas</w:t>
      </w:r>
      <w:proofErr w:type="gramEnd"/>
      <w:r w:rsidRPr="00D42A19">
        <w:t xml:space="preserve"> a la notificación de la nueva representación de Dinamarca en los órganos de la UPOV.  Solicitamos al Consejo que tome nota de los documentos en cuestión que también adjuntamos</w:t>
      </w:r>
      <w:r w:rsidRPr="00D42A19">
        <w:rPr>
          <w:rStyle w:val="FootnoteReference"/>
        </w:rPr>
        <w:footnoteReference w:id="2"/>
      </w:r>
      <w:r w:rsidRPr="00D42A19">
        <w:t xml:space="preserve"> al presente informe.</w:t>
      </w:r>
    </w:p>
    <w:p w:rsidR="00473D0E" w:rsidRPr="00D42A19" w:rsidRDefault="00473D0E" w:rsidP="00473D0E"/>
    <w:p w:rsidR="00473D0E" w:rsidRPr="00D42A19" w:rsidRDefault="00473D0E" w:rsidP="00473D0E">
      <w:pPr>
        <w:ind w:left="567"/>
      </w:pPr>
      <w:r w:rsidRPr="00D42A19">
        <w:t>-</w:t>
      </w:r>
      <w:r w:rsidRPr="00D42A19">
        <w:tab/>
        <w:t>Carta dirigida a la UPOV:  nombramiento del Representante de Dinamarca</w:t>
      </w:r>
    </w:p>
    <w:p w:rsidR="00473D0E" w:rsidRPr="00D42A19" w:rsidRDefault="00473D0E" w:rsidP="00473D0E">
      <w:pPr>
        <w:ind w:left="567"/>
      </w:pPr>
      <w:r w:rsidRPr="00D42A19">
        <w:t>-</w:t>
      </w:r>
      <w:r w:rsidRPr="00D42A19">
        <w:tab/>
        <w:t>Organigrama</w:t>
      </w:r>
    </w:p>
    <w:p w:rsidR="00473D0E" w:rsidRPr="00D42A19" w:rsidRDefault="00473D0E" w:rsidP="00473D0E"/>
    <w:p w:rsidR="00473D0E" w:rsidRPr="00D42A19" w:rsidRDefault="00473D0E" w:rsidP="00473D0E">
      <w:r w:rsidRPr="00D42A19">
        <w:t>-</w:t>
      </w:r>
      <w:r w:rsidRPr="00D42A19">
        <w:tab/>
        <w:t>Cambios en los procedimientos y sistemas (administrativos)</w:t>
      </w:r>
    </w:p>
    <w:p w:rsidR="00473D0E" w:rsidRPr="00D42A19" w:rsidRDefault="00473D0E" w:rsidP="00473D0E"/>
    <w:p w:rsidR="00473D0E" w:rsidRPr="00D42A19" w:rsidRDefault="00473D0E" w:rsidP="00473D0E">
      <w:r w:rsidRPr="00D42A19">
        <w:t>Véanse los comentarios supra relativos a los cambios en la estructura administrativa.</w:t>
      </w:r>
    </w:p>
    <w:p w:rsidR="00473D0E" w:rsidRPr="00D42A19" w:rsidRDefault="00473D0E" w:rsidP="00473D0E"/>
    <w:p w:rsidR="00473D0E" w:rsidRPr="00D42A19" w:rsidRDefault="00473D0E" w:rsidP="00473D0E"/>
    <w:p w:rsidR="00473D0E" w:rsidRPr="00D42A19" w:rsidRDefault="00473D0E" w:rsidP="00473D0E">
      <w:pPr>
        <w:rPr>
          <w:u w:val="single"/>
        </w:rPr>
      </w:pPr>
      <w:r w:rsidRPr="00D42A19">
        <w:t>3.</w:t>
      </w:r>
      <w:r w:rsidRPr="00D42A19">
        <w:tab/>
      </w:r>
      <w:r w:rsidRPr="00D42A19">
        <w:rPr>
          <w:u w:val="single"/>
        </w:rPr>
        <w:t>Situación en el campo técnico</w:t>
      </w:r>
    </w:p>
    <w:p w:rsidR="00473D0E" w:rsidRPr="00D42A19" w:rsidRDefault="00473D0E" w:rsidP="00473D0E"/>
    <w:p w:rsidR="00473D0E" w:rsidRPr="00D42A19" w:rsidRDefault="00473D0E" w:rsidP="00473D0E">
      <w:r w:rsidRPr="00D42A19">
        <w:t xml:space="preserve">Como se ha mencionado, la Agencia Nacional de Agricultura y Pesca de Dinamarca coopera con la </w:t>
      </w:r>
      <w:proofErr w:type="spellStart"/>
      <w:r w:rsidRPr="00D42A19">
        <w:rPr>
          <w:i/>
        </w:rPr>
        <w:t>TystofteFoundation</w:t>
      </w:r>
      <w:proofErr w:type="spellEnd"/>
      <w:r w:rsidRPr="00D42A19">
        <w:t xml:space="preserve"> en el ámbito técnico.  El Sr. Gerhard </w:t>
      </w:r>
      <w:proofErr w:type="spellStart"/>
      <w:r w:rsidRPr="00D42A19">
        <w:t>Deneken</w:t>
      </w:r>
      <w:proofErr w:type="spellEnd"/>
      <w:r w:rsidRPr="00D42A19">
        <w:t xml:space="preserve">, Director Ejecutivo de la </w:t>
      </w:r>
      <w:proofErr w:type="spellStart"/>
      <w:r w:rsidRPr="00D42A19">
        <w:rPr>
          <w:i/>
        </w:rPr>
        <w:t>TystofteFoundation</w:t>
      </w:r>
      <w:proofErr w:type="spellEnd"/>
      <w:r w:rsidRPr="00D42A19">
        <w:t>, comenta la situación en dicho ámbito:</w:t>
      </w:r>
    </w:p>
    <w:p w:rsidR="00473D0E" w:rsidRPr="00D42A19" w:rsidRDefault="00473D0E" w:rsidP="00473D0E"/>
    <w:p w:rsidR="00473D0E" w:rsidRPr="00D42A19" w:rsidRDefault="00473D0E" w:rsidP="00473D0E">
      <w:r w:rsidRPr="00D42A19">
        <w:t>“En Dinamarca hemos creado una fundación impulsada por la industria que ha asumido las responsabilidades que implican las obtenciones</w:t>
      </w:r>
      <w:r w:rsidRPr="00D42A19">
        <w:rPr>
          <w:vertAlign w:val="superscript"/>
        </w:rPr>
        <w:t xml:space="preserve"> </w:t>
      </w:r>
      <w:r w:rsidRPr="00D42A19">
        <w:t xml:space="preserve">vegetales objeto de examen desde el 1 de julio de 2015.  Ahora las solicitudes se envían directamente a la </w:t>
      </w:r>
      <w:proofErr w:type="spellStart"/>
      <w:r w:rsidRPr="00D42A19">
        <w:rPr>
          <w:i/>
        </w:rPr>
        <w:t>TystofteFoundation</w:t>
      </w:r>
      <w:proofErr w:type="spellEnd"/>
      <w:r w:rsidRPr="00D42A19">
        <w:t xml:space="preserve">, dirigida por Sr. Gerhard </w:t>
      </w:r>
      <w:proofErr w:type="spellStart"/>
      <w:r w:rsidRPr="00D42A19">
        <w:t>Deneken</w:t>
      </w:r>
      <w:proofErr w:type="spellEnd"/>
      <w:r w:rsidRPr="00D42A19">
        <w:t xml:space="preserve"> y supervisada por la Agencia Nacional de Agricultura y Pesca.  La </w:t>
      </w:r>
      <w:proofErr w:type="spellStart"/>
      <w:r w:rsidRPr="00D42A19">
        <w:rPr>
          <w:i/>
        </w:rPr>
        <w:t>TystofteFoundation</w:t>
      </w:r>
      <w:proofErr w:type="spellEnd"/>
      <w:r w:rsidRPr="00D42A19">
        <w:t xml:space="preserve"> realiza toda la labor técnica y de gestión de variedades previa necesaria para que la Agencia Nacional de Agricultura y Pesca apruebe las nuevas obtenciones.”</w:t>
      </w:r>
    </w:p>
    <w:p w:rsidR="00473D0E" w:rsidRPr="00D42A19" w:rsidRDefault="00473D0E" w:rsidP="00473D0E"/>
    <w:p w:rsidR="00473D0E" w:rsidRPr="00D42A19" w:rsidRDefault="00473D0E" w:rsidP="00473D0E">
      <w:r w:rsidRPr="00D42A19">
        <w:t xml:space="preserve">En el organigrama siguiente se muestra la relación entre la </w:t>
      </w:r>
      <w:proofErr w:type="spellStart"/>
      <w:r w:rsidRPr="00D42A19">
        <w:rPr>
          <w:i/>
        </w:rPr>
        <w:t>TystofteFoundation</w:t>
      </w:r>
      <w:proofErr w:type="spellEnd"/>
      <w:r w:rsidRPr="00D42A19">
        <w:t xml:space="preserve"> y la Agencia Nacional de Agricultura y Pesca de Dinamarca.</w:t>
      </w:r>
    </w:p>
    <w:p w:rsidR="00473D0E" w:rsidRPr="00D42A19" w:rsidRDefault="00473D0E" w:rsidP="00473D0E"/>
    <w:p w:rsidR="00473D0E" w:rsidRPr="00D42A19" w:rsidRDefault="00473D0E" w:rsidP="00473D0E">
      <w:r w:rsidRPr="00D42A19">
        <w:rPr>
          <w:noProof/>
          <w:lang w:val="en-US"/>
        </w:rPr>
        <mc:AlternateContent>
          <mc:Choice Requires="wpg">
            <w:drawing>
              <wp:anchor distT="0" distB="0" distL="114300" distR="114300" simplePos="0" relativeHeight="251662336" behindDoc="0" locked="0" layoutInCell="1" allowOverlap="1" wp14:anchorId="2191F3B3" wp14:editId="773ED4FE">
                <wp:simplePos x="0" y="0"/>
                <wp:positionH relativeFrom="column">
                  <wp:posOffset>3994150</wp:posOffset>
                </wp:positionH>
                <wp:positionV relativeFrom="paragraph">
                  <wp:posOffset>1993265</wp:posOffset>
                </wp:positionV>
                <wp:extent cx="1946910" cy="916305"/>
                <wp:effectExtent l="0" t="2540" r="0" b="0"/>
                <wp:wrapNone/>
                <wp:docPr id="33"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46910" cy="916305"/>
                          <a:chOff x="7424" y="4339"/>
                          <a:chExt cx="3066" cy="1443"/>
                        </a:xfrm>
                      </wpg:grpSpPr>
                      <wpg:grpSp>
                        <wpg:cNvPr id="34" name="Group 44"/>
                        <wpg:cNvGrpSpPr>
                          <a:grpSpLocks/>
                        </wpg:cNvGrpSpPr>
                        <wpg:grpSpPr bwMode="auto">
                          <a:xfrm>
                            <a:off x="7424" y="4339"/>
                            <a:ext cx="3066" cy="1317"/>
                            <a:chOff x="7424" y="4339"/>
                            <a:chExt cx="3066" cy="1317"/>
                          </a:xfrm>
                        </wpg:grpSpPr>
                        <wps:wsp>
                          <wps:cNvPr id="35" name="Text Box 29"/>
                          <wps:cNvSpPr txBox="1">
                            <a:spLocks noChangeArrowheads="1"/>
                          </wps:cNvSpPr>
                          <wps:spPr bwMode="auto">
                            <a:xfrm>
                              <a:off x="7424" y="4339"/>
                              <a:ext cx="1467" cy="5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9F54D8" w:rsidRDefault="005B5E84" w:rsidP="00473D0E">
                                <w:pPr>
                                  <w:spacing w:line="192" w:lineRule="auto"/>
                                  <w:jc w:val="center"/>
                                  <w:rPr>
                                    <w:rStyle w:val="FontStyle25"/>
                                    <w:sz w:val="18"/>
                                  </w:rPr>
                                </w:pPr>
                                <w:r>
                                  <w:rPr>
                                    <w:rStyle w:val="FontStyle25"/>
                                    <w:sz w:val="18"/>
                                  </w:rPr>
                                  <w:t>Titular de obtenciones vegetales</w:t>
                                </w:r>
                                <w:r w:rsidRPr="009F54D8">
                                  <w:rPr>
                                    <w:rStyle w:val="FontStyle25"/>
                                    <w:sz w:val="18"/>
                                  </w:rPr>
                                  <w:t xml:space="preserve"> (</w:t>
                                </w:r>
                                <w:r>
                                  <w:rPr>
                                    <w:rStyle w:val="FontStyle25"/>
                                    <w:sz w:val="18"/>
                                  </w:rPr>
                                  <w:t>2)</w:t>
                                </w:r>
                              </w:p>
                            </w:txbxContent>
                          </wps:txbx>
                          <wps:bodyPr rot="0" vert="horz" wrap="square" lIns="10800" tIns="3600" rIns="10800" bIns="3600" anchor="t" anchorCtr="0" upright="1">
                            <a:noAutofit/>
                          </wps:bodyPr>
                        </wps:wsp>
                        <wps:wsp>
                          <wps:cNvPr id="36" name="Text Box 30"/>
                          <wps:cNvSpPr txBox="1">
                            <a:spLocks noChangeArrowheads="1"/>
                          </wps:cNvSpPr>
                          <wps:spPr bwMode="auto">
                            <a:xfrm>
                              <a:off x="7424" y="5257"/>
                              <a:ext cx="1458" cy="39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9F54D8" w:rsidRDefault="005B5E84" w:rsidP="00473D0E">
                                <w:pPr>
                                  <w:spacing w:line="192" w:lineRule="auto"/>
                                  <w:jc w:val="center"/>
                                  <w:rPr>
                                    <w:rStyle w:val="FontStyle25"/>
                                    <w:sz w:val="18"/>
                                  </w:rPr>
                                </w:pPr>
                                <w:r>
                                  <w:rPr>
                                    <w:rStyle w:val="FontStyle25"/>
                                    <w:sz w:val="18"/>
                                  </w:rPr>
                                  <w:t>Comercio danés de semillas</w:t>
                                </w:r>
                                <w:r w:rsidRPr="009F54D8">
                                  <w:rPr>
                                    <w:rStyle w:val="FontStyle25"/>
                                    <w:sz w:val="18"/>
                                  </w:rPr>
                                  <w:t xml:space="preserve"> (</w:t>
                                </w:r>
                                <w:r>
                                  <w:rPr>
                                    <w:rStyle w:val="FontStyle25"/>
                                    <w:sz w:val="18"/>
                                  </w:rPr>
                                  <w:t>1)</w:t>
                                </w:r>
                              </w:p>
                            </w:txbxContent>
                          </wps:txbx>
                          <wps:bodyPr rot="0" vert="horz" wrap="square" lIns="10800" tIns="3600" rIns="10800" bIns="3600" anchor="t" anchorCtr="0" upright="1">
                            <a:noAutofit/>
                          </wps:bodyPr>
                        </wps:wsp>
                        <wps:wsp>
                          <wps:cNvPr id="37" name="Text Box 34"/>
                          <wps:cNvSpPr txBox="1">
                            <a:spLocks noChangeArrowheads="1"/>
                          </wps:cNvSpPr>
                          <wps:spPr bwMode="auto">
                            <a:xfrm>
                              <a:off x="9380" y="4339"/>
                              <a:ext cx="983" cy="1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355756" w:rsidRDefault="005B5E84" w:rsidP="00473D0E">
                                <w:pPr>
                                  <w:rPr>
                                    <w:sz w:val="14"/>
                                    <w:szCs w:val="16"/>
                                  </w:rPr>
                                </w:pPr>
                                <w:r>
                                  <w:rPr>
                                    <w:sz w:val="14"/>
                                    <w:szCs w:val="16"/>
                                  </w:rPr>
                                  <w:t>Obtentor</w:t>
                                </w:r>
                              </w:p>
                            </w:txbxContent>
                          </wps:txbx>
                          <wps:bodyPr rot="0" vert="horz" wrap="square" lIns="10800" tIns="3600" rIns="10800" bIns="3600" anchor="t" anchorCtr="0" upright="1">
                            <a:noAutofit/>
                          </wps:bodyPr>
                        </wps:wsp>
                        <wps:wsp>
                          <wps:cNvPr id="38" name="Text Box 35"/>
                          <wps:cNvSpPr txBox="1">
                            <a:spLocks noChangeArrowheads="1"/>
                          </wps:cNvSpPr>
                          <wps:spPr bwMode="auto">
                            <a:xfrm>
                              <a:off x="9378" y="4698"/>
                              <a:ext cx="1034" cy="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355756" w:rsidRDefault="005B5E84" w:rsidP="00473D0E">
                                <w:pPr>
                                  <w:rPr>
                                    <w:sz w:val="14"/>
                                    <w:szCs w:val="16"/>
                                  </w:rPr>
                                </w:pPr>
                                <w:r w:rsidRPr="0056732F">
                                  <w:rPr>
                                    <w:sz w:val="12"/>
                                    <w:szCs w:val="16"/>
                                  </w:rPr>
                                  <w:t>Agente extranjero</w:t>
                                </w:r>
                              </w:p>
                            </w:txbxContent>
                          </wps:txbx>
                          <wps:bodyPr rot="0" vert="horz" wrap="square" lIns="10800" tIns="3600" rIns="10800" bIns="3600" anchor="t" anchorCtr="0" upright="1">
                            <a:noAutofit/>
                          </wps:bodyPr>
                        </wps:wsp>
                        <wps:wsp>
                          <wps:cNvPr id="39" name="Text Box 36"/>
                          <wps:cNvSpPr txBox="1">
                            <a:spLocks noChangeArrowheads="1"/>
                          </wps:cNvSpPr>
                          <wps:spPr bwMode="auto">
                            <a:xfrm>
                              <a:off x="9380" y="5120"/>
                              <a:ext cx="1110" cy="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355756" w:rsidRDefault="005B5E84" w:rsidP="00473D0E">
                                <w:pPr>
                                  <w:rPr>
                                    <w:sz w:val="14"/>
                                    <w:szCs w:val="16"/>
                                  </w:rPr>
                                </w:pPr>
                                <w:r>
                                  <w:rPr>
                                    <w:sz w:val="12"/>
                                    <w:szCs w:val="16"/>
                                  </w:rPr>
                                  <w:t>Empresa mercantil</w:t>
                                </w:r>
                              </w:p>
                            </w:txbxContent>
                          </wps:txbx>
                          <wps:bodyPr rot="0" vert="horz" wrap="square" lIns="10800" tIns="3600" rIns="10800" bIns="3600" anchor="t" anchorCtr="0" upright="1">
                            <a:noAutofit/>
                          </wps:bodyPr>
                        </wps:wsp>
                      </wpg:grpSp>
                      <wps:wsp>
                        <wps:cNvPr id="40" name="Text Box 37"/>
                        <wps:cNvSpPr txBox="1">
                          <a:spLocks noChangeArrowheads="1"/>
                        </wps:cNvSpPr>
                        <wps:spPr bwMode="auto">
                          <a:xfrm>
                            <a:off x="9375" y="5577"/>
                            <a:ext cx="1110" cy="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355756" w:rsidRDefault="005B5E84" w:rsidP="00473D0E">
                              <w:pPr>
                                <w:rPr>
                                  <w:sz w:val="14"/>
                                  <w:szCs w:val="16"/>
                                </w:rPr>
                              </w:pPr>
                              <w:r>
                                <w:rPr>
                                  <w:sz w:val="12"/>
                                  <w:szCs w:val="16"/>
                                </w:rPr>
                                <w:t>Empresa mercantil</w:t>
                              </w:r>
                            </w:p>
                          </w:txbxContent>
                        </wps:txbx>
                        <wps:bodyPr rot="0" vert="horz" wrap="square" lIns="10800" tIns="3600" rIns="10800" bIns="3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left:0;text-align:left;margin-left:314.5pt;margin-top:156.95pt;width:153.3pt;height:72.15pt;z-index:251662336" coordorigin="7424,4339" coordsize="3066,1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">
                <v:group id="Group 44" o:spid="_x0000_s1027" style="position:absolute;left:7424;top:4339;width:3066;height:1317" coordorigin="7424,4339" coordsize="3066,1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type id="_x0000_t202" coordsize="21600,21600" o:spt="202" path="m,l,21600r21600,l21600,xe">
                    <v:stroke joinstyle="miter"/>
                    <v:path gradientshapeok="t" o:connecttype="rect"/>
                  </v:shapetype>
                  <v:shape id="Text Box 29" o:spid="_x0000_s1028" type="#_x0000_t202" style="position:absolute;left:7424;top:4339;width:1467;height:5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3CN8QA&#10;AADbAAAADwAAAGRycy9kb3ducmV2LnhtbESPQWvCQBSE74L/YXlCb7qxRS2pq9hSoSfFWPD6zL4m&#10;wezbNLsx0V/vCoLHYWa+YebLzpTiTLUrLCsYjyIQxKnVBWcKfvfr4TsI55E1lpZJwYUcLBf93hxj&#10;bVve0TnxmQgQdjEqyL2vYildmpNBN7IVcfD+bG3QB1lnUtfYBrgp5WsUTaXBgsNCjhV95ZSeksYo&#10;aA5t8xn9H9fXanXZbmab5HvbJEq9DLrVBwhPnX+GH+0freBtAvcv4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wjfEAAAA2wAAAA8AAAAAAAAAAAAAAAAAmAIAAGRycy9k&#10;b3ducmV2LnhtbFBLBQYAAAAABAAEAPUAAACJAwAAAAA=&#10;" stroked="f">
                    <v:textbox inset=".3mm,.1mm,.3mm,.1mm">
                      <w:txbxContent>
                        <w:p w:rsidR="005B5E84" w:rsidRPr="009F54D8" w:rsidRDefault="005B5E84" w:rsidP="00473D0E">
                          <w:pPr>
                            <w:spacing w:line="192" w:lineRule="auto"/>
                            <w:jc w:val="center"/>
                            <w:rPr>
                              <w:rStyle w:val="FontStyle25"/>
                              <w:sz w:val="18"/>
                            </w:rPr>
                          </w:pPr>
                          <w:r>
                            <w:rPr>
                              <w:rStyle w:val="FontStyle25"/>
                              <w:sz w:val="18"/>
                            </w:rPr>
                            <w:t>Titular de obtenciones vegetales</w:t>
                          </w:r>
                          <w:r w:rsidRPr="009F54D8">
                            <w:rPr>
                              <w:rStyle w:val="FontStyle25"/>
                              <w:sz w:val="18"/>
                            </w:rPr>
                            <w:t xml:space="preserve"> (</w:t>
                          </w:r>
                          <w:r>
                            <w:rPr>
                              <w:rStyle w:val="FontStyle25"/>
                              <w:sz w:val="18"/>
                            </w:rPr>
                            <w:t>2)</w:t>
                          </w:r>
                        </w:p>
                      </w:txbxContent>
                    </v:textbox>
                  </v:shape>
                  <v:shape id="Text Box 30" o:spid="_x0000_s1029" type="#_x0000_t202" style="position:absolute;left:7424;top:5257;width:1458;height:3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9cQMQA&#10;AADbAAAADwAAAGRycy9kb3ducmV2LnhtbESPQWvCQBSE74L/YXlCb7qxgpXoKloUelIaBa/P7DMJ&#10;Zt/G7MbE/vpuoeBxmJlvmMWqM6V4UO0KywrGowgEcWp1wZmC03E3nIFwHlljaZkUPMnBatnvLTDW&#10;tuVveiQ+EwHCLkYFufdVLKVLczLoRrYiDt7V1gZ9kHUmdY1tgJtSvkfRVBosOCzkWNFnTuktaYyC&#10;5tw2m+h+2f1U6+dh/7FPtocmUept0K3nIDx1/hX+b39pBZMp/H0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9/XEDEAAAA2wAAAA8AAAAAAAAAAAAAAAAAmAIAAGRycy9k&#10;b3ducmV2LnhtbFBLBQYAAAAABAAEAPUAAACJAwAAAAA=&#10;" stroked="f">
                    <v:textbox inset=".3mm,.1mm,.3mm,.1mm">
                      <w:txbxContent>
                        <w:p w:rsidR="005B5E84" w:rsidRPr="009F54D8" w:rsidRDefault="005B5E84" w:rsidP="00473D0E">
                          <w:pPr>
                            <w:spacing w:line="192" w:lineRule="auto"/>
                            <w:jc w:val="center"/>
                            <w:rPr>
                              <w:rStyle w:val="FontStyle25"/>
                              <w:sz w:val="18"/>
                            </w:rPr>
                          </w:pPr>
                          <w:r>
                            <w:rPr>
                              <w:rStyle w:val="FontStyle25"/>
                              <w:sz w:val="18"/>
                            </w:rPr>
                            <w:t>Comercio danés de semillas</w:t>
                          </w:r>
                          <w:r w:rsidRPr="009F54D8">
                            <w:rPr>
                              <w:rStyle w:val="FontStyle25"/>
                              <w:sz w:val="18"/>
                            </w:rPr>
                            <w:t xml:space="preserve"> (</w:t>
                          </w:r>
                          <w:r>
                            <w:rPr>
                              <w:rStyle w:val="FontStyle25"/>
                              <w:sz w:val="18"/>
                            </w:rPr>
                            <w:t>1)</w:t>
                          </w:r>
                        </w:p>
                      </w:txbxContent>
                    </v:textbox>
                  </v:shape>
                  <v:shape id="Text Box 34" o:spid="_x0000_s1030" type="#_x0000_t202" style="position:absolute;left:9380;top:4339;width:983;height:1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P528UA&#10;AADbAAAADwAAAGRycy9kb3ducmV2LnhtbESPQWvCQBSE7wX/w/IEb3XTClWia4hFwZPSVOj1NftM&#10;QrNvY3ZjYn+9KxR6HGbmG2aVDKYWV2pdZVnByzQCQZxbXXGh4PS5e16AcB5ZY22ZFNzIQbIePa0w&#10;1rbnD7pmvhABwi5GBaX3TSyly0sy6Ka2IQ7e2bYGfZBtIXWLfYCbWr5G0Zs0WHFYKLGh95Lyn6wz&#10;CrqvvttEl+/db5Pejof5Idseu0ypyXhIlyA8Df4//NfeawWzOTy+hB8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nbxQAAANsAAAAPAAAAAAAAAAAAAAAAAJgCAABkcnMv&#10;ZG93bnJldi54bWxQSwUGAAAAAAQABAD1AAAAigMAAAAA&#10;" stroked="f">
                    <v:textbox inset=".3mm,.1mm,.3mm,.1mm">
                      <w:txbxContent>
                        <w:p w:rsidR="005B5E84" w:rsidRPr="00355756" w:rsidRDefault="005B5E84" w:rsidP="00473D0E">
                          <w:pPr>
                            <w:rPr>
                              <w:sz w:val="14"/>
                              <w:szCs w:val="16"/>
                            </w:rPr>
                          </w:pPr>
                          <w:r>
                            <w:rPr>
                              <w:sz w:val="14"/>
                              <w:szCs w:val="16"/>
                            </w:rPr>
                            <w:t>Obtentor</w:t>
                          </w:r>
                        </w:p>
                      </w:txbxContent>
                    </v:textbox>
                  </v:shape>
                  <v:shape id="Text Box 35" o:spid="_x0000_s1031" type="#_x0000_t202" style="position:absolute;left:9378;top:4698;width:1034;height: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xtqcIA&#10;AADbAAAADwAAAGRycy9kb3ducmV2LnhtbERPTWvCQBC9F/wPywje6sYKraRuQiwGPClNhV6n2WkS&#10;zM7G7MbE/vruodDj431v08m04ka9aywrWC0jEMSl1Q1XCs4f+eMGhPPIGlvLpOBODtJk9rDFWNuR&#10;3+lW+EqEEHYxKqi972IpXVmTQbe0HXHgvm1v0AfYV1L3OIZw08qnKHqWBhsODTV29FZTeSkGo2D4&#10;HIdddP3Kf7rsfjq+HIv9aSiUWsyn7BWEp8n/i//cB61gHcaGL+EHy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rG2pwgAAANsAAAAPAAAAAAAAAAAAAAAAAJgCAABkcnMvZG93&#10;bnJldi54bWxQSwUGAAAAAAQABAD1AAAAhwMAAAAA&#10;" stroked="f">
                    <v:textbox inset=".3mm,.1mm,.3mm,.1mm">
                      <w:txbxContent>
                        <w:p w:rsidR="005B5E84" w:rsidRPr="00355756" w:rsidRDefault="005B5E84" w:rsidP="00473D0E">
                          <w:pPr>
                            <w:rPr>
                              <w:sz w:val="14"/>
                              <w:szCs w:val="16"/>
                            </w:rPr>
                          </w:pPr>
                          <w:r w:rsidRPr="0056732F">
                            <w:rPr>
                              <w:sz w:val="12"/>
                              <w:szCs w:val="16"/>
                            </w:rPr>
                            <w:t>Agente extranjero</w:t>
                          </w:r>
                        </w:p>
                      </w:txbxContent>
                    </v:textbox>
                  </v:shape>
                  <v:shape id="Text Box 36" o:spid="_x0000_s1032" type="#_x0000_t202" style="position:absolute;left:9380;top:5120;width:1110;height: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DIMsQA&#10;AADbAAAADwAAAGRycy9kb3ducmV2LnhtbESPQWvCQBSE74L/YXlCb7qxBbWpq9hSoSfFWPD6zL4m&#10;wezbNLsx0V/vCoLHYWa+YebLzpTiTLUrLCsYjyIQxKnVBWcKfvfr4QyE88gaS8uk4EIOlot+b46x&#10;ti3v6Jz4TAQIuxgV5N5XsZQuzcmgG9mKOHh/tjbog6wzqWtsA9yU8jWKJtJgwWEhx4q+ckpPSWMU&#10;NIe2+Yz+j+trtbpsN9NN8r1tEqVeBt3qA4Snzj/Dj/aPVvD2Dvcv4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7gyDLEAAAA2wAAAA8AAAAAAAAAAAAAAAAAmAIAAGRycy9k&#10;b3ducmV2LnhtbFBLBQYAAAAABAAEAPUAAACJAwAAAAA=&#10;" stroked="f">
                    <v:textbox inset=".3mm,.1mm,.3mm,.1mm">
                      <w:txbxContent>
                        <w:p w:rsidR="005B5E84" w:rsidRPr="00355756" w:rsidRDefault="005B5E84" w:rsidP="00473D0E">
                          <w:pPr>
                            <w:rPr>
                              <w:sz w:val="14"/>
                              <w:szCs w:val="16"/>
                            </w:rPr>
                          </w:pPr>
                          <w:r>
                            <w:rPr>
                              <w:sz w:val="12"/>
                              <w:szCs w:val="16"/>
                            </w:rPr>
                            <w:t>Empresa mercantil</w:t>
                          </w:r>
                        </w:p>
                      </w:txbxContent>
                    </v:textbox>
                  </v:shape>
                </v:group>
                <v:shape id="Text Box 37" o:spid="_x0000_s1033" type="#_x0000_t202" style="position:absolute;left:9375;top:5577;width:1110;height: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wS0sIA&#10;AADbAAAADwAAAGRycy9kb3ducmV2LnhtbERPTWvCQBC9F/wPywje6sYiraRuQiwGPClNhV6n2WkS&#10;zM7G7MbE/vruodDj431v08m04ka9aywrWC0jEMSl1Q1XCs4f+eMGhPPIGlvLpOBODtJk9rDFWNuR&#10;3+lW+EqEEHYxKqi972IpXVmTQbe0HXHgvm1v0AfYV1L3OIZw08qnKHqWBhsODTV29FZTeSkGo2D4&#10;HIdddP3Kf7rsfjq+HIv9aSiUWsyn7BWEp8n/i//cB61gHdaHL+EHy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3BLSwgAAANsAAAAPAAAAAAAAAAAAAAAAAJgCAABkcnMvZG93&#10;bnJldi54bWxQSwUGAAAAAAQABAD1AAAAhwMAAAAA&#10;" stroked="f">
                  <v:textbox inset=".3mm,.1mm,.3mm,.1mm">
                    <w:txbxContent>
                      <w:p w:rsidR="005B5E84" w:rsidRPr="00355756" w:rsidRDefault="005B5E84" w:rsidP="00473D0E">
                        <w:pPr>
                          <w:rPr>
                            <w:sz w:val="14"/>
                            <w:szCs w:val="16"/>
                          </w:rPr>
                        </w:pPr>
                        <w:r>
                          <w:rPr>
                            <w:sz w:val="12"/>
                            <w:szCs w:val="16"/>
                          </w:rPr>
                          <w:t>Empresa mercantil</w:t>
                        </w:r>
                      </w:p>
                    </w:txbxContent>
                  </v:textbox>
                </v:shape>
              </v:group>
            </w:pict>
          </mc:Fallback>
        </mc:AlternateContent>
      </w:r>
      <w:r w:rsidRPr="00D42A19">
        <w:rPr>
          <w:noProof/>
          <w:lang w:val="en-US"/>
        </w:rPr>
        <mc:AlternateContent>
          <mc:Choice Requires="wpg">
            <w:drawing>
              <wp:anchor distT="0" distB="0" distL="114300" distR="114300" simplePos="0" relativeHeight="251663360" behindDoc="0" locked="0" layoutInCell="1" allowOverlap="1" wp14:anchorId="407E129A" wp14:editId="3F9C813A">
                <wp:simplePos x="0" y="0"/>
                <wp:positionH relativeFrom="column">
                  <wp:posOffset>709930</wp:posOffset>
                </wp:positionH>
                <wp:positionV relativeFrom="paragraph">
                  <wp:posOffset>3037205</wp:posOffset>
                </wp:positionV>
                <wp:extent cx="5124450" cy="1362710"/>
                <wp:effectExtent l="1270" t="0" r="0" b="635"/>
                <wp:wrapNone/>
                <wp:docPr id="24"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24450" cy="1362710"/>
                          <a:chOff x="2252" y="5983"/>
                          <a:chExt cx="8070" cy="2146"/>
                        </a:xfrm>
                      </wpg:grpSpPr>
                      <wps:wsp>
                        <wps:cNvPr id="25" name="Text Box 17"/>
                        <wps:cNvSpPr txBox="1">
                          <a:spLocks noChangeArrowheads="1"/>
                        </wps:cNvSpPr>
                        <wps:spPr bwMode="auto">
                          <a:xfrm>
                            <a:off x="5901" y="7262"/>
                            <a:ext cx="568" cy="20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37235B" w:rsidRDefault="005B5E84" w:rsidP="00473D0E">
                              <w:pPr>
                                <w:jc w:val="left"/>
                                <w:rPr>
                                  <w:sz w:val="12"/>
                                </w:rPr>
                              </w:pPr>
                              <w:r>
                                <w:rPr>
                                  <w:sz w:val="12"/>
                                </w:rPr>
                                <w:t>Informes</w:t>
                              </w:r>
                            </w:p>
                          </w:txbxContent>
                        </wps:txbx>
                        <wps:bodyPr rot="0" vert="horz" wrap="square" lIns="3600" tIns="3600" rIns="3600" bIns="3600" anchor="t" anchorCtr="0" upright="1">
                          <a:noAutofit/>
                        </wps:bodyPr>
                      </wps:wsp>
                      <wpg:grpSp>
                        <wpg:cNvPr id="26" name="Group 43"/>
                        <wpg:cNvGrpSpPr>
                          <a:grpSpLocks/>
                        </wpg:cNvGrpSpPr>
                        <wpg:grpSpPr bwMode="auto">
                          <a:xfrm>
                            <a:off x="2252" y="5983"/>
                            <a:ext cx="8070" cy="2146"/>
                            <a:chOff x="2252" y="5983"/>
                            <a:chExt cx="8070" cy="2146"/>
                          </a:xfrm>
                        </wpg:grpSpPr>
                        <wps:wsp>
                          <wps:cNvPr id="27" name="Text Box 16"/>
                          <wps:cNvSpPr txBox="1">
                            <a:spLocks noChangeArrowheads="1"/>
                          </wps:cNvSpPr>
                          <wps:spPr bwMode="auto">
                            <a:xfrm>
                              <a:off x="2252" y="6784"/>
                              <a:ext cx="1220"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37235B" w:rsidRDefault="005B5E84" w:rsidP="00473D0E">
                                <w:pPr>
                                  <w:jc w:val="left"/>
                                  <w:rPr>
                                    <w:sz w:val="12"/>
                                  </w:rPr>
                                </w:pPr>
                                <w:r>
                                  <w:rPr>
                                    <w:sz w:val="12"/>
                                  </w:rPr>
                                  <w:t>Recomendación de aprobación</w:t>
                                </w:r>
                              </w:p>
                            </w:txbxContent>
                          </wps:txbx>
                          <wps:bodyPr rot="0" vert="horz" wrap="square" lIns="3600" tIns="3600" rIns="3600" bIns="3600" anchor="t" anchorCtr="0" upright="1">
                            <a:noAutofit/>
                          </wps:bodyPr>
                        </wps:wsp>
                        <wps:wsp>
                          <wps:cNvPr id="28" name="Text Box 18"/>
                          <wps:cNvSpPr txBox="1">
                            <a:spLocks noChangeArrowheads="1"/>
                          </wps:cNvSpPr>
                          <wps:spPr bwMode="auto">
                            <a:xfrm>
                              <a:off x="4764" y="7651"/>
                              <a:ext cx="2160" cy="47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0F6984" w:rsidRDefault="005B5E84" w:rsidP="00473D0E">
                                <w:pPr>
                                  <w:jc w:val="center"/>
                                </w:pPr>
                                <w:r>
                                  <w:rPr>
                                    <w:rStyle w:val="FontStyle25"/>
                                    <w:sz w:val="18"/>
                                  </w:rPr>
                                  <w:t>Comité Técnico para el Examen de Variedades</w:t>
                                </w:r>
                                <w:r>
                                  <w:rPr>
                                    <w:rStyle w:val="FontStyle25"/>
                                  </w:rPr>
                                  <w:t xml:space="preserve"> </w:t>
                                </w:r>
                              </w:p>
                            </w:txbxContent>
                          </wps:txbx>
                          <wps:bodyPr rot="0" vert="horz" wrap="square" lIns="10800" tIns="3600" rIns="10800" bIns="3600" anchor="t" anchorCtr="0" upright="1">
                            <a:noAutofit/>
                          </wps:bodyPr>
                        </wps:wsp>
                        <wps:wsp>
                          <wps:cNvPr id="29" name="Text Box 31"/>
                          <wps:cNvSpPr txBox="1">
                            <a:spLocks noChangeArrowheads="1"/>
                          </wps:cNvSpPr>
                          <wps:spPr bwMode="auto">
                            <a:xfrm>
                              <a:off x="7469" y="6110"/>
                              <a:ext cx="1413" cy="21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9F54D8" w:rsidRDefault="005B5E84" w:rsidP="00473D0E">
                                <w:pPr>
                                  <w:spacing w:line="192" w:lineRule="auto"/>
                                  <w:jc w:val="center"/>
                                  <w:rPr>
                                    <w:rStyle w:val="FontStyle25"/>
                                    <w:sz w:val="18"/>
                                  </w:rPr>
                                </w:pPr>
                                <w:r>
                                  <w:rPr>
                                    <w:rStyle w:val="FontStyle25"/>
                                    <w:sz w:val="18"/>
                                  </w:rPr>
                                  <w:t>Empleados (1)</w:t>
                                </w:r>
                              </w:p>
                            </w:txbxContent>
                          </wps:txbx>
                          <wps:bodyPr rot="0" vert="horz" wrap="square" lIns="10800" tIns="3600" rIns="10800" bIns="3600" anchor="t" anchorCtr="0" upright="1">
                            <a:noAutofit/>
                          </wps:bodyPr>
                        </wps:wsp>
                        <wps:wsp>
                          <wps:cNvPr id="30" name="Text Box 38"/>
                          <wps:cNvSpPr txBox="1">
                            <a:spLocks noChangeArrowheads="1"/>
                          </wps:cNvSpPr>
                          <wps:spPr bwMode="auto">
                            <a:xfrm>
                              <a:off x="9487" y="5983"/>
                              <a:ext cx="791" cy="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F168DE" w:rsidRDefault="005B5E84" w:rsidP="00473D0E">
                                <w:pPr>
                                  <w:rPr>
                                    <w:sz w:val="16"/>
                                    <w:szCs w:val="16"/>
                                  </w:rPr>
                                </w:pPr>
                                <w:r w:rsidRPr="00F168DE">
                                  <w:rPr>
                                    <w:sz w:val="14"/>
                                    <w:szCs w:val="16"/>
                                  </w:rPr>
                                  <w:t>Empleado</w:t>
                                </w:r>
                              </w:p>
                            </w:txbxContent>
                          </wps:txbx>
                          <wps:bodyPr rot="0" vert="horz" wrap="square" lIns="10800" tIns="3600" rIns="10800" bIns="3600" anchor="t" anchorCtr="0" upright="1">
                            <a:noAutofit/>
                          </wps:bodyPr>
                        </wps:wsp>
                        <wps:wsp>
                          <wps:cNvPr id="31" name="Text Box 39"/>
                          <wps:cNvSpPr txBox="1">
                            <a:spLocks noChangeArrowheads="1"/>
                          </wps:cNvSpPr>
                          <wps:spPr bwMode="auto">
                            <a:xfrm>
                              <a:off x="9531" y="6377"/>
                              <a:ext cx="791" cy="2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F168DE" w:rsidRDefault="005B5E84" w:rsidP="00473D0E">
                                <w:pPr>
                                  <w:rPr>
                                    <w:sz w:val="16"/>
                                    <w:szCs w:val="16"/>
                                  </w:rPr>
                                </w:pPr>
                                <w:r w:rsidRPr="00F168DE">
                                  <w:rPr>
                                    <w:sz w:val="14"/>
                                    <w:szCs w:val="16"/>
                                  </w:rPr>
                                  <w:t>Empleado</w:t>
                                </w:r>
                              </w:p>
                            </w:txbxContent>
                          </wps:txbx>
                          <wps:bodyPr rot="0" vert="horz" wrap="square" lIns="10800" tIns="3600" rIns="10800" bIns="3600" anchor="t" anchorCtr="0" upright="1">
                            <a:noAutofit/>
                          </wps:bodyPr>
                        </wps:wsp>
                        <wps:wsp>
                          <wps:cNvPr id="32" name="Text Box 40"/>
                          <wps:cNvSpPr txBox="1">
                            <a:spLocks noChangeArrowheads="1"/>
                          </wps:cNvSpPr>
                          <wps:spPr bwMode="auto">
                            <a:xfrm>
                              <a:off x="9320" y="6784"/>
                              <a:ext cx="1002" cy="5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F168DE" w:rsidRDefault="005B5E84" w:rsidP="00473D0E">
                                <w:pPr>
                                  <w:jc w:val="center"/>
                                  <w:rPr>
                                    <w:sz w:val="16"/>
                                    <w:szCs w:val="16"/>
                                  </w:rPr>
                                </w:pPr>
                                <w:r>
                                  <w:rPr>
                                    <w:sz w:val="14"/>
                                    <w:szCs w:val="16"/>
                                  </w:rPr>
                                  <w:t>Solicitudes de exámenes técnicos</w:t>
                                </w:r>
                              </w:p>
                            </w:txbxContent>
                          </wps:txbx>
                          <wps:bodyPr rot="0" vert="horz" wrap="square" lIns="10800" tIns="3600" rIns="10800" bIns="360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6" o:spid="_x0000_s1034" style="position:absolute;left:0;text-align:left;margin-left:55.9pt;margin-top:239.15pt;width:403.5pt;height:107.3pt;z-index:251663360" coordorigin="2252,5983" coordsize="8070,21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">
                <v:shape id="Text Box 17" o:spid="_x0000_s1035" type="#_x0000_t202" style="position:absolute;left:5901;top:7262;width:568;height: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6D8QA&#10;AADbAAAADwAAAGRycy9kb3ducmV2LnhtbESP227CMBBE3yvxD9Yi9a04TctFAYO4FBUeuXzAKt7G&#10;aeN1FJsk/H1dqRKPo5k5o1mseluJlhpfOlbwOkpAEOdOl1wouF72LzMQPiBrrByTgjt5WC0HTwvM&#10;tOv4RO05FCJC2GeowIRQZ1L63JBFP3I1cfS+XGMxRNkUUjfYRbitZJokE2mx5LhgsKatofznfLMK&#10;PtfIZjM97t/SXVt8fN8P7bh7V+p52K/nIAL14RH+bx+0gnQMf1/iD5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Seg/EAAAA2wAAAA8AAAAAAAAAAAAAAAAAmAIAAGRycy9k&#10;b3ducmV2LnhtbFBLBQYAAAAABAAEAPUAAACJAwAAAAA=&#10;" stroked="f">
                  <v:textbox inset=".1mm,.1mm,.1mm,.1mm">
                    <w:txbxContent>
                      <w:p w:rsidR="005B5E84" w:rsidRPr="0037235B" w:rsidRDefault="005B5E84" w:rsidP="00473D0E">
                        <w:pPr>
                          <w:jc w:val="left"/>
                          <w:rPr>
                            <w:sz w:val="12"/>
                          </w:rPr>
                        </w:pPr>
                        <w:r>
                          <w:rPr>
                            <w:sz w:val="12"/>
                          </w:rPr>
                          <w:t>Informes</w:t>
                        </w:r>
                      </w:p>
                    </w:txbxContent>
                  </v:textbox>
                </v:shape>
                <v:group id="Group 43" o:spid="_x0000_s1036" style="position:absolute;left:2252;top:5983;width:8070;height:2146" coordorigin="2252,5983" coordsize="8070,21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16" o:spid="_x0000_s1037" type="#_x0000_t202" style="position:absolute;left:2252;top:6784;width:1220;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B48MA&#10;AADbAAAADwAAAGRycy9kb3ducmV2LnhtbESPzW7CMBCE75X6DtYicSsOaQsoYBD9QcCRnwdYxUuc&#10;Nl5HsUnC29dIlTiOZuYbzWLV20q01PjSsYLxKAFBnDtdcqHgfNq8zED4gKyxckwKbuRhtXx+WmCm&#10;XccHao+hEBHCPkMFJoQ6k9Lnhiz6kauJo3dxjcUQZVNI3WAX4baSaZJMpMWS44LBmj4N5b/Hq1Ww&#10;XSObj+l+85p+tcX3z23XvndvSg0H/XoOIlAfHuH/9k4rSKdw/x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8xB48MAAADbAAAADwAAAAAAAAAAAAAAAACYAgAAZHJzL2Rv&#10;d25yZXYueG1sUEsFBgAAAAAEAAQA9QAAAIgDAAAAAA==&#10;" stroked="f">
                    <v:textbox inset=".1mm,.1mm,.1mm,.1mm">
                      <w:txbxContent>
                        <w:p w:rsidR="005B5E84" w:rsidRPr="0037235B" w:rsidRDefault="005B5E84" w:rsidP="00473D0E">
                          <w:pPr>
                            <w:jc w:val="left"/>
                            <w:rPr>
                              <w:sz w:val="12"/>
                            </w:rPr>
                          </w:pPr>
                          <w:r>
                            <w:rPr>
                              <w:sz w:val="12"/>
                            </w:rPr>
                            <w:t>Recomendación de aprobación</w:t>
                          </w:r>
                        </w:p>
                      </w:txbxContent>
                    </v:textbox>
                  </v:shape>
                  <v:shape id="Text Box 18" o:spid="_x0000_s1038" type="#_x0000_t202" style="position:absolute;left:4764;top:7651;width:2160;height: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X7dMIA&#10;AADbAAAADwAAAGRycy9kb3ducmV2LnhtbERPy2rCQBTdC/7DcAvd6aQurKSOIUoFV5GmhW6vmWsS&#10;zNxJM5OH/frOouDycN7bZDKNGKhztWUFL8sIBHFhdc2lgq/P42IDwnlkjY1lUnAnB8luPttirO3I&#10;HzTkvhQhhF2MCirv21hKV1Rk0C1tSxy4q+0M+gC7UuoOxxBuGrmKorU0WHNoqLClQ0XFLe+Ngv57&#10;7PfRz+X426b3c/aa5e/nPlfq+WlK30B4mvxD/O8+aQWrMDZ8CT9A7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ft0wgAAANsAAAAPAAAAAAAAAAAAAAAAAJgCAABkcnMvZG93&#10;bnJldi54bWxQSwUGAAAAAAQABAD1AAAAhwMAAAAA&#10;" stroked="f">
                    <v:textbox inset=".3mm,.1mm,.3mm,.1mm">
                      <w:txbxContent>
                        <w:p w:rsidR="005B5E84" w:rsidRPr="000F6984" w:rsidRDefault="005B5E84" w:rsidP="00473D0E">
                          <w:pPr>
                            <w:jc w:val="center"/>
                          </w:pPr>
                          <w:r>
                            <w:rPr>
                              <w:rStyle w:val="FontStyle25"/>
                              <w:sz w:val="18"/>
                            </w:rPr>
                            <w:t>Comité Técnico para el Examen de Variedades</w:t>
                          </w:r>
                          <w:r>
                            <w:rPr>
                              <w:rStyle w:val="FontStyle25"/>
                            </w:rPr>
                            <w:t xml:space="preserve"> </w:t>
                          </w:r>
                        </w:p>
                      </w:txbxContent>
                    </v:textbox>
                  </v:shape>
                  <v:shape id="Text Box 31" o:spid="_x0000_s1039" type="#_x0000_t202" style="position:absolute;left:7469;top:6110;width:1413;height: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le78UA&#10;AADbAAAADwAAAGRycy9kb3ducmV2LnhtbESPQWvCQBSE7wX/w/KE3ppNPbQ1uoZYKvSkmAq9vmaf&#10;SWj2bcxuTPTXu0Khx2FmvmGW6WgacabO1ZYVPEcxCOLC6ppLBYevzdMbCOeRNTaWScGFHKSrycMS&#10;E20H3tM596UIEHYJKqi8bxMpXVGRQRfZljh4R9sZ9EF2pdQdDgFuGjmL4xdpsOawUGFL7xUVv3lv&#10;FPTfQ7+OTz+ba5tddtvXbf6x63OlHqdjtgDhafT/4b/2p1Ywm8P9S/gBc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OV7vxQAAANsAAAAPAAAAAAAAAAAAAAAAAJgCAABkcnMv&#10;ZG93bnJldi54bWxQSwUGAAAAAAQABAD1AAAAigMAAAAA&#10;" stroked="f">
                    <v:textbox inset=".3mm,.1mm,.3mm,.1mm">
                      <w:txbxContent>
                        <w:p w:rsidR="005B5E84" w:rsidRPr="009F54D8" w:rsidRDefault="005B5E84" w:rsidP="00473D0E">
                          <w:pPr>
                            <w:spacing w:line="192" w:lineRule="auto"/>
                            <w:jc w:val="center"/>
                            <w:rPr>
                              <w:rStyle w:val="FontStyle25"/>
                              <w:sz w:val="18"/>
                            </w:rPr>
                          </w:pPr>
                          <w:r>
                            <w:rPr>
                              <w:rStyle w:val="FontStyle25"/>
                              <w:sz w:val="18"/>
                            </w:rPr>
                            <w:t>Empleados (1)</w:t>
                          </w:r>
                        </w:p>
                      </w:txbxContent>
                    </v:textbox>
                  </v:shape>
                  <v:shape id="Text Box 38" o:spid="_x0000_s1040" type="#_x0000_t202" style="position:absolute;left:9487;top:5983;width:791;height: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phr8IA&#10;AADbAAAADwAAAGRycy9kb3ducmV2LnhtbERPTWvCQBC9F/wPywje6sYKraRuQiwGPClNhV6n2WkS&#10;zM7G7MbE/vruodDj431v08m04ka9aywrWC0jEMSl1Q1XCs4f+eMGhPPIGlvLpOBODtJk9rDFWNuR&#10;3+lW+EqEEHYxKqi972IpXVmTQbe0HXHgvm1v0AfYV1L3OIZw08qnKHqWBhsODTV29FZTeSkGo2D4&#10;HIdddP3Kf7rsfjq+HIv9aSiUWsyn7BWEp8n/i//cB61gHdaHL+EHy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2mGvwgAAANsAAAAPAAAAAAAAAAAAAAAAAJgCAABkcnMvZG93&#10;bnJldi54bWxQSwUGAAAAAAQABAD1AAAAhwMAAAAA&#10;" stroked="f">
                    <v:textbox inset=".3mm,.1mm,.3mm,.1mm">
                      <w:txbxContent>
                        <w:p w:rsidR="005B5E84" w:rsidRPr="00F168DE" w:rsidRDefault="005B5E84" w:rsidP="00473D0E">
                          <w:pPr>
                            <w:rPr>
                              <w:sz w:val="16"/>
                              <w:szCs w:val="16"/>
                            </w:rPr>
                          </w:pPr>
                          <w:r w:rsidRPr="00F168DE">
                            <w:rPr>
                              <w:sz w:val="14"/>
                              <w:szCs w:val="16"/>
                            </w:rPr>
                            <w:t>Empleado</w:t>
                          </w:r>
                        </w:p>
                      </w:txbxContent>
                    </v:textbox>
                  </v:shape>
                  <v:shape id="Text Box 39" o:spid="_x0000_s1041" type="#_x0000_t202" style="position:absolute;left:9531;top:6377;width:791;height:2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bENMUA&#10;AADbAAAADwAAAGRycy9kb3ducmV2LnhtbESPQWvCQBSE70L/w/KE3nSTFmqJrsFKhZ6UxoLXZ/aZ&#10;BLNvY3ZjYn99tyB4HGbmG2aRDqYWV2pdZVlBPI1AEOdWV1wo+NlvJu8gnEfWWFsmBTdykC6fRgtM&#10;tO35m66ZL0SAsEtQQel9k0jp8pIMuqltiIN3sq1BH2RbSN1iH+Cmli9R9CYNVhwWSmxoXVJ+zjqj&#10;oDv03Ud0OW5+m9Vtt51ts89dlyn1PB5WcxCeBv8I39tfWsFrDP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lsQ0xQAAANsAAAAPAAAAAAAAAAAAAAAAAJgCAABkcnMv&#10;ZG93bnJldi54bWxQSwUGAAAAAAQABAD1AAAAigMAAAAA&#10;" stroked="f">
                    <v:textbox inset=".3mm,.1mm,.3mm,.1mm">
                      <w:txbxContent>
                        <w:p w:rsidR="005B5E84" w:rsidRPr="00F168DE" w:rsidRDefault="005B5E84" w:rsidP="00473D0E">
                          <w:pPr>
                            <w:rPr>
                              <w:sz w:val="16"/>
                              <w:szCs w:val="16"/>
                            </w:rPr>
                          </w:pPr>
                          <w:r w:rsidRPr="00F168DE">
                            <w:rPr>
                              <w:sz w:val="14"/>
                              <w:szCs w:val="16"/>
                            </w:rPr>
                            <w:t>Empleado</w:t>
                          </w:r>
                        </w:p>
                      </w:txbxContent>
                    </v:textbox>
                  </v:shape>
                  <v:shape id="Text Box 40" o:spid="_x0000_s1042" type="#_x0000_t202" style="position:absolute;left:9320;top:6784;width:1002;height:5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RaQ8UA&#10;AADbAAAADwAAAGRycy9kb3ducmV2LnhtbESPQWvCQBSE7wX/w/KE3ppNLbQSXUMsFXpSTIVeX7PP&#10;JDT7NmY3JvrrXaHQ4zAz3zDLdDSNOFPnassKnqMYBHFhdc2lgsPX5mkOwnlkjY1lUnAhB+lq8rDE&#10;RNuB93TOfSkChF2CCirv20RKV1Rk0EW2JQ7e0XYGfZBdKXWHQ4CbRs7i+FUarDksVNjSe0XFb94b&#10;Bf330K/j08/m2maX3fZtm3/s+lypx+mYLUB4Gv1/+K/9qRW8zO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RFpDxQAAANsAAAAPAAAAAAAAAAAAAAAAAJgCAABkcnMv&#10;ZG93bnJldi54bWxQSwUGAAAAAAQABAD1AAAAigMAAAAA&#10;" stroked="f">
                    <v:textbox inset=".3mm,.1mm,.3mm,.1mm">
                      <w:txbxContent>
                        <w:p w:rsidR="005B5E84" w:rsidRPr="00F168DE" w:rsidRDefault="005B5E84" w:rsidP="00473D0E">
                          <w:pPr>
                            <w:jc w:val="center"/>
                            <w:rPr>
                              <w:sz w:val="16"/>
                              <w:szCs w:val="16"/>
                            </w:rPr>
                          </w:pPr>
                          <w:r>
                            <w:rPr>
                              <w:sz w:val="14"/>
                              <w:szCs w:val="16"/>
                            </w:rPr>
                            <w:t>Solicitudes de exámenes técnicos</w:t>
                          </w:r>
                        </w:p>
                      </w:txbxContent>
                    </v:textbox>
                  </v:shape>
                </v:group>
              </v:group>
            </w:pict>
          </mc:Fallback>
        </mc:AlternateContent>
      </w:r>
      <w:r w:rsidRPr="00D42A19">
        <w:rPr>
          <w:noProof/>
          <w:lang w:val="en-US"/>
        </w:rPr>
        <mc:AlternateContent>
          <mc:Choice Requires="wpg">
            <w:drawing>
              <wp:anchor distT="0" distB="0" distL="114300" distR="114300" simplePos="0" relativeHeight="251659264" behindDoc="0" locked="0" layoutInCell="1" allowOverlap="1" wp14:anchorId="72165B65" wp14:editId="5EBD1CEA">
                <wp:simplePos x="0" y="0"/>
                <wp:positionH relativeFrom="column">
                  <wp:posOffset>109855</wp:posOffset>
                </wp:positionH>
                <wp:positionV relativeFrom="paragraph">
                  <wp:posOffset>66040</wp:posOffset>
                </wp:positionV>
                <wp:extent cx="6457315" cy="1441450"/>
                <wp:effectExtent l="1270" t="0" r="0" b="0"/>
                <wp:wrapNone/>
                <wp:docPr id="14"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315" cy="1441450"/>
                          <a:chOff x="1307" y="1304"/>
                          <a:chExt cx="10169" cy="2270"/>
                        </a:xfrm>
                      </wpg:grpSpPr>
                      <wps:wsp>
                        <wps:cNvPr id="15" name="Text Box 5"/>
                        <wps:cNvSpPr txBox="1">
                          <a:spLocks noChangeArrowheads="1"/>
                        </wps:cNvSpPr>
                        <wps:spPr bwMode="auto">
                          <a:xfrm>
                            <a:off x="4710" y="1662"/>
                            <a:ext cx="2537" cy="36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6A5E63" w:rsidRDefault="005B5E84" w:rsidP="00473D0E">
                              <w:pPr>
                                <w:rPr>
                                  <w:sz w:val="14"/>
                                </w:rPr>
                              </w:pPr>
                              <w:proofErr w:type="gramStart"/>
                              <w:r w:rsidRPr="006A5E63">
                                <w:rPr>
                                  <w:rStyle w:val="FontStyle28"/>
                                  <w:sz w:val="22"/>
                                </w:rPr>
                                <w:t>desde</w:t>
                              </w:r>
                              <w:proofErr w:type="gramEnd"/>
                              <w:r w:rsidRPr="006A5E63">
                                <w:rPr>
                                  <w:rStyle w:val="FontStyle28"/>
                                  <w:sz w:val="22"/>
                                </w:rPr>
                                <w:t xml:space="preserve"> el 1 de julio de 2015</w:t>
                              </w:r>
                            </w:p>
                          </w:txbxContent>
                        </wps:txbx>
                        <wps:bodyPr rot="0" vert="horz" wrap="square" lIns="91440" tIns="45720" rIns="91440" bIns="45720" anchor="t" anchorCtr="0" upright="1">
                          <a:noAutofit/>
                        </wps:bodyPr>
                      </wps:wsp>
                      <wpg:grpSp>
                        <wpg:cNvPr id="16" name="Group 41"/>
                        <wpg:cNvGrpSpPr>
                          <a:grpSpLocks/>
                        </wpg:cNvGrpSpPr>
                        <wpg:grpSpPr bwMode="auto">
                          <a:xfrm>
                            <a:off x="1307" y="1304"/>
                            <a:ext cx="10169" cy="2270"/>
                            <a:chOff x="1307" y="1304"/>
                            <a:chExt cx="10169" cy="2270"/>
                          </a:xfrm>
                        </wpg:grpSpPr>
                        <wps:wsp>
                          <wps:cNvPr id="17" name="Text Box 3"/>
                          <wps:cNvSpPr txBox="1">
                            <a:spLocks noChangeArrowheads="1"/>
                          </wps:cNvSpPr>
                          <wps:spPr bwMode="auto">
                            <a:xfrm>
                              <a:off x="1307" y="1304"/>
                              <a:ext cx="10169" cy="41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6A5E63" w:rsidRDefault="005B5E84" w:rsidP="00473D0E">
                                <w:pPr>
                                  <w:rPr>
                                    <w:sz w:val="22"/>
                                    <w:szCs w:val="24"/>
                                  </w:rPr>
                                </w:pPr>
                                <w:r w:rsidRPr="006A5E63">
                                  <w:rPr>
                                    <w:rStyle w:val="FontStyle24"/>
                                    <w:sz w:val="22"/>
                                    <w:szCs w:val="24"/>
                                  </w:rPr>
                                  <w:t xml:space="preserve">Relación entre la Agencia Nacional de Agricultura y Pesca de Dinamarca y la </w:t>
                                </w:r>
                                <w:proofErr w:type="spellStart"/>
                                <w:r w:rsidRPr="006A5E63">
                                  <w:rPr>
                                    <w:rStyle w:val="FontStyle24"/>
                                    <w:i/>
                                    <w:sz w:val="22"/>
                                    <w:szCs w:val="24"/>
                                  </w:rPr>
                                  <w:t>TystofteFoundation</w:t>
                                </w:r>
                                <w:proofErr w:type="spellEnd"/>
                              </w:p>
                            </w:txbxContent>
                          </wps:txbx>
                          <wps:bodyPr rot="0" vert="horz" wrap="square" lIns="91440" tIns="45720" rIns="91440" bIns="45720" anchor="t" anchorCtr="0" upright="1">
                            <a:spAutoFit/>
                          </wps:bodyPr>
                        </wps:wsp>
                        <wps:wsp>
                          <wps:cNvPr id="18" name="Text Box 6"/>
                          <wps:cNvSpPr txBox="1">
                            <a:spLocks noChangeArrowheads="1"/>
                          </wps:cNvSpPr>
                          <wps:spPr bwMode="auto">
                            <a:xfrm>
                              <a:off x="1830" y="2176"/>
                              <a:ext cx="1757" cy="394"/>
                            </a:xfrm>
                            <a:prstGeom prst="rect">
                              <a:avLst/>
                            </a:prstGeom>
                            <a:solidFill>
                              <a:srgbClr val="FFFFFF"/>
                            </a:solidFill>
                            <a:ln w="9525">
                              <a:solidFill>
                                <a:schemeClr val="bg1">
                                  <a:lumMod val="100000"/>
                                  <a:lumOff val="0"/>
                                </a:schemeClr>
                              </a:solidFill>
                              <a:miter lim="800000"/>
                              <a:headEnd/>
                              <a:tailEnd/>
                            </a:ln>
                          </wps:spPr>
                          <wps:txbx>
                            <w:txbxContent>
                              <w:p w:rsidR="005B5E84" w:rsidRPr="002B0C5B" w:rsidRDefault="005B5E84" w:rsidP="00473D0E">
                                <w:pPr>
                                  <w:pStyle w:val="Style4"/>
                                  <w:widowControl/>
                                  <w:spacing w:line="216" w:lineRule="auto"/>
                                  <w:ind w:firstLine="0"/>
                                  <w:jc w:val="center"/>
                                  <w:rPr>
                                    <w:rStyle w:val="FontStyle31"/>
                                    <w:color w:val="CC0000"/>
                                    <w:sz w:val="16"/>
                                  </w:rPr>
                                </w:pPr>
                                <w:r w:rsidRPr="002B0C5B">
                                  <w:rPr>
                                    <w:rStyle w:val="FontStyle31"/>
                                    <w:color w:val="CC0000"/>
                                    <w:sz w:val="16"/>
                                  </w:rPr>
                                  <w:t>Instituciones gubernamentales</w:t>
                                </w:r>
                              </w:p>
                              <w:p w:rsidR="005B5E84" w:rsidRPr="002B0C5B" w:rsidRDefault="005B5E84" w:rsidP="00473D0E">
                                <w:pPr>
                                  <w:rPr>
                                    <w:sz w:val="12"/>
                                  </w:rPr>
                                </w:pPr>
                              </w:p>
                            </w:txbxContent>
                          </wps:txbx>
                          <wps:bodyPr rot="0" vert="horz" wrap="square" lIns="18000" tIns="10800" rIns="18000" bIns="10800" anchor="t" anchorCtr="0" upright="1">
                            <a:noAutofit/>
                          </wps:bodyPr>
                        </wps:wsp>
                        <wps:wsp>
                          <wps:cNvPr id="19" name="Text Box 7"/>
                          <wps:cNvSpPr txBox="1">
                            <a:spLocks noChangeArrowheads="1"/>
                          </wps:cNvSpPr>
                          <wps:spPr bwMode="auto">
                            <a:xfrm>
                              <a:off x="4723" y="2176"/>
                              <a:ext cx="1757" cy="403"/>
                            </a:xfrm>
                            <a:prstGeom prst="rect">
                              <a:avLst/>
                            </a:prstGeom>
                            <a:solidFill>
                              <a:srgbClr val="FFFFFF"/>
                            </a:solidFill>
                            <a:ln w="9525">
                              <a:solidFill>
                                <a:schemeClr val="bg1">
                                  <a:lumMod val="100000"/>
                                  <a:lumOff val="0"/>
                                </a:schemeClr>
                              </a:solidFill>
                              <a:miter lim="800000"/>
                              <a:headEnd/>
                              <a:tailEnd/>
                            </a:ln>
                          </wps:spPr>
                          <wps:txbx>
                            <w:txbxContent>
                              <w:p w:rsidR="005B5E84" w:rsidRPr="002B0C5B" w:rsidRDefault="005B5E84" w:rsidP="00473D0E">
                                <w:pPr>
                                  <w:pStyle w:val="Style4"/>
                                  <w:widowControl/>
                                  <w:spacing w:line="216" w:lineRule="auto"/>
                                  <w:ind w:firstLine="0"/>
                                  <w:jc w:val="center"/>
                                  <w:rPr>
                                    <w:rStyle w:val="FontStyle31"/>
                                    <w:color w:val="CC0000"/>
                                    <w:sz w:val="16"/>
                                  </w:rPr>
                                </w:pPr>
                                <w:r w:rsidRPr="002B0C5B">
                                  <w:rPr>
                                    <w:rStyle w:val="FontStyle31"/>
                                    <w:color w:val="CC0000"/>
                                    <w:sz w:val="16"/>
                                  </w:rPr>
                                  <w:t>Instituci</w:t>
                                </w:r>
                                <w:r>
                                  <w:rPr>
                                    <w:rStyle w:val="FontStyle31"/>
                                    <w:color w:val="CC0000"/>
                                    <w:sz w:val="16"/>
                                  </w:rPr>
                                  <w:t>ón no gubernamental</w:t>
                                </w:r>
                              </w:p>
                              <w:p w:rsidR="005B5E84" w:rsidRPr="002B0C5B" w:rsidRDefault="005B5E84" w:rsidP="00473D0E">
                                <w:pPr>
                                  <w:rPr>
                                    <w:sz w:val="12"/>
                                  </w:rPr>
                                </w:pPr>
                              </w:p>
                            </w:txbxContent>
                          </wps:txbx>
                          <wps:bodyPr rot="0" vert="horz" wrap="square" lIns="18000" tIns="10800" rIns="18000" bIns="10800" anchor="t" anchorCtr="0" upright="1">
                            <a:noAutofit/>
                          </wps:bodyPr>
                        </wps:wsp>
                        <wps:wsp>
                          <wps:cNvPr id="20" name="Text Box 8"/>
                          <wps:cNvSpPr txBox="1">
                            <a:spLocks noChangeArrowheads="1"/>
                          </wps:cNvSpPr>
                          <wps:spPr bwMode="auto">
                            <a:xfrm>
                              <a:off x="7238" y="2171"/>
                              <a:ext cx="1757" cy="403"/>
                            </a:xfrm>
                            <a:prstGeom prst="rect">
                              <a:avLst/>
                            </a:prstGeom>
                            <a:solidFill>
                              <a:srgbClr val="FFFFFF"/>
                            </a:solidFill>
                            <a:ln w="9525">
                              <a:solidFill>
                                <a:schemeClr val="bg1">
                                  <a:lumMod val="100000"/>
                                  <a:lumOff val="0"/>
                                </a:schemeClr>
                              </a:solidFill>
                              <a:miter lim="800000"/>
                              <a:headEnd/>
                              <a:tailEnd/>
                            </a:ln>
                          </wps:spPr>
                          <wps:txbx>
                            <w:txbxContent>
                              <w:p w:rsidR="005B5E84" w:rsidRPr="002B0C5B" w:rsidRDefault="005B5E84" w:rsidP="00473D0E">
                                <w:pPr>
                                  <w:pStyle w:val="Style4"/>
                                  <w:widowControl/>
                                  <w:spacing w:line="216" w:lineRule="auto"/>
                                  <w:ind w:firstLine="0"/>
                                  <w:jc w:val="center"/>
                                  <w:rPr>
                                    <w:rStyle w:val="FontStyle31"/>
                                    <w:color w:val="CC0000"/>
                                    <w:sz w:val="16"/>
                                  </w:rPr>
                                </w:pPr>
                                <w:r>
                                  <w:rPr>
                                    <w:rStyle w:val="FontStyle31"/>
                                    <w:color w:val="CC0000"/>
                                    <w:sz w:val="16"/>
                                  </w:rPr>
                                  <w:t>Organizaciones que nombran el consejo</w:t>
                                </w:r>
                              </w:p>
                              <w:p w:rsidR="005B5E84" w:rsidRPr="002B0C5B" w:rsidRDefault="005B5E84" w:rsidP="00473D0E">
                                <w:pPr>
                                  <w:rPr>
                                    <w:sz w:val="12"/>
                                  </w:rPr>
                                </w:pPr>
                              </w:p>
                            </w:txbxContent>
                          </wps:txbx>
                          <wps:bodyPr rot="0" vert="horz" wrap="square" lIns="18000" tIns="10800" rIns="18000" bIns="10800" anchor="t" anchorCtr="0" upright="1">
                            <a:noAutofit/>
                          </wps:bodyPr>
                        </wps:wsp>
                        <wps:wsp>
                          <wps:cNvPr id="21" name="Text Box 9"/>
                          <wps:cNvSpPr txBox="1">
                            <a:spLocks noChangeArrowheads="1"/>
                          </wps:cNvSpPr>
                          <wps:spPr bwMode="auto">
                            <a:xfrm>
                              <a:off x="9054" y="2180"/>
                              <a:ext cx="1194" cy="403"/>
                            </a:xfrm>
                            <a:prstGeom prst="rect">
                              <a:avLst/>
                            </a:prstGeom>
                            <a:solidFill>
                              <a:srgbClr val="FFFFFF"/>
                            </a:solidFill>
                            <a:ln w="9525">
                              <a:solidFill>
                                <a:schemeClr val="bg1">
                                  <a:lumMod val="100000"/>
                                  <a:lumOff val="0"/>
                                </a:schemeClr>
                              </a:solidFill>
                              <a:miter lim="800000"/>
                              <a:headEnd/>
                              <a:tailEnd/>
                            </a:ln>
                          </wps:spPr>
                          <wps:txbx>
                            <w:txbxContent>
                              <w:p w:rsidR="005B5E84" w:rsidRPr="002B0C5B" w:rsidRDefault="005B5E84" w:rsidP="00473D0E">
                                <w:pPr>
                                  <w:pStyle w:val="Style4"/>
                                  <w:widowControl/>
                                  <w:spacing w:line="216" w:lineRule="auto"/>
                                  <w:ind w:firstLine="0"/>
                                  <w:jc w:val="center"/>
                                  <w:rPr>
                                    <w:rStyle w:val="FontStyle31"/>
                                    <w:color w:val="CC0000"/>
                                    <w:sz w:val="16"/>
                                  </w:rPr>
                                </w:pPr>
                                <w:r>
                                  <w:rPr>
                                    <w:rStyle w:val="FontStyle31"/>
                                    <w:color w:val="CC0000"/>
                                    <w:sz w:val="16"/>
                                  </w:rPr>
                                  <w:t>Empresas privadas</w:t>
                                </w:r>
                              </w:p>
                              <w:p w:rsidR="005B5E84" w:rsidRPr="002B0C5B" w:rsidRDefault="005B5E84" w:rsidP="00473D0E">
                                <w:pPr>
                                  <w:rPr>
                                    <w:sz w:val="12"/>
                                  </w:rPr>
                                </w:pPr>
                              </w:p>
                            </w:txbxContent>
                          </wps:txbx>
                          <wps:bodyPr rot="0" vert="horz" wrap="square" lIns="18000" tIns="10800" rIns="18000" bIns="10800" anchor="t" anchorCtr="0" upright="1">
                            <a:noAutofit/>
                          </wps:bodyPr>
                        </wps:wsp>
                        <wps:wsp>
                          <wps:cNvPr id="22" name="Text Box 10"/>
                          <wps:cNvSpPr txBox="1">
                            <a:spLocks noChangeArrowheads="1"/>
                          </wps:cNvSpPr>
                          <wps:spPr bwMode="auto">
                            <a:xfrm>
                              <a:off x="1353" y="2822"/>
                              <a:ext cx="2651" cy="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0F479D" w:rsidRDefault="005B5E84" w:rsidP="00473D0E">
                                <w:pPr>
                                  <w:pStyle w:val="Style6"/>
                                  <w:widowControl/>
                                  <w:spacing w:line="216" w:lineRule="auto"/>
                                  <w:ind w:right="108"/>
                                  <w:rPr>
                                    <w:rFonts w:cs="Calibri"/>
                                    <w:sz w:val="18"/>
                                    <w:szCs w:val="28"/>
                                    <w:lang w:val="es-ES_tradnl"/>
                                  </w:rPr>
                                </w:pPr>
                                <w:r w:rsidRPr="00625CA2">
                                  <w:rPr>
                                    <w:rStyle w:val="FontStyle25"/>
                                    <w:sz w:val="18"/>
                                  </w:rPr>
                                  <w:t xml:space="preserve">Ministerio de Medio Ambiente </w:t>
                                </w:r>
                                <w:r>
                                  <w:rPr>
                                    <w:rStyle w:val="FontStyle25"/>
                                    <w:sz w:val="18"/>
                                  </w:rPr>
                                  <w:br/>
                                </w:r>
                                <w:r w:rsidRPr="00625CA2">
                                  <w:rPr>
                                    <w:rStyle w:val="FontStyle25"/>
                                    <w:sz w:val="18"/>
                                  </w:rPr>
                                  <w:t>y Alimentación</w:t>
                                </w:r>
                              </w:p>
                            </w:txbxContent>
                          </wps:txbx>
                          <wps:bodyPr rot="0" vert="horz" wrap="square" lIns="10800" tIns="3600" rIns="10800" bIns="3600" anchor="t" anchorCtr="0" upright="1">
                            <a:noAutofit/>
                          </wps:bodyPr>
                        </wps:wsp>
                        <wps:wsp>
                          <wps:cNvPr id="23" name="Text Box 11"/>
                          <wps:cNvSpPr txBox="1">
                            <a:spLocks noChangeArrowheads="1"/>
                          </wps:cNvSpPr>
                          <wps:spPr bwMode="auto">
                            <a:xfrm>
                              <a:off x="3667" y="3406"/>
                              <a:ext cx="1380" cy="1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37235B" w:rsidRDefault="005B5E84" w:rsidP="00473D0E">
                                <w:pPr>
                                  <w:rPr>
                                    <w:sz w:val="12"/>
                                  </w:rPr>
                                </w:pPr>
                                <w:r w:rsidRPr="0037235B">
                                  <w:rPr>
                                    <w:sz w:val="12"/>
                                  </w:rPr>
                                  <w:t>Órdenes ministeriales</w:t>
                                </w:r>
                              </w:p>
                            </w:txbxContent>
                          </wps:txbx>
                          <wps:bodyPr rot="0" vert="horz" wrap="square" lIns="10800" tIns="3600" rIns="10800" bIns="360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5" o:spid="_x0000_s1043" style="position:absolute;left:0;text-align:left;margin-left:8.65pt;margin-top:5.2pt;width:508.45pt;height:113.5pt;z-index:251659264" coordorigin="1307,1304" coordsize="10169,2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">
                <v:shape id="_x0000_s1044" type="#_x0000_t202" style="position:absolute;left:4710;top:1662;width:2537;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Y5cEA&#10;AADbAAAADwAAAGRycy9kb3ducmV2LnhtbERPzWrCQBC+F/oOyxS8lLqpaGyjm1ALitekPsCYHZNg&#10;djZkVxPfvisI3ubj+511NppWXKl3jWUFn9MIBHFpdcOVgsPf9uMLhPPIGlvLpOBGDrL09WWNibYD&#10;53QtfCVCCLsEFdTed4mUrqzJoJvajjhwJ9sb9AH2ldQ9DiHctHIWRbE02HBoqLGj35rKc3ExCk77&#10;4X3xPRx3/rDM5/EGm+XR3pSavI0/KxCeRv8UP9x7HeYv4P5LOECm/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0WWOXBAAAA2wAAAA8AAAAAAAAAAAAAAAAAmAIAAGRycy9kb3du&#10;cmV2LnhtbFBLBQYAAAAABAAEAPUAAACGAwAAAAA=&#10;" stroked="f">
                  <v:textbox>
                    <w:txbxContent>
                      <w:p w:rsidR="005B5E84" w:rsidRPr="006A5E63" w:rsidRDefault="005B5E84" w:rsidP="00473D0E">
                        <w:pPr>
                          <w:rPr>
                            <w:sz w:val="14"/>
                          </w:rPr>
                        </w:pPr>
                        <w:r w:rsidRPr="006A5E63">
                          <w:rPr>
                            <w:rStyle w:val="FontStyle28"/>
                            <w:sz w:val="22"/>
                          </w:rPr>
                          <w:t>desde el 1 de julio de 2015</w:t>
                        </w:r>
                      </w:p>
                    </w:txbxContent>
                  </v:textbox>
                </v:shape>
                <v:group id="Group 41" o:spid="_x0000_s1045" style="position:absolute;left:1307;top:1304;width:10169;height:2270" coordorigin="1307,1304" coordsize="10169,22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_x0000_s1046" type="#_x0000_t202" style="position:absolute;left:1307;top:1304;width:10169;height: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F/osMA&#10;AADbAAAADwAAAGRycy9kb3ducmV2LnhtbESPzYvCMBDF7wv+D2EEb2vqgh9Uo4iwsIgHvw4eh2Zs&#10;aptJt4la/3sjCN5meG/e781s0dpK3KjxhWMFg34CgjhzuuBcwfHw+z0B4QOyxsoxKXiQh8W88zXD&#10;VLs77+i2D7mIIexTVGBCqFMpfWbIou+7mjhqZ9dYDHFtcqkbvMdwW8mfJBlJiwVHgsGaVoaycn+1&#10;EbLx2XXn/i+DTSlPphzhcGvWSvW67XIKIlAbPub39Z+O9cfw+iUOIO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fF/osMAAADbAAAADwAAAAAAAAAAAAAAAACYAgAAZHJzL2Rv&#10;d25yZXYueG1sUEsFBgAAAAAEAAQA9QAAAIgDAAAAAA==&#10;" stroked="f">
                    <v:textbox style="mso-fit-shape-to-text:t">
                      <w:txbxContent>
                        <w:p w:rsidR="005B5E84" w:rsidRPr="006A5E63" w:rsidRDefault="005B5E84" w:rsidP="00473D0E">
                          <w:pPr>
                            <w:rPr>
                              <w:sz w:val="22"/>
                              <w:szCs w:val="24"/>
                            </w:rPr>
                          </w:pPr>
                          <w:r w:rsidRPr="006A5E63">
                            <w:rPr>
                              <w:rStyle w:val="FontStyle24"/>
                              <w:sz w:val="22"/>
                              <w:szCs w:val="24"/>
                            </w:rPr>
                            <w:t xml:space="preserve">Relación entre la Agencia Nacional de Agricultura y Pesca de Dinamarca y la </w:t>
                          </w:r>
                          <w:r w:rsidRPr="006A5E63">
                            <w:rPr>
                              <w:rStyle w:val="FontStyle24"/>
                              <w:i/>
                              <w:sz w:val="22"/>
                              <w:szCs w:val="24"/>
                            </w:rPr>
                            <w:t>TystofteFoundation</w:t>
                          </w:r>
                        </w:p>
                      </w:txbxContent>
                    </v:textbox>
                  </v:shape>
                  <v:shape id="Text Box 6" o:spid="_x0000_s1047" type="#_x0000_t202" style="position:absolute;left:1830;top:2176;width:1757;height: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rwAcMA&#10;AADbAAAADwAAAGRycy9kb3ducmV2LnhtbESPQWvDMAyF74P+B6PCbqvTHcbI6obR0bLDGKwttEcR&#10;a7FJLIfYbdJ/Px0GvUm8p/c+raopdOpKQ/KRDSwXBSjiOlrPjYHjYfv0CiplZItdZDJwowTVevaw&#10;wtLGkX/ous+NkhBOJRpwOfel1ql2FDAtYk8s2m8cAmZZh0bbAUcJD51+LooXHdCzNDjsaeOobveX&#10;YMCeiy3jx3nXfm/iaewuN+e/vDGP8+n9DVSmKd/N/9efVvAFVn6RAfT6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TrwAcMAAADbAAAADwAAAAAAAAAAAAAAAACYAgAAZHJzL2Rv&#10;d25yZXYueG1sUEsFBgAAAAAEAAQA9QAAAIgDAAAAAA==&#10;" strokecolor="white [3212]">
                    <v:textbox inset=".5mm,.3mm,.5mm,.3mm">
                      <w:txbxContent>
                        <w:p w:rsidR="005B5E84" w:rsidRPr="002B0C5B" w:rsidRDefault="005B5E84" w:rsidP="00473D0E">
                          <w:pPr>
                            <w:pStyle w:val="Style4"/>
                            <w:widowControl/>
                            <w:spacing w:line="216" w:lineRule="auto"/>
                            <w:ind w:firstLine="0"/>
                            <w:jc w:val="center"/>
                            <w:rPr>
                              <w:rStyle w:val="FontStyle31"/>
                              <w:color w:val="CC0000"/>
                              <w:sz w:val="16"/>
                            </w:rPr>
                          </w:pPr>
                          <w:r w:rsidRPr="002B0C5B">
                            <w:rPr>
                              <w:rStyle w:val="FontStyle31"/>
                              <w:color w:val="CC0000"/>
                              <w:sz w:val="16"/>
                            </w:rPr>
                            <w:t>Instituciones gubernamentales</w:t>
                          </w:r>
                        </w:p>
                        <w:p w:rsidR="005B5E84" w:rsidRPr="002B0C5B" w:rsidRDefault="005B5E84" w:rsidP="00473D0E">
                          <w:pPr>
                            <w:rPr>
                              <w:sz w:val="12"/>
                            </w:rPr>
                          </w:pPr>
                        </w:p>
                      </w:txbxContent>
                    </v:textbox>
                  </v:shape>
                  <v:shape id="Text Box 7" o:spid="_x0000_s1048" type="#_x0000_t202" style="position:absolute;left:4723;top:2176;width:1757;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ZVmsEA&#10;AADbAAAADwAAAGRycy9kb3ducmV2LnhtbERPTWvCQBC9F/wPywje6sYepE1dRSIpHqTQtFCPQ3bM&#10;LmZnQ3Y1yb/vFgq9zeN9zmY3ulbcqQ/Ws4LVMgNBXHttuVHw9Vk+PoMIEVlj65kUTBRgt509bDDX&#10;fuAPulexESmEQ44KTIxdLmWoDTkMS98RJ+7ie4cxwb6RuschhbtWPmXZWjq0nBoMdlQYqq/VzSnQ&#10;56xkPJzfru+F/x7a22TsySq1mI/7VxCRxvgv/nMfdZr/Ar+/pAPk9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p2VZrBAAAA2wAAAA8AAAAAAAAAAAAAAAAAmAIAAGRycy9kb3du&#10;cmV2LnhtbFBLBQYAAAAABAAEAPUAAACGAwAAAAA=&#10;" strokecolor="white [3212]">
                    <v:textbox inset=".5mm,.3mm,.5mm,.3mm">
                      <w:txbxContent>
                        <w:p w:rsidR="005B5E84" w:rsidRPr="002B0C5B" w:rsidRDefault="005B5E84" w:rsidP="00473D0E">
                          <w:pPr>
                            <w:pStyle w:val="Style4"/>
                            <w:widowControl/>
                            <w:spacing w:line="216" w:lineRule="auto"/>
                            <w:ind w:firstLine="0"/>
                            <w:jc w:val="center"/>
                            <w:rPr>
                              <w:rStyle w:val="FontStyle31"/>
                              <w:color w:val="CC0000"/>
                              <w:sz w:val="16"/>
                            </w:rPr>
                          </w:pPr>
                          <w:r w:rsidRPr="002B0C5B">
                            <w:rPr>
                              <w:rStyle w:val="FontStyle31"/>
                              <w:color w:val="CC0000"/>
                              <w:sz w:val="16"/>
                            </w:rPr>
                            <w:t>Instituci</w:t>
                          </w:r>
                          <w:r>
                            <w:rPr>
                              <w:rStyle w:val="FontStyle31"/>
                              <w:color w:val="CC0000"/>
                              <w:sz w:val="16"/>
                            </w:rPr>
                            <w:t>ón no gubernamental</w:t>
                          </w:r>
                        </w:p>
                        <w:p w:rsidR="005B5E84" w:rsidRPr="002B0C5B" w:rsidRDefault="005B5E84" w:rsidP="00473D0E">
                          <w:pPr>
                            <w:rPr>
                              <w:sz w:val="12"/>
                            </w:rPr>
                          </w:pPr>
                        </w:p>
                      </w:txbxContent>
                    </v:textbox>
                  </v:shape>
                  <v:shape id="Text Box 8" o:spid="_x0000_s1049" type="#_x0000_t202" style="position:absolute;left:7238;top:2171;width:1757;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A2ur4A&#10;AADbAAAADwAAAGRycy9kb3ducmV2LnhtbERPTYvCMBC9C/6HMII3TfUgSzWKKIoHWVgV9Dg0YxNs&#10;JqWJtv57c1jw+Hjfi1XnKvGiJljPCibjDARx4bXlUsHlvBv9gAgRWWPlmRS8KcBq2e8tMNe+5T96&#10;nWIpUgiHHBWYGOtcylAYchjGviZO3N03DmOCTSl1g20Kd5WcZtlMOrScGgzWtDFUPE5Pp0Dfsh3j&#10;9rZ//G78ta2eb2OPVqnhoFvPQUTq4lf87z5oBdO0Pn1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UgNrq+AAAA2wAAAA8AAAAAAAAAAAAAAAAAmAIAAGRycy9kb3ducmV2&#10;LnhtbFBLBQYAAAAABAAEAPUAAACDAwAAAAA=&#10;" strokecolor="white [3212]">
                    <v:textbox inset=".5mm,.3mm,.5mm,.3mm">
                      <w:txbxContent>
                        <w:p w:rsidR="005B5E84" w:rsidRPr="002B0C5B" w:rsidRDefault="005B5E84" w:rsidP="00473D0E">
                          <w:pPr>
                            <w:pStyle w:val="Style4"/>
                            <w:widowControl/>
                            <w:spacing w:line="216" w:lineRule="auto"/>
                            <w:ind w:firstLine="0"/>
                            <w:jc w:val="center"/>
                            <w:rPr>
                              <w:rStyle w:val="FontStyle31"/>
                              <w:color w:val="CC0000"/>
                              <w:sz w:val="16"/>
                            </w:rPr>
                          </w:pPr>
                          <w:r>
                            <w:rPr>
                              <w:rStyle w:val="FontStyle31"/>
                              <w:color w:val="CC0000"/>
                              <w:sz w:val="16"/>
                            </w:rPr>
                            <w:t>Organizaciones que nombran el consejo</w:t>
                          </w:r>
                        </w:p>
                        <w:p w:rsidR="005B5E84" w:rsidRPr="002B0C5B" w:rsidRDefault="005B5E84" w:rsidP="00473D0E">
                          <w:pPr>
                            <w:rPr>
                              <w:sz w:val="12"/>
                            </w:rPr>
                          </w:pPr>
                        </w:p>
                      </w:txbxContent>
                    </v:textbox>
                  </v:shape>
                  <v:shape id="Text Box 9" o:spid="_x0000_s1050" type="#_x0000_t202" style="position:absolute;left:9054;top:2180;width:1194;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yTIcIA&#10;AADbAAAADwAAAGRycy9kb3ducmV2LnhtbESPT4vCMBTE78J+h/CEvdlUD4t0jSKKiwdZ8A+sx0fz&#10;bILNS2mird9+Iwgeh5n5DTNb9K4Wd2qD9axgnOUgiEuvLVcKTsfNaAoiRGSNtWdS8KAAi/nHYIaF&#10;9h3v6X6IlUgQDgUqMDE2hZShNOQwZL4hTt7Ftw5jkm0ldYtdgrtaTvL8Szq0nBYMNrQyVF4PN6dA&#10;n/MN4/r8c/1d+b+uvj2M3VmlPof98htEpD6+w6/2ViuYjOH5Jf0A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bJMhwgAAANsAAAAPAAAAAAAAAAAAAAAAAJgCAABkcnMvZG93&#10;bnJldi54bWxQSwUGAAAAAAQABAD1AAAAhwMAAAAA&#10;" strokecolor="white [3212]">
                    <v:textbox inset=".5mm,.3mm,.5mm,.3mm">
                      <w:txbxContent>
                        <w:p w:rsidR="005B5E84" w:rsidRPr="002B0C5B" w:rsidRDefault="005B5E84" w:rsidP="00473D0E">
                          <w:pPr>
                            <w:pStyle w:val="Style4"/>
                            <w:widowControl/>
                            <w:spacing w:line="216" w:lineRule="auto"/>
                            <w:ind w:firstLine="0"/>
                            <w:jc w:val="center"/>
                            <w:rPr>
                              <w:rStyle w:val="FontStyle31"/>
                              <w:color w:val="CC0000"/>
                              <w:sz w:val="16"/>
                            </w:rPr>
                          </w:pPr>
                          <w:r>
                            <w:rPr>
                              <w:rStyle w:val="FontStyle31"/>
                              <w:color w:val="CC0000"/>
                              <w:sz w:val="16"/>
                            </w:rPr>
                            <w:t>Empresas privadas</w:t>
                          </w:r>
                        </w:p>
                        <w:p w:rsidR="005B5E84" w:rsidRPr="002B0C5B" w:rsidRDefault="005B5E84" w:rsidP="00473D0E">
                          <w:pPr>
                            <w:rPr>
                              <w:sz w:val="12"/>
                            </w:rPr>
                          </w:pPr>
                        </w:p>
                      </w:txbxContent>
                    </v:textbox>
                  </v:shape>
                  <v:shape id="Text Box 10" o:spid="_x0000_s1051" type="#_x0000_t202" style="position:absolute;left:1353;top:2822;width:2651;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3MnsQA&#10;AADbAAAADwAAAGRycy9kb3ducmV2LnhtbESPQWvCQBSE74X+h+UVetONOVSJrqKi4EkxFnp9Zp9J&#10;MPs2Zjcm+uvdQqHHYWa+YWaL3lTiTo0rLSsYDSMQxJnVJecKvk/bwQSE88gaK8uk4EEOFvP3txkm&#10;2nZ8pHvqcxEg7BJUUHhfJ1K6rCCDbmhr4uBdbGPQB9nkUjfYBbipZBxFX9JgyWGhwJrWBWXXtDUK&#10;2p+uXUW38/ZZLx+H/Xifbg5tqtTnR7+cgvDU+//wX3unFcQx/H4JP0DO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dzJ7EAAAA2wAAAA8AAAAAAAAAAAAAAAAAmAIAAGRycy9k&#10;b3ducmV2LnhtbFBLBQYAAAAABAAEAPUAAACJAwAAAAA=&#10;" stroked="f">
                    <v:textbox inset=".3mm,.1mm,.3mm,.1mm">
                      <w:txbxContent>
                        <w:p w:rsidR="005B5E84" w:rsidRPr="000F479D" w:rsidRDefault="005B5E84" w:rsidP="00473D0E">
                          <w:pPr>
                            <w:pStyle w:val="Style6"/>
                            <w:widowControl/>
                            <w:spacing w:line="216" w:lineRule="auto"/>
                            <w:ind w:right="108"/>
                            <w:rPr>
                              <w:rFonts w:cs="Calibri"/>
                              <w:sz w:val="18"/>
                              <w:szCs w:val="28"/>
                              <w:lang w:val="es-ES_tradnl"/>
                            </w:rPr>
                          </w:pPr>
                          <w:r w:rsidRPr="00625CA2">
                            <w:rPr>
                              <w:rStyle w:val="FontStyle25"/>
                              <w:sz w:val="18"/>
                            </w:rPr>
                            <w:t xml:space="preserve">Ministerio de Medio Ambiente </w:t>
                          </w:r>
                          <w:r>
                            <w:rPr>
                              <w:rStyle w:val="FontStyle25"/>
                              <w:sz w:val="18"/>
                            </w:rPr>
                            <w:br/>
                          </w:r>
                          <w:r w:rsidRPr="00625CA2">
                            <w:rPr>
                              <w:rStyle w:val="FontStyle25"/>
                              <w:sz w:val="18"/>
                            </w:rPr>
                            <w:t>y Alimentación</w:t>
                          </w:r>
                        </w:p>
                      </w:txbxContent>
                    </v:textbox>
                  </v:shape>
                  <v:shape id="Text Box 11" o:spid="_x0000_s1052" type="#_x0000_t202" style="position:absolute;left:3667;top:3406;width:1380;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FpBcUA&#10;AADbAAAADwAAAGRycy9kb3ducmV2LnhtbESPQWvCQBSE7wX/w/KE3ppNLbQSXUMsFXpSTIVeX7PP&#10;JDT7NmY3JvrrXaHQ4zAz3zDLdDSNOFPnassKnqMYBHFhdc2lgsPX5mkOwnlkjY1lUnAhB+lq8rDE&#10;RNuB93TOfSkChF2CCirv20RKV1Rk0EW2JQ7e0XYGfZBdKXWHQ4CbRs7i+FUarDksVNjSe0XFb94b&#10;Bf330K/j08/m2maX3fZtm3/s+lypx+mYLUB4Gv1/+K/9qRXMXu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0WkFxQAAANsAAAAPAAAAAAAAAAAAAAAAAJgCAABkcnMv&#10;ZG93bnJldi54bWxQSwUGAAAAAAQABAD1AAAAigMAAAAA&#10;" stroked="f">
                    <v:textbox inset=".3mm,.1mm,.3mm,.1mm">
                      <w:txbxContent>
                        <w:p w:rsidR="005B5E84" w:rsidRPr="0037235B" w:rsidRDefault="005B5E84" w:rsidP="00473D0E">
                          <w:pPr>
                            <w:rPr>
                              <w:sz w:val="12"/>
                            </w:rPr>
                          </w:pPr>
                          <w:r w:rsidRPr="0037235B">
                            <w:rPr>
                              <w:sz w:val="12"/>
                            </w:rPr>
                            <w:t>Órdenes ministeriales</w:t>
                          </w:r>
                        </w:p>
                      </w:txbxContent>
                    </v:textbox>
                  </v:shape>
                </v:group>
              </v:group>
            </w:pict>
          </mc:Fallback>
        </mc:AlternateContent>
      </w:r>
      <w:r w:rsidRPr="00D42A19">
        <w:rPr>
          <w:noProof/>
          <w:lang w:val="en-US"/>
        </w:rPr>
        <mc:AlternateContent>
          <mc:Choice Requires="wpg">
            <w:drawing>
              <wp:anchor distT="0" distB="0" distL="114300" distR="114300" simplePos="0" relativeHeight="251661312" behindDoc="0" locked="0" layoutInCell="1" allowOverlap="1" wp14:anchorId="180B1427" wp14:editId="7C10D928">
                <wp:simplePos x="0" y="0"/>
                <wp:positionH relativeFrom="column">
                  <wp:posOffset>296545</wp:posOffset>
                </wp:positionH>
                <wp:positionV relativeFrom="paragraph">
                  <wp:posOffset>1378585</wp:posOffset>
                </wp:positionV>
                <wp:extent cx="5402580" cy="2357120"/>
                <wp:effectExtent l="0" t="0" r="635" b="0"/>
                <wp:wrapNone/>
                <wp:docPr id="11"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2580" cy="2357120"/>
                          <a:chOff x="1601" y="3371"/>
                          <a:chExt cx="8508" cy="3712"/>
                        </a:xfrm>
                      </wpg:grpSpPr>
                      <wps:wsp>
                        <wps:cNvPr id="12" name="Text Box 21"/>
                        <wps:cNvSpPr txBox="1">
                          <a:spLocks noChangeArrowheads="1"/>
                        </wps:cNvSpPr>
                        <wps:spPr bwMode="auto">
                          <a:xfrm>
                            <a:off x="5181" y="5477"/>
                            <a:ext cx="1339" cy="492"/>
                          </a:xfrm>
                          <a:prstGeom prst="rect">
                            <a:avLst/>
                          </a:prstGeom>
                          <a:solidFill>
                            <a:srgbClr val="427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222CA2" w:rsidRDefault="005B5E84" w:rsidP="00473D0E">
                              <w:pPr>
                                <w:jc w:val="center"/>
                                <w:rPr>
                                  <w:rStyle w:val="FontStyle25"/>
                                  <w:b/>
                                  <w:sz w:val="10"/>
                                </w:rPr>
                              </w:pPr>
                            </w:p>
                            <w:p w:rsidR="005B5E84" w:rsidRPr="002147BA" w:rsidRDefault="005B5E84" w:rsidP="00473D0E">
                              <w:pPr>
                                <w:jc w:val="center"/>
                                <w:rPr>
                                  <w:b/>
                                </w:rPr>
                              </w:pPr>
                              <w:r>
                                <w:rPr>
                                  <w:rStyle w:val="FontStyle25"/>
                                  <w:b/>
                                  <w:sz w:val="18"/>
                                </w:rPr>
                                <w:t>Director</w:t>
                              </w:r>
                            </w:p>
                          </w:txbxContent>
                        </wps:txbx>
                        <wps:bodyPr rot="0" vert="horz" wrap="square" lIns="10800" tIns="3600" rIns="10800" bIns="3600" anchor="t" anchorCtr="0" upright="1">
                          <a:noAutofit/>
                        </wps:bodyPr>
                      </wps:wsp>
                      <wps:wsp>
                        <wps:cNvPr id="13" name="Text Box 12"/>
                        <wps:cNvSpPr txBox="1">
                          <a:spLocks noChangeArrowheads="1"/>
                        </wps:cNvSpPr>
                        <wps:spPr bwMode="auto">
                          <a:xfrm>
                            <a:off x="1601" y="4217"/>
                            <a:ext cx="2066" cy="60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37235B" w:rsidRDefault="005B5E84" w:rsidP="00473D0E">
                              <w:pPr>
                                <w:jc w:val="center"/>
                              </w:pPr>
                              <w:r w:rsidRPr="0037235B">
                                <w:rPr>
                                  <w:rStyle w:val="FontStyle25"/>
                                  <w:sz w:val="18"/>
                                </w:rPr>
                                <w:t>Agencia Nacional de Agricultura y Pesca</w:t>
                              </w:r>
                              <w:r>
                                <w:rPr>
                                  <w:rStyle w:val="FontStyle25"/>
                                </w:rPr>
                                <w:t xml:space="preserve"> </w:t>
                              </w:r>
                              <w:r w:rsidRPr="0037235B">
                                <w:rPr>
                                  <w:rStyle w:val="FontStyle25"/>
                                  <w:sz w:val="18"/>
                                </w:rPr>
                                <w:t>danesa</w:t>
                              </w:r>
                            </w:p>
                          </w:txbxContent>
                        </wps:txbx>
                        <wps:bodyPr rot="0" vert="horz" wrap="square" lIns="10800" tIns="3600" rIns="10800" bIns="3600" anchor="t" anchorCtr="0" upright="1">
                          <a:noAutofit/>
                        </wps:bodyPr>
                      </wps:wsp>
                      <wps:wsp>
                        <wps:cNvPr id="41" name="Text Box 13"/>
                        <wps:cNvSpPr txBox="1">
                          <a:spLocks noChangeArrowheads="1"/>
                        </wps:cNvSpPr>
                        <wps:spPr bwMode="auto">
                          <a:xfrm>
                            <a:off x="2550" y="4932"/>
                            <a:ext cx="1299" cy="11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0F6984" w:rsidRDefault="005B5E84" w:rsidP="00473D0E">
                              <w:pPr>
                                <w:jc w:val="center"/>
                              </w:pPr>
                              <w:r w:rsidRPr="000F6984">
                                <w:rPr>
                                  <w:rStyle w:val="FontStyle25"/>
                                  <w:sz w:val="18"/>
                                </w:rPr>
                                <w:t>Centro</w:t>
                              </w:r>
                              <w:r>
                                <w:rPr>
                                  <w:rStyle w:val="FontStyle25"/>
                                </w:rPr>
                                <w:t xml:space="preserve"> </w:t>
                              </w:r>
                              <w:r w:rsidRPr="000F6984">
                                <w:rPr>
                                  <w:rStyle w:val="FontStyle25"/>
                                  <w:sz w:val="18"/>
                                </w:rPr>
                                <w:t>de Semillas y Sanidad Vegetal y Ley de Explotaciones</w:t>
                              </w:r>
                              <w:r>
                                <w:rPr>
                                  <w:rStyle w:val="FontStyle25"/>
                                </w:rPr>
                                <w:t xml:space="preserve"> Agrícolas</w:t>
                              </w:r>
                            </w:p>
                          </w:txbxContent>
                        </wps:txbx>
                        <wps:bodyPr rot="0" vert="horz" wrap="square" lIns="10800" tIns="3600" rIns="10800" bIns="3600" anchor="t" anchorCtr="0" upright="1">
                          <a:noAutofit/>
                        </wps:bodyPr>
                      </wps:wsp>
                      <wps:wsp>
                        <wps:cNvPr id="42" name="Text Box 14"/>
                        <wps:cNvSpPr txBox="1">
                          <a:spLocks noChangeArrowheads="1"/>
                        </wps:cNvSpPr>
                        <wps:spPr bwMode="auto">
                          <a:xfrm>
                            <a:off x="3949" y="5536"/>
                            <a:ext cx="633" cy="1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37235B" w:rsidRDefault="005B5E84" w:rsidP="00473D0E">
                              <w:pPr>
                                <w:rPr>
                                  <w:sz w:val="12"/>
                                </w:rPr>
                              </w:pPr>
                              <w:r>
                                <w:rPr>
                                  <w:sz w:val="12"/>
                                </w:rPr>
                                <w:t>Auditoría</w:t>
                              </w:r>
                            </w:p>
                          </w:txbxContent>
                        </wps:txbx>
                        <wps:bodyPr rot="0" vert="horz" wrap="square" lIns="10800" tIns="3600" rIns="10800" bIns="3600" anchor="t" anchorCtr="0" upright="1">
                          <a:noAutofit/>
                        </wps:bodyPr>
                      </wps:wsp>
                      <wps:wsp>
                        <wps:cNvPr id="43" name="Text Box 15"/>
                        <wps:cNvSpPr txBox="1">
                          <a:spLocks noChangeArrowheads="1"/>
                        </wps:cNvSpPr>
                        <wps:spPr bwMode="auto">
                          <a:xfrm>
                            <a:off x="3944" y="6103"/>
                            <a:ext cx="672" cy="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37235B" w:rsidRDefault="005B5E84" w:rsidP="00473D0E">
                              <w:pPr>
                                <w:jc w:val="left"/>
                                <w:rPr>
                                  <w:sz w:val="12"/>
                                </w:rPr>
                              </w:pPr>
                              <w:proofErr w:type="spellStart"/>
                              <w:r>
                                <w:rPr>
                                  <w:sz w:val="12"/>
                                </w:rPr>
                                <w:t>Procedi</w:t>
                              </w:r>
                              <w:proofErr w:type="spellEnd"/>
                              <w:r>
                                <w:rPr>
                                  <w:sz w:val="12"/>
                                </w:rPr>
                                <w:t>-miento de reclamación</w:t>
                              </w:r>
                            </w:p>
                          </w:txbxContent>
                        </wps:txbx>
                        <wps:bodyPr rot="0" vert="horz" wrap="square" lIns="3600" tIns="3600" rIns="3600" bIns="3600" anchor="t" anchorCtr="0" upright="1">
                          <a:noAutofit/>
                        </wps:bodyPr>
                      </wps:wsp>
                      <wps:wsp>
                        <wps:cNvPr id="44" name="Text Box 19"/>
                        <wps:cNvSpPr txBox="1">
                          <a:spLocks noChangeArrowheads="1"/>
                        </wps:cNvSpPr>
                        <wps:spPr bwMode="auto">
                          <a:xfrm>
                            <a:off x="4865" y="3969"/>
                            <a:ext cx="2025" cy="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2A5430" w:rsidRDefault="005B5E84" w:rsidP="00473D0E">
                              <w:pPr>
                                <w:jc w:val="center"/>
                                <w:rPr>
                                  <w:rStyle w:val="FontStyle27"/>
                                  <w:i/>
                                  <w:sz w:val="48"/>
                                </w:rPr>
                              </w:pPr>
                              <w:proofErr w:type="spellStart"/>
                              <w:r w:rsidRPr="002A5430">
                                <w:rPr>
                                  <w:rStyle w:val="FontStyle25"/>
                                  <w:i/>
                                  <w:sz w:val="24"/>
                                </w:rPr>
                                <w:t>TystofteFoundation</w:t>
                              </w:r>
                              <w:proofErr w:type="spellEnd"/>
                            </w:p>
                            <w:p w:rsidR="005B5E84" w:rsidRPr="002A5430" w:rsidRDefault="005B5E84" w:rsidP="00473D0E"/>
                          </w:txbxContent>
                        </wps:txbx>
                        <wps:bodyPr rot="0" vert="horz" wrap="square" lIns="10800" tIns="3600" rIns="10800" bIns="3600" anchor="t" anchorCtr="0" upright="1">
                          <a:noAutofit/>
                        </wps:bodyPr>
                      </wps:wsp>
                      <wps:wsp>
                        <wps:cNvPr id="45" name="Text Box 26"/>
                        <wps:cNvSpPr txBox="1">
                          <a:spLocks noChangeArrowheads="1"/>
                        </wps:cNvSpPr>
                        <wps:spPr bwMode="auto">
                          <a:xfrm>
                            <a:off x="4710" y="6440"/>
                            <a:ext cx="2281" cy="643"/>
                          </a:xfrm>
                          <a:prstGeom prst="rect">
                            <a:avLst/>
                          </a:prstGeom>
                          <a:solidFill>
                            <a:srgbClr val="993E2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BF4D31" w:rsidRDefault="005B5E84" w:rsidP="00473D0E">
                              <w:pPr>
                                <w:spacing w:line="216" w:lineRule="auto"/>
                                <w:jc w:val="center"/>
                                <w:rPr>
                                  <w:color w:val="FFFFFF" w:themeColor="background1"/>
                                  <w:sz w:val="8"/>
                                </w:rPr>
                              </w:pPr>
                            </w:p>
                            <w:p w:rsidR="005B5E84" w:rsidRPr="008076F5" w:rsidRDefault="005B5E84" w:rsidP="00473D0E">
                              <w:pPr>
                                <w:spacing w:line="216" w:lineRule="auto"/>
                                <w:jc w:val="center"/>
                                <w:rPr>
                                  <w:color w:val="FFFFFF" w:themeColor="background1"/>
                                  <w:sz w:val="16"/>
                                </w:rPr>
                              </w:pPr>
                              <w:r w:rsidRPr="008076F5">
                                <w:rPr>
                                  <w:color w:val="FFFFFF" w:themeColor="background1"/>
                                  <w:sz w:val="16"/>
                                </w:rPr>
                                <w:t>Departamentos técnicos VCU, DHE, CP y ADM</w:t>
                              </w:r>
                            </w:p>
                          </w:txbxContent>
                        </wps:txbx>
                        <wps:bodyPr rot="0" vert="horz" wrap="square" lIns="91440" tIns="45720" rIns="91440" bIns="45720" anchor="t" anchorCtr="0" upright="1">
                          <a:noAutofit/>
                        </wps:bodyPr>
                      </wps:wsp>
                      <wps:wsp>
                        <wps:cNvPr id="46" name="Text Box 28"/>
                        <wps:cNvSpPr txBox="1">
                          <a:spLocks noChangeArrowheads="1"/>
                        </wps:cNvSpPr>
                        <wps:spPr bwMode="auto">
                          <a:xfrm>
                            <a:off x="7415" y="3371"/>
                            <a:ext cx="1467"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9F54D8" w:rsidRDefault="005B5E84" w:rsidP="00473D0E">
                              <w:pPr>
                                <w:jc w:val="center"/>
                                <w:rPr>
                                  <w:rStyle w:val="FontStyle25"/>
                                  <w:sz w:val="18"/>
                                </w:rPr>
                              </w:pPr>
                              <w:r w:rsidRPr="009F54D8">
                                <w:rPr>
                                  <w:rStyle w:val="FontStyle25"/>
                                  <w:sz w:val="18"/>
                                </w:rPr>
                                <w:t>Consejo Danés de Agricultura y</w:t>
                              </w:r>
                              <w:r>
                                <w:rPr>
                                  <w:rStyle w:val="FontStyle25"/>
                                </w:rPr>
                                <w:t xml:space="preserve"> </w:t>
                              </w:r>
                              <w:r w:rsidRPr="009F54D8">
                                <w:rPr>
                                  <w:rStyle w:val="FontStyle25"/>
                                  <w:sz w:val="18"/>
                                </w:rPr>
                                <w:t>Alimentación (1</w:t>
                              </w:r>
                              <w:r>
                                <w:rPr>
                                  <w:rStyle w:val="FontStyle25"/>
                                  <w:sz w:val="18"/>
                                </w:rPr>
                                <w:t>)</w:t>
                              </w:r>
                            </w:p>
                          </w:txbxContent>
                        </wps:txbx>
                        <wps:bodyPr rot="0" vert="horz" wrap="square" lIns="10800" tIns="3600" rIns="10800" bIns="3600" anchor="t" anchorCtr="0" upright="1">
                          <a:noAutofit/>
                        </wps:bodyPr>
                      </wps:wsp>
                      <wps:wsp>
                        <wps:cNvPr id="47" name="Text Box 32"/>
                        <wps:cNvSpPr txBox="1">
                          <a:spLocks noChangeArrowheads="1"/>
                        </wps:cNvSpPr>
                        <wps:spPr bwMode="auto">
                          <a:xfrm>
                            <a:off x="9467" y="3406"/>
                            <a:ext cx="633" cy="1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355756" w:rsidRDefault="005B5E84" w:rsidP="00473D0E">
                              <w:pPr>
                                <w:rPr>
                                  <w:sz w:val="14"/>
                                  <w:szCs w:val="16"/>
                                </w:rPr>
                              </w:pPr>
                              <w:r w:rsidRPr="00355756">
                                <w:rPr>
                                  <w:sz w:val="14"/>
                                  <w:szCs w:val="16"/>
                                </w:rPr>
                                <w:t>Agricultor</w:t>
                              </w:r>
                            </w:p>
                          </w:txbxContent>
                        </wps:txbx>
                        <wps:bodyPr rot="0" vert="horz" wrap="square" lIns="10800" tIns="3600" rIns="10800" bIns="3600" anchor="t" anchorCtr="0" upright="1">
                          <a:noAutofit/>
                        </wps:bodyPr>
                      </wps:wsp>
                      <wps:wsp>
                        <wps:cNvPr id="48" name="Text Box 33"/>
                        <wps:cNvSpPr txBox="1">
                          <a:spLocks noChangeArrowheads="1"/>
                        </wps:cNvSpPr>
                        <wps:spPr bwMode="auto">
                          <a:xfrm>
                            <a:off x="9476" y="3884"/>
                            <a:ext cx="633" cy="1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355756" w:rsidRDefault="005B5E84" w:rsidP="00473D0E">
                              <w:pPr>
                                <w:rPr>
                                  <w:sz w:val="14"/>
                                  <w:szCs w:val="16"/>
                                </w:rPr>
                              </w:pPr>
                              <w:r w:rsidRPr="00355756">
                                <w:rPr>
                                  <w:sz w:val="14"/>
                                  <w:szCs w:val="16"/>
                                </w:rPr>
                                <w:t>Agricultor</w:t>
                              </w:r>
                            </w:p>
                          </w:txbxContent>
                        </wps:txbx>
                        <wps:bodyPr rot="0" vert="horz" wrap="square" lIns="10800" tIns="3600" rIns="10800" bIns="3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53" style="position:absolute;left:0;text-align:left;margin-left:23.35pt;margin-top:108.55pt;width:425.4pt;height:185.6pt;z-index:251661312" coordorigin="1601,3371" coordsize="8508,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">
                <v:shape id="Text Box 21" o:spid="_x0000_s1054" type="#_x0000_t202" style="position:absolute;left:5181;top:5477;width:1339;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MiPcEA&#10;AADbAAAADwAAAGRycy9kb3ducmV2LnhtbERPS2vCQBC+F/oflil4KboxB6nRjUiLkFtpqvdxd5pH&#10;s7Mhu5rYX98VCr3Nx/ec7W6ynbjS4BvHCpaLBASxdqbhSsHx8zB/AeEDssHOMSm4kYdd/viwxcy4&#10;kT/oWoZKxBD2GSqoQ+gzKb2uyaJfuJ44cl9usBgiHCppBhxjuO1kmiQrabHh2FBjT6816e/yYhWc&#10;182bPrx3z3tt2mWB9nL6aUmp2dO034AINIV/8Z+7MHF+Cvdf4g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2jIj3BAAAA2wAAAA8AAAAAAAAAAAAAAAAAmAIAAGRycy9kb3du&#10;cmV2LnhtbFBLBQYAAAAABAAEAPUAAACGAwAAAAA=&#10;" fillcolor="#427ece" stroked="f">
                  <v:textbox inset=".3mm,.1mm,.3mm,.1mm">
                    <w:txbxContent>
                      <w:p w:rsidR="005B5E84" w:rsidRPr="00222CA2" w:rsidRDefault="005B5E84" w:rsidP="00473D0E">
                        <w:pPr>
                          <w:jc w:val="center"/>
                          <w:rPr>
                            <w:rStyle w:val="FontStyle25"/>
                            <w:b/>
                            <w:sz w:val="10"/>
                          </w:rPr>
                        </w:pPr>
                      </w:p>
                      <w:p w:rsidR="005B5E84" w:rsidRPr="002147BA" w:rsidRDefault="005B5E84" w:rsidP="00473D0E">
                        <w:pPr>
                          <w:jc w:val="center"/>
                          <w:rPr>
                            <w:b/>
                          </w:rPr>
                        </w:pPr>
                        <w:r>
                          <w:rPr>
                            <w:rStyle w:val="FontStyle25"/>
                            <w:b/>
                            <w:sz w:val="18"/>
                          </w:rPr>
                          <w:t>Director</w:t>
                        </w:r>
                      </w:p>
                    </w:txbxContent>
                  </v:textbox>
                </v:shape>
                <v:shape id="Text Box 12" o:spid="_x0000_s1055" type="#_x0000_t202" style="position:absolute;left:1601;top:4217;width:2066;height: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2juMMA&#10;AADbAAAADwAAAGRycy9kb3ducmV2LnhtbERPTWvCQBC9C/0PyxR6M5u2oCW6hlQqeFKaFnods9Mk&#10;NDsbsxsT/fVuQfA2j/c5y3Q0jThR52rLCp6jGARxYXXNpYLvr830DYTzyBoby6TgTA7S1cNkiYm2&#10;A3/SKfelCCHsElRQed8mUrqiIoMusi1x4H5tZ9AH2JVSdziEcNPIlzieSYM1h4YKW1pXVPzlvVHQ&#10;/wz9e3w8bC5tdt7v5rv8Y9/nSj09jtkChKfR38U391aH+a/w/0s4QK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2juMMAAADbAAAADwAAAAAAAAAAAAAAAACYAgAAZHJzL2Rv&#10;d25yZXYueG1sUEsFBgAAAAAEAAQA9QAAAIgDAAAAAA==&#10;" stroked="f">
                  <v:textbox inset=".3mm,.1mm,.3mm,.1mm">
                    <w:txbxContent>
                      <w:p w:rsidR="005B5E84" w:rsidRPr="0037235B" w:rsidRDefault="005B5E84" w:rsidP="00473D0E">
                        <w:pPr>
                          <w:jc w:val="center"/>
                        </w:pPr>
                        <w:r w:rsidRPr="0037235B">
                          <w:rPr>
                            <w:rStyle w:val="FontStyle25"/>
                            <w:sz w:val="18"/>
                          </w:rPr>
                          <w:t>Agencia Nacional de Agricultura y Pesca</w:t>
                        </w:r>
                        <w:r>
                          <w:rPr>
                            <w:rStyle w:val="FontStyle25"/>
                          </w:rPr>
                          <w:t xml:space="preserve"> </w:t>
                        </w:r>
                        <w:r w:rsidRPr="0037235B">
                          <w:rPr>
                            <w:rStyle w:val="FontStyle25"/>
                            <w:sz w:val="18"/>
                          </w:rPr>
                          <w:t>danesa</w:t>
                        </w:r>
                      </w:p>
                    </w:txbxContent>
                  </v:textbox>
                </v:shape>
                <v:shape id="Text Box 13" o:spid="_x0000_s1056" type="#_x0000_t202" style="position:absolute;left:2550;top:4932;width:1299;height:1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C3ScUA&#10;AADbAAAADwAAAGRycy9kb3ducmV2LnhtbESPQWvCQBSE70L/w/KE3nSTUmqJrsFKhZ6UxoLXZ/aZ&#10;BLNvY3ZjYn99tyB4HGbmG2aRDqYWV2pdZVlBPI1AEOdWV1wo+NlvJu8gnEfWWFsmBTdykC6fRgtM&#10;tO35m66ZL0SAsEtQQel9k0jp8pIMuqltiIN3sq1BH2RbSN1iH+Cmli9R9CYNVhwWSmxoXVJ+zjqj&#10;oDv03Ud0OW5+m9Vtt51ts89dlyn1PB5WcxCeBv8I39tfWsFrDP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kLdJxQAAANsAAAAPAAAAAAAAAAAAAAAAAJgCAABkcnMv&#10;ZG93bnJldi54bWxQSwUGAAAAAAQABAD1AAAAigMAAAAA&#10;" stroked="f">
                  <v:textbox inset=".3mm,.1mm,.3mm,.1mm">
                    <w:txbxContent>
                      <w:p w:rsidR="005B5E84" w:rsidRPr="000F6984" w:rsidRDefault="005B5E84" w:rsidP="00473D0E">
                        <w:pPr>
                          <w:jc w:val="center"/>
                        </w:pPr>
                        <w:r w:rsidRPr="000F6984">
                          <w:rPr>
                            <w:rStyle w:val="FontStyle25"/>
                            <w:sz w:val="18"/>
                          </w:rPr>
                          <w:t>Centro</w:t>
                        </w:r>
                        <w:r>
                          <w:rPr>
                            <w:rStyle w:val="FontStyle25"/>
                          </w:rPr>
                          <w:t xml:space="preserve"> </w:t>
                        </w:r>
                        <w:r w:rsidRPr="000F6984">
                          <w:rPr>
                            <w:rStyle w:val="FontStyle25"/>
                            <w:sz w:val="18"/>
                          </w:rPr>
                          <w:t>de Semillas y Sanidad Vegetal y Ley de Explotaciones</w:t>
                        </w:r>
                        <w:r>
                          <w:rPr>
                            <w:rStyle w:val="FontStyle25"/>
                          </w:rPr>
                          <w:t xml:space="preserve"> Agrícolas</w:t>
                        </w:r>
                      </w:p>
                    </w:txbxContent>
                  </v:textbox>
                </v:shape>
                <v:shape id="Text Box 14" o:spid="_x0000_s1057" type="#_x0000_t202" style="position:absolute;left:3949;top:5536;width:633;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IpPsUA&#10;AADbAAAADwAAAGRycy9kb3ducmV2LnhtbESPQWvCQBSE7wX/w/KE3ppNpbQSXUMsFXpSTIVeX7PP&#10;JDT7NmY3JvrrXaHQ4zAz3zDLdDSNOFPnassKnqMYBHFhdc2lgsPX5mkOwnlkjY1lUnAhB+lq8rDE&#10;RNuB93TOfSkChF2CCirv20RKV1Rk0EW2JQ7e0XYGfZBdKXWHQ4CbRs7i+FUarDksVNjSe0XFb94b&#10;Bf330K/j08/m2maX3fZtm3/s+lypx+mYLUB4Gv1/+K/9qRW8zOD+JfwA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Qik+xQAAANsAAAAPAAAAAAAAAAAAAAAAAJgCAABkcnMv&#10;ZG93bnJldi54bWxQSwUGAAAAAAQABAD1AAAAigMAAAAA&#10;" stroked="f">
                  <v:textbox inset=".3mm,.1mm,.3mm,.1mm">
                    <w:txbxContent>
                      <w:p w:rsidR="005B5E84" w:rsidRPr="0037235B" w:rsidRDefault="005B5E84" w:rsidP="00473D0E">
                        <w:pPr>
                          <w:rPr>
                            <w:sz w:val="12"/>
                          </w:rPr>
                        </w:pPr>
                        <w:r>
                          <w:rPr>
                            <w:sz w:val="12"/>
                          </w:rPr>
                          <w:t>Auditoría</w:t>
                        </w:r>
                      </w:p>
                    </w:txbxContent>
                  </v:textbox>
                </v:shape>
                <v:shape id="Text Box 15" o:spid="_x0000_s1058" type="#_x0000_t202" style="position:absolute;left:3944;top:6103;width:672;height:4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SiiQMQA&#10;AADbAAAADwAAAGRycy9kb3ducmV2LnhtbESPzW7CMBCE70i8g7VIvYHDT3+UYqJQQKXH0j7AKt7G&#10;gXgdxSYJb48rVepxNDPfaNbZYGvRUesrxwrmswQEceF0xaWC76/D9AWED8gaa8ek4EYess14tMZU&#10;u54/qTuFUkQI+xQVmBCaVEpfGLLoZ64hjt6Pay2GKNtS6hb7CLe1XCTJk7RYcVww2NCboeJyuloF&#10;7zmy2T5/HJaLXVfuz7dj99ivlHqYDPkriEBD+A//tY9awWoJv1/iD5Cb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ookDEAAAA2wAAAA8AAAAAAAAAAAAAAAAAmAIAAGRycy9k&#10;b3ducmV2LnhtbFBLBQYAAAAABAAEAPUAAACJAwAAAAA=&#10;" stroked="f">
                  <v:textbox inset=".1mm,.1mm,.1mm,.1mm">
                    <w:txbxContent>
                      <w:p w:rsidR="005B5E84" w:rsidRPr="0037235B" w:rsidRDefault="005B5E84" w:rsidP="00473D0E">
                        <w:pPr>
                          <w:jc w:val="left"/>
                          <w:rPr>
                            <w:sz w:val="12"/>
                          </w:rPr>
                        </w:pPr>
                        <w:r>
                          <w:rPr>
                            <w:sz w:val="12"/>
                          </w:rPr>
                          <w:t>Procedi-miento de reclamación</w:t>
                        </w:r>
                      </w:p>
                    </w:txbxContent>
                  </v:textbox>
                </v:shape>
                <v:shape id="Text Box 19" o:spid="_x0000_s1059" type="#_x0000_t202" style="position:absolute;left:4865;top:3969;width:2025;height:2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0cUA&#10;AADbAAAADwAAAGRycy9kb3ducmV2LnhtbESPQWvCQBSE70L/w/IKvZlNRWqJriGVCj0pjYVeX7PP&#10;JDT7Ns1uTPTXuwXB4zAz3zCrdDSNOFHnassKnqMYBHFhdc2lgq/DdvoKwnlkjY1lUnAmB+n6YbLC&#10;RNuBP+mU+1IECLsEFVTet4mUrqjIoItsSxy8o+0M+iC7UuoOhwA3jZzF8Ys0WHNYqLClTUXFb94b&#10;Bf330L/Ffz/bS5ud97vFLn/f97lST49jtgThafT38K39oRXM5/D/JfwA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5xTRxQAAANsAAAAPAAAAAAAAAAAAAAAAAJgCAABkcnMv&#10;ZG93bnJldi54bWxQSwUGAAAAAAQABAD1AAAAigMAAAAA&#10;" stroked="f">
                  <v:textbox inset=".3mm,.1mm,.3mm,.1mm">
                    <w:txbxContent>
                      <w:p w:rsidR="005B5E84" w:rsidRPr="002A5430" w:rsidRDefault="005B5E84" w:rsidP="00473D0E">
                        <w:pPr>
                          <w:jc w:val="center"/>
                          <w:rPr>
                            <w:rStyle w:val="FontStyle27"/>
                            <w:i/>
                            <w:sz w:val="48"/>
                          </w:rPr>
                        </w:pPr>
                        <w:r w:rsidRPr="002A5430">
                          <w:rPr>
                            <w:rStyle w:val="FontStyle25"/>
                            <w:i/>
                            <w:sz w:val="24"/>
                          </w:rPr>
                          <w:t>TystofteFoundation</w:t>
                        </w:r>
                      </w:p>
                      <w:p w:rsidR="005B5E84" w:rsidRPr="002A5430" w:rsidRDefault="005B5E84" w:rsidP="00473D0E"/>
                    </w:txbxContent>
                  </v:textbox>
                </v:shape>
                <v:shape id="Text Box 26" o:spid="_x0000_s1060" type="#_x0000_t202" style="position:absolute;left:4710;top:6440;width:2281;height:6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ydPcMA&#10;AADbAAAADwAAAGRycy9kb3ducmV2LnhtbESPUWvCQBCE3wX/w7GCb/XS0taaekoRCpbig9EfsM2t&#10;SUhuL+TWGPvrewXBx2FmvmGW68E1qqcuVJ4NPM4SUMS5txUXBo6Hz4c3UEGQLTaeycCVAqxX49ES&#10;U+svvKc+k0JFCIcUDZQibap1yEtyGGa+JY7eyXcOJcqu0LbDS4S7Rj8lyat2WHFcKLGlTUl5nZ2d&#10;gR9auFrmWegL+mrksN391t/WmOlk+HgHJTTIPXxrb62B5xf4/xJ/gF7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IydPcMAAADbAAAADwAAAAAAAAAAAAAAAACYAgAAZHJzL2Rv&#10;d25yZXYueG1sUEsFBgAAAAAEAAQA9QAAAIgDAAAAAA==&#10;" fillcolor="#993e2f" stroked="f">
                  <v:textbox>
                    <w:txbxContent>
                      <w:p w:rsidR="005B5E84" w:rsidRPr="00BF4D31" w:rsidRDefault="005B5E84" w:rsidP="00473D0E">
                        <w:pPr>
                          <w:spacing w:line="216" w:lineRule="auto"/>
                          <w:jc w:val="center"/>
                          <w:rPr>
                            <w:color w:val="FFFFFF" w:themeColor="background1"/>
                            <w:sz w:val="8"/>
                          </w:rPr>
                        </w:pPr>
                      </w:p>
                      <w:p w:rsidR="005B5E84" w:rsidRPr="008076F5" w:rsidRDefault="005B5E84" w:rsidP="00473D0E">
                        <w:pPr>
                          <w:spacing w:line="216" w:lineRule="auto"/>
                          <w:jc w:val="center"/>
                          <w:rPr>
                            <w:color w:val="FFFFFF" w:themeColor="background1"/>
                            <w:sz w:val="16"/>
                          </w:rPr>
                        </w:pPr>
                        <w:r w:rsidRPr="008076F5">
                          <w:rPr>
                            <w:color w:val="FFFFFF" w:themeColor="background1"/>
                            <w:sz w:val="16"/>
                          </w:rPr>
                          <w:t>Departamentos técnicos VCU, DHE, CP y ADM</w:t>
                        </w:r>
                      </w:p>
                    </w:txbxContent>
                  </v:textbox>
                </v:shape>
                <v:shape id="_x0000_s1061" type="#_x0000_t202" style="position:absolute;left:7415;top:3371;width:1467;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kvPcQA&#10;AADbAAAADwAAAGRycy9kb3ducmV2LnhtbESPQWvCQBSE74L/YXlCb7qxiJXoKloUelIaBa/P7DMJ&#10;Zt/G7MbE/vpuoeBxmJlvmMWqM6V4UO0KywrGowgEcWp1wZmC03E3nIFwHlljaZkUPMnBatnvLTDW&#10;tuVveiQ+EwHCLkYFufdVLKVLczLoRrYiDt7V1gZ9kHUmdY1tgJtSvkfRVBosOCzkWNFnTuktaYyC&#10;5tw2m+h+2f1U6+dh/7FPtocmUept0K3nIDx1/hX+b39pBZMp/H0JP0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5Lz3EAAAA2wAAAA8AAAAAAAAAAAAAAAAAmAIAAGRycy9k&#10;b3ducmV2LnhtbFBLBQYAAAAABAAEAPUAAACJAwAAAAA=&#10;" stroked="f">
                  <v:textbox inset=".3mm,.1mm,.3mm,.1mm">
                    <w:txbxContent>
                      <w:p w:rsidR="005B5E84" w:rsidRPr="009F54D8" w:rsidRDefault="005B5E84" w:rsidP="00473D0E">
                        <w:pPr>
                          <w:jc w:val="center"/>
                          <w:rPr>
                            <w:rStyle w:val="FontStyle25"/>
                            <w:sz w:val="18"/>
                          </w:rPr>
                        </w:pPr>
                        <w:r w:rsidRPr="009F54D8">
                          <w:rPr>
                            <w:rStyle w:val="FontStyle25"/>
                            <w:sz w:val="18"/>
                          </w:rPr>
                          <w:t>Consejo Danés de Agricultura y</w:t>
                        </w:r>
                        <w:r>
                          <w:rPr>
                            <w:rStyle w:val="FontStyle25"/>
                          </w:rPr>
                          <w:t xml:space="preserve"> </w:t>
                        </w:r>
                        <w:r w:rsidRPr="009F54D8">
                          <w:rPr>
                            <w:rStyle w:val="FontStyle25"/>
                            <w:sz w:val="18"/>
                          </w:rPr>
                          <w:t>Alimentación (1</w:t>
                        </w:r>
                        <w:r>
                          <w:rPr>
                            <w:rStyle w:val="FontStyle25"/>
                            <w:sz w:val="18"/>
                          </w:rPr>
                          <w:t>)</w:t>
                        </w:r>
                      </w:p>
                    </w:txbxContent>
                  </v:textbox>
                </v:shape>
                <v:shape id="Text Box 32" o:spid="_x0000_s1062" type="#_x0000_t202" style="position:absolute;left:9467;top:3406;width:633;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WKpsUA&#10;AADbAAAADwAAAGRycy9kb3ducmV2LnhtbESPQWvCQBSE7wX/w/IEb3XTIlWia4hFwZPSVOj1NftM&#10;QrNvY3ZjYn+9KxR6HGbmG2aVDKYWV2pdZVnByzQCQZxbXXGh4PS5e16AcB5ZY22ZFNzIQbIePa0w&#10;1rbnD7pmvhABwi5GBaX3TSyly0sy6Ka2IQ7e2bYGfZBtIXWLfYCbWr5G0Zs0WHFYKLGh95Lyn6wz&#10;CrqvvttEl+/db5Pejof5Idseu0ypyXhIlyA8Df4//NfeawWzOTy+hB8g1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NYqmxQAAANsAAAAPAAAAAAAAAAAAAAAAAJgCAABkcnMv&#10;ZG93bnJldi54bWxQSwUGAAAAAAQABAD1AAAAigMAAAAA&#10;" stroked="f">
                  <v:textbox inset=".3mm,.1mm,.3mm,.1mm">
                    <w:txbxContent>
                      <w:p w:rsidR="005B5E84" w:rsidRPr="00355756" w:rsidRDefault="005B5E84" w:rsidP="00473D0E">
                        <w:pPr>
                          <w:rPr>
                            <w:sz w:val="14"/>
                            <w:szCs w:val="16"/>
                          </w:rPr>
                        </w:pPr>
                        <w:r w:rsidRPr="00355756">
                          <w:rPr>
                            <w:sz w:val="14"/>
                            <w:szCs w:val="16"/>
                          </w:rPr>
                          <w:t>Agricultor</w:t>
                        </w:r>
                      </w:p>
                    </w:txbxContent>
                  </v:textbox>
                </v:shape>
                <v:shape id="Text Box 33" o:spid="_x0000_s1063" type="#_x0000_t202" style="position:absolute;left:9476;top:3884;width:633;height:1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oe1MIA&#10;AADbAAAADwAAAGRycy9kb3ducmV2LnhtbERPTWvCQBC9F/wPywje6sYiraRuQiwGPClNhV6n2WkS&#10;zM7G7MbE/vruodDj431v08m04ka9aywrWC0jEMSl1Q1XCs4f+eMGhPPIGlvLpOBODtJk9rDFWNuR&#10;3+lW+EqEEHYxKqi972IpXVmTQbe0HXHgvm1v0AfYV1L3OIZw08qnKHqWBhsODTV29FZTeSkGo2D4&#10;HIdddP3Kf7rsfjq+HIv9aSiUWsyn7BWEp8n/i//cB61gHcaGL+EHyOQ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qh7UwgAAANsAAAAPAAAAAAAAAAAAAAAAAJgCAABkcnMvZG93&#10;bnJldi54bWxQSwUGAAAAAAQABAD1AAAAhwMAAAAA&#10;" stroked="f">
                  <v:textbox inset=".3mm,.1mm,.3mm,.1mm">
                    <w:txbxContent>
                      <w:p w:rsidR="005B5E84" w:rsidRPr="00355756" w:rsidRDefault="005B5E84" w:rsidP="00473D0E">
                        <w:pPr>
                          <w:rPr>
                            <w:sz w:val="14"/>
                            <w:szCs w:val="16"/>
                          </w:rPr>
                        </w:pPr>
                        <w:r w:rsidRPr="00355756">
                          <w:rPr>
                            <w:sz w:val="14"/>
                            <w:szCs w:val="16"/>
                          </w:rPr>
                          <w:t>Agricultor</w:t>
                        </w:r>
                      </w:p>
                    </w:txbxContent>
                  </v:textbox>
                </v:shape>
              </v:group>
            </w:pict>
          </mc:Fallback>
        </mc:AlternateContent>
      </w:r>
      <w:r w:rsidRPr="00D42A19">
        <w:rPr>
          <w:noProof/>
          <w:lang w:val="en-US"/>
        </w:rPr>
        <mc:AlternateContent>
          <mc:Choice Requires="wps">
            <w:drawing>
              <wp:anchor distT="0" distB="0" distL="114300" distR="114300" simplePos="0" relativeHeight="251660288" behindDoc="0" locked="0" layoutInCell="1" allowOverlap="1" wp14:anchorId="2D67CE31" wp14:editId="025DEE9E">
                <wp:simplePos x="0" y="0"/>
                <wp:positionH relativeFrom="column">
                  <wp:posOffset>2569845</wp:posOffset>
                </wp:positionH>
                <wp:positionV relativeFrom="paragraph">
                  <wp:posOffset>2096770</wp:posOffset>
                </wp:positionV>
                <wp:extent cx="850265" cy="354330"/>
                <wp:effectExtent l="3810" t="1270" r="3175" b="0"/>
                <wp:wrapNone/>
                <wp:docPr id="4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354330"/>
                        </a:xfrm>
                        <a:prstGeom prst="rect">
                          <a:avLst/>
                        </a:prstGeom>
                        <a:solidFill>
                          <a:srgbClr val="427EC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2147BA" w:rsidRDefault="005B5E84" w:rsidP="00473D0E">
                            <w:pPr>
                              <w:jc w:val="center"/>
                              <w:rPr>
                                <w:b/>
                              </w:rPr>
                            </w:pPr>
                            <w:r w:rsidRPr="002147BA">
                              <w:rPr>
                                <w:rStyle w:val="FontStyle25"/>
                                <w:b/>
                                <w:sz w:val="18"/>
                              </w:rPr>
                              <w:t>Consejo de Administración</w:t>
                            </w:r>
                          </w:p>
                        </w:txbxContent>
                      </wps:txbx>
                      <wps:bodyPr rot="0" vert="horz" wrap="square" lIns="10800" tIns="3600" rIns="10800" bIns="36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64" type="#_x0000_t202" style="position:absolute;left:0;text-align:left;margin-left:202.35pt;margin-top:165.1pt;width:66.95pt;height: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" fillcolor="#427ece" stroked="f">
                <v:textbox inset=".3mm,.1mm,.3mm,.1mm">
                  <w:txbxContent>
                    <w:p w:rsidR="005B5E84" w:rsidRPr="002147BA" w:rsidRDefault="005B5E84" w:rsidP="00473D0E">
                      <w:pPr>
                        <w:jc w:val="center"/>
                        <w:rPr>
                          <w:b/>
                        </w:rPr>
                      </w:pPr>
                      <w:r w:rsidRPr="002147BA">
                        <w:rPr>
                          <w:rStyle w:val="FontStyle25"/>
                          <w:b/>
                          <w:sz w:val="18"/>
                        </w:rPr>
                        <w:t>Consejo de Administración</w:t>
                      </w:r>
                    </w:p>
                  </w:txbxContent>
                </v:textbox>
              </v:shape>
            </w:pict>
          </mc:Fallback>
        </mc:AlternateContent>
      </w:r>
      <w:r w:rsidRPr="00D42A19">
        <w:rPr>
          <w:noProof/>
          <w:lang w:val="en-US"/>
        </w:rPr>
        <w:drawing>
          <wp:inline distT="0" distB="0" distL="0" distR="0" wp14:anchorId="6897DB71" wp14:editId="24CA792A">
            <wp:extent cx="6120765" cy="4590415"/>
            <wp:effectExtent l="0" t="0" r="0" b="6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K_Organization - 17.08.15.jp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120765" cy="4590415"/>
                    </a:xfrm>
                    <a:prstGeom prst="rect">
                      <a:avLst/>
                    </a:prstGeom>
                  </pic:spPr>
                </pic:pic>
              </a:graphicData>
            </a:graphic>
          </wp:inline>
        </w:drawing>
      </w:r>
    </w:p>
    <w:p w:rsidR="00473D0E" w:rsidRPr="00D42A19" w:rsidRDefault="00473D0E" w:rsidP="00473D0E"/>
    <w:p w:rsidR="00473D0E" w:rsidRPr="00D42A19" w:rsidRDefault="00473D0E" w:rsidP="00473D0E">
      <w:pPr>
        <w:keepNext/>
        <w:rPr>
          <w:u w:val="single"/>
        </w:rPr>
      </w:pPr>
      <w:r w:rsidRPr="00D42A19">
        <w:t>4.</w:t>
      </w:r>
      <w:r w:rsidRPr="00D42A19">
        <w:tab/>
      </w:r>
      <w:r w:rsidRPr="00D42A19">
        <w:rPr>
          <w:u w:val="single"/>
        </w:rPr>
        <w:t>Actividades para la promoción de la protección de las obtenciones vegetales</w:t>
      </w:r>
    </w:p>
    <w:p w:rsidR="00473D0E" w:rsidRPr="00D42A19" w:rsidRDefault="00473D0E" w:rsidP="00473D0E">
      <w:pPr>
        <w:keepNext/>
      </w:pPr>
    </w:p>
    <w:p w:rsidR="00473D0E" w:rsidRPr="00D42A19" w:rsidRDefault="00473D0E" w:rsidP="00473D0E">
      <w:r w:rsidRPr="00D42A19">
        <w:t xml:space="preserve">Por el momento, la Agencia Nacional de Agricultura y Pesca no ha llevado a cabo ni tiene previsto realizar actividades directas de promoción de la protección de las obtenciones vegetales en Dinamarca, aunque consideramos que la nueva estructura organizativa y la cooperación con la </w:t>
      </w:r>
      <w:proofErr w:type="spellStart"/>
      <w:r w:rsidRPr="00D42A19">
        <w:rPr>
          <w:i/>
        </w:rPr>
        <w:t>TystofteFoundation</w:t>
      </w:r>
      <w:proofErr w:type="spellEnd"/>
      <w:r w:rsidRPr="00D42A19">
        <w:t xml:space="preserve"> beneficiará a nuestros obtentores en general.  Estos cambios en la gestión de la protección y el examen de las obtenciones vegetales en Dinamarca se acaban de aplicar y, por lo tanto, en la actualidad estamos planificando la mejor manera de adaptarnos a ellos.  Por este motivo y en este momento, sería prematuro seguir comentando las actividades que realizaremos en el futuro en materia de promoción de la protección de las obtenciones vegetales.</w:t>
      </w:r>
    </w:p>
    <w:p w:rsidR="003F39F5" w:rsidRPr="00D42A19" w:rsidRDefault="003F39F5" w:rsidP="003F39F5"/>
    <w:p w:rsidR="003F39F5" w:rsidRPr="00D42A19" w:rsidRDefault="003F39F5" w:rsidP="003F39F5"/>
    <w:p w:rsidR="008E6312" w:rsidRPr="00D42A19" w:rsidRDefault="008E6312" w:rsidP="003F39F5"/>
    <w:p w:rsidR="003F39F5" w:rsidRPr="00D42A19" w:rsidRDefault="00F14899" w:rsidP="003F39F5">
      <w:pPr>
        <w:jc w:val="right"/>
      </w:pPr>
      <w:r w:rsidRPr="00D42A19">
        <w:t>[Sigue el Anexo</w:t>
      </w:r>
      <w:r w:rsidR="003F39F5" w:rsidRPr="00D42A19">
        <w:t xml:space="preserve"> VI</w:t>
      </w:r>
      <w:r w:rsidRPr="00D42A19">
        <w:t>]</w:t>
      </w:r>
    </w:p>
    <w:p w:rsidR="003F39F5" w:rsidRPr="00D42A19" w:rsidRDefault="003F39F5" w:rsidP="003F39F5">
      <w:pPr>
        <w:jc w:val="left"/>
      </w:pPr>
    </w:p>
    <w:p w:rsidR="003F39F5" w:rsidRPr="00D42A19" w:rsidRDefault="003F39F5" w:rsidP="003F39F5">
      <w:pPr>
        <w:jc w:val="left"/>
        <w:sectPr w:rsidR="003F39F5" w:rsidRPr="00D42A19" w:rsidSect="004F3A50">
          <w:headerReference w:type="default" r:id="rId23"/>
          <w:pgSz w:w="11907" w:h="16840" w:code="9"/>
          <w:pgMar w:top="510" w:right="1134" w:bottom="1134" w:left="1134" w:header="510" w:footer="680" w:gutter="0"/>
          <w:pgNumType w:start="1"/>
          <w:cols w:space="720"/>
          <w:titlePg/>
        </w:sectPr>
      </w:pPr>
    </w:p>
    <w:p w:rsidR="003F39F5" w:rsidRPr="00D42A19" w:rsidRDefault="003F39F5" w:rsidP="003F39F5">
      <w:pPr>
        <w:jc w:val="center"/>
      </w:pPr>
      <w:r w:rsidRPr="00D42A19">
        <w:t>C/49/15</w:t>
      </w:r>
    </w:p>
    <w:p w:rsidR="003F39F5" w:rsidRPr="00D42A19" w:rsidRDefault="003F39F5" w:rsidP="003F39F5">
      <w:pPr>
        <w:jc w:val="center"/>
      </w:pPr>
    </w:p>
    <w:p w:rsidR="003F39F5" w:rsidRPr="00D42A19" w:rsidRDefault="00F14899" w:rsidP="003F39F5">
      <w:pPr>
        <w:jc w:val="center"/>
      </w:pPr>
      <w:r w:rsidRPr="00D42A19">
        <w:t>ANEXO</w:t>
      </w:r>
      <w:r w:rsidR="003F39F5" w:rsidRPr="00D42A19">
        <w:t xml:space="preserve"> VI</w:t>
      </w:r>
    </w:p>
    <w:p w:rsidR="003F39F5" w:rsidRPr="00D42A19" w:rsidRDefault="003F39F5" w:rsidP="003F39F5">
      <w:pPr>
        <w:jc w:val="center"/>
      </w:pPr>
    </w:p>
    <w:p w:rsidR="003F39F5" w:rsidRPr="00D42A19" w:rsidRDefault="003F39F5" w:rsidP="003F39F5">
      <w:pPr>
        <w:jc w:val="center"/>
      </w:pPr>
    </w:p>
    <w:p w:rsidR="003F39F5" w:rsidRPr="00D42A19" w:rsidRDefault="00F14899" w:rsidP="003F39F5">
      <w:pPr>
        <w:jc w:val="center"/>
      </w:pPr>
      <w:r w:rsidRPr="00D42A19">
        <w:t>LETONIA</w:t>
      </w:r>
    </w:p>
    <w:p w:rsidR="003F39F5" w:rsidRPr="00D42A19" w:rsidRDefault="003F39F5" w:rsidP="003F39F5">
      <w:pPr>
        <w:jc w:val="left"/>
      </w:pPr>
    </w:p>
    <w:p w:rsidR="003F39F5" w:rsidRPr="00D42A19" w:rsidRDefault="003F39F5" w:rsidP="003F39F5">
      <w:pPr>
        <w:jc w:val="left"/>
      </w:pPr>
    </w:p>
    <w:p w:rsidR="008E6312" w:rsidRPr="00D42A19" w:rsidRDefault="008E6312" w:rsidP="008E6312">
      <w:pPr>
        <w:rPr>
          <w:rFonts w:cs="Arial"/>
        </w:rPr>
      </w:pPr>
      <w:r w:rsidRPr="00D42A19">
        <w:t>I.</w:t>
      </w:r>
      <w:r w:rsidRPr="00D42A19">
        <w:tab/>
        <w:t>PROTECCIÓN DE LAS OBTENCIONES VEGETALES</w:t>
      </w:r>
    </w:p>
    <w:p w:rsidR="008E6312" w:rsidRPr="00D42A19" w:rsidRDefault="008E6312" w:rsidP="008E6312">
      <w:pPr>
        <w:rPr>
          <w:rFonts w:cs="Arial"/>
        </w:rPr>
      </w:pPr>
    </w:p>
    <w:p w:rsidR="008E6312" w:rsidRPr="00D42A19" w:rsidRDefault="008E6312" w:rsidP="008E6312">
      <w:pPr>
        <w:tabs>
          <w:tab w:val="left" w:pos="426"/>
          <w:tab w:val="left" w:pos="1276"/>
        </w:tabs>
      </w:pPr>
      <w:r w:rsidRPr="00D42A19">
        <w:t xml:space="preserve">1. </w:t>
      </w:r>
      <w:r w:rsidRPr="00D42A19">
        <w:tab/>
      </w:r>
      <w:r w:rsidRPr="00D42A19">
        <w:rPr>
          <w:u w:val="single"/>
        </w:rPr>
        <w:t>Situación en el campo legislativo</w:t>
      </w:r>
    </w:p>
    <w:p w:rsidR="008E6312" w:rsidRPr="00D42A19" w:rsidRDefault="008E6312" w:rsidP="008E6312"/>
    <w:p w:rsidR="008E6312" w:rsidRPr="00D42A19" w:rsidRDefault="008E6312" w:rsidP="008E6312">
      <w:r w:rsidRPr="00D42A19">
        <w:tab/>
        <w:t>1.1</w:t>
      </w:r>
      <w:r w:rsidRPr="00D42A19">
        <w:tab/>
        <w:t>Modificaciones de la ley y de los reglamentos</w:t>
      </w:r>
    </w:p>
    <w:p w:rsidR="008E6312" w:rsidRPr="00D42A19" w:rsidRDefault="008E6312" w:rsidP="008E6312">
      <w:pPr>
        <w:ind w:left="851"/>
      </w:pPr>
      <w:r w:rsidRPr="00D42A19">
        <w:t>-</w:t>
      </w:r>
      <w:r w:rsidRPr="00D42A19">
        <w:tab/>
        <w:t>Adaptación al Acta de 1991 del Convenio:  no se han producido modificaciones.</w:t>
      </w:r>
    </w:p>
    <w:p w:rsidR="008E6312" w:rsidRPr="00D42A19" w:rsidRDefault="008E6312" w:rsidP="008E6312">
      <w:pPr>
        <w:ind w:left="851"/>
      </w:pPr>
      <w:r w:rsidRPr="00D42A19">
        <w:t>-</w:t>
      </w:r>
      <w:r w:rsidRPr="00D42A19">
        <w:tab/>
        <w:t>Otras modificaciones, incluidas las referentes a las tasas:  no se produjeron cambios.</w:t>
      </w:r>
    </w:p>
    <w:p w:rsidR="008E6312" w:rsidRPr="00D42A19" w:rsidRDefault="008E6312" w:rsidP="008E6312"/>
    <w:p w:rsidR="008E6312" w:rsidRPr="00D42A19" w:rsidRDefault="008E6312" w:rsidP="008E6312">
      <w:r w:rsidRPr="00D42A19">
        <w:tab/>
        <w:t>1.2</w:t>
      </w:r>
      <w:r w:rsidRPr="00D42A19">
        <w:tab/>
        <w:t>Extensión de la protección a otros géneros y especies (realizada o en proyecto):</w:t>
      </w:r>
    </w:p>
    <w:p w:rsidR="008E6312" w:rsidRPr="00D42A19" w:rsidRDefault="008E6312" w:rsidP="008E6312">
      <w:r w:rsidRPr="00D42A19">
        <w:tab/>
      </w:r>
      <w:r w:rsidRPr="00D42A19">
        <w:tab/>
        <w:t>no se produjeron cambios.</w:t>
      </w:r>
    </w:p>
    <w:p w:rsidR="008E6312" w:rsidRPr="00D42A19" w:rsidRDefault="008E6312" w:rsidP="008E6312"/>
    <w:p w:rsidR="008E6312" w:rsidRPr="00D42A19" w:rsidRDefault="008E6312" w:rsidP="008E6312">
      <w:r w:rsidRPr="00D42A19">
        <w:tab/>
        <w:t>1.3</w:t>
      </w:r>
      <w:r w:rsidRPr="00D42A19">
        <w:tab/>
        <w:t>Jurisprudencia:  no se produjeron cambios.</w:t>
      </w:r>
    </w:p>
    <w:p w:rsidR="008E6312" w:rsidRPr="00D42A19" w:rsidRDefault="008E6312" w:rsidP="008E6312"/>
    <w:p w:rsidR="008E6312" w:rsidRPr="00D42A19" w:rsidRDefault="008E6312" w:rsidP="008E6312"/>
    <w:p w:rsidR="008E6312" w:rsidRPr="00D42A19" w:rsidRDefault="008E6312" w:rsidP="008E6312">
      <w:r w:rsidRPr="00D42A19">
        <w:t>2.</w:t>
      </w:r>
      <w:r w:rsidRPr="00D42A19">
        <w:tab/>
      </w:r>
      <w:r w:rsidRPr="00D42A19">
        <w:rPr>
          <w:u w:val="single"/>
        </w:rPr>
        <w:t>Cooperación en el examen</w:t>
      </w:r>
    </w:p>
    <w:p w:rsidR="008E6312" w:rsidRPr="00D42A19" w:rsidRDefault="008E6312" w:rsidP="008E6312">
      <w:pPr>
        <w:tabs>
          <w:tab w:val="left" w:pos="426"/>
          <w:tab w:val="left" w:pos="851"/>
        </w:tabs>
      </w:pPr>
    </w:p>
    <w:p w:rsidR="008E6312" w:rsidRPr="00D42A19" w:rsidRDefault="008E6312" w:rsidP="008E6312">
      <w:pPr>
        <w:tabs>
          <w:tab w:val="left" w:pos="426"/>
          <w:tab w:val="left" w:pos="851"/>
        </w:tabs>
        <w:ind w:left="851" w:hanging="851"/>
        <w:rPr>
          <w:b/>
        </w:rPr>
      </w:pPr>
      <w:r w:rsidRPr="00D42A19">
        <w:tab/>
        <w:t>-</w:t>
      </w:r>
      <w:r w:rsidRPr="00D42A19">
        <w:tab/>
        <w:t>Conclusión de nuevos acuerdos (realizados, en proceso o en proyecto):  no se produjeron cambios.</w:t>
      </w:r>
    </w:p>
    <w:p w:rsidR="008E6312" w:rsidRPr="00D42A19" w:rsidRDefault="008E6312" w:rsidP="008E6312">
      <w:pPr>
        <w:tabs>
          <w:tab w:val="left" w:pos="426"/>
          <w:tab w:val="left" w:pos="851"/>
        </w:tabs>
      </w:pPr>
    </w:p>
    <w:p w:rsidR="008E6312" w:rsidRPr="00D42A19" w:rsidRDefault="008E6312" w:rsidP="008E6312">
      <w:pPr>
        <w:tabs>
          <w:tab w:val="left" w:pos="426"/>
          <w:tab w:val="left" w:pos="851"/>
        </w:tabs>
      </w:pPr>
      <w:r w:rsidRPr="00D42A19">
        <w:tab/>
        <w:t>-</w:t>
      </w:r>
      <w:r w:rsidRPr="00D42A19">
        <w:tab/>
        <w:t>Modificación de los ya existentes (realizados, en proceso o en proyecto):</w:t>
      </w:r>
    </w:p>
    <w:p w:rsidR="008E6312" w:rsidRPr="00D42A19" w:rsidRDefault="008E6312" w:rsidP="008E6312">
      <w:pPr>
        <w:tabs>
          <w:tab w:val="left" w:pos="851"/>
        </w:tabs>
        <w:ind w:left="851"/>
      </w:pPr>
      <w:r w:rsidRPr="00D42A19">
        <w:t>la autoridad de Letonia ya no realiza exámenes DHE en nombre de otras autoridades.</w:t>
      </w:r>
    </w:p>
    <w:p w:rsidR="008E6312" w:rsidRPr="00D42A19" w:rsidRDefault="008E6312" w:rsidP="008E6312"/>
    <w:p w:rsidR="008E6312" w:rsidRPr="00D42A19" w:rsidRDefault="008E6312" w:rsidP="008E6312"/>
    <w:p w:rsidR="008E6312" w:rsidRPr="00D42A19" w:rsidRDefault="008E6312" w:rsidP="008E6312">
      <w:pPr>
        <w:rPr>
          <w:u w:val="single"/>
        </w:rPr>
      </w:pPr>
      <w:r w:rsidRPr="00D42A19">
        <w:t>3.</w:t>
      </w:r>
      <w:r w:rsidRPr="00D42A19">
        <w:tab/>
      </w:r>
      <w:r w:rsidRPr="00D42A19">
        <w:rPr>
          <w:u w:val="single"/>
        </w:rPr>
        <w:t>Situación en el campo legislativo</w:t>
      </w:r>
    </w:p>
    <w:p w:rsidR="008E6312" w:rsidRPr="00D42A19" w:rsidRDefault="008E6312" w:rsidP="008E6312"/>
    <w:p w:rsidR="008E6312" w:rsidRPr="00D42A19" w:rsidRDefault="008E6312" w:rsidP="008E6312">
      <w:pPr>
        <w:ind w:left="851" w:hanging="425"/>
      </w:pPr>
      <w:r w:rsidRPr="00D42A19">
        <w:t>-</w:t>
      </w:r>
      <w:r w:rsidRPr="00D42A19">
        <w:tab/>
        <w:t>Cambios en la estructura administrativa:  no se produjeron cambios.</w:t>
      </w:r>
    </w:p>
    <w:p w:rsidR="008E6312" w:rsidRPr="00D42A19" w:rsidRDefault="008E6312" w:rsidP="008E6312">
      <w:pPr>
        <w:ind w:left="851" w:hanging="425"/>
      </w:pPr>
      <w:r w:rsidRPr="00D42A19">
        <w:t>-</w:t>
      </w:r>
      <w:r w:rsidRPr="00D42A19">
        <w:tab/>
        <w:t>Cambios en los procedimientos y sistemas (administrativos):  no se produjeron cambios.</w:t>
      </w:r>
    </w:p>
    <w:p w:rsidR="008E6312" w:rsidRPr="00D42A19" w:rsidRDefault="008E6312" w:rsidP="008E6312"/>
    <w:p w:rsidR="008E6312" w:rsidRPr="00D42A19" w:rsidRDefault="008E6312" w:rsidP="008E6312"/>
    <w:p w:rsidR="008E6312" w:rsidRPr="00D42A19" w:rsidRDefault="008E6312" w:rsidP="008E6312">
      <w:pPr>
        <w:spacing w:line="360" w:lineRule="auto"/>
        <w:rPr>
          <w:u w:val="single"/>
        </w:rPr>
      </w:pPr>
      <w:r w:rsidRPr="00D42A19">
        <w:t>4.</w:t>
      </w:r>
      <w:r w:rsidRPr="00D42A19">
        <w:tab/>
      </w:r>
      <w:r w:rsidRPr="00D42A19">
        <w:rPr>
          <w:u w:val="single"/>
        </w:rPr>
        <w:t>Situación en el campo técnico</w:t>
      </w:r>
    </w:p>
    <w:p w:rsidR="008E6312" w:rsidRPr="00D42A19" w:rsidRDefault="008E6312" w:rsidP="008E6312">
      <w:pPr>
        <w:spacing w:line="360" w:lineRule="auto"/>
      </w:pPr>
      <w:r w:rsidRPr="00D42A19">
        <w:t>Se realizaron los siguientes exámenes DHE:</w:t>
      </w:r>
    </w:p>
    <w:p w:rsidR="008E6312" w:rsidRPr="00D42A19" w:rsidRDefault="008E6312" w:rsidP="00DC569B">
      <w:pPr>
        <w:pStyle w:val="ListParagraph"/>
        <w:numPr>
          <w:ilvl w:val="0"/>
          <w:numId w:val="2"/>
        </w:numPr>
        <w:spacing w:line="360" w:lineRule="auto"/>
        <w:contextualSpacing/>
        <w:jc w:val="both"/>
        <w:rPr>
          <w:szCs w:val="20"/>
          <w:lang w:val="es-ES_tradnl"/>
        </w:rPr>
      </w:pPr>
      <w:proofErr w:type="spellStart"/>
      <w:r w:rsidRPr="00D42A19">
        <w:rPr>
          <w:i/>
          <w:lang w:val="es-ES_tradnl"/>
        </w:rPr>
        <w:t>Vitis</w:t>
      </w:r>
      <w:proofErr w:type="spellEnd"/>
      <w:r w:rsidRPr="00D42A19">
        <w:rPr>
          <w:i/>
          <w:lang w:val="es-ES_tradnl"/>
        </w:rPr>
        <w:t xml:space="preserve"> </w:t>
      </w:r>
      <w:proofErr w:type="spellStart"/>
      <w:r w:rsidRPr="00D42A19">
        <w:rPr>
          <w:i/>
          <w:lang w:val="es-ES_tradnl"/>
        </w:rPr>
        <w:t>vinifera</w:t>
      </w:r>
      <w:proofErr w:type="spellEnd"/>
      <w:r w:rsidRPr="00D42A19">
        <w:rPr>
          <w:i/>
          <w:lang w:val="es-ES_tradnl"/>
        </w:rPr>
        <w:t xml:space="preserve"> </w:t>
      </w:r>
      <w:r w:rsidRPr="00D42A19">
        <w:rPr>
          <w:lang w:val="es-ES_tradnl"/>
        </w:rPr>
        <w:t>L. (1 variedad)</w:t>
      </w:r>
    </w:p>
    <w:p w:rsidR="008E6312" w:rsidRPr="00D42A19" w:rsidRDefault="008E6312" w:rsidP="008E6312"/>
    <w:p w:rsidR="008E6312" w:rsidRPr="00D42A19" w:rsidRDefault="008E6312" w:rsidP="008E6312"/>
    <w:p w:rsidR="008E6312" w:rsidRPr="00D42A19" w:rsidRDefault="008E6312" w:rsidP="008E6312">
      <w:pPr>
        <w:rPr>
          <w:u w:val="single"/>
        </w:rPr>
      </w:pPr>
      <w:r w:rsidRPr="00D42A19">
        <w:t>5.</w:t>
      </w:r>
      <w:r w:rsidRPr="00D42A19">
        <w:tab/>
      </w:r>
      <w:r w:rsidRPr="00D42A19">
        <w:rPr>
          <w:u w:val="single"/>
        </w:rPr>
        <w:t>Actividades para la promoción de la protección de las obtenciones vegetales</w:t>
      </w:r>
    </w:p>
    <w:p w:rsidR="008E6312" w:rsidRPr="00D42A19" w:rsidRDefault="008E6312" w:rsidP="008E6312"/>
    <w:tbl>
      <w:tblPr>
        <w:tblStyle w:val="TableGrid"/>
        <w:tblW w:w="9834" w:type="dxa"/>
        <w:tblInd w:w="-114" w:type="dxa"/>
        <w:tblLayout w:type="fixed"/>
        <w:tblCellMar>
          <w:left w:w="57" w:type="dxa"/>
          <w:right w:w="57" w:type="dxa"/>
        </w:tblCellMar>
        <w:tblLook w:val="01E0" w:firstRow="1" w:lastRow="1" w:firstColumn="1" w:lastColumn="1" w:noHBand="0" w:noVBand="0"/>
      </w:tblPr>
      <w:tblGrid>
        <w:gridCol w:w="959"/>
        <w:gridCol w:w="992"/>
        <w:gridCol w:w="1302"/>
        <w:gridCol w:w="1276"/>
        <w:gridCol w:w="2693"/>
        <w:gridCol w:w="1425"/>
        <w:gridCol w:w="1187"/>
      </w:tblGrid>
      <w:tr w:rsidR="008E6312" w:rsidRPr="00D42A19" w:rsidTr="008E6312">
        <w:trPr>
          <w:cantSplit/>
          <w:tblHeader/>
        </w:trPr>
        <w:tc>
          <w:tcPr>
            <w:tcW w:w="959" w:type="dxa"/>
            <w:tcMar>
              <w:left w:w="28" w:type="dxa"/>
              <w:right w:w="28" w:type="dxa"/>
            </w:tcMar>
          </w:tcPr>
          <w:p w:rsidR="008E6312" w:rsidRPr="00D42A19" w:rsidRDefault="008E6312" w:rsidP="004F3A50">
            <w:pPr>
              <w:jc w:val="left"/>
              <w:rPr>
                <w:sz w:val="18"/>
              </w:rPr>
            </w:pPr>
            <w:r w:rsidRPr="00D42A19">
              <w:rPr>
                <w:sz w:val="18"/>
              </w:rPr>
              <w:t>Tipo de actividad</w:t>
            </w:r>
          </w:p>
        </w:tc>
        <w:tc>
          <w:tcPr>
            <w:tcW w:w="992" w:type="dxa"/>
            <w:tcMar>
              <w:left w:w="28" w:type="dxa"/>
              <w:right w:w="28" w:type="dxa"/>
            </w:tcMar>
          </w:tcPr>
          <w:p w:rsidR="008E6312" w:rsidRPr="00D42A19" w:rsidRDefault="008E6312" w:rsidP="004F3A50">
            <w:pPr>
              <w:jc w:val="left"/>
              <w:rPr>
                <w:sz w:val="18"/>
              </w:rPr>
            </w:pPr>
            <w:r w:rsidRPr="00D42A19">
              <w:rPr>
                <w:sz w:val="18"/>
              </w:rPr>
              <w:t>Fecha</w:t>
            </w:r>
          </w:p>
        </w:tc>
        <w:tc>
          <w:tcPr>
            <w:tcW w:w="1302" w:type="dxa"/>
            <w:tcMar>
              <w:left w:w="28" w:type="dxa"/>
              <w:right w:w="28" w:type="dxa"/>
            </w:tcMar>
          </w:tcPr>
          <w:p w:rsidR="008E6312" w:rsidRPr="00D42A19" w:rsidRDefault="008E6312" w:rsidP="004F3A50">
            <w:pPr>
              <w:jc w:val="left"/>
              <w:rPr>
                <w:sz w:val="18"/>
              </w:rPr>
            </w:pPr>
            <w:r w:rsidRPr="00D42A19">
              <w:rPr>
                <w:sz w:val="18"/>
              </w:rPr>
              <w:t>Lugar</w:t>
            </w:r>
          </w:p>
        </w:tc>
        <w:tc>
          <w:tcPr>
            <w:tcW w:w="1276" w:type="dxa"/>
            <w:tcMar>
              <w:left w:w="28" w:type="dxa"/>
              <w:right w:w="28" w:type="dxa"/>
            </w:tcMar>
          </w:tcPr>
          <w:p w:rsidR="008E6312" w:rsidRPr="00D42A19" w:rsidRDefault="008E6312" w:rsidP="004F3A50">
            <w:pPr>
              <w:jc w:val="left"/>
              <w:rPr>
                <w:sz w:val="18"/>
              </w:rPr>
            </w:pPr>
            <w:r w:rsidRPr="00D42A19">
              <w:rPr>
                <w:sz w:val="18"/>
              </w:rPr>
              <w:t>Organizadores</w:t>
            </w:r>
          </w:p>
        </w:tc>
        <w:tc>
          <w:tcPr>
            <w:tcW w:w="2693" w:type="dxa"/>
            <w:tcMar>
              <w:left w:w="28" w:type="dxa"/>
              <w:right w:w="28" w:type="dxa"/>
            </w:tcMar>
          </w:tcPr>
          <w:p w:rsidR="008E6312" w:rsidRPr="00D42A19" w:rsidRDefault="008E6312" w:rsidP="004F3A50">
            <w:pPr>
              <w:jc w:val="left"/>
              <w:rPr>
                <w:sz w:val="18"/>
              </w:rPr>
            </w:pPr>
            <w:r w:rsidRPr="00D42A19">
              <w:rPr>
                <w:sz w:val="18"/>
              </w:rPr>
              <w:t>Finalidad de la actividad</w:t>
            </w:r>
          </w:p>
        </w:tc>
        <w:tc>
          <w:tcPr>
            <w:tcW w:w="1425" w:type="dxa"/>
            <w:tcMar>
              <w:left w:w="28" w:type="dxa"/>
              <w:right w:w="28" w:type="dxa"/>
            </w:tcMar>
          </w:tcPr>
          <w:p w:rsidR="008E6312" w:rsidRPr="00D42A19" w:rsidRDefault="008E6312" w:rsidP="004F3A50">
            <w:pPr>
              <w:jc w:val="left"/>
              <w:rPr>
                <w:sz w:val="18"/>
              </w:rPr>
            </w:pPr>
            <w:r w:rsidRPr="00D42A19">
              <w:rPr>
                <w:sz w:val="18"/>
              </w:rPr>
              <w:t>Países participantes/ organizaciones (número de participantes de cada país/ organización)</w:t>
            </w:r>
          </w:p>
        </w:tc>
        <w:tc>
          <w:tcPr>
            <w:tcW w:w="1187" w:type="dxa"/>
            <w:tcMar>
              <w:left w:w="28" w:type="dxa"/>
              <w:right w:w="28" w:type="dxa"/>
            </w:tcMar>
          </w:tcPr>
          <w:p w:rsidR="008E6312" w:rsidRPr="00D42A19" w:rsidRDefault="008E6312" w:rsidP="004F3A50">
            <w:pPr>
              <w:jc w:val="center"/>
              <w:rPr>
                <w:sz w:val="18"/>
              </w:rPr>
            </w:pPr>
            <w:r w:rsidRPr="00D42A19">
              <w:rPr>
                <w:sz w:val="18"/>
              </w:rPr>
              <w:t>Comentarios</w:t>
            </w:r>
          </w:p>
        </w:tc>
      </w:tr>
      <w:tr w:rsidR="008E6312" w:rsidRPr="00D42A19" w:rsidTr="008E6312">
        <w:trPr>
          <w:cantSplit/>
        </w:trPr>
        <w:tc>
          <w:tcPr>
            <w:tcW w:w="959" w:type="dxa"/>
            <w:tcMar>
              <w:left w:w="28" w:type="dxa"/>
              <w:right w:w="28" w:type="dxa"/>
            </w:tcMar>
          </w:tcPr>
          <w:p w:rsidR="008E6312" w:rsidRPr="00D42A19" w:rsidRDefault="008E6312" w:rsidP="004F3A50">
            <w:pPr>
              <w:jc w:val="left"/>
              <w:rPr>
                <w:sz w:val="18"/>
              </w:rPr>
            </w:pPr>
            <w:r w:rsidRPr="00D42A19">
              <w:rPr>
                <w:sz w:val="18"/>
              </w:rPr>
              <w:t>1.</w:t>
            </w:r>
          </w:p>
          <w:p w:rsidR="008E6312" w:rsidRPr="00D42A19" w:rsidRDefault="008E6312" w:rsidP="004F3A50">
            <w:pPr>
              <w:jc w:val="left"/>
              <w:rPr>
                <w:sz w:val="18"/>
              </w:rPr>
            </w:pPr>
          </w:p>
        </w:tc>
        <w:tc>
          <w:tcPr>
            <w:tcW w:w="992" w:type="dxa"/>
            <w:tcMar>
              <w:left w:w="28" w:type="dxa"/>
              <w:right w:w="28" w:type="dxa"/>
            </w:tcMar>
          </w:tcPr>
          <w:p w:rsidR="008E6312" w:rsidRPr="00D42A19" w:rsidRDefault="008E6312" w:rsidP="004F3A50">
            <w:pPr>
              <w:jc w:val="left"/>
              <w:rPr>
                <w:sz w:val="18"/>
              </w:rPr>
            </w:pPr>
            <w:r w:rsidRPr="00D42A19">
              <w:t>18 y 19 de marzo de 2014</w:t>
            </w:r>
          </w:p>
        </w:tc>
        <w:tc>
          <w:tcPr>
            <w:tcW w:w="1302" w:type="dxa"/>
            <w:tcMar>
              <w:left w:w="28" w:type="dxa"/>
              <w:right w:w="28" w:type="dxa"/>
            </w:tcMar>
          </w:tcPr>
          <w:p w:rsidR="008E6312" w:rsidRPr="00D42A19" w:rsidRDefault="008E6312" w:rsidP="004F3A50">
            <w:pPr>
              <w:jc w:val="left"/>
              <w:rPr>
                <w:sz w:val="18"/>
              </w:rPr>
            </w:pPr>
            <w:r w:rsidRPr="00D42A19">
              <w:t>Nitra (Eslovaquia)</w:t>
            </w:r>
          </w:p>
        </w:tc>
        <w:tc>
          <w:tcPr>
            <w:tcW w:w="1276" w:type="dxa"/>
            <w:tcMar>
              <w:left w:w="28" w:type="dxa"/>
              <w:right w:w="28" w:type="dxa"/>
            </w:tcMar>
          </w:tcPr>
          <w:p w:rsidR="008E6312" w:rsidRPr="00D42A19" w:rsidRDefault="008E6312" w:rsidP="004F3A50">
            <w:pPr>
              <w:jc w:val="left"/>
              <w:rPr>
                <w:sz w:val="18"/>
              </w:rPr>
            </w:pPr>
            <w:r w:rsidRPr="00D42A19">
              <w:rPr>
                <w:sz w:val="18"/>
              </w:rPr>
              <w:t>OCVV</w:t>
            </w:r>
          </w:p>
        </w:tc>
        <w:tc>
          <w:tcPr>
            <w:tcW w:w="2693" w:type="dxa"/>
            <w:tcMar>
              <w:left w:w="28" w:type="dxa"/>
              <w:right w:w="28" w:type="dxa"/>
            </w:tcMar>
          </w:tcPr>
          <w:p w:rsidR="008E6312" w:rsidRPr="00D42A19" w:rsidRDefault="008E6312" w:rsidP="004F3A50">
            <w:pPr>
              <w:jc w:val="left"/>
              <w:rPr>
                <w:sz w:val="18"/>
              </w:rPr>
            </w:pPr>
            <w:r w:rsidRPr="00D42A19">
              <w:t>Reunión del Consejo de Administración de la Oficina Comunitaria de Variedades Vegetales (OCVV)</w:t>
            </w:r>
          </w:p>
        </w:tc>
        <w:tc>
          <w:tcPr>
            <w:tcW w:w="1425" w:type="dxa"/>
            <w:tcMar>
              <w:left w:w="28" w:type="dxa"/>
              <w:right w:w="28" w:type="dxa"/>
            </w:tcMar>
          </w:tcPr>
          <w:p w:rsidR="008E6312" w:rsidRPr="00D42A19" w:rsidRDefault="008E6312" w:rsidP="004F3A50">
            <w:pPr>
              <w:jc w:val="left"/>
              <w:rPr>
                <w:sz w:val="18"/>
              </w:rPr>
            </w:pPr>
            <w:r w:rsidRPr="00D42A19">
              <w:rPr>
                <w:sz w:val="18"/>
              </w:rPr>
              <w:t>1</w:t>
            </w:r>
          </w:p>
        </w:tc>
        <w:tc>
          <w:tcPr>
            <w:tcW w:w="1187" w:type="dxa"/>
            <w:tcMar>
              <w:left w:w="28" w:type="dxa"/>
              <w:right w:w="28" w:type="dxa"/>
            </w:tcMar>
          </w:tcPr>
          <w:p w:rsidR="008E6312" w:rsidRPr="00D42A19" w:rsidRDefault="008E6312" w:rsidP="004F3A50">
            <w:pPr>
              <w:jc w:val="left"/>
              <w:rPr>
                <w:sz w:val="18"/>
              </w:rPr>
            </w:pPr>
          </w:p>
        </w:tc>
      </w:tr>
      <w:tr w:rsidR="008E6312" w:rsidRPr="00D42A19" w:rsidTr="008E6312">
        <w:trPr>
          <w:cantSplit/>
        </w:trPr>
        <w:tc>
          <w:tcPr>
            <w:tcW w:w="959" w:type="dxa"/>
            <w:tcMar>
              <w:left w:w="28" w:type="dxa"/>
              <w:right w:w="28" w:type="dxa"/>
            </w:tcMar>
          </w:tcPr>
          <w:p w:rsidR="008E6312" w:rsidRPr="00D42A19" w:rsidRDefault="008E6312" w:rsidP="004F3A50">
            <w:pPr>
              <w:jc w:val="left"/>
              <w:rPr>
                <w:sz w:val="18"/>
              </w:rPr>
            </w:pPr>
            <w:r w:rsidRPr="00D42A19">
              <w:rPr>
                <w:sz w:val="18"/>
              </w:rPr>
              <w:t>2.</w:t>
            </w:r>
          </w:p>
          <w:p w:rsidR="008E6312" w:rsidRPr="00D42A19" w:rsidRDefault="008E6312" w:rsidP="004F3A50">
            <w:pPr>
              <w:jc w:val="left"/>
              <w:rPr>
                <w:sz w:val="18"/>
              </w:rPr>
            </w:pPr>
          </w:p>
        </w:tc>
        <w:tc>
          <w:tcPr>
            <w:tcW w:w="992" w:type="dxa"/>
            <w:tcMar>
              <w:left w:w="28" w:type="dxa"/>
              <w:right w:w="28" w:type="dxa"/>
            </w:tcMar>
          </w:tcPr>
          <w:p w:rsidR="008E6312" w:rsidRPr="00D42A19" w:rsidRDefault="008E6312" w:rsidP="004F3A50">
            <w:pPr>
              <w:jc w:val="left"/>
              <w:rPr>
                <w:sz w:val="18"/>
              </w:rPr>
            </w:pPr>
            <w:r w:rsidRPr="00D42A19">
              <w:rPr>
                <w:sz w:val="18"/>
              </w:rPr>
              <w:t>7 a 11 de abril de 2014</w:t>
            </w:r>
          </w:p>
        </w:tc>
        <w:tc>
          <w:tcPr>
            <w:tcW w:w="1302" w:type="dxa"/>
            <w:tcMar>
              <w:left w:w="28" w:type="dxa"/>
              <w:right w:w="28" w:type="dxa"/>
            </w:tcMar>
          </w:tcPr>
          <w:p w:rsidR="008E6312" w:rsidRPr="00D42A19" w:rsidRDefault="008E6312" w:rsidP="004F3A50">
            <w:pPr>
              <w:jc w:val="left"/>
              <w:rPr>
                <w:sz w:val="18"/>
                <w:szCs w:val="18"/>
              </w:rPr>
            </w:pPr>
            <w:r w:rsidRPr="00D42A19">
              <w:rPr>
                <w:sz w:val="18"/>
              </w:rPr>
              <w:t>Ginebra (Suiza)</w:t>
            </w:r>
          </w:p>
        </w:tc>
        <w:tc>
          <w:tcPr>
            <w:tcW w:w="1276" w:type="dxa"/>
            <w:tcMar>
              <w:left w:w="28" w:type="dxa"/>
              <w:right w:w="28" w:type="dxa"/>
            </w:tcMar>
          </w:tcPr>
          <w:p w:rsidR="008E6312" w:rsidRPr="00D42A19" w:rsidRDefault="008E6312" w:rsidP="004F3A50">
            <w:pPr>
              <w:jc w:val="left"/>
              <w:rPr>
                <w:sz w:val="18"/>
              </w:rPr>
            </w:pPr>
            <w:r w:rsidRPr="00D42A19">
              <w:rPr>
                <w:sz w:val="18"/>
              </w:rPr>
              <w:t>UPOV</w:t>
            </w:r>
          </w:p>
        </w:tc>
        <w:tc>
          <w:tcPr>
            <w:tcW w:w="2693" w:type="dxa"/>
            <w:tcMar>
              <w:left w:w="28" w:type="dxa"/>
              <w:right w:w="28" w:type="dxa"/>
            </w:tcMar>
          </w:tcPr>
          <w:p w:rsidR="008E6312" w:rsidRPr="00D42A19" w:rsidRDefault="008E6312" w:rsidP="004F3A50">
            <w:pPr>
              <w:jc w:val="left"/>
            </w:pPr>
            <w:r w:rsidRPr="00D42A19">
              <w:t>Sesiones de la UPOV:  TC/50, CAJ/69, C(</w:t>
            </w:r>
            <w:proofErr w:type="spellStart"/>
            <w:r w:rsidRPr="00D42A19">
              <w:t>Extr</w:t>
            </w:r>
            <w:proofErr w:type="spellEnd"/>
            <w:r w:rsidRPr="00D42A19">
              <w:t>.)/31 y CC/87</w:t>
            </w:r>
          </w:p>
        </w:tc>
        <w:tc>
          <w:tcPr>
            <w:tcW w:w="1425" w:type="dxa"/>
            <w:tcMar>
              <w:left w:w="28" w:type="dxa"/>
              <w:right w:w="28" w:type="dxa"/>
            </w:tcMar>
          </w:tcPr>
          <w:p w:rsidR="008E6312" w:rsidRPr="00D42A19" w:rsidRDefault="008E6312" w:rsidP="004F3A50">
            <w:pPr>
              <w:jc w:val="left"/>
              <w:rPr>
                <w:sz w:val="18"/>
              </w:rPr>
            </w:pPr>
            <w:r w:rsidRPr="00D42A19">
              <w:rPr>
                <w:sz w:val="18"/>
              </w:rPr>
              <w:t>1</w:t>
            </w:r>
          </w:p>
        </w:tc>
        <w:tc>
          <w:tcPr>
            <w:tcW w:w="1187" w:type="dxa"/>
            <w:tcMar>
              <w:left w:w="28" w:type="dxa"/>
              <w:right w:w="28" w:type="dxa"/>
            </w:tcMar>
          </w:tcPr>
          <w:p w:rsidR="008E6312" w:rsidRPr="00D42A19" w:rsidRDefault="008E6312" w:rsidP="004F3A50">
            <w:pPr>
              <w:jc w:val="left"/>
              <w:rPr>
                <w:sz w:val="18"/>
              </w:rPr>
            </w:pPr>
          </w:p>
        </w:tc>
      </w:tr>
      <w:tr w:rsidR="008E6312" w:rsidRPr="00D42A19" w:rsidTr="008E6312">
        <w:trPr>
          <w:cantSplit/>
        </w:trPr>
        <w:tc>
          <w:tcPr>
            <w:tcW w:w="959" w:type="dxa"/>
            <w:tcMar>
              <w:left w:w="28" w:type="dxa"/>
              <w:right w:w="28" w:type="dxa"/>
            </w:tcMar>
          </w:tcPr>
          <w:p w:rsidR="008E6312" w:rsidRPr="00D42A19" w:rsidRDefault="008E6312" w:rsidP="004F3A50">
            <w:pPr>
              <w:jc w:val="left"/>
              <w:rPr>
                <w:sz w:val="18"/>
              </w:rPr>
            </w:pPr>
            <w:r w:rsidRPr="00D42A19">
              <w:rPr>
                <w:sz w:val="18"/>
              </w:rPr>
              <w:t>3.</w:t>
            </w:r>
          </w:p>
        </w:tc>
        <w:tc>
          <w:tcPr>
            <w:tcW w:w="992" w:type="dxa"/>
            <w:tcMar>
              <w:left w:w="28" w:type="dxa"/>
              <w:right w:w="28" w:type="dxa"/>
            </w:tcMar>
          </w:tcPr>
          <w:p w:rsidR="008E6312" w:rsidRPr="00D42A19" w:rsidRDefault="008E6312" w:rsidP="004F3A50">
            <w:pPr>
              <w:jc w:val="left"/>
              <w:rPr>
                <w:sz w:val="18"/>
              </w:rPr>
            </w:pPr>
            <w:r w:rsidRPr="00D42A19">
              <w:rPr>
                <w:sz w:val="18"/>
              </w:rPr>
              <w:t>9 de octubre de 2014</w:t>
            </w:r>
          </w:p>
        </w:tc>
        <w:tc>
          <w:tcPr>
            <w:tcW w:w="1302" w:type="dxa"/>
            <w:tcMar>
              <w:left w:w="28" w:type="dxa"/>
              <w:right w:w="28" w:type="dxa"/>
            </w:tcMar>
          </w:tcPr>
          <w:p w:rsidR="008E6312" w:rsidRPr="00D42A19" w:rsidRDefault="008E6312" w:rsidP="004F3A50">
            <w:pPr>
              <w:jc w:val="left"/>
              <w:rPr>
                <w:sz w:val="18"/>
              </w:rPr>
            </w:pPr>
            <w:r w:rsidRPr="00D42A19">
              <w:rPr>
                <w:sz w:val="18"/>
              </w:rPr>
              <w:t xml:space="preserve">Bruselas (Bélgica) </w:t>
            </w:r>
          </w:p>
        </w:tc>
        <w:tc>
          <w:tcPr>
            <w:tcW w:w="1276" w:type="dxa"/>
            <w:tcMar>
              <w:left w:w="28" w:type="dxa"/>
              <w:right w:w="28" w:type="dxa"/>
            </w:tcMar>
          </w:tcPr>
          <w:p w:rsidR="008E6312" w:rsidRPr="00D42A19" w:rsidRDefault="008E6312" w:rsidP="004F3A50">
            <w:pPr>
              <w:jc w:val="left"/>
              <w:rPr>
                <w:sz w:val="18"/>
              </w:rPr>
            </w:pPr>
            <w:r w:rsidRPr="00D42A19">
              <w:rPr>
                <w:sz w:val="18"/>
              </w:rPr>
              <w:t>OCVV</w:t>
            </w:r>
          </w:p>
        </w:tc>
        <w:tc>
          <w:tcPr>
            <w:tcW w:w="2693" w:type="dxa"/>
            <w:tcMar>
              <w:left w:w="28" w:type="dxa"/>
              <w:right w:w="28" w:type="dxa"/>
            </w:tcMar>
          </w:tcPr>
          <w:p w:rsidR="008E6312" w:rsidRPr="00D42A19" w:rsidRDefault="008E6312" w:rsidP="004F3A50">
            <w:pPr>
              <w:jc w:val="left"/>
              <w:rPr>
                <w:sz w:val="18"/>
              </w:rPr>
            </w:pPr>
            <w:r w:rsidRPr="00D42A19">
              <w:t>Reunión del Consejo de Administración de la OCVV</w:t>
            </w:r>
          </w:p>
        </w:tc>
        <w:tc>
          <w:tcPr>
            <w:tcW w:w="1425" w:type="dxa"/>
            <w:tcMar>
              <w:left w:w="28" w:type="dxa"/>
              <w:right w:w="28" w:type="dxa"/>
            </w:tcMar>
          </w:tcPr>
          <w:p w:rsidR="008E6312" w:rsidRPr="00D42A19" w:rsidRDefault="008E6312" w:rsidP="004F3A50">
            <w:pPr>
              <w:jc w:val="left"/>
              <w:rPr>
                <w:sz w:val="18"/>
              </w:rPr>
            </w:pPr>
            <w:r w:rsidRPr="00D42A19">
              <w:rPr>
                <w:sz w:val="18"/>
              </w:rPr>
              <w:t>1</w:t>
            </w:r>
          </w:p>
        </w:tc>
        <w:tc>
          <w:tcPr>
            <w:tcW w:w="1187" w:type="dxa"/>
            <w:tcMar>
              <w:left w:w="28" w:type="dxa"/>
              <w:right w:w="28" w:type="dxa"/>
            </w:tcMar>
          </w:tcPr>
          <w:p w:rsidR="008E6312" w:rsidRPr="00D42A19" w:rsidRDefault="008E6312" w:rsidP="004F3A50">
            <w:pPr>
              <w:jc w:val="left"/>
              <w:rPr>
                <w:sz w:val="18"/>
              </w:rPr>
            </w:pPr>
          </w:p>
        </w:tc>
      </w:tr>
      <w:tr w:rsidR="008E6312" w:rsidRPr="00D42A19" w:rsidTr="008E6312">
        <w:trPr>
          <w:cantSplit/>
        </w:trPr>
        <w:tc>
          <w:tcPr>
            <w:tcW w:w="959" w:type="dxa"/>
            <w:tcMar>
              <w:left w:w="28" w:type="dxa"/>
              <w:right w:w="28" w:type="dxa"/>
            </w:tcMar>
          </w:tcPr>
          <w:p w:rsidR="008E6312" w:rsidRPr="00D42A19" w:rsidRDefault="008E6312" w:rsidP="004F3A50">
            <w:pPr>
              <w:jc w:val="left"/>
              <w:rPr>
                <w:sz w:val="18"/>
              </w:rPr>
            </w:pPr>
            <w:r w:rsidRPr="00D42A19">
              <w:rPr>
                <w:sz w:val="18"/>
              </w:rPr>
              <w:t>4.</w:t>
            </w:r>
          </w:p>
        </w:tc>
        <w:tc>
          <w:tcPr>
            <w:tcW w:w="992" w:type="dxa"/>
            <w:tcMar>
              <w:left w:w="28" w:type="dxa"/>
              <w:right w:w="28" w:type="dxa"/>
            </w:tcMar>
          </w:tcPr>
          <w:p w:rsidR="008E6312" w:rsidRPr="00D42A19" w:rsidRDefault="008E6312" w:rsidP="004F3A50">
            <w:pPr>
              <w:jc w:val="left"/>
              <w:rPr>
                <w:sz w:val="18"/>
              </w:rPr>
            </w:pPr>
            <w:r w:rsidRPr="00D42A19">
              <w:rPr>
                <w:sz w:val="18"/>
              </w:rPr>
              <w:t>13 a 15 de octubre</w:t>
            </w:r>
          </w:p>
        </w:tc>
        <w:tc>
          <w:tcPr>
            <w:tcW w:w="1302" w:type="dxa"/>
            <w:tcMar>
              <w:left w:w="28" w:type="dxa"/>
              <w:right w:w="28" w:type="dxa"/>
            </w:tcMar>
          </w:tcPr>
          <w:p w:rsidR="008E6312" w:rsidRPr="00D42A19" w:rsidRDefault="008E6312" w:rsidP="004F3A50">
            <w:pPr>
              <w:jc w:val="left"/>
              <w:rPr>
                <w:sz w:val="18"/>
              </w:rPr>
            </w:pPr>
            <w:r w:rsidRPr="00D42A19">
              <w:rPr>
                <w:sz w:val="18"/>
              </w:rPr>
              <w:t>Ginebra (Suiza)</w:t>
            </w:r>
          </w:p>
        </w:tc>
        <w:tc>
          <w:tcPr>
            <w:tcW w:w="1276" w:type="dxa"/>
            <w:tcMar>
              <w:left w:w="28" w:type="dxa"/>
              <w:right w:w="28" w:type="dxa"/>
            </w:tcMar>
          </w:tcPr>
          <w:p w:rsidR="008E6312" w:rsidRPr="00D42A19" w:rsidRDefault="008E6312" w:rsidP="004F3A50">
            <w:pPr>
              <w:jc w:val="left"/>
              <w:rPr>
                <w:sz w:val="18"/>
              </w:rPr>
            </w:pPr>
            <w:r w:rsidRPr="00D42A19">
              <w:rPr>
                <w:sz w:val="18"/>
              </w:rPr>
              <w:t>UPOV</w:t>
            </w:r>
          </w:p>
        </w:tc>
        <w:tc>
          <w:tcPr>
            <w:tcW w:w="2693" w:type="dxa"/>
            <w:tcMar>
              <w:left w:w="28" w:type="dxa"/>
              <w:right w:w="28" w:type="dxa"/>
            </w:tcMar>
          </w:tcPr>
          <w:p w:rsidR="008E6312" w:rsidRPr="00D42A19" w:rsidRDefault="008E6312" w:rsidP="004F3A50">
            <w:pPr>
              <w:jc w:val="left"/>
            </w:pPr>
            <w:r w:rsidRPr="00D42A19">
              <w:t>Sesiones de la UPOV:  CAJ/70, CAJ</w:t>
            </w:r>
            <w:r w:rsidRPr="00D42A19">
              <w:noBreakHyphen/>
              <w:t>AG/9 y CC/88</w:t>
            </w:r>
          </w:p>
        </w:tc>
        <w:tc>
          <w:tcPr>
            <w:tcW w:w="1425" w:type="dxa"/>
            <w:tcMar>
              <w:left w:w="28" w:type="dxa"/>
              <w:right w:w="28" w:type="dxa"/>
            </w:tcMar>
          </w:tcPr>
          <w:p w:rsidR="008E6312" w:rsidRPr="00D42A19" w:rsidRDefault="008E6312" w:rsidP="004F3A50">
            <w:pPr>
              <w:jc w:val="left"/>
              <w:rPr>
                <w:sz w:val="18"/>
              </w:rPr>
            </w:pPr>
            <w:r w:rsidRPr="00D42A19">
              <w:rPr>
                <w:sz w:val="18"/>
              </w:rPr>
              <w:t>1</w:t>
            </w:r>
          </w:p>
        </w:tc>
        <w:tc>
          <w:tcPr>
            <w:tcW w:w="1187" w:type="dxa"/>
            <w:tcMar>
              <w:left w:w="28" w:type="dxa"/>
              <w:right w:w="28" w:type="dxa"/>
            </w:tcMar>
          </w:tcPr>
          <w:p w:rsidR="008E6312" w:rsidRPr="00D42A19" w:rsidRDefault="008E6312" w:rsidP="004F3A50">
            <w:pPr>
              <w:jc w:val="left"/>
              <w:rPr>
                <w:sz w:val="18"/>
              </w:rPr>
            </w:pPr>
          </w:p>
        </w:tc>
      </w:tr>
      <w:tr w:rsidR="008E6312" w:rsidRPr="00D42A19" w:rsidTr="008E6312">
        <w:trPr>
          <w:cantSplit/>
        </w:trPr>
        <w:tc>
          <w:tcPr>
            <w:tcW w:w="959" w:type="dxa"/>
            <w:tcMar>
              <w:left w:w="28" w:type="dxa"/>
              <w:right w:w="28" w:type="dxa"/>
            </w:tcMar>
          </w:tcPr>
          <w:p w:rsidR="008E6312" w:rsidRPr="00D42A19" w:rsidRDefault="008E6312" w:rsidP="004F3A50">
            <w:pPr>
              <w:jc w:val="left"/>
              <w:rPr>
                <w:sz w:val="18"/>
              </w:rPr>
            </w:pPr>
            <w:r w:rsidRPr="00D42A19">
              <w:rPr>
                <w:sz w:val="18"/>
              </w:rPr>
              <w:t>5.</w:t>
            </w:r>
          </w:p>
        </w:tc>
        <w:tc>
          <w:tcPr>
            <w:tcW w:w="992" w:type="dxa"/>
            <w:tcMar>
              <w:left w:w="28" w:type="dxa"/>
              <w:right w:w="28" w:type="dxa"/>
            </w:tcMar>
          </w:tcPr>
          <w:p w:rsidR="008E6312" w:rsidRPr="00D42A19" w:rsidRDefault="008E6312" w:rsidP="004F3A50">
            <w:pPr>
              <w:jc w:val="left"/>
              <w:rPr>
                <w:sz w:val="18"/>
              </w:rPr>
            </w:pPr>
            <w:r w:rsidRPr="00D42A19">
              <w:rPr>
                <w:sz w:val="18"/>
              </w:rPr>
              <w:t>31 de marzo a 11 de mayo de 2014</w:t>
            </w:r>
          </w:p>
        </w:tc>
        <w:tc>
          <w:tcPr>
            <w:tcW w:w="1302" w:type="dxa"/>
            <w:tcMar>
              <w:left w:w="28" w:type="dxa"/>
              <w:right w:w="28" w:type="dxa"/>
            </w:tcMar>
          </w:tcPr>
          <w:p w:rsidR="008E6312" w:rsidRPr="00D42A19" w:rsidRDefault="008E6312" w:rsidP="004F3A50">
            <w:pPr>
              <w:jc w:val="left"/>
              <w:rPr>
                <w:sz w:val="18"/>
              </w:rPr>
            </w:pPr>
            <w:r w:rsidRPr="00D42A19">
              <w:rPr>
                <w:sz w:val="18"/>
              </w:rPr>
              <w:t>Curso de enseñanza a distancia</w:t>
            </w:r>
          </w:p>
        </w:tc>
        <w:tc>
          <w:tcPr>
            <w:tcW w:w="1276" w:type="dxa"/>
            <w:tcMar>
              <w:left w:w="28" w:type="dxa"/>
              <w:right w:w="28" w:type="dxa"/>
            </w:tcMar>
          </w:tcPr>
          <w:p w:rsidR="008E6312" w:rsidRPr="00D42A19" w:rsidRDefault="008E6312" w:rsidP="004F3A50">
            <w:pPr>
              <w:jc w:val="left"/>
              <w:rPr>
                <w:sz w:val="18"/>
              </w:rPr>
            </w:pPr>
            <w:r w:rsidRPr="00D42A19">
              <w:rPr>
                <w:sz w:val="18"/>
              </w:rPr>
              <w:t>UPOV/OMPI</w:t>
            </w:r>
          </w:p>
        </w:tc>
        <w:tc>
          <w:tcPr>
            <w:tcW w:w="2693" w:type="dxa"/>
            <w:tcMar>
              <w:left w:w="28" w:type="dxa"/>
              <w:right w:w="28" w:type="dxa"/>
            </w:tcMar>
          </w:tcPr>
          <w:p w:rsidR="008E6312" w:rsidRPr="00D42A19" w:rsidRDefault="008E6312" w:rsidP="004F3A50">
            <w:pPr>
              <w:jc w:val="left"/>
            </w:pPr>
            <w:r w:rsidRPr="00D42A19">
              <w:t>DL</w:t>
            </w:r>
            <w:r w:rsidRPr="00D42A19">
              <w:noBreakHyphen/>
              <w:t>305</w:t>
            </w:r>
          </w:p>
          <w:p w:rsidR="008E6312" w:rsidRPr="00D42A19" w:rsidRDefault="008E6312" w:rsidP="004F3A50">
            <w:pPr>
              <w:jc w:val="left"/>
              <w:rPr>
                <w:sz w:val="18"/>
              </w:rPr>
            </w:pPr>
            <w:r w:rsidRPr="00D42A19">
              <w:t>Examen de las solicitudes de derechos de obtentor</w:t>
            </w:r>
          </w:p>
        </w:tc>
        <w:tc>
          <w:tcPr>
            <w:tcW w:w="1425" w:type="dxa"/>
            <w:tcMar>
              <w:left w:w="28" w:type="dxa"/>
              <w:right w:w="28" w:type="dxa"/>
            </w:tcMar>
          </w:tcPr>
          <w:p w:rsidR="008E6312" w:rsidRPr="00D42A19" w:rsidRDefault="008E6312" w:rsidP="004F3A50">
            <w:pPr>
              <w:jc w:val="left"/>
              <w:rPr>
                <w:sz w:val="18"/>
              </w:rPr>
            </w:pPr>
            <w:r w:rsidRPr="00D42A19">
              <w:rPr>
                <w:sz w:val="18"/>
              </w:rPr>
              <w:t xml:space="preserve">1 </w:t>
            </w:r>
          </w:p>
        </w:tc>
        <w:tc>
          <w:tcPr>
            <w:tcW w:w="1187" w:type="dxa"/>
            <w:tcMar>
              <w:left w:w="28" w:type="dxa"/>
              <w:right w:w="28" w:type="dxa"/>
            </w:tcMar>
          </w:tcPr>
          <w:p w:rsidR="008E6312" w:rsidRPr="00D42A19" w:rsidRDefault="008E6312" w:rsidP="004F3A50">
            <w:pPr>
              <w:jc w:val="left"/>
              <w:rPr>
                <w:sz w:val="18"/>
              </w:rPr>
            </w:pPr>
          </w:p>
        </w:tc>
      </w:tr>
    </w:tbl>
    <w:p w:rsidR="008E6312" w:rsidRPr="00D42A19" w:rsidRDefault="008E6312" w:rsidP="008E6312"/>
    <w:p w:rsidR="008E6312" w:rsidRPr="00D42A19" w:rsidRDefault="008E6312" w:rsidP="008E6312"/>
    <w:p w:rsidR="008E6312" w:rsidRPr="00D42A19" w:rsidRDefault="008E6312" w:rsidP="008E6312">
      <w:r w:rsidRPr="00D42A19">
        <w:t>II.</w:t>
      </w:r>
      <w:r w:rsidRPr="00D42A19">
        <w:tab/>
        <w:t>OTRAS NOVEDADES DE INTERÉS PARA LA UPOV</w:t>
      </w:r>
    </w:p>
    <w:p w:rsidR="008E6312" w:rsidRPr="00D42A19" w:rsidRDefault="008E6312" w:rsidP="008E6312"/>
    <w:p w:rsidR="008E6312" w:rsidRPr="00D42A19" w:rsidRDefault="008E6312" w:rsidP="008E6312">
      <w:pPr>
        <w:jc w:val="left"/>
      </w:pPr>
      <w:r w:rsidRPr="00D42A19">
        <w:t>No se produjeron cambios.</w:t>
      </w:r>
    </w:p>
    <w:p w:rsidR="003F39F5" w:rsidRPr="00D42A19" w:rsidRDefault="003F39F5" w:rsidP="008E6312"/>
    <w:p w:rsidR="008E6312" w:rsidRPr="00D42A19" w:rsidRDefault="008E6312" w:rsidP="008E6312"/>
    <w:p w:rsidR="008E6312" w:rsidRPr="00D42A19" w:rsidRDefault="008E6312" w:rsidP="008E6312"/>
    <w:p w:rsidR="003F39F5" w:rsidRPr="00D42A19" w:rsidRDefault="00F14899" w:rsidP="003F39F5">
      <w:pPr>
        <w:jc w:val="right"/>
      </w:pPr>
      <w:r w:rsidRPr="00D42A19">
        <w:t>[Sigue el Anexo</w:t>
      </w:r>
      <w:r w:rsidR="003F39F5" w:rsidRPr="00D42A19">
        <w:t xml:space="preserve"> VII</w:t>
      </w:r>
      <w:r w:rsidRPr="00D42A19">
        <w:t>]</w:t>
      </w:r>
    </w:p>
    <w:p w:rsidR="003F39F5" w:rsidRPr="00D42A19" w:rsidRDefault="003F39F5" w:rsidP="003F39F5">
      <w:pPr>
        <w:jc w:val="left"/>
        <w:sectPr w:rsidR="003F39F5" w:rsidRPr="00D42A19" w:rsidSect="004F3A50">
          <w:headerReference w:type="default" r:id="rId24"/>
          <w:pgSz w:w="11907" w:h="16840" w:code="9"/>
          <w:pgMar w:top="510" w:right="1134" w:bottom="1134" w:left="1134" w:header="510" w:footer="680" w:gutter="0"/>
          <w:pgNumType w:start="1"/>
          <w:cols w:space="720"/>
          <w:titlePg/>
        </w:sectPr>
      </w:pPr>
    </w:p>
    <w:p w:rsidR="003F39F5" w:rsidRPr="00D42A19" w:rsidRDefault="003F39F5" w:rsidP="003F39F5">
      <w:pPr>
        <w:jc w:val="center"/>
      </w:pPr>
      <w:r w:rsidRPr="00D42A19">
        <w:t>C/49/15</w:t>
      </w:r>
    </w:p>
    <w:p w:rsidR="003F39F5" w:rsidRPr="00D42A19" w:rsidRDefault="003F39F5" w:rsidP="003F39F5">
      <w:pPr>
        <w:jc w:val="center"/>
      </w:pPr>
    </w:p>
    <w:p w:rsidR="003F39F5" w:rsidRPr="00D42A19" w:rsidRDefault="00F14899" w:rsidP="003F39F5">
      <w:pPr>
        <w:jc w:val="center"/>
      </w:pPr>
      <w:r w:rsidRPr="00D42A19">
        <w:t>ANEXO</w:t>
      </w:r>
      <w:r w:rsidR="003F39F5" w:rsidRPr="00D42A19">
        <w:t xml:space="preserve"> VII</w:t>
      </w:r>
    </w:p>
    <w:p w:rsidR="003F39F5" w:rsidRPr="00D42A19" w:rsidRDefault="003F39F5" w:rsidP="003F39F5">
      <w:pPr>
        <w:jc w:val="center"/>
      </w:pPr>
    </w:p>
    <w:p w:rsidR="003F39F5" w:rsidRPr="00D42A19" w:rsidRDefault="003F39F5" w:rsidP="003F39F5">
      <w:pPr>
        <w:jc w:val="center"/>
      </w:pPr>
    </w:p>
    <w:p w:rsidR="003F39F5" w:rsidRPr="00D42A19" w:rsidRDefault="003F39F5" w:rsidP="003F39F5">
      <w:pPr>
        <w:jc w:val="center"/>
      </w:pPr>
      <w:r w:rsidRPr="00D42A19">
        <w:t>LITUANIA</w:t>
      </w:r>
    </w:p>
    <w:p w:rsidR="003F39F5" w:rsidRPr="00D42A19" w:rsidRDefault="003F39F5" w:rsidP="003F39F5">
      <w:pPr>
        <w:jc w:val="left"/>
      </w:pPr>
    </w:p>
    <w:p w:rsidR="003F39F5" w:rsidRPr="00D42A19" w:rsidRDefault="003F39F5" w:rsidP="003F39F5">
      <w:pPr>
        <w:jc w:val="left"/>
      </w:pPr>
    </w:p>
    <w:p w:rsidR="004F3A50" w:rsidRPr="00D42A19" w:rsidRDefault="004F3A50" w:rsidP="004F3A50">
      <w:r w:rsidRPr="00D42A19">
        <w:t>I.</w:t>
      </w:r>
      <w:r w:rsidRPr="00D42A19">
        <w:tab/>
        <w:t>PROTECCIÓN DE LAS OBTENCIONES VEGETALES</w:t>
      </w:r>
    </w:p>
    <w:p w:rsidR="004F3A50" w:rsidRPr="00D42A19" w:rsidRDefault="004F3A50" w:rsidP="004F3A50"/>
    <w:p w:rsidR="004F3A50" w:rsidRPr="00D42A19" w:rsidRDefault="004F3A50" w:rsidP="004F3A50">
      <w:pPr>
        <w:rPr>
          <w:u w:val="single"/>
        </w:rPr>
      </w:pPr>
      <w:r w:rsidRPr="00D42A19">
        <w:t>1.</w:t>
      </w:r>
      <w:r w:rsidRPr="00D42A19">
        <w:tab/>
      </w:r>
      <w:r w:rsidRPr="00D42A19">
        <w:rPr>
          <w:u w:val="single"/>
        </w:rPr>
        <w:t>Situación en el campo legislativo</w:t>
      </w:r>
    </w:p>
    <w:p w:rsidR="004F3A50" w:rsidRPr="00D42A19" w:rsidRDefault="004F3A50" w:rsidP="004F3A50">
      <w:pPr>
        <w:rPr>
          <w:rFonts w:cs="Arial"/>
        </w:rPr>
      </w:pPr>
    </w:p>
    <w:p w:rsidR="004F3A50" w:rsidRPr="00D42A19" w:rsidRDefault="004F3A50" w:rsidP="004F3A50">
      <w:pPr>
        <w:rPr>
          <w:rFonts w:cs="Arial"/>
        </w:rPr>
      </w:pPr>
      <w:r w:rsidRPr="00D42A19">
        <w:t>1.1</w:t>
      </w:r>
      <w:r w:rsidRPr="00D42A19">
        <w:tab/>
        <w:t>Modificaciones de la ley y de los reglamentos:</w:t>
      </w:r>
    </w:p>
    <w:p w:rsidR="004F3A50" w:rsidRPr="00D42A19" w:rsidRDefault="004F3A50" w:rsidP="004F3A50">
      <w:pPr>
        <w:rPr>
          <w:rFonts w:cs="Arial"/>
        </w:rPr>
      </w:pPr>
    </w:p>
    <w:p w:rsidR="004F3A50" w:rsidRPr="00D42A19" w:rsidRDefault="004F3A50" w:rsidP="004F3A50">
      <w:pPr>
        <w:ind w:left="567" w:hanging="567"/>
        <w:rPr>
          <w:rFonts w:cs="Arial"/>
        </w:rPr>
      </w:pPr>
      <w:r w:rsidRPr="00D42A19">
        <w:t>–</w:t>
      </w:r>
      <w:r w:rsidRPr="00D42A19">
        <w:tab/>
        <w:t xml:space="preserve">Ley de Protección de las Obtenciones Vegetales de la República de Lituania, modificada el 19 de octubre de 2006 y modificada por última vez el 26 de abril de 2012; </w:t>
      </w:r>
    </w:p>
    <w:p w:rsidR="004F3A50" w:rsidRPr="00D42A19" w:rsidRDefault="004F3A50" w:rsidP="004F3A50">
      <w:pPr>
        <w:ind w:left="567" w:hanging="567"/>
        <w:rPr>
          <w:rFonts w:cs="Arial"/>
        </w:rPr>
      </w:pPr>
    </w:p>
    <w:p w:rsidR="004F3A50" w:rsidRPr="00D42A19" w:rsidRDefault="004F3A50" w:rsidP="004F3A50">
      <w:pPr>
        <w:ind w:left="567" w:hanging="567"/>
        <w:rPr>
          <w:rFonts w:cs="Arial"/>
        </w:rPr>
      </w:pPr>
      <w:r w:rsidRPr="00D42A19">
        <w:t>–</w:t>
      </w:r>
      <w:r w:rsidRPr="00D42A19">
        <w:tab/>
        <w:t>Reglamento Nº 1458 del Gobierno de la República de Lituania, del 15 de diciembre de 2000, relativo a las tasas;</w:t>
      </w:r>
    </w:p>
    <w:p w:rsidR="004F3A50" w:rsidRPr="00D42A19" w:rsidRDefault="004F3A50" w:rsidP="004F3A50">
      <w:pPr>
        <w:ind w:left="567" w:hanging="567"/>
        <w:rPr>
          <w:rFonts w:cs="Arial"/>
        </w:rPr>
      </w:pPr>
    </w:p>
    <w:p w:rsidR="004F3A50" w:rsidRPr="00D42A19" w:rsidRDefault="004F3A50" w:rsidP="004F3A50">
      <w:pPr>
        <w:ind w:left="567" w:hanging="567"/>
        <w:rPr>
          <w:rFonts w:cs="Arial"/>
        </w:rPr>
      </w:pPr>
      <w:r w:rsidRPr="00D42A19">
        <w:t>–</w:t>
      </w:r>
      <w:r w:rsidRPr="00D42A19">
        <w:tab/>
        <w:t>Orden Nº A1-50 del Director del Servicio Estatal de Plantas del Ministerio de Agricultura, del 8 de agosto de 2010, relativa a la aprobación de los formularios de solicitud de protección de las obtenciones vegetales (se adjunta el formulario electrónico de solicitud);</w:t>
      </w:r>
    </w:p>
    <w:p w:rsidR="004F3A50" w:rsidRPr="00D42A19" w:rsidRDefault="004F3A50" w:rsidP="004F3A50">
      <w:pPr>
        <w:ind w:left="567" w:hanging="567"/>
        <w:rPr>
          <w:rFonts w:cs="Arial"/>
        </w:rPr>
      </w:pPr>
    </w:p>
    <w:p w:rsidR="004F3A50" w:rsidRPr="00D42A19" w:rsidRDefault="004F3A50" w:rsidP="004F3A50">
      <w:pPr>
        <w:ind w:left="567" w:hanging="567"/>
        <w:rPr>
          <w:rFonts w:cs="Arial"/>
        </w:rPr>
      </w:pPr>
      <w:r w:rsidRPr="00D42A19">
        <w:t>–</w:t>
      </w:r>
      <w:r w:rsidRPr="00D42A19">
        <w:tab/>
        <w:t>Orden Nº 3 D-371 del Ministro de Agricultura de la República de Lituania, del 23 de junio de 2004, relativa a la remuneración.</w:t>
      </w:r>
    </w:p>
    <w:p w:rsidR="004F3A50" w:rsidRPr="00D42A19" w:rsidRDefault="004F3A50" w:rsidP="004F3A50">
      <w:pPr>
        <w:rPr>
          <w:rFonts w:cs="Arial"/>
        </w:rPr>
      </w:pPr>
    </w:p>
    <w:p w:rsidR="004F3A50" w:rsidRPr="00D42A19" w:rsidRDefault="004F3A50" w:rsidP="004F3A50">
      <w:pPr>
        <w:rPr>
          <w:rFonts w:cs="Arial"/>
        </w:rPr>
      </w:pPr>
      <w:r w:rsidRPr="00D42A19">
        <w:t>1.2</w:t>
      </w:r>
      <w:r w:rsidRPr="00D42A19">
        <w:tab/>
        <w:t>Extensión de la protección a otros géneros y especies (realizada o en proyecto)</w:t>
      </w:r>
    </w:p>
    <w:p w:rsidR="004F3A50" w:rsidRPr="00D42A19" w:rsidRDefault="004F3A50" w:rsidP="004F3A50">
      <w:pPr>
        <w:rPr>
          <w:rFonts w:cs="Arial"/>
        </w:rPr>
      </w:pPr>
    </w:p>
    <w:p w:rsidR="004F3A50" w:rsidRPr="00D42A19" w:rsidRDefault="004F3A50" w:rsidP="004F3A50">
      <w:pPr>
        <w:rPr>
          <w:rFonts w:cs="Arial"/>
        </w:rPr>
      </w:pPr>
      <w:r w:rsidRPr="00D42A19">
        <w:t xml:space="preserve">Según las modificaciones a la Ley de Protección de las Obtenciones Vegetales de la República de Lituania adoptadas el 26 de abril de 2012, en la República de Lituania se pueden proteger las obtenciones de todos los géneros y especies vegetales. </w:t>
      </w:r>
    </w:p>
    <w:p w:rsidR="004F3A50" w:rsidRPr="00D42A19" w:rsidRDefault="004F3A50" w:rsidP="004F3A50">
      <w:pPr>
        <w:rPr>
          <w:rFonts w:cs="Arial"/>
        </w:rPr>
      </w:pPr>
    </w:p>
    <w:p w:rsidR="004F3A50" w:rsidRPr="00D42A19" w:rsidRDefault="004F3A50" w:rsidP="004F3A50">
      <w:pPr>
        <w:rPr>
          <w:rFonts w:cs="Arial"/>
        </w:rPr>
      </w:pPr>
      <w:r w:rsidRPr="00D42A19">
        <w:t>1.3</w:t>
      </w:r>
      <w:r w:rsidRPr="00D42A19">
        <w:rPr>
          <w:rFonts w:cs="Arial"/>
        </w:rPr>
        <w:tab/>
      </w:r>
      <w:r w:rsidRPr="00D42A19">
        <w:t>Jurisprudencia:</w:t>
      </w:r>
    </w:p>
    <w:p w:rsidR="004F3A50" w:rsidRPr="00D42A19" w:rsidRDefault="004F3A50" w:rsidP="004F3A50">
      <w:pPr>
        <w:rPr>
          <w:rFonts w:cs="Arial"/>
        </w:rPr>
      </w:pPr>
    </w:p>
    <w:p w:rsidR="004F3A50" w:rsidRPr="00D42A19" w:rsidRDefault="004F3A50" w:rsidP="004F3A50">
      <w:pPr>
        <w:rPr>
          <w:rFonts w:cs="Arial"/>
        </w:rPr>
      </w:pPr>
      <w:r w:rsidRPr="00D42A19">
        <w:t>En 2014 no existe jurisprudencia en Lituania en relación con la protección de las obtenciones vegetales.</w:t>
      </w:r>
    </w:p>
    <w:p w:rsidR="004F3A50" w:rsidRPr="00D42A19" w:rsidRDefault="004F3A50" w:rsidP="004F3A50">
      <w:pPr>
        <w:rPr>
          <w:rFonts w:cs="Arial"/>
        </w:rPr>
      </w:pPr>
    </w:p>
    <w:p w:rsidR="004F3A50" w:rsidRPr="00D42A19" w:rsidRDefault="004F3A50" w:rsidP="004F3A50">
      <w:pPr>
        <w:rPr>
          <w:rFonts w:cs="Arial"/>
        </w:rPr>
      </w:pPr>
    </w:p>
    <w:p w:rsidR="004F3A50" w:rsidRPr="00D42A19" w:rsidRDefault="004F3A50" w:rsidP="004F3A50">
      <w:pPr>
        <w:rPr>
          <w:rFonts w:cs="Arial"/>
          <w:u w:val="single"/>
        </w:rPr>
      </w:pPr>
      <w:r w:rsidRPr="00D42A19">
        <w:t>2.</w:t>
      </w:r>
      <w:r w:rsidRPr="00D42A19">
        <w:tab/>
      </w:r>
      <w:r w:rsidRPr="00D42A19">
        <w:rPr>
          <w:u w:val="single"/>
        </w:rPr>
        <w:t>Cooperación en el examen</w:t>
      </w:r>
    </w:p>
    <w:p w:rsidR="004F3A50" w:rsidRPr="00D42A19" w:rsidRDefault="004F3A50" w:rsidP="004F3A50">
      <w:pPr>
        <w:rPr>
          <w:rFonts w:cs="Arial"/>
        </w:rPr>
      </w:pPr>
    </w:p>
    <w:p w:rsidR="004F3A50" w:rsidRPr="00D42A19" w:rsidRDefault="004F3A50" w:rsidP="004F3A50">
      <w:pPr>
        <w:rPr>
          <w:rFonts w:cs="Arial"/>
        </w:rPr>
      </w:pPr>
      <w:r w:rsidRPr="00D42A19">
        <w:t>Hay dos acuerdos firmados en materia de cooperación en el examen en Lituania:</w:t>
      </w:r>
    </w:p>
    <w:p w:rsidR="004F3A50" w:rsidRPr="00D42A19" w:rsidRDefault="004F3A50" w:rsidP="004F3A50">
      <w:pPr>
        <w:rPr>
          <w:rFonts w:cs="Arial"/>
        </w:rPr>
      </w:pPr>
    </w:p>
    <w:p w:rsidR="004F3A50" w:rsidRPr="00D42A19" w:rsidRDefault="004F3A50" w:rsidP="004F3A50">
      <w:pPr>
        <w:ind w:left="567" w:hanging="567"/>
        <w:rPr>
          <w:rFonts w:cs="Arial"/>
        </w:rPr>
      </w:pPr>
      <w:r w:rsidRPr="00D42A19">
        <w:t>–</w:t>
      </w:r>
      <w:r w:rsidRPr="00D42A19">
        <w:tab/>
        <w:t>el acuerdo bilateral para la realización de exámenes DHE concertado el 11 de agosto de 2000 con el Centro Polaco de Investigación para el Examen de Cultivares (COBORU) se modificó el 14 de noviembre de 2012 mediante el Acuerdo de administración Nº 1/2012/19T-247;</w:t>
      </w:r>
    </w:p>
    <w:p w:rsidR="004F3A50" w:rsidRPr="00D42A19" w:rsidRDefault="004F3A50" w:rsidP="004F3A50">
      <w:pPr>
        <w:ind w:left="567" w:hanging="567"/>
        <w:rPr>
          <w:rFonts w:cs="Arial"/>
        </w:rPr>
      </w:pPr>
    </w:p>
    <w:p w:rsidR="004F3A50" w:rsidRPr="00D42A19" w:rsidRDefault="004F3A50" w:rsidP="004F3A50">
      <w:pPr>
        <w:ind w:left="567" w:hanging="567"/>
        <w:rPr>
          <w:rFonts w:cs="Arial"/>
        </w:rPr>
      </w:pPr>
      <w:r w:rsidRPr="00D42A19">
        <w:t>–</w:t>
      </w:r>
      <w:r w:rsidRPr="00D42A19">
        <w:tab/>
        <w:t>el acuerdo Nº 10 relativo a la transmisión de los resultados del examen técnico para los exámenes DHE, concertado el 30 de junio de 2006 con la Oficina Federal de Variedades Vegetales de Alemania (</w:t>
      </w:r>
      <w:proofErr w:type="spellStart"/>
      <w:r w:rsidRPr="00D42A19">
        <w:rPr>
          <w:i/>
        </w:rPr>
        <w:t>Bundessortenamt</w:t>
      </w:r>
      <w:proofErr w:type="spellEnd"/>
      <w:r w:rsidRPr="00D42A19">
        <w:t>), se modificó el 18 de octubre de 2010 en virtud del acuerdo Nº 19T-98.</w:t>
      </w:r>
    </w:p>
    <w:p w:rsidR="004F3A50" w:rsidRPr="00D42A19" w:rsidRDefault="004F3A50" w:rsidP="004F3A50">
      <w:pPr>
        <w:rPr>
          <w:rFonts w:cs="Arial"/>
        </w:rPr>
      </w:pPr>
    </w:p>
    <w:p w:rsidR="004F3A50" w:rsidRPr="00D42A19" w:rsidRDefault="004F3A50" w:rsidP="004F3A50">
      <w:pPr>
        <w:rPr>
          <w:rFonts w:cs="Arial"/>
        </w:rPr>
      </w:pPr>
    </w:p>
    <w:p w:rsidR="004F3A50" w:rsidRPr="00D42A19" w:rsidRDefault="004F3A50" w:rsidP="004F3A50">
      <w:pPr>
        <w:rPr>
          <w:rFonts w:cs="Arial"/>
          <w:u w:val="single"/>
        </w:rPr>
      </w:pPr>
      <w:r w:rsidRPr="00D42A19">
        <w:t>3.</w:t>
      </w:r>
      <w:r w:rsidRPr="00D42A19">
        <w:tab/>
      </w:r>
      <w:r w:rsidRPr="00D42A19">
        <w:rPr>
          <w:u w:val="single"/>
        </w:rPr>
        <w:t>Situación en el campo legislativo</w:t>
      </w:r>
    </w:p>
    <w:p w:rsidR="004F3A50" w:rsidRPr="00D42A19" w:rsidRDefault="004F3A50" w:rsidP="004F3A50">
      <w:pPr>
        <w:rPr>
          <w:rFonts w:cs="Arial"/>
        </w:rPr>
      </w:pPr>
    </w:p>
    <w:p w:rsidR="004F3A50" w:rsidRPr="00D42A19" w:rsidRDefault="004F3A50" w:rsidP="004F3A50">
      <w:pPr>
        <w:ind w:left="567" w:hanging="567"/>
        <w:rPr>
          <w:rFonts w:cs="Arial"/>
        </w:rPr>
      </w:pPr>
      <w:r w:rsidRPr="00D42A19">
        <w:t>–</w:t>
      </w:r>
      <w:r w:rsidRPr="00D42A19">
        <w:tab/>
        <w:t xml:space="preserve">la División de Variedades Vegetales del Servicio Estatal de Plantas, bajo los auspicios del Ministerio de Agricultura de la República de Lituania, es responsable del examen de las variedades vegetales, la elaboración de listas y la protección jurídica; </w:t>
      </w:r>
    </w:p>
    <w:p w:rsidR="004F3A50" w:rsidRPr="00D42A19" w:rsidRDefault="004F3A50" w:rsidP="004F3A50">
      <w:pPr>
        <w:ind w:left="567" w:hanging="567"/>
        <w:rPr>
          <w:rFonts w:cs="Arial"/>
        </w:rPr>
      </w:pPr>
    </w:p>
    <w:p w:rsidR="004F3A50" w:rsidRPr="00D42A19" w:rsidRDefault="004F3A50" w:rsidP="004F3A50">
      <w:pPr>
        <w:ind w:left="567" w:hanging="567"/>
        <w:rPr>
          <w:rFonts w:cs="Arial"/>
        </w:rPr>
      </w:pPr>
      <w:r w:rsidRPr="00D42A19">
        <w:t>–</w:t>
      </w:r>
      <w:r w:rsidRPr="00D42A19">
        <w:tab/>
        <w:t>la Comisión de Evaluación de las solicitudes de protección de obtenciones vegetales, cuya creación se aprobó el 6 de mayo de 2011 mediante la Orden Nº A1</w:t>
      </w:r>
      <w:r w:rsidRPr="00D42A19">
        <w:noBreakHyphen/>
        <w:t>141 del Director del Servicio Estatal de Plantas del Ministerio de Agricultura de la República de Lituania, se modificó el 17 de junio de 2013 mediante la Orden Nº A1</w:t>
      </w:r>
      <w:r w:rsidRPr="00D42A19">
        <w:noBreakHyphen/>
        <w:t>217 del Director del Servicio Estatal de Plantas del Ministerio de Agricultura de la República de Lituania;</w:t>
      </w:r>
    </w:p>
    <w:p w:rsidR="004F3A50" w:rsidRPr="00D42A19" w:rsidRDefault="004F3A50" w:rsidP="004F3A50">
      <w:pPr>
        <w:ind w:left="567" w:hanging="567"/>
        <w:rPr>
          <w:rFonts w:cs="Arial"/>
        </w:rPr>
      </w:pPr>
    </w:p>
    <w:p w:rsidR="004F3A50" w:rsidRPr="00D42A19" w:rsidRDefault="004F3A50" w:rsidP="004F3A50">
      <w:pPr>
        <w:ind w:left="567" w:hanging="567"/>
        <w:rPr>
          <w:rFonts w:cs="Arial"/>
        </w:rPr>
      </w:pPr>
      <w:r w:rsidRPr="00D42A19">
        <w:t>–</w:t>
      </w:r>
      <w:r w:rsidRPr="00D42A19">
        <w:tab/>
        <w:t>la concesión de títulos de protección de las obtenciones vegetales deberá ser aprobada por decisión del Director del Servicio Estatal de Plantas del Ministerio de Agricultura de la República de Lituania;</w:t>
      </w:r>
    </w:p>
    <w:p w:rsidR="004F3A50" w:rsidRPr="00D42A19" w:rsidRDefault="004F3A50" w:rsidP="004F3A50">
      <w:pPr>
        <w:ind w:left="567" w:hanging="567"/>
        <w:rPr>
          <w:rFonts w:cs="Arial"/>
        </w:rPr>
      </w:pPr>
    </w:p>
    <w:p w:rsidR="004F3A50" w:rsidRPr="00D42A19" w:rsidRDefault="004F3A50" w:rsidP="004F3A50">
      <w:pPr>
        <w:ind w:left="567" w:hanging="567"/>
        <w:rPr>
          <w:rFonts w:cs="Arial"/>
        </w:rPr>
      </w:pPr>
      <w:r w:rsidRPr="00D42A19">
        <w:t>–</w:t>
      </w:r>
      <w:r w:rsidRPr="00D42A19">
        <w:tab/>
        <w:t>los procedimientos y el sistema de protección de las obtenciones vegetales están estipulados en la Ley de Protección de las Obtenciones Vegetales de la República de Lituania.</w:t>
      </w:r>
    </w:p>
    <w:p w:rsidR="004F3A50" w:rsidRPr="00D42A19" w:rsidRDefault="004F3A50" w:rsidP="004F3A50">
      <w:pPr>
        <w:rPr>
          <w:rFonts w:cs="Arial"/>
        </w:rPr>
      </w:pPr>
    </w:p>
    <w:p w:rsidR="004F3A50" w:rsidRPr="00D42A19" w:rsidRDefault="004F3A50" w:rsidP="004F3A50">
      <w:pPr>
        <w:rPr>
          <w:rFonts w:cs="Arial"/>
        </w:rPr>
      </w:pPr>
      <w:r w:rsidRPr="00D42A19">
        <w:t>4.</w:t>
      </w:r>
      <w:r w:rsidRPr="00D42A19">
        <w:tab/>
      </w:r>
      <w:r w:rsidRPr="00D42A19">
        <w:rPr>
          <w:u w:val="single"/>
        </w:rPr>
        <w:t>Situación en el campo técnico</w:t>
      </w:r>
    </w:p>
    <w:p w:rsidR="004F3A50" w:rsidRPr="00D42A19" w:rsidRDefault="004F3A50" w:rsidP="004F3A50">
      <w:pPr>
        <w:rPr>
          <w:rFonts w:cs="Arial"/>
        </w:rPr>
      </w:pPr>
    </w:p>
    <w:p w:rsidR="004F3A50" w:rsidRPr="00D42A19" w:rsidRDefault="004F3A50" w:rsidP="004F3A50">
      <w:pPr>
        <w:ind w:left="567" w:hanging="567"/>
        <w:rPr>
          <w:rFonts w:cs="Arial"/>
        </w:rPr>
      </w:pPr>
      <w:r w:rsidRPr="00D42A19">
        <w:t>–</w:t>
      </w:r>
      <w:r w:rsidRPr="00D42A19">
        <w:tab/>
        <w:t xml:space="preserve">el Centro Polaco de Investigación para el Examen de Cultivares (COBORU) o, a petición de los obtentores, otro órgano competente de la Unión Europea, realiza los exámenes DHE en virtud del Acuerdo de administración Nº 1/2012/19T-247, modificado el 14 de noviembre de 2012. </w:t>
      </w:r>
    </w:p>
    <w:p w:rsidR="004F3A50" w:rsidRPr="00D42A19" w:rsidRDefault="004F3A50" w:rsidP="004F3A50">
      <w:pPr>
        <w:rPr>
          <w:rFonts w:cs="Arial"/>
        </w:rPr>
      </w:pPr>
    </w:p>
    <w:p w:rsidR="004F3A50" w:rsidRPr="00D42A19" w:rsidRDefault="004F3A50" w:rsidP="004F3A50">
      <w:pPr>
        <w:rPr>
          <w:rFonts w:cs="Arial"/>
        </w:rPr>
      </w:pPr>
    </w:p>
    <w:p w:rsidR="004F3A50" w:rsidRPr="00D42A19" w:rsidRDefault="004F3A50" w:rsidP="004F3A50">
      <w:pPr>
        <w:rPr>
          <w:rFonts w:cs="Arial"/>
          <w:u w:val="single"/>
        </w:rPr>
      </w:pPr>
      <w:r w:rsidRPr="00D42A19">
        <w:t>5.</w:t>
      </w:r>
      <w:r w:rsidRPr="00D42A19">
        <w:tab/>
      </w:r>
      <w:r w:rsidRPr="00D42A19">
        <w:rPr>
          <w:u w:val="single"/>
        </w:rPr>
        <w:t>Actividades para la promoción de la protección de las obtenciones vegetales</w:t>
      </w:r>
    </w:p>
    <w:p w:rsidR="004F3A50" w:rsidRPr="00D42A19" w:rsidRDefault="004F3A50" w:rsidP="004F3A50">
      <w:pPr>
        <w:rPr>
          <w:rFonts w:cs="Arial"/>
          <w:u w:val="single"/>
        </w:rPr>
      </w:pPr>
    </w:p>
    <w:tbl>
      <w:tblPr>
        <w:tblW w:w="98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33"/>
        <w:gridCol w:w="992"/>
        <w:gridCol w:w="1134"/>
        <w:gridCol w:w="1276"/>
        <w:gridCol w:w="2268"/>
        <w:gridCol w:w="1701"/>
        <w:gridCol w:w="1174"/>
      </w:tblGrid>
      <w:tr w:rsidR="004F3A50" w:rsidRPr="00D42A19" w:rsidTr="004F3A50">
        <w:trPr>
          <w:tblHeader/>
        </w:trPr>
        <w:tc>
          <w:tcPr>
            <w:tcW w:w="1333"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Tipo de actividad</w:t>
            </w:r>
          </w:p>
        </w:tc>
        <w:tc>
          <w:tcPr>
            <w:tcW w:w="992"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Fecha</w:t>
            </w:r>
          </w:p>
        </w:tc>
        <w:tc>
          <w:tcPr>
            <w:tcW w:w="1134"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Lugar</w:t>
            </w:r>
          </w:p>
        </w:tc>
        <w:tc>
          <w:tcPr>
            <w:tcW w:w="1276" w:type="dxa"/>
            <w:shd w:val="clear" w:color="auto" w:fill="auto"/>
            <w:tcMar>
              <w:left w:w="6" w:type="dxa"/>
              <w:right w:w="6" w:type="dxa"/>
            </w:tcMar>
          </w:tcPr>
          <w:p w:rsidR="004F3A50" w:rsidRPr="00D42A19" w:rsidRDefault="004F3A50" w:rsidP="004F3A50">
            <w:pPr>
              <w:jc w:val="left"/>
              <w:rPr>
                <w:sz w:val="18"/>
              </w:rPr>
            </w:pPr>
            <w:r w:rsidRPr="00D42A19">
              <w:rPr>
                <w:sz w:val="18"/>
              </w:rPr>
              <w:t>Organizadores</w:t>
            </w:r>
          </w:p>
        </w:tc>
        <w:tc>
          <w:tcPr>
            <w:tcW w:w="2268"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Finalidad de la actividad</w:t>
            </w:r>
          </w:p>
        </w:tc>
        <w:tc>
          <w:tcPr>
            <w:tcW w:w="1701"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Países participantes/ organizaciones (número de participantes de cada país/ organización)</w:t>
            </w:r>
          </w:p>
        </w:tc>
        <w:tc>
          <w:tcPr>
            <w:tcW w:w="1174" w:type="dxa"/>
            <w:shd w:val="clear" w:color="auto" w:fill="auto"/>
            <w:tcMar>
              <w:left w:w="57" w:type="dxa"/>
              <w:right w:w="57" w:type="dxa"/>
            </w:tcMar>
          </w:tcPr>
          <w:p w:rsidR="004F3A50" w:rsidRPr="00D42A19" w:rsidRDefault="004F3A50" w:rsidP="004F3A50">
            <w:pPr>
              <w:jc w:val="center"/>
              <w:rPr>
                <w:rFonts w:cs="Arial"/>
                <w:sz w:val="18"/>
              </w:rPr>
            </w:pPr>
            <w:r w:rsidRPr="00D42A19">
              <w:rPr>
                <w:sz w:val="18"/>
              </w:rPr>
              <w:t>Comentarios</w:t>
            </w:r>
          </w:p>
        </w:tc>
      </w:tr>
      <w:tr w:rsidR="004F3A50" w:rsidRPr="00D42A19" w:rsidTr="004F3A50">
        <w:tc>
          <w:tcPr>
            <w:tcW w:w="1333"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1. Reunión de la Comisión Europea</w:t>
            </w:r>
          </w:p>
        </w:tc>
        <w:tc>
          <w:tcPr>
            <w:tcW w:w="992"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4 de febrero de 2014</w:t>
            </w:r>
          </w:p>
        </w:tc>
        <w:tc>
          <w:tcPr>
            <w:tcW w:w="1134"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Bruselas (Bélgica)</w:t>
            </w:r>
          </w:p>
        </w:tc>
        <w:tc>
          <w:tcPr>
            <w:tcW w:w="1276" w:type="dxa"/>
            <w:shd w:val="clear" w:color="auto" w:fill="auto"/>
            <w:tcMar>
              <w:left w:w="57" w:type="dxa"/>
              <w:right w:w="57" w:type="dxa"/>
            </w:tcMar>
          </w:tcPr>
          <w:p w:rsidR="004F3A50" w:rsidRPr="00D42A19" w:rsidRDefault="004F3A50" w:rsidP="004F3A50">
            <w:pPr>
              <w:jc w:val="left"/>
              <w:rPr>
                <w:sz w:val="18"/>
              </w:rPr>
            </w:pPr>
            <w:r w:rsidRPr="00D42A19">
              <w:rPr>
                <w:sz w:val="18"/>
              </w:rPr>
              <w:t>Comisión Europea</w:t>
            </w:r>
          </w:p>
        </w:tc>
        <w:tc>
          <w:tcPr>
            <w:tcW w:w="2268"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Debatir cuestiones relevantes sobre la protección de las obtenciones vegetales</w:t>
            </w:r>
          </w:p>
        </w:tc>
        <w:tc>
          <w:tcPr>
            <w:tcW w:w="1701"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Comisión Europea, OCVV y Estados miembros (20 en total)</w:t>
            </w:r>
          </w:p>
        </w:tc>
        <w:tc>
          <w:tcPr>
            <w:tcW w:w="1174" w:type="dxa"/>
            <w:shd w:val="clear" w:color="auto" w:fill="auto"/>
            <w:tcMar>
              <w:left w:w="57" w:type="dxa"/>
              <w:right w:w="57" w:type="dxa"/>
            </w:tcMar>
          </w:tcPr>
          <w:p w:rsidR="004F3A50" w:rsidRPr="00D42A19" w:rsidRDefault="004F3A50" w:rsidP="004F3A50">
            <w:pPr>
              <w:jc w:val="left"/>
              <w:rPr>
                <w:rFonts w:cs="Arial"/>
                <w:sz w:val="18"/>
              </w:rPr>
            </w:pPr>
          </w:p>
        </w:tc>
      </w:tr>
      <w:tr w:rsidR="004F3A50" w:rsidRPr="00D42A19" w:rsidTr="004F3A50">
        <w:trPr>
          <w:trHeight w:val="1656"/>
        </w:trPr>
        <w:tc>
          <w:tcPr>
            <w:tcW w:w="1333"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2. Reunión del Consejo de Administración de la OCVV</w:t>
            </w:r>
          </w:p>
        </w:tc>
        <w:tc>
          <w:tcPr>
            <w:tcW w:w="992"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18 y 19 de marzo de 2014</w:t>
            </w:r>
          </w:p>
        </w:tc>
        <w:tc>
          <w:tcPr>
            <w:tcW w:w="1134"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Nitra (Eslovaquia)</w:t>
            </w:r>
          </w:p>
        </w:tc>
        <w:tc>
          <w:tcPr>
            <w:tcW w:w="1276" w:type="dxa"/>
            <w:shd w:val="clear" w:color="auto" w:fill="auto"/>
            <w:tcMar>
              <w:left w:w="57" w:type="dxa"/>
              <w:right w:w="57" w:type="dxa"/>
            </w:tcMar>
          </w:tcPr>
          <w:p w:rsidR="004F3A50" w:rsidRPr="00D42A19" w:rsidRDefault="004F3A50" w:rsidP="004F3A50">
            <w:pPr>
              <w:jc w:val="left"/>
              <w:rPr>
                <w:sz w:val="18"/>
              </w:rPr>
            </w:pPr>
            <w:r w:rsidRPr="00D42A19">
              <w:rPr>
                <w:sz w:val="18"/>
              </w:rPr>
              <w:t>OCVV</w:t>
            </w:r>
          </w:p>
        </w:tc>
        <w:tc>
          <w:tcPr>
            <w:tcW w:w="2268"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Debatir cuestiones relevantes sobre la protección de las obtenciones vegetales</w:t>
            </w:r>
          </w:p>
        </w:tc>
        <w:tc>
          <w:tcPr>
            <w:tcW w:w="1701"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Comisión Europea, OCVV, UPOV, observadores y Estados miembros (41 en total)</w:t>
            </w:r>
          </w:p>
        </w:tc>
        <w:tc>
          <w:tcPr>
            <w:tcW w:w="1174" w:type="dxa"/>
            <w:shd w:val="clear" w:color="auto" w:fill="auto"/>
            <w:tcMar>
              <w:left w:w="57" w:type="dxa"/>
              <w:right w:w="57" w:type="dxa"/>
            </w:tcMar>
          </w:tcPr>
          <w:p w:rsidR="004F3A50" w:rsidRPr="00D42A19" w:rsidRDefault="004F3A50" w:rsidP="004F3A50">
            <w:pPr>
              <w:jc w:val="left"/>
              <w:rPr>
                <w:rFonts w:cs="Arial"/>
                <w:sz w:val="18"/>
              </w:rPr>
            </w:pPr>
          </w:p>
        </w:tc>
      </w:tr>
      <w:tr w:rsidR="004F3A50" w:rsidRPr="00D42A19" w:rsidTr="004F3A50">
        <w:trPr>
          <w:trHeight w:val="1656"/>
        </w:trPr>
        <w:tc>
          <w:tcPr>
            <w:tcW w:w="1333"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 xml:space="preserve">3. Seminario para obtentores eslovacos sobre semillas conservadas en finca </w:t>
            </w:r>
          </w:p>
        </w:tc>
        <w:tc>
          <w:tcPr>
            <w:tcW w:w="992"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19 de marzo de 2014</w:t>
            </w:r>
          </w:p>
        </w:tc>
        <w:tc>
          <w:tcPr>
            <w:tcW w:w="1134"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Nitra (Eslovaquia)</w:t>
            </w:r>
          </w:p>
        </w:tc>
        <w:tc>
          <w:tcPr>
            <w:tcW w:w="1276" w:type="dxa"/>
            <w:shd w:val="clear" w:color="auto" w:fill="auto"/>
            <w:tcMar>
              <w:left w:w="57" w:type="dxa"/>
              <w:right w:w="57" w:type="dxa"/>
            </w:tcMar>
          </w:tcPr>
          <w:p w:rsidR="004F3A50" w:rsidRPr="00D42A19" w:rsidRDefault="004F3A50" w:rsidP="004F3A50">
            <w:pPr>
              <w:jc w:val="left"/>
              <w:rPr>
                <w:sz w:val="18"/>
              </w:rPr>
            </w:pPr>
            <w:r w:rsidRPr="00D42A19">
              <w:rPr>
                <w:sz w:val="18"/>
              </w:rPr>
              <w:t>OCVV</w:t>
            </w:r>
          </w:p>
        </w:tc>
        <w:tc>
          <w:tcPr>
            <w:tcW w:w="2268"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Debatir las principales cuestiones relativas a las semillas conservadas en finca y la recaudación de la correspondiente remuneración</w:t>
            </w:r>
          </w:p>
        </w:tc>
        <w:tc>
          <w:tcPr>
            <w:tcW w:w="1701"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OCVV, UPOV, Estados miembros y obtentores eslovacos (40 en total)</w:t>
            </w:r>
          </w:p>
        </w:tc>
        <w:tc>
          <w:tcPr>
            <w:tcW w:w="1174" w:type="dxa"/>
            <w:shd w:val="clear" w:color="auto" w:fill="auto"/>
            <w:tcMar>
              <w:left w:w="57" w:type="dxa"/>
              <w:right w:w="57" w:type="dxa"/>
            </w:tcMar>
          </w:tcPr>
          <w:p w:rsidR="004F3A50" w:rsidRPr="00D42A19" w:rsidRDefault="004F3A50" w:rsidP="004F3A50">
            <w:pPr>
              <w:jc w:val="left"/>
              <w:rPr>
                <w:rFonts w:cs="Arial"/>
                <w:sz w:val="18"/>
              </w:rPr>
            </w:pPr>
          </w:p>
        </w:tc>
      </w:tr>
      <w:tr w:rsidR="004F3A50" w:rsidRPr="00D42A19" w:rsidTr="004F3A50">
        <w:trPr>
          <w:trHeight w:val="1656"/>
        </w:trPr>
        <w:tc>
          <w:tcPr>
            <w:tcW w:w="1333"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 xml:space="preserve">4. Reunión del Consejo Europeo </w:t>
            </w:r>
          </w:p>
        </w:tc>
        <w:tc>
          <w:tcPr>
            <w:tcW w:w="992"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8 de octubre de 2014</w:t>
            </w:r>
          </w:p>
        </w:tc>
        <w:tc>
          <w:tcPr>
            <w:tcW w:w="1134"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Bruselas (Bélgica)</w:t>
            </w:r>
          </w:p>
        </w:tc>
        <w:tc>
          <w:tcPr>
            <w:tcW w:w="1276" w:type="dxa"/>
            <w:shd w:val="clear" w:color="auto" w:fill="auto"/>
            <w:tcMar>
              <w:left w:w="57" w:type="dxa"/>
              <w:right w:w="57" w:type="dxa"/>
            </w:tcMar>
          </w:tcPr>
          <w:p w:rsidR="004F3A50" w:rsidRPr="00D42A19" w:rsidRDefault="004F3A50" w:rsidP="004F3A50">
            <w:pPr>
              <w:jc w:val="left"/>
              <w:rPr>
                <w:sz w:val="18"/>
              </w:rPr>
            </w:pPr>
            <w:r w:rsidRPr="00D42A19">
              <w:rPr>
                <w:sz w:val="18"/>
              </w:rPr>
              <w:t>Consejo Europeo</w:t>
            </w:r>
          </w:p>
        </w:tc>
        <w:tc>
          <w:tcPr>
            <w:tcW w:w="2268"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Coordinar las actividades previas a las sesiones de la UPOV</w:t>
            </w:r>
          </w:p>
        </w:tc>
        <w:tc>
          <w:tcPr>
            <w:tcW w:w="1701"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Comisión, OCVV y Estados miembros (37 en total)</w:t>
            </w:r>
          </w:p>
        </w:tc>
        <w:tc>
          <w:tcPr>
            <w:tcW w:w="1174" w:type="dxa"/>
            <w:shd w:val="clear" w:color="auto" w:fill="auto"/>
            <w:tcMar>
              <w:left w:w="57" w:type="dxa"/>
              <w:right w:w="57" w:type="dxa"/>
            </w:tcMar>
          </w:tcPr>
          <w:p w:rsidR="004F3A50" w:rsidRPr="00D42A19" w:rsidRDefault="004F3A50" w:rsidP="004F3A50">
            <w:pPr>
              <w:jc w:val="left"/>
              <w:rPr>
                <w:rFonts w:cs="Arial"/>
                <w:sz w:val="18"/>
              </w:rPr>
            </w:pPr>
          </w:p>
        </w:tc>
      </w:tr>
      <w:tr w:rsidR="004F3A50" w:rsidRPr="00D42A19" w:rsidTr="004F3A50">
        <w:trPr>
          <w:trHeight w:val="1656"/>
        </w:trPr>
        <w:tc>
          <w:tcPr>
            <w:tcW w:w="1333"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5. Reunión del Consejo de Administración de la OCVV</w:t>
            </w:r>
          </w:p>
        </w:tc>
        <w:tc>
          <w:tcPr>
            <w:tcW w:w="992"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9 de octubre de 2014</w:t>
            </w:r>
          </w:p>
        </w:tc>
        <w:tc>
          <w:tcPr>
            <w:tcW w:w="1134"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Bruselas (Bélgica)</w:t>
            </w:r>
          </w:p>
        </w:tc>
        <w:tc>
          <w:tcPr>
            <w:tcW w:w="1276" w:type="dxa"/>
            <w:shd w:val="clear" w:color="auto" w:fill="auto"/>
            <w:tcMar>
              <w:left w:w="57" w:type="dxa"/>
              <w:right w:w="57" w:type="dxa"/>
            </w:tcMar>
          </w:tcPr>
          <w:p w:rsidR="004F3A50" w:rsidRPr="00D42A19" w:rsidRDefault="004F3A50" w:rsidP="004F3A50">
            <w:pPr>
              <w:jc w:val="left"/>
              <w:rPr>
                <w:sz w:val="18"/>
              </w:rPr>
            </w:pPr>
            <w:r w:rsidRPr="00D42A19">
              <w:rPr>
                <w:sz w:val="18"/>
              </w:rPr>
              <w:t>OCVV</w:t>
            </w:r>
          </w:p>
        </w:tc>
        <w:tc>
          <w:tcPr>
            <w:tcW w:w="2268"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Debatir cuestiones relevantes sobre la protección de las obtenciones vegetales</w:t>
            </w:r>
          </w:p>
        </w:tc>
        <w:tc>
          <w:tcPr>
            <w:tcW w:w="1701"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Comisión Europea, OCVV, UPOV, observadores y Estados miembros (40 en total)</w:t>
            </w:r>
          </w:p>
        </w:tc>
        <w:tc>
          <w:tcPr>
            <w:tcW w:w="1174" w:type="dxa"/>
            <w:shd w:val="clear" w:color="auto" w:fill="auto"/>
            <w:tcMar>
              <w:left w:w="57" w:type="dxa"/>
              <w:right w:w="57" w:type="dxa"/>
            </w:tcMar>
          </w:tcPr>
          <w:p w:rsidR="004F3A50" w:rsidRPr="00D42A19" w:rsidRDefault="004F3A50" w:rsidP="004F3A50">
            <w:pPr>
              <w:jc w:val="left"/>
              <w:rPr>
                <w:rFonts w:cs="Arial"/>
                <w:sz w:val="18"/>
              </w:rPr>
            </w:pPr>
          </w:p>
        </w:tc>
      </w:tr>
      <w:tr w:rsidR="004F3A50" w:rsidRPr="00D42A19" w:rsidTr="004F3A50">
        <w:tc>
          <w:tcPr>
            <w:tcW w:w="1333"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6. Reunión del Comité Administrativo y Jurídico de la UPOV</w:t>
            </w:r>
          </w:p>
        </w:tc>
        <w:tc>
          <w:tcPr>
            <w:tcW w:w="992"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13 de octubre de 2014</w:t>
            </w:r>
          </w:p>
        </w:tc>
        <w:tc>
          <w:tcPr>
            <w:tcW w:w="1134"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Ginebra (Suiza)</w:t>
            </w:r>
          </w:p>
        </w:tc>
        <w:tc>
          <w:tcPr>
            <w:tcW w:w="1276" w:type="dxa"/>
            <w:shd w:val="clear" w:color="auto" w:fill="auto"/>
            <w:tcMar>
              <w:left w:w="57" w:type="dxa"/>
              <w:right w:w="57" w:type="dxa"/>
            </w:tcMar>
          </w:tcPr>
          <w:p w:rsidR="004F3A50" w:rsidRPr="00D42A19" w:rsidRDefault="004F3A50" w:rsidP="004F3A50">
            <w:pPr>
              <w:jc w:val="left"/>
              <w:rPr>
                <w:sz w:val="18"/>
              </w:rPr>
            </w:pPr>
            <w:r w:rsidRPr="00D42A19">
              <w:rPr>
                <w:sz w:val="18"/>
              </w:rPr>
              <w:t>UPOV</w:t>
            </w:r>
          </w:p>
        </w:tc>
        <w:tc>
          <w:tcPr>
            <w:tcW w:w="2268" w:type="dxa"/>
            <w:shd w:val="clear" w:color="auto" w:fill="auto"/>
            <w:tcMar>
              <w:left w:w="57" w:type="dxa"/>
              <w:right w:w="57" w:type="dxa"/>
            </w:tcMar>
          </w:tcPr>
          <w:p w:rsidR="004F3A50" w:rsidRPr="00D42A19" w:rsidRDefault="004F3A50" w:rsidP="004F3A50">
            <w:pPr>
              <w:jc w:val="left"/>
              <w:rPr>
                <w:rFonts w:cs="Arial"/>
                <w:sz w:val="18"/>
                <w:u w:val="single"/>
              </w:rPr>
            </w:pPr>
            <w:r w:rsidRPr="00D42A19">
              <w:rPr>
                <w:sz w:val="18"/>
              </w:rPr>
              <w:t>Debatir cuestiones relevantes sobre la protección de las obtenciones vegetales en los ámbitos administrativo y jurídico</w:t>
            </w:r>
          </w:p>
        </w:tc>
        <w:tc>
          <w:tcPr>
            <w:tcW w:w="1701"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Miembros (71), observadores (6), organizaciones (9), UPOV (6) (92 en total)</w:t>
            </w:r>
          </w:p>
        </w:tc>
        <w:tc>
          <w:tcPr>
            <w:tcW w:w="1174" w:type="dxa"/>
            <w:shd w:val="clear" w:color="auto" w:fill="auto"/>
            <w:tcMar>
              <w:left w:w="57" w:type="dxa"/>
              <w:right w:w="57" w:type="dxa"/>
            </w:tcMar>
          </w:tcPr>
          <w:p w:rsidR="004F3A50" w:rsidRPr="00D42A19" w:rsidRDefault="004F3A50" w:rsidP="004F3A50">
            <w:pPr>
              <w:jc w:val="left"/>
              <w:rPr>
                <w:rFonts w:cs="Arial"/>
                <w:sz w:val="18"/>
                <w:u w:val="single"/>
              </w:rPr>
            </w:pPr>
          </w:p>
        </w:tc>
      </w:tr>
      <w:tr w:rsidR="004F3A50" w:rsidRPr="00D42A19" w:rsidTr="004F3A50">
        <w:tc>
          <w:tcPr>
            <w:tcW w:w="1333"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7. Reunión del Grupo Asesor del Comité Administrativo y Jurídico de la UPOV</w:t>
            </w:r>
          </w:p>
        </w:tc>
        <w:tc>
          <w:tcPr>
            <w:tcW w:w="992"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14 de octubre de 2014</w:t>
            </w:r>
          </w:p>
        </w:tc>
        <w:tc>
          <w:tcPr>
            <w:tcW w:w="1134"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Ginebra (Suiza)</w:t>
            </w:r>
          </w:p>
        </w:tc>
        <w:tc>
          <w:tcPr>
            <w:tcW w:w="1276" w:type="dxa"/>
            <w:shd w:val="clear" w:color="auto" w:fill="auto"/>
            <w:tcMar>
              <w:left w:w="57" w:type="dxa"/>
              <w:right w:w="57" w:type="dxa"/>
            </w:tcMar>
          </w:tcPr>
          <w:p w:rsidR="004F3A50" w:rsidRPr="00D42A19" w:rsidRDefault="004F3A50" w:rsidP="004F3A50">
            <w:pPr>
              <w:jc w:val="left"/>
              <w:rPr>
                <w:sz w:val="18"/>
              </w:rPr>
            </w:pPr>
            <w:r w:rsidRPr="00D42A19">
              <w:rPr>
                <w:sz w:val="18"/>
              </w:rPr>
              <w:t>UPOV</w:t>
            </w:r>
          </w:p>
        </w:tc>
        <w:tc>
          <w:tcPr>
            <w:tcW w:w="2268" w:type="dxa"/>
            <w:shd w:val="clear" w:color="auto" w:fill="auto"/>
            <w:tcMar>
              <w:left w:w="57" w:type="dxa"/>
              <w:right w:w="57" w:type="dxa"/>
            </w:tcMar>
          </w:tcPr>
          <w:p w:rsidR="004F3A50" w:rsidRPr="00D42A19" w:rsidRDefault="004F3A50" w:rsidP="004F3A50">
            <w:pPr>
              <w:jc w:val="left"/>
              <w:rPr>
                <w:rFonts w:cs="Arial"/>
                <w:sz w:val="18"/>
                <w:u w:val="single"/>
              </w:rPr>
            </w:pPr>
            <w:r w:rsidRPr="00D42A19">
              <w:rPr>
                <w:sz w:val="18"/>
              </w:rPr>
              <w:t>Debatir cuestiones relevantes sobre la protección de las obtenciones vegetales en los ámbitos administrativo y jurídico</w:t>
            </w:r>
          </w:p>
        </w:tc>
        <w:tc>
          <w:tcPr>
            <w:tcW w:w="1701"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Miembros (71), observadores (6), organizaciones (9), UPOV (6) (92 en total)</w:t>
            </w:r>
          </w:p>
        </w:tc>
        <w:tc>
          <w:tcPr>
            <w:tcW w:w="1174" w:type="dxa"/>
            <w:shd w:val="clear" w:color="auto" w:fill="auto"/>
            <w:tcMar>
              <w:left w:w="57" w:type="dxa"/>
              <w:right w:w="57" w:type="dxa"/>
            </w:tcMar>
          </w:tcPr>
          <w:p w:rsidR="004F3A50" w:rsidRPr="00D42A19" w:rsidRDefault="004F3A50" w:rsidP="004F3A50">
            <w:pPr>
              <w:jc w:val="left"/>
              <w:rPr>
                <w:rFonts w:cs="Arial"/>
                <w:sz w:val="18"/>
                <w:u w:val="single"/>
              </w:rPr>
            </w:pPr>
          </w:p>
        </w:tc>
      </w:tr>
      <w:tr w:rsidR="004F3A50" w:rsidRPr="00D42A19" w:rsidTr="004F3A50">
        <w:trPr>
          <w:cantSplit/>
        </w:trPr>
        <w:tc>
          <w:tcPr>
            <w:tcW w:w="1333"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8. Reunión del Comité Consultivo de la UPOV</w:t>
            </w:r>
          </w:p>
        </w:tc>
        <w:tc>
          <w:tcPr>
            <w:tcW w:w="992"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15 de octubre de 2014</w:t>
            </w:r>
          </w:p>
        </w:tc>
        <w:tc>
          <w:tcPr>
            <w:tcW w:w="1134"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Ginebra (Suiza)</w:t>
            </w:r>
          </w:p>
        </w:tc>
        <w:tc>
          <w:tcPr>
            <w:tcW w:w="1276" w:type="dxa"/>
            <w:shd w:val="clear" w:color="auto" w:fill="auto"/>
            <w:tcMar>
              <w:left w:w="57" w:type="dxa"/>
              <w:right w:w="57" w:type="dxa"/>
            </w:tcMar>
          </w:tcPr>
          <w:p w:rsidR="004F3A50" w:rsidRPr="00D42A19" w:rsidRDefault="004F3A50" w:rsidP="004F3A50">
            <w:pPr>
              <w:jc w:val="left"/>
              <w:rPr>
                <w:sz w:val="18"/>
              </w:rPr>
            </w:pPr>
            <w:r w:rsidRPr="00D42A19">
              <w:rPr>
                <w:sz w:val="18"/>
              </w:rPr>
              <w:t>UPOV</w:t>
            </w:r>
          </w:p>
        </w:tc>
        <w:tc>
          <w:tcPr>
            <w:tcW w:w="2268" w:type="dxa"/>
            <w:shd w:val="clear" w:color="auto" w:fill="auto"/>
            <w:tcMar>
              <w:left w:w="57" w:type="dxa"/>
              <w:right w:w="57" w:type="dxa"/>
            </w:tcMar>
          </w:tcPr>
          <w:p w:rsidR="004F3A50" w:rsidRPr="00D42A19" w:rsidRDefault="004F3A50" w:rsidP="004F3A50">
            <w:pPr>
              <w:jc w:val="left"/>
              <w:rPr>
                <w:rFonts w:cs="Arial"/>
                <w:sz w:val="18"/>
                <w:u w:val="single"/>
              </w:rPr>
            </w:pPr>
            <w:r w:rsidRPr="00D42A19">
              <w:rPr>
                <w:sz w:val="18"/>
              </w:rPr>
              <w:t>Debatir cuestiones relevantes sobre la protección de las obtenciones vegetales en el campo consultivo</w:t>
            </w:r>
          </w:p>
        </w:tc>
        <w:tc>
          <w:tcPr>
            <w:tcW w:w="1701"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 xml:space="preserve">Miembros (71), observadores (6), organizaciones (9), UPOV (6) (92 en total) </w:t>
            </w:r>
          </w:p>
        </w:tc>
        <w:tc>
          <w:tcPr>
            <w:tcW w:w="1174" w:type="dxa"/>
            <w:shd w:val="clear" w:color="auto" w:fill="auto"/>
            <w:tcMar>
              <w:left w:w="57" w:type="dxa"/>
              <w:right w:w="57" w:type="dxa"/>
            </w:tcMar>
          </w:tcPr>
          <w:p w:rsidR="004F3A50" w:rsidRPr="00D42A19" w:rsidRDefault="004F3A50" w:rsidP="004F3A50">
            <w:pPr>
              <w:jc w:val="left"/>
              <w:rPr>
                <w:rFonts w:cs="Arial"/>
                <w:sz w:val="18"/>
                <w:u w:val="single"/>
              </w:rPr>
            </w:pPr>
          </w:p>
        </w:tc>
      </w:tr>
      <w:tr w:rsidR="004F3A50" w:rsidRPr="00D42A19" w:rsidTr="004F3A50">
        <w:tc>
          <w:tcPr>
            <w:tcW w:w="1333"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9. Reunión del Consejo de la UPOV</w:t>
            </w:r>
          </w:p>
        </w:tc>
        <w:tc>
          <w:tcPr>
            <w:tcW w:w="992"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16 de octubre de 2014</w:t>
            </w:r>
          </w:p>
        </w:tc>
        <w:tc>
          <w:tcPr>
            <w:tcW w:w="1134"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Ginebra (Suiza)</w:t>
            </w:r>
          </w:p>
        </w:tc>
        <w:tc>
          <w:tcPr>
            <w:tcW w:w="1276" w:type="dxa"/>
            <w:shd w:val="clear" w:color="auto" w:fill="auto"/>
            <w:tcMar>
              <w:left w:w="57" w:type="dxa"/>
              <w:right w:w="57" w:type="dxa"/>
            </w:tcMar>
          </w:tcPr>
          <w:p w:rsidR="004F3A50" w:rsidRPr="00D42A19" w:rsidRDefault="004F3A50" w:rsidP="004F3A50">
            <w:pPr>
              <w:jc w:val="left"/>
              <w:rPr>
                <w:sz w:val="18"/>
              </w:rPr>
            </w:pPr>
            <w:r w:rsidRPr="00D42A19">
              <w:rPr>
                <w:sz w:val="18"/>
              </w:rPr>
              <w:t>UPOV</w:t>
            </w:r>
          </w:p>
        </w:tc>
        <w:tc>
          <w:tcPr>
            <w:tcW w:w="2268"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Debatir, en el ámbito del Consejo, cuestiones relevantes sobre la protección de las obtenciones vegetales</w:t>
            </w:r>
          </w:p>
        </w:tc>
        <w:tc>
          <w:tcPr>
            <w:tcW w:w="1701"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Miembros (71), observadores (6), organizaciones (9), UPOV (6) (92 en total)</w:t>
            </w:r>
          </w:p>
        </w:tc>
        <w:tc>
          <w:tcPr>
            <w:tcW w:w="1174" w:type="dxa"/>
            <w:shd w:val="clear" w:color="auto" w:fill="auto"/>
            <w:tcMar>
              <w:left w:w="57" w:type="dxa"/>
              <w:right w:w="57" w:type="dxa"/>
            </w:tcMar>
          </w:tcPr>
          <w:p w:rsidR="004F3A50" w:rsidRPr="00D42A19" w:rsidRDefault="004F3A50" w:rsidP="004F3A50">
            <w:pPr>
              <w:jc w:val="left"/>
              <w:rPr>
                <w:rFonts w:cs="Arial"/>
                <w:sz w:val="18"/>
              </w:rPr>
            </w:pPr>
          </w:p>
        </w:tc>
      </w:tr>
      <w:tr w:rsidR="004F3A50" w:rsidRPr="00D42A19" w:rsidTr="004F3A50">
        <w:tc>
          <w:tcPr>
            <w:tcW w:w="1333"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10. Reunión de la OCVV con las oficinas de examen</w:t>
            </w:r>
          </w:p>
        </w:tc>
        <w:tc>
          <w:tcPr>
            <w:tcW w:w="992" w:type="dxa"/>
            <w:shd w:val="clear" w:color="auto" w:fill="auto"/>
            <w:tcMar>
              <w:left w:w="57" w:type="dxa"/>
              <w:right w:w="57" w:type="dxa"/>
            </w:tcMar>
          </w:tcPr>
          <w:p w:rsidR="004F3A50" w:rsidRPr="00D42A19" w:rsidRDefault="004F3A50" w:rsidP="004F3A50">
            <w:pPr>
              <w:jc w:val="left"/>
              <w:rPr>
                <w:rFonts w:cs="Arial"/>
                <w:sz w:val="18"/>
              </w:rPr>
            </w:pPr>
          </w:p>
        </w:tc>
        <w:tc>
          <w:tcPr>
            <w:tcW w:w="1134" w:type="dxa"/>
            <w:shd w:val="clear" w:color="auto" w:fill="auto"/>
            <w:tcMar>
              <w:left w:w="57" w:type="dxa"/>
              <w:right w:w="57" w:type="dxa"/>
            </w:tcMar>
          </w:tcPr>
          <w:p w:rsidR="004F3A50" w:rsidRPr="00D42A19" w:rsidRDefault="004F3A50" w:rsidP="004F3A50">
            <w:pPr>
              <w:jc w:val="left"/>
              <w:rPr>
                <w:rFonts w:cs="Arial"/>
                <w:sz w:val="18"/>
              </w:rPr>
            </w:pPr>
          </w:p>
        </w:tc>
        <w:tc>
          <w:tcPr>
            <w:tcW w:w="1276" w:type="dxa"/>
            <w:shd w:val="clear" w:color="auto" w:fill="auto"/>
            <w:tcMar>
              <w:left w:w="57" w:type="dxa"/>
              <w:right w:w="57" w:type="dxa"/>
            </w:tcMar>
          </w:tcPr>
          <w:p w:rsidR="004F3A50" w:rsidRPr="00D42A19" w:rsidRDefault="004F3A50" w:rsidP="004F3A50">
            <w:pPr>
              <w:jc w:val="left"/>
              <w:rPr>
                <w:sz w:val="18"/>
              </w:rPr>
            </w:pPr>
          </w:p>
        </w:tc>
        <w:tc>
          <w:tcPr>
            <w:tcW w:w="2268" w:type="dxa"/>
            <w:shd w:val="clear" w:color="auto" w:fill="auto"/>
            <w:tcMar>
              <w:left w:w="57" w:type="dxa"/>
              <w:right w:w="57" w:type="dxa"/>
            </w:tcMar>
          </w:tcPr>
          <w:p w:rsidR="004F3A50" w:rsidRPr="00D42A19" w:rsidRDefault="004F3A50" w:rsidP="004F3A50">
            <w:pPr>
              <w:jc w:val="left"/>
              <w:rPr>
                <w:rFonts w:cs="Arial"/>
                <w:sz w:val="18"/>
              </w:rPr>
            </w:pPr>
            <w:r w:rsidRPr="00D42A19">
              <w:rPr>
                <w:sz w:val="18"/>
              </w:rPr>
              <w:t>Debatir cuestiones relevantes sobre el examen DHE y la protección de las obtenciones vegetales</w:t>
            </w:r>
          </w:p>
        </w:tc>
        <w:tc>
          <w:tcPr>
            <w:tcW w:w="1701" w:type="dxa"/>
            <w:shd w:val="clear" w:color="auto" w:fill="auto"/>
            <w:tcMar>
              <w:left w:w="57" w:type="dxa"/>
              <w:right w:w="57" w:type="dxa"/>
            </w:tcMar>
          </w:tcPr>
          <w:p w:rsidR="004F3A50" w:rsidRPr="00D42A19" w:rsidRDefault="004F3A50" w:rsidP="004F3A50">
            <w:pPr>
              <w:jc w:val="left"/>
              <w:rPr>
                <w:rFonts w:cs="Arial"/>
                <w:sz w:val="18"/>
              </w:rPr>
            </w:pPr>
          </w:p>
        </w:tc>
        <w:tc>
          <w:tcPr>
            <w:tcW w:w="1174" w:type="dxa"/>
            <w:shd w:val="clear" w:color="auto" w:fill="auto"/>
            <w:tcMar>
              <w:left w:w="57" w:type="dxa"/>
              <w:right w:w="57" w:type="dxa"/>
            </w:tcMar>
          </w:tcPr>
          <w:p w:rsidR="004F3A50" w:rsidRPr="00D42A19" w:rsidRDefault="004F3A50" w:rsidP="004F3A50">
            <w:pPr>
              <w:jc w:val="left"/>
              <w:rPr>
                <w:rFonts w:cs="Arial"/>
                <w:sz w:val="18"/>
                <w:u w:val="single"/>
              </w:rPr>
            </w:pPr>
          </w:p>
        </w:tc>
      </w:tr>
    </w:tbl>
    <w:p w:rsidR="004F3A50" w:rsidRPr="00D42A19" w:rsidRDefault="004F3A50" w:rsidP="004F3A50">
      <w:pPr>
        <w:rPr>
          <w:rFonts w:cs="Arial"/>
        </w:rPr>
      </w:pPr>
    </w:p>
    <w:p w:rsidR="004F3A50" w:rsidRPr="00D42A19" w:rsidRDefault="004F3A50" w:rsidP="004F3A50">
      <w:pPr>
        <w:ind w:left="567" w:hanging="567"/>
        <w:rPr>
          <w:rFonts w:cs="Arial"/>
        </w:rPr>
      </w:pPr>
      <w:r w:rsidRPr="00D42A19">
        <w:t>–</w:t>
      </w:r>
      <w:r w:rsidRPr="00D42A19">
        <w:tab/>
        <w:t>El Boletín de información sobre derecho de obtentor y la Lista nacional de variedades vegetales Nº 1 (21) del Servicio Estatal de Plantas del Ministerio de Agricultura de la República de Lituania fueron publicados el 23 de enero de 2014, y la Lista Nº 2 (22), el 12 de junio de 2014.</w:t>
      </w:r>
    </w:p>
    <w:p w:rsidR="004F3A50" w:rsidRPr="00D42A19" w:rsidRDefault="004F3A50" w:rsidP="004F3A50">
      <w:pPr>
        <w:rPr>
          <w:rFonts w:cs="Arial"/>
        </w:rPr>
      </w:pPr>
    </w:p>
    <w:p w:rsidR="004F3A50" w:rsidRPr="00D42A19" w:rsidRDefault="004F3A50" w:rsidP="004F3A50">
      <w:pPr>
        <w:rPr>
          <w:rFonts w:cs="Arial"/>
        </w:rPr>
      </w:pPr>
    </w:p>
    <w:p w:rsidR="004F3A50" w:rsidRPr="00D42A19" w:rsidRDefault="004F3A50" w:rsidP="004F3A50">
      <w:pPr>
        <w:rPr>
          <w:rFonts w:cs="Arial"/>
        </w:rPr>
      </w:pPr>
      <w:r w:rsidRPr="00D42A19">
        <w:t>II.</w:t>
      </w:r>
      <w:r w:rsidRPr="00D42A19">
        <w:tab/>
        <w:t>OTRAS NOVEDADES DE INTERÉS PARA LA UPOV</w:t>
      </w:r>
    </w:p>
    <w:p w:rsidR="004F3A50" w:rsidRPr="00D42A19" w:rsidRDefault="004F3A50" w:rsidP="004F3A50">
      <w:pPr>
        <w:rPr>
          <w:rFonts w:cs="Arial"/>
        </w:rPr>
      </w:pPr>
    </w:p>
    <w:p w:rsidR="004F3A50" w:rsidRPr="00D42A19" w:rsidRDefault="004F3A50" w:rsidP="004F3A50">
      <w:pPr>
        <w:ind w:left="567" w:hanging="567"/>
        <w:rPr>
          <w:rFonts w:cs="Arial"/>
        </w:rPr>
      </w:pPr>
      <w:r w:rsidRPr="00D42A19">
        <w:t>–</w:t>
      </w:r>
      <w:r w:rsidRPr="00D42A19">
        <w:tab/>
        <w:t>La Lista Nacional de Variedades Vegetales de Lituania de 2014 fue aprobada el 31 de enero de 2014 en virtud de la Orden Nº A1-31 del Director del Servicio Estatal de Plantas del Ministerio de Agricultura de la República de Lituania.  El material de reproducción o multiplicación vegetativa de cada una de las variedades registradas de las distintas especies vegetales puede ser objeto de certificación con arreglo a los requisitos obligatorios elaborados de conformidad con las directivas correspondientes de la UE.</w:t>
      </w:r>
    </w:p>
    <w:p w:rsidR="004F3A50" w:rsidRPr="00D42A19" w:rsidRDefault="004F3A50" w:rsidP="004F3A50"/>
    <w:p w:rsidR="003F39F5" w:rsidRPr="00D42A19" w:rsidRDefault="003F39F5" w:rsidP="003F39F5"/>
    <w:p w:rsidR="003F39F5" w:rsidRPr="00D42A19" w:rsidRDefault="003F39F5" w:rsidP="003F39F5"/>
    <w:p w:rsidR="003F39F5" w:rsidRPr="00D42A19" w:rsidRDefault="00F14899" w:rsidP="003F39F5">
      <w:pPr>
        <w:jc w:val="right"/>
      </w:pPr>
      <w:r w:rsidRPr="00D42A19">
        <w:t>[Sigue el Anexo</w:t>
      </w:r>
      <w:r w:rsidR="003F39F5" w:rsidRPr="00D42A19">
        <w:t xml:space="preserve"> VIII</w:t>
      </w:r>
      <w:r w:rsidRPr="00D42A19">
        <w:t>]</w:t>
      </w:r>
    </w:p>
    <w:p w:rsidR="003F39F5" w:rsidRPr="00D42A19" w:rsidRDefault="003F39F5" w:rsidP="003F39F5">
      <w:pPr>
        <w:jc w:val="left"/>
      </w:pPr>
    </w:p>
    <w:p w:rsidR="003F39F5" w:rsidRPr="00D42A19" w:rsidRDefault="003F39F5" w:rsidP="003F39F5">
      <w:pPr>
        <w:jc w:val="left"/>
        <w:sectPr w:rsidR="003F39F5" w:rsidRPr="00D42A19" w:rsidSect="004F3A50">
          <w:headerReference w:type="default" r:id="rId25"/>
          <w:pgSz w:w="11907" w:h="16840" w:code="9"/>
          <w:pgMar w:top="510" w:right="1134" w:bottom="1134" w:left="1134" w:header="510" w:footer="680" w:gutter="0"/>
          <w:pgNumType w:start="1"/>
          <w:cols w:space="720"/>
          <w:titlePg/>
        </w:sectPr>
      </w:pPr>
    </w:p>
    <w:p w:rsidR="003F39F5" w:rsidRPr="00D42A19" w:rsidRDefault="003F39F5" w:rsidP="003F39F5">
      <w:pPr>
        <w:jc w:val="center"/>
      </w:pPr>
      <w:r w:rsidRPr="00D42A19">
        <w:t>C/49/15</w:t>
      </w:r>
    </w:p>
    <w:p w:rsidR="003F39F5" w:rsidRPr="00D42A19" w:rsidRDefault="003F39F5" w:rsidP="003F39F5">
      <w:pPr>
        <w:jc w:val="center"/>
      </w:pPr>
    </w:p>
    <w:p w:rsidR="003F39F5" w:rsidRPr="00D42A19" w:rsidRDefault="00F14899" w:rsidP="003F39F5">
      <w:pPr>
        <w:jc w:val="center"/>
      </w:pPr>
      <w:r w:rsidRPr="00D42A19">
        <w:t>ANEXO</w:t>
      </w:r>
      <w:r w:rsidR="003F39F5" w:rsidRPr="00D42A19">
        <w:t xml:space="preserve"> VIII</w:t>
      </w:r>
    </w:p>
    <w:p w:rsidR="003F39F5" w:rsidRPr="00D42A19" w:rsidRDefault="003F39F5" w:rsidP="003F39F5">
      <w:pPr>
        <w:jc w:val="center"/>
      </w:pPr>
    </w:p>
    <w:p w:rsidR="003F39F5" w:rsidRPr="00D42A19" w:rsidRDefault="003F39F5" w:rsidP="003F39F5">
      <w:pPr>
        <w:jc w:val="center"/>
      </w:pPr>
    </w:p>
    <w:p w:rsidR="003F39F5" w:rsidRPr="00D42A19" w:rsidRDefault="00F14899" w:rsidP="003F39F5">
      <w:pPr>
        <w:jc w:val="center"/>
      </w:pPr>
      <w:r w:rsidRPr="00D42A19">
        <w:t>MARRUECOS</w:t>
      </w:r>
    </w:p>
    <w:p w:rsidR="003F39F5" w:rsidRPr="00D42A19" w:rsidRDefault="003F39F5" w:rsidP="003F39F5">
      <w:pPr>
        <w:jc w:val="left"/>
      </w:pPr>
    </w:p>
    <w:p w:rsidR="003F39F5" w:rsidRPr="00D42A19" w:rsidRDefault="003F39F5" w:rsidP="003F39F5">
      <w:pPr>
        <w:jc w:val="left"/>
      </w:pPr>
    </w:p>
    <w:p w:rsidR="004F3A50" w:rsidRPr="00D42A19" w:rsidRDefault="004F3A50" w:rsidP="004F3A50">
      <w:pPr>
        <w:rPr>
          <w:rFonts w:cs="Arial"/>
          <w:lang w:bidi="ne-NP"/>
        </w:rPr>
      </w:pPr>
      <w:r w:rsidRPr="00D42A19">
        <w:rPr>
          <w:rFonts w:cs="Arial"/>
          <w:lang w:bidi="ne-NP"/>
        </w:rPr>
        <w:t>PROTECCIÓN DE LAS OBTENCIONES VEGETALES</w:t>
      </w:r>
    </w:p>
    <w:p w:rsidR="004F3A50" w:rsidRPr="00D42A19" w:rsidRDefault="004F3A50" w:rsidP="004F3A50">
      <w:pPr>
        <w:rPr>
          <w:rFonts w:cs="Arial"/>
          <w:lang w:bidi="ne-NP"/>
        </w:rPr>
      </w:pPr>
    </w:p>
    <w:p w:rsidR="004F3A50" w:rsidRPr="00D42A19" w:rsidRDefault="004F3A50" w:rsidP="004F3A50">
      <w:pPr>
        <w:rPr>
          <w:rFonts w:cs="Arial"/>
          <w:lang w:bidi="ne-NP"/>
        </w:rPr>
      </w:pPr>
      <w:r w:rsidRPr="00D42A19">
        <w:rPr>
          <w:rFonts w:cs="Arial"/>
          <w:lang w:bidi="ne-NP"/>
        </w:rPr>
        <w:t>1.</w:t>
      </w:r>
      <w:r w:rsidRPr="00D42A19">
        <w:rPr>
          <w:rFonts w:cs="Arial"/>
          <w:lang w:bidi="ne-NP"/>
        </w:rPr>
        <w:tab/>
      </w:r>
      <w:r w:rsidRPr="00D42A19">
        <w:rPr>
          <w:rFonts w:cs="Arial"/>
          <w:u w:val="single"/>
          <w:lang w:bidi="ne-NP"/>
        </w:rPr>
        <w:t>Situación en el campo legislativo</w:t>
      </w:r>
    </w:p>
    <w:p w:rsidR="004F3A50" w:rsidRPr="00D42A19" w:rsidRDefault="004F3A50" w:rsidP="004F3A50">
      <w:pPr>
        <w:rPr>
          <w:rFonts w:cs="Arial"/>
          <w:lang w:bidi="ne-NP"/>
        </w:rPr>
      </w:pPr>
    </w:p>
    <w:p w:rsidR="004F3A50" w:rsidRPr="00D42A19" w:rsidRDefault="004F3A50" w:rsidP="004F3A50">
      <w:r w:rsidRPr="00D42A19">
        <w:tab/>
        <w:t>1.1</w:t>
      </w:r>
      <w:r w:rsidRPr="00D42A19">
        <w:tab/>
        <w:t>Modificaciones de la ley y de los reglamentos</w:t>
      </w:r>
    </w:p>
    <w:p w:rsidR="004F3A50" w:rsidRPr="00D42A19" w:rsidRDefault="004F3A50" w:rsidP="004F3A50">
      <w:pPr>
        <w:ind w:left="851"/>
      </w:pPr>
    </w:p>
    <w:p w:rsidR="004F3A50" w:rsidRPr="00D42A19" w:rsidRDefault="004F3A50" w:rsidP="004F3A50">
      <w:pPr>
        <w:ind w:left="851"/>
      </w:pPr>
      <w:r w:rsidRPr="00D42A19">
        <w:t>No hay novedades reseñables.</w:t>
      </w:r>
    </w:p>
    <w:p w:rsidR="004F3A50" w:rsidRPr="00D42A19" w:rsidRDefault="004F3A50" w:rsidP="004F3A50">
      <w:pPr>
        <w:ind w:left="851"/>
      </w:pPr>
    </w:p>
    <w:p w:rsidR="004F3A50" w:rsidRPr="00D42A19" w:rsidRDefault="004F3A50" w:rsidP="004F3A50">
      <w:pPr>
        <w:ind w:firstLine="425"/>
      </w:pPr>
      <w:r w:rsidRPr="00D42A19">
        <w:t>1.2</w:t>
      </w:r>
      <w:r w:rsidRPr="00D42A19">
        <w:tab/>
        <w:t>Extensión de la protección a otros géneros y especies (realizada o en proyecto)</w:t>
      </w:r>
    </w:p>
    <w:p w:rsidR="004F3A50" w:rsidRPr="00D42A19" w:rsidRDefault="004F3A50" w:rsidP="004F3A50"/>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3544"/>
      </w:tblGrid>
      <w:tr w:rsidR="004F3A50" w:rsidRPr="00D42A19" w:rsidTr="004F3A50">
        <w:tc>
          <w:tcPr>
            <w:tcW w:w="2409" w:type="dxa"/>
          </w:tcPr>
          <w:p w:rsidR="004F3A50" w:rsidRPr="00D42A19" w:rsidRDefault="004F3A50" w:rsidP="004F3A50">
            <w:pPr>
              <w:rPr>
                <w:b/>
                <w:bCs/>
              </w:rPr>
            </w:pPr>
            <w:r w:rsidRPr="00D42A19">
              <w:rPr>
                <w:b/>
                <w:bCs/>
              </w:rPr>
              <w:t>Especies</w:t>
            </w:r>
          </w:p>
        </w:tc>
        <w:tc>
          <w:tcPr>
            <w:tcW w:w="3544" w:type="dxa"/>
          </w:tcPr>
          <w:p w:rsidR="004F3A50" w:rsidRPr="00D42A19" w:rsidRDefault="004F3A50" w:rsidP="004F3A50">
            <w:pPr>
              <w:rPr>
                <w:b/>
                <w:bCs/>
              </w:rPr>
            </w:pPr>
            <w:r w:rsidRPr="00D42A19">
              <w:rPr>
                <w:b/>
                <w:bCs/>
              </w:rPr>
              <w:t>Nombre en latín</w:t>
            </w:r>
          </w:p>
        </w:tc>
      </w:tr>
      <w:tr w:rsidR="004F3A50" w:rsidRPr="00D42A19" w:rsidTr="004F3A50">
        <w:tc>
          <w:tcPr>
            <w:tcW w:w="2409" w:type="dxa"/>
          </w:tcPr>
          <w:p w:rsidR="004F3A50" w:rsidRPr="00D42A19" w:rsidRDefault="004F3A50" w:rsidP="004F3A50">
            <w:pPr>
              <w:rPr>
                <w:bCs/>
              </w:rPr>
            </w:pPr>
            <w:r w:rsidRPr="00D42A19">
              <w:rPr>
                <w:bCs/>
              </w:rPr>
              <w:t>Argán</w:t>
            </w:r>
          </w:p>
        </w:tc>
        <w:tc>
          <w:tcPr>
            <w:tcW w:w="3544" w:type="dxa"/>
          </w:tcPr>
          <w:p w:rsidR="004F3A50" w:rsidRPr="00D42A19" w:rsidRDefault="004F3A50" w:rsidP="004F3A50">
            <w:pPr>
              <w:rPr>
                <w:noProof/>
              </w:rPr>
            </w:pPr>
            <w:r w:rsidRPr="00D42A19">
              <w:rPr>
                <w:i/>
                <w:noProof/>
              </w:rPr>
              <w:t>Argania spinosa</w:t>
            </w:r>
            <w:r w:rsidRPr="00D42A19">
              <w:rPr>
                <w:noProof/>
              </w:rPr>
              <w:t xml:space="preserve"> (L.) Skeels</w:t>
            </w:r>
          </w:p>
        </w:tc>
      </w:tr>
      <w:tr w:rsidR="004F3A50" w:rsidRPr="00D42A19" w:rsidTr="004F3A50">
        <w:tc>
          <w:tcPr>
            <w:tcW w:w="2409" w:type="dxa"/>
          </w:tcPr>
          <w:p w:rsidR="004F3A50" w:rsidRPr="00D42A19" w:rsidRDefault="004F3A50" w:rsidP="004F3A50">
            <w:pPr>
              <w:rPr>
                <w:bCs/>
              </w:rPr>
            </w:pPr>
            <w:r w:rsidRPr="00D42A19">
              <w:rPr>
                <w:bCs/>
              </w:rPr>
              <w:t>Higuera</w:t>
            </w:r>
          </w:p>
        </w:tc>
        <w:tc>
          <w:tcPr>
            <w:tcW w:w="3544" w:type="dxa"/>
          </w:tcPr>
          <w:p w:rsidR="004F3A50" w:rsidRPr="00D42A19" w:rsidRDefault="004F3A50" w:rsidP="004F3A50">
            <w:pPr>
              <w:rPr>
                <w:noProof/>
              </w:rPr>
            </w:pPr>
            <w:r w:rsidRPr="00D42A19">
              <w:rPr>
                <w:i/>
                <w:noProof/>
              </w:rPr>
              <w:t>Ficus</w:t>
            </w:r>
            <w:r w:rsidRPr="00D42A19">
              <w:rPr>
                <w:noProof/>
              </w:rPr>
              <w:t xml:space="preserve"> L.</w:t>
            </w:r>
          </w:p>
        </w:tc>
      </w:tr>
      <w:tr w:rsidR="004F3A50" w:rsidRPr="00D42A19" w:rsidTr="004F3A50">
        <w:tc>
          <w:tcPr>
            <w:tcW w:w="2409" w:type="dxa"/>
          </w:tcPr>
          <w:p w:rsidR="004F3A50" w:rsidRPr="00D42A19" w:rsidRDefault="004F3A50" w:rsidP="004F3A50">
            <w:pPr>
              <w:rPr>
                <w:bCs/>
              </w:rPr>
            </w:pPr>
            <w:r w:rsidRPr="00D42A19">
              <w:rPr>
                <w:bCs/>
              </w:rPr>
              <w:t>Granado</w:t>
            </w:r>
          </w:p>
        </w:tc>
        <w:tc>
          <w:tcPr>
            <w:tcW w:w="3544" w:type="dxa"/>
          </w:tcPr>
          <w:p w:rsidR="004F3A50" w:rsidRPr="00D42A19" w:rsidRDefault="004F3A50" w:rsidP="004F3A50">
            <w:pPr>
              <w:rPr>
                <w:noProof/>
              </w:rPr>
            </w:pPr>
            <w:r w:rsidRPr="00D42A19">
              <w:rPr>
                <w:i/>
                <w:noProof/>
              </w:rPr>
              <w:t>Punica</w:t>
            </w:r>
            <w:r w:rsidRPr="00D42A19">
              <w:rPr>
                <w:noProof/>
              </w:rPr>
              <w:t xml:space="preserve"> L.</w:t>
            </w:r>
          </w:p>
          <w:p w:rsidR="004F3A50" w:rsidRPr="00D42A19" w:rsidRDefault="004F3A50" w:rsidP="004F3A50">
            <w:pPr>
              <w:rPr>
                <w:noProof/>
              </w:rPr>
            </w:pPr>
            <w:r w:rsidRPr="00D42A19">
              <w:rPr>
                <w:i/>
                <w:noProof/>
              </w:rPr>
              <w:t>Punica granatum</w:t>
            </w:r>
            <w:r w:rsidRPr="00D42A19">
              <w:rPr>
                <w:noProof/>
              </w:rPr>
              <w:t xml:space="preserve"> L.</w:t>
            </w:r>
          </w:p>
        </w:tc>
      </w:tr>
      <w:tr w:rsidR="004F3A50" w:rsidRPr="00D42A19" w:rsidTr="004F3A50">
        <w:tc>
          <w:tcPr>
            <w:tcW w:w="2409" w:type="dxa"/>
          </w:tcPr>
          <w:p w:rsidR="004F3A50" w:rsidRPr="00D42A19" w:rsidRDefault="004F3A50" w:rsidP="004F3A50">
            <w:r w:rsidRPr="00D42A19">
              <w:t>Azafrán</w:t>
            </w:r>
          </w:p>
        </w:tc>
        <w:tc>
          <w:tcPr>
            <w:tcW w:w="3544" w:type="dxa"/>
          </w:tcPr>
          <w:p w:rsidR="004F3A50" w:rsidRPr="00D42A19" w:rsidRDefault="004F3A50" w:rsidP="004F3A50">
            <w:pPr>
              <w:rPr>
                <w:noProof/>
              </w:rPr>
            </w:pPr>
            <w:r w:rsidRPr="00D42A19">
              <w:rPr>
                <w:i/>
                <w:noProof/>
              </w:rPr>
              <w:t>Crocus sativus</w:t>
            </w:r>
            <w:r w:rsidRPr="00D42A19">
              <w:rPr>
                <w:noProof/>
              </w:rPr>
              <w:t xml:space="preserve"> L.</w:t>
            </w:r>
          </w:p>
        </w:tc>
      </w:tr>
    </w:tbl>
    <w:p w:rsidR="004F3A50" w:rsidRPr="00D42A19" w:rsidRDefault="004F3A50" w:rsidP="004F3A50"/>
    <w:p w:rsidR="004F3A50" w:rsidRPr="00D42A19" w:rsidRDefault="004F3A50" w:rsidP="004F3A50"/>
    <w:p w:rsidR="004F3A50" w:rsidRPr="00D42A19" w:rsidRDefault="004F3A50" w:rsidP="004F3A50">
      <w:pPr>
        <w:rPr>
          <w:u w:val="single"/>
        </w:rPr>
      </w:pPr>
      <w:r w:rsidRPr="00D42A19">
        <w:t>2.</w:t>
      </w:r>
      <w:r w:rsidRPr="00D42A19">
        <w:tab/>
      </w:r>
      <w:r w:rsidRPr="00D42A19">
        <w:rPr>
          <w:u w:val="single"/>
        </w:rPr>
        <w:t>Cooperación en el examen</w:t>
      </w:r>
    </w:p>
    <w:p w:rsidR="004F3A50" w:rsidRPr="00D42A19" w:rsidRDefault="004F3A50" w:rsidP="004F3A50">
      <w:pPr>
        <w:rPr>
          <w:u w:val="single"/>
        </w:rPr>
      </w:pPr>
    </w:p>
    <w:p w:rsidR="004F3A50" w:rsidRPr="00D42A19" w:rsidRDefault="004F3A50" w:rsidP="004F3A50">
      <w:pPr>
        <w:tabs>
          <w:tab w:val="left" w:pos="851"/>
          <w:tab w:val="left" w:pos="4111"/>
        </w:tabs>
        <w:ind w:left="425"/>
      </w:pPr>
      <w:r w:rsidRPr="00D42A19">
        <w:t>-</w:t>
      </w:r>
      <w:r w:rsidRPr="00D42A19">
        <w:tab/>
        <w:t>Conclusión de nuevos acuerdos (realizados, en proceso o en proyecto)</w:t>
      </w:r>
    </w:p>
    <w:p w:rsidR="004F3A50" w:rsidRPr="00D42A19" w:rsidRDefault="004F3A50" w:rsidP="004F3A50"/>
    <w:p w:rsidR="004F3A50" w:rsidRPr="00D42A19" w:rsidRDefault="004F3A50" w:rsidP="004F3A50">
      <w:pPr>
        <w:ind w:left="425"/>
      </w:pPr>
      <w:r w:rsidRPr="00D42A19">
        <w:t xml:space="preserve">Envío de informes de examen DHE por parte de la OCVV, España, Francia, los Países Bajos, Australia, Chile y la República Checa. </w:t>
      </w:r>
    </w:p>
    <w:p w:rsidR="003F39F5" w:rsidRPr="00D42A19" w:rsidRDefault="003F39F5" w:rsidP="003F39F5">
      <w:pPr>
        <w:rPr>
          <w:rFonts w:cs="Arial"/>
        </w:rPr>
      </w:pPr>
    </w:p>
    <w:p w:rsidR="003F39F5" w:rsidRPr="00D42A19" w:rsidRDefault="003F39F5" w:rsidP="003F39F5"/>
    <w:p w:rsidR="003F39F5" w:rsidRPr="00D42A19" w:rsidRDefault="003F39F5" w:rsidP="003F39F5">
      <w:pPr>
        <w:jc w:val="left"/>
      </w:pPr>
    </w:p>
    <w:p w:rsidR="003F39F5" w:rsidRPr="00D42A19" w:rsidRDefault="00F14899" w:rsidP="003F39F5">
      <w:pPr>
        <w:jc w:val="right"/>
      </w:pPr>
      <w:r w:rsidRPr="00D42A19">
        <w:t>[Sigue el Anexo</w:t>
      </w:r>
      <w:r w:rsidR="003F39F5" w:rsidRPr="00D42A19">
        <w:t xml:space="preserve"> IX</w:t>
      </w:r>
      <w:r w:rsidRPr="00D42A19">
        <w:t>]</w:t>
      </w:r>
    </w:p>
    <w:p w:rsidR="003F39F5" w:rsidRPr="00D42A19" w:rsidRDefault="003F39F5" w:rsidP="003F39F5">
      <w:pPr>
        <w:jc w:val="left"/>
      </w:pPr>
    </w:p>
    <w:p w:rsidR="003F39F5" w:rsidRPr="00D42A19" w:rsidRDefault="003F39F5" w:rsidP="003F39F5">
      <w:pPr>
        <w:jc w:val="left"/>
        <w:sectPr w:rsidR="003F39F5" w:rsidRPr="00D42A19" w:rsidSect="004F3A50">
          <w:headerReference w:type="default" r:id="rId26"/>
          <w:pgSz w:w="11907" w:h="16840" w:code="9"/>
          <w:pgMar w:top="510" w:right="1134" w:bottom="1134" w:left="1134" w:header="510" w:footer="680" w:gutter="0"/>
          <w:pgNumType w:start="1"/>
          <w:cols w:space="720"/>
          <w:titlePg/>
        </w:sectPr>
      </w:pPr>
    </w:p>
    <w:p w:rsidR="003F39F5" w:rsidRPr="00D42A19" w:rsidRDefault="003F39F5" w:rsidP="003F39F5">
      <w:pPr>
        <w:jc w:val="center"/>
      </w:pPr>
      <w:r w:rsidRPr="00D42A19">
        <w:t>C/49/15</w:t>
      </w:r>
    </w:p>
    <w:p w:rsidR="003F39F5" w:rsidRPr="00D42A19" w:rsidRDefault="003F39F5" w:rsidP="003F39F5">
      <w:pPr>
        <w:jc w:val="center"/>
      </w:pPr>
    </w:p>
    <w:p w:rsidR="003F39F5" w:rsidRPr="00D42A19" w:rsidRDefault="00F14899" w:rsidP="003F39F5">
      <w:pPr>
        <w:jc w:val="center"/>
      </w:pPr>
      <w:r w:rsidRPr="00D42A19">
        <w:t>ANEXO</w:t>
      </w:r>
      <w:r w:rsidR="003F39F5" w:rsidRPr="00D42A19">
        <w:t xml:space="preserve"> IX</w:t>
      </w:r>
    </w:p>
    <w:p w:rsidR="003F39F5" w:rsidRPr="00D42A19" w:rsidRDefault="003F39F5" w:rsidP="003F39F5">
      <w:pPr>
        <w:jc w:val="center"/>
      </w:pPr>
    </w:p>
    <w:p w:rsidR="003F39F5" w:rsidRPr="00D42A19" w:rsidRDefault="003F39F5" w:rsidP="003F39F5">
      <w:pPr>
        <w:jc w:val="center"/>
      </w:pPr>
    </w:p>
    <w:p w:rsidR="003F39F5" w:rsidRPr="00D42A19" w:rsidRDefault="00F14899" w:rsidP="003F39F5">
      <w:pPr>
        <w:jc w:val="center"/>
      </w:pPr>
      <w:r w:rsidRPr="00D42A19">
        <w:t>NUEVA ZELANDIA</w:t>
      </w:r>
    </w:p>
    <w:p w:rsidR="003F39F5" w:rsidRPr="00D42A19" w:rsidRDefault="003F39F5" w:rsidP="003F39F5">
      <w:pPr>
        <w:jc w:val="left"/>
      </w:pPr>
    </w:p>
    <w:p w:rsidR="003F39F5" w:rsidRPr="00D42A19" w:rsidRDefault="003F39F5" w:rsidP="003F39F5">
      <w:pPr>
        <w:jc w:val="left"/>
      </w:pPr>
    </w:p>
    <w:p w:rsidR="004F3A50" w:rsidRPr="00D42A19" w:rsidRDefault="004F3A50" w:rsidP="004F3A50">
      <w:r w:rsidRPr="00D42A19">
        <w:t>PROTECCIÓN DE LAS OBTENCIONES VEGETALES</w:t>
      </w:r>
    </w:p>
    <w:p w:rsidR="004F3A50" w:rsidRPr="00D42A19" w:rsidRDefault="004F3A50" w:rsidP="004F3A50"/>
    <w:p w:rsidR="004F3A50" w:rsidRPr="00D42A19" w:rsidRDefault="004F3A50" w:rsidP="004F3A50">
      <w:r w:rsidRPr="00D42A19">
        <w:t>1.</w:t>
      </w:r>
      <w:r w:rsidRPr="00D42A19">
        <w:tab/>
      </w:r>
      <w:r w:rsidRPr="00D42A19">
        <w:rPr>
          <w:u w:val="single"/>
        </w:rPr>
        <w:t>Situación en el campo legislativo</w:t>
      </w:r>
    </w:p>
    <w:p w:rsidR="004F3A50" w:rsidRPr="00D42A19" w:rsidRDefault="004F3A50" w:rsidP="004F3A50"/>
    <w:p w:rsidR="004F3A50" w:rsidRPr="00D42A19" w:rsidRDefault="004F3A50" w:rsidP="004F3A50">
      <w:r w:rsidRPr="00D42A19">
        <w:t>Sigue en vigor la Ley de Derechos sobre las Obtenciones Vegetales de 1987, que se halla en conformidad con el Acta de 1978 del Convenio.  Es probable dentro de un plazo de uno a dos años se lleve a cabo un examen del Acta del Convenio, incluida la cuestión de la adhesión al Acta UPOV 1991.</w:t>
      </w:r>
    </w:p>
    <w:p w:rsidR="004F3A50" w:rsidRPr="00D42A19" w:rsidRDefault="004F3A50" w:rsidP="004F3A50">
      <w:pPr>
        <w:rPr>
          <w:rFonts w:cs="Calibri"/>
        </w:rPr>
      </w:pPr>
    </w:p>
    <w:p w:rsidR="004F3A50" w:rsidRPr="00D42A19" w:rsidRDefault="004F3A50" w:rsidP="004F3A50">
      <w:pPr>
        <w:rPr>
          <w:rFonts w:cs="Calibri"/>
        </w:rPr>
      </w:pPr>
    </w:p>
    <w:p w:rsidR="004F3A50" w:rsidRPr="00D42A19" w:rsidRDefault="004F3A50" w:rsidP="004F3A50">
      <w:pPr>
        <w:rPr>
          <w:rFonts w:cs="Calibri"/>
          <w:u w:val="single"/>
        </w:rPr>
      </w:pPr>
      <w:r w:rsidRPr="00D42A19">
        <w:t>2.</w:t>
      </w:r>
      <w:r w:rsidRPr="00D42A19">
        <w:tab/>
      </w:r>
      <w:r w:rsidRPr="00D42A19">
        <w:rPr>
          <w:u w:val="single"/>
        </w:rPr>
        <w:t>Cooperación en el examen</w:t>
      </w:r>
    </w:p>
    <w:p w:rsidR="004F3A50" w:rsidRPr="00D42A19" w:rsidRDefault="004F3A50" w:rsidP="004F3A50">
      <w:pPr>
        <w:rPr>
          <w:rFonts w:cs="Calibri"/>
          <w:u w:val="single"/>
        </w:rPr>
      </w:pPr>
    </w:p>
    <w:p w:rsidR="004F3A50" w:rsidRPr="00D42A19" w:rsidRDefault="004F3A50" w:rsidP="004F3A50">
      <w:pPr>
        <w:rPr>
          <w:rFonts w:cs="Calibri"/>
        </w:rPr>
      </w:pPr>
      <w:r w:rsidRPr="00D42A19">
        <w:t>Nueva Zelandia continúa comprando a los Estados miembros, por encargo, informes de ensayos correspondientes a determinadas especies, en el marco de las disposiciones generales del Convenio.  Se ha registrado un aumento de solicitudes para la utilización de informes de ensayos de Nueva Zelandia a raíz de la eliminación de la tasa correspondiente a finales de 2012.</w:t>
      </w:r>
    </w:p>
    <w:p w:rsidR="004F3A50" w:rsidRPr="00D42A19" w:rsidRDefault="004F3A50" w:rsidP="004F3A50">
      <w:pPr>
        <w:rPr>
          <w:rFonts w:cs="Calibri"/>
        </w:rPr>
      </w:pPr>
    </w:p>
    <w:p w:rsidR="004F3A50" w:rsidRPr="00D42A19" w:rsidRDefault="004F3A50" w:rsidP="004F3A50">
      <w:pPr>
        <w:rPr>
          <w:rFonts w:cs="Calibri"/>
        </w:rPr>
      </w:pPr>
      <w:r w:rsidRPr="00D42A19">
        <w:t xml:space="preserve">Las Oficinas de derechos de obtentor de Nueva Zelandia (la Oficina) y Australia continúan colaborando en el ámbito de las variedades que son de interés común para ambas partes,  es decir, aquellas variedades para las que se han presentado solicitudes en ambos países y que tienen aspectos pendientes en lo que respecta a uno o más de los criterios para la concesión de los derechos.  La cooperación técnica ha aumentado gracias a la eliminación de la tasa por la compra de informes de ensayo de Australia para su utilización en exámenes de Nueva Zelandia.  </w:t>
      </w:r>
    </w:p>
    <w:p w:rsidR="004F3A50" w:rsidRPr="00D42A19" w:rsidRDefault="004F3A50" w:rsidP="004F3A50">
      <w:pPr>
        <w:rPr>
          <w:rFonts w:cs="Calibri"/>
        </w:rPr>
      </w:pPr>
    </w:p>
    <w:p w:rsidR="004F3A50" w:rsidRPr="00D42A19" w:rsidRDefault="004F3A50" w:rsidP="004F3A50">
      <w:pPr>
        <w:rPr>
          <w:rFonts w:cs="Calibri"/>
        </w:rPr>
      </w:pPr>
    </w:p>
    <w:p w:rsidR="004F3A50" w:rsidRPr="00D42A19" w:rsidRDefault="004F3A50" w:rsidP="004F3A50">
      <w:pPr>
        <w:rPr>
          <w:rFonts w:cs="Calibri"/>
          <w:u w:val="single"/>
        </w:rPr>
      </w:pPr>
      <w:r w:rsidRPr="00D42A19">
        <w:t>3.</w:t>
      </w:r>
      <w:r w:rsidRPr="00D42A19">
        <w:tab/>
      </w:r>
      <w:r w:rsidRPr="00D42A19">
        <w:rPr>
          <w:u w:val="single"/>
        </w:rPr>
        <w:t>Situación en el campo legislativo</w:t>
      </w:r>
    </w:p>
    <w:p w:rsidR="004F3A50" w:rsidRPr="00D42A19" w:rsidRDefault="004F3A50" w:rsidP="004F3A50">
      <w:pPr>
        <w:rPr>
          <w:rFonts w:cs="Calibri"/>
          <w:b/>
        </w:rPr>
      </w:pPr>
    </w:p>
    <w:p w:rsidR="004F3A50" w:rsidRPr="00D42A19" w:rsidRDefault="004F3A50" w:rsidP="004F3A50">
      <w:pPr>
        <w:rPr>
          <w:rFonts w:cs="Calibri"/>
        </w:rPr>
      </w:pPr>
      <w:r w:rsidRPr="00D42A19">
        <w:t>Durante el ejercicio fiscal finalizado el 30 de junio de 2015, se aceptaron 136 solicitudes de derechos de obtentor (un 20% menos que en el año anterior), se concedieron 133 títulos (un 15% menos que en el año anterior) y caducaron 78 títulos (un 30% menos que en el año anterior).  A 30 de junio de 2015 había 1.295 títulos en vigor (un 2% más que en el año anterior).  Durante el año anterior, el número de solicitudes fue excepcionalmente alto, pero este año ha disminuido y vuelve a ser semejante al de los últimos años.</w:t>
      </w:r>
    </w:p>
    <w:p w:rsidR="004F3A50" w:rsidRPr="00D42A19" w:rsidRDefault="004F3A50" w:rsidP="004F3A50">
      <w:pPr>
        <w:rPr>
          <w:rFonts w:cs="Calibri"/>
        </w:rPr>
      </w:pPr>
    </w:p>
    <w:p w:rsidR="004F3A50" w:rsidRPr="00D42A19" w:rsidRDefault="004F3A50" w:rsidP="004F3A50">
      <w:pPr>
        <w:rPr>
          <w:rFonts w:cs="Calibri"/>
        </w:rPr>
      </w:pPr>
      <w:r w:rsidRPr="00D42A19">
        <w:t xml:space="preserve">La Oficina renovó la certificación ISO en agosto de 2015.  En una actividad relacionada, la Oficina sigue mejorando la documentación de sus prácticas y procedimientos, con el objeto de disponer de registros claros y orientaciones sobre todas las funciones clave.  Además, la Oficina está desarrollando un programa de mejora continua del sistema de tramitación de expedientes.  En la actualidad, aproximadamente el 95% de las solicitudes se presentan por Internet. </w:t>
      </w:r>
    </w:p>
    <w:p w:rsidR="004F3A50" w:rsidRPr="00D42A19" w:rsidRDefault="004F3A50" w:rsidP="004F3A50">
      <w:pPr>
        <w:rPr>
          <w:rFonts w:cs="Calibri"/>
        </w:rPr>
      </w:pPr>
    </w:p>
    <w:p w:rsidR="004F3A50" w:rsidRPr="00D42A19" w:rsidRDefault="004F3A50" w:rsidP="004F3A50">
      <w:pPr>
        <w:rPr>
          <w:rFonts w:cs="Calibri"/>
        </w:rPr>
      </w:pPr>
    </w:p>
    <w:p w:rsidR="004F3A50" w:rsidRPr="00D42A19" w:rsidRDefault="004F3A50" w:rsidP="004F3A50">
      <w:pPr>
        <w:rPr>
          <w:rFonts w:cs="Calibri"/>
        </w:rPr>
      </w:pPr>
      <w:r w:rsidRPr="00D42A19">
        <w:t>4.</w:t>
      </w:r>
      <w:r w:rsidRPr="00D42A19">
        <w:tab/>
      </w:r>
      <w:r w:rsidRPr="00D42A19">
        <w:rPr>
          <w:u w:val="single"/>
        </w:rPr>
        <w:t>Situación en el campo técnico</w:t>
      </w:r>
    </w:p>
    <w:p w:rsidR="004F3A50" w:rsidRPr="00D42A19" w:rsidRDefault="004F3A50" w:rsidP="004F3A50">
      <w:pPr>
        <w:rPr>
          <w:rFonts w:cs="Calibri"/>
        </w:rPr>
      </w:pPr>
    </w:p>
    <w:p w:rsidR="004F3A50" w:rsidRPr="00D42A19" w:rsidRDefault="004F3A50" w:rsidP="004F3A50">
      <w:pPr>
        <w:rPr>
          <w:rFonts w:cs="Calibri"/>
        </w:rPr>
      </w:pPr>
      <w:r w:rsidRPr="00D42A19">
        <w:t xml:space="preserve">Nueva Zelandia ha terminado de redactar las directrices de examen de </w:t>
      </w:r>
      <w:proofErr w:type="spellStart"/>
      <w:r w:rsidRPr="00D42A19">
        <w:rPr>
          <w:i/>
        </w:rPr>
        <w:t>Acca</w:t>
      </w:r>
      <w:proofErr w:type="spellEnd"/>
      <w:r w:rsidRPr="00D42A19">
        <w:t xml:space="preserve"> en el Grupo de Trabajo Técnico sobre Plantas Frutales (TWF) y es el redactor principal de las directrices de examen de </w:t>
      </w:r>
      <w:proofErr w:type="spellStart"/>
      <w:r w:rsidRPr="00D42A19">
        <w:rPr>
          <w:i/>
        </w:rPr>
        <w:t>Cordyline</w:t>
      </w:r>
      <w:proofErr w:type="spellEnd"/>
      <w:r w:rsidRPr="00D42A19">
        <w:t xml:space="preserve"> en el Grupo de Trabajo Técnico sobre Plantas Ornamentales y Árboles Forestales (TWO) y de pera híbrida en el TWF.</w:t>
      </w:r>
    </w:p>
    <w:p w:rsidR="004F3A50" w:rsidRPr="00D42A19" w:rsidRDefault="004F3A50" w:rsidP="004F3A50">
      <w:pPr>
        <w:rPr>
          <w:rFonts w:cs="Calibri"/>
        </w:rPr>
      </w:pPr>
    </w:p>
    <w:p w:rsidR="004F3A50" w:rsidRPr="00D42A19" w:rsidRDefault="004F3A50" w:rsidP="004F3A50">
      <w:pPr>
        <w:rPr>
          <w:rFonts w:cs="Calibri"/>
        </w:rPr>
      </w:pPr>
      <w:r w:rsidRPr="00D42A19">
        <w:t>En respuesta a la petición de una organización de obtentores, se ha publicado la información técnica sobre las características de raigrás en el sitio web:  época de emergencia de las inflorescencias y longitud del tallo más largo.  La finalidad es mejorar la calidad de la información facilitada en el cuestionario técnico cumplimentado por el obtentor en el momento de la solicitud.  Los obtentores han tenido dificultades para determinar el nivel de expresión en su nueva variedad;  pero ahora pueden consultar los datos de la Oficina de Derechos de Obtentor para determinar mejor a qué nivel corresponde.</w:t>
      </w:r>
    </w:p>
    <w:p w:rsidR="004F3A50" w:rsidRPr="00D42A19" w:rsidRDefault="004F3A50" w:rsidP="004F3A50">
      <w:pPr>
        <w:rPr>
          <w:rFonts w:cs="Calibri"/>
        </w:rPr>
      </w:pPr>
    </w:p>
    <w:p w:rsidR="004F3A50" w:rsidRPr="00D42A19" w:rsidRDefault="004F3A50" w:rsidP="004F3A50">
      <w:pPr>
        <w:rPr>
          <w:rFonts w:cs="Calibri"/>
        </w:rPr>
      </w:pPr>
    </w:p>
    <w:p w:rsidR="004F3A50" w:rsidRPr="00D42A19" w:rsidRDefault="004F3A50" w:rsidP="004F3A50">
      <w:pPr>
        <w:jc w:val="left"/>
        <w:rPr>
          <w:rFonts w:cs="Calibri"/>
        </w:rPr>
      </w:pPr>
      <w:r w:rsidRPr="00D42A19">
        <w:br w:type="page"/>
      </w:r>
    </w:p>
    <w:p w:rsidR="004F3A50" w:rsidRPr="00D42A19" w:rsidRDefault="004F3A50" w:rsidP="004F3A50">
      <w:pPr>
        <w:rPr>
          <w:rFonts w:cs="Calibri"/>
          <w:u w:val="single"/>
        </w:rPr>
      </w:pPr>
      <w:r w:rsidRPr="00D42A19">
        <w:t>5.</w:t>
      </w:r>
      <w:r w:rsidRPr="00D42A19">
        <w:tab/>
      </w:r>
      <w:r w:rsidRPr="00D42A19">
        <w:rPr>
          <w:u w:val="single"/>
        </w:rPr>
        <w:t>Actividades para la promoción de la protección de las obtenciones vegetales</w:t>
      </w:r>
    </w:p>
    <w:p w:rsidR="004F3A50" w:rsidRPr="00D42A19" w:rsidRDefault="004F3A50" w:rsidP="004F3A50">
      <w:pPr>
        <w:rPr>
          <w:rFonts w:cs="Calibri"/>
        </w:rPr>
      </w:pP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992"/>
        <w:gridCol w:w="992"/>
        <w:gridCol w:w="1418"/>
        <w:gridCol w:w="2268"/>
        <w:gridCol w:w="1701"/>
        <w:gridCol w:w="1417"/>
      </w:tblGrid>
      <w:tr w:rsidR="004F3A50" w:rsidRPr="00D42A19" w:rsidTr="004F3A50">
        <w:tc>
          <w:tcPr>
            <w:tcW w:w="1384" w:type="dxa"/>
            <w:shd w:val="clear" w:color="auto" w:fill="auto"/>
          </w:tcPr>
          <w:p w:rsidR="004F3A50" w:rsidRPr="00D42A19" w:rsidRDefault="004F3A50" w:rsidP="004F3A50">
            <w:pPr>
              <w:jc w:val="left"/>
              <w:rPr>
                <w:rFonts w:cs="Mangal"/>
                <w:sz w:val="18"/>
                <w:szCs w:val="26"/>
              </w:rPr>
            </w:pPr>
            <w:r w:rsidRPr="00D42A19">
              <w:rPr>
                <w:sz w:val="18"/>
              </w:rPr>
              <w:t>Tipo de actividad</w:t>
            </w:r>
          </w:p>
        </w:tc>
        <w:tc>
          <w:tcPr>
            <w:tcW w:w="992" w:type="dxa"/>
            <w:shd w:val="clear" w:color="auto" w:fill="auto"/>
          </w:tcPr>
          <w:p w:rsidR="004F3A50" w:rsidRPr="00D42A19" w:rsidRDefault="004F3A50" w:rsidP="004F3A50">
            <w:pPr>
              <w:jc w:val="left"/>
              <w:rPr>
                <w:rFonts w:cs="Mangal"/>
                <w:sz w:val="18"/>
                <w:szCs w:val="26"/>
              </w:rPr>
            </w:pPr>
            <w:r w:rsidRPr="00D42A19">
              <w:rPr>
                <w:sz w:val="18"/>
              </w:rPr>
              <w:t>Fecha</w:t>
            </w:r>
          </w:p>
        </w:tc>
        <w:tc>
          <w:tcPr>
            <w:tcW w:w="992" w:type="dxa"/>
            <w:shd w:val="clear" w:color="auto" w:fill="auto"/>
          </w:tcPr>
          <w:p w:rsidR="004F3A50" w:rsidRPr="00D42A19" w:rsidRDefault="004F3A50" w:rsidP="004F3A50">
            <w:pPr>
              <w:jc w:val="left"/>
              <w:rPr>
                <w:rFonts w:cs="Mangal"/>
                <w:sz w:val="18"/>
                <w:szCs w:val="26"/>
              </w:rPr>
            </w:pPr>
            <w:r w:rsidRPr="00D42A19">
              <w:rPr>
                <w:sz w:val="18"/>
              </w:rPr>
              <w:t>Lugar</w:t>
            </w:r>
          </w:p>
        </w:tc>
        <w:tc>
          <w:tcPr>
            <w:tcW w:w="1418" w:type="dxa"/>
            <w:shd w:val="clear" w:color="auto" w:fill="auto"/>
          </w:tcPr>
          <w:p w:rsidR="004F3A50" w:rsidRPr="00D42A19" w:rsidRDefault="004F3A50" w:rsidP="004F3A50">
            <w:pPr>
              <w:jc w:val="left"/>
              <w:rPr>
                <w:rFonts w:cs="Mangal"/>
                <w:sz w:val="18"/>
                <w:szCs w:val="26"/>
              </w:rPr>
            </w:pPr>
            <w:r w:rsidRPr="00D42A19">
              <w:rPr>
                <w:sz w:val="18"/>
              </w:rPr>
              <w:t>Organizadores</w:t>
            </w:r>
          </w:p>
        </w:tc>
        <w:tc>
          <w:tcPr>
            <w:tcW w:w="2268" w:type="dxa"/>
            <w:shd w:val="clear" w:color="auto" w:fill="auto"/>
          </w:tcPr>
          <w:p w:rsidR="004F3A50" w:rsidRPr="00D42A19" w:rsidRDefault="004F3A50" w:rsidP="004F3A50">
            <w:pPr>
              <w:jc w:val="left"/>
              <w:rPr>
                <w:rFonts w:cs="Mangal"/>
                <w:sz w:val="18"/>
                <w:szCs w:val="26"/>
              </w:rPr>
            </w:pPr>
            <w:r w:rsidRPr="00D42A19">
              <w:rPr>
                <w:sz w:val="18"/>
              </w:rPr>
              <w:t>Finalidad de la actividad</w:t>
            </w:r>
          </w:p>
        </w:tc>
        <w:tc>
          <w:tcPr>
            <w:tcW w:w="1701" w:type="dxa"/>
            <w:shd w:val="clear" w:color="auto" w:fill="auto"/>
          </w:tcPr>
          <w:p w:rsidR="004F3A50" w:rsidRPr="00D42A19" w:rsidRDefault="004F3A50" w:rsidP="004F3A50">
            <w:pPr>
              <w:jc w:val="left"/>
              <w:rPr>
                <w:rFonts w:cs="Mangal"/>
                <w:sz w:val="18"/>
                <w:szCs w:val="26"/>
              </w:rPr>
            </w:pPr>
            <w:r w:rsidRPr="00D42A19">
              <w:rPr>
                <w:sz w:val="18"/>
              </w:rPr>
              <w:t>Países participantes/ organizaciones (número de participantes de cada país/ organización)</w:t>
            </w:r>
          </w:p>
        </w:tc>
        <w:tc>
          <w:tcPr>
            <w:tcW w:w="1417" w:type="dxa"/>
            <w:shd w:val="clear" w:color="auto" w:fill="auto"/>
          </w:tcPr>
          <w:p w:rsidR="004F3A50" w:rsidRPr="00D42A19" w:rsidRDefault="004F3A50" w:rsidP="004F3A50">
            <w:pPr>
              <w:jc w:val="center"/>
              <w:rPr>
                <w:rFonts w:cs="Mangal"/>
                <w:sz w:val="18"/>
                <w:szCs w:val="26"/>
              </w:rPr>
            </w:pPr>
            <w:r w:rsidRPr="00D42A19">
              <w:rPr>
                <w:sz w:val="18"/>
              </w:rPr>
              <w:t>Comentarios</w:t>
            </w:r>
          </w:p>
        </w:tc>
      </w:tr>
      <w:tr w:rsidR="004F3A50" w:rsidRPr="00D42A19" w:rsidTr="004F3A50">
        <w:tc>
          <w:tcPr>
            <w:tcW w:w="1384" w:type="dxa"/>
            <w:shd w:val="clear" w:color="auto" w:fill="auto"/>
          </w:tcPr>
          <w:p w:rsidR="004F3A50" w:rsidRPr="00D42A19" w:rsidRDefault="004F3A50" w:rsidP="004F3A50">
            <w:pPr>
              <w:jc w:val="left"/>
              <w:rPr>
                <w:rFonts w:cs="Mangal"/>
                <w:sz w:val="18"/>
                <w:szCs w:val="26"/>
              </w:rPr>
            </w:pPr>
            <w:r w:rsidRPr="00D42A19">
              <w:rPr>
                <w:sz w:val="18"/>
              </w:rPr>
              <w:t>1. Asistencia técnica y formación</w:t>
            </w:r>
          </w:p>
        </w:tc>
        <w:tc>
          <w:tcPr>
            <w:tcW w:w="992" w:type="dxa"/>
            <w:shd w:val="clear" w:color="auto" w:fill="auto"/>
            <w:tcMar>
              <w:left w:w="57" w:type="dxa"/>
              <w:right w:w="57" w:type="dxa"/>
            </w:tcMar>
          </w:tcPr>
          <w:p w:rsidR="004F3A50" w:rsidRPr="00D42A19" w:rsidRDefault="004F3A50" w:rsidP="004F3A50">
            <w:pPr>
              <w:jc w:val="left"/>
              <w:rPr>
                <w:rFonts w:cs="Mangal"/>
                <w:sz w:val="18"/>
                <w:szCs w:val="26"/>
              </w:rPr>
            </w:pPr>
            <w:r w:rsidRPr="00D42A19">
              <w:rPr>
                <w:sz w:val="18"/>
              </w:rPr>
              <w:t>3 a 6 de noviembre de 2014</w:t>
            </w:r>
          </w:p>
        </w:tc>
        <w:tc>
          <w:tcPr>
            <w:tcW w:w="992" w:type="dxa"/>
            <w:shd w:val="clear" w:color="auto" w:fill="auto"/>
          </w:tcPr>
          <w:p w:rsidR="004F3A50" w:rsidRPr="00D42A19" w:rsidRDefault="004F3A50" w:rsidP="004F3A50">
            <w:pPr>
              <w:jc w:val="left"/>
              <w:rPr>
                <w:rFonts w:cs="Mangal"/>
                <w:sz w:val="18"/>
                <w:szCs w:val="26"/>
              </w:rPr>
            </w:pPr>
            <w:r w:rsidRPr="00D42A19">
              <w:rPr>
                <w:sz w:val="18"/>
              </w:rPr>
              <w:t>Malasia</w:t>
            </w:r>
          </w:p>
        </w:tc>
        <w:tc>
          <w:tcPr>
            <w:tcW w:w="1418" w:type="dxa"/>
            <w:shd w:val="clear" w:color="auto" w:fill="auto"/>
          </w:tcPr>
          <w:p w:rsidR="004F3A50" w:rsidRPr="00D42A19" w:rsidRDefault="004F3A50" w:rsidP="004F3A50">
            <w:pPr>
              <w:jc w:val="left"/>
              <w:rPr>
                <w:rFonts w:cs="Mangal"/>
                <w:sz w:val="18"/>
                <w:szCs w:val="26"/>
              </w:rPr>
            </w:pPr>
            <w:r w:rsidRPr="00D42A19">
              <w:rPr>
                <w:sz w:val="18"/>
              </w:rPr>
              <w:t>Foro de Asia Oriental para la Protección de las Variedades Vegetales</w:t>
            </w:r>
          </w:p>
        </w:tc>
        <w:tc>
          <w:tcPr>
            <w:tcW w:w="2268" w:type="dxa"/>
            <w:shd w:val="clear" w:color="auto" w:fill="auto"/>
          </w:tcPr>
          <w:p w:rsidR="004F3A50" w:rsidRPr="00D42A19" w:rsidRDefault="004F3A50" w:rsidP="004F3A50">
            <w:pPr>
              <w:jc w:val="left"/>
              <w:rPr>
                <w:rFonts w:cs="Mangal"/>
                <w:sz w:val="18"/>
                <w:szCs w:val="26"/>
              </w:rPr>
            </w:pPr>
            <w:r w:rsidRPr="00D42A19">
              <w:rPr>
                <w:sz w:val="18"/>
              </w:rPr>
              <w:t>Redacción de las directrices de examen de carambola y rambután</w:t>
            </w:r>
          </w:p>
        </w:tc>
        <w:tc>
          <w:tcPr>
            <w:tcW w:w="1701" w:type="dxa"/>
            <w:shd w:val="clear" w:color="auto" w:fill="auto"/>
          </w:tcPr>
          <w:p w:rsidR="004F3A50" w:rsidRPr="00D42A19" w:rsidRDefault="004F3A50" w:rsidP="004F3A50">
            <w:pPr>
              <w:jc w:val="left"/>
              <w:rPr>
                <w:rFonts w:cs="Mangal"/>
                <w:sz w:val="18"/>
                <w:szCs w:val="26"/>
              </w:rPr>
            </w:pPr>
            <w:r w:rsidRPr="00D42A19">
              <w:rPr>
                <w:sz w:val="18"/>
              </w:rPr>
              <w:t xml:space="preserve">Camboya, Indonesia, Malasia, la Secretaría del Foro Oriental y Tailandia </w:t>
            </w:r>
          </w:p>
        </w:tc>
        <w:tc>
          <w:tcPr>
            <w:tcW w:w="1417" w:type="dxa"/>
            <w:shd w:val="clear" w:color="auto" w:fill="auto"/>
          </w:tcPr>
          <w:p w:rsidR="004F3A50" w:rsidRPr="00D42A19" w:rsidRDefault="004F3A50" w:rsidP="004F3A50">
            <w:pPr>
              <w:jc w:val="left"/>
              <w:rPr>
                <w:rFonts w:cs="Mangal"/>
                <w:sz w:val="18"/>
                <w:szCs w:val="26"/>
              </w:rPr>
            </w:pPr>
            <w:r w:rsidRPr="00D42A19">
              <w:rPr>
                <w:sz w:val="18"/>
              </w:rPr>
              <w:t>Nueva Zelandia como asesor técnico en materia del examen DHE y el experto de la UPOV</w:t>
            </w:r>
          </w:p>
        </w:tc>
      </w:tr>
      <w:tr w:rsidR="004F3A50" w:rsidRPr="00D42A19" w:rsidTr="004F3A50">
        <w:tc>
          <w:tcPr>
            <w:tcW w:w="1384" w:type="dxa"/>
            <w:shd w:val="clear" w:color="auto" w:fill="auto"/>
          </w:tcPr>
          <w:p w:rsidR="004F3A50" w:rsidRPr="00D42A19" w:rsidRDefault="004F3A50" w:rsidP="004F3A50">
            <w:pPr>
              <w:jc w:val="left"/>
              <w:rPr>
                <w:rFonts w:cs="Mangal"/>
                <w:sz w:val="18"/>
                <w:szCs w:val="26"/>
              </w:rPr>
            </w:pPr>
            <w:r w:rsidRPr="00D42A19">
              <w:rPr>
                <w:sz w:val="18"/>
              </w:rPr>
              <w:t>2. Asistencia técnica y formación</w:t>
            </w:r>
          </w:p>
        </w:tc>
        <w:tc>
          <w:tcPr>
            <w:tcW w:w="992" w:type="dxa"/>
            <w:shd w:val="clear" w:color="auto" w:fill="auto"/>
          </w:tcPr>
          <w:p w:rsidR="004F3A50" w:rsidRPr="00D42A19" w:rsidRDefault="004F3A50" w:rsidP="004F3A50">
            <w:pPr>
              <w:jc w:val="left"/>
              <w:rPr>
                <w:rFonts w:cs="Mangal"/>
                <w:sz w:val="18"/>
                <w:szCs w:val="26"/>
              </w:rPr>
            </w:pPr>
            <w:r w:rsidRPr="00D42A19">
              <w:rPr>
                <w:sz w:val="18"/>
              </w:rPr>
              <w:t>1 a 4 de junio de 2015</w:t>
            </w:r>
          </w:p>
        </w:tc>
        <w:tc>
          <w:tcPr>
            <w:tcW w:w="992" w:type="dxa"/>
            <w:shd w:val="clear" w:color="auto" w:fill="auto"/>
            <w:tcMar>
              <w:left w:w="57" w:type="dxa"/>
              <w:right w:w="57" w:type="dxa"/>
            </w:tcMar>
          </w:tcPr>
          <w:p w:rsidR="004F3A50" w:rsidRPr="00D42A19" w:rsidRDefault="004F3A50" w:rsidP="004F3A50">
            <w:pPr>
              <w:jc w:val="left"/>
              <w:rPr>
                <w:rFonts w:cs="Mangal"/>
                <w:sz w:val="18"/>
                <w:szCs w:val="26"/>
              </w:rPr>
            </w:pPr>
            <w:r w:rsidRPr="00D42A19">
              <w:rPr>
                <w:sz w:val="18"/>
              </w:rPr>
              <w:t>República de Corea</w:t>
            </w:r>
          </w:p>
        </w:tc>
        <w:tc>
          <w:tcPr>
            <w:tcW w:w="1418" w:type="dxa"/>
            <w:shd w:val="clear" w:color="auto" w:fill="auto"/>
          </w:tcPr>
          <w:p w:rsidR="004F3A50" w:rsidRPr="00D42A19" w:rsidRDefault="004F3A50" w:rsidP="004F3A50">
            <w:pPr>
              <w:jc w:val="left"/>
              <w:rPr>
                <w:rFonts w:cs="Mangal"/>
                <w:sz w:val="18"/>
                <w:szCs w:val="26"/>
              </w:rPr>
            </w:pPr>
            <w:r w:rsidRPr="00D42A19">
              <w:rPr>
                <w:sz w:val="18"/>
              </w:rPr>
              <w:t>Agencia Coreana de Cooperación Internacional y Servicio de Semillas y Variedades de la República de Corea</w:t>
            </w:r>
          </w:p>
        </w:tc>
        <w:tc>
          <w:tcPr>
            <w:tcW w:w="2268" w:type="dxa"/>
            <w:shd w:val="clear" w:color="auto" w:fill="auto"/>
          </w:tcPr>
          <w:p w:rsidR="004F3A50" w:rsidRPr="00D42A19" w:rsidRDefault="004F3A50" w:rsidP="004F3A50">
            <w:pPr>
              <w:jc w:val="left"/>
              <w:rPr>
                <w:rFonts w:cs="Mangal"/>
                <w:sz w:val="18"/>
                <w:szCs w:val="26"/>
              </w:rPr>
            </w:pPr>
            <w:r w:rsidRPr="00D42A19">
              <w:rPr>
                <w:sz w:val="18"/>
              </w:rPr>
              <w:t>Curso Internacional de Capacitación sobre Protección de Obtenciones Vegetales</w:t>
            </w:r>
          </w:p>
        </w:tc>
        <w:tc>
          <w:tcPr>
            <w:tcW w:w="1701" w:type="dxa"/>
            <w:shd w:val="clear" w:color="auto" w:fill="auto"/>
          </w:tcPr>
          <w:p w:rsidR="004F3A50" w:rsidRPr="00D42A19" w:rsidRDefault="004F3A50" w:rsidP="004F3A50">
            <w:pPr>
              <w:jc w:val="left"/>
              <w:rPr>
                <w:rFonts w:cs="Mangal"/>
                <w:sz w:val="18"/>
                <w:szCs w:val="26"/>
              </w:rPr>
            </w:pPr>
            <w:r w:rsidRPr="00D42A19">
              <w:rPr>
                <w:sz w:val="18"/>
              </w:rPr>
              <w:t xml:space="preserve">Camboya, Egipto, Filipinas, Indonesia, </w:t>
            </w:r>
            <w:proofErr w:type="spellStart"/>
            <w:r w:rsidRPr="00D42A19">
              <w:rPr>
                <w:sz w:val="18"/>
              </w:rPr>
              <w:t>Kenya</w:t>
            </w:r>
            <w:proofErr w:type="spellEnd"/>
            <w:r w:rsidRPr="00D42A19">
              <w:rPr>
                <w:sz w:val="18"/>
              </w:rPr>
              <w:t xml:space="preserve">, Myanmar, República Unida de </w:t>
            </w:r>
            <w:proofErr w:type="spellStart"/>
            <w:r w:rsidRPr="00D42A19">
              <w:rPr>
                <w:sz w:val="18"/>
              </w:rPr>
              <w:t>Tanzanía</w:t>
            </w:r>
            <w:proofErr w:type="spellEnd"/>
            <w:r w:rsidRPr="00D42A19">
              <w:rPr>
                <w:sz w:val="18"/>
              </w:rPr>
              <w:t xml:space="preserve"> y Uganda</w:t>
            </w:r>
          </w:p>
        </w:tc>
        <w:tc>
          <w:tcPr>
            <w:tcW w:w="1417" w:type="dxa"/>
            <w:shd w:val="clear" w:color="auto" w:fill="auto"/>
          </w:tcPr>
          <w:p w:rsidR="004F3A50" w:rsidRPr="00D42A19" w:rsidRDefault="004F3A50" w:rsidP="004F3A50">
            <w:pPr>
              <w:jc w:val="left"/>
              <w:rPr>
                <w:rFonts w:cs="Mangal"/>
                <w:sz w:val="18"/>
                <w:szCs w:val="26"/>
              </w:rPr>
            </w:pPr>
            <w:r w:rsidRPr="00D42A19">
              <w:rPr>
                <w:sz w:val="18"/>
              </w:rPr>
              <w:t>Nueva Zelandia como asesor técnico y redactor experto de directrices de examen</w:t>
            </w:r>
          </w:p>
        </w:tc>
      </w:tr>
    </w:tbl>
    <w:p w:rsidR="004F3A50" w:rsidRPr="00D42A19" w:rsidRDefault="004F3A50" w:rsidP="004F3A50">
      <w:pPr>
        <w:rPr>
          <w:rFonts w:cs="Mangal"/>
        </w:rPr>
      </w:pPr>
    </w:p>
    <w:p w:rsidR="004F3A50" w:rsidRPr="00D42A19" w:rsidRDefault="004F3A50" w:rsidP="003F39F5">
      <w:pPr>
        <w:jc w:val="left"/>
      </w:pPr>
    </w:p>
    <w:p w:rsidR="004F3A50" w:rsidRPr="00D42A19" w:rsidRDefault="004F3A50" w:rsidP="003F39F5">
      <w:pPr>
        <w:jc w:val="left"/>
      </w:pPr>
    </w:p>
    <w:p w:rsidR="003F39F5" w:rsidRPr="00D42A19" w:rsidRDefault="00F14899" w:rsidP="003F39F5">
      <w:pPr>
        <w:jc w:val="right"/>
      </w:pPr>
      <w:r w:rsidRPr="00D42A19">
        <w:t>[Sigue el Anexo</w:t>
      </w:r>
      <w:r w:rsidR="003F39F5" w:rsidRPr="00D42A19">
        <w:t xml:space="preserve"> X</w:t>
      </w:r>
      <w:r w:rsidRPr="00D42A19">
        <w:t>]</w:t>
      </w:r>
    </w:p>
    <w:p w:rsidR="003F39F5" w:rsidRPr="00D42A19" w:rsidRDefault="003F39F5" w:rsidP="003F39F5">
      <w:pPr>
        <w:jc w:val="left"/>
        <w:sectPr w:rsidR="003F39F5" w:rsidRPr="00D42A19" w:rsidSect="004F3A50">
          <w:headerReference w:type="default" r:id="rId27"/>
          <w:pgSz w:w="11907" w:h="16840" w:code="9"/>
          <w:pgMar w:top="510" w:right="1134" w:bottom="1134" w:left="1134" w:header="510" w:footer="680" w:gutter="0"/>
          <w:pgNumType w:start="1"/>
          <w:cols w:space="720"/>
          <w:titlePg/>
        </w:sectPr>
      </w:pPr>
    </w:p>
    <w:p w:rsidR="003F39F5" w:rsidRPr="00D42A19" w:rsidRDefault="003F39F5" w:rsidP="003F39F5">
      <w:pPr>
        <w:jc w:val="center"/>
      </w:pPr>
      <w:r w:rsidRPr="00D42A19">
        <w:t>C/49/15</w:t>
      </w:r>
    </w:p>
    <w:p w:rsidR="003F39F5" w:rsidRPr="00D42A19" w:rsidRDefault="003F39F5" w:rsidP="003F39F5">
      <w:pPr>
        <w:jc w:val="center"/>
      </w:pPr>
    </w:p>
    <w:p w:rsidR="003F39F5" w:rsidRPr="00D42A19" w:rsidRDefault="00F14899" w:rsidP="003F39F5">
      <w:pPr>
        <w:jc w:val="center"/>
      </w:pPr>
      <w:r w:rsidRPr="00D42A19">
        <w:t>ANEXO</w:t>
      </w:r>
      <w:r w:rsidR="003F39F5" w:rsidRPr="00D42A19">
        <w:t xml:space="preserve"> X</w:t>
      </w:r>
    </w:p>
    <w:p w:rsidR="003F39F5" w:rsidRPr="00D42A19" w:rsidRDefault="003F39F5" w:rsidP="003F39F5">
      <w:pPr>
        <w:jc w:val="center"/>
      </w:pPr>
    </w:p>
    <w:p w:rsidR="003F39F5" w:rsidRPr="00D42A19" w:rsidRDefault="003F39F5" w:rsidP="003F39F5">
      <w:pPr>
        <w:jc w:val="center"/>
      </w:pPr>
    </w:p>
    <w:p w:rsidR="003F39F5" w:rsidRPr="00D42A19" w:rsidRDefault="00F14899" w:rsidP="003F39F5">
      <w:pPr>
        <w:jc w:val="center"/>
      </w:pPr>
      <w:r w:rsidRPr="00D42A19">
        <w:t>POLONIA</w:t>
      </w:r>
    </w:p>
    <w:p w:rsidR="00702E8E" w:rsidRPr="00D42A19" w:rsidRDefault="00702E8E" w:rsidP="00702E8E">
      <w:pPr>
        <w:tabs>
          <w:tab w:val="left" w:pos="4962"/>
        </w:tabs>
        <w:jc w:val="center"/>
        <w:rPr>
          <w:rFonts w:cs="Arial"/>
        </w:rPr>
      </w:pPr>
      <w:r w:rsidRPr="00D42A19">
        <w:t>(Período:  1 de septiembre de 2014 a 31 de agosto de 2015)</w:t>
      </w:r>
    </w:p>
    <w:p w:rsidR="00702E8E" w:rsidRPr="00D42A19" w:rsidRDefault="00702E8E" w:rsidP="00702E8E"/>
    <w:p w:rsidR="00702E8E" w:rsidRPr="00D42A19" w:rsidRDefault="00702E8E" w:rsidP="00702E8E"/>
    <w:p w:rsidR="00702E8E" w:rsidRPr="00D42A19" w:rsidRDefault="00702E8E" w:rsidP="00702E8E">
      <w:r w:rsidRPr="00D42A19">
        <w:t>I</w:t>
      </w:r>
      <w:r w:rsidRPr="00D42A19">
        <w:tab/>
        <w:t>PROTECCIÓN DE LAS OBTENCIONES VEGETALES</w:t>
      </w:r>
    </w:p>
    <w:p w:rsidR="00702E8E" w:rsidRPr="00D42A19" w:rsidRDefault="00702E8E" w:rsidP="00702E8E">
      <w:pPr>
        <w:tabs>
          <w:tab w:val="left" w:pos="4962"/>
        </w:tabs>
        <w:rPr>
          <w:rFonts w:cs="Arial"/>
          <w:u w:val="single"/>
        </w:rPr>
      </w:pPr>
    </w:p>
    <w:p w:rsidR="00702E8E" w:rsidRPr="00D42A19" w:rsidRDefault="00702E8E" w:rsidP="00702E8E">
      <w:pPr>
        <w:tabs>
          <w:tab w:val="left" w:pos="567"/>
          <w:tab w:val="left" w:pos="4962"/>
        </w:tabs>
        <w:rPr>
          <w:rFonts w:cs="Arial"/>
          <w:u w:val="single"/>
        </w:rPr>
      </w:pPr>
      <w:r w:rsidRPr="00D42A19">
        <w:t>1.</w:t>
      </w:r>
      <w:r w:rsidRPr="00D42A19">
        <w:tab/>
      </w:r>
      <w:r w:rsidRPr="00D42A19">
        <w:rPr>
          <w:u w:val="single"/>
        </w:rPr>
        <w:t>Situación en el campo legislativo</w:t>
      </w:r>
    </w:p>
    <w:p w:rsidR="00702E8E" w:rsidRPr="00D42A19" w:rsidRDefault="00702E8E" w:rsidP="00702E8E">
      <w:pPr>
        <w:tabs>
          <w:tab w:val="left" w:pos="4962"/>
        </w:tabs>
        <w:rPr>
          <w:rFonts w:cs="Arial"/>
        </w:rPr>
      </w:pPr>
    </w:p>
    <w:p w:rsidR="00702E8E" w:rsidRPr="00D42A19" w:rsidRDefault="00702E8E" w:rsidP="00702E8E">
      <w:pPr>
        <w:tabs>
          <w:tab w:val="left" w:pos="4962"/>
        </w:tabs>
        <w:rPr>
          <w:rFonts w:cs="Arial"/>
        </w:rPr>
      </w:pPr>
      <w:r w:rsidRPr="00D42A19">
        <w:t>Durante el período objeto del informe no se produjeron modificaciones de nuestra legislación en materia de derechos de obtentor.</w:t>
      </w:r>
    </w:p>
    <w:p w:rsidR="00702E8E" w:rsidRPr="00D42A19" w:rsidRDefault="00702E8E" w:rsidP="00702E8E">
      <w:pPr>
        <w:tabs>
          <w:tab w:val="left" w:pos="4962"/>
        </w:tabs>
        <w:rPr>
          <w:rFonts w:cs="Arial"/>
        </w:rPr>
      </w:pPr>
    </w:p>
    <w:p w:rsidR="00702E8E" w:rsidRPr="00D42A19" w:rsidRDefault="00702E8E" w:rsidP="00702E8E">
      <w:pPr>
        <w:tabs>
          <w:tab w:val="left" w:pos="4962"/>
        </w:tabs>
        <w:rPr>
          <w:rFonts w:cs="Arial"/>
        </w:rPr>
      </w:pPr>
      <w:r w:rsidRPr="00D42A19">
        <w:t xml:space="preserve">La Ley de 26 de junio de 2003 sobre la Protección Jurídica de las Obtenciones Vegetales (Boletín Oficial de Polonia Nº 137/2003, apartado 1300;  enmendado) constituye la base jurídica del sistema nacional de protección de los derechos de obtentor en Polonia. </w:t>
      </w:r>
    </w:p>
    <w:p w:rsidR="00702E8E" w:rsidRPr="00D42A19" w:rsidRDefault="00702E8E" w:rsidP="00702E8E">
      <w:pPr>
        <w:tabs>
          <w:tab w:val="left" w:pos="4962"/>
        </w:tabs>
        <w:rPr>
          <w:rFonts w:cs="Arial"/>
        </w:rPr>
      </w:pPr>
    </w:p>
    <w:p w:rsidR="00702E8E" w:rsidRPr="00D42A19" w:rsidRDefault="00702E8E" w:rsidP="00702E8E">
      <w:pPr>
        <w:tabs>
          <w:tab w:val="left" w:pos="4962"/>
        </w:tabs>
        <w:rPr>
          <w:rFonts w:cs="Arial"/>
        </w:rPr>
      </w:pPr>
      <w:r w:rsidRPr="00D42A19">
        <w:t>La Ley sobre la Protección de las Obtenciones Vegetales de Polonia se basa en el Acta de 1991 del Convenio de la UPOV.  Polonia se adhirió al Acta de 1991 del Convenio de la UPOV, como Estado vigésimo cuarto, el 15 de agosto de 2003.</w:t>
      </w:r>
    </w:p>
    <w:p w:rsidR="00702E8E" w:rsidRPr="00D42A19" w:rsidRDefault="00702E8E" w:rsidP="00702E8E">
      <w:pPr>
        <w:tabs>
          <w:tab w:val="left" w:pos="4962"/>
        </w:tabs>
        <w:rPr>
          <w:rFonts w:cs="Arial"/>
        </w:rPr>
      </w:pPr>
    </w:p>
    <w:p w:rsidR="00702E8E" w:rsidRPr="00D42A19" w:rsidRDefault="00702E8E" w:rsidP="00702E8E">
      <w:pPr>
        <w:tabs>
          <w:tab w:val="left" w:pos="4962"/>
        </w:tabs>
        <w:rPr>
          <w:rFonts w:cs="Arial"/>
        </w:rPr>
      </w:pPr>
      <w:r w:rsidRPr="00D42A19">
        <w:t>Desde el 1 de noviembre de 2000, todos los géneros y especies vegetales tienen derecho a la protección de los derechos de obtentor en Polonia.</w:t>
      </w:r>
    </w:p>
    <w:p w:rsidR="00702E8E" w:rsidRPr="00D42A19" w:rsidRDefault="00702E8E" w:rsidP="00702E8E">
      <w:pPr>
        <w:tabs>
          <w:tab w:val="left" w:pos="4962"/>
        </w:tabs>
        <w:rPr>
          <w:rFonts w:cs="Arial"/>
        </w:rPr>
      </w:pPr>
    </w:p>
    <w:p w:rsidR="00702E8E" w:rsidRPr="00D42A19" w:rsidRDefault="00702E8E" w:rsidP="00702E8E">
      <w:pPr>
        <w:tabs>
          <w:tab w:val="left" w:pos="4962"/>
        </w:tabs>
        <w:rPr>
          <w:rFonts w:cs="Arial"/>
        </w:rPr>
      </w:pPr>
    </w:p>
    <w:p w:rsidR="00702E8E" w:rsidRPr="00D42A19" w:rsidRDefault="00702E8E" w:rsidP="00702E8E">
      <w:pPr>
        <w:tabs>
          <w:tab w:val="left" w:pos="567"/>
          <w:tab w:val="left" w:pos="4962"/>
        </w:tabs>
        <w:rPr>
          <w:rFonts w:cs="Arial"/>
          <w:u w:val="single"/>
        </w:rPr>
      </w:pPr>
      <w:r w:rsidRPr="00D42A19">
        <w:t>2.</w:t>
      </w:r>
      <w:r w:rsidRPr="00D42A19">
        <w:tab/>
      </w:r>
      <w:r w:rsidRPr="00D42A19">
        <w:rPr>
          <w:u w:val="single"/>
        </w:rPr>
        <w:t>Cooperación en el examen</w:t>
      </w:r>
    </w:p>
    <w:p w:rsidR="00702E8E" w:rsidRPr="00D42A19" w:rsidRDefault="00702E8E" w:rsidP="00702E8E">
      <w:pPr>
        <w:tabs>
          <w:tab w:val="left" w:pos="4962"/>
        </w:tabs>
        <w:rPr>
          <w:rFonts w:cs="Arial"/>
          <w:color w:val="000000"/>
        </w:rPr>
      </w:pPr>
    </w:p>
    <w:p w:rsidR="00702E8E" w:rsidRPr="00D42A19" w:rsidRDefault="00702E8E" w:rsidP="00702E8E">
      <w:pPr>
        <w:tabs>
          <w:tab w:val="left" w:pos="4962"/>
        </w:tabs>
        <w:rPr>
          <w:rFonts w:cs="Arial"/>
          <w:color w:val="000000"/>
        </w:rPr>
      </w:pPr>
      <w:r w:rsidRPr="00D42A19">
        <w:rPr>
          <w:color w:val="000000"/>
        </w:rPr>
        <w:t xml:space="preserve">El Centro de investigación para el examen de cultivares (COBORU) de </w:t>
      </w:r>
      <w:proofErr w:type="spellStart"/>
      <w:r w:rsidRPr="00D42A19">
        <w:rPr>
          <w:color w:val="000000"/>
        </w:rPr>
        <w:t>Słupia</w:t>
      </w:r>
      <w:proofErr w:type="spellEnd"/>
      <w:r w:rsidRPr="00D42A19">
        <w:rPr>
          <w:color w:val="000000"/>
        </w:rPr>
        <w:t xml:space="preserve"> </w:t>
      </w:r>
      <w:proofErr w:type="spellStart"/>
      <w:r w:rsidRPr="00D42A19">
        <w:rPr>
          <w:color w:val="000000"/>
        </w:rPr>
        <w:t>Wielka</w:t>
      </w:r>
      <w:proofErr w:type="spellEnd"/>
      <w:r w:rsidRPr="00D42A19">
        <w:rPr>
          <w:color w:val="000000"/>
        </w:rPr>
        <w:t xml:space="preserve"> continúa colaborando con diversos países en el campo del examen DHE.</w:t>
      </w:r>
    </w:p>
    <w:p w:rsidR="00702E8E" w:rsidRPr="00D42A19" w:rsidRDefault="00702E8E" w:rsidP="00702E8E">
      <w:pPr>
        <w:tabs>
          <w:tab w:val="left" w:pos="4962"/>
        </w:tabs>
        <w:rPr>
          <w:rFonts w:cs="Arial"/>
        </w:rPr>
      </w:pPr>
    </w:p>
    <w:p w:rsidR="00702E8E" w:rsidRPr="00D42A19" w:rsidRDefault="00702E8E" w:rsidP="00702E8E">
      <w:pPr>
        <w:tabs>
          <w:tab w:val="left" w:pos="4962"/>
        </w:tabs>
        <w:rPr>
          <w:rFonts w:cs="Arial"/>
        </w:rPr>
      </w:pPr>
      <w:r w:rsidRPr="00D42A19">
        <w:t xml:space="preserve">Polonia ha firmado acuerdos bilaterales sobre el examen DHE con Eslovaquia, Hungría y la República Checa.  Están en vigor acuerdos unilaterales con </w:t>
      </w:r>
      <w:proofErr w:type="spellStart"/>
      <w:r w:rsidRPr="00D42A19">
        <w:t>Belarús</w:t>
      </w:r>
      <w:proofErr w:type="spellEnd"/>
      <w:r w:rsidRPr="00D42A19">
        <w:t xml:space="preserve">, Eslovenia, Estonia, la Federación de Rusia, Letonia, Lituania, Rumania y Ucrania. </w:t>
      </w:r>
    </w:p>
    <w:p w:rsidR="00702E8E" w:rsidRPr="00D42A19" w:rsidRDefault="00702E8E" w:rsidP="00702E8E">
      <w:pPr>
        <w:tabs>
          <w:tab w:val="left" w:pos="4962"/>
        </w:tabs>
        <w:rPr>
          <w:rFonts w:cs="Arial"/>
        </w:rPr>
      </w:pPr>
    </w:p>
    <w:p w:rsidR="00702E8E" w:rsidRPr="00D42A19" w:rsidRDefault="00702E8E" w:rsidP="00702E8E">
      <w:pPr>
        <w:tabs>
          <w:tab w:val="left" w:pos="4962"/>
        </w:tabs>
        <w:rPr>
          <w:rFonts w:cs="Arial"/>
        </w:rPr>
      </w:pPr>
      <w:r w:rsidRPr="00D42A19">
        <w:t>Durante el período objeto del informe, Polonia realizó exámenes DHE para las administraciones de Austria (1 variedad), Croacia (4 variedades), Eslovaquia (1 variedad), Estonia (33 variedades), Finlandia (2 variedades), Hungría (19 variedades), Letonia (10 variedades), Lituania (56 variedades), la República Checa (33 variedades) y Suecia (4 variedades), así como para la OCVV (21 variedades).</w:t>
      </w:r>
    </w:p>
    <w:p w:rsidR="00702E8E" w:rsidRPr="00D42A19" w:rsidRDefault="00702E8E" w:rsidP="00702E8E">
      <w:pPr>
        <w:tabs>
          <w:tab w:val="left" w:pos="4962"/>
        </w:tabs>
        <w:rPr>
          <w:rFonts w:cs="Arial"/>
        </w:rPr>
      </w:pPr>
    </w:p>
    <w:p w:rsidR="00702E8E" w:rsidRPr="00D42A19" w:rsidRDefault="00702E8E" w:rsidP="00702E8E">
      <w:pPr>
        <w:tabs>
          <w:tab w:val="left" w:pos="4962"/>
        </w:tabs>
        <w:rPr>
          <w:rFonts w:cs="Arial"/>
        </w:rPr>
      </w:pPr>
      <w:r w:rsidRPr="00D42A19">
        <w:t>Se examinaron diferentes especies de plantas agrícolas (107 variedades), hortícolas (20 variedades), ornamentales (16 variedades) y frutales (41 variedades).  En total, se examinaron 184 variedades por encargo de las administraciones mencionadas.</w:t>
      </w:r>
    </w:p>
    <w:p w:rsidR="00702E8E" w:rsidRPr="00D42A19" w:rsidRDefault="00702E8E" w:rsidP="00702E8E">
      <w:pPr>
        <w:tabs>
          <w:tab w:val="left" w:pos="4962"/>
        </w:tabs>
        <w:rPr>
          <w:rFonts w:cs="Arial"/>
        </w:rPr>
      </w:pPr>
    </w:p>
    <w:p w:rsidR="00702E8E" w:rsidRPr="00D42A19" w:rsidRDefault="00702E8E" w:rsidP="00702E8E">
      <w:pPr>
        <w:tabs>
          <w:tab w:val="left" w:pos="4962"/>
        </w:tabs>
        <w:rPr>
          <w:rFonts w:cs="Arial"/>
          <w:color w:val="000000"/>
        </w:rPr>
      </w:pPr>
      <w:r w:rsidRPr="00D42A19">
        <w:rPr>
          <w:color w:val="000000"/>
        </w:rPr>
        <w:t xml:space="preserve">Al igual que en los años anteriores, algunas autoridades </w:t>
      </w:r>
      <w:r w:rsidRPr="00D42A19">
        <w:rPr>
          <w:rFonts w:cs="Arial"/>
          <w:color w:val="000000"/>
        </w:rPr>
        <w:t>—</w:t>
      </w:r>
      <w:r w:rsidRPr="00D42A19">
        <w:rPr>
          <w:color w:val="000000"/>
        </w:rPr>
        <w:t>en concreto Austria, Croacia, Dinamarca,  Eslovenia, Estonia, la Federación de Rusia, Letonia, Lituania, los Países Bajos, la OCVV, Serbia, Suecia y Turquía</w:t>
      </w:r>
      <w:r w:rsidRPr="00D42A19">
        <w:rPr>
          <w:rFonts w:cs="Arial"/>
          <w:color w:val="000000"/>
        </w:rPr>
        <w:t>—</w:t>
      </w:r>
      <w:r w:rsidRPr="00D42A19">
        <w:rPr>
          <w:color w:val="000000"/>
        </w:rPr>
        <w:t xml:space="preserve"> basaron las decisiones sobre sus propios procedimientos en los resultados de los exámenes técnicos del COBORU.</w:t>
      </w:r>
    </w:p>
    <w:p w:rsidR="00702E8E" w:rsidRPr="00D42A19" w:rsidRDefault="00702E8E" w:rsidP="00702E8E">
      <w:pPr>
        <w:tabs>
          <w:tab w:val="left" w:pos="4962"/>
        </w:tabs>
        <w:rPr>
          <w:rFonts w:cs="Arial"/>
        </w:rPr>
      </w:pPr>
    </w:p>
    <w:p w:rsidR="00702E8E" w:rsidRPr="00D42A19" w:rsidRDefault="00702E8E" w:rsidP="00702E8E">
      <w:pPr>
        <w:tabs>
          <w:tab w:val="left" w:pos="4962"/>
        </w:tabs>
        <w:rPr>
          <w:rFonts w:cs="Arial"/>
        </w:rPr>
      </w:pPr>
      <w:r w:rsidRPr="00D42A19">
        <w:t>Polonia participó activamente en la elaboración de los protocolos técnicos durante las reuniones organizadas por la OCVV.</w:t>
      </w:r>
    </w:p>
    <w:p w:rsidR="00702E8E" w:rsidRPr="000F479D" w:rsidRDefault="00702E8E" w:rsidP="00702E8E">
      <w:pPr>
        <w:tabs>
          <w:tab w:val="left" w:pos="4962"/>
        </w:tabs>
        <w:rPr>
          <w:rFonts w:cs="Arial"/>
        </w:rPr>
      </w:pPr>
    </w:p>
    <w:p w:rsidR="00702E8E" w:rsidRPr="00D42A19" w:rsidRDefault="00702E8E" w:rsidP="00702E8E">
      <w:pPr>
        <w:tabs>
          <w:tab w:val="left" w:pos="4962"/>
        </w:tabs>
        <w:rPr>
          <w:rFonts w:cs="Arial"/>
          <w:u w:val="single"/>
        </w:rPr>
      </w:pPr>
    </w:p>
    <w:p w:rsidR="00702E8E" w:rsidRPr="00D42A19" w:rsidRDefault="00702E8E" w:rsidP="00702E8E">
      <w:pPr>
        <w:tabs>
          <w:tab w:val="left" w:pos="567"/>
        </w:tabs>
        <w:rPr>
          <w:rFonts w:cs="Arial"/>
          <w:u w:val="single"/>
        </w:rPr>
      </w:pPr>
      <w:r w:rsidRPr="00D42A19">
        <w:t>3. y 4.</w:t>
      </w:r>
      <w:r w:rsidRPr="00D42A19">
        <w:tab/>
      </w:r>
      <w:r w:rsidRPr="00D42A19">
        <w:tab/>
      </w:r>
      <w:r w:rsidRPr="00D42A19">
        <w:rPr>
          <w:u w:val="single"/>
        </w:rPr>
        <w:t>Situación en los campos administrativo y técnico</w:t>
      </w:r>
    </w:p>
    <w:p w:rsidR="00702E8E" w:rsidRPr="00D42A19" w:rsidRDefault="00702E8E" w:rsidP="00702E8E">
      <w:pPr>
        <w:tabs>
          <w:tab w:val="left" w:pos="567"/>
          <w:tab w:val="left" w:pos="4962"/>
        </w:tabs>
        <w:rPr>
          <w:rFonts w:cs="Arial"/>
          <w:u w:val="single"/>
        </w:rPr>
      </w:pPr>
    </w:p>
    <w:p w:rsidR="00702E8E" w:rsidRPr="00D42A19" w:rsidRDefault="00702E8E" w:rsidP="00702E8E">
      <w:pPr>
        <w:rPr>
          <w:rFonts w:cs="Arial"/>
        </w:rPr>
      </w:pPr>
      <w:r w:rsidRPr="00D42A19">
        <w:t xml:space="preserve">Las actividades de examen DHE de variedades del COBORU se realizan en 13 estaciones experimentales destinadas a esas actividades y ubicadas por todo el país y, en el caso de los frutales, también en el Instituto de Investigación de Horticultura de </w:t>
      </w:r>
      <w:proofErr w:type="spellStart"/>
      <w:r w:rsidRPr="00D42A19">
        <w:t>Skierniewice</w:t>
      </w:r>
      <w:proofErr w:type="spellEnd"/>
      <w:r w:rsidRPr="00D42A19">
        <w:t>.</w:t>
      </w:r>
    </w:p>
    <w:p w:rsidR="00702E8E" w:rsidRPr="00D42A19" w:rsidRDefault="00702E8E" w:rsidP="00702E8E">
      <w:pPr>
        <w:rPr>
          <w:rFonts w:cs="Arial"/>
        </w:rPr>
      </w:pPr>
    </w:p>
    <w:p w:rsidR="00702E8E" w:rsidRPr="00D42A19" w:rsidRDefault="00702E8E" w:rsidP="00702E8E">
      <w:pPr>
        <w:tabs>
          <w:tab w:val="left" w:pos="567"/>
          <w:tab w:val="left" w:pos="4962"/>
        </w:tabs>
        <w:rPr>
          <w:rFonts w:cs="Arial"/>
        </w:rPr>
      </w:pPr>
      <w:r w:rsidRPr="00D42A19">
        <w:t xml:space="preserve">En 2014 se examinaron 9.221 variedades de 180 especies vegetales (8.261 variedades de colecciones de referencia vivas y 960 variedades candidatas). </w:t>
      </w:r>
    </w:p>
    <w:p w:rsidR="00702E8E" w:rsidRPr="00D42A19" w:rsidRDefault="00702E8E" w:rsidP="00702E8E">
      <w:pPr>
        <w:tabs>
          <w:tab w:val="left" w:pos="567"/>
          <w:tab w:val="left" w:pos="4962"/>
        </w:tabs>
        <w:rPr>
          <w:rFonts w:cs="Arial"/>
        </w:rPr>
      </w:pPr>
    </w:p>
    <w:p w:rsidR="00702E8E" w:rsidRPr="00D42A19" w:rsidRDefault="00702E8E" w:rsidP="00702E8E">
      <w:pPr>
        <w:keepNext/>
        <w:tabs>
          <w:tab w:val="left" w:pos="567"/>
          <w:tab w:val="left" w:pos="4962"/>
        </w:tabs>
        <w:rPr>
          <w:rFonts w:cs="Arial"/>
        </w:rPr>
      </w:pPr>
      <w:r w:rsidRPr="00D42A19">
        <w:t>En el gráfico siguiente se indica el número de variedades examinadas en Polonia, por tipo de plantas:</w:t>
      </w:r>
    </w:p>
    <w:p w:rsidR="00702E8E" w:rsidRPr="00D42A19" w:rsidRDefault="00702E8E" w:rsidP="00702E8E">
      <w:pPr>
        <w:keepNext/>
        <w:tabs>
          <w:tab w:val="left" w:pos="567"/>
          <w:tab w:val="left" w:pos="4962"/>
        </w:tabs>
        <w:jc w:val="right"/>
        <w:rPr>
          <w:rFonts w:cs="Arial"/>
        </w:rPr>
      </w:pPr>
    </w:p>
    <w:p w:rsidR="00702E8E" w:rsidRPr="00D42A19" w:rsidRDefault="00702E8E" w:rsidP="00702E8E">
      <w:pPr>
        <w:pStyle w:val="Heading8"/>
        <w:rPr>
          <w:rFonts w:cs="Arial"/>
          <w:lang w:val="es-ES_tradnl"/>
        </w:rPr>
      </w:pPr>
      <w:r w:rsidRPr="00D42A19">
        <w:rPr>
          <w:lang w:val="es-ES_tradnl"/>
        </w:rPr>
        <w:t>Número de variedades sometidas al examen DHE en 2014</w:t>
      </w:r>
    </w:p>
    <w:p w:rsidR="00702E8E" w:rsidRPr="00D42A19" w:rsidRDefault="00702E8E" w:rsidP="00702E8E">
      <w:pPr>
        <w:keepNext/>
        <w:rPr>
          <w:rFonts w:cs="Arial"/>
        </w:rPr>
      </w:pPr>
    </w:p>
    <w:p w:rsidR="00702E8E" w:rsidRPr="00D42A19" w:rsidRDefault="00702E8E" w:rsidP="00702E8E">
      <w:pPr>
        <w:rPr>
          <w:rFonts w:cs="Arial"/>
        </w:rPr>
      </w:pPr>
      <w:r w:rsidRPr="00D42A19">
        <w:rPr>
          <w:rFonts w:cs="Arial"/>
        </w:rPr>
        <w:object w:dxaOrig="5499" w:dyaOrig="41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5pt;height:248.25pt" o:ole="">
            <v:imagedata r:id="rId28" o:title=""/>
          </v:shape>
          <o:OLEObject Type="Embed" ProgID="PowerPoint.Slide.12" ShapeID="_x0000_i1025" DrawAspect="Content" ObjectID="_1506841979" r:id="rId29"/>
        </w:object>
      </w:r>
    </w:p>
    <w:p w:rsidR="00702E8E" w:rsidRPr="00D42A19" w:rsidRDefault="00702E8E" w:rsidP="00702E8E">
      <w:pPr>
        <w:rPr>
          <w:rFonts w:cs="Arial"/>
        </w:rPr>
      </w:pPr>
    </w:p>
    <w:p w:rsidR="00702E8E" w:rsidRPr="00D42A19" w:rsidRDefault="00702E8E" w:rsidP="00702E8E">
      <w:pPr>
        <w:pStyle w:val="BodyText"/>
        <w:rPr>
          <w:rFonts w:cs="Arial"/>
        </w:rPr>
      </w:pPr>
      <w:r w:rsidRPr="00D42A19">
        <w:t>En 2014 el COBORU recibió 75 solicitudes de protección nacional de derechos de obtentor, lo que supone una disminución de 13 solicitudes con respecto al año anterior.</w:t>
      </w:r>
    </w:p>
    <w:p w:rsidR="00702E8E" w:rsidRPr="00D42A19" w:rsidRDefault="00702E8E" w:rsidP="00702E8E">
      <w:pPr>
        <w:pStyle w:val="BodyText"/>
        <w:rPr>
          <w:rFonts w:cs="Arial"/>
        </w:rPr>
      </w:pPr>
    </w:p>
    <w:p w:rsidR="00702E8E" w:rsidRPr="00D42A19" w:rsidRDefault="00702E8E" w:rsidP="00702E8E">
      <w:pPr>
        <w:pStyle w:val="BodyText"/>
        <w:rPr>
          <w:rFonts w:cs="Arial"/>
        </w:rPr>
      </w:pPr>
      <w:r w:rsidRPr="00D42A19">
        <w:t>Del 1 de enero al 1 de septiembre de 2015 se presentaron 68 nuevas solicitudes de derechos de obtentor, de las que 39 eran nacionales y 29 extranjeras.  Esta cifra supone un aumento de 14 solicitudes en relación con el período correspondiente al informe anterior (54).</w:t>
      </w:r>
    </w:p>
    <w:p w:rsidR="00702E8E" w:rsidRPr="000F479D" w:rsidRDefault="00702E8E" w:rsidP="00702E8E">
      <w:pPr>
        <w:pStyle w:val="BodyText"/>
        <w:rPr>
          <w:rFonts w:cs="Arial"/>
        </w:rPr>
      </w:pPr>
    </w:p>
    <w:p w:rsidR="00702E8E" w:rsidRPr="00D42A19" w:rsidRDefault="00702E8E" w:rsidP="00702E8E">
      <w:pPr>
        <w:pStyle w:val="BodyText"/>
        <w:rPr>
          <w:rFonts w:cs="Arial"/>
        </w:rPr>
      </w:pPr>
      <w:r w:rsidRPr="00D42A19">
        <w:t>En 2014 el COBORU concedió 57 títulos de protección nacional.  Al final de 2014 había 1.147 títulos nacionales de obtentor en vigor, una cifra que supone una reducción de 91 variedades (7,4%) en relación con el año anterior.</w:t>
      </w:r>
    </w:p>
    <w:p w:rsidR="00702E8E" w:rsidRPr="00D42A19" w:rsidRDefault="00702E8E" w:rsidP="00702E8E">
      <w:pPr>
        <w:pStyle w:val="BodyText"/>
        <w:rPr>
          <w:rFonts w:cs="Arial"/>
        </w:rPr>
      </w:pPr>
    </w:p>
    <w:p w:rsidR="00702E8E" w:rsidRPr="00D42A19" w:rsidRDefault="00702E8E" w:rsidP="00702E8E">
      <w:pPr>
        <w:pStyle w:val="BodyText"/>
        <w:rPr>
          <w:rFonts w:cs="Arial"/>
        </w:rPr>
      </w:pPr>
      <w:r w:rsidRPr="00D42A19">
        <w:t>En el período que va del 1 de enero al 1 de septiembre de 2015 se concedieron 61 títulos nacionales de protección de derechos de obtentor.  A 1 de septiembre de 2015, hay un total de 1.154 obtenciones protegidas en Polonia.</w:t>
      </w:r>
    </w:p>
    <w:p w:rsidR="00702E8E" w:rsidRPr="000F479D" w:rsidRDefault="00702E8E" w:rsidP="00702E8E">
      <w:pPr>
        <w:pStyle w:val="BodyText"/>
        <w:rPr>
          <w:rFonts w:cs="Arial"/>
        </w:rPr>
      </w:pPr>
    </w:p>
    <w:p w:rsidR="00702E8E" w:rsidRPr="00D42A19" w:rsidRDefault="00702E8E" w:rsidP="00702E8E">
      <w:pPr>
        <w:pStyle w:val="BodyText"/>
        <w:rPr>
          <w:rFonts w:cs="Arial"/>
        </w:rPr>
      </w:pPr>
      <w:r w:rsidRPr="00D42A19">
        <w:t>En el cuadro siguiente se ofrecen datos estadísticos pormenorizados.</w:t>
      </w:r>
    </w:p>
    <w:p w:rsidR="00702E8E" w:rsidRPr="000F479D" w:rsidRDefault="00702E8E" w:rsidP="00702E8E">
      <w:pPr>
        <w:pStyle w:val="BodyText"/>
        <w:rPr>
          <w:rFonts w:cs="Arial"/>
        </w:rPr>
      </w:pPr>
    </w:p>
    <w:p w:rsidR="00702E8E" w:rsidRPr="00D42A19" w:rsidRDefault="00702E8E" w:rsidP="00702E8E">
      <w:pPr>
        <w:pStyle w:val="BodyText2"/>
        <w:jc w:val="both"/>
        <w:rPr>
          <w:rFonts w:ascii="Arial" w:hAnsi="Arial" w:cs="Arial"/>
          <w:sz w:val="20"/>
          <w:lang w:val="es-ES_tradnl"/>
        </w:rPr>
      </w:pPr>
      <w:r w:rsidRPr="00D42A19">
        <w:rPr>
          <w:rFonts w:ascii="Arial" w:hAnsi="Arial"/>
          <w:sz w:val="20"/>
          <w:lang w:val="es-ES_tradnl"/>
        </w:rPr>
        <w:t>En la columna “Títulos caducados” se han incluido también 12 variedades cuyos títulos nacionales de obtentor vencieron durante el período del informe.</w:t>
      </w:r>
    </w:p>
    <w:p w:rsidR="00702E8E" w:rsidRPr="00D42A19" w:rsidRDefault="00702E8E" w:rsidP="00702E8E">
      <w:pPr>
        <w:pStyle w:val="BodyText2"/>
        <w:jc w:val="both"/>
        <w:rPr>
          <w:rFonts w:ascii="Arial" w:hAnsi="Arial" w:cs="Arial"/>
          <w:sz w:val="20"/>
          <w:lang w:val="es-ES_tradnl"/>
        </w:rPr>
      </w:pPr>
    </w:p>
    <w:p w:rsidR="00702E8E" w:rsidRPr="00D42A19" w:rsidRDefault="00702E8E" w:rsidP="00702E8E">
      <w:pPr>
        <w:pStyle w:val="BodyText2"/>
        <w:jc w:val="both"/>
        <w:rPr>
          <w:rFonts w:ascii="Arial" w:hAnsi="Arial" w:cs="Arial"/>
          <w:sz w:val="20"/>
          <w:lang w:val="es-ES_tradnl"/>
        </w:rPr>
      </w:pPr>
    </w:p>
    <w:tbl>
      <w:tblPr>
        <w:tblW w:w="9600" w:type="dxa"/>
        <w:tblInd w:w="70" w:type="dxa"/>
        <w:tblLayout w:type="fixed"/>
        <w:tblCellMar>
          <w:left w:w="70" w:type="dxa"/>
          <w:right w:w="70" w:type="dxa"/>
        </w:tblCellMar>
        <w:tblLook w:val="0000" w:firstRow="0" w:lastRow="0" w:firstColumn="0" w:lastColumn="0" w:noHBand="0" w:noVBand="0"/>
      </w:tblPr>
      <w:tblGrid>
        <w:gridCol w:w="1371"/>
        <w:gridCol w:w="1134"/>
        <w:gridCol w:w="1071"/>
        <w:gridCol w:w="894"/>
        <w:gridCol w:w="1052"/>
        <w:gridCol w:w="1094"/>
        <w:gridCol w:w="694"/>
        <w:gridCol w:w="1148"/>
        <w:gridCol w:w="1142"/>
      </w:tblGrid>
      <w:tr w:rsidR="00702E8E" w:rsidRPr="00D42A19" w:rsidTr="005B5E84">
        <w:tc>
          <w:tcPr>
            <w:tcW w:w="1371" w:type="dxa"/>
            <w:tcBorders>
              <w:top w:val="single" w:sz="4" w:space="0" w:color="auto"/>
              <w:left w:val="single" w:sz="6" w:space="0" w:color="auto"/>
            </w:tcBorders>
            <w:tcMar>
              <w:left w:w="23" w:type="dxa"/>
              <w:right w:w="23" w:type="dxa"/>
            </w:tcMar>
          </w:tcPr>
          <w:p w:rsidR="00702E8E" w:rsidRPr="00D42A19" w:rsidRDefault="00702E8E" w:rsidP="005B5E84">
            <w:pPr>
              <w:jc w:val="center"/>
              <w:rPr>
                <w:rFonts w:cs="Arial"/>
              </w:rPr>
            </w:pPr>
          </w:p>
          <w:p w:rsidR="00702E8E" w:rsidRPr="00D42A19" w:rsidRDefault="00702E8E" w:rsidP="005B5E84">
            <w:pPr>
              <w:jc w:val="center"/>
              <w:rPr>
                <w:rFonts w:cs="Arial"/>
              </w:rPr>
            </w:pPr>
            <w:r w:rsidRPr="00D42A19">
              <w:t xml:space="preserve">Especies </w:t>
            </w:r>
          </w:p>
          <w:p w:rsidR="00702E8E" w:rsidRPr="00D42A19" w:rsidRDefault="00702E8E" w:rsidP="005B5E84">
            <w:pPr>
              <w:jc w:val="center"/>
              <w:rPr>
                <w:rFonts w:cs="Arial"/>
              </w:rPr>
            </w:pPr>
            <w:r w:rsidRPr="00D42A19">
              <w:t>vegetales</w:t>
            </w:r>
          </w:p>
        </w:tc>
        <w:tc>
          <w:tcPr>
            <w:tcW w:w="3099" w:type="dxa"/>
            <w:gridSpan w:val="3"/>
            <w:tcBorders>
              <w:top w:val="single" w:sz="4" w:space="0" w:color="auto"/>
              <w:left w:val="single" w:sz="12" w:space="0" w:color="auto"/>
              <w:right w:val="single" w:sz="12" w:space="0" w:color="auto"/>
            </w:tcBorders>
            <w:tcMar>
              <w:left w:w="23" w:type="dxa"/>
              <w:right w:w="23" w:type="dxa"/>
            </w:tcMar>
          </w:tcPr>
          <w:p w:rsidR="00702E8E" w:rsidRPr="00D42A19" w:rsidRDefault="00702E8E" w:rsidP="005B5E84">
            <w:pPr>
              <w:jc w:val="center"/>
              <w:rPr>
                <w:rFonts w:cs="Arial"/>
              </w:rPr>
            </w:pPr>
            <w:r w:rsidRPr="00D42A19">
              <w:t>Solicitudes de derechos de obtentor</w:t>
            </w:r>
          </w:p>
          <w:p w:rsidR="00702E8E" w:rsidRPr="00D42A19" w:rsidRDefault="00702E8E" w:rsidP="005B5E84">
            <w:pPr>
              <w:jc w:val="center"/>
              <w:rPr>
                <w:rFonts w:cs="Arial"/>
              </w:rPr>
            </w:pPr>
            <w:r w:rsidRPr="00D42A19">
              <w:t>01/01/2015 a 01/09/2015</w:t>
            </w:r>
          </w:p>
        </w:tc>
        <w:tc>
          <w:tcPr>
            <w:tcW w:w="2840" w:type="dxa"/>
            <w:gridSpan w:val="3"/>
            <w:tcBorders>
              <w:top w:val="single" w:sz="4" w:space="0" w:color="auto"/>
              <w:left w:val="nil"/>
              <w:right w:val="single" w:sz="12" w:space="0" w:color="auto"/>
            </w:tcBorders>
            <w:shd w:val="clear" w:color="auto" w:fill="FFFFFF"/>
            <w:tcMar>
              <w:left w:w="23" w:type="dxa"/>
              <w:right w:w="23" w:type="dxa"/>
            </w:tcMar>
          </w:tcPr>
          <w:p w:rsidR="00702E8E" w:rsidRPr="00D42A19" w:rsidRDefault="00702E8E" w:rsidP="005B5E84">
            <w:pPr>
              <w:shd w:val="clear" w:color="auto" w:fill="FFFFFF"/>
              <w:jc w:val="center"/>
              <w:rPr>
                <w:rFonts w:cs="Arial"/>
              </w:rPr>
            </w:pPr>
            <w:r w:rsidRPr="00D42A19">
              <w:t>Títulos concedidos</w:t>
            </w:r>
          </w:p>
          <w:p w:rsidR="00702E8E" w:rsidRPr="00D42A19" w:rsidRDefault="00702E8E" w:rsidP="005B5E84">
            <w:pPr>
              <w:shd w:val="clear" w:color="auto" w:fill="FFFFFF"/>
              <w:jc w:val="center"/>
              <w:rPr>
                <w:rFonts w:cs="Arial"/>
              </w:rPr>
            </w:pPr>
            <w:r w:rsidRPr="00D42A19">
              <w:t>01/01/2015 a 01/09/2015</w:t>
            </w:r>
          </w:p>
        </w:tc>
        <w:tc>
          <w:tcPr>
            <w:tcW w:w="1148" w:type="dxa"/>
            <w:tcBorders>
              <w:top w:val="single" w:sz="4" w:space="0" w:color="auto"/>
              <w:left w:val="nil"/>
              <w:right w:val="single" w:sz="12" w:space="0" w:color="auto"/>
            </w:tcBorders>
            <w:tcMar>
              <w:left w:w="23" w:type="dxa"/>
              <w:right w:w="23" w:type="dxa"/>
            </w:tcMar>
          </w:tcPr>
          <w:p w:rsidR="00702E8E" w:rsidRPr="00D42A19" w:rsidRDefault="00702E8E" w:rsidP="005B5E84">
            <w:pPr>
              <w:jc w:val="center"/>
              <w:rPr>
                <w:rFonts w:cs="Arial"/>
              </w:rPr>
            </w:pPr>
            <w:r w:rsidRPr="00D42A19">
              <w:t xml:space="preserve">Títulos </w:t>
            </w:r>
          </w:p>
          <w:p w:rsidR="00702E8E" w:rsidRPr="00D42A19" w:rsidRDefault="00702E8E" w:rsidP="005B5E84">
            <w:pPr>
              <w:jc w:val="center"/>
              <w:rPr>
                <w:rFonts w:cs="Arial"/>
              </w:rPr>
            </w:pPr>
            <w:r w:rsidRPr="00D42A19">
              <w:t>caducados</w:t>
            </w:r>
          </w:p>
        </w:tc>
        <w:tc>
          <w:tcPr>
            <w:tcW w:w="1142" w:type="dxa"/>
            <w:tcBorders>
              <w:top w:val="single" w:sz="4" w:space="0" w:color="auto"/>
              <w:left w:val="nil"/>
              <w:right w:val="single" w:sz="6" w:space="0" w:color="auto"/>
            </w:tcBorders>
            <w:shd w:val="clear" w:color="auto" w:fill="FFFFFF"/>
            <w:tcMar>
              <w:left w:w="23" w:type="dxa"/>
              <w:right w:w="23" w:type="dxa"/>
            </w:tcMar>
          </w:tcPr>
          <w:p w:rsidR="00702E8E" w:rsidRPr="00D42A19" w:rsidRDefault="00702E8E" w:rsidP="005B5E84">
            <w:pPr>
              <w:ind w:right="-6"/>
              <w:jc w:val="center"/>
              <w:rPr>
                <w:rFonts w:cs="Arial"/>
              </w:rPr>
            </w:pPr>
            <w:r w:rsidRPr="00D42A19">
              <w:t>Títulos en vigor a 01/09/2015</w:t>
            </w:r>
          </w:p>
        </w:tc>
      </w:tr>
      <w:tr w:rsidR="00702E8E" w:rsidRPr="00D42A19" w:rsidTr="005B5E84">
        <w:tc>
          <w:tcPr>
            <w:tcW w:w="1371" w:type="dxa"/>
            <w:tcBorders>
              <w:left w:val="single" w:sz="6" w:space="0" w:color="auto"/>
              <w:right w:val="single" w:sz="12" w:space="0" w:color="auto"/>
            </w:tcBorders>
            <w:tcMar>
              <w:left w:w="23" w:type="dxa"/>
              <w:right w:w="23" w:type="dxa"/>
            </w:tcMar>
          </w:tcPr>
          <w:p w:rsidR="00702E8E" w:rsidRPr="00D42A19" w:rsidRDefault="00702E8E" w:rsidP="005B5E84">
            <w:pPr>
              <w:rPr>
                <w:rFonts w:cs="Arial"/>
              </w:rPr>
            </w:pPr>
          </w:p>
        </w:tc>
        <w:tc>
          <w:tcPr>
            <w:tcW w:w="1134" w:type="dxa"/>
            <w:tcBorders>
              <w:top w:val="single" w:sz="6" w:space="0" w:color="auto"/>
              <w:left w:val="nil"/>
              <w:right w:val="single" w:sz="6" w:space="0" w:color="auto"/>
            </w:tcBorders>
            <w:tcMar>
              <w:left w:w="23" w:type="dxa"/>
              <w:right w:w="23" w:type="dxa"/>
            </w:tcMar>
          </w:tcPr>
          <w:p w:rsidR="00702E8E" w:rsidRPr="00D42A19" w:rsidRDefault="00702E8E" w:rsidP="005B5E84">
            <w:pPr>
              <w:jc w:val="center"/>
              <w:rPr>
                <w:rFonts w:cs="Arial"/>
              </w:rPr>
            </w:pPr>
            <w:r w:rsidRPr="00D42A19">
              <w:t>nacionales</w:t>
            </w:r>
          </w:p>
        </w:tc>
        <w:tc>
          <w:tcPr>
            <w:tcW w:w="1071" w:type="dxa"/>
            <w:tcBorders>
              <w:top w:val="single" w:sz="6" w:space="0" w:color="auto"/>
              <w:left w:val="nil"/>
              <w:right w:val="single" w:sz="6" w:space="0" w:color="auto"/>
            </w:tcBorders>
            <w:tcMar>
              <w:left w:w="23" w:type="dxa"/>
              <w:right w:w="23" w:type="dxa"/>
            </w:tcMar>
          </w:tcPr>
          <w:p w:rsidR="00702E8E" w:rsidRPr="00D42A19" w:rsidRDefault="00702E8E" w:rsidP="005B5E84">
            <w:pPr>
              <w:jc w:val="center"/>
              <w:rPr>
                <w:rFonts w:cs="Arial"/>
              </w:rPr>
            </w:pPr>
            <w:r w:rsidRPr="00D42A19">
              <w:t>extranjeras</w:t>
            </w:r>
          </w:p>
        </w:tc>
        <w:tc>
          <w:tcPr>
            <w:tcW w:w="894" w:type="dxa"/>
            <w:tcBorders>
              <w:top w:val="single" w:sz="6" w:space="0" w:color="auto"/>
              <w:left w:val="nil"/>
              <w:right w:val="single" w:sz="12" w:space="0" w:color="auto"/>
            </w:tcBorders>
            <w:tcMar>
              <w:left w:w="23" w:type="dxa"/>
              <w:right w:w="23" w:type="dxa"/>
            </w:tcMar>
          </w:tcPr>
          <w:p w:rsidR="00702E8E" w:rsidRPr="00D42A19" w:rsidRDefault="00702E8E" w:rsidP="005B5E84">
            <w:pPr>
              <w:jc w:val="center"/>
              <w:rPr>
                <w:rFonts w:cs="Arial"/>
              </w:rPr>
            </w:pPr>
            <w:r w:rsidRPr="00D42A19">
              <w:t>total</w:t>
            </w:r>
          </w:p>
        </w:tc>
        <w:tc>
          <w:tcPr>
            <w:tcW w:w="1052" w:type="dxa"/>
            <w:tcBorders>
              <w:top w:val="single" w:sz="6" w:space="0" w:color="auto"/>
              <w:left w:val="nil"/>
              <w:right w:val="single" w:sz="6" w:space="0" w:color="auto"/>
            </w:tcBorders>
            <w:tcMar>
              <w:left w:w="23" w:type="dxa"/>
              <w:right w:w="23" w:type="dxa"/>
            </w:tcMar>
          </w:tcPr>
          <w:p w:rsidR="00702E8E" w:rsidRPr="00D42A19" w:rsidRDefault="00702E8E" w:rsidP="005B5E84">
            <w:pPr>
              <w:jc w:val="center"/>
              <w:rPr>
                <w:rFonts w:cs="Arial"/>
              </w:rPr>
            </w:pPr>
            <w:r w:rsidRPr="00D42A19">
              <w:t>nacionales</w:t>
            </w:r>
          </w:p>
        </w:tc>
        <w:tc>
          <w:tcPr>
            <w:tcW w:w="1094" w:type="dxa"/>
            <w:tcBorders>
              <w:top w:val="single" w:sz="6" w:space="0" w:color="auto"/>
              <w:left w:val="nil"/>
              <w:right w:val="single" w:sz="6" w:space="0" w:color="auto"/>
            </w:tcBorders>
            <w:tcMar>
              <w:left w:w="23" w:type="dxa"/>
              <w:right w:w="23" w:type="dxa"/>
            </w:tcMar>
          </w:tcPr>
          <w:p w:rsidR="00702E8E" w:rsidRPr="00D42A19" w:rsidRDefault="00702E8E" w:rsidP="005B5E84">
            <w:pPr>
              <w:jc w:val="center"/>
              <w:rPr>
                <w:rFonts w:cs="Arial"/>
              </w:rPr>
            </w:pPr>
            <w:r w:rsidRPr="00D42A19">
              <w:t>extranjeros</w:t>
            </w:r>
          </w:p>
        </w:tc>
        <w:tc>
          <w:tcPr>
            <w:tcW w:w="694" w:type="dxa"/>
            <w:tcBorders>
              <w:top w:val="single" w:sz="6" w:space="0" w:color="auto"/>
              <w:left w:val="nil"/>
              <w:right w:val="single" w:sz="12" w:space="0" w:color="auto"/>
            </w:tcBorders>
            <w:tcMar>
              <w:left w:w="23" w:type="dxa"/>
              <w:right w:w="23" w:type="dxa"/>
            </w:tcMar>
          </w:tcPr>
          <w:p w:rsidR="00702E8E" w:rsidRPr="00D42A19" w:rsidRDefault="00702E8E" w:rsidP="005B5E84">
            <w:pPr>
              <w:jc w:val="center"/>
              <w:rPr>
                <w:rFonts w:cs="Arial"/>
              </w:rPr>
            </w:pPr>
            <w:r w:rsidRPr="00D42A19">
              <w:t>total</w:t>
            </w:r>
          </w:p>
        </w:tc>
        <w:tc>
          <w:tcPr>
            <w:tcW w:w="1148" w:type="dxa"/>
            <w:tcBorders>
              <w:left w:val="nil"/>
              <w:right w:val="single" w:sz="12" w:space="0" w:color="auto"/>
            </w:tcBorders>
            <w:tcMar>
              <w:left w:w="23" w:type="dxa"/>
              <w:right w:w="23" w:type="dxa"/>
            </w:tcMar>
          </w:tcPr>
          <w:p w:rsidR="00702E8E" w:rsidRPr="00D42A19" w:rsidRDefault="00702E8E" w:rsidP="005B5E84">
            <w:pPr>
              <w:jc w:val="center"/>
              <w:rPr>
                <w:rFonts w:cs="Arial"/>
              </w:rPr>
            </w:pPr>
          </w:p>
        </w:tc>
        <w:tc>
          <w:tcPr>
            <w:tcW w:w="1142" w:type="dxa"/>
            <w:tcBorders>
              <w:left w:val="nil"/>
              <w:right w:val="single" w:sz="6" w:space="0" w:color="auto"/>
            </w:tcBorders>
            <w:shd w:val="clear" w:color="auto" w:fill="FFFFFF"/>
            <w:tcMar>
              <w:left w:w="23" w:type="dxa"/>
              <w:right w:w="23" w:type="dxa"/>
            </w:tcMar>
          </w:tcPr>
          <w:p w:rsidR="00702E8E" w:rsidRPr="00D42A19" w:rsidRDefault="00702E8E" w:rsidP="005B5E84">
            <w:pPr>
              <w:jc w:val="center"/>
              <w:rPr>
                <w:rFonts w:cs="Arial"/>
              </w:rPr>
            </w:pPr>
          </w:p>
        </w:tc>
      </w:tr>
      <w:tr w:rsidR="00702E8E" w:rsidRPr="00D42A19" w:rsidTr="005B5E84">
        <w:tc>
          <w:tcPr>
            <w:tcW w:w="1371" w:type="dxa"/>
            <w:tcBorders>
              <w:top w:val="single" w:sz="12" w:space="0" w:color="auto"/>
              <w:left w:val="single" w:sz="6" w:space="0" w:color="auto"/>
              <w:bottom w:val="single" w:sz="6" w:space="0" w:color="auto"/>
              <w:right w:val="single" w:sz="12" w:space="0" w:color="auto"/>
            </w:tcBorders>
            <w:tcMar>
              <w:left w:w="23" w:type="dxa"/>
              <w:right w:w="23" w:type="dxa"/>
            </w:tcMar>
          </w:tcPr>
          <w:p w:rsidR="00702E8E" w:rsidRPr="00D42A19" w:rsidRDefault="00702E8E" w:rsidP="005B5E84">
            <w:pPr>
              <w:spacing w:before="120"/>
              <w:jc w:val="center"/>
              <w:rPr>
                <w:rFonts w:cs="Arial"/>
              </w:rPr>
            </w:pPr>
            <w:r w:rsidRPr="00D42A19">
              <w:t>Agrícolas</w:t>
            </w:r>
          </w:p>
        </w:tc>
        <w:tc>
          <w:tcPr>
            <w:tcW w:w="1134" w:type="dxa"/>
            <w:tcBorders>
              <w:top w:val="single" w:sz="12" w:space="0" w:color="auto"/>
              <w:left w:val="nil"/>
              <w:bottom w:val="single" w:sz="6" w:space="0" w:color="auto"/>
              <w:right w:val="single" w:sz="6" w:space="0" w:color="auto"/>
            </w:tcBorders>
            <w:tcMar>
              <w:left w:w="23" w:type="dxa"/>
              <w:right w:w="23" w:type="dxa"/>
            </w:tcMar>
          </w:tcPr>
          <w:p w:rsidR="00702E8E" w:rsidRPr="00D42A19" w:rsidRDefault="00702E8E" w:rsidP="005B5E84">
            <w:pPr>
              <w:spacing w:before="120"/>
              <w:jc w:val="center"/>
              <w:rPr>
                <w:rFonts w:cs="Arial"/>
              </w:rPr>
            </w:pPr>
            <w:r w:rsidRPr="00D42A19">
              <w:t>23</w:t>
            </w:r>
          </w:p>
        </w:tc>
        <w:tc>
          <w:tcPr>
            <w:tcW w:w="1071" w:type="dxa"/>
            <w:tcBorders>
              <w:top w:val="single" w:sz="12" w:space="0" w:color="auto"/>
              <w:left w:val="single" w:sz="6" w:space="0" w:color="auto"/>
              <w:bottom w:val="single" w:sz="6" w:space="0" w:color="auto"/>
              <w:right w:val="single" w:sz="6" w:space="0" w:color="auto"/>
            </w:tcBorders>
            <w:tcMar>
              <w:left w:w="23" w:type="dxa"/>
              <w:right w:w="23" w:type="dxa"/>
            </w:tcMar>
          </w:tcPr>
          <w:p w:rsidR="00702E8E" w:rsidRPr="00D42A19" w:rsidRDefault="00702E8E" w:rsidP="005B5E84">
            <w:pPr>
              <w:spacing w:before="120"/>
              <w:jc w:val="center"/>
              <w:rPr>
                <w:rFonts w:cs="Arial"/>
              </w:rPr>
            </w:pPr>
            <w:r w:rsidRPr="00D42A19">
              <w:t>3</w:t>
            </w:r>
          </w:p>
        </w:tc>
        <w:tc>
          <w:tcPr>
            <w:tcW w:w="894" w:type="dxa"/>
            <w:tcBorders>
              <w:top w:val="single" w:sz="12" w:space="0" w:color="auto"/>
              <w:left w:val="single" w:sz="6" w:space="0" w:color="auto"/>
              <w:bottom w:val="single" w:sz="6" w:space="0" w:color="auto"/>
              <w:right w:val="single" w:sz="12" w:space="0" w:color="auto"/>
            </w:tcBorders>
            <w:shd w:val="clear" w:color="auto" w:fill="D9D9D9"/>
            <w:tcMar>
              <w:left w:w="23" w:type="dxa"/>
              <w:right w:w="23" w:type="dxa"/>
            </w:tcMar>
          </w:tcPr>
          <w:p w:rsidR="00702E8E" w:rsidRPr="00D42A19" w:rsidRDefault="00702E8E" w:rsidP="005B5E84">
            <w:pPr>
              <w:spacing w:before="120"/>
              <w:jc w:val="center"/>
              <w:rPr>
                <w:rFonts w:cs="Arial"/>
              </w:rPr>
            </w:pPr>
            <w:r w:rsidRPr="00D42A19">
              <w:t>26</w:t>
            </w:r>
          </w:p>
        </w:tc>
        <w:tc>
          <w:tcPr>
            <w:tcW w:w="1052" w:type="dxa"/>
            <w:tcBorders>
              <w:top w:val="single" w:sz="12" w:space="0" w:color="auto"/>
              <w:left w:val="nil"/>
              <w:bottom w:val="single" w:sz="6" w:space="0" w:color="auto"/>
              <w:right w:val="single" w:sz="6" w:space="0" w:color="auto"/>
            </w:tcBorders>
            <w:tcMar>
              <w:left w:w="23" w:type="dxa"/>
              <w:right w:w="23" w:type="dxa"/>
            </w:tcMar>
          </w:tcPr>
          <w:p w:rsidR="00702E8E" w:rsidRPr="00D42A19" w:rsidRDefault="00702E8E" w:rsidP="005B5E84">
            <w:pPr>
              <w:spacing w:before="120"/>
              <w:jc w:val="center"/>
              <w:rPr>
                <w:rFonts w:cs="Arial"/>
              </w:rPr>
            </w:pPr>
            <w:r w:rsidRPr="00D42A19">
              <w:t>29</w:t>
            </w:r>
          </w:p>
        </w:tc>
        <w:tc>
          <w:tcPr>
            <w:tcW w:w="1094" w:type="dxa"/>
            <w:tcBorders>
              <w:top w:val="single" w:sz="12" w:space="0" w:color="auto"/>
              <w:left w:val="single" w:sz="6" w:space="0" w:color="auto"/>
              <w:bottom w:val="single" w:sz="6" w:space="0" w:color="auto"/>
              <w:right w:val="single" w:sz="6" w:space="0" w:color="auto"/>
            </w:tcBorders>
            <w:tcMar>
              <w:left w:w="23" w:type="dxa"/>
              <w:right w:w="23" w:type="dxa"/>
            </w:tcMar>
          </w:tcPr>
          <w:p w:rsidR="00702E8E" w:rsidRPr="00D42A19" w:rsidRDefault="00702E8E" w:rsidP="005B5E84">
            <w:pPr>
              <w:spacing w:before="120"/>
              <w:jc w:val="center"/>
              <w:rPr>
                <w:rFonts w:cs="Arial"/>
              </w:rPr>
            </w:pPr>
            <w:r w:rsidRPr="00D42A19">
              <w:t>-</w:t>
            </w:r>
          </w:p>
        </w:tc>
        <w:tc>
          <w:tcPr>
            <w:tcW w:w="694" w:type="dxa"/>
            <w:tcBorders>
              <w:top w:val="single" w:sz="12" w:space="0" w:color="auto"/>
              <w:left w:val="single" w:sz="6" w:space="0" w:color="auto"/>
              <w:bottom w:val="single" w:sz="6" w:space="0" w:color="auto"/>
              <w:right w:val="single" w:sz="12" w:space="0" w:color="auto"/>
            </w:tcBorders>
            <w:shd w:val="clear" w:color="auto" w:fill="D9D9D9"/>
            <w:tcMar>
              <w:left w:w="23" w:type="dxa"/>
              <w:right w:w="23" w:type="dxa"/>
            </w:tcMar>
          </w:tcPr>
          <w:p w:rsidR="00702E8E" w:rsidRPr="00D42A19" w:rsidRDefault="00702E8E" w:rsidP="005B5E84">
            <w:pPr>
              <w:spacing w:before="120"/>
              <w:jc w:val="center"/>
              <w:rPr>
                <w:rFonts w:cs="Arial"/>
              </w:rPr>
            </w:pPr>
            <w:r w:rsidRPr="00D42A19">
              <w:t>29</w:t>
            </w:r>
          </w:p>
        </w:tc>
        <w:tc>
          <w:tcPr>
            <w:tcW w:w="1148" w:type="dxa"/>
            <w:tcBorders>
              <w:top w:val="single" w:sz="12" w:space="0" w:color="auto"/>
              <w:left w:val="nil"/>
              <w:bottom w:val="single" w:sz="6" w:space="0" w:color="auto"/>
              <w:right w:val="single" w:sz="12" w:space="0" w:color="auto"/>
            </w:tcBorders>
            <w:tcMar>
              <w:left w:w="23" w:type="dxa"/>
              <w:right w:w="23" w:type="dxa"/>
            </w:tcMar>
          </w:tcPr>
          <w:p w:rsidR="00702E8E" w:rsidRPr="00D42A19" w:rsidRDefault="00702E8E" w:rsidP="005B5E84">
            <w:pPr>
              <w:spacing w:before="120"/>
              <w:jc w:val="center"/>
              <w:rPr>
                <w:rFonts w:cs="Arial"/>
              </w:rPr>
            </w:pPr>
            <w:r w:rsidRPr="00D42A19">
              <w:t>21</w:t>
            </w:r>
          </w:p>
        </w:tc>
        <w:tc>
          <w:tcPr>
            <w:tcW w:w="1142" w:type="dxa"/>
            <w:tcBorders>
              <w:top w:val="single" w:sz="12" w:space="0" w:color="auto"/>
              <w:left w:val="nil"/>
              <w:bottom w:val="single" w:sz="6" w:space="0" w:color="auto"/>
              <w:right w:val="single" w:sz="6" w:space="0" w:color="auto"/>
            </w:tcBorders>
            <w:shd w:val="clear" w:color="auto" w:fill="D9D9D9"/>
            <w:tcMar>
              <w:left w:w="23" w:type="dxa"/>
              <w:right w:w="23" w:type="dxa"/>
            </w:tcMar>
          </w:tcPr>
          <w:p w:rsidR="00702E8E" w:rsidRPr="00D42A19" w:rsidRDefault="00702E8E" w:rsidP="005B5E84">
            <w:pPr>
              <w:spacing w:before="120"/>
              <w:jc w:val="center"/>
              <w:rPr>
                <w:rFonts w:cs="Arial"/>
              </w:rPr>
            </w:pPr>
            <w:r w:rsidRPr="00D42A19">
              <w:t>624</w:t>
            </w:r>
          </w:p>
        </w:tc>
      </w:tr>
      <w:tr w:rsidR="00702E8E" w:rsidRPr="00D42A19" w:rsidTr="005B5E84">
        <w:tc>
          <w:tcPr>
            <w:tcW w:w="1371" w:type="dxa"/>
            <w:tcBorders>
              <w:top w:val="single" w:sz="6" w:space="0" w:color="auto"/>
              <w:left w:val="single" w:sz="6" w:space="0" w:color="auto"/>
              <w:bottom w:val="single" w:sz="6" w:space="0" w:color="auto"/>
              <w:right w:val="single" w:sz="12" w:space="0" w:color="auto"/>
            </w:tcBorders>
            <w:tcMar>
              <w:left w:w="23" w:type="dxa"/>
              <w:right w:w="23" w:type="dxa"/>
            </w:tcMar>
          </w:tcPr>
          <w:p w:rsidR="00702E8E" w:rsidRPr="00D42A19" w:rsidRDefault="00702E8E" w:rsidP="005B5E84">
            <w:pPr>
              <w:spacing w:before="120"/>
              <w:jc w:val="center"/>
              <w:rPr>
                <w:rFonts w:cs="Arial"/>
              </w:rPr>
            </w:pPr>
            <w:r w:rsidRPr="00D42A19">
              <w:t>Hortícolas</w:t>
            </w:r>
          </w:p>
        </w:tc>
        <w:tc>
          <w:tcPr>
            <w:tcW w:w="1134" w:type="dxa"/>
            <w:tcBorders>
              <w:top w:val="single" w:sz="6" w:space="0" w:color="auto"/>
              <w:left w:val="nil"/>
              <w:bottom w:val="single" w:sz="6" w:space="0" w:color="auto"/>
              <w:right w:val="single" w:sz="6" w:space="0" w:color="auto"/>
            </w:tcBorders>
            <w:tcMar>
              <w:left w:w="23" w:type="dxa"/>
              <w:right w:w="23" w:type="dxa"/>
            </w:tcMar>
          </w:tcPr>
          <w:p w:rsidR="00702E8E" w:rsidRPr="00D42A19" w:rsidRDefault="00702E8E" w:rsidP="005B5E84">
            <w:pPr>
              <w:spacing w:before="120"/>
              <w:jc w:val="center"/>
              <w:rPr>
                <w:rFonts w:cs="Arial"/>
              </w:rPr>
            </w:pPr>
            <w:r w:rsidRPr="00D42A19">
              <w:t>-</w:t>
            </w:r>
          </w:p>
        </w:tc>
        <w:tc>
          <w:tcPr>
            <w:tcW w:w="1071" w:type="dxa"/>
            <w:tcBorders>
              <w:top w:val="single" w:sz="6" w:space="0" w:color="auto"/>
              <w:left w:val="single" w:sz="6" w:space="0" w:color="auto"/>
              <w:bottom w:val="single" w:sz="6" w:space="0" w:color="auto"/>
              <w:right w:val="single" w:sz="6" w:space="0" w:color="auto"/>
            </w:tcBorders>
            <w:tcMar>
              <w:left w:w="23" w:type="dxa"/>
              <w:right w:w="23" w:type="dxa"/>
            </w:tcMar>
          </w:tcPr>
          <w:p w:rsidR="00702E8E" w:rsidRPr="00D42A19" w:rsidRDefault="00702E8E" w:rsidP="005B5E84">
            <w:pPr>
              <w:spacing w:before="120"/>
              <w:jc w:val="center"/>
              <w:rPr>
                <w:rFonts w:cs="Arial"/>
              </w:rPr>
            </w:pPr>
            <w:r w:rsidRPr="00D42A19">
              <w:t>1</w:t>
            </w:r>
          </w:p>
        </w:tc>
        <w:tc>
          <w:tcPr>
            <w:tcW w:w="894" w:type="dxa"/>
            <w:tcBorders>
              <w:top w:val="single" w:sz="6" w:space="0" w:color="auto"/>
              <w:left w:val="single" w:sz="6" w:space="0" w:color="auto"/>
              <w:bottom w:val="single" w:sz="6" w:space="0" w:color="auto"/>
              <w:right w:val="single" w:sz="12" w:space="0" w:color="auto"/>
            </w:tcBorders>
            <w:shd w:val="clear" w:color="auto" w:fill="D9D9D9"/>
            <w:tcMar>
              <w:left w:w="23" w:type="dxa"/>
              <w:right w:w="23" w:type="dxa"/>
            </w:tcMar>
          </w:tcPr>
          <w:p w:rsidR="00702E8E" w:rsidRPr="00D42A19" w:rsidRDefault="00702E8E" w:rsidP="005B5E84">
            <w:pPr>
              <w:spacing w:before="120"/>
              <w:jc w:val="center"/>
              <w:rPr>
                <w:rFonts w:cs="Arial"/>
              </w:rPr>
            </w:pPr>
            <w:r w:rsidRPr="00D42A19">
              <w:t>1</w:t>
            </w:r>
          </w:p>
        </w:tc>
        <w:tc>
          <w:tcPr>
            <w:tcW w:w="1052" w:type="dxa"/>
            <w:tcBorders>
              <w:top w:val="single" w:sz="6" w:space="0" w:color="auto"/>
              <w:left w:val="nil"/>
              <w:bottom w:val="single" w:sz="6" w:space="0" w:color="auto"/>
              <w:right w:val="single" w:sz="6" w:space="0" w:color="auto"/>
            </w:tcBorders>
            <w:tcMar>
              <w:left w:w="23" w:type="dxa"/>
              <w:right w:w="23" w:type="dxa"/>
            </w:tcMar>
          </w:tcPr>
          <w:p w:rsidR="00702E8E" w:rsidRPr="00D42A19" w:rsidRDefault="00702E8E" w:rsidP="005B5E84">
            <w:pPr>
              <w:spacing w:before="120"/>
              <w:jc w:val="center"/>
              <w:rPr>
                <w:rFonts w:cs="Arial"/>
              </w:rPr>
            </w:pPr>
            <w:r w:rsidRPr="00D42A19">
              <w:t>3</w:t>
            </w:r>
          </w:p>
        </w:tc>
        <w:tc>
          <w:tcPr>
            <w:tcW w:w="1094" w:type="dxa"/>
            <w:tcBorders>
              <w:top w:val="single" w:sz="6" w:space="0" w:color="auto"/>
              <w:left w:val="single" w:sz="6" w:space="0" w:color="auto"/>
              <w:bottom w:val="single" w:sz="6" w:space="0" w:color="auto"/>
              <w:right w:val="single" w:sz="6" w:space="0" w:color="auto"/>
            </w:tcBorders>
            <w:tcMar>
              <w:left w:w="23" w:type="dxa"/>
              <w:right w:w="23" w:type="dxa"/>
            </w:tcMar>
          </w:tcPr>
          <w:p w:rsidR="00702E8E" w:rsidRPr="00D42A19" w:rsidRDefault="00702E8E" w:rsidP="005B5E84">
            <w:pPr>
              <w:spacing w:before="120"/>
              <w:jc w:val="center"/>
              <w:rPr>
                <w:rFonts w:cs="Arial"/>
              </w:rPr>
            </w:pPr>
            <w:r w:rsidRPr="00D42A19">
              <w:t>-</w:t>
            </w:r>
          </w:p>
        </w:tc>
        <w:tc>
          <w:tcPr>
            <w:tcW w:w="694" w:type="dxa"/>
            <w:tcBorders>
              <w:top w:val="single" w:sz="6" w:space="0" w:color="auto"/>
              <w:left w:val="single" w:sz="6" w:space="0" w:color="auto"/>
              <w:bottom w:val="single" w:sz="6" w:space="0" w:color="auto"/>
              <w:right w:val="single" w:sz="12" w:space="0" w:color="auto"/>
            </w:tcBorders>
            <w:shd w:val="clear" w:color="auto" w:fill="D9D9D9"/>
            <w:tcMar>
              <w:left w:w="23" w:type="dxa"/>
              <w:right w:w="23" w:type="dxa"/>
            </w:tcMar>
          </w:tcPr>
          <w:p w:rsidR="00702E8E" w:rsidRPr="00D42A19" w:rsidRDefault="00702E8E" w:rsidP="005B5E84">
            <w:pPr>
              <w:spacing w:before="120"/>
              <w:jc w:val="center"/>
              <w:rPr>
                <w:rFonts w:cs="Arial"/>
              </w:rPr>
            </w:pPr>
            <w:r w:rsidRPr="00D42A19">
              <w:t>3</w:t>
            </w:r>
          </w:p>
        </w:tc>
        <w:tc>
          <w:tcPr>
            <w:tcW w:w="1148" w:type="dxa"/>
            <w:tcBorders>
              <w:top w:val="single" w:sz="6" w:space="0" w:color="auto"/>
              <w:left w:val="nil"/>
              <w:bottom w:val="single" w:sz="6" w:space="0" w:color="auto"/>
              <w:right w:val="single" w:sz="12" w:space="0" w:color="auto"/>
            </w:tcBorders>
            <w:tcMar>
              <w:left w:w="23" w:type="dxa"/>
              <w:right w:w="23" w:type="dxa"/>
            </w:tcMar>
          </w:tcPr>
          <w:p w:rsidR="00702E8E" w:rsidRPr="00D42A19" w:rsidRDefault="00702E8E" w:rsidP="005B5E84">
            <w:pPr>
              <w:spacing w:before="120"/>
              <w:jc w:val="center"/>
              <w:rPr>
                <w:rFonts w:cs="Arial"/>
              </w:rPr>
            </w:pPr>
            <w:r w:rsidRPr="00D42A19">
              <w:t>13</w:t>
            </w:r>
          </w:p>
        </w:tc>
        <w:tc>
          <w:tcPr>
            <w:tcW w:w="1142" w:type="dxa"/>
            <w:tcBorders>
              <w:top w:val="single" w:sz="6" w:space="0" w:color="auto"/>
              <w:left w:val="nil"/>
              <w:bottom w:val="single" w:sz="6" w:space="0" w:color="auto"/>
              <w:right w:val="single" w:sz="6" w:space="0" w:color="auto"/>
            </w:tcBorders>
            <w:shd w:val="clear" w:color="auto" w:fill="D9D9D9"/>
            <w:tcMar>
              <w:left w:w="23" w:type="dxa"/>
              <w:right w:w="23" w:type="dxa"/>
            </w:tcMar>
          </w:tcPr>
          <w:p w:rsidR="00702E8E" w:rsidRPr="00D42A19" w:rsidRDefault="00702E8E" w:rsidP="005B5E84">
            <w:pPr>
              <w:spacing w:before="120"/>
              <w:jc w:val="center"/>
              <w:rPr>
                <w:rFonts w:cs="Arial"/>
              </w:rPr>
            </w:pPr>
            <w:r w:rsidRPr="00D42A19">
              <w:t>207</w:t>
            </w:r>
          </w:p>
        </w:tc>
      </w:tr>
      <w:tr w:rsidR="00702E8E" w:rsidRPr="00D42A19" w:rsidTr="005B5E84">
        <w:tc>
          <w:tcPr>
            <w:tcW w:w="1371" w:type="dxa"/>
            <w:tcBorders>
              <w:top w:val="single" w:sz="6" w:space="0" w:color="auto"/>
              <w:left w:val="single" w:sz="6" w:space="0" w:color="auto"/>
              <w:right w:val="single" w:sz="12" w:space="0" w:color="auto"/>
            </w:tcBorders>
            <w:tcMar>
              <w:left w:w="23" w:type="dxa"/>
              <w:right w:w="23" w:type="dxa"/>
            </w:tcMar>
          </w:tcPr>
          <w:p w:rsidR="00702E8E" w:rsidRPr="00D42A19" w:rsidRDefault="00702E8E" w:rsidP="005B5E84">
            <w:pPr>
              <w:spacing w:before="120"/>
              <w:jc w:val="center"/>
              <w:rPr>
                <w:rFonts w:cs="Arial"/>
              </w:rPr>
            </w:pPr>
            <w:r w:rsidRPr="00D42A19">
              <w:t>Ornamentales</w:t>
            </w:r>
          </w:p>
        </w:tc>
        <w:tc>
          <w:tcPr>
            <w:tcW w:w="1134" w:type="dxa"/>
            <w:tcBorders>
              <w:top w:val="single" w:sz="6" w:space="0" w:color="auto"/>
              <w:left w:val="nil"/>
              <w:right w:val="single" w:sz="6" w:space="0" w:color="auto"/>
            </w:tcBorders>
            <w:tcMar>
              <w:left w:w="23" w:type="dxa"/>
              <w:right w:w="23" w:type="dxa"/>
            </w:tcMar>
          </w:tcPr>
          <w:p w:rsidR="00702E8E" w:rsidRPr="00D42A19" w:rsidRDefault="00702E8E" w:rsidP="005B5E84">
            <w:pPr>
              <w:spacing w:before="120"/>
              <w:jc w:val="center"/>
              <w:rPr>
                <w:rFonts w:cs="Arial"/>
              </w:rPr>
            </w:pPr>
            <w:r w:rsidRPr="00D42A19">
              <w:t>13</w:t>
            </w:r>
          </w:p>
        </w:tc>
        <w:tc>
          <w:tcPr>
            <w:tcW w:w="1071" w:type="dxa"/>
            <w:tcBorders>
              <w:top w:val="single" w:sz="6" w:space="0" w:color="auto"/>
              <w:left w:val="single" w:sz="6" w:space="0" w:color="auto"/>
              <w:right w:val="single" w:sz="6" w:space="0" w:color="auto"/>
            </w:tcBorders>
            <w:tcMar>
              <w:left w:w="23" w:type="dxa"/>
              <w:right w:w="23" w:type="dxa"/>
            </w:tcMar>
          </w:tcPr>
          <w:p w:rsidR="00702E8E" w:rsidRPr="00D42A19" w:rsidRDefault="00702E8E" w:rsidP="005B5E84">
            <w:pPr>
              <w:spacing w:before="120"/>
              <w:jc w:val="center"/>
              <w:rPr>
                <w:rFonts w:cs="Arial"/>
              </w:rPr>
            </w:pPr>
            <w:r w:rsidRPr="00D42A19">
              <w:t>25</w:t>
            </w:r>
          </w:p>
        </w:tc>
        <w:tc>
          <w:tcPr>
            <w:tcW w:w="894" w:type="dxa"/>
            <w:tcBorders>
              <w:top w:val="single" w:sz="6" w:space="0" w:color="auto"/>
              <w:left w:val="single" w:sz="6" w:space="0" w:color="auto"/>
              <w:right w:val="single" w:sz="12" w:space="0" w:color="auto"/>
            </w:tcBorders>
            <w:shd w:val="clear" w:color="auto" w:fill="D9D9D9"/>
            <w:tcMar>
              <w:left w:w="23" w:type="dxa"/>
              <w:right w:w="23" w:type="dxa"/>
            </w:tcMar>
          </w:tcPr>
          <w:p w:rsidR="00702E8E" w:rsidRPr="00D42A19" w:rsidRDefault="00702E8E" w:rsidP="005B5E84">
            <w:pPr>
              <w:spacing w:before="120"/>
              <w:jc w:val="center"/>
              <w:rPr>
                <w:rFonts w:cs="Arial"/>
              </w:rPr>
            </w:pPr>
            <w:r w:rsidRPr="00D42A19">
              <w:t>38</w:t>
            </w:r>
          </w:p>
        </w:tc>
        <w:tc>
          <w:tcPr>
            <w:tcW w:w="1052" w:type="dxa"/>
            <w:tcBorders>
              <w:top w:val="single" w:sz="6" w:space="0" w:color="auto"/>
              <w:left w:val="nil"/>
              <w:right w:val="single" w:sz="6" w:space="0" w:color="auto"/>
            </w:tcBorders>
            <w:tcMar>
              <w:left w:w="23" w:type="dxa"/>
              <w:right w:w="23" w:type="dxa"/>
            </w:tcMar>
          </w:tcPr>
          <w:p w:rsidR="00702E8E" w:rsidRPr="00D42A19" w:rsidRDefault="00702E8E" w:rsidP="005B5E84">
            <w:pPr>
              <w:spacing w:before="120"/>
              <w:jc w:val="center"/>
              <w:rPr>
                <w:rFonts w:cs="Arial"/>
              </w:rPr>
            </w:pPr>
            <w:r w:rsidRPr="00D42A19">
              <w:t>15</w:t>
            </w:r>
          </w:p>
        </w:tc>
        <w:tc>
          <w:tcPr>
            <w:tcW w:w="1094" w:type="dxa"/>
            <w:tcBorders>
              <w:top w:val="single" w:sz="6" w:space="0" w:color="auto"/>
              <w:left w:val="single" w:sz="6" w:space="0" w:color="auto"/>
              <w:right w:val="single" w:sz="6" w:space="0" w:color="auto"/>
            </w:tcBorders>
            <w:tcMar>
              <w:left w:w="23" w:type="dxa"/>
              <w:right w:w="23" w:type="dxa"/>
            </w:tcMar>
          </w:tcPr>
          <w:p w:rsidR="00702E8E" w:rsidRPr="00D42A19" w:rsidRDefault="00702E8E" w:rsidP="005B5E84">
            <w:pPr>
              <w:spacing w:before="120"/>
              <w:jc w:val="center"/>
              <w:rPr>
                <w:rFonts w:cs="Arial"/>
              </w:rPr>
            </w:pPr>
            <w:r w:rsidRPr="00D42A19">
              <w:t>10</w:t>
            </w:r>
          </w:p>
        </w:tc>
        <w:tc>
          <w:tcPr>
            <w:tcW w:w="694" w:type="dxa"/>
            <w:tcBorders>
              <w:top w:val="single" w:sz="6" w:space="0" w:color="auto"/>
              <w:left w:val="single" w:sz="6" w:space="0" w:color="auto"/>
              <w:right w:val="single" w:sz="12" w:space="0" w:color="auto"/>
            </w:tcBorders>
            <w:shd w:val="clear" w:color="auto" w:fill="D9D9D9"/>
            <w:tcMar>
              <w:left w:w="23" w:type="dxa"/>
              <w:right w:w="23" w:type="dxa"/>
            </w:tcMar>
          </w:tcPr>
          <w:p w:rsidR="00702E8E" w:rsidRPr="00D42A19" w:rsidRDefault="00702E8E" w:rsidP="005B5E84">
            <w:pPr>
              <w:spacing w:before="120"/>
              <w:jc w:val="center"/>
              <w:rPr>
                <w:rFonts w:cs="Arial"/>
              </w:rPr>
            </w:pPr>
            <w:r w:rsidRPr="00D42A19">
              <w:t>25</w:t>
            </w:r>
          </w:p>
        </w:tc>
        <w:tc>
          <w:tcPr>
            <w:tcW w:w="1148" w:type="dxa"/>
            <w:tcBorders>
              <w:top w:val="single" w:sz="6" w:space="0" w:color="auto"/>
              <w:left w:val="nil"/>
              <w:right w:val="single" w:sz="12" w:space="0" w:color="auto"/>
            </w:tcBorders>
            <w:tcMar>
              <w:left w:w="23" w:type="dxa"/>
              <w:right w:w="23" w:type="dxa"/>
            </w:tcMar>
          </w:tcPr>
          <w:p w:rsidR="00702E8E" w:rsidRPr="00D42A19" w:rsidRDefault="00702E8E" w:rsidP="005B5E84">
            <w:pPr>
              <w:spacing w:before="120"/>
              <w:jc w:val="center"/>
              <w:rPr>
                <w:rFonts w:cs="Arial"/>
              </w:rPr>
            </w:pPr>
            <w:r w:rsidRPr="00D42A19">
              <w:t>16</w:t>
            </w:r>
          </w:p>
        </w:tc>
        <w:tc>
          <w:tcPr>
            <w:tcW w:w="1142" w:type="dxa"/>
            <w:tcBorders>
              <w:top w:val="single" w:sz="6" w:space="0" w:color="auto"/>
              <w:left w:val="nil"/>
              <w:right w:val="single" w:sz="6" w:space="0" w:color="auto"/>
            </w:tcBorders>
            <w:shd w:val="clear" w:color="auto" w:fill="D9D9D9"/>
            <w:tcMar>
              <w:left w:w="23" w:type="dxa"/>
              <w:right w:w="23" w:type="dxa"/>
            </w:tcMar>
          </w:tcPr>
          <w:p w:rsidR="00702E8E" w:rsidRPr="00D42A19" w:rsidRDefault="00702E8E" w:rsidP="005B5E84">
            <w:pPr>
              <w:spacing w:before="120"/>
              <w:jc w:val="center"/>
              <w:rPr>
                <w:rFonts w:cs="Arial"/>
              </w:rPr>
            </w:pPr>
            <w:r w:rsidRPr="00D42A19">
              <w:t>207</w:t>
            </w:r>
          </w:p>
        </w:tc>
      </w:tr>
      <w:tr w:rsidR="00702E8E" w:rsidRPr="00D42A19" w:rsidTr="005B5E84">
        <w:tc>
          <w:tcPr>
            <w:tcW w:w="1371" w:type="dxa"/>
            <w:tcBorders>
              <w:top w:val="single" w:sz="6" w:space="0" w:color="auto"/>
              <w:left w:val="single" w:sz="6" w:space="0" w:color="auto"/>
              <w:right w:val="single" w:sz="12" w:space="0" w:color="auto"/>
            </w:tcBorders>
            <w:tcMar>
              <w:left w:w="23" w:type="dxa"/>
              <w:right w:w="23" w:type="dxa"/>
            </w:tcMar>
          </w:tcPr>
          <w:p w:rsidR="00702E8E" w:rsidRPr="00D42A19" w:rsidRDefault="00702E8E" w:rsidP="005B5E84">
            <w:pPr>
              <w:spacing w:before="120"/>
              <w:jc w:val="center"/>
              <w:rPr>
                <w:rFonts w:cs="Arial"/>
              </w:rPr>
            </w:pPr>
            <w:r w:rsidRPr="00D42A19">
              <w:t>Frutales</w:t>
            </w:r>
          </w:p>
        </w:tc>
        <w:tc>
          <w:tcPr>
            <w:tcW w:w="1134" w:type="dxa"/>
            <w:tcBorders>
              <w:top w:val="single" w:sz="6" w:space="0" w:color="auto"/>
              <w:left w:val="nil"/>
              <w:right w:val="single" w:sz="6" w:space="0" w:color="auto"/>
            </w:tcBorders>
            <w:tcMar>
              <w:left w:w="23" w:type="dxa"/>
              <w:right w:w="23" w:type="dxa"/>
            </w:tcMar>
          </w:tcPr>
          <w:p w:rsidR="00702E8E" w:rsidRPr="00D42A19" w:rsidRDefault="00702E8E" w:rsidP="005B5E84">
            <w:pPr>
              <w:spacing w:before="120"/>
              <w:jc w:val="center"/>
              <w:rPr>
                <w:rFonts w:cs="Arial"/>
              </w:rPr>
            </w:pPr>
            <w:r w:rsidRPr="00D42A19">
              <w:t>3</w:t>
            </w:r>
          </w:p>
        </w:tc>
        <w:tc>
          <w:tcPr>
            <w:tcW w:w="1071" w:type="dxa"/>
            <w:tcBorders>
              <w:top w:val="single" w:sz="6" w:space="0" w:color="auto"/>
              <w:left w:val="single" w:sz="6" w:space="0" w:color="auto"/>
              <w:right w:val="single" w:sz="6" w:space="0" w:color="auto"/>
            </w:tcBorders>
            <w:tcMar>
              <w:left w:w="23" w:type="dxa"/>
              <w:right w:w="23" w:type="dxa"/>
            </w:tcMar>
          </w:tcPr>
          <w:p w:rsidR="00702E8E" w:rsidRPr="00D42A19" w:rsidRDefault="00702E8E" w:rsidP="005B5E84">
            <w:pPr>
              <w:spacing w:before="120"/>
              <w:jc w:val="center"/>
              <w:rPr>
                <w:rFonts w:cs="Arial"/>
              </w:rPr>
            </w:pPr>
            <w:r w:rsidRPr="00D42A19">
              <w:t>-</w:t>
            </w:r>
          </w:p>
        </w:tc>
        <w:tc>
          <w:tcPr>
            <w:tcW w:w="894" w:type="dxa"/>
            <w:tcBorders>
              <w:top w:val="single" w:sz="6" w:space="0" w:color="auto"/>
              <w:left w:val="single" w:sz="6" w:space="0" w:color="auto"/>
              <w:right w:val="single" w:sz="12" w:space="0" w:color="auto"/>
            </w:tcBorders>
            <w:shd w:val="clear" w:color="auto" w:fill="D9D9D9"/>
            <w:tcMar>
              <w:left w:w="23" w:type="dxa"/>
              <w:right w:w="23" w:type="dxa"/>
            </w:tcMar>
          </w:tcPr>
          <w:p w:rsidR="00702E8E" w:rsidRPr="00D42A19" w:rsidRDefault="00702E8E" w:rsidP="005B5E84">
            <w:pPr>
              <w:spacing w:before="120"/>
              <w:jc w:val="center"/>
              <w:rPr>
                <w:rFonts w:cs="Arial"/>
              </w:rPr>
            </w:pPr>
            <w:r w:rsidRPr="00D42A19">
              <w:t>3</w:t>
            </w:r>
          </w:p>
        </w:tc>
        <w:tc>
          <w:tcPr>
            <w:tcW w:w="1052" w:type="dxa"/>
            <w:tcBorders>
              <w:top w:val="single" w:sz="6" w:space="0" w:color="auto"/>
              <w:left w:val="nil"/>
              <w:right w:val="single" w:sz="6" w:space="0" w:color="auto"/>
            </w:tcBorders>
            <w:tcMar>
              <w:left w:w="23" w:type="dxa"/>
              <w:right w:w="23" w:type="dxa"/>
            </w:tcMar>
          </w:tcPr>
          <w:p w:rsidR="00702E8E" w:rsidRPr="00D42A19" w:rsidRDefault="00702E8E" w:rsidP="005B5E84">
            <w:pPr>
              <w:pStyle w:val="Footer"/>
              <w:spacing w:before="120"/>
              <w:jc w:val="center"/>
              <w:rPr>
                <w:rFonts w:cs="Arial"/>
                <w:sz w:val="20"/>
                <w:lang w:val="es-ES_tradnl"/>
              </w:rPr>
            </w:pPr>
            <w:r w:rsidRPr="00D42A19">
              <w:rPr>
                <w:sz w:val="20"/>
                <w:lang w:val="es-ES_tradnl"/>
              </w:rPr>
              <w:t>3</w:t>
            </w:r>
          </w:p>
        </w:tc>
        <w:tc>
          <w:tcPr>
            <w:tcW w:w="1094" w:type="dxa"/>
            <w:tcBorders>
              <w:top w:val="single" w:sz="6" w:space="0" w:color="auto"/>
              <w:left w:val="single" w:sz="6" w:space="0" w:color="auto"/>
              <w:right w:val="single" w:sz="6" w:space="0" w:color="auto"/>
            </w:tcBorders>
            <w:tcMar>
              <w:left w:w="23" w:type="dxa"/>
              <w:right w:w="23" w:type="dxa"/>
            </w:tcMar>
          </w:tcPr>
          <w:p w:rsidR="00702E8E" w:rsidRPr="00D42A19" w:rsidRDefault="00702E8E" w:rsidP="005B5E84">
            <w:pPr>
              <w:spacing w:before="120"/>
              <w:jc w:val="center"/>
              <w:rPr>
                <w:rFonts w:cs="Arial"/>
              </w:rPr>
            </w:pPr>
            <w:r w:rsidRPr="00D42A19">
              <w:t>1</w:t>
            </w:r>
          </w:p>
        </w:tc>
        <w:tc>
          <w:tcPr>
            <w:tcW w:w="694" w:type="dxa"/>
            <w:tcBorders>
              <w:top w:val="single" w:sz="6" w:space="0" w:color="auto"/>
              <w:left w:val="single" w:sz="6" w:space="0" w:color="auto"/>
              <w:right w:val="single" w:sz="12" w:space="0" w:color="auto"/>
            </w:tcBorders>
            <w:shd w:val="clear" w:color="auto" w:fill="D9D9D9"/>
            <w:tcMar>
              <w:left w:w="23" w:type="dxa"/>
              <w:right w:w="23" w:type="dxa"/>
            </w:tcMar>
          </w:tcPr>
          <w:p w:rsidR="00702E8E" w:rsidRPr="00D42A19" w:rsidRDefault="00702E8E" w:rsidP="005B5E84">
            <w:pPr>
              <w:spacing w:before="120"/>
              <w:jc w:val="center"/>
              <w:rPr>
                <w:rFonts w:cs="Arial"/>
              </w:rPr>
            </w:pPr>
            <w:r w:rsidRPr="00D42A19">
              <w:t>4</w:t>
            </w:r>
          </w:p>
        </w:tc>
        <w:tc>
          <w:tcPr>
            <w:tcW w:w="1148" w:type="dxa"/>
            <w:tcBorders>
              <w:top w:val="single" w:sz="6" w:space="0" w:color="auto"/>
              <w:left w:val="nil"/>
              <w:right w:val="single" w:sz="12" w:space="0" w:color="auto"/>
            </w:tcBorders>
            <w:tcMar>
              <w:left w:w="23" w:type="dxa"/>
              <w:right w:w="23" w:type="dxa"/>
            </w:tcMar>
          </w:tcPr>
          <w:p w:rsidR="00702E8E" w:rsidRPr="00D42A19" w:rsidRDefault="00702E8E" w:rsidP="005B5E84">
            <w:pPr>
              <w:spacing w:before="120"/>
              <w:jc w:val="center"/>
              <w:rPr>
                <w:rFonts w:cs="Arial"/>
              </w:rPr>
            </w:pPr>
            <w:r w:rsidRPr="00D42A19">
              <w:t>4</w:t>
            </w:r>
          </w:p>
        </w:tc>
        <w:tc>
          <w:tcPr>
            <w:tcW w:w="1142" w:type="dxa"/>
            <w:tcBorders>
              <w:top w:val="single" w:sz="6" w:space="0" w:color="auto"/>
              <w:left w:val="nil"/>
              <w:right w:val="single" w:sz="6" w:space="0" w:color="auto"/>
            </w:tcBorders>
            <w:shd w:val="clear" w:color="auto" w:fill="D9D9D9"/>
            <w:tcMar>
              <w:left w:w="23" w:type="dxa"/>
              <w:right w:w="23" w:type="dxa"/>
            </w:tcMar>
          </w:tcPr>
          <w:p w:rsidR="00702E8E" w:rsidRPr="00D42A19" w:rsidRDefault="00702E8E" w:rsidP="005B5E84">
            <w:pPr>
              <w:spacing w:before="120"/>
              <w:jc w:val="center"/>
              <w:rPr>
                <w:rFonts w:cs="Arial"/>
              </w:rPr>
            </w:pPr>
            <w:r w:rsidRPr="00D42A19">
              <w:t>116</w:t>
            </w:r>
          </w:p>
        </w:tc>
      </w:tr>
      <w:tr w:rsidR="00702E8E" w:rsidRPr="00D42A19" w:rsidTr="005B5E84">
        <w:tc>
          <w:tcPr>
            <w:tcW w:w="1371" w:type="dxa"/>
            <w:tcBorders>
              <w:top w:val="single" w:sz="12" w:space="0" w:color="auto"/>
              <w:left w:val="single" w:sz="6" w:space="0" w:color="auto"/>
              <w:bottom w:val="single" w:sz="6" w:space="0" w:color="auto"/>
              <w:right w:val="single" w:sz="12" w:space="0" w:color="auto"/>
            </w:tcBorders>
            <w:shd w:val="clear" w:color="auto" w:fill="FFFFFF"/>
            <w:tcMar>
              <w:left w:w="23" w:type="dxa"/>
              <w:right w:w="23" w:type="dxa"/>
            </w:tcMar>
          </w:tcPr>
          <w:p w:rsidR="00702E8E" w:rsidRPr="00D42A19" w:rsidRDefault="00702E8E" w:rsidP="005B5E84">
            <w:pPr>
              <w:spacing w:before="120"/>
              <w:jc w:val="center"/>
              <w:rPr>
                <w:rFonts w:cs="Arial"/>
              </w:rPr>
            </w:pPr>
            <w:r w:rsidRPr="00D42A19">
              <w:rPr>
                <w:b/>
              </w:rPr>
              <w:t>Total</w:t>
            </w:r>
          </w:p>
        </w:tc>
        <w:tc>
          <w:tcPr>
            <w:tcW w:w="1134" w:type="dxa"/>
            <w:tcBorders>
              <w:top w:val="single" w:sz="12" w:space="0" w:color="auto"/>
              <w:left w:val="nil"/>
              <w:bottom w:val="single" w:sz="6" w:space="0" w:color="auto"/>
              <w:right w:val="single" w:sz="6" w:space="0" w:color="auto"/>
            </w:tcBorders>
            <w:shd w:val="clear" w:color="auto" w:fill="D9D9D9"/>
            <w:tcMar>
              <w:left w:w="23" w:type="dxa"/>
              <w:right w:w="23" w:type="dxa"/>
            </w:tcMar>
          </w:tcPr>
          <w:p w:rsidR="00702E8E" w:rsidRPr="00D42A19" w:rsidRDefault="00702E8E" w:rsidP="005B5E84">
            <w:pPr>
              <w:spacing w:before="120"/>
              <w:jc w:val="center"/>
              <w:rPr>
                <w:rFonts w:cs="Arial"/>
                <w:b/>
              </w:rPr>
            </w:pPr>
            <w:r w:rsidRPr="00D42A19">
              <w:rPr>
                <w:b/>
              </w:rPr>
              <w:t>39</w:t>
            </w:r>
          </w:p>
        </w:tc>
        <w:tc>
          <w:tcPr>
            <w:tcW w:w="1071" w:type="dxa"/>
            <w:tcBorders>
              <w:top w:val="single" w:sz="12" w:space="0" w:color="auto"/>
              <w:left w:val="single" w:sz="6" w:space="0" w:color="auto"/>
              <w:bottom w:val="single" w:sz="6" w:space="0" w:color="auto"/>
              <w:right w:val="single" w:sz="6" w:space="0" w:color="auto"/>
            </w:tcBorders>
            <w:shd w:val="clear" w:color="auto" w:fill="D9D9D9"/>
            <w:tcMar>
              <w:left w:w="23" w:type="dxa"/>
              <w:right w:w="23" w:type="dxa"/>
            </w:tcMar>
          </w:tcPr>
          <w:p w:rsidR="00702E8E" w:rsidRPr="00D42A19" w:rsidRDefault="00702E8E" w:rsidP="005B5E84">
            <w:pPr>
              <w:spacing w:before="120"/>
              <w:jc w:val="center"/>
              <w:rPr>
                <w:rFonts w:cs="Arial"/>
                <w:b/>
              </w:rPr>
            </w:pPr>
            <w:r w:rsidRPr="00D42A19">
              <w:rPr>
                <w:b/>
              </w:rPr>
              <w:t>29</w:t>
            </w:r>
          </w:p>
        </w:tc>
        <w:tc>
          <w:tcPr>
            <w:tcW w:w="894" w:type="dxa"/>
            <w:tcBorders>
              <w:top w:val="single" w:sz="12" w:space="0" w:color="auto"/>
              <w:left w:val="single" w:sz="6" w:space="0" w:color="auto"/>
              <w:bottom w:val="single" w:sz="6" w:space="0" w:color="auto"/>
              <w:right w:val="single" w:sz="12" w:space="0" w:color="auto"/>
            </w:tcBorders>
            <w:shd w:val="clear" w:color="auto" w:fill="D9D9D9"/>
            <w:tcMar>
              <w:left w:w="23" w:type="dxa"/>
              <w:right w:w="23" w:type="dxa"/>
            </w:tcMar>
          </w:tcPr>
          <w:p w:rsidR="00702E8E" w:rsidRPr="00D42A19" w:rsidRDefault="00702E8E" w:rsidP="005B5E84">
            <w:pPr>
              <w:spacing w:before="120"/>
              <w:jc w:val="center"/>
              <w:rPr>
                <w:rFonts w:cs="Arial"/>
                <w:b/>
              </w:rPr>
            </w:pPr>
            <w:r w:rsidRPr="00D42A19">
              <w:rPr>
                <w:b/>
              </w:rPr>
              <w:t>68</w:t>
            </w:r>
          </w:p>
        </w:tc>
        <w:tc>
          <w:tcPr>
            <w:tcW w:w="1052" w:type="dxa"/>
            <w:tcBorders>
              <w:top w:val="single" w:sz="12" w:space="0" w:color="auto"/>
              <w:left w:val="nil"/>
              <w:bottom w:val="single" w:sz="6" w:space="0" w:color="auto"/>
              <w:right w:val="single" w:sz="6" w:space="0" w:color="auto"/>
            </w:tcBorders>
            <w:shd w:val="clear" w:color="auto" w:fill="D9D9D9"/>
            <w:tcMar>
              <w:left w:w="23" w:type="dxa"/>
              <w:right w:w="23" w:type="dxa"/>
            </w:tcMar>
          </w:tcPr>
          <w:p w:rsidR="00702E8E" w:rsidRPr="00D42A19" w:rsidRDefault="00702E8E" w:rsidP="005B5E84">
            <w:pPr>
              <w:spacing w:before="120"/>
              <w:jc w:val="center"/>
              <w:rPr>
                <w:rFonts w:cs="Arial"/>
                <w:b/>
              </w:rPr>
            </w:pPr>
            <w:r w:rsidRPr="00D42A19">
              <w:rPr>
                <w:b/>
              </w:rPr>
              <w:t>50</w:t>
            </w:r>
          </w:p>
        </w:tc>
        <w:tc>
          <w:tcPr>
            <w:tcW w:w="1094" w:type="dxa"/>
            <w:tcBorders>
              <w:top w:val="single" w:sz="12" w:space="0" w:color="auto"/>
              <w:left w:val="single" w:sz="6" w:space="0" w:color="auto"/>
              <w:bottom w:val="single" w:sz="6" w:space="0" w:color="auto"/>
              <w:right w:val="single" w:sz="6" w:space="0" w:color="auto"/>
            </w:tcBorders>
            <w:shd w:val="clear" w:color="auto" w:fill="D9D9D9"/>
            <w:tcMar>
              <w:left w:w="23" w:type="dxa"/>
              <w:right w:w="23" w:type="dxa"/>
            </w:tcMar>
          </w:tcPr>
          <w:p w:rsidR="00702E8E" w:rsidRPr="00D42A19" w:rsidRDefault="00702E8E" w:rsidP="005B5E84">
            <w:pPr>
              <w:spacing w:before="120"/>
              <w:jc w:val="center"/>
              <w:rPr>
                <w:rFonts w:cs="Arial"/>
                <w:b/>
              </w:rPr>
            </w:pPr>
            <w:r w:rsidRPr="00D42A19">
              <w:rPr>
                <w:b/>
              </w:rPr>
              <w:t>11</w:t>
            </w:r>
          </w:p>
        </w:tc>
        <w:tc>
          <w:tcPr>
            <w:tcW w:w="694" w:type="dxa"/>
            <w:tcBorders>
              <w:top w:val="single" w:sz="12" w:space="0" w:color="auto"/>
              <w:left w:val="single" w:sz="6" w:space="0" w:color="auto"/>
              <w:bottom w:val="single" w:sz="6" w:space="0" w:color="auto"/>
              <w:right w:val="single" w:sz="12" w:space="0" w:color="auto"/>
            </w:tcBorders>
            <w:shd w:val="clear" w:color="auto" w:fill="D9D9D9"/>
            <w:tcMar>
              <w:left w:w="23" w:type="dxa"/>
              <w:right w:w="23" w:type="dxa"/>
            </w:tcMar>
          </w:tcPr>
          <w:p w:rsidR="00702E8E" w:rsidRPr="00D42A19" w:rsidRDefault="00702E8E" w:rsidP="005B5E84">
            <w:pPr>
              <w:spacing w:before="120"/>
              <w:jc w:val="center"/>
              <w:rPr>
                <w:rFonts w:cs="Arial"/>
                <w:b/>
              </w:rPr>
            </w:pPr>
            <w:r w:rsidRPr="00D42A19">
              <w:rPr>
                <w:b/>
              </w:rPr>
              <w:t>61</w:t>
            </w:r>
          </w:p>
        </w:tc>
        <w:tc>
          <w:tcPr>
            <w:tcW w:w="1148" w:type="dxa"/>
            <w:tcBorders>
              <w:top w:val="single" w:sz="12" w:space="0" w:color="auto"/>
              <w:left w:val="nil"/>
              <w:bottom w:val="single" w:sz="6" w:space="0" w:color="auto"/>
              <w:right w:val="single" w:sz="12" w:space="0" w:color="auto"/>
            </w:tcBorders>
            <w:shd w:val="clear" w:color="auto" w:fill="D9D9D9"/>
            <w:tcMar>
              <w:left w:w="23" w:type="dxa"/>
              <w:right w:w="23" w:type="dxa"/>
            </w:tcMar>
          </w:tcPr>
          <w:p w:rsidR="00702E8E" w:rsidRPr="00D42A19" w:rsidRDefault="00702E8E" w:rsidP="005B5E84">
            <w:pPr>
              <w:spacing w:before="120"/>
              <w:jc w:val="center"/>
              <w:rPr>
                <w:rFonts w:cs="Arial"/>
                <w:b/>
              </w:rPr>
            </w:pPr>
            <w:r w:rsidRPr="00D42A19">
              <w:rPr>
                <w:b/>
              </w:rPr>
              <w:t>54</w:t>
            </w:r>
          </w:p>
        </w:tc>
        <w:tc>
          <w:tcPr>
            <w:tcW w:w="1142" w:type="dxa"/>
            <w:tcBorders>
              <w:top w:val="single" w:sz="12" w:space="0" w:color="auto"/>
              <w:left w:val="nil"/>
              <w:bottom w:val="single" w:sz="6" w:space="0" w:color="auto"/>
              <w:right w:val="single" w:sz="6" w:space="0" w:color="auto"/>
            </w:tcBorders>
            <w:shd w:val="clear" w:color="auto" w:fill="D9D9D9"/>
            <w:tcMar>
              <w:left w:w="23" w:type="dxa"/>
              <w:right w:w="23" w:type="dxa"/>
            </w:tcMar>
          </w:tcPr>
          <w:p w:rsidR="00702E8E" w:rsidRPr="00D42A19" w:rsidRDefault="00702E8E" w:rsidP="005B5E84">
            <w:pPr>
              <w:spacing w:before="120"/>
              <w:jc w:val="center"/>
              <w:rPr>
                <w:rFonts w:cs="Arial"/>
                <w:b/>
              </w:rPr>
            </w:pPr>
            <w:r w:rsidRPr="00D42A19">
              <w:rPr>
                <w:b/>
              </w:rPr>
              <w:t>1.154</w:t>
            </w:r>
          </w:p>
        </w:tc>
      </w:tr>
    </w:tbl>
    <w:p w:rsidR="00702E8E" w:rsidRPr="00D42A19" w:rsidRDefault="00702E8E" w:rsidP="00702E8E">
      <w:pPr>
        <w:rPr>
          <w:rFonts w:cs="Arial"/>
        </w:rPr>
      </w:pPr>
    </w:p>
    <w:p w:rsidR="00702E8E" w:rsidRPr="00D42A19" w:rsidRDefault="00702E8E" w:rsidP="00702E8E">
      <w:pPr>
        <w:tabs>
          <w:tab w:val="left" w:pos="4962"/>
        </w:tabs>
        <w:rPr>
          <w:rFonts w:cs="Arial"/>
          <w:u w:val="single"/>
        </w:rPr>
      </w:pPr>
    </w:p>
    <w:p w:rsidR="00702E8E" w:rsidRPr="00D42A19" w:rsidRDefault="00702E8E" w:rsidP="00702E8E">
      <w:pPr>
        <w:keepNext/>
        <w:keepLines/>
        <w:tabs>
          <w:tab w:val="left" w:pos="567"/>
          <w:tab w:val="left" w:pos="4962"/>
        </w:tabs>
        <w:rPr>
          <w:rFonts w:cs="Arial"/>
          <w:u w:val="single"/>
        </w:rPr>
      </w:pPr>
      <w:r w:rsidRPr="00D42A19">
        <w:t>5.</w:t>
      </w:r>
      <w:r w:rsidRPr="00D42A19">
        <w:tab/>
      </w:r>
      <w:r w:rsidRPr="00D42A19">
        <w:rPr>
          <w:u w:val="single"/>
        </w:rPr>
        <w:t>Actividades para la promoción de la protección de las obtenciones vegetales</w:t>
      </w:r>
    </w:p>
    <w:p w:rsidR="00702E8E" w:rsidRPr="00D42A19" w:rsidRDefault="00702E8E" w:rsidP="00702E8E">
      <w:pPr>
        <w:keepNext/>
        <w:keepLines/>
        <w:tabs>
          <w:tab w:val="left" w:pos="567"/>
          <w:tab w:val="left" w:pos="4962"/>
        </w:tabs>
        <w:rPr>
          <w:rFonts w:cs="Arial"/>
          <w:u w:val="single"/>
        </w:rPr>
      </w:pPr>
    </w:p>
    <w:p w:rsidR="00702E8E" w:rsidRPr="00D42A19" w:rsidRDefault="00702E8E" w:rsidP="00702E8E">
      <w:pPr>
        <w:pStyle w:val="BodyText"/>
        <w:keepNext/>
        <w:keepLines/>
        <w:rPr>
          <w:rFonts w:cs="Arial"/>
        </w:rPr>
      </w:pPr>
      <w:r w:rsidRPr="00D42A19">
        <w:t xml:space="preserve">Los representantes de Polonia participan de manera habitual en las reuniones o sesiones de los órganos de la UPOV y en los Grupos de Trabajo Técnico. </w:t>
      </w:r>
    </w:p>
    <w:p w:rsidR="00702E8E" w:rsidRPr="00D42A19" w:rsidRDefault="00702E8E" w:rsidP="00702E8E">
      <w:pPr>
        <w:pStyle w:val="BodyText"/>
        <w:rPr>
          <w:rFonts w:cs="Arial"/>
        </w:rPr>
      </w:pPr>
    </w:p>
    <w:p w:rsidR="00702E8E" w:rsidRPr="00D42A19" w:rsidRDefault="00702E8E" w:rsidP="00702E8E">
      <w:pPr>
        <w:pStyle w:val="BodyText"/>
        <w:rPr>
          <w:rFonts w:cs="Arial"/>
        </w:rPr>
      </w:pPr>
      <w:r w:rsidRPr="00D42A19">
        <w:t>Asimismo, representantes de Polonia participan en las reuniones del Comité Permanente sobre protección comunitaria de las obtenciones vegetales, en la Dirección General de Sanidad y Consumidores de la Comisión Europea (DG</w:t>
      </w:r>
      <w:r w:rsidRPr="00D42A19">
        <w:noBreakHyphen/>
        <w:t>SANCO), en Bruselas, y en el Consejo de Administración de la OCVV.</w:t>
      </w:r>
    </w:p>
    <w:p w:rsidR="00702E8E" w:rsidRPr="00D42A19" w:rsidRDefault="00702E8E" w:rsidP="00702E8E">
      <w:pPr>
        <w:tabs>
          <w:tab w:val="left" w:pos="4962"/>
        </w:tabs>
        <w:rPr>
          <w:rFonts w:cs="Arial"/>
        </w:rPr>
      </w:pPr>
    </w:p>
    <w:p w:rsidR="00702E8E" w:rsidRPr="00D42A19" w:rsidRDefault="00702E8E" w:rsidP="00702E8E">
      <w:pPr>
        <w:tabs>
          <w:tab w:val="left" w:pos="4962"/>
        </w:tabs>
        <w:rPr>
          <w:rFonts w:cs="Arial"/>
        </w:rPr>
      </w:pPr>
      <w:r w:rsidRPr="00D42A19">
        <w:rPr>
          <w:color w:val="000000"/>
        </w:rPr>
        <w:t xml:space="preserve">Tres expertos del </w:t>
      </w:r>
      <w:r w:rsidRPr="00D42A19">
        <w:t>COBORU han completado de manera satisfactoria el nuevo Curso de Enseñanza a Distancia de la UPOV “Examen de las solicitudes de derechos de obtentor” (DL-305B).</w:t>
      </w:r>
    </w:p>
    <w:p w:rsidR="00702E8E" w:rsidRPr="00D42A19" w:rsidRDefault="00702E8E" w:rsidP="00702E8E">
      <w:pPr>
        <w:tabs>
          <w:tab w:val="left" w:pos="4962"/>
        </w:tabs>
        <w:rPr>
          <w:rFonts w:cs="Arial"/>
        </w:rPr>
      </w:pPr>
    </w:p>
    <w:p w:rsidR="00702E8E" w:rsidRPr="00D42A19" w:rsidRDefault="00702E8E" w:rsidP="00702E8E">
      <w:pPr>
        <w:pStyle w:val="BodyText"/>
        <w:tabs>
          <w:tab w:val="left" w:pos="567"/>
        </w:tabs>
        <w:rPr>
          <w:rFonts w:cs="Arial"/>
          <w:i/>
          <w:iCs/>
        </w:rPr>
      </w:pPr>
      <w:r w:rsidRPr="00D42A19">
        <w:rPr>
          <w:i/>
        </w:rPr>
        <w:t>Publicaciones</w:t>
      </w:r>
    </w:p>
    <w:p w:rsidR="00702E8E" w:rsidRPr="00D42A19" w:rsidRDefault="00702E8E" w:rsidP="00702E8E">
      <w:pPr>
        <w:pStyle w:val="BodyText"/>
        <w:rPr>
          <w:rFonts w:cs="Arial"/>
          <w:u w:val="single"/>
        </w:rPr>
      </w:pPr>
    </w:p>
    <w:p w:rsidR="00702E8E" w:rsidRPr="00D42A19" w:rsidRDefault="00702E8E" w:rsidP="00702E8E">
      <w:pPr>
        <w:pStyle w:val="BodyText"/>
        <w:rPr>
          <w:rFonts w:cs="Arial"/>
        </w:rPr>
      </w:pPr>
      <w:r w:rsidRPr="00D42A19">
        <w:t xml:space="preserve">El COBORU publica cada dos meses el boletín </w:t>
      </w:r>
      <w:proofErr w:type="spellStart"/>
      <w:r w:rsidRPr="00D42A19">
        <w:rPr>
          <w:i/>
        </w:rPr>
        <w:t>Diariusz</w:t>
      </w:r>
      <w:proofErr w:type="spellEnd"/>
      <w:r w:rsidRPr="00D42A19">
        <w:t xml:space="preserve"> (gaceta oficial y Lista Nacional de Derechos de Obtentor), que contiene información detallada sobre la protección de los derechos de obtentor nacionales y los sistemas de listas nacionales. </w:t>
      </w:r>
    </w:p>
    <w:p w:rsidR="00702E8E" w:rsidRPr="00D42A19" w:rsidRDefault="00702E8E" w:rsidP="00702E8E">
      <w:pPr>
        <w:pStyle w:val="BodyText"/>
        <w:rPr>
          <w:rFonts w:cs="Arial"/>
        </w:rPr>
      </w:pPr>
    </w:p>
    <w:p w:rsidR="00702E8E" w:rsidRPr="00D42A19" w:rsidRDefault="00702E8E" w:rsidP="00702E8E">
      <w:pPr>
        <w:pStyle w:val="BodyText"/>
        <w:rPr>
          <w:rFonts w:cs="Arial"/>
        </w:rPr>
      </w:pPr>
      <w:r w:rsidRPr="00D42A19">
        <w:t>La lista de obtenciones protegidas por títulos nacionales de obtentor (que incluye las sujetas a derechos de obtentor provisionales) a fecha de 30 de junio de 2014, se publicó en el tercer número de la gaceta oficial y Lista Nacional de Derechos de Obtentor (Nº 3(128)2015).</w:t>
      </w:r>
    </w:p>
    <w:p w:rsidR="00702E8E" w:rsidRPr="00D42A19" w:rsidRDefault="00702E8E" w:rsidP="00702E8E">
      <w:pPr>
        <w:pStyle w:val="BodyText"/>
        <w:rPr>
          <w:rFonts w:cs="Arial"/>
        </w:rPr>
      </w:pPr>
    </w:p>
    <w:p w:rsidR="00702E8E" w:rsidRPr="00D42A19" w:rsidRDefault="00702E8E" w:rsidP="00702E8E">
      <w:pPr>
        <w:pStyle w:val="BodyText"/>
        <w:rPr>
          <w:rFonts w:cs="Arial"/>
        </w:rPr>
      </w:pPr>
      <w:r w:rsidRPr="00D42A19">
        <w:t>La gaceta oficial también se publica en el apartado “Publicaciones” de nuestro sitio web.</w:t>
      </w:r>
    </w:p>
    <w:p w:rsidR="00702E8E" w:rsidRPr="00D42A19" w:rsidRDefault="00702E8E" w:rsidP="00702E8E">
      <w:pPr>
        <w:pStyle w:val="BodyText"/>
        <w:rPr>
          <w:rFonts w:cs="Arial"/>
        </w:rPr>
      </w:pPr>
    </w:p>
    <w:p w:rsidR="00702E8E" w:rsidRPr="00D42A19" w:rsidRDefault="00702E8E" w:rsidP="00702E8E">
      <w:pPr>
        <w:pStyle w:val="BodyText"/>
        <w:rPr>
          <w:rFonts w:cs="Arial"/>
        </w:rPr>
      </w:pPr>
      <w:r w:rsidRPr="00D42A19">
        <w:t xml:space="preserve">Además, el Centro de investigación para el examen de cultivares mantiene y actualiza regularmente el sitio web </w:t>
      </w:r>
      <w:hyperlink r:id="rId30">
        <w:r w:rsidRPr="00D42A19">
          <w:rPr>
            <w:rStyle w:val="Hyperlink"/>
          </w:rPr>
          <w:t>www.coboru.pl</w:t>
        </w:r>
      </w:hyperlink>
      <w:r w:rsidRPr="00D42A19">
        <w:t>, que contiene información oficial sobre asuntos relativos a la protección de las obtenciones vegetales en Polonia.</w:t>
      </w:r>
    </w:p>
    <w:p w:rsidR="00702E8E" w:rsidRPr="00D42A19" w:rsidRDefault="00702E8E" w:rsidP="00702E8E">
      <w:pPr>
        <w:tabs>
          <w:tab w:val="left" w:pos="4962"/>
        </w:tabs>
        <w:rPr>
          <w:rFonts w:cs="Arial"/>
        </w:rPr>
      </w:pPr>
    </w:p>
    <w:p w:rsidR="00702E8E" w:rsidRPr="00D42A19" w:rsidRDefault="00702E8E" w:rsidP="00702E8E">
      <w:pPr>
        <w:tabs>
          <w:tab w:val="left" w:pos="4962"/>
        </w:tabs>
        <w:rPr>
          <w:rFonts w:cs="Arial"/>
        </w:rPr>
      </w:pPr>
      <w:r w:rsidRPr="00D42A19">
        <w:t>Durante el período objeto del informe el COBORU participó en las actividades promocionales siguientes:</w:t>
      </w:r>
    </w:p>
    <w:p w:rsidR="00702E8E" w:rsidRPr="00D42A19" w:rsidRDefault="00702E8E" w:rsidP="00702E8E">
      <w:pPr>
        <w:tabs>
          <w:tab w:val="left" w:pos="4962"/>
        </w:tabs>
        <w:rPr>
          <w:rFonts w:cs="Arial"/>
        </w:rPr>
      </w:pPr>
    </w:p>
    <w:tbl>
      <w:tblPr>
        <w:tblW w:w="9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6"/>
        <w:gridCol w:w="993"/>
        <w:gridCol w:w="1417"/>
        <w:gridCol w:w="1438"/>
        <w:gridCol w:w="1984"/>
        <w:gridCol w:w="1701"/>
        <w:gridCol w:w="427"/>
      </w:tblGrid>
      <w:tr w:rsidR="00702E8E" w:rsidRPr="00D42A19" w:rsidTr="005B5E84">
        <w:trPr>
          <w:cantSplit/>
          <w:trHeight w:val="1360"/>
          <w:tblHeader/>
        </w:trPr>
        <w:tc>
          <w:tcPr>
            <w:tcW w:w="1706" w:type="dxa"/>
            <w:tcBorders>
              <w:top w:val="single" w:sz="4" w:space="0" w:color="auto"/>
              <w:left w:val="single" w:sz="4" w:space="0" w:color="auto"/>
              <w:bottom w:val="single" w:sz="4" w:space="0" w:color="auto"/>
              <w:right w:val="single" w:sz="4" w:space="0" w:color="auto"/>
            </w:tcBorders>
            <w:hideMark/>
          </w:tcPr>
          <w:p w:rsidR="00702E8E" w:rsidRPr="00D42A19" w:rsidRDefault="00702E8E" w:rsidP="005B5E84">
            <w:pPr>
              <w:jc w:val="left"/>
              <w:rPr>
                <w:rFonts w:cs="Arial"/>
                <w:color w:val="000000"/>
                <w:sz w:val="18"/>
              </w:rPr>
            </w:pPr>
            <w:r w:rsidRPr="00D42A19">
              <w:rPr>
                <w:color w:val="000000"/>
                <w:sz w:val="18"/>
              </w:rPr>
              <w:t>Tipo de actividad</w:t>
            </w:r>
          </w:p>
        </w:tc>
        <w:tc>
          <w:tcPr>
            <w:tcW w:w="993" w:type="dxa"/>
            <w:tcBorders>
              <w:top w:val="single" w:sz="4" w:space="0" w:color="auto"/>
              <w:left w:val="single" w:sz="4" w:space="0" w:color="auto"/>
              <w:bottom w:val="single" w:sz="4" w:space="0" w:color="auto"/>
              <w:right w:val="single" w:sz="4" w:space="0" w:color="auto"/>
            </w:tcBorders>
            <w:hideMark/>
          </w:tcPr>
          <w:p w:rsidR="00702E8E" w:rsidRPr="00D42A19" w:rsidRDefault="00702E8E" w:rsidP="005B5E84">
            <w:pPr>
              <w:jc w:val="left"/>
              <w:rPr>
                <w:rFonts w:cs="Arial"/>
                <w:color w:val="000000"/>
                <w:sz w:val="18"/>
              </w:rPr>
            </w:pPr>
            <w:r w:rsidRPr="00D42A19">
              <w:rPr>
                <w:color w:val="000000"/>
                <w:sz w:val="18"/>
              </w:rPr>
              <w:t>Fecha</w:t>
            </w:r>
          </w:p>
        </w:tc>
        <w:tc>
          <w:tcPr>
            <w:tcW w:w="1417" w:type="dxa"/>
            <w:tcBorders>
              <w:top w:val="single" w:sz="4" w:space="0" w:color="auto"/>
              <w:left w:val="single" w:sz="4" w:space="0" w:color="auto"/>
              <w:bottom w:val="single" w:sz="4" w:space="0" w:color="auto"/>
              <w:right w:val="single" w:sz="4" w:space="0" w:color="auto"/>
            </w:tcBorders>
            <w:hideMark/>
          </w:tcPr>
          <w:p w:rsidR="00702E8E" w:rsidRPr="00D42A19" w:rsidRDefault="00702E8E" w:rsidP="005B5E84">
            <w:pPr>
              <w:jc w:val="left"/>
              <w:rPr>
                <w:rFonts w:cs="Arial"/>
                <w:color w:val="000000"/>
                <w:sz w:val="18"/>
              </w:rPr>
            </w:pPr>
            <w:r w:rsidRPr="00D42A19">
              <w:rPr>
                <w:color w:val="000000"/>
                <w:sz w:val="18"/>
              </w:rPr>
              <w:t>Lugar</w:t>
            </w:r>
          </w:p>
        </w:tc>
        <w:tc>
          <w:tcPr>
            <w:tcW w:w="1438" w:type="dxa"/>
            <w:tcBorders>
              <w:top w:val="single" w:sz="4" w:space="0" w:color="auto"/>
              <w:left w:val="single" w:sz="4" w:space="0" w:color="auto"/>
              <w:bottom w:val="single" w:sz="4" w:space="0" w:color="auto"/>
              <w:right w:val="single" w:sz="4" w:space="0" w:color="auto"/>
            </w:tcBorders>
            <w:hideMark/>
          </w:tcPr>
          <w:p w:rsidR="00702E8E" w:rsidRPr="00D42A19" w:rsidRDefault="00702E8E" w:rsidP="005B5E84">
            <w:pPr>
              <w:jc w:val="left"/>
              <w:rPr>
                <w:rFonts w:cs="Arial"/>
                <w:color w:val="000000"/>
                <w:sz w:val="18"/>
              </w:rPr>
            </w:pPr>
            <w:r w:rsidRPr="00D42A19">
              <w:rPr>
                <w:color w:val="000000"/>
                <w:sz w:val="18"/>
              </w:rPr>
              <w:t>Organizadores</w:t>
            </w:r>
          </w:p>
        </w:tc>
        <w:tc>
          <w:tcPr>
            <w:tcW w:w="1984" w:type="dxa"/>
            <w:tcBorders>
              <w:top w:val="single" w:sz="4" w:space="0" w:color="auto"/>
              <w:left w:val="single" w:sz="4" w:space="0" w:color="auto"/>
              <w:bottom w:val="single" w:sz="4" w:space="0" w:color="auto"/>
              <w:right w:val="single" w:sz="4" w:space="0" w:color="auto"/>
            </w:tcBorders>
            <w:hideMark/>
          </w:tcPr>
          <w:p w:rsidR="00702E8E" w:rsidRPr="00D42A19" w:rsidRDefault="00702E8E" w:rsidP="005B5E84">
            <w:pPr>
              <w:jc w:val="left"/>
              <w:rPr>
                <w:rFonts w:cs="Arial"/>
                <w:color w:val="000000"/>
                <w:sz w:val="18"/>
              </w:rPr>
            </w:pPr>
            <w:r w:rsidRPr="00D42A19">
              <w:rPr>
                <w:color w:val="000000"/>
                <w:sz w:val="18"/>
              </w:rPr>
              <w:t>Finalidad de la actividad</w:t>
            </w:r>
          </w:p>
        </w:tc>
        <w:tc>
          <w:tcPr>
            <w:tcW w:w="1701" w:type="dxa"/>
            <w:tcBorders>
              <w:top w:val="single" w:sz="4" w:space="0" w:color="auto"/>
              <w:left w:val="single" w:sz="4" w:space="0" w:color="auto"/>
              <w:bottom w:val="single" w:sz="4" w:space="0" w:color="auto"/>
              <w:right w:val="single" w:sz="4" w:space="0" w:color="auto"/>
            </w:tcBorders>
            <w:hideMark/>
          </w:tcPr>
          <w:p w:rsidR="00702E8E" w:rsidRPr="00D42A19" w:rsidRDefault="00702E8E" w:rsidP="005B5E84">
            <w:pPr>
              <w:jc w:val="left"/>
              <w:rPr>
                <w:rFonts w:cs="Arial"/>
                <w:color w:val="000000"/>
                <w:sz w:val="18"/>
              </w:rPr>
            </w:pPr>
            <w:r w:rsidRPr="00D42A19">
              <w:rPr>
                <w:color w:val="000000"/>
                <w:sz w:val="18"/>
              </w:rPr>
              <w:t>Países participantes/ organizaciones (número de participantes de cada país/ organización)</w:t>
            </w:r>
          </w:p>
        </w:tc>
        <w:tc>
          <w:tcPr>
            <w:tcW w:w="427" w:type="dxa"/>
            <w:tcBorders>
              <w:top w:val="single" w:sz="4" w:space="0" w:color="auto"/>
              <w:left w:val="single" w:sz="4" w:space="0" w:color="auto"/>
              <w:bottom w:val="single" w:sz="4" w:space="0" w:color="auto"/>
              <w:right w:val="single" w:sz="4" w:space="0" w:color="auto"/>
            </w:tcBorders>
            <w:textDirection w:val="btLr"/>
            <w:vAlign w:val="center"/>
            <w:hideMark/>
          </w:tcPr>
          <w:p w:rsidR="00702E8E" w:rsidRPr="00D42A19" w:rsidRDefault="00702E8E" w:rsidP="005B5E84">
            <w:pPr>
              <w:ind w:left="113" w:right="113"/>
              <w:jc w:val="left"/>
              <w:rPr>
                <w:rFonts w:cs="Arial"/>
                <w:color w:val="000000"/>
                <w:sz w:val="18"/>
              </w:rPr>
            </w:pPr>
            <w:r w:rsidRPr="00D42A19">
              <w:rPr>
                <w:color w:val="000000"/>
                <w:sz w:val="18"/>
              </w:rPr>
              <w:t>Comentarios</w:t>
            </w:r>
          </w:p>
        </w:tc>
      </w:tr>
      <w:tr w:rsidR="00702E8E" w:rsidRPr="00D42A19" w:rsidTr="005B5E84">
        <w:trPr>
          <w:cantSplit/>
        </w:trPr>
        <w:tc>
          <w:tcPr>
            <w:tcW w:w="1706" w:type="dxa"/>
            <w:tcBorders>
              <w:top w:val="single" w:sz="4" w:space="0" w:color="auto"/>
              <w:left w:val="single" w:sz="4" w:space="0" w:color="auto"/>
              <w:bottom w:val="single" w:sz="4" w:space="0" w:color="auto"/>
              <w:right w:val="single" w:sz="4" w:space="0" w:color="auto"/>
            </w:tcBorders>
            <w:hideMark/>
          </w:tcPr>
          <w:p w:rsidR="00702E8E" w:rsidRPr="00D42A19" w:rsidRDefault="00702E8E" w:rsidP="005B5E84">
            <w:pPr>
              <w:jc w:val="left"/>
              <w:rPr>
                <w:rFonts w:cs="Arial"/>
                <w:color w:val="000000"/>
                <w:sz w:val="18"/>
              </w:rPr>
            </w:pPr>
            <w:r w:rsidRPr="00D42A19">
              <w:rPr>
                <w:color w:val="000000"/>
                <w:sz w:val="18"/>
              </w:rPr>
              <w:t xml:space="preserve">1. Reunión de la sección de plantas oleaginosas y fibrosas de la Asociación Europea de Semillas (ESA) </w:t>
            </w:r>
          </w:p>
        </w:tc>
        <w:tc>
          <w:tcPr>
            <w:tcW w:w="993"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rPr>
            </w:pPr>
            <w:r w:rsidRPr="00D42A19">
              <w:rPr>
                <w:color w:val="000000"/>
                <w:sz w:val="18"/>
              </w:rPr>
              <w:t>16 de abril de 2015</w:t>
            </w:r>
          </w:p>
        </w:tc>
        <w:tc>
          <w:tcPr>
            <w:tcW w:w="1417"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rPr>
            </w:pPr>
            <w:proofErr w:type="spellStart"/>
            <w:r w:rsidRPr="00D42A19">
              <w:rPr>
                <w:color w:val="000000"/>
                <w:sz w:val="18"/>
              </w:rPr>
              <w:t>Słupia</w:t>
            </w:r>
            <w:proofErr w:type="spellEnd"/>
            <w:r w:rsidRPr="00D42A19">
              <w:rPr>
                <w:color w:val="000000"/>
                <w:sz w:val="18"/>
              </w:rPr>
              <w:t xml:space="preserve"> </w:t>
            </w:r>
            <w:proofErr w:type="spellStart"/>
            <w:r w:rsidRPr="00D42A19">
              <w:rPr>
                <w:color w:val="000000"/>
                <w:sz w:val="18"/>
              </w:rPr>
              <w:t>Wielka</w:t>
            </w:r>
            <w:proofErr w:type="spellEnd"/>
            <w:r w:rsidRPr="00D42A19">
              <w:rPr>
                <w:color w:val="000000"/>
                <w:sz w:val="18"/>
              </w:rPr>
              <w:t xml:space="preserve"> (Polonia)</w:t>
            </w:r>
          </w:p>
        </w:tc>
        <w:tc>
          <w:tcPr>
            <w:tcW w:w="1438"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rPr>
            </w:pPr>
            <w:r w:rsidRPr="00D42A19">
              <w:rPr>
                <w:color w:val="000000"/>
                <w:sz w:val="18"/>
              </w:rPr>
              <w:t xml:space="preserve">Instituto de Fitomejoramiento y Aclimatación, </w:t>
            </w:r>
            <w:proofErr w:type="spellStart"/>
            <w:r w:rsidRPr="00D42A19">
              <w:rPr>
                <w:color w:val="000000"/>
                <w:sz w:val="18"/>
              </w:rPr>
              <w:t>Radzików</w:t>
            </w:r>
            <w:proofErr w:type="spellEnd"/>
          </w:p>
        </w:tc>
        <w:tc>
          <w:tcPr>
            <w:tcW w:w="1984"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rPr>
            </w:pPr>
            <w:r w:rsidRPr="00D42A19">
              <w:rPr>
                <w:color w:val="000000"/>
                <w:sz w:val="18"/>
              </w:rPr>
              <w:t>Presentación de la organización y la actividad del COBORU en el ámbito de la lista nacional, la concesión de derechos de obtentor y la recomendación de obtenciones vegetales</w:t>
            </w:r>
          </w:p>
        </w:tc>
        <w:tc>
          <w:tcPr>
            <w:tcW w:w="1701"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rPr>
            </w:pPr>
            <w:r w:rsidRPr="00D42A19">
              <w:rPr>
                <w:color w:val="000000"/>
                <w:sz w:val="18"/>
              </w:rPr>
              <w:t>ESA (17)</w:t>
            </w:r>
          </w:p>
          <w:p w:rsidR="00702E8E" w:rsidRPr="00D42A19" w:rsidRDefault="00702E8E" w:rsidP="005B5E84">
            <w:pPr>
              <w:jc w:val="left"/>
              <w:rPr>
                <w:rFonts w:cs="Arial"/>
                <w:color w:val="000000"/>
                <w:sz w:val="18"/>
              </w:rPr>
            </w:pPr>
            <w:r w:rsidRPr="00D42A19">
              <w:rPr>
                <w:color w:val="000000"/>
                <w:sz w:val="18"/>
              </w:rPr>
              <w:t>Polonia (8)</w:t>
            </w:r>
          </w:p>
        </w:tc>
        <w:tc>
          <w:tcPr>
            <w:tcW w:w="427"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rPr>
            </w:pPr>
          </w:p>
        </w:tc>
      </w:tr>
      <w:tr w:rsidR="00702E8E" w:rsidRPr="00D42A19" w:rsidTr="005B5E84">
        <w:trPr>
          <w:cantSplit/>
        </w:trPr>
        <w:tc>
          <w:tcPr>
            <w:tcW w:w="1706" w:type="dxa"/>
            <w:tcBorders>
              <w:top w:val="single" w:sz="4" w:space="0" w:color="auto"/>
              <w:left w:val="single" w:sz="4" w:space="0" w:color="auto"/>
              <w:bottom w:val="single" w:sz="4" w:space="0" w:color="auto"/>
              <w:right w:val="single" w:sz="4" w:space="0" w:color="auto"/>
            </w:tcBorders>
            <w:hideMark/>
          </w:tcPr>
          <w:p w:rsidR="00702E8E" w:rsidRPr="00D42A19" w:rsidRDefault="00702E8E" w:rsidP="005B5E84">
            <w:pPr>
              <w:jc w:val="left"/>
              <w:rPr>
                <w:rFonts w:cs="Arial"/>
                <w:color w:val="000000"/>
                <w:sz w:val="18"/>
              </w:rPr>
            </w:pPr>
            <w:r w:rsidRPr="00D42A19">
              <w:rPr>
                <w:color w:val="000000"/>
                <w:sz w:val="18"/>
              </w:rPr>
              <w:t>2. Visita del Presidente y el Vicepresidente de la OCVV</w:t>
            </w:r>
          </w:p>
        </w:tc>
        <w:tc>
          <w:tcPr>
            <w:tcW w:w="993"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rPr>
            </w:pPr>
            <w:r w:rsidRPr="00D42A19">
              <w:rPr>
                <w:color w:val="000000"/>
                <w:sz w:val="18"/>
              </w:rPr>
              <w:t>4 a 6 de mayo de 2015</w:t>
            </w:r>
          </w:p>
        </w:tc>
        <w:tc>
          <w:tcPr>
            <w:tcW w:w="1417"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rPr>
            </w:pPr>
            <w:proofErr w:type="spellStart"/>
            <w:r w:rsidRPr="00D42A19">
              <w:rPr>
                <w:color w:val="000000"/>
                <w:sz w:val="18"/>
              </w:rPr>
              <w:t>Słupia</w:t>
            </w:r>
            <w:proofErr w:type="spellEnd"/>
            <w:r w:rsidRPr="00D42A19">
              <w:rPr>
                <w:color w:val="000000"/>
                <w:sz w:val="18"/>
              </w:rPr>
              <w:t xml:space="preserve"> </w:t>
            </w:r>
            <w:proofErr w:type="spellStart"/>
            <w:r w:rsidRPr="00D42A19">
              <w:rPr>
                <w:color w:val="000000"/>
                <w:sz w:val="18"/>
              </w:rPr>
              <w:t>Wielka</w:t>
            </w:r>
            <w:proofErr w:type="spellEnd"/>
            <w:r w:rsidRPr="00D42A19">
              <w:rPr>
                <w:color w:val="000000"/>
                <w:sz w:val="18"/>
              </w:rPr>
              <w:t xml:space="preserve"> (Polonia) Estación experimental </w:t>
            </w:r>
            <w:proofErr w:type="spellStart"/>
            <w:r w:rsidRPr="00D42A19">
              <w:rPr>
                <w:color w:val="000000"/>
                <w:sz w:val="18"/>
              </w:rPr>
              <w:t>Zybiszów</w:t>
            </w:r>
            <w:proofErr w:type="spellEnd"/>
            <w:r w:rsidRPr="00D42A19">
              <w:rPr>
                <w:color w:val="000000"/>
                <w:sz w:val="18"/>
              </w:rPr>
              <w:t xml:space="preserve"> </w:t>
            </w:r>
          </w:p>
        </w:tc>
        <w:tc>
          <w:tcPr>
            <w:tcW w:w="1438"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rPr>
            </w:pPr>
            <w:r w:rsidRPr="00D42A19">
              <w:rPr>
                <w:color w:val="000000"/>
                <w:sz w:val="18"/>
              </w:rPr>
              <w:t>COBORU</w:t>
            </w:r>
          </w:p>
        </w:tc>
        <w:tc>
          <w:tcPr>
            <w:tcW w:w="1984"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rPr>
            </w:pPr>
            <w:r w:rsidRPr="00D42A19">
              <w:rPr>
                <w:color w:val="000000"/>
                <w:sz w:val="18"/>
              </w:rPr>
              <w:t xml:space="preserve">Debate sobre el funcionamiento de los sistemas de protección de derechos de obtentor y sobre la cooperación mutua;  presentación de la actividad del COBORU </w:t>
            </w:r>
          </w:p>
        </w:tc>
        <w:tc>
          <w:tcPr>
            <w:tcW w:w="1701"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rPr>
            </w:pPr>
            <w:r w:rsidRPr="00D42A19">
              <w:rPr>
                <w:color w:val="000000"/>
                <w:sz w:val="18"/>
              </w:rPr>
              <w:t>OCVV (2)</w:t>
            </w:r>
          </w:p>
          <w:p w:rsidR="00702E8E" w:rsidRPr="00D42A19" w:rsidRDefault="00702E8E" w:rsidP="005B5E84">
            <w:pPr>
              <w:jc w:val="left"/>
              <w:rPr>
                <w:rFonts w:cs="Arial"/>
                <w:color w:val="000000"/>
                <w:sz w:val="18"/>
              </w:rPr>
            </w:pPr>
            <w:r w:rsidRPr="00D42A19">
              <w:rPr>
                <w:color w:val="000000"/>
                <w:sz w:val="18"/>
              </w:rPr>
              <w:t>Polonia (8)</w:t>
            </w:r>
          </w:p>
        </w:tc>
        <w:tc>
          <w:tcPr>
            <w:tcW w:w="427"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rPr>
            </w:pPr>
          </w:p>
        </w:tc>
      </w:tr>
      <w:tr w:rsidR="00702E8E" w:rsidRPr="00D42A19" w:rsidTr="005B5E84">
        <w:trPr>
          <w:cantSplit/>
        </w:trPr>
        <w:tc>
          <w:tcPr>
            <w:tcW w:w="1706" w:type="dxa"/>
            <w:tcBorders>
              <w:top w:val="single" w:sz="4" w:space="0" w:color="auto"/>
              <w:left w:val="single" w:sz="4" w:space="0" w:color="auto"/>
              <w:bottom w:val="single" w:sz="4" w:space="0" w:color="auto"/>
              <w:right w:val="single" w:sz="4" w:space="0" w:color="auto"/>
            </w:tcBorders>
            <w:hideMark/>
          </w:tcPr>
          <w:p w:rsidR="00702E8E" w:rsidRPr="00D42A19" w:rsidRDefault="00702E8E" w:rsidP="005B5E84">
            <w:pPr>
              <w:jc w:val="left"/>
              <w:rPr>
                <w:rFonts w:cs="Arial"/>
                <w:color w:val="000000"/>
                <w:sz w:val="18"/>
              </w:rPr>
            </w:pPr>
            <w:r w:rsidRPr="00D42A19">
              <w:rPr>
                <w:color w:val="000000"/>
                <w:sz w:val="18"/>
              </w:rPr>
              <w:t>3. Visita de expertos de la BSA (Alemania)</w:t>
            </w:r>
          </w:p>
        </w:tc>
        <w:tc>
          <w:tcPr>
            <w:tcW w:w="993"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rPr>
            </w:pPr>
            <w:r w:rsidRPr="00D42A19">
              <w:rPr>
                <w:color w:val="000000"/>
                <w:sz w:val="18"/>
              </w:rPr>
              <w:t>22 y 23 de junio de 2015</w:t>
            </w:r>
          </w:p>
        </w:tc>
        <w:tc>
          <w:tcPr>
            <w:tcW w:w="1417"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highlight w:val="yellow"/>
              </w:rPr>
            </w:pPr>
            <w:proofErr w:type="spellStart"/>
            <w:r w:rsidRPr="00D42A19">
              <w:rPr>
                <w:color w:val="000000"/>
                <w:sz w:val="18"/>
              </w:rPr>
              <w:t>Słupia</w:t>
            </w:r>
            <w:proofErr w:type="spellEnd"/>
            <w:r w:rsidRPr="00D42A19">
              <w:rPr>
                <w:color w:val="000000"/>
                <w:sz w:val="18"/>
              </w:rPr>
              <w:t xml:space="preserve"> </w:t>
            </w:r>
            <w:proofErr w:type="spellStart"/>
            <w:r w:rsidRPr="00D42A19">
              <w:rPr>
                <w:color w:val="000000"/>
                <w:sz w:val="18"/>
              </w:rPr>
              <w:t>Wielka</w:t>
            </w:r>
            <w:proofErr w:type="spellEnd"/>
            <w:r w:rsidRPr="00D42A19">
              <w:rPr>
                <w:color w:val="000000"/>
                <w:sz w:val="18"/>
              </w:rPr>
              <w:t xml:space="preserve"> (Polonia) </w:t>
            </w:r>
          </w:p>
        </w:tc>
        <w:tc>
          <w:tcPr>
            <w:tcW w:w="1438"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highlight w:val="yellow"/>
              </w:rPr>
            </w:pPr>
            <w:r w:rsidRPr="00D42A19">
              <w:rPr>
                <w:color w:val="000000"/>
                <w:sz w:val="18"/>
              </w:rPr>
              <w:t>COBORU</w:t>
            </w:r>
          </w:p>
        </w:tc>
        <w:tc>
          <w:tcPr>
            <w:tcW w:w="1984"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highlight w:val="yellow"/>
              </w:rPr>
            </w:pPr>
            <w:r w:rsidRPr="00D42A19">
              <w:rPr>
                <w:color w:val="000000"/>
                <w:sz w:val="18"/>
              </w:rPr>
              <w:t xml:space="preserve">Hubo un intercambio de opiniones acerca de las experiencias y se hicieron comentarios sobre la manera de llevar a cabo las mediciones y observaciones de caracteres de los protocolos técnicos de las variedades de centeno;   funcionamiento de los sistemas nacionales de derechos de obtentor en Polonia y Alemania;   debate sobre las posibles áreas de cooperación mutua </w:t>
            </w:r>
          </w:p>
        </w:tc>
        <w:tc>
          <w:tcPr>
            <w:tcW w:w="1701"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rPr>
            </w:pPr>
            <w:r w:rsidRPr="00D42A19">
              <w:rPr>
                <w:color w:val="000000"/>
                <w:sz w:val="18"/>
              </w:rPr>
              <w:t>BSA (4)</w:t>
            </w:r>
          </w:p>
          <w:p w:rsidR="00702E8E" w:rsidRPr="00D42A19" w:rsidRDefault="00702E8E" w:rsidP="005B5E84">
            <w:pPr>
              <w:jc w:val="left"/>
              <w:rPr>
                <w:rFonts w:cs="Arial"/>
                <w:color w:val="000000"/>
                <w:sz w:val="18"/>
                <w:highlight w:val="yellow"/>
              </w:rPr>
            </w:pPr>
            <w:r w:rsidRPr="00D42A19">
              <w:rPr>
                <w:color w:val="000000"/>
                <w:sz w:val="18"/>
              </w:rPr>
              <w:t>Polonia (10)</w:t>
            </w:r>
          </w:p>
        </w:tc>
        <w:tc>
          <w:tcPr>
            <w:tcW w:w="427"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rPr>
            </w:pPr>
          </w:p>
        </w:tc>
      </w:tr>
      <w:tr w:rsidR="00702E8E" w:rsidRPr="00D42A19" w:rsidTr="005B5E84">
        <w:trPr>
          <w:cantSplit/>
        </w:trPr>
        <w:tc>
          <w:tcPr>
            <w:tcW w:w="1706" w:type="dxa"/>
            <w:tcBorders>
              <w:top w:val="single" w:sz="4" w:space="0" w:color="auto"/>
              <w:left w:val="single" w:sz="4" w:space="0" w:color="auto"/>
              <w:bottom w:val="single" w:sz="4" w:space="0" w:color="auto"/>
              <w:right w:val="single" w:sz="4" w:space="0" w:color="auto"/>
            </w:tcBorders>
            <w:hideMark/>
          </w:tcPr>
          <w:p w:rsidR="00702E8E" w:rsidRPr="00D42A19" w:rsidRDefault="00702E8E" w:rsidP="005B5E84">
            <w:pPr>
              <w:jc w:val="left"/>
              <w:rPr>
                <w:rFonts w:cs="Arial"/>
                <w:color w:val="000000"/>
                <w:sz w:val="18"/>
              </w:rPr>
            </w:pPr>
            <w:r w:rsidRPr="00D42A19">
              <w:rPr>
                <w:color w:val="000000"/>
                <w:sz w:val="18"/>
              </w:rPr>
              <w:t>4. Visita de la delegación checa del ÚKZÚZ</w:t>
            </w:r>
          </w:p>
        </w:tc>
        <w:tc>
          <w:tcPr>
            <w:tcW w:w="993"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rPr>
            </w:pPr>
            <w:r w:rsidRPr="00D42A19">
              <w:rPr>
                <w:color w:val="000000"/>
                <w:sz w:val="18"/>
              </w:rPr>
              <w:t>1 de julio de 2015</w:t>
            </w:r>
          </w:p>
        </w:tc>
        <w:tc>
          <w:tcPr>
            <w:tcW w:w="1417"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rPr>
            </w:pPr>
            <w:proofErr w:type="spellStart"/>
            <w:r w:rsidRPr="00D42A19">
              <w:rPr>
                <w:color w:val="000000"/>
                <w:sz w:val="18"/>
              </w:rPr>
              <w:t>Słupia</w:t>
            </w:r>
            <w:proofErr w:type="spellEnd"/>
            <w:r w:rsidRPr="00D42A19">
              <w:rPr>
                <w:color w:val="000000"/>
                <w:sz w:val="18"/>
              </w:rPr>
              <w:t xml:space="preserve"> </w:t>
            </w:r>
            <w:proofErr w:type="spellStart"/>
            <w:r w:rsidRPr="00D42A19">
              <w:rPr>
                <w:color w:val="000000"/>
                <w:sz w:val="18"/>
              </w:rPr>
              <w:t>Wielka</w:t>
            </w:r>
            <w:proofErr w:type="spellEnd"/>
            <w:r w:rsidRPr="00D42A19">
              <w:rPr>
                <w:color w:val="000000"/>
                <w:sz w:val="18"/>
              </w:rPr>
              <w:t xml:space="preserve"> (Polonia)</w:t>
            </w:r>
          </w:p>
        </w:tc>
        <w:tc>
          <w:tcPr>
            <w:tcW w:w="1438"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rPr>
            </w:pPr>
            <w:r w:rsidRPr="00D42A19">
              <w:rPr>
                <w:color w:val="000000"/>
                <w:sz w:val="18"/>
              </w:rPr>
              <w:t>COBORU</w:t>
            </w:r>
          </w:p>
        </w:tc>
        <w:tc>
          <w:tcPr>
            <w:tcW w:w="1984"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highlight w:val="yellow"/>
              </w:rPr>
            </w:pPr>
            <w:r w:rsidRPr="00D42A19">
              <w:rPr>
                <w:color w:val="000000"/>
                <w:sz w:val="18"/>
              </w:rPr>
              <w:t xml:space="preserve">Hubo un intercambio de opiniones acerca de las experiencias y se hicieron comentarios sobre el examen DHE;  visita de campo </w:t>
            </w:r>
          </w:p>
        </w:tc>
        <w:tc>
          <w:tcPr>
            <w:tcW w:w="1701"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rPr>
            </w:pPr>
            <w:r w:rsidRPr="00D42A19">
              <w:rPr>
                <w:color w:val="000000"/>
                <w:sz w:val="18"/>
              </w:rPr>
              <w:t>República Checa (1)</w:t>
            </w:r>
          </w:p>
          <w:p w:rsidR="00702E8E" w:rsidRPr="00D42A19" w:rsidRDefault="00702E8E" w:rsidP="005B5E84">
            <w:pPr>
              <w:jc w:val="left"/>
              <w:rPr>
                <w:rFonts w:cs="Arial"/>
                <w:color w:val="000000"/>
                <w:sz w:val="18"/>
                <w:highlight w:val="yellow"/>
              </w:rPr>
            </w:pPr>
            <w:r w:rsidRPr="00D42A19">
              <w:rPr>
                <w:color w:val="000000"/>
                <w:sz w:val="18"/>
              </w:rPr>
              <w:t>Polonia (5)</w:t>
            </w:r>
          </w:p>
        </w:tc>
        <w:tc>
          <w:tcPr>
            <w:tcW w:w="427"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rPr>
            </w:pPr>
          </w:p>
        </w:tc>
      </w:tr>
      <w:tr w:rsidR="00702E8E" w:rsidRPr="00D42A19" w:rsidTr="005B5E84">
        <w:trPr>
          <w:cantSplit/>
        </w:trPr>
        <w:tc>
          <w:tcPr>
            <w:tcW w:w="1706" w:type="dxa"/>
            <w:tcBorders>
              <w:top w:val="single" w:sz="4" w:space="0" w:color="auto"/>
              <w:left w:val="single" w:sz="4" w:space="0" w:color="auto"/>
              <w:bottom w:val="single" w:sz="4" w:space="0" w:color="auto"/>
              <w:right w:val="single" w:sz="4" w:space="0" w:color="auto"/>
            </w:tcBorders>
            <w:hideMark/>
          </w:tcPr>
          <w:p w:rsidR="00702E8E" w:rsidRPr="00D42A19" w:rsidRDefault="00702E8E" w:rsidP="005B5E84">
            <w:pPr>
              <w:jc w:val="left"/>
              <w:rPr>
                <w:rFonts w:cs="Arial"/>
                <w:color w:val="000000"/>
                <w:sz w:val="18"/>
                <w:highlight w:val="yellow"/>
              </w:rPr>
            </w:pPr>
            <w:r w:rsidRPr="00D42A19">
              <w:rPr>
                <w:color w:val="000000"/>
                <w:sz w:val="18"/>
              </w:rPr>
              <w:t>5. Visita de una delegación de la Oficina Nacional de Seguridad de la Cadena Alimentaria (NEBIH) de Hungría y de una empresa de fitomejoramiento</w:t>
            </w:r>
          </w:p>
        </w:tc>
        <w:tc>
          <w:tcPr>
            <w:tcW w:w="993"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rPr>
            </w:pPr>
            <w:r w:rsidRPr="00D42A19">
              <w:rPr>
                <w:color w:val="000000"/>
                <w:sz w:val="18"/>
              </w:rPr>
              <w:t>13 a 15 de julio de 2015</w:t>
            </w:r>
          </w:p>
        </w:tc>
        <w:tc>
          <w:tcPr>
            <w:tcW w:w="1417"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rPr>
            </w:pPr>
            <w:proofErr w:type="spellStart"/>
            <w:r w:rsidRPr="00D42A19">
              <w:rPr>
                <w:color w:val="000000"/>
                <w:sz w:val="18"/>
              </w:rPr>
              <w:t>Słupia</w:t>
            </w:r>
            <w:proofErr w:type="spellEnd"/>
            <w:r w:rsidRPr="00D42A19">
              <w:rPr>
                <w:color w:val="000000"/>
                <w:sz w:val="18"/>
              </w:rPr>
              <w:t xml:space="preserve"> </w:t>
            </w:r>
            <w:proofErr w:type="spellStart"/>
            <w:r w:rsidRPr="00D42A19">
              <w:rPr>
                <w:color w:val="000000"/>
                <w:sz w:val="18"/>
              </w:rPr>
              <w:t>Wielka</w:t>
            </w:r>
            <w:proofErr w:type="spellEnd"/>
            <w:r w:rsidRPr="00D42A19">
              <w:rPr>
                <w:color w:val="000000"/>
                <w:sz w:val="18"/>
              </w:rPr>
              <w:t xml:space="preserve"> (Polonia) </w:t>
            </w:r>
          </w:p>
          <w:p w:rsidR="00702E8E" w:rsidRPr="00D42A19" w:rsidRDefault="00702E8E" w:rsidP="005B5E84">
            <w:pPr>
              <w:jc w:val="left"/>
              <w:rPr>
                <w:rFonts w:cs="Arial"/>
                <w:color w:val="000000"/>
                <w:sz w:val="18"/>
              </w:rPr>
            </w:pPr>
            <w:r w:rsidRPr="00D42A19">
              <w:rPr>
                <w:color w:val="000000"/>
                <w:sz w:val="18"/>
              </w:rPr>
              <w:t xml:space="preserve">Estaciones experimentales:    </w:t>
            </w:r>
            <w:proofErr w:type="spellStart"/>
            <w:r w:rsidRPr="00D42A19">
              <w:rPr>
                <w:color w:val="000000"/>
                <w:sz w:val="18"/>
              </w:rPr>
              <w:t>Bobrowniki</w:t>
            </w:r>
            <w:proofErr w:type="spellEnd"/>
            <w:r w:rsidRPr="00D42A19">
              <w:rPr>
                <w:color w:val="000000"/>
                <w:sz w:val="18"/>
              </w:rPr>
              <w:t xml:space="preserve">, </w:t>
            </w:r>
            <w:proofErr w:type="spellStart"/>
            <w:r w:rsidRPr="00D42A19">
              <w:rPr>
                <w:color w:val="000000"/>
                <w:sz w:val="18"/>
              </w:rPr>
              <w:t>Śrem</w:t>
            </w:r>
            <w:proofErr w:type="spellEnd"/>
            <w:r w:rsidRPr="00D42A19">
              <w:rPr>
                <w:color w:val="000000"/>
                <w:sz w:val="18"/>
              </w:rPr>
              <w:t xml:space="preserve">, </w:t>
            </w:r>
            <w:proofErr w:type="spellStart"/>
            <w:r w:rsidRPr="00D42A19">
              <w:rPr>
                <w:color w:val="000000"/>
                <w:sz w:val="18"/>
              </w:rPr>
              <w:t>Słupia</w:t>
            </w:r>
            <w:proofErr w:type="spellEnd"/>
            <w:r w:rsidRPr="00D42A19">
              <w:rPr>
                <w:color w:val="000000"/>
                <w:sz w:val="18"/>
              </w:rPr>
              <w:t> </w:t>
            </w:r>
            <w:proofErr w:type="spellStart"/>
            <w:r w:rsidRPr="00D42A19">
              <w:rPr>
                <w:color w:val="000000"/>
                <w:sz w:val="18"/>
              </w:rPr>
              <w:t>Wielka</w:t>
            </w:r>
            <w:proofErr w:type="spellEnd"/>
          </w:p>
        </w:tc>
        <w:tc>
          <w:tcPr>
            <w:tcW w:w="1438"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rPr>
            </w:pPr>
            <w:r w:rsidRPr="00D42A19">
              <w:rPr>
                <w:color w:val="000000"/>
                <w:sz w:val="18"/>
              </w:rPr>
              <w:t>COBORU</w:t>
            </w:r>
          </w:p>
        </w:tc>
        <w:tc>
          <w:tcPr>
            <w:tcW w:w="1984"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highlight w:val="yellow"/>
              </w:rPr>
            </w:pPr>
            <w:r w:rsidRPr="00D42A19">
              <w:rPr>
                <w:color w:val="000000"/>
                <w:sz w:val="18"/>
              </w:rPr>
              <w:t xml:space="preserve">Examen DHE de la campanilla del desierto o </w:t>
            </w:r>
            <w:proofErr w:type="spellStart"/>
            <w:r w:rsidRPr="00D42A19">
              <w:rPr>
                <w:color w:val="000000"/>
                <w:sz w:val="18"/>
              </w:rPr>
              <w:t>Bluebell</w:t>
            </w:r>
            <w:proofErr w:type="spellEnd"/>
            <w:r w:rsidRPr="00D42A19">
              <w:rPr>
                <w:color w:val="000000"/>
                <w:sz w:val="18"/>
              </w:rPr>
              <w:t>, gramíneas, la remolacha azucarera y los lupinos</w:t>
            </w:r>
          </w:p>
        </w:tc>
        <w:tc>
          <w:tcPr>
            <w:tcW w:w="1701" w:type="dxa"/>
            <w:tcBorders>
              <w:top w:val="single" w:sz="4" w:space="0" w:color="auto"/>
              <w:left w:val="single" w:sz="4" w:space="0" w:color="auto"/>
              <w:bottom w:val="single" w:sz="4" w:space="0" w:color="auto"/>
              <w:right w:val="single" w:sz="4" w:space="0" w:color="auto"/>
            </w:tcBorders>
          </w:tcPr>
          <w:p w:rsidR="00702E8E" w:rsidRPr="00C336C5" w:rsidRDefault="00702E8E" w:rsidP="005B5E84">
            <w:pPr>
              <w:jc w:val="left"/>
              <w:rPr>
                <w:rFonts w:cs="Arial"/>
                <w:color w:val="000000"/>
                <w:sz w:val="18"/>
              </w:rPr>
            </w:pPr>
            <w:r w:rsidRPr="00C336C5">
              <w:rPr>
                <w:color w:val="000000"/>
                <w:sz w:val="18"/>
              </w:rPr>
              <w:t xml:space="preserve">Hungría (4), incl.:  </w:t>
            </w:r>
          </w:p>
          <w:p w:rsidR="00702E8E" w:rsidRPr="00C336C5" w:rsidRDefault="00702E8E" w:rsidP="005B5E84">
            <w:pPr>
              <w:jc w:val="left"/>
              <w:rPr>
                <w:rFonts w:cs="Arial"/>
                <w:color w:val="000000"/>
                <w:sz w:val="18"/>
              </w:rPr>
            </w:pPr>
            <w:proofErr w:type="spellStart"/>
            <w:r w:rsidRPr="00C336C5">
              <w:rPr>
                <w:color w:val="000000"/>
                <w:sz w:val="18"/>
              </w:rPr>
              <w:t>Lajtamag</w:t>
            </w:r>
            <w:proofErr w:type="spellEnd"/>
            <w:r w:rsidRPr="00C336C5">
              <w:rPr>
                <w:color w:val="000000"/>
                <w:sz w:val="18"/>
              </w:rPr>
              <w:t xml:space="preserve"> </w:t>
            </w:r>
            <w:proofErr w:type="spellStart"/>
            <w:r w:rsidRPr="00C336C5">
              <w:rPr>
                <w:color w:val="000000"/>
                <w:sz w:val="18"/>
              </w:rPr>
              <w:t>Kft</w:t>
            </w:r>
            <w:proofErr w:type="spellEnd"/>
            <w:r w:rsidRPr="00C336C5">
              <w:rPr>
                <w:color w:val="000000"/>
                <w:sz w:val="18"/>
              </w:rPr>
              <w:t>. (3), NEBIH (1) y</w:t>
            </w:r>
          </w:p>
          <w:p w:rsidR="00702E8E" w:rsidRPr="00C336C5" w:rsidRDefault="00702E8E" w:rsidP="005B5E84">
            <w:pPr>
              <w:jc w:val="left"/>
              <w:rPr>
                <w:rFonts w:cs="Arial"/>
                <w:color w:val="000000"/>
                <w:sz w:val="18"/>
              </w:rPr>
            </w:pPr>
            <w:r w:rsidRPr="00C336C5">
              <w:rPr>
                <w:color w:val="000000"/>
                <w:sz w:val="18"/>
              </w:rPr>
              <w:t>Polonia (10)</w:t>
            </w:r>
          </w:p>
        </w:tc>
        <w:tc>
          <w:tcPr>
            <w:tcW w:w="427" w:type="dxa"/>
            <w:tcBorders>
              <w:top w:val="single" w:sz="4" w:space="0" w:color="auto"/>
              <w:left w:val="single" w:sz="4" w:space="0" w:color="auto"/>
              <w:bottom w:val="single" w:sz="4" w:space="0" w:color="auto"/>
              <w:right w:val="single" w:sz="4" w:space="0" w:color="auto"/>
            </w:tcBorders>
          </w:tcPr>
          <w:p w:rsidR="00702E8E" w:rsidRPr="00D42A19" w:rsidRDefault="00702E8E" w:rsidP="005B5E84">
            <w:pPr>
              <w:jc w:val="left"/>
              <w:rPr>
                <w:rFonts w:cs="Arial"/>
                <w:color w:val="000000"/>
                <w:sz w:val="18"/>
              </w:rPr>
            </w:pPr>
          </w:p>
        </w:tc>
      </w:tr>
    </w:tbl>
    <w:p w:rsidR="00702E8E" w:rsidRPr="00D42A19" w:rsidRDefault="00702E8E" w:rsidP="00702E8E">
      <w:pPr>
        <w:tabs>
          <w:tab w:val="left" w:pos="567"/>
          <w:tab w:val="left" w:pos="4962"/>
        </w:tabs>
        <w:rPr>
          <w:rFonts w:cs="Arial"/>
          <w:color w:val="000000"/>
        </w:rPr>
      </w:pPr>
    </w:p>
    <w:p w:rsidR="00702E8E" w:rsidRPr="00D42A19" w:rsidRDefault="00702E8E" w:rsidP="00702E8E">
      <w:pPr>
        <w:tabs>
          <w:tab w:val="left" w:pos="567"/>
          <w:tab w:val="left" w:pos="4962"/>
        </w:tabs>
        <w:rPr>
          <w:rFonts w:cs="Arial"/>
          <w:color w:val="000000"/>
        </w:rPr>
      </w:pPr>
    </w:p>
    <w:p w:rsidR="00702E8E" w:rsidRPr="00D42A19" w:rsidRDefault="00702E8E" w:rsidP="00702E8E">
      <w:r w:rsidRPr="00D42A19">
        <w:t>II.</w:t>
      </w:r>
      <w:r w:rsidRPr="00D42A19">
        <w:tab/>
        <w:t>OTRAS NOVEDADES DE INTERÉS PARA LA UPOV</w:t>
      </w:r>
    </w:p>
    <w:p w:rsidR="00702E8E" w:rsidRPr="00D42A19" w:rsidRDefault="00702E8E" w:rsidP="00702E8E">
      <w:pPr>
        <w:rPr>
          <w:rFonts w:cs="Arial"/>
        </w:rPr>
      </w:pPr>
    </w:p>
    <w:p w:rsidR="00702E8E" w:rsidRPr="00D42A19" w:rsidRDefault="00702E8E" w:rsidP="00702E8E">
      <w:pPr>
        <w:pStyle w:val="BodyText"/>
        <w:rPr>
          <w:rFonts w:cs="Arial"/>
        </w:rPr>
      </w:pPr>
      <w:r w:rsidRPr="00D42A19">
        <w:t xml:space="preserve">En abril y mayo de 2015 se publicaron la Lista nacional de variedades de plantas agrícolas, la Lista nacional de variedades de plantas hortícolas y la Lista nacional de variedades de plantas frutales de Polonia.  Tanto las listas oficiales como las listas actualizadas de variedades pueden consultarse también en </w:t>
      </w:r>
      <w:hyperlink r:id="rId31">
        <w:r w:rsidRPr="00D42A19">
          <w:rPr>
            <w:rStyle w:val="Hyperlink"/>
          </w:rPr>
          <w:t>www.coboru.pl</w:t>
        </w:r>
      </w:hyperlink>
      <w:r w:rsidRPr="00D42A19">
        <w:t xml:space="preserve">. </w:t>
      </w:r>
    </w:p>
    <w:p w:rsidR="00702E8E" w:rsidRPr="00D42A19" w:rsidRDefault="00702E8E" w:rsidP="00702E8E">
      <w:pPr>
        <w:pStyle w:val="BodyText"/>
        <w:rPr>
          <w:rFonts w:cs="Arial"/>
        </w:rPr>
      </w:pPr>
    </w:p>
    <w:p w:rsidR="003F39F5" w:rsidRPr="00D42A19" w:rsidRDefault="003F39F5" w:rsidP="003F39F5">
      <w:pPr>
        <w:jc w:val="left"/>
      </w:pPr>
    </w:p>
    <w:p w:rsidR="003F39F5" w:rsidRPr="00D42A19" w:rsidRDefault="003F39F5" w:rsidP="003F39F5">
      <w:pPr>
        <w:jc w:val="left"/>
      </w:pPr>
    </w:p>
    <w:p w:rsidR="003F39F5" w:rsidRPr="00D42A19" w:rsidRDefault="00F14899" w:rsidP="003F39F5">
      <w:pPr>
        <w:jc w:val="right"/>
      </w:pPr>
      <w:r w:rsidRPr="00D42A19">
        <w:t>[Sigue el Anexo</w:t>
      </w:r>
      <w:r w:rsidR="003F39F5" w:rsidRPr="00D42A19">
        <w:t xml:space="preserve"> XI</w:t>
      </w:r>
      <w:r w:rsidRPr="00D42A19">
        <w:t>]</w:t>
      </w:r>
    </w:p>
    <w:p w:rsidR="003F39F5" w:rsidRPr="00D42A19" w:rsidRDefault="003F39F5" w:rsidP="003F39F5">
      <w:pPr>
        <w:jc w:val="left"/>
      </w:pPr>
    </w:p>
    <w:p w:rsidR="003F39F5" w:rsidRPr="00D42A19" w:rsidRDefault="003F39F5" w:rsidP="003F39F5">
      <w:pPr>
        <w:jc w:val="left"/>
        <w:sectPr w:rsidR="003F39F5" w:rsidRPr="00D42A19" w:rsidSect="00702E8E">
          <w:headerReference w:type="default" r:id="rId32"/>
          <w:pgSz w:w="11907" w:h="16840" w:code="9"/>
          <w:pgMar w:top="510" w:right="1134" w:bottom="1134" w:left="1134" w:header="510" w:footer="680" w:gutter="0"/>
          <w:pgNumType w:start="1"/>
          <w:cols w:space="720"/>
          <w:titlePg/>
        </w:sectPr>
      </w:pPr>
    </w:p>
    <w:p w:rsidR="003F39F5" w:rsidRPr="00D42A19" w:rsidRDefault="003F39F5" w:rsidP="003F39F5">
      <w:pPr>
        <w:jc w:val="center"/>
      </w:pPr>
      <w:r w:rsidRPr="00D42A19">
        <w:t>C/49/15</w:t>
      </w:r>
    </w:p>
    <w:p w:rsidR="003F39F5" w:rsidRPr="00D42A19" w:rsidRDefault="003F39F5" w:rsidP="003F39F5">
      <w:pPr>
        <w:jc w:val="center"/>
      </w:pPr>
    </w:p>
    <w:p w:rsidR="003F39F5" w:rsidRPr="00D42A19" w:rsidRDefault="00F14899" w:rsidP="003F39F5">
      <w:pPr>
        <w:jc w:val="center"/>
      </w:pPr>
      <w:r w:rsidRPr="00D42A19">
        <w:t>ANEXO</w:t>
      </w:r>
      <w:r w:rsidR="003F39F5" w:rsidRPr="00D42A19">
        <w:t xml:space="preserve"> XI</w:t>
      </w:r>
    </w:p>
    <w:p w:rsidR="003F39F5" w:rsidRPr="00D42A19" w:rsidRDefault="003F39F5" w:rsidP="003F39F5">
      <w:pPr>
        <w:jc w:val="center"/>
      </w:pPr>
    </w:p>
    <w:p w:rsidR="003F39F5" w:rsidRPr="00D42A19" w:rsidRDefault="003F39F5" w:rsidP="003F39F5">
      <w:pPr>
        <w:jc w:val="center"/>
      </w:pPr>
    </w:p>
    <w:p w:rsidR="003F39F5" w:rsidRPr="00D42A19" w:rsidRDefault="003F39F5" w:rsidP="003F39F5">
      <w:pPr>
        <w:jc w:val="center"/>
      </w:pPr>
      <w:r w:rsidRPr="00D42A19">
        <w:t>REP</w:t>
      </w:r>
      <w:r w:rsidR="00F14899" w:rsidRPr="00D42A19">
        <w:t>ÚBLICA DE COREA</w:t>
      </w:r>
    </w:p>
    <w:p w:rsidR="003F39F5" w:rsidRPr="00D42A19" w:rsidRDefault="003F39F5" w:rsidP="003F39F5">
      <w:pPr>
        <w:jc w:val="left"/>
      </w:pPr>
    </w:p>
    <w:p w:rsidR="003F39F5" w:rsidRPr="00D42A19" w:rsidRDefault="003F39F5" w:rsidP="003F39F5">
      <w:pPr>
        <w:jc w:val="left"/>
      </w:pPr>
    </w:p>
    <w:p w:rsidR="00702E8E" w:rsidRPr="00D42A19" w:rsidRDefault="00702E8E" w:rsidP="00702E8E">
      <w:r w:rsidRPr="00D42A19">
        <w:t>PROTECCIÓN DE LAS OBTENCIONES VEGETALES</w:t>
      </w:r>
    </w:p>
    <w:p w:rsidR="00702E8E" w:rsidRPr="00D42A19" w:rsidRDefault="00702E8E" w:rsidP="00702E8E"/>
    <w:p w:rsidR="00702E8E" w:rsidRPr="00D42A19" w:rsidRDefault="00702E8E" w:rsidP="00702E8E">
      <w:pPr>
        <w:rPr>
          <w:u w:val="single"/>
        </w:rPr>
      </w:pPr>
      <w:r w:rsidRPr="00D42A19">
        <w:rPr>
          <w:u w:val="single"/>
        </w:rPr>
        <w:t>Actividades para la promoción de la protección de las obtenciones vegetales</w:t>
      </w:r>
    </w:p>
    <w:p w:rsidR="00702E8E" w:rsidRPr="00D42A19" w:rsidRDefault="00702E8E" w:rsidP="00702E8E"/>
    <w:tbl>
      <w:tblPr>
        <w:tblStyle w:val="TableGrid"/>
        <w:tblW w:w="10173" w:type="dxa"/>
        <w:tblLayout w:type="fixed"/>
        <w:tblLook w:val="01E0" w:firstRow="1" w:lastRow="1" w:firstColumn="1" w:lastColumn="1" w:noHBand="0" w:noVBand="0"/>
      </w:tblPr>
      <w:tblGrid>
        <w:gridCol w:w="1242"/>
        <w:gridCol w:w="1134"/>
        <w:gridCol w:w="993"/>
        <w:gridCol w:w="1417"/>
        <w:gridCol w:w="2268"/>
        <w:gridCol w:w="1843"/>
        <w:gridCol w:w="1276"/>
      </w:tblGrid>
      <w:tr w:rsidR="00702E8E" w:rsidRPr="00D42A19" w:rsidTr="005B5E84">
        <w:tc>
          <w:tcPr>
            <w:tcW w:w="1242" w:type="dxa"/>
          </w:tcPr>
          <w:p w:rsidR="00702E8E" w:rsidRPr="00D42A19" w:rsidRDefault="00702E8E" w:rsidP="005B5E84">
            <w:pPr>
              <w:keepNext/>
              <w:jc w:val="left"/>
              <w:rPr>
                <w:sz w:val="18"/>
              </w:rPr>
            </w:pPr>
            <w:r w:rsidRPr="00D42A19">
              <w:rPr>
                <w:sz w:val="18"/>
              </w:rPr>
              <w:t>Tipo de actividad</w:t>
            </w:r>
          </w:p>
        </w:tc>
        <w:tc>
          <w:tcPr>
            <w:tcW w:w="1134" w:type="dxa"/>
          </w:tcPr>
          <w:p w:rsidR="00702E8E" w:rsidRPr="00D42A19" w:rsidRDefault="00702E8E" w:rsidP="005B5E84">
            <w:pPr>
              <w:keepNext/>
              <w:jc w:val="left"/>
              <w:rPr>
                <w:sz w:val="18"/>
              </w:rPr>
            </w:pPr>
            <w:r w:rsidRPr="00D42A19">
              <w:rPr>
                <w:sz w:val="18"/>
              </w:rPr>
              <w:t>Fecha</w:t>
            </w:r>
          </w:p>
        </w:tc>
        <w:tc>
          <w:tcPr>
            <w:tcW w:w="993" w:type="dxa"/>
          </w:tcPr>
          <w:p w:rsidR="00702E8E" w:rsidRPr="00D42A19" w:rsidRDefault="00702E8E" w:rsidP="005B5E84">
            <w:pPr>
              <w:keepNext/>
              <w:jc w:val="left"/>
              <w:rPr>
                <w:sz w:val="18"/>
              </w:rPr>
            </w:pPr>
            <w:r w:rsidRPr="00D42A19">
              <w:rPr>
                <w:sz w:val="18"/>
              </w:rPr>
              <w:t>Lugar</w:t>
            </w:r>
          </w:p>
        </w:tc>
        <w:tc>
          <w:tcPr>
            <w:tcW w:w="1417" w:type="dxa"/>
          </w:tcPr>
          <w:p w:rsidR="00702E8E" w:rsidRPr="00D42A19" w:rsidRDefault="00702E8E" w:rsidP="005B5E84">
            <w:pPr>
              <w:keepNext/>
              <w:jc w:val="left"/>
              <w:rPr>
                <w:sz w:val="18"/>
              </w:rPr>
            </w:pPr>
            <w:r w:rsidRPr="00D42A19">
              <w:rPr>
                <w:sz w:val="18"/>
              </w:rPr>
              <w:t>Organizadores</w:t>
            </w:r>
          </w:p>
        </w:tc>
        <w:tc>
          <w:tcPr>
            <w:tcW w:w="2268" w:type="dxa"/>
          </w:tcPr>
          <w:p w:rsidR="00702E8E" w:rsidRPr="00D42A19" w:rsidRDefault="00702E8E" w:rsidP="005B5E84">
            <w:pPr>
              <w:keepNext/>
              <w:jc w:val="left"/>
              <w:rPr>
                <w:sz w:val="18"/>
              </w:rPr>
            </w:pPr>
            <w:r w:rsidRPr="00D42A19">
              <w:rPr>
                <w:sz w:val="18"/>
              </w:rPr>
              <w:t>Finalidad de la actividad</w:t>
            </w:r>
          </w:p>
        </w:tc>
        <w:tc>
          <w:tcPr>
            <w:tcW w:w="1843" w:type="dxa"/>
          </w:tcPr>
          <w:p w:rsidR="00702E8E" w:rsidRPr="00D42A19" w:rsidRDefault="00702E8E" w:rsidP="005B5E84">
            <w:pPr>
              <w:keepNext/>
              <w:jc w:val="left"/>
              <w:rPr>
                <w:sz w:val="18"/>
              </w:rPr>
            </w:pPr>
            <w:r w:rsidRPr="00D42A19">
              <w:rPr>
                <w:sz w:val="18"/>
              </w:rPr>
              <w:t>Países participantes/ organizaciones (número de participantes de cada país/organización)</w:t>
            </w:r>
          </w:p>
        </w:tc>
        <w:tc>
          <w:tcPr>
            <w:tcW w:w="1276" w:type="dxa"/>
          </w:tcPr>
          <w:p w:rsidR="00702E8E" w:rsidRPr="00D42A19" w:rsidRDefault="00702E8E" w:rsidP="005B5E84">
            <w:pPr>
              <w:keepNext/>
              <w:jc w:val="left"/>
              <w:rPr>
                <w:sz w:val="18"/>
              </w:rPr>
            </w:pPr>
            <w:r w:rsidRPr="00D42A19">
              <w:rPr>
                <w:sz w:val="18"/>
              </w:rPr>
              <w:t>Comentarios</w:t>
            </w:r>
          </w:p>
        </w:tc>
      </w:tr>
      <w:tr w:rsidR="00702E8E" w:rsidRPr="00D42A19" w:rsidTr="005B5E84">
        <w:tc>
          <w:tcPr>
            <w:tcW w:w="1242" w:type="dxa"/>
          </w:tcPr>
          <w:p w:rsidR="00702E8E" w:rsidRPr="00D42A19" w:rsidRDefault="00702E8E" w:rsidP="005B5E84">
            <w:pPr>
              <w:keepNext/>
              <w:jc w:val="left"/>
              <w:rPr>
                <w:sz w:val="18"/>
              </w:rPr>
            </w:pPr>
            <w:r w:rsidRPr="00D42A19">
              <w:rPr>
                <w:sz w:val="18"/>
              </w:rPr>
              <w:t>Protección de las obtenciones vegetales y exámenes DHE de la KOICA</w:t>
            </w:r>
          </w:p>
        </w:tc>
        <w:tc>
          <w:tcPr>
            <w:tcW w:w="1134" w:type="dxa"/>
          </w:tcPr>
          <w:p w:rsidR="00702E8E" w:rsidRPr="00D42A19" w:rsidRDefault="00702E8E" w:rsidP="005B5E84">
            <w:pPr>
              <w:keepNext/>
              <w:jc w:val="left"/>
              <w:rPr>
                <w:sz w:val="18"/>
              </w:rPr>
            </w:pPr>
            <w:r w:rsidRPr="00D42A19">
              <w:rPr>
                <w:sz w:val="18"/>
              </w:rPr>
              <w:t>18 de mayo a 7 de junio</w:t>
            </w:r>
          </w:p>
        </w:tc>
        <w:tc>
          <w:tcPr>
            <w:tcW w:w="993" w:type="dxa"/>
            <w:noWrap/>
            <w:tcMar>
              <w:left w:w="51" w:type="dxa"/>
              <w:right w:w="51" w:type="dxa"/>
            </w:tcMar>
          </w:tcPr>
          <w:p w:rsidR="00702E8E" w:rsidRPr="00D42A19" w:rsidRDefault="00702E8E" w:rsidP="005B5E84">
            <w:pPr>
              <w:keepNext/>
              <w:jc w:val="left"/>
              <w:rPr>
                <w:sz w:val="18"/>
              </w:rPr>
            </w:pPr>
            <w:proofErr w:type="spellStart"/>
            <w:r w:rsidRPr="00D42A19">
              <w:rPr>
                <w:sz w:val="18"/>
              </w:rPr>
              <w:t>Gimcheon</w:t>
            </w:r>
            <w:proofErr w:type="spellEnd"/>
            <w:r w:rsidRPr="00D42A19">
              <w:rPr>
                <w:sz w:val="18"/>
              </w:rPr>
              <w:t xml:space="preserve"> (República de Corea)</w:t>
            </w:r>
          </w:p>
        </w:tc>
        <w:tc>
          <w:tcPr>
            <w:tcW w:w="1417" w:type="dxa"/>
          </w:tcPr>
          <w:p w:rsidR="00702E8E" w:rsidRPr="00D42A19" w:rsidRDefault="00702E8E" w:rsidP="005B5E84">
            <w:pPr>
              <w:keepNext/>
              <w:jc w:val="left"/>
              <w:rPr>
                <w:sz w:val="18"/>
              </w:rPr>
            </w:pPr>
            <w:r w:rsidRPr="00D42A19">
              <w:rPr>
                <w:sz w:val="18"/>
              </w:rPr>
              <w:t>Servicio de Semillas y Variedades de la República de Corea</w:t>
            </w:r>
          </w:p>
        </w:tc>
        <w:tc>
          <w:tcPr>
            <w:tcW w:w="2268" w:type="dxa"/>
          </w:tcPr>
          <w:p w:rsidR="00702E8E" w:rsidRPr="00D42A19" w:rsidRDefault="00702E8E" w:rsidP="005B5E84">
            <w:pPr>
              <w:keepNext/>
              <w:jc w:val="left"/>
              <w:rPr>
                <w:sz w:val="18"/>
              </w:rPr>
            </w:pPr>
            <w:r w:rsidRPr="00D42A19">
              <w:rPr>
                <w:sz w:val="18"/>
              </w:rPr>
              <w:t>Referir a los países en desarrollo la experiencia de la República de Corea en la utilización del sistema de protección de las obtenciones vegetales</w:t>
            </w:r>
          </w:p>
        </w:tc>
        <w:tc>
          <w:tcPr>
            <w:tcW w:w="1843" w:type="dxa"/>
          </w:tcPr>
          <w:p w:rsidR="00702E8E" w:rsidRPr="00D42A19" w:rsidRDefault="00702E8E" w:rsidP="005B5E84">
            <w:pPr>
              <w:keepNext/>
              <w:jc w:val="left"/>
              <w:rPr>
                <w:sz w:val="18"/>
              </w:rPr>
            </w:pPr>
            <w:r w:rsidRPr="00D42A19">
              <w:rPr>
                <w:sz w:val="18"/>
              </w:rPr>
              <w:t xml:space="preserve">Camboya, Egipto, Filipinas, Indonesia, </w:t>
            </w:r>
            <w:proofErr w:type="spellStart"/>
            <w:r w:rsidRPr="00D42A19">
              <w:rPr>
                <w:sz w:val="18"/>
              </w:rPr>
              <w:t>Kenya</w:t>
            </w:r>
            <w:proofErr w:type="spellEnd"/>
            <w:r w:rsidRPr="00D42A19">
              <w:rPr>
                <w:sz w:val="18"/>
              </w:rPr>
              <w:t xml:space="preserve">, Myanmar, República Unida de </w:t>
            </w:r>
            <w:proofErr w:type="spellStart"/>
            <w:r w:rsidRPr="00D42A19">
              <w:rPr>
                <w:sz w:val="18"/>
              </w:rPr>
              <w:t>Tanzanía</w:t>
            </w:r>
            <w:proofErr w:type="spellEnd"/>
            <w:r w:rsidRPr="00D42A19">
              <w:rPr>
                <w:sz w:val="18"/>
              </w:rPr>
              <w:t>, Uganda y Zanzíbar</w:t>
            </w:r>
          </w:p>
          <w:p w:rsidR="00702E8E" w:rsidRPr="00D42A19" w:rsidRDefault="00702E8E" w:rsidP="005B5E84">
            <w:pPr>
              <w:keepNext/>
              <w:jc w:val="left"/>
              <w:rPr>
                <w:sz w:val="18"/>
              </w:rPr>
            </w:pPr>
            <w:r w:rsidRPr="00D42A19">
              <w:rPr>
                <w:sz w:val="18"/>
              </w:rPr>
              <w:t>(15)</w:t>
            </w:r>
          </w:p>
        </w:tc>
        <w:tc>
          <w:tcPr>
            <w:tcW w:w="1276" w:type="dxa"/>
          </w:tcPr>
          <w:p w:rsidR="00702E8E" w:rsidRPr="00D42A19" w:rsidRDefault="00702E8E" w:rsidP="005B5E84">
            <w:pPr>
              <w:keepNext/>
              <w:jc w:val="left"/>
              <w:rPr>
                <w:sz w:val="18"/>
              </w:rPr>
            </w:pPr>
          </w:p>
        </w:tc>
      </w:tr>
      <w:tr w:rsidR="00702E8E" w:rsidRPr="00D42A19" w:rsidTr="005B5E84">
        <w:tc>
          <w:tcPr>
            <w:tcW w:w="1242" w:type="dxa"/>
          </w:tcPr>
          <w:p w:rsidR="00702E8E" w:rsidRPr="00D42A19" w:rsidRDefault="00702E8E" w:rsidP="005B5E84">
            <w:pPr>
              <w:keepNext/>
              <w:jc w:val="left"/>
              <w:rPr>
                <w:sz w:val="18"/>
              </w:rPr>
            </w:pPr>
            <w:r w:rsidRPr="00D42A19">
              <w:rPr>
                <w:sz w:val="18"/>
              </w:rPr>
              <w:t>Foro de Asia Oriental para la Protección de las Variedades Vegetales</w:t>
            </w:r>
          </w:p>
        </w:tc>
        <w:tc>
          <w:tcPr>
            <w:tcW w:w="1134" w:type="dxa"/>
          </w:tcPr>
          <w:p w:rsidR="00702E8E" w:rsidRPr="00D42A19" w:rsidRDefault="00702E8E" w:rsidP="005B5E84">
            <w:pPr>
              <w:keepNext/>
              <w:jc w:val="left"/>
              <w:rPr>
                <w:sz w:val="18"/>
              </w:rPr>
            </w:pPr>
            <w:r w:rsidRPr="00D42A19">
              <w:rPr>
                <w:sz w:val="18"/>
              </w:rPr>
              <w:t>2 a 4 de sept.</w:t>
            </w:r>
          </w:p>
        </w:tc>
        <w:tc>
          <w:tcPr>
            <w:tcW w:w="993" w:type="dxa"/>
            <w:tcMar>
              <w:left w:w="51" w:type="dxa"/>
              <w:right w:w="51" w:type="dxa"/>
            </w:tcMar>
          </w:tcPr>
          <w:p w:rsidR="00702E8E" w:rsidRPr="00D42A19" w:rsidRDefault="00702E8E" w:rsidP="005B5E84">
            <w:pPr>
              <w:keepNext/>
              <w:jc w:val="left"/>
              <w:rPr>
                <w:sz w:val="18"/>
              </w:rPr>
            </w:pPr>
            <w:r w:rsidRPr="00D42A19">
              <w:rPr>
                <w:sz w:val="18"/>
              </w:rPr>
              <w:t>Seúl (República de Corea)</w:t>
            </w:r>
          </w:p>
        </w:tc>
        <w:tc>
          <w:tcPr>
            <w:tcW w:w="1417" w:type="dxa"/>
          </w:tcPr>
          <w:p w:rsidR="00702E8E" w:rsidRPr="00D42A19" w:rsidRDefault="00702E8E" w:rsidP="005B5E84">
            <w:pPr>
              <w:keepNext/>
              <w:jc w:val="left"/>
              <w:rPr>
                <w:sz w:val="18"/>
              </w:rPr>
            </w:pPr>
            <w:r w:rsidRPr="00D42A19">
              <w:rPr>
                <w:sz w:val="18"/>
              </w:rPr>
              <w:t>Servicio de Semillas y Variedades de la República de Corea,</w:t>
            </w:r>
          </w:p>
          <w:p w:rsidR="00702E8E" w:rsidRPr="00D42A19" w:rsidRDefault="00702E8E" w:rsidP="005B5E84">
            <w:pPr>
              <w:keepNext/>
              <w:jc w:val="left"/>
              <w:rPr>
                <w:sz w:val="18"/>
              </w:rPr>
            </w:pPr>
            <w:r w:rsidRPr="00D42A19">
              <w:rPr>
                <w:sz w:val="18"/>
              </w:rPr>
              <w:t>JATAFF, UPOV</w:t>
            </w:r>
          </w:p>
        </w:tc>
        <w:tc>
          <w:tcPr>
            <w:tcW w:w="2268" w:type="dxa"/>
          </w:tcPr>
          <w:p w:rsidR="00702E8E" w:rsidRPr="00D42A19" w:rsidRDefault="00702E8E" w:rsidP="005B5E84">
            <w:pPr>
              <w:keepNext/>
              <w:jc w:val="left"/>
              <w:rPr>
                <w:sz w:val="18"/>
              </w:rPr>
            </w:pPr>
            <w:r w:rsidRPr="00D42A19">
              <w:rPr>
                <w:sz w:val="18"/>
              </w:rPr>
              <w:t>Promover los sistemas de protección de las obtenciones vegetales de los países miembros del Foro</w:t>
            </w:r>
          </w:p>
        </w:tc>
        <w:tc>
          <w:tcPr>
            <w:tcW w:w="1843" w:type="dxa"/>
          </w:tcPr>
          <w:p w:rsidR="00702E8E" w:rsidRPr="00D42A19" w:rsidRDefault="00702E8E" w:rsidP="005B5E84">
            <w:pPr>
              <w:keepNext/>
              <w:jc w:val="left"/>
              <w:rPr>
                <w:sz w:val="18"/>
              </w:rPr>
            </w:pPr>
            <w:r w:rsidRPr="00D42A19">
              <w:rPr>
                <w:sz w:val="18"/>
              </w:rPr>
              <w:t>China, el Japón, los países de la Asociación de Naciones del Asia Sudoriental (ASEAN), la República de Corea y la UPOV (43)</w:t>
            </w:r>
          </w:p>
          <w:p w:rsidR="00702E8E" w:rsidRPr="00D42A19" w:rsidRDefault="00702E8E" w:rsidP="005B5E84">
            <w:pPr>
              <w:keepNext/>
              <w:jc w:val="left"/>
              <w:rPr>
                <w:sz w:val="18"/>
              </w:rPr>
            </w:pPr>
          </w:p>
        </w:tc>
        <w:tc>
          <w:tcPr>
            <w:tcW w:w="1276" w:type="dxa"/>
          </w:tcPr>
          <w:p w:rsidR="00702E8E" w:rsidRPr="00D42A19" w:rsidRDefault="00702E8E" w:rsidP="005B5E84">
            <w:pPr>
              <w:keepNext/>
              <w:jc w:val="left"/>
              <w:rPr>
                <w:sz w:val="18"/>
              </w:rPr>
            </w:pPr>
          </w:p>
        </w:tc>
      </w:tr>
      <w:tr w:rsidR="00702E8E" w:rsidRPr="00D42A19" w:rsidTr="005B5E84">
        <w:tc>
          <w:tcPr>
            <w:tcW w:w="1242" w:type="dxa"/>
          </w:tcPr>
          <w:p w:rsidR="00702E8E" w:rsidRPr="00D42A19" w:rsidRDefault="00702E8E" w:rsidP="005B5E84">
            <w:pPr>
              <w:keepNext/>
              <w:jc w:val="left"/>
              <w:rPr>
                <w:sz w:val="18"/>
              </w:rPr>
            </w:pPr>
            <w:r w:rsidRPr="00D42A19">
              <w:rPr>
                <w:sz w:val="18"/>
              </w:rPr>
              <w:t>Simposio sobre Protección de las Obtenciones Vegetales sobre Procedimientos Extranjeros de Solicitud</w:t>
            </w:r>
          </w:p>
        </w:tc>
        <w:tc>
          <w:tcPr>
            <w:tcW w:w="1134" w:type="dxa"/>
          </w:tcPr>
          <w:p w:rsidR="00702E8E" w:rsidRPr="00D42A19" w:rsidRDefault="00702E8E" w:rsidP="005B5E84">
            <w:pPr>
              <w:keepNext/>
              <w:jc w:val="left"/>
              <w:rPr>
                <w:sz w:val="18"/>
              </w:rPr>
            </w:pPr>
            <w:r w:rsidRPr="00D42A19">
              <w:rPr>
                <w:sz w:val="18"/>
              </w:rPr>
              <w:t>3 de sept.</w:t>
            </w:r>
          </w:p>
        </w:tc>
        <w:tc>
          <w:tcPr>
            <w:tcW w:w="993" w:type="dxa"/>
            <w:tcMar>
              <w:left w:w="51" w:type="dxa"/>
              <w:right w:w="51" w:type="dxa"/>
            </w:tcMar>
          </w:tcPr>
          <w:p w:rsidR="00702E8E" w:rsidRPr="00D42A19" w:rsidRDefault="00702E8E" w:rsidP="005B5E84">
            <w:pPr>
              <w:keepNext/>
              <w:jc w:val="left"/>
              <w:rPr>
                <w:sz w:val="18"/>
              </w:rPr>
            </w:pPr>
            <w:r w:rsidRPr="00D42A19">
              <w:rPr>
                <w:sz w:val="18"/>
              </w:rPr>
              <w:t>Seúl (República de Corea)</w:t>
            </w:r>
          </w:p>
        </w:tc>
        <w:tc>
          <w:tcPr>
            <w:tcW w:w="1417" w:type="dxa"/>
          </w:tcPr>
          <w:p w:rsidR="00702E8E" w:rsidRPr="00D42A19" w:rsidRDefault="00702E8E" w:rsidP="005B5E84">
            <w:pPr>
              <w:keepNext/>
              <w:jc w:val="left"/>
              <w:rPr>
                <w:sz w:val="18"/>
              </w:rPr>
            </w:pPr>
            <w:r w:rsidRPr="00D42A19">
              <w:rPr>
                <w:sz w:val="18"/>
              </w:rPr>
              <w:t>Servicio de Semillas y Variedades de la República de Corea</w:t>
            </w:r>
          </w:p>
        </w:tc>
        <w:tc>
          <w:tcPr>
            <w:tcW w:w="2268" w:type="dxa"/>
          </w:tcPr>
          <w:p w:rsidR="00702E8E" w:rsidRPr="00D42A19" w:rsidRDefault="00702E8E" w:rsidP="005B5E84">
            <w:pPr>
              <w:keepNext/>
              <w:jc w:val="left"/>
              <w:rPr>
                <w:sz w:val="18"/>
              </w:rPr>
            </w:pPr>
            <w:r w:rsidRPr="00D42A19">
              <w:rPr>
                <w:sz w:val="18"/>
              </w:rPr>
              <w:t>Entender los procedimientos extranjeros de solicitud y la manera de enviar el material vegetal</w:t>
            </w:r>
          </w:p>
        </w:tc>
        <w:tc>
          <w:tcPr>
            <w:tcW w:w="1843" w:type="dxa"/>
          </w:tcPr>
          <w:p w:rsidR="00702E8E" w:rsidRPr="00D42A19" w:rsidRDefault="00702E8E" w:rsidP="005B5E84">
            <w:pPr>
              <w:keepNext/>
              <w:jc w:val="left"/>
              <w:rPr>
                <w:sz w:val="18"/>
              </w:rPr>
            </w:pPr>
            <w:r w:rsidRPr="00D42A19">
              <w:rPr>
                <w:sz w:val="18"/>
              </w:rPr>
              <w:t>China, el Japón, los obtentores locales, los países de la ASEAN, los Países Bajos y la UPOV</w:t>
            </w:r>
          </w:p>
          <w:p w:rsidR="00702E8E" w:rsidRPr="00D42A19" w:rsidRDefault="00702E8E" w:rsidP="005B5E84">
            <w:pPr>
              <w:keepNext/>
              <w:jc w:val="left"/>
              <w:rPr>
                <w:sz w:val="18"/>
              </w:rPr>
            </w:pPr>
            <w:r w:rsidRPr="00D42A19">
              <w:rPr>
                <w:sz w:val="18"/>
              </w:rPr>
              <w:t>(160)</w:t>
            </w:r>
          </w:p>
        </w:tc>
        <w:tc>
          <w:tcPr>
            <w:tcW w:w="1276" w:type="dxa"/>
          </w:tcPr>
          <w:p w:rsidR="00702E8E" w:rsidRPr="00D42A19" w:rsidRDefault="00702E8E" w:rsidP="005B5E84">
            <w:pPr>
              <w:keepNext/>
              <w:jc w:val="left"/>
              <w:rPr>
                <w:sz w:val="18"/>
              </w:rPr>
            </w:pPr>
          </w:p>
        </w:tc>
      </w:tr>
    </w:tbl>
    <w:p w:rsidR="00702E8E" w:rsidRPr="00D42A19" w:rsidRDefault="00702E8E" w:rsidP="00702E8E"/>
    <w:p w:rsidR="003F39F5" w:rsidRPr="00D42A19" w:rsidRDefault="003F39F5" w:rsidP="003F39F5">
      <w:pPr>
        <w:rPr>
          <w:rFonts w:cs="Arial"/>
        </w:rPr>
      </w:pPr>
    </w:p>
    <w:p w:rsidR="003F39F5" w:rsidRPr="00D42A19" w:rsidRDefault="003F39F5" w:rsidP="003F39F5">
      <w:pPr>
        <w:rPr>
          <w:rFonts w:cs="Arial"/>
        </w:rPr>
      </w:pPr>
    </w:p>
    <w:p w:rsidR="003F39F5" w:rsidRPr="00D42A19" w:rsidRDefault="00F14899" w:rsidP="003F39F5">
      <w:pPr>
        <w:jc w:val="right"/>
      </w:pPr>
      <w:r w:rsidRPr="00D42A19">
        <w:t>[Sigue el Anexo</w:t>
      </w:r>
      <w:r w:rsidR="003F39F5" w:rsidRPr="00D42A19">
        <w:t xml:space="preserve"> XII</w:t>
      </w:r>
      <w:r w:rsidRPr="00D42A19">
        <w:t>]</w:t>
      </w:r>
    </w:p>
    <w:p w:rsidR="003F39F5" w:rsidRPr="00D42A19" w:rsidRDefault="003F39F5" w:rsidP="003F39F5">
      <w:pPr>
        <w:jc w:val="left"/>
      </w:pPr>
    </w:p>
    <w:p w:rsidR="003F39F5" w:rsidRPr="00D42A19" w:rsidRDefault="003F39F5" w:rsidP="003F39F5">
      <w:pPr>
        <w:jc w:val="left"/>
        <w:sectPr w:rsidR="003F39F5" w:rsidRPr="00D42A19" w:rsidSect="00906DDC">
          <w:pgSz w:w="11907" w:h="16840" w:code="9"/>
          <w:pgMar w:top="510" w:right="1134" w:bottom="1134" w:left="1134" w:header="510" w:footer="680" w:gutter="0"/>
          <w:cols w:space="720"/>
          <w:titlePg/>
        </w:sectPr>
      </w:pPr>
    </w:p>
    <w:p w:rsidR="003F39F5" w:rsidRPr="00D42A19" w:rsidRDefault="003F39F5" w:rsidP="003F39F5">
      <w:pPr>
        <w:jc w:val="center"/>
      </w:pPr>
      <w:r w:rsidRPr="00D42A19">
        <w:t>C/49/15</w:t>
      </w:r>
    </w:p>
    <w:p w:rsidR="003F39F5" w:rsidRPr="00D42A19" w:rsidRDefault="003F39F5" w:rsidP="003F39F5">
      <w:pPr>
        <w:jc w:val="center"/>
      </w:pPr>
    </w:p>
    <w:p w:rsidR="003F39F5" w:rsidRPr="00D42A19" w:rsidRDefault="00F14899" w:rsidP="003F39F5">
      <w:pPr>
        <w:jc w:val="center"/>
      </w:pPr>
      <w:r w:rsidRPr="00D42A19">
        <w:t>ANEXO</w:t>
      </w:r>
      <w:r w:rsidR="003F39F5" w:rsidRPr="00D42A19">
        <w:t xml:space="preserve"> XII</w:t>
      </w:r>
    </w:p>
    <w:p w:rsidR="003F39F5" w:rsidRPr="00D42A19" w:rsidRDefault="003F39F5" w:rsidP="003F39F5">
      <w:pPr>
        <w:jc w:val="center"/>
      </w:pPr>
    </w:p>
    <w:p w:rsidR="003F39F5" w:rsidRPr="00D42A19" w:rsidRDefault="003F39F5" w:rsidP="003F39F5">
      <w:pPr>
        <w:jc w:val="center"/>
      </w:pPr>
    </w:p>
    <w:p w:rsidR="003F39F5" w:rsidRPr="00D42A19" w:rsidRDefault="003F39F5" w:rsidP="003F39F5">
      <w:pPr>
        <w:jc w:val="center"/>
      </w:pPr>
      <w:r w:rsidRPr="00D42A19">
        <w:t>REP</w:t>
      </w:r>
      <w:r w:rsidR="00F14899" w:rsidRPr="00D42A19">
        <w:t>ÚBLICA DE</w:t>
      </w:r>
      <w:r w:rsidRPr="00D42A19">
        <w:t xml:space="preserve"> MOLDOVA</w:t>
      </w:r>
    </w:p>
    <w:p w:rsidR="003F39F5" w:rsidRPr="00D42A19" w:rsidRDefault="003F39F5" w:rsidP="003F39F5">
      <w:pPr>
        <w:jc w:val="center"/>
      </w:pPr>
      <w:r w:rsidRPr="00D42A19">
        <w:t>(2014)</w:t>
      </w:r>
    </w:p>
    <w:p w:rsidR="003F39F5" w:rsidRPr="00D42A19" w:rsidRDefault="003F39F5" w:rsidP="003F39F5"/>
    <w:p w:rsidR="003F39F5" w:rsidRPr="00D42A19" w:rsidRDefault="003F39F5" w:rsidP="003F39F5"/>
    <w:p w:rsidR="00702E8E" w:rsidRPr="00D42A19" w:rsidRDefault="00702E8E" w:rsidP="00702E8E">
      <w:r w:rsidRPr="00D42A19">
        <w:t>PROTECCIÓN DE LAS OBTENCIONES VEGETALES</w:t>
      </w:r>
    </w:p>
    <w:p w:rsidR="00702E8E" w:rsidRPr="00D42A19" w:rsidRDefault="00702E8E" w:rsidP="00702E8E"/>
    <w:p w:rsidR="00702E8E" w:rsidRPr="00D42A19" w:rsidRDefault="00702E8E" w:rsidP="00702E8E">
      <w:pPr>
        <w:rPr>
          <w:u w:val="single"/>
        </w:rPr>
      </w:pPr>
      <w:r w:rsidRPr="00D42A19">
        <w:t>1.</w:t>
      </w:r>
      <w:r w:rsidRPr="00D42A19">
        <w:tab/>
      </w:r>
      <w:r w:rsidRPr="00D42A19">
        <w:rPr>
          <w:u w:val="single"/>
        </w:rPr>
        <w:t>Situación en el campo legislativo</w:t>
      </w:r>
    </w:p>
    <w:p w:rsidR="00702E8E" w:rsidRPr="00D42A19" w:rsidRDefault="00702E8E" w:rsidP="00702E8E"/>
    <w:p w:rsidR="00702E8E" w:rsidRPr="00D42A19" w:rsidRDefault="00702E8E" w:rsidP="00702E8E">
      <w:r w:rsidRPr="00D42A19">
        <w:t>1.1</w:t>
      </w:r>
      <w:r w:rsidRPr="00D42A19">
        <w:tab/>
        <w:t xml:space="preserve">  Modificaciones de la ley y de los reglamentos</w:t>
      </w:r>
    </w:p>
    <w:p w:rsidR="00702E8E" w:rsidRPr="00D42A19" w:rsidRDefault="00702E8E" w:rsidP="00702E8E"/>
    <w:p w:rsidR="00702E8E" w:rsidRPr="00D42A19" w:rsidRDefault="00702E8E" w:rsidP="00702E8E">
      <w:r w:rsidRPr="00D42A19">
        <w:t>No se produjeron cambios.</w:t>
      </w:r>
    </w:p>
    <w:p w:rsidR="00702E8E" w:rsidRPr="00D42A19" w:rsidRDefault="00702E8E" w:rsidP="00702E8E"/>
    <w:p w:rsidR="00702E8E" w:rsidRPr="00D42A19" w:rsidRDefault="00702E8E" w:rsidP="00702E8E">
      <w:r w:rsidRPr="00D42A19">
        <w:t>1.2</w:t>
      </w:r>
      <w:r w:rsidRPr="00D42A19">
        <w:tab/>
        <w:t>Extensión de la protección a otros géneros y especies</w:t>
      </w:r>
    </w:p>
    <w:p w:rsidR="00702E8E" w:rsidRPr="00D42A19" w:rsidRDefault="00702E8E" w:rsidP="00702E8E"/>
    <w:p w:rsidR="00702E8E" w:rsidRPr="00D42A19" w:rsidRDefault="00702E8E" w:rsidP="00702E8E">
      <w:r w:rsidRPr="00D42A19">
        <w:t>De conformidad con la Ley 39-XVI/2008 sobre la Protección de las Obtenciones Vegetales, la protección se extiende a las variedades de todos los géneros y especies botánicos, incluidos los híbridos entre géneros y especies.</w:t>
      </w:r>
    </w:p>
    <w:p w:rsidR="00702E8E" w:rsidRPr="00D42A19" w:rsidRDefault="00702E8E" w:rsidP="00702E8E"/>
    <w:p w:rsidR="00702E8E" w:rsidRPr="00D42A19" w:rsidRDefault="00702E8E" w:rsidP="00702E8E">
      <w:r w:rsidRPr="00D42A19">
        <w:t>1.3</w:t>
      </w:r>
      <w:r w:rsidRPr="00D42A19">
        <w:tab/>
        <w:t>Jurisprudencia</w:t>
      </w:r>
    </w:p>
    <w:p w:rsidR="00702E8E" w:rsidRPr="00D42A19" w:rsidRDefault="00702E8E" w:rsidP="00702E8E"/>
    <w:p w:rsidR="00702E8E" w:rsidRPr="00D42A19" w:rsidRDefault="00702E8E" w:rsidP="00702E8E">
      <w:r w:rsidRPr="00D42A19">
        <w:t>No existen precedentes relativos a la protección del derecho de obtentor.</w:t>
      </w:r>
    </w:p>
    <w:p w:rsidR="00702E8E" w:rsidRPr="00D42A19" w:rsidRDefault="00702E8E" w:rsidP="00702E8E"/>
    <w:p w:rsidR="00702E8E" w:rsidRPr="00D42A19" w:rsidRDefault="00702E8E" w:rsidP="00702E8E"/>
    <w:p w:rsidR="00702E8E" w:rsidRPr="00D42A19" w:rsidRDefault="00702E8E" w:rsidP="00702E8E">
      <w:r w:rsidRPr="00D42A19">
        <w:t>2.</w:t>
      </w:r>
      <w:r w:rsidRPr="00D42A19">
        <w:tab/>
      </w:r>
      <w:r w:rsidRPr="00D42A19">
        <w:rPr>
          <w:u w:val="single"/>
        </w:rPr>
        <w:t>Cooperación en el examen</w:t>
      </w:r>
    </w:p>
    <w:p w:rsidR="00702E8E" w:rsidRPr="00D42A19" w:rsidRDefault="00702E8E" w:rsidP="00702E8E"/>
    <w:p w:rsidR="00702E8E" w:rsidRPr="00D42A19" w:rsidRDefault="00702E8E" w:rsidP="00702E8E">
      <w:r w:rsidRPr="00D42A19">
        <w:t>No se han celebrado acuerdos bilaterales de cooperación para el examen de variedades vegetales.</w:t>
      </w:r>
    </w:p>
    <w:p w:rsidR="00702E8E" w:rsidRPr="00D42A19" w:rsidRDefault="00702E8E" w:rsidP="00702E8E"/>
    <w:p w:rsidR="00702E8E" w:rsidRPr="00D42A19" w:rsidRDefault="00702E8E" w:rsidP="00702E8E"/>
    <w:p w:rsidR="00702E8E" w:rsidRPr="00D42A19" w:rsidRDefault="00702E8E" w:rsidP="00702E8E">
      <w:r w:rsidRPr="00D42A19">
        <w:t>3.</w:t>
      </w:r>
      <w:r w:rsidRPr="00D42A19">
        <w:tab/>
      </w:r>
      <w:r w:rsidRPr="00D42A19">
        <w:rPr>
          <w:u w:val="single"/>
        </w:rPr>
        <w:t>Situación en el campo legislativo</w:t>
      </w:r>
    </w:p>
    <w:p w:rsidR="00702E8E" w:rsidRPr="00D42A19" w:rsidRDefault="00702E8E" w:rsidP="00702E8E"/>
    <w:p w:rsidR="00702E8E" w:rsidRPr="00D42A19" w:rsidRDefault="00702E8E" w:rsidP="00702E8E">
      <w:r w:rsidRPr="00D42A19">
        <w:t>No se produjeron cambios.</w:t>
      </w:r>
    </w:p>
    <w:p w:rsidR="00702E8E" w:rsidRPr="00D42A19" w:rsidRDefault="00702E8E" w:rsidP="00702E8E"/>
    <w:p w:rsidR="00702E8E" w:rsidRPr="00D42A19" w:rsidRDefault="00702E8E" w:rsidP="00702E8E">
      <w:pPr>
        <w:rPr>
          <w:i/>
        </w:rPr>
      </w:pPr>
      <w:r w:rsidRPr="00D42A19">
        <w:rPr>
          <w:i/>
        </w:rPr>
        <w:t>Cambios en el procedimiento y en el sistema de protección</w:t>
      </w:r>
    </w:p>
    <w:p w:rsidR="00702E8E" w:rsidRPr="00D42A19" w:rsidRDefault="00702E8E" w:rsidP="00702E8E"/>
    <w:p w:rsidR="00702E8E" w:rsidRPr="00D42A19" w:rsidRDefault="00702E8E" w:rsidP="00702E8E">
      <w:r w:rsidRPr="00D42A19">
        <w:t>Se elaboraron dos directrices nacionales de examen de:</w:t>
      </w:r>
    </w:p>
    <w:p w:rsidR="00702E8E" w:rsidRPr="00D42A19" w:rsidRDefault="00702E8E" w:rsidP="00702E8E">
      <w:r w:rsidRPr="00D42A19">
        <w:t>-</w:t>
      </w:r>
      <w:r w:rsidRPr="00D42A19">
        <w:tab/>
      </w:r>
      <w:proofErr w:type="spellStart"/>
      <w:r w:rsidRPr="00D42A19">
        <w:t>Aronia</w:t>
      </w:r>
      <w:proofErr w:type="spellEnd"/>
      <w:r w:rsidRPr="00D42A19">
        <w:t xml:space="preserve"> negra (</w:t>
      </w:r>
      <w:proofErr w:type="spellStart"/>
      <w:r w:rsidRPr="00D42A19">
        <w:rPr>
          <w:i/>
        </w:rPr>
        <w:t>Aronia</w:t>
      </w:r>
      <w:proofErr w:type="spellEnd"/>
      <w:r w:rsidRPr="00D42A19">
        <w:rPr>
          <w:i/>
        </w:rPr>
        <w:t xml:space="preserve"> </w:t>
      </w:r>
      <w:proofErr w:type="spellStart"/>
      <w:r w:rsidRPr="00D42A19">
        <w:rPr>
          <w:i/>
        </w:rPr>
        <w:t>melanocarpa</w:t>
      </w:r>
      <w:proofErr w:type="spellEnd"/>
      <w:r w:rsidRPr="00D42A19">
        <w:rPr>
          <w:i/>
        </w:rPr>
        <w:t>)</w:t>
      </w:r>
    </w:p>
    <w:p w:rsidR="00702E8E" w:rsidRPr="00D42A19" w:rsidRDefault="00702E8E" w:rsidP="00702E8E">
      <w:r w:rsidRPr="00D42A19">
        <w:t>-</w:t>
      </w:r>
      <w:r w:rsidRPr="00D42A19">
        <w:tab/>
        <w:t>Mostajo o serbal bastardo (</w:t>
      </w:r>
      <w:proofErr w:type="spellStart"/>
      <w:r w:rsidRPr="00D42A19">
        <w:rPr>
          <w:i/>
        </w:rPr>
        <w:t>Sorbus</w:t>
      </w:r>
      <w:proofErr w:type="spellEnd"/>
      <w:r w:rsidRPr="00D42A19">
        <w:rPr>
          <w:i/>
        </w:rPr>
        <w:t xml:space="preserve"> </w:t>
      </w:r>
      <w:proofErr w:type="spellStart"/>
      <w:r w:rsidRPr="00D42A19">
        <w:rPr>
          <w:i/>
        </w:rPr>
        <w:t>hybrida</w:t>
      </w:r>
      <w:proofErr w:type="spellEnd"/>
      <w:r w:rsidRPr="00D42A19">
        <w:t xml:space="preserve"> L.)</w:t>
      </w:r>
    </w:p>
    <w:p w:rsidR="00702E8E" w:rsidRPr="00D42A19" w:rsidRDefault="00702E8E" w:rsidP="00702E8E"/>
    <w:p w:rsidR="00702E8E" w:rsidRPr="00D42A19" w:rsidRDefault="00702E8E" w:rsidP="00702E8E">
      <w:pPr>
        <w:rPr>
          <w:i/>
        </w:rPr>
      </w:pPr>
      <w:r w:rsidRPr="00D42A19">
        <w:rPr>
          <w:i/>
        </w:rPr>
        <w:t>Estadísticas</w:t>
      </w:r>
    </w:p>
    <w:p w:rsidR="00702E8E" w:rsidRPr="00D42A19" w:rsidRDefault="00702E8E" w:rsidP="00702E8E"/>
    <w:p w:rsidR="00702E8E" w:rsidRPr="00D42A19" w:rsidRDefault="00702E8E" w:rsidP="00702E8E">
      <w:r w:rsidRPr="00D42A19">
        <w:t>En el período comprendido entre el 1 de enero y el 31 de diciembre de 2014:</w:t>
      </w:r>
    </w:p>
    <w:p w:rsidR="00702E8E" w:rsidRPr="00D42A19" w:rsidRDefault="00702E8E" w:rsidP="00702E8E"/>
    <w:p w:rsidR="00702E8E" w:rsidRPr="00D42A19" w:rsidRDefault="00702E8E" w:rsidP="00702E8E">
      <w:r w:rsidRPr="00D42A19">
        <w:t>-</w:t>
      </w:r>
      <w:r w:rsidRPr="00D42A19">
        <w:tab/>
        <w:t xml:space="preserve">se recibieron las siguientes 34 solicitudes (28 nacionales y 6 extranjeras) </w:t>
      </w:r>
    </w:p>
    <w:p w:rsidR="00702E8E" w:rsidRPr="00D42A19" w:rsidRDefault="00702E8E" w:rsidP="00702E8E"/>
    <w:p w:rsidR="00702E8E" w:rsidRPr="00D42A19" w:rsidRDefault="00702E8E" w:rsidP="00702E8E">
      <w:r w:rsidRPr="00D42A19">
        <w:t>Maíz (</w:t>
      </w:r>
      <w:r w:rsidRPr="00D42A19">
        <w:rPr>
          <w:i/>
        </w:rPr>
        <w:t xml:space="preserve">Zea </w:t>
      </w:r>
      <w:proofErr w:type="spellStart"/>
      <w:r w:rsidRPr="00D42A19">
        <w:rPr>
          <w:i/>
        </w:rPr>
        <w:t>mays</w:t>
      </w:r>
      <w:proofErr w:type="spellEnd"/>
      <w:r w:rsidRPr="00D42A19">
        <w:t xml:space="preserve"> L.) (11)</w:t>
      </w:r>
    </w:p>
    <w:p w:rsidR="00702E8E" w:rsidRPr="00D42A19" w:rsidRDefault="00702E8E" w:rsidP="00702E8E">
      <w:r w:rsidRPr="00D42A19">
        <w:rPr>
          <w:i/>
        </w:rPr>
        <w:t xml:space="preserve">Zea </w:t>
      </w:r>
      <w:proofErr w:type="spellStart"/>
      <w:r w:rsidRPr="00D42A19">
        <w:rPr>
          <w:i/>
        </w:rPr>
        <w:t>mays</w:t>
      </w:r>
      <w:proofErr w:type="spellEnd"/>
      <w:r w:rsidRPr="00D42A19">
        <w:t xml:space="preserve"> L. </w:t>
      </w:r>
      <w:proofErr w:type="spellStart"/>
      <w:r w:rsidRPr="00D42A19">
        <w:rPr>
          <w:i/>
        </w:rPr>
        <w:t>ssp</w:t>
      </w:r>
      <w:proofErr w:type="spellEnd"/>
      <w:r w:rsidRPr="00D42A19">
        <w:rPr>
          <w:i/>
        </w:rPr>
        <w:t xml:space="preserve">. </w:t>
      </w:r>
      <w:proofErr w:type="spellStart"/>
      <w:r w:rsidRPr="00D42A19">
        <w:rPr>
          <w:i/>
        </w:rPr>
        <w:t>saccharata</w:t>
      </w:r>
      <w:proofErr w:type="spellEnd"/>
      <w:r w:rsidRPr="00D42A19">
        <w:t xml:space="preserve"> (1)</w:t>
      </w:r>
    </w:p>
    <w:p w:rsidR="00702E8E" w:rsidRPr="00D42A19" w:rsidRDefault="00702E8E" w:rsidP="00702E8E">
      <w:r w:rsidRPr="00D42A19">
        <w:rPr>
          <w:i/>
        </w:rPr>
        <w:t xml:space="preserve">Zea </w:t>
      </w:r>
      <w:proofErr w:type="spellStart"/>
      <w:r w:rsidRPr="00D42A19">
        <w:rPr>
          <w:i/>
        </w:rPr>
        <w:t>mays</w:t>
      </w:r>
      <w:proofErr w:type="spellEnd"/>
      <w:r w:rsidRPr="00D42A19">
        <w:rPr>
          <w:i/>
        </w:rPr>
        <w:t xml:space="preserve"> </w:t>
      </w:r>
      <w:proofErr w:type="spellStart"/>
      <w:r w:rsidRPr="00D42A19">
        <w:t>var</w:t>
      </w:r>
      <w:proofErr w:type="spellEnd"/>
      <w:r w:rsidRPr="00D42A19">
        <w:t>.</w:t>
      </w:r>
      <w:r w:rsidRPr="00D42A19">
        <w:rPr>
          <w:i/>
        </w:rPr>
        <w:t xml:space="preserve"> </w:t>
      </w:r>
      <w:proofErr w:type="spellStart"/>
      <w:r w:rsidRPr="00D42A19">
        <w:rPr>
          <w:i/>
        </w:rPr>
        <w:t>indurata</w:t>
      </w:r>
      <w:proofErr w:type="spellEnd"/>
      <w:r w:rsidRPr="00D42A19">
        <w:t xml:space="preserve"> (1)</w:t>
      </w:r>
    </w:p>
    <w:p w:rsidR="00702E8E" w:rsidRPr="000F479D" w:rsidRDefault="00702E8E" w:rsidP="00702E8E">
      <w:pPr>
        <w:rPr>
          <w:lang w:val="en-US"/>
        </w:rPr>
      </w:pPr>
      <w:r w:rsidRPr="00D42A19">
        <w:t>Soja (</w:t>
      </w:r>
      <w:proofErr w:type="spellStart"/>
      <w:r w:rsidRPr="00D42A19">
        <w:rPr>
          <w:i/>
        </w:rPr>
        <w:t>Glycine</w:t>
      </w:r>
      <w:proofErr w:type="spellEnd"/>
      <w:r w:rsidRPr="00D42A19">
        <w:rPr>
          <w:i/>
        </w:rPr>
        <w:t xml:space="preserve"> </w:t>
      </w:r>
      <w:proofErr w:type="spellStart"/>
      <w:r w:rsidRPr="00D42A19">
        <w:rPr>
          <w:i/>
        </w:rPr>
        <w:t>max</w:t>
      </w:r>
      <w:proofErr w:type="spellEnd"/>
      <w:r w:rsidRPr="00D42A19">
        <w:t xml:space="preserve"> (L.) </w:t>
      </w:r>
      <w:r w:rsidRPr="000F479D">
        <w:rPr>
          <w:lang w:val="en-US"/>
        </w:rPr>
        <w:t>Merrill) (2)</w:t>
      </w:r>
    </w:p>
    <w:p w:rsidR="00702E8E" w:rsidRPr="000F479D" w:rsidRDefault="00702E8E" w:rsidP="00702E8E">
      <w:pPr>
        <w:rPr>
          <w:lang w:val="en-US"/>
        </w:rPr>
      </w:pPr>
      <w:proofErr w:type="spellStart"/>
      <w:r w:rsidRPr="000F479D">
        <w:rPr>
          <w:lang w:val="en-US"/>
        </w:rPr>
        <w:t>Trigo</w:t>
      </w:r>
      <w:proofErr w:type="spellEnd"/>
      <w:r w:rsidRPr="000F479D">
        <w:rPr>
          <w:lang w:val="en-US"/>
        </w:rPr>
        <w:t xml:space="preserve"> (</w:t>
      </w:r>
      <w:proofErr w:type="spellStart"/>
      <w:r w:rsidRPr="000F479D">
        <w:rPr>
          <w:i/>
          <w:lang w:val="en-US"/>
        </w:rPr>
        <w:t>Triticum</w:t>
      </w:r>
      <w:proofErr w:type="spellEnd"/>
      <w:r w:rsidRPr="000F479D">
        <w:rPr>
          <w:i/>
          <w:lang w:val="en-US"/>
        </w:rPr>
        <w:t xml:space="preserve"> </w:t>
      </w:r>
      <w:proofErr w:type="spellStart"/>
      <w:r w:rsidRPr="000F479D">
        <w:rPr>
          <w:i/>
          <w:lang w:val="en-US"/>
        </w:rPr>
        <w:t>aestivum</w:t>
      </w:r>
      <w:proofErr w:type="spellEnd"/>
      <w:r w:rsidRPr="000F479D">
        <w:rPr>
          <w:lang w:val="en-US"/>
        </w:rPr>
        <w:t xml:space="preserve"> L.) (1)</w:t>
      </w:r>
    </w:p>
    <w:p w:rsidR="00702E8E" w:rsidRPr="00D42A19" w:rsidRDefault="00702E8E" w:rsidP="00702E8E">
      <w:r w:rsidRPr="000F479D">
        <w:rPr>
          <w:lang w:val="en-US"/>
        </w:rPr>
        <w:t>Girasol (</w:t>
      </w:r>
      <w:r w:rsidRPr="000F479D">
        <w:rPr>
          <w:i/>
          <w:lang w:val="en-US"/>
        </w:rPr>
        <w:t xml:space="preserve">Helianthus </w:t>
      </w:r>
      <w:proofErr w:type="spellStart"/>
      <w:r w:rsidRPr="000F479D">
        <w:rPr>
          <w:i/>
          <w:lang w:val="en-US"/>
        </w:rPr>
        <w:t>annuus</w:t>
      </w:r>
      <w:proofErr w:type="spellEnd"/>
      <w:r w:rsidRPr="000F479D">
        <w:rPr>
          <w:lang w:val="en-US"/>
        </w:rPr>
        <w:t xml:space="preserve"> L.) </w:t>
      </w:r>
      <w:r w:rsidRPr="00D42A19">
        <w:t>(1)</w:t>
      </w:r>
    </w:p>
    <w:p w:rsidR="00702E8E" w:rsidRPr="00D42A19" w:rsidRDefault="00702E8E" w:rsidP="00702E8E">
      <w:r w:rsidRPr="00D42A19">
        <w:t>Remolacha (</w:t>
      </w:r>
      <w:r w:rsidRPr="00D42A19">
        <w:rPr>
          <w:i/>
        </w:rPr>
        <w:t xml:space="preserve">Beta </w:t>
      </w:r>
      <w:proofErr w:type="spellStart"/>
      <w:r w:rsidRPr="00D42A19">
        <w:rPr>
          <w:i/>
        </w:rPr>
        <w:t>vulgaris</w:t>
      </w:r>
      <w:proofErr w:type="spellEnd"/>
      <w:r w:rsidRPr="00D42A19">
        <w:rPr>
          <w:i/>
        </w:rPr>
        <w:t xml:space="preserve"> </w:t>
      </w:r>
      <w:proofErr w:type="spellStart"/>
      <w:r w:rsidRPr="00D42A19">
        <w:rPr>
          <w:i/>
        </w:rPr>
        <w:t>ssp</w:t>
      </w:r>
      <w:proofErr w:type="spellEnd"/>
      <w:r w:rsidRPr="00D42A19">
        <w:rPr>
          <w:i/>
        </w:rPr>
        <w:t xml:space="preserve">. </w:t>
      </w:r>
      <w:proofErr w:type="spellStart"/>
      <w:r w:rsidRPr="00D42A19">
        <w:rPr>
          <w:i/>
        </w:rPr>
        <w:t>vulgaris</w:t>
      </w:r>
      <w:proofErr w:type="spellEnd"/>
      <w:r w:rsidRPr="00D42A19">
        <w:t>) (2)</w:t>
      </w:r>
    </w:p>
    <w:p w:rsidR="00702E8E" w:rsidRPr="00D42A19" w:rsidRDefault="00702E8E" w:rsidP="00702E8E">
      <w:r w:rsidRPr="00D42A19">
        <w:t>Manzano (</w:t>
      </w:r>
      <w:proofErr w:type="spellStart"/>
      <w:r w:rsidRPr="00D42A19">
        <w:rPr>
          <w:i/>
        </w:rPr>
        <w:t>Malus</w:t>
      </w:r>
      <w:proofErr w:type="spellEnd"/>
      <w:r w:rsidRPr="00D42A19">
        <w:rPr>
          <w:i/>
        </w:rPr>
        <w:t xml:space="preserve"> domestica</w:t>
      </w:r>
      <w:r w:rsidRPr="00D42A19">
        <w:t xml:space="preserve"> </w:t>
      </w:r>
      <w:proofErr w:type="spellStart"/>
      <w:r w:rsidRPr="00D42A19">
        <w:t>Borkh</w:t>
      </w:r>
      <w:proofErr w:type="spellEnd"/>
      <w:r w:rsidRPr="00D42A19">
        <w:t>.) (1)</w:t>
      </w:r>
    </w:p>
    <w:p w:rsidR="00702E8E" w:rsidRPr="00D42A19" w:rsidRDefault="00702E8E" w:rsidP="00702E8E">
      <w:r w:rsidRPr="00D42A19">
        <w:t>Fresa (</w:t>
      </w:r>
      <w:r w:rsidRPr="00D42A19">
        <w:rPr>
          <w:i/>
        </w:rPr>
        <w:t>Fragaria</w:t>
      </w:r>
      <w:r w:rsidRPr="00D42A19">
        <w:t xml:space="preserve"> L.) (4)</w:t>
      </w:r>
    </w:p>
    <w:p w:rsidR="00702E8E" w:rsidRPr="00D42A19" w:rsidRDefault="00702E8E" w:rsidP="00702E8E">
      <w:r w:rsidRPr="00D42A19">
        <w:t>Ciruelo (</w:t>
      </w:r>
      <w:proofErr w:type="spellStart"/>
      <w:r w:rsidRPr="00D42A19">
        <w:rPr>
          <w:i/>
        </w:rPr>
        <w:t>Prunus</w:t>
      </w:r>
      <w:proofErr w:type="spellEnd"/>
      <w:r w:rsidRPr="00D42A19">
        <w:rPr>
          <w:i/>
        </w:rPr>
        <w:t xml:space="preserve"> domestica</w:t>
      </w:r>
      <w:r w:rsidRPr="00D42A19">
        <w:t>) (1)</w:t>
      </w:r>
    </w:p>
    <w:p w:rsidR="00702E8E" w:rsidRPr="00D42A19" w:rsidRDefault="00702E8E" w:rsidP="00702E8E">
      <w:r w:rsidRPr="00D42A19">
        <w:t>Crisantemo (</w:t>
      </w:r>
      <w:proofErr w:type="spellStart"/>
      <w:r w:rsidRPr="00D42A19">
        <w:rPr>
          <w:i/>
        </w:rPr>
        <w:t>Chrysanthemum</w:t>
      </w:r>
      <w:proofErr w:type="spellEnd"/>
      <w:r w:rsidRPr="00D42A19">
        <w:rPr>
          <w:i/>
        </w:rPr>
        <w:t xml:space="preserve"> </w:t>
      </w:r>
      <w:proofErr w:type="spellStart"/>
      <w:r w:rsidRPr="00D42A19">
        <w:rPr>
          <w:i/>
        </w:rPr>
        <w:t>indicum</w:t>
      </w:r>
      <w:proofErr w:type="spellEnd"/>
      <w:r w:rsidRPr="00D42A19">
        <w:t xml:space="preserve"> L.) (2)</w:t>
      </w:r>
    </w:p>
    <w:p w:rsidR="00702E8E" w:rsidRPr="00D42A19" w:rsidRDefault="00702E8E" w:rsidP="00702E8E">
      <w:proofErr w:type="spellStart"/>
      <w:r w:rsidRPr="00D42A19">
        <w:rPr>
          <w:i/>
        </w:rPr>
        <w:t>Yellow</w:t>
      </w:r>
      <w:proofErr w:type="spellEnd"/>
      <w:r w:rsidRPr="00D42A19">
        <w:rPr>
          <w:i/>
        </w:rPr>
        <w:t xml:space="preserve"> </w:t>
      </w:r>
      <w:proofErr w:type="spellStart"/>
      <w:r w:rsidRPr="00D42A19">
        <w:rPr>
          <w:i/>
        </w:rPr>
        <w:t>lily</w:t>
      </w:r>
      <w:proofErr w:type="spellEnd"/>
      <w:r w:rsidRPr="00D42A19">
        <w:t xml:space="preserve"> (</w:t>
      </w:r>
      <w:proofErr w:type="spellStart"/>
      <w:r w:rsidRPr="00D42A19">
        <w:rPr>
          <w:i/>
        </w:rPr>
        <w:t>Hemerocallis</w:t>
      </w:r>
      <w:proofErr w:type="spellEnd"/>
      <w:r w:rsidRPr="00D42A19">
        <w:rPr>
          <w:i/>
        </w:rPr>
        <w:t xml:space="preserve"> x </w:t>
      </w:r>
      <w:proofErr w:type="spellStart"/>
      <w:r w:rsidRPr="00D42A19">
        <w:rPr>
          <w:i/>
        </w:rPr>
        <w:t>hybrida</w:t>
      </w:r>
      <w:proofErr w:type="spellEnd"/>
      <w:r w:rsidRPr="00D42A19">
        <w:rPr>
          <w:i/>
        </w:rPr>
        <w:t xml:space="preserve"> </w:t>
      </w:r>
      <w:proofErr w:type="spellStart"/>
      <w:r w:rsidRPr="00D42A19">
        <w:t>Hort</w:t>
      </w:r>
      <w:proofErr w:type="spellEnd"/>
      <w:r w:rsidRPr="00D42A19">
        <w:t>.) (2)</w:t>
      </w:r>
    </w:p>
    <w:p w:rsidR="00702E8E" w:rsidRPr="00D42A19" w:rsidRDefault="00702E8E" w:rsidP="00702E8E">
      <w:r w:rsidRPr="00D42A19">
        <w:t>Peonia (</w:t>
      </w:r>
      <w:proofErr w:type="spellStart"/>
      <w:r w:rsidRPr="00D42A19">
        <w:rPr>
          <w:i/>
        </w:rPr>
        <w:t>Paeonia</w:t>
      </w:r>
      <w:proofErr w:type="spellEnd"/>
      <w:r w:rsidRPr="00D42A19">
        <w:rPr>
          <w:i/>
        </w:rPr>
        <w:t xml:space="preserve"> </w:t>
      </w:r>
      <w:proofErr w:type="spellStart"/>
      <w:r w:rsidRPr="00D42A19">
        <w:rPr>
          <w:i/>
        </w:rPr>
        <w:t>lactiflora</w:t>
      </w:r>
      <w:proofErr w:type="spellEnd"/>
      <w:r w:rsidRPr="00D42A19">
        <w:t xml:space="preserve"> </w:t>
      </w:r>
      <w:proofErr w:type="spellStart"/>
      <w:r w:rsidRPr="00D42A19">
        <w:t>Pall</w:t>
      </w:r>
      <w:proofErr w:type="spellEnd"/>
      <w:r w:rsidRPr="00D42A19">
        <w:t>.) (2)</w:t>
      </w:r>
    </w:p>
    <w:p w:rsidR="00702E8E" w:rsidRPr="00D42A19" w:rsidRDefault="00702E8E" w:rsidP="00702E8E">
      <w:proofErr w:type="spellStart"/>
      <w:r w:rsidRPr="00D42A19">
        <w:t>Paulownia</w:t>
      </w:r>
      <w:proofErr w:type="spellEnd"/>
      <w:r w:rsidRPr="00D42A19">
        <w:t xml:space="preserve"> (</w:t>
      </w:r>
      <w:proofErr w:type="spellStart"/>
      <w:r w:rsidRPr="00D42A19">
        <w:rPr>
          <w:i/>
        </w:rPr>
        <w:t>Paulownia</w:t>
      </w:r>
      <w:proofErr w:type="spellEnd"/>
      <w:r w:rsidRPr="00D42A19">
        <w:rPr>
          <w:i/>
        </w:rPr>
        <w:t xml:space="preserve"> </w:t>
      </w:r>
      <w:proofErr w:type="spellStart"/>
      <w:r w:rsidRPr="00D42A19">
        <w:rPr>
          <w:i/>
        </w:rPr>
        <w:t>Elongata</w:t>
      </w:r>
      <w:proofErr w:type="spellEnd"/>
      <w:r w:rsidRPr="00D42A19">
        <w:t xml:space="preserve"> S.Y. </w:t>
      </w:r>
      <w:proofErr w:type="spellStart"/>
      <w:r w:rsidRPr="00D42A19">
        <w:t>Hu</w:t>
      </w:r>
      <w:proofErr w:type="spellEnd"/>
      <w:r w:rsidRPr="00D42A19">
        <w:rPr>
          <w:i/>
        </w:rPr>
        <w:t xml:space="preserve"> x</w:t>
      </w:r>
      <w:r w:rsidRPr="00D42A19">
        <w:t xml:space="preserve"> </w:t>
      </w:r>
      <w:proofErr w:type="spellStart"/>
      <w:r w:rsidRPr="00D42A19">
        <w:rPr>
          <w:i/>
        </w:rPr>
        <w:t>Paulownia</w:t>
      </w:r>
      <w:proofErr w:type="spellEnd"/>
      <w:r w:rsidRPr="00D42A19">
        <w:rPr>
          <w:i/>
        </w:rPr>
        <w:t xml:space="preserve"> </w:t>
      </w:r>
      <w:proofErr w:type="spellStart"/>
      <w:r w:rsidRPr="00D42A19">
        <w:rPr>
          <w:i/>
        </w:rPr>
        <w:t>Fortunei</w:t>
      </w:r>
      <w:proofErr w:type="spellEnd"/>
      <w:r w:rsidRPr="00D42A19">
        <w:t xml:space="preserve"> (</w:t>
      </w:r>
      <w:proofErr w:type="spellStart"/>
      <w:r w:rsidRPr="00D42A19">
        <w:t>Seem</w:t>
      </w:r>
      <w:proofErr w:type="spellEnd"/>
      <w:r w:rsidRPr="00D42A19">
        <w:t xml:space="preserve">.) </w:t>
      </w:r>
      <w:proofErr w:type="spellStart"/>
      <w:r w:rsidRPr="00D42A19">
        <w:t>Hemsl</w:t>
      </w:r>
      <w:proofErr w:type="spellEnd"/>
      <w:r w:rsidRPr="00D42A19">
        <w:t>.) (1)</w:t>
      </w:r>
    </w:p>
    <w:p w:rsidR="00702E8E" w:rsidRPr="00D42A19" w:rsidRDefault="00702E8E" w:rsidP="00702E8E">
      <w:r w:rsidRPr="00D42A19">
        <w:t>Tomate (</w:t>
      </w:r>
      <w:proofErr w:type="spellStart"/>
      <w:r w:rsidRPr="00D42A19">
        <w:rPr>
          <w:i/>
        </w:rPr>
        <w:t>Solanum</w:t>
      </w:r>
      <w:proofErr w:type="spellEnd"/>
      <w:r w:rsidRPr="00D42A19">
        <w:rPr>
          <w:i/>
        </w:rPr>
        <w:t xml:space="preserve"> </w:t>
      </w:r>
      <w:proofErr w:type="spellStart"/>
      <w:r w:rsidRPr="00D42A19">
        <w:rPr>
          <w:i/>
        </w:rPr>
        <w:t>lycopersicum</w:t>
      </w:r>
      <w:proofErr w:type="spellEnd"/>
      <w:r w:rsidRPr="00D42A19">
        <w:t xml:space="preserve"> L.) (2)</w:t>
      </w:r>
    </w:p>
    <w:p w:rsidR="00702E8E" w:rsidRPr="00D42A19" w:rsidRDefault="00702E8E" w:rsidP="00702E8E"/>
    <w:p w:rsidR="00702E8E" w:rsidRPr="00D42A19" w:rsidRDefault="00702E8E" w:rsidP="00702E8E">
      <w:pPr>
        <w:keepNext/>
      </w:pPr>
      <w:r w:rsidRPr="00D42A19">
        <w:t xml:space="preserve">- se concedieron títulos a las siguientes 29 variedades vegetales (26 nacionales): </w:t>
      </w:r>
    </w:p>
    <w:p w:rsidR="00702E8E" w:rsidRPr="00D42A19" w:rsidRDefault="00702E8E" w:rsidP="00702E8E">
      <w:pPr>
        <w:keepNext/>
      </w:pPr>
    </w:p>
    <w:p w:rsidR="00702E8E" w:rsidRPr="00D42A19" w:rsidRDefault="00702E8E" w:rsidP="00702E8E">
      <w:pPr>
        <w:keepNext/>
      </w:pPr>
      <w:r w:rsidRPr="00D42A19">
        <w:t>Sauce (</w:t>
      </w:r>
      <w:proofErr w:type="spellStart"/>
      <w:r w:rsidRPr="00D42A19">
        <w:rPr>
          <w:i/>
        </w:rPr>
        <w:t>Salix</w:t>
      </w:r>
      <w:proofErr w:type="spellEnd"/>
      <w:r w:rsidRPr="00D42A19">
        <w:t xml:space="preserve"> L.) (3)</w:t>
      </w:r>
    </w:p>
    <w:p w:rsidR="00702E8E" w:rsidRPr="00D42A19" w:rsidRDefault="00702E8E" w:rsidP="00702E8E">
      <w:pPr>
        <w:keepNext/>
      </w:pPr>
      <w:r w:rsidRPr="00D42A19">
        <w:t>Judía común o alubia (</w:t>
      </w:r>
      <w:proofErr w:type="spellStart"/>
      <w:r w:rsidRPr="00D42A19">
        <w:rPr>
          <w:i/>
        </w:rPr>
        <w:t>Phaseolus</w:t>
      </w:r>
      <w:proofErr w:type="spellEnd"/>
      <w:r w:rsidRPr="00D42A19">
        <w:rPr>
          <w:i/>
        </w:rPr>
        <w:t xml:space="preserve"> </w:t>
      </w:r>
      <w:proofErr w:type="spellStart"/>
      <w:r w:rsidRPr="00D42A19">
        <w:rPr>
          <w:i/>
        </w:rPr>
        <w:t>vulgaris</w:t>
      </w:r>
      <w:proofErr w:type="spellEnd"/>
      <w:r w:rsidRPr="00D42A19">
        <w:t xml:space="preserve"> L. </w:t>
      </w:r>
      <w:proofErr w:type="spellStart"/>
      <w:r w:rsidRPr="00D42A19">
        <w:t>var</w:t>
      </w:r>
      <w:proofErr w:type="spellEnd"/>
      <w:r w:rsidRPr="00D42A19">
        <w:rPr>
          <w:i/>
        </w:rPr>
        <w:t xml:space="preserve">. </w:t>
      </w:r>
      <w:proofErr w:type="spellStart"/>
      <w:r w:rsidRPr="00D42A19">
        <w:rPr>
          <w:i/>
        </w:rPr>
        <w:t>ellipticus</w:t>
      </w:r>
      <w:proofErr w:type="spellEnd"/>
      <w:r w:rsidRPr="00D42A19">
        <w:rPr>
          <w:i/>
        </w:rPr>
        <w:t xml:space="preserve"> </w:t>
      </w:r>
      <w:proofErr w:type="spellStart"/>
      <w:r w:rsidRPr="00D42A19">
        <w:rPr>
          <w:i/>
        </w:rPr>
        <w:t>albus</w:t>
      </w:r>
      <w:proofErr w:type="spellEnd"/>
      <w:r w:rsidRPr="00D42A19">
        <w:t>) (1)</w:t>
      </w:r>
    </w:p>
    <w:p w:rsidR="00702E8E" w:rsidRPr="00D42A19" w:rsidRDefault="00702E8E" w:rsidP="00702E8E">
      <w:pPr>
        <w:keepNext/>
      </w:pPr>
      <w:r w:rsidRPr="00D42A19">
        <w:t>Soja (</w:t>
      </w:r>
      <w:proofErr w:type="spellStart"/>
      <w:r w:rsidRPr="00D42A19">
        <w:rPr>
          <w:i/>
        </w:rPr>
        <w:t>Glycine</w:t>
      </w:r>
      <w:proofErr w:type="spellEnd"/>
      <w:r w:rsidRPr="00D42A19">
        <w:rPr>
          <w:i/>
        </w:rPr>
        <w:t xml:space="preserve"> </w:t>
      </w:r>
      <w:proofErr w:type="spellStart"/>
      <w:r w:rsidRPr="00D42A19">
        <w:rPr>
          <w:i/>
        </w:rPr>
        <w:t>max</w:t>
      </w:r>
      <w:proofErr w:type="spellEnd"/>
      <w:r w:rsidRPr="00D42A19">
        <w:t xml:space="preserve"> (L.) Merrill) (1)</w:t>
      </w:r>
    </w:p>
    <w:p w:rsidR="00702E8E" w:rsidRPr="00D42A19" w:rsidRDefault="00702E8E" w:rsidP="00702E8E">
      <w:r w:rsidRPr="00D42A19">
        <w:t>Cardo mariano (</w:t>
      </w:r>
      <w:proofErr w:type="spellStart"/>
      <w:r w:rsidRPr="00D42A19">
        <w:rPr>
          <w:i/>
        </w:rPr>
        <w:t>Silybum</w:t>
      </w:r>
      <w:proofErr w:type="spellEnd"/>
      <w:r w:rsidRPr="00D42A19">
        <w:rPr>
          <w:i/>
        </w:rPr>
        <w:t xml:space="preserve"> </w:t>
      </w:r>
      <w:proofErr w:type="spellStart"/>
      <w:r w:rsidRPr="00D42A19">
        <w:rPr>
          <w:i/>
        </w:rPr>
        <w:t>marianum</w:t>
      </w:r>
      <w:proofErr w:type="spellEnd"/>
      <w:r w:rsidRPr="00D42A19">
        <w:t xml:space="preserve"> L.) (1)</w:t>
      </w:r>
    </w:p>
    <w:p w:rsidR="00702E8E" w:rsidRPr="00D42A19" w:rsidRDefault="00702E8E" w:rsidP="00702E8E">
      <w:r w:rsidRPr="00D42A19">
        <w:t>Salvia (</w:t>
      </w:r>
      <w:r w:rsidRPr="00D42A19">
        <w:rPr>
          <w:i/>
        </w:rPr>
        <w:t xml:space="preserve">Salvia </w:t>
      </w:r>
      <w:proofErr w:type="spellStart"/>
      <w:r w:rsidRPr="00D42A19">
        <w:rPr>
          <w:i/>
        </w:rPr>
        <w:t>sclare</w:t>
      </w:r>
      <w:r w:rsidRPr="00D42A19">
        <w:t>a</w:t>
      </w:r>
      <w:proofErr w:type="spellEnd"/>
      <w:r w:rsidRPr="00D42A19">
        <w:t xml:space="preserve"> L.) (1)</w:t>
      </w:r>
    </w:p>
    <w:p w:rsidR="00702E8E" w:rsidRPr="00D42A19" w:rsidRDefault="00702E8E" w:rsidP="00702E8E">
      <w:r w:rsidRPr="00D42A19">
        <w:t>Maíz (</w:t>
      </w:r>
      <w:r w:rsidRPr="00D42A19">
        <w:rPr>
          <w:i/>
        </w:rPr>
        <w:t xml:space="preserve">Zea </w:t>
      </w:r>
      <w:proofErr w:type="spellStart"/>
      <w:r w:rsidRPr="00D42A19">
        <w:rPr>
          <w:i/>
        </w:rPr>
        <w:t>mays</w:t>
      </w:r>
      <w:proofErr w:type="spellEnd"/>
      <w:r w:rsidRPr="00D42A19">
        <w:t xml:space="preserve"> L. </w:t>
      </w:r>
      <w:proofErr w:type="spellStart"/>
      <w:r w:rsidRPr="00D42A19">
        <w:rPr>
          <w:i/>
        </w:rPr>
        <w:t>ssp</w:t>
      </w:r>
      <w:proofErr w:type="spellEnd"/>
      <w:r w:rsidRPr="00D42A19">
        <w:rPr>
          <w:i/>
        </w:rPr>
        <w:t xml:space="preserve">. </w:t>
      </w:r>
      <w:proofErr w:type="spellStart"/>
      <w:r w:rsidRPr="00D42A19">
        <w:rPr>
          <w:i/>
        </w:rPr>
        <w:t>indurata</w:t>
      </w:r>
      <w:proofErr w:type="spellEnd"/>
      <w:r w:rsidRPr="00D42A19">
        <w:t>) (2)</w:t>
      </w:r>
    </w:p>
    <w:p w:rsidR="00702E8E" w:rsidRPr="00D42A19" w:rsidRDefault="00702E8E" w:rsidP="00702E8E">
      <w:r w:rsidRPr="00D42A19">
        <w:t>Maíz (</w:t>
      </w:r>
      <w:r w:rsidRPr="00D42A19">
        <w:rPr>
          <w:i/>
        </w:rPr>
        <w:t xml:space="preserve">Zea </w:t>
      </w:r>
      <w:proofErr w:type="spellStart"/>
      <w:r w:rsidRPr="00D42A19">
        <w:rPr>
          <w:i/>
        </w:rPr>
        <w:t>mays</w:t>
      </w:r>
      <w:proofErr w:type="spellEnd"/>
      <w:r w:rsidRPr="00D42A19">
        <w:t xml:space="preserve"> L.) (6)</w:t>
      </w:r>
    </w:p>
    <w:p w:rsidR="00702E8E" w:rsidRPr="00D42A19" w:rsidRDefault="00702E8E" w:rsidP="00702E8E">
      <w:r w:rsidRPr="00D42A19">
        <w:t>Tomate (</w:t>
      </w:r>
      <w:proofErr w:type="spellStart"/>
      <w:r w:rsidRPr="00D42A19">
        <w:rPr>
          <w:i/>
        </w:rPr>
        <w:t>Solanum</w:t>
      </w:r>
      <w:proofErr w:type="spellEnd"/>
      <w:r w:rsidRPr="00D42A19">
        <w:rPr>
          <w:i/>
        </w:rPr>
        <w:t xml:space="preserve"> </w:t>
      </w:r>
      <w:proofErr w:type="spellStart"/>
      <w:r w:rsidRPr="00D42A19">
        <w:rPr>
          <w:i/>
        </w:rPr>
        <w:t>lycopersicum</w:t>
      </w:r>
      <w:proofErr w:type="spellEnd"/>
      <w:r w:rsidRPr="00D42A19">
        <w:t xml:space="preserve"> L.) (5)</w:t>
      </w:r>
    </w:p>
    <w:p w:rsidR="00702E8E" w:rsidRPr="00D42A19" w:rsidRDefault="00702E8E" w:rsidP="00702E8E">
      <w:r w:rsidRPr="00D42A19">
        <w:t>Manzano (</w:t>
      </w:r>
      <w:proofErr w:type="spellStart"/>
      <w:r w:rsidRPr="00D42A19">
        <w:rPr>
          <w:i/>
        </w:rPr>
        <w:t>Malus</w:t>
      </w:r>
      <w:proofErr w:type="spellEnd"/>
      <w:r w:rsidRPr="00D42A19">
        <w:rPr>
          <w:i/>
        </w:rPr>
        <w:t xml:space="preserve"> domestica</w:t>
      </w:r>
      <w:r w:rsidRPr="00D42A19">
        <w:t xml:space="preserve"> </w:t>
      </w:r>
      <w:proofErr w:type="spellStart"/>
      <w:r w:rsidRPr="00D42A19">
        <w:t>Borkh</w:t>
      </w:r>
      <w:proofErr w:type="spellEnd"/>
      <w:r w:rsidRPr="00D42A19">
        <w:t>.) (7)</w:t>
      </w:r>
    </w:p>
    <w:p w:rsidR="00702E8E" w:rsidRPr="00D42A19" w:rsidRDefault="00702E8E" w:rsidP="00702E8E">
      <w:r w:rsidRPr="00D42A19">
        <w:t>Haba (</w:t>
      </w:r>
      <w:r w:rsidRPr="00D42A19">
        <w:rPr>
          <w:i/>
        </w:rPr>
        <w:t>Vicia faba</w:t>
      </w:r>
      <w:r w:rsidRPr="00D42A19">
        <w:t xml:space="preserve"> L.) (1)</w:t>
      </w:r>
    </w:p>
    <w:p w:rsidR="00702E8E" w:rsidRPr="00D42A19" w:rsidRDefault="00702E8E" w:rsidP="00702E8E">
      <w:r w:rsidRPr="00D42A19">
        <w:t>Girasol (</w:t>
      </w:r>
      <w:proofErr w:type="spellStart"/>
      <w:r w:rsidRPr="00D42A19">
        <w:rPr>
          <w:i/>
        </w:rPr>
        <w:t>Helianthus</w:t>
      </w:r>
      <w:proofErr w:type="spellEnd"/>
      <w:r w:rsidRPr="00D42A19">
        <w:rPr>
          <w:i/>
        </w:rPr>
        <w:t xml:space="preserve"> </w:t>
      </w:r>
      <w:proofErr w:type="spellStart"/>
      <w:r w:rsidRPr="00D42A19">
        <w:rPr>
          <w:i/>
        </w:rPr>
        <w:t>annuus</w:t>
      </w:r>
      <w:proofErr w:type="spellEnd"/>
      <w:r w:rsidRPr="00D42A19">
        <w:t xml:space="preserve"> L.) (1)</w:t>
      </w:r>
    </w:p>
    <w:p w:rsidR="00702E8E" w:rsidRPr="00D42A19" w:rsidRDefault="00702E8E" w:rsidP="00702E8E"/>
    <w:p w:rsidR="00702E8E" w:rsidRPr="00D42A19" w:rsidRDefault="00702E8E" w:rsidP="00702E8E">
      <w:r w:rsidRPr="00D42A19">
        <w:t>El 31 de diciembre de 2014, había 131 patentes de obtenciones vegetales en vigor.</w:t>
      </w:r>
    </w:p>
    <w:p w:rsidR="00702E8E" w:rsidRPr="00D42A19" w:rsidRDefault="00702E8E" w:rsidP="00702E8E"/>
    <w:p w:rsidR="00702E8E" w:rsidRPr="00D42A19" w:rsidRDefault="00702E8E" w:rsidP="00702E8E"/>
    <w:p w:rsidR="00702E8E" w:rsidRPr="00D42A19" w:rsidRDefault="00702E8E" w:rsidP="00702E8E">
      <w:r w:rsidRPr="00D42A19">
        <w:t>4.</w:t>
      </w:r>
      <w:r w:rsidRPr="00D42A19">
        <w:tab/>
      </w:r>
      <w:r w:rsidRPr="00D42A19">
        <w:rPr>
          <w:u w:val="single"/>
        </w:rPr>
        <w:t>Situación en el campo técnico</w:t>
      </w:r>
    </w:p>
    <w:p w:rsidR="00702E8E" w:rsidRPr="00D42A19" w:rsidRDefault="00702E8E" w:rsidP="00702E8E"/>
    <w:p w:rsidR="00702E8E" w:rsidRPr="00D42A19" w:rsidRDefault="00702E8E" w:rsidP="00702E8E">
      <w:r w:rsidRPr="00D42A19">
        <w:t>No se produjeron cambios.</w:t>
      </w:r>
    </w:p>
    <w:p w:rsidR="00702E8E" w:rsidRPr="00D42A19" w:rsidRDefault="00702E8E" w:rsidP="00702E8E"/>
    <w:p w:rsidR="00702E8E" w:rsidRPr="00D42A19" w:rsidRDefault="00702E8E" w:rsidP="00702E8E"/>
    <w:p w:rsidR="00702E8E" w:rsidRPr="00D42A19" w:rsidRDefault="00702E8E" w:rsidP="00702E8E">
      <w:pPr>
        <w:rPr>
          <w:u w:val="single"/>
        </w:rPr>
      </w:pPr>
      <w:r w:rsidRPr="00D42A19">
        <w:t>5.</w:t>
      </w:r>
      <w:r w:rsidRPr="00D42A19">
        <w:tab/>
      </w:r>
      <w:r w:rsidRPr="00D42A19">
        <w:rPr>
          <w:u w:val="single"/>
        </w:rPr>
        <w:t>Actividades para la promoción de la protección de las obtenciones vegetales</w:t>
      </w:r>
    </w:p>
    <w:p w:rsidR="00702E8E" w:rsidRPr="00D42A19" w:rsidRDefault="00702E8E" w:rsidP="00702E8E"/>
    <w:p w:rsidR="00702E8E" w:rsidRPr="00D42A19" w:rsidRDefault="00702E8E" w:rsidP="00702E8E">
      <w:pPr>
        <w:rPr>
          <w:i/>
        </w:rPr>
      </w:pPr>
      <w:r w:rsidRPr="00D42A19">
        <w:rPr>
          <w:i/>
        </w:rPr>
        <w:t>Reuniones, seminarios</w:t>
      </w:r>
    </w:p>
    <w:p w:rsidR="00702E8E" w:rsidRPr="00D42A19" w:rsidRDefault="00702E8E" w:rsidP="00702E8E"/>
    <w:p w:rsidR="00702E8E" w:rsidRPr="00D42A19" w:rsidRDefault="00702E8E" w:rsidP="00702E8E">
      <w:r w:rsidRPr="00D42A19">
        <w:t>Se organizaron cinco seminarios sobre “El sistema de protección de las obtenciones vegetales en el ámbito nacional e internacional” dirigidos a los representantes de la propiedad industrial y las personas interesadas, entre ellos los estudiantes, los científicos y los obtentores.</w:t>
      </w:r>
    </w:p>
    <w:p w:rsidR="00702E8E" w:rsidRPr="00D42A19" w:rsidRDefault="00702E8E" w:rsidP="00702E8E"/>
    <w:p w:rsidR="00702E8E" w:rsidRPr="00D42A19" w:rsidRDefault="00702E8E" w:rsidP="00702E8E">
      <w:pPr>
        <w:rPr>
          <w:i/>
        </w:rPr>
      </w:pPr>
      <w:r w:rsidRPr="00D42A19">
        <w:rPr>
          <w:i/>
        </w:rPr>
        <w:t>Publicaciones</w:t>
      </w:r>
    </w:p>
    <w:p w:rsidR="00702E8E" w:rsidRPr="00D42A19" w:rsidRDefault="00702E8E" w:rsidP="00702E8E"/>
    <w:p w:rsidR="00702E8E" w:rsidRPr="00D42A19" w:rsidRDefault="00702E8E" w:rsidP="00702E8E">
      <w:r w:rsidRPr="00D42A19">
        <w:t xml:space="preserve">El AGEPI mantiene periódicamente el sitio web </w:t>
      </w:r>
      <w:hyperlink r:id="rId33">
        <w:r w:rsidRPr="00D42A19">
          <w:rPr>
            <w:rStyle w:val="Hyperlink"/>
          </w:rPr>
          <w:t>www.agepi.gov.md</w:t>
        </w:r>
      </w:hyperlink>
      <w:r w:rsidRPr="00D42A19">
        <w:t>, en el que puede consultarse la legislación nacional en el ámbito de la protección de las obtenciones vegetales, así como el formulario de solicitud de registro de título de obtentor e informaciones útiles para solicitantes y obtentores, disponibles en rumano, ruso e inglés.</w:t>
      </w:r>
    </w:p>
    <w:p w:rsidR="00702E8E" w:rsidRPr="00D42A19" w:rsidRDefault="00702E8E" w:rsidP="00702E8E"/>
    <w:p w:rsidR="003F39F5" w:rsidRPr="00D42A19" w:rsidRDefault="003F39F5" w:rsidP="00702E8E"/>
    <w:p w:rsidR="00702E8E" w:rsidRPr="00D42A19" w:rsidRDefault="00702E8E" w:rsidP="00702E8E"/>
    <w:p w:rsidR="003F39F5" w:rsidRPr="00D42A19" w:rsidRDefault="00F14899" w:rsidP="003F39F5">
      <w:pPr>
        <w:jc w:val="right"/>
      </w:pPr>
      <w:r w:rsidRPr="00D42A19">
        <w:t>[Sigue el Anexo</w:t>
      </w:r>
      <w:r w:rsidR="003F39F5" w:rsidRPr="00D42A19">
        <w:t xml:space="preserve"> XIII</w:t>
      </w:r>
      <w:r w:rsidRPr="00D42A19">
        <w:t>]</w:t>
      </w:r>
    </w:p>
    <w:p w:rsidR="003F39F5" w:rsidRPr="00D42A19" w:rsidRDefault="003F39F5" w:rsidP="003F39F5">
      <w:pPr>
        <w:jc w:val="left"/>
      </w:pPr>
    </w:p>
    <w:p w:rsidR="003F39F5" w:rsidRPr="00D42A19" w:rsidRDefault="003F39F5" w:rsidP="003F39F5">
      <w:pPr>
        <w:jc w:val="left"/>
        <w:sectPr w:rsidR="003F39F5" w:rsidRPr="00D42A19" w:rsidSect="004F3A50">
          <w:headerReference w:type="default" r:id="rId34"/>
          <w:pgSz w:w="11907" w:h="16840" w:code="9"/>
          <w:pgMar w:top="510" w:right="1134" w:bottom="1134" w:left="1134" w:header="510" w:footer="680" w:gutter="0"/>
          <w:pgNumType w:start="1"/>
          <w:cols w:space="720"/>
          <w:titlePg/>
        </w:sectPr>
      </w:pPr>
    </w:p>
    <w:p w:rsidR="003F39F5" w:rsidRPr="00D42A19" w:rsidRDefault="003F39F5" w:rsidP="003F39F5">
      <w:pPr>
        <w:jc w:val="center"/>
      </w:pPr>
      <w:r w:rsidRPr="00D42A19">
        <w:t>C/49/15</w:t>
      </w:r>
    </w:p>
    <w:p w:rsidR="003F39F5" w:rsidRPr="00D42A19" w:rsidRDefault="003F39F5" w:rsidP="003F39F5">
      <w:pPr>
        <w:jc w:val="center"/>
      </w:pPr>
    </w:p>
    <w:p w:rsidR="003F39F5" w:rsidRPr="00D42A19" w:rsidRDefault="00F14899" w:rsidP="003F39F5">
      <w:pPr>
        <w:jc w:val="center"/>
      </w:pPr>
      <w:r w:rsidRPr="00D42A19">
        <w:t>ANEXO</w:t>
      </w:r>
      <w:r w:rsidR="003F39F5" w:rsidRPr="00D42A19">
        <w:t xml:space="preserve"> XIII</w:t>
      </w:r>
    </w:p>
    <w:p w:rsidR="003F39F5" w:rsidRPr="00D42A19" w:rsidRDefault="003F39F5" w:rsidP="003F39F5">
      <w:pPr>
        <w:jc w:val="center"/>
      </w:pPr>
    </w:p>
    <w:p w:rsidR="003F39F5" w:rsidRPr="00D42A19" w:rsidRDefault="003F39F5" w:rsidP="003F39F5">
      <w:pPr>
        <w:jc w:val="center"/>
      </w:pPr>
    </w:p>
    <w:p w:rsidR="003F39F5" w:rsidRPr="00D42A19" w:rsidRDefault="00F14899" w:rsidP="003F39F5">
      <w:pPr>
        <w:jc w:val="center"/>
      </w:pPr>
      <w:r w:rsidRPr="00D42A19">
        <w:t>REPÚBLICA CHECA</w:t>
      </w:r>
    </w:p>
    <w:p w:rsidR="003F39F5" w:rsidRPr="00D42A19" w:rsidRDefault="003F39F5" w:rsidP="003F39F5">
      <w:pPr>
        <w:jc w:val="left"/>
      </w:pPr>
    </w:p>
    <w:p w:rsidR="003F39F5" w:rsidRPr="00D42A19" w:rsidRDefault="003F39F5" w:rsidP="003F39F5">
      <w:pPr>
        <w:jc w:val="left"/>
      </w:pPr>
    </w:p>
    <w:p w:rsidR="00257F4E" w:rsidRPr="00D42A19" w:rsidRDefault="00257F4E" w:rsidP="00257F4E">
      <w:r w:rsidRPr="00D42A19">
        <w:t>I.</w:t>
      </w:r>
      <w:r w:rsidRPr="00D42A19">
        <w:tab/>
        <w:t>PROTECCIÓN DE LAS OBTENCIONES VEGETALES</w:t>
      </w:r>
    </w:p>
    <w:p w:rsidR="00257F4E" w:rsidRPr="00D42A19" w:rsidRDefault="00257F4E" w:rsidP="00257F4E"/>
    <w:p w:rsidR="00257F4E" w:rsidRPr="00D42A19" w:rsidRDefault="00257F4E" w:rsidP="00257F4E">
      <w:pPr>
        <w:rPr>
          <w:u w:val="single"/>
        </w:rPr>
      </w:pPr>
      <w:r w:rsidRPr="00D42A19">
        <w:t>1.</w:t>
      </w:r>
      <w:r w:rsidRPr="00D42A19">
        <w:tab/>
      </w:r>
      <w:r w:rsidRPr="00D42A19">
        <w:rPr>
          <w:u w:val="single"/>
        </w:rPr>
        <w:t>Situación en el campo legislativo</w:t>
      </w:r>
    </w:p>
    <w:p w:rsidR="00257F4E" w:rsidRPr="00D42A19" w:rsidRDefault="00257F4E" w:rsidP="00257F4E"/>
    <w:p w:rsidR="00257F4E" w:rsidRPr="00D42A19" w:rsidRDefault="00257F4E" w:rsidP="00257F4E">
      <w:r w:rsidRPr="00D42A19">
        <w:t>No se produjeron cambios.</w:t>
      </w:r>
    </w:p>
    <w:p w:rsidR="00257F4E" w:rsidRPr="00D42A19" w:rsidRDefault="00257F4E" w:rsidP="00257F4E">
      <w:pPr>
        <w:rPr>
          <w:rFonts w:cs="Arial"/>
        </w:rPr>
      </w:pPr>
    </w:p>
    <w:p w:rsidR="00257F4E" w:rsidRPr="00D42A19" w:rsidRDefault="00257F4E" w:rsidP="00257F4E">
      <w:pPr>
        <w:rPr>
          <w:rFonts w:cs="Arial"/>
        </w:rPr>
      </w:pPr>
    </w:p>
    <w:p w:rsidR="00257F4E" w:rsidRPr="00D42A19" w:rsidRDefault="00257F4E" w:rsidP="00257F4E">
      <w:pPr>
        <w:rPr>
          <w:rFonts w:cs="Arial"/>
        </w:rPr>
      </w:pPr>
      <w:r w:rsidRPr="00D42A19">
        <w:t>2.</w:t>
      </w:r>
      <w:r w:rsidRPr="00D42A19">
        <w:tab/>
      </w:r>
      <w:r w:rsidRPr="00D42A19">
        <w:rPr>
          <w:u w:val="single"/>
        </w:rPr>
        <w:t>Cooperación en el examen</w:t>
      </w:r>
    </w:p>
    <w:p w:rsidR="00257F4E" w:rsidRPr="00D42A19" w:rsidRDefault="00257F4E" w:rsidP="00257F4E"/>
    <w:p w:rsidR="00257F4E" w:rsidRPr="00D42A19" w:rsidRDefault="00257F4E" w:rsidP="00257F4E">
      <w:r w:rsidRPr="00D42A19">
        <w:t>Los acuerdos bilaterales de cooperación en materia de examen con Austria, Dinamarca, Eslovenia, Eslovaquia, Hungría, los Países Bajos, Polonia y Rumania permanecen sin variaciones.</w:t>
      </w:r>
    </w:p>
    <w:p w:rsidR="00257F4E" w:rsidRPr="00D42A19" w:rsidRDefault="00257F4E" w:rsidP="00257F4E">
      <w:pPr>
        <w:rPr>
          <w:b/>
        </w:rPr>
      </w:pPr>
    </w:p>
    <w:p w:rsidR="00257F4E" w:rsidRPr="00D42A19" w:rsidRDefault="00257F4E" w:rsidP="00257F4E">
      <w:r w:rsidRPr="00D42A19">
        <w:t xml:space="preserve">El acuerdo administrativo con la Oficina Comunitaria de Variedades Vegetales de la Unión Europea se ha ampliado a las siguientes especies adicionales:  </w:t>
      </w:r>
      <w:proofErr w:type="spellStart"/>
      <w:r w:rsidRPr="00D42A19">
        <w:rPr>
          <w:i/>
        </w:rPr>
        <w:t>Lonicera</w:t>
      </w:r>
      <w:proofErr w:type="spellEnd"/>
      <w:r w:rsidRPr="00D42A19">
        <w:rPr>
          <w:i/>
        </w:rPr>
        <w:t xml:space="preserve"> </w:t>
      </w:r>
      <w:proofErr w:type="spellStart"/>
      <w:r w:rsidRPr="00D42A19">
        <w:rPr>
          <w:i/>
        </w:rPr>
        <w:t>caerulea</w:t>
      </w:r>
      <w:proofErr w:type="spellEnd"/>
      <w:r w:rsidRPr="00D42A19">
        <w:t xml:space="preserve"> L. </w:t>
      </w:r>
      <w:proofErr w:type="spellStart"/>
      <w:r w:rsidRPr="00D42A19">
        <w:t>var</w:t>
      </w:r>
      <w:proofErr w:type="spellEnd"/>
      <w:r w:rsidRPr="00D42A19">
        <w:t xml:space="preserve">. </w:t>
      </w:r>
      <w:proofErr w:type="spellStart"/>
      <w:r w:rsidRPr="00D42A19">
        <w:rPr>
          <w:i/>
        </w:rPr>
        <w:t>kamtschatica</w:t>
      </w:r>
      <w:proofErr w:type="spellEnd"/>
      <w:r w:rsidRPr="00D42A19">
        <w:t xml:space="preserve"> </w:t>
      </w:r>
      <w:proofErr w:type="spellStart"/>
      <w:r w:rsidRPr="00D42A19">
        <w:t>Sevast</w:t>
      </w:r>
      <w:proofErr w:type="spellEnd"/>
      <w:r w:rsidRPr="00D42A19">
        <w:t xml:space="preserve">., </w:t>
      </w:r>
      <w:proofErr w:type="spellStart"/>
      <w:r w:rsidRPr="00D42A19">
        <w:rPr>
          <w:i/>
        </w:rPr>
        <w:t>Lolium</w:t>
      </w:r>
      <w:proofErr w:type="spellEnd"/>
      <w:r w:rsidRPr="00D42A19">
        <w:rPr>
          <w:i/>
        </w:rPr>
        <w:t xml:space="preserve"> </w:t>
      </w:r>
      <w:proofErr w:type="spellStart"/>
      <w:r w:rsidRPr="00D42A19">
        <w:rPr>
          <w:i/>
        </w:rPr>
        <w:t>multiflorum</w:t>
      </w:r>
      <w:proofErr w:type="spellEnd"/>
      <w:r w:rsidRPr="00D42A19">
        <w:t xml:space="preserve"> Lam., </w:t>
      </w:r>
      <w:proofErr w:type="spellStart"/>
      <w:r w:rsidRPr="00D42A19">
        <w:rPr>
          <w:i/>
        </w:rPr>
        <w:t>Lolium</w:t>
      </w:r>
      <w:proofErr w:type="spellEnd"/>
      <w:r w:rsidRPr="00D42A19">
        <w:rPr>
          <w:i/>
        </w:rPr>
        <w:t xml:space="preserve"> </w:t>
      </w:r>
      <w:proofErr w:type="spellStart"/>
      <w:r w:rsidRPr="00D42A19">
        <w:rPr>
          <w:i/>
        </w:rPr>
        <w:t>multiflorum</w:t>
      </w:r>
      <w:proofErr w:type="spellEnd"/>
      <w:r w:rsidRPr="00D42A19">
        <w:t xml:space="preserve"> Lam. </w:t>
      </w:r>
      <w:proofErr w:type="spellStart"/>
      <w:r w:rsidRPr="00D42A19">
        <w:t>var</w:t>
      </w:r>
      <w:proofErr w:type="spellEnd"/>
      <w:r w:rsidRPr="00D42A19">
        <w:t xml:space="preserve">. </w:t>
      </w:r>
      <w:proofErr w:type="spellStart"/>
      <w:r w:rsidRPr="00D42A19">
        <w:rPr>
          <w:i/>
        </w:rPr>
        <w:t>westerwoldicum</w:t>
      </w:r>
      <w:proofErr w:type="spellEnd"/>
      <w:r w:rsidRPr="00D42A19">
        <w:t xml:space="preserve"> </w:t>
      </w:r>
      <w:proofErr w:type="spellStart"/>
      <w:r w:rsidRPr="00D42A19">
        <w:t>Wittm</w:t>
      </w:r>
      <w:proofErr w:type="spellEnd"/>
      <w:r w:rsidRPr="00D42A19">
        <w:t xml:space="preserve">. y </w:t>
      </w:r>
      <w:proofErr w:type="spellStart"/>
      <w:r w:rsidRPr="00D42A19">
        <w:t>subsp</w:t>
      </w:r>
      <w:proofErr w:type="spellEnd"/>
      <w:r w:rsidRPr="00D42A19">
        <w:t>.</w:t>
      </w:r>
      <w:r w:rsidRPr="00D42A19">
        <w:rPr>
          <w:i/>
        </w:rPr>
        <w:t xml:space="preserve"> </w:t>
      </w:r>
      <w:proofErr w:type="spellStart"/>
      <w:r w:rsidRPr="00D42A19">
        <w:rPr>
          <w:i/>
        </w:rPr>
        <w:t>Italicum</w:t>
      </w:r>
      <w:proofErr w:type="spellEnd"/>
      <w:r w:rsidRPr="00D42A19">
        <w:t xml:space="preserve"> (A. Br.) </w:t>
      </w:r>
      <w:proofErr w:type="spellStart"/>
      <w:r w:rsidRPr="00D42A19">
        <w:t>Volkart</w:t>
      </w:r>
      <w:proofErr w:type="spellEnd"/>
      <w:r w:rsidRPr="00D42A19">
        <w:t xml:space="preserve">, </w:t>
      </w:r>
      <w:proofErr w:type="spellStart"/>
      <w:r w:rsidRPr="00D42A19">
        <w:rPr>
          <w:i/>
        </w:rPr>
        <w:t>Phacelia</w:t>
      </w:r>
      <w:proofErr w:type="spellEnd"/>
      <w:r w:rsidRPr="00D42A19">
        <w:rPr>
          <w:i/>
        </w:rPr>
        <w:t xml:space="preserve"> </w:t>
      </w:r>
      <w:proofErr w:type="spellStart"/>
      <w:r w:rsidRPr="00D42A19">
        <w:rPr>
          <w:i/>
        </w:rPr>
        <w:t>tanacetifolia</w:t>
      </w:r>
      <w:proofErr w:type="spellEnd"/>
      <w:r w:rsidRPr="00D42A19">
        <w:t xml:space="preserve"> </w:t>
      </w:r>
      <w:proofErr w:type="spellStart"/>
      <w:r w:rsidRPr="00D42A19">
        <w:t>Benth</w:t>
      </w:r>
      <w:proofErr w:type="spellEnd"/>
      <w:r w:rsidRPr="00D42A19">
        <w:t xml:space="preserve">. y </w:t>
      </w:r>
      <w:proofErr w:type="spellStart"/>
      <w:r w:rsidRPr="00D42A19">
        <w:rPr>
          <w:i/>
        </w:rPr>
        <w:t>Carum</w:t>
      </w:r>
      <w:proofErr w:type="spellEnd"/>
      <w:r w:rsidRPr="00D42A19">
        <w:rPr>
          <w:i/>
        </w:rPr>
        <w:t xml:space="preserve"> carvi</w:t>
      </w:r>
      <w:r w:rsidRPr="00D42A19">
        <w:t xml:space="preserve"> L.</w:t>
      </w:r>
    </w:p>
    <w:p w:rsidR="00257F4E" w:rsidRPr="00D42A19" w:rsidRDefault="00257F4E" w:rsidP="00257F4E">
      <w:pPr>
        <w:rPr>
          <w:rFonts w:cs="Arial"/>
        </w:rPr>
      </w:pPr>
    </w:p>
    <w:p w:rsidR="00257F4E" w:rsidRPr="00D42A19" w:rsidRDefault="00257F4E" w:rsidP="00257F4E">
      <w:pPr>
        <w:rPr>
          <w:rFonts w:cs="Arial"/>
        </w:rPr>
      </w:pPr>
    </w:p>
    <w:p w:rsidR="00257F4E" w:rsidRPr="00D42A19" w:rsidRDefault="00257F4E" w:rsidP="00257F4E">
      <w:pPr>
        <w:rPr>
          <w:u w:val="single"/>
        </w:rPr>
      </w:pPr>
      <w:r w:rsidRPr="00D42A19">
        <w:t>2.</w:t>
      </w:r>
      <w:r w:rsidRPr="00D42A19">
        <w:tab/>
      </w:r>
      <w:r w:rsidRPr="00D42A19">
        <w:rPr>
          <w:u w:val="single"/>
        </w:rPr>
        <w:t>Situación en el campo legislativo</w:t>
      </w:r>
    </w:p>
    <w:p w:rsidR="00257F4E" w:rsidRPr="00D42A19" w:rsidRDefault="00257F4E" w:rsidP="00257F4E"/>
    <w:p w:rsidR="00257F4E" w:rsidRPr="00D42A19" w:rsidRDefault="00257F4E" w:rsidP="00257F4E">
      <w:pPr>
        <w:rPr>
          <w:u w:val="single"/>
        </w:rPr>
      </w:pPr>
      <w:r w:rsidRPr="00D42A19">
        <w:t>No se produjeron cambios.</w:t>
      </w:r>
    </w:p>
    <w:p w:rsidR="00257F4E" w:rsidRPr="00D42A19" w:rsidRDefault="00257F4E" w:rsidP="00257F4E"/>
    <w:p w:rsidR="00257F4E" w:rsidRPr="00D42A19" w:rsidRDefault="00257F4E" w:rsidP="00257F4E"/>
    <w:p w:rsidR="00257F4E" w:rsidRPr="00D42A19" w:rsidRDefault="00257F4E" w:rsidP="00257F4E">
      <w:pPr>
        <w:rPr>
          <w:u w:val="single"/>
        </w:rPr>
      </w:pPr>
      <w:r w:rsidRPr="00D42A19">
        <w:t>3.</w:t>
      </w:r>
      <w:r w:rsidRPr="00D42A19">
        <w:tab/>
      </w:r>
      <w:r w:rsidRPr="00D42A19">
        <w:rPr>
          <w:u w:val="single"/>
        </w:rPr>
        <w:t>Situación en el campo técnico</w:t>
      </w:r>
    </w:p>
    <w:p w:rsidR="00257F4E" w:rsidRPr="00D42A19" w:rsidRDefault="00257F4E" w:rsidP="00257F4E"/>
    <w:p w:rsidR="00257F4E" w:rsidRPr="00D42A19" w:rsidRDefault="00257F4E" w:rsidP="00257F4E">
      <w:r w:rsidRPr="00D42A19">
        <w:t>En el periodo comprendido entre el 1 de septiembre de 2014 y el 20 de agosto de 2015, se recibieron 85 solicitudes y se concedieron 62 títulos.  En una fecha posterior, había 728 títulos en vigor y 213 solicitudes pendientes.</w:t>
      </w:r>
    </w:p>
    <w:p w:rsidR="00257F4E" w:rsidRPr="00D42A19" w:rsidRDefault="00257F4E" w:rsidP="00257F4E">
      <w:pPr>
        <w:rPr>
          <w:rFonts w:cs="Arial"/>
        </w:rPr>
      </w:pPr>
    </w:p>
    <w:p w:rsidR="00257F4E" w:rsidRPr="00D42A19" w:rsidRDefault="00257F4E" w:rsidP="00257F4E">
      <w:pPr>
        <w:rPr>
          <w:rFonts w:cs="Arial"/>
        </w:rPr>
      </w:pPr>
    </w:p>
    <w:p w:rsidR="00257F4E" w:rsidRPr="00D42A19" w:rsidRDefault="00257F4E" w:rsidP="00257F4E">
      <w:pPr>
        <w:rPr>
          <w:u w:val="single"/>
        </w:rPr>
      </w:pPr>
      <w:r w:rsidRPr="00D42A19">
        <w:t>4.</w:t>
      </w:r>
      <w:r w:rsidRPr="00D42A19">
        <w:tab/>
      </w:r>
      <w:r w:rsidRPr="00D42A19">
        <w:rPr>
          <w:u w:val="single"/>
        </w:rPr>
        <w:t>Actividades para la promoción de la protección de las obtenciones vegetales</w:t>
      </w:r>
    </w:p>
    <w:p w:rsidR="00257F4E" w:rsidRPr="00D42A19" w:rsidRDefault="00257F4E" w:rsidP="00257F4E"/>
    <w:p w:rsidR="00257F4E" w:rsidRPr="00D42A19" w:rsidRDefault="00257F4E" w:rsidP="00257F4E">
      <w:r w:rsidRPr="00D42A19">
        <w:t xml:space="preserve">El Taller sobre aplicación de un régimen de protección de las variedades vegetales y sensibilización organizado por la UPOV, con la colaboración de la OCVV y el Programa </w:t>
      </w:r>
      <w:proofErr w:type="spellStart"/>
      <w:r w:rsidRPr="00D42A19">
        <w:t>Multibeneficiarios</w:t>
      </w:r>
      <w:proofErr w:type="spellEnd"/>
      <w:r w:rsidRPr="00D42A19">
        <w:t xml:space="preserve"> (MBP) de la Unión Europea, que tuvo lugar en Skopie (ex República Yugoslava de Macedonia) el 29 y el 30 de octubre de 2014.  Participación activa de la República Checa:  presentación de la ponencia “Aplicación de la protección de las obtenciones vegetales en la República Checa“ y “Ventajas del sistema de protección de las obtenciones vegetales”.</w:t>
      </w:r>
    </w:p>
    <w:p w:rsidR="00257F4E" w:rsidRPr="00D42A19" w:rsidRDefault="00257F4E" w:rsidP="00257F4E">
      <w:pPr>
        <w:rPr>
          <w:rFonts w:cs="Arial"/>
        </w:rPr>
      </w:pPr>
    </w:p>
    <w:p w:rsidR="00257F4E" w:rsidRPr="00D42A19" w:rsidRDefault="00257F4E" w:rsidP="00257F4E">
      <w:pPr>
        <w:rPr>
          <w:rFonts w:cs="Arial"/>
        </w:rPr>
      </w:pPr>
    </w:p>
    <w:p w:rsidR="00257F4E" w:rsidRPr="00D42A19" w:rsidRDefault="00257F4E" w:rsidP="00257F4E">
      <w:pPr>
        <w:rPr>
          <w:rFonts w:cs="Arial"/>
        </w:rPr>
      </w:pPr>
      <w:r w:rsidRPr="00D42A19">
        <w:t>II.</w:t>
      </w:r>
      <w:r w:rsidRPr="00D42A19">
        <w:tab/>
        <w:t>OTRAS NOVEDADES DE INTERÉS PARA LA UPOV</w:t>
      </w:r>
    </w:p>
    <w:p w:rsidR="00257F4E" w:rsidRPr="00D42A19" w:rsidRDefault="00257F4E" w:rsidP="00257F4E">
      <w:pPr>
        <w:rPr>
          <w:rFonts w:cs="Arial"/>
        </w:rPr>
      </w:pPr>
    </w:p>
    <w:p w:rsidR="00257F4E" w:rsidRPr="00D42A19" w:rsidRDefault="00257F4E" w:rsidP="00257F4E">
      <w:pPr>
        <w:rPr>
          <w:rFonts w:cs="Arial"/>
        </w:rPr>
      </w:pPr>
      <w:r w:rsidRPr="00D42A19">
        <w:t>Ocho expertos realizaron satisfactoriamente el curso de la UPOV de enseñanza a distancia DL-305 y un experto el DL-305A.</w:t>
      </w:r>
    </w:p>
    <w:p w:rsidR="00257F4E" w:rsidRPr="00D42A19" w:rsidRDefault="00257F4E" w:rsidP="00257F4E"/>
    <w:p w:rsidR="003F39F5" w:rsidRPr="00D42A19" w:rsidRDefault="003F39F5" w:rsidP="003F39F5">
      <w:pPr>
        <w:jc w:val="left"/>
        <w:rPr>
          <w:rFonts w:cs="Arial"/>
        </w:rPr>
      </w:pPr>
    </w:p>
    <w:p w:rsidR="003F39F5" w:rsidRPr="00D42A19" w:rsidRDefault="003F39F5" w:rsidP="003F39F5">
      <w:pPr>
        <w:jc w:val="left"/>
        <w:rPr>
          <w:rFonts w:cs="Arial"/>
        </w:rPr>
      </w:pPr>
    </w:p>
    <w:p w:rsidR="003F39F5" w:rsidRPr="00D42A19" w:rsidRDefault="00F14899" w:rsidP="003F39F5">
      <w:pPr>
        <w:jc w:val="right"/>
      </w:pPr>
      <w:r w:rsidRPr="00D42A19">
        <w:t>[Sigue el Anexo</w:t>
      </w:r>
      <w:r w:rsidR="003F39F5" w:rsidRPr="00D42A19">
        <w:t xml:space="preserve"> XIV</w:t>
      </w:r>
      <w:r w:rsidRPr="00D42A19">
        <w:t>]</w:t>
      </w:r>
    </w:p>
    <w:p w:rsidR="003F39F5" w:rsidRPr="00D42A19" w:rsidRDefault="003F39F5" w:rsidP="003F39F5">
      <w:pPr>
        <w:jc w:val="left"/>
      </w:pPr>
    </w:p>
    <w:p w:rsidR="003F39F5" w:rsidRPr="00D42A19" w:rsidRDefault="003F39F5" w:rsidP="003F39F5">
      <w:pPr>
        <w:jc w:val="left"/>
        <w:sectPr w:rsidR="003F39F5" w:rsidRPr="00D42A19" w:rsidSect="00906DDC">
          <w:pgSz w:w="11907" w:h="16840" w:code="9"/>
          <w:pgMar w:top="510" w:right="1134" w:bottom="1134" w:left="1134" w:header="510" w:footer="680" w:gutter="0"/>
          <w:cols w:space="720"/>
          <w:titlePg/>
        </w:sectPr>
      </w:pPr>
    </w:p>
    <w:p w:rsidR="003F39F5" w:rsidRPr="00D42A19" w:rsidRDefault="003F39F5" w:rsidP="003F39F5">
      <w:pPr>
        <w:jc w:val="center"/>
      </w:pPr>
      <w:r w:rsidRPr="00D42A19">
        <w:t>C/49/15</w:t>
      </w:r>
    </w:p>
    <w:p w:rsidR="003F39F5" w:rsidRPr="00D42A19" w:rsidRDefault="003F39F5" w:rsidP="003F39F5">
      <w:pPr>
        <w:jc w:val="center"/>
      </w:pPr>
    </w:p>
    <w:p w:rsidR="003F39F5" w:rsidRPr="00D42A19" w:rsidRDefault="00F14899" w:rsidP="003F39F5">
      <w:pPr>
        <w:jc w:val="center"/>
      </w:pPr>
      <w:r w:rsidRPr="00D42A19">
        <w:t>ANEXO</w:t>
      </w:r>
      <w:r w:rsidR="003F39F5" w:rsidRPr="00D42A19">
        <w:t xml:space="preserve"> XIV</w:t>
      </w:r>
    </w:p>
    <w:p w:rsidR="003F39F5" w:rsidRPr="00D42A19" w:rsidRDefault="003F39F5" w:rsidP="003F39F5">
      <w:pPr>
        <w:jc w:val="center"/>
      </w:pPr>
    </w:p>
    <w:p w:rsidR="003F39F5" w:rsidRPr="00D42A19" w:rsidRDefault="003F39F5" w:rsidP="003F39F5">
      <w:pPr>
        <w:jc w:val="center"/>
      </w:pPr>
    </w:p>
    <w:p w:rsidR="003F39F5" w:rsidRPr="00D42A19" w:rsidRDefault="003F39F5" w:rsidP="003F39F5">
      <w:pPr>
        <w:jc w:val="center"/>
      </w:pPr>
      <w:r w:rsidRPr="00D42A19">
        <w:t>SERBIA</w:t>
      </w:r>
    </w:p>
    <w:p w:rsidR="00C54DB1" w:rsidRPr="00D42A19" w:rsidRDefault="00C54DB1" w:rsidP="00C54DB1">
      <w:pPr>
        <w:jc w:val="center"/>
      </w:pPr>
      <w:r w:rsidRPr="00D42A19">
        <w:t>(septiembre de 2014 – septiembre de 2015)</w:t>
      </w:r>
    </w:p>
    <w:p w:rsidR="00C54DB1" w:rsidRPr="00D42A19" w:rsidRDefault="00C54DB1" w:rsidP="00C54DB1">
      <w:pPr>
        <w:rPr>
          <w:rFonts w:cs="Arial"/>
        </w:rPr>
      </w:pPr>
    </w:p>
    <w:p w:rsidR="00C54DB1" w:rsidRPr="00D42A19" w:rsidRDefault="00C54DB1" w:rsidP="00C54DB1">
      <w:pPr>
        <w:rPr>
          <w:rFonts w:cs="Arial"/>
        </w:rPr>
      </w:pPr>
    </w:p>
    <w:p w:rsidR="00C54DB1" w:rsidRPr="00D42A19" w:rsidRDefault="00C54DB1" w:rsidP="00C54DB1">
      <w:r w:rsidRPr="00D42A19">
        <w:t>I.</w:t>
      </w:r>
      <w:r w:rsidRPr="00D42A19">
        <w:tab/>
        <w:t>PROTECCIÓN DE LAS OBTENCIONES VEGETALES</w:t>
      </w:r>
    </w:p>
    <w:p w:rsidR="00C54DB1" w:rsidRPr="00D42A19" w:rsidRDefault="00C54DB1" w:rsidP="00C54DB1">
      <w:pPr>
        <w:rPr>
          <w:rFonts w:cs="Arial"/>
        </w:rPr>
      </w:pPr>
    </w:p>
    <w:p w:rsidR="00C54DB1" w:rsidRPr="00D42A19" w:rsidRDefault="00C54DB1" w:rsidP="00C54DB1">
      <w:pPr>
        <w:rPr>
          <w:rFonts w:cs="Arial"/>
        </w:rPr>
      </w:pPr>
      <w:r w:rsidRPr="00D42A19">
        <w:t>1.</w:t>
      </w:r>
      <w:r w:rsidRPr="00D42A19">
        <w:tab/>
      </w:r>
      <w:r w:rsidRPr="00D42A19">
        <w:rPr>
          <w:u w:val="single"/>
        </w:rPr>
        <w:t>Situación en el campo legislativo</w:t>
      </w:r>
    </w:p>
    <w:p w:rsidR="00C54DB1" w:rsidRPr="00D42A19" w:rsidRDefault="00C54DB1" w:rsidP="00C54DB1">
      <w:pPr>
        <w:rPr>
          <w:rFonts w:cs="Arial"/>
        </w:rPr>
      </w:pPr>
    </w:p>
    <w:p w:rsidR="00C54DB1" w:rsidRPr="00D42A19" w:rsidRDefault="00C54DB1" w:rsidP="00C54DB1">
      <w:pPr>
        <w:rPr>
          <w:rFonts w:cs="Arial"/>
        </w:rPr>
      </w:pPr>
      <w:r w:rsidRPr="00D42A19">
        <w:t>En virtud de la Ley de protección de los derechos de obtentor (Gaceta Oficial de la República de Serbia Nº 41/09 y Nº 88/11), todos los géneros y especies son objeto de protección.</w:t>
      </w:r>
    </w:p>
    <w:p w:rsidR="00C54DB1" w:rsidRPr="00D42A19" w:rsidRDefault="00C54DB1" w:rsidP="00C54DB1"/>
    <w:p w:rsidR="00C54DB1" w:rsidRPr="00D42A19" w:rsidRDefault="00C54DB1" w:rsidP="00C54DB1"/>
    <w:p w:rsidR="00C54DB1" w:rsidRPr="00D42A19" w:rsidRDefault="00C54DB1" w:rsidP="00C54DB1">
      <w:pPr>
        <w:rPr>
          <w:rFonts w:cs="Arial"/>
          <w:u w:val="single"/>
        </w:rPr>
      </w:pPr>
      <w:r w:rsidRPr="00D42A19">
        <w:t>2.</w:t>
      </w:r>
      <w:r w:rsidRPr="00D42A19">
        <w:tab/>
      </w:r>
      <w:r w:rsidRPr="00D42A19">
        <w:rPr>
          <w:u w:val="single"/>
        </w:rPr>
        <w:t>Situación en el campo legislativo</w:t>
      </w:r>
    </w:p>
    <w:p w:rsidR="00C54DB1" w:rsidRPr="00D42A19" w:rsidRDefault="00C54DB1" w:rsidP="00C54DB1">
      <w:pPr>
        <w:rPr>
          <w:rFonts w:cs="Arial"/>
        </w:rPr>
      </w:pPr>
    </w:p>
    <w:p w:rsidR="00C54DB1" w:rsidRPr="00D42A19" w:rsidRDefault="00C54DB1" w:rsidP="00C54DB1">
      <w:r w:rsidRPr="00D42A19">
        <w:t>La Dirección de Protección Vegetal, dependiente del Ministerio de Agricultura y Protección del Medio Ambiente (MAEP), es el organismo designado para la protección de los derechos de obtentor de Serbia.  Como órgano administrativo adscrito a dicho Ministerio, le compete lo siguiente:  la protección de los vegetales contra los organismos nocivos;  la autorización y el control de los productos fitosanitarios, los abonos y los fertilizantes;  el registro de las variedades vegetales;  la protección de los derechos de obtentor;  la seguridad biológica (organismos genéticamente modificados);  las inspecciones fitosanitarias y otras funciones conexas.  Dentro de la Dirección de Protección Vegetal, el Grupo para la Protección de las Variedades Vegetales y la Bioseguridad ejerce funciones administrativas concernientes a las disposiciones de la Ley de protección de los derechos de obtentor y a la concesión de derechos de obtentor, y efectúa labores relacionadas con los organismos genéticamente modificados.</w:t>
      </w:r>
    </w:p>
    <w:p w:rsidR="00C54DB1" w:rsidRPr="00D42A19" w:rsidRDefault="00C54DB1" w:rsidP="00C54DB1">
      <w:pPr>
        <w:rPr>
          <w:rFonts w:cs="Arial"/>
        </w:rPr>
      </w:pPr>
    </w:p>
    <w:p w:rsidR="00C54DB1" w:rsidRPr="00D42A19" w:rsidRDefault="00C54DB1" w:rsidP="00C54DB1">
      <w:pPr>
        <w:rPr>
          <w:rFonts w:cs="Arial"/>
        </w:rPr>
      </w:pPr>
    </w:p>
    <w:p w:rsidR="00C54DB1" w:rsidRPr="00D42A19" w:rsidRDefault="00C54DB1" w:rsidP="00C54DB1">
      <w:pPr>
        <w:rPr>
          <w:rFonts w:cs="Arial"/>
          <w:u w:val="single"/>
        </w:rPr>
      </w:pPr>
      <w:r w:rsidRPr="00D42A19">
        <w:t>3.</w:t>
      </w:r>
      <w:r w:rsidRPr="00D42A19">
        <w:tab/>
      </w:r>
      <w:r w:rsidRPr="00D42A19">
        <w:rPr>
          <w:u w:val="single"/>
        </w:rPr>
        <w:t>Situación en el campo técnico</w:t>
      </w:r>
    </w:p>
    <w:p w:rsidR="00C54DB1" w:rsidRPr="00D42A19" w:rsidRDefault="00C54DB1" w:rsidP="00C54DB1">
      <w:pPr>
        <w:rPr>
          <w:rFonts w:cs="Arial"/>
        </w:rPr>
      </w:pPr>
    </w:p>
    <w:p w:rsidR="00C54DB1" w:rsidRPr="00D42A19" w:rsidRDefault="00C54DB1" w:rsidP="00C54DB1">
      <w:r w:rsidRPr="00D42A19">
        <w:t>En virtud de la Ley de Protección de los Derechos de Obtentor y sobre la base de los resultados del examen de variedades y de las propuestas formuladas por el Consejo de Expertos para la Protección de los Derechos de Obtentor de septiembre de 2014 a septiembre de 2015, se concedieron derechos a los obtentores de 41 variedades vegetales.</w:t>
      </w:r>
    </w:p>
    <w:p w:rsidR="00C54DB1" w:rsidRPr="00D42A19" w:rsidRDefault="00C54DB1" w:rsidP="00C54DB1"/>
    <w:p w:rsidR="00C54DB1" w:rsidRPr="00D42A19" w:rsidRDefault="00C54DB1" w:rsidP="00C54DB1">
      <w:pPr>
        <w:rPr>
          <w:rFonts w:cs="Arial"/>
        </w:rPr>
      </w:pPr>
    </w:p>
    <w:p w:rsidR="00C54DB1" w:rsidRPr="00D42A19" w:rsidRDefault="00C54DB1" w:rsidP="00C54DB1">
      <w:pPr>
        <w:rPr>
          <w:rFonts w:cs="Arial"/>
          <w:u w:val="single"/>
        </w:rPr>
      </w:pPr>
      <w:r w:rsidRPr="00D42A19">
        <w:t>4.</w:t>
      </w:r>
      <w:r w:rsidRPr="00D42A19">
        <w:tab/>
      </w:r>
      <w:r w:rsidRPr="00D42A19">
        <w:rPr>
          <w:u w:val="single"/>
        </w:rPr>
        <w:t>Actividades para la promoción de la protección de las obtenciones vegetales</w:t>
      </w:r>
    </w:p>
    <w:p w:rsidR="00C54DB1" w:rsidRPr="00D42A19" w:rsidRDefault="00C54DB1" w:rsidP="00C54DB1">
      <w:pPr>
        <w:rPr>
          <w:rFonts w:cs="Arial"/>
        </w:rPr>
      </w:pPr>
    </w:p>
    <w:p w:rsidR="00C54DB1" w:rsidRPr="00D42A19" w:rsidRDefault="00C54DB1" w:rsidP="00C54DB1">
      <w:r w:rsidRPr="00D42A19">
        <w:t xml:space="preserve">Como parte del Programa </w:t>
      </w:r>
      <w:proofErr w:type="spellStart"/>
      <w:r w:rsidRPr="00D42A19">
        <w:t>Multibeneficiarios</w:t>
      </w:r>
      <w:proofErr w:type="spellEnd"/>
      <w:r w:rsidRPr="00D42A19">
        <w:t xml:space="preserve"> de la OCVV, con el propósito de </w:t>
      </w:r>
      <w:r w:rsidRPr="00D42A19">
        <w:rPr>
          <w:shd w:val="clear" w:color="auto" w:fill="FFFFFF"/>
        </w:rPr>
        <w:t xml:space="preserve">armonizar el sistema serbio de derechos de obtentor con </w:t>
      </w:r>
      <w:r w:rsidRPr="00D42A19">
        <w:t>el sistema de protección comunitaria de las obtenciones vegetales y los procedimientos administrativos relativos a la protección de las obtenciones vegetales en la UE, los expertos de Serbia participaron en varias reuniones anuales de expertos organizadas por la OCVV en su sede de Angers (Francia) para las Oficinas de examen (cultivos ornamentales, el 23 y 24 de septiembre de 2014;  frutales, el 30 de septiembre y 1 de octubre de 2014;  plantas agrícolas, el 7 y 8 de octubre de 2014;  y hortalizas, el 21 a 23 de octubre de 2014).</w:t>
      </w:r>
    </w:p>
    <w:p w:rsidR="00C54DB1" w:rsidRPr="00D42A19" w:rsidRDefault="00C54DB1" w:rsidP="00C54DB1">
      <w:pPr>
        <w:rPr>
          <w:rFonts w:cs="Arial"/>
        </w:rPr>
      </w:pPr>
    </w:p>
    <w:p w:rsidR="00C54DB1" w:rsidRPr="00D42A19" w:rsidRDefault="00C54DB1" w:rsidP="00C54DB1">
      <w:r w:rsidRPr="00D42A19">
        <w:t>El representante de la Dirección de Protección Vegetal del MAEP ha participado en el curso “Protección de las variedades vegetales en virtud del Convenio de la UPOV”, organizado por la Unión Internacional para la Protección de las Obtenciones Vegetales (UPOV) en colaboración con la Oficina de Patentes y Marcas de los Estados Unidos de América (USPTO), a fin de impartir a su vez formación a otros en materia de derechos de obtentor en virtud del Convenio de la UPOV.  El curso de formación de la UPOV y la USPTO tuvo lugar en la sede de la OMPI</w:t>
      </w:r>
      <w:r w:rsidRPr="00D42A19">
        <w:noBreakHyphen/>
        <w:t>UPOV en Ginebra (Suiza) entre el 4 y el 8 de mayo de 2015.</w:t>
      </w:r>
    </w:p>
    <w:p w:rsidR="00C54DB1" w:rsidRPr="00D42A19" w:rsidRDefault="00C54DB1" w:rsidP="00C54DB1"/>
    <w:p w:rsidR="00C54DB1" w:rsidRPr="00D42A19" w:rsidRDefault="00C54DB1" w:rsidP="00C54DB1">
      <w:r w:rsidRPr="00D42A19">
        <w:t xml:space="preserve">En Serbia se organizaron talleres y seminarios sobre los derechos de obtentor con el propósito de mejorar los conocimientos de los obtentores vegetales, los productores de semilla y material de reproducción o de multiplicación, los representantes de las empresas </w:t>
      </w:r>
      <w:proofErr w:type="spellStart"/>
      <w:r w:rsidRPr="00D42A19">
        <w:t>semilleras</w:t>
      </w:r>
      <w:proofErr w:type="spellEnd"/>
      <w:r w:rsidRPr="00D42A19">
        <w:t xml:space="preserve"> y otros sectores interesados en cuestiones relativas a los aspectos legislativos, administrativos y técnicos de la protección de los derechos de obtentor:</w:t>
      </w:r>
    </w:p>
    <w:p w:rsidR="00C54DB1" w:rsidRPr="00D42A19" w:rsidRDefault="00C54DB1" w:rsidP="00C54DB1"/>
    <w:p w:rsidR="00C54DB1" w:rsidRPr="00D42A19" w:rsidRDefault="00C54DB1" w:rsidP="00C54DB1">
      <w:pPr>
        <w:rPr>
          <w:rFonts w:cs="Arial"/>
        </w:rPr>
      </w:pPr>
      <w:r w:rsidRPr="00D42A19">
        <w:t xml:space="preserve">El Seminario sobre “Oportunidades de desarrollo de la producción de semilla de Serbia”, organizado por la Asociación Serbia de Semillas y la MAEP-PPD, en el marco de la Octogésima segunda Feria Agrícola Internacional de </w:t>
      </w:r>
      <w:proofErr w:type="spellStart"/>
      <w:r w:rsidRPr="00D42A19">
        <w:t>Novi</w:t>
      </w:r>
      <w:proofErr w:type="spellEnd"/>
      <w:r w:rsidRPr="00D42A19">
        <w:t> </w:t>
      </w:r>
      <w:proofErr w:type="spellStart"/>
      <w:r w:rsidRPr="00D42A19">
        <w:t>Sad</w:t>
      </w:r>
      <w:proofErr w:type="spellEnd"/>
      <w:r w:rsidRPr="00D42A19">
        <w:t>, el 13 de mayo de 2015;</w:t>
      </w:r>
    </w:p>
    <w:p w:rsidR="00C54DB1" w:rsidRPr="00D42A19" w:rsidRDefault="00C54DB1" w:rsidP="00C54DB1">
      <w:pPr>
        <w:rPr>
          <w:rFonts w:cs="Arial"/>
        </w:rPr>
      </w:pPr>
    </w:p>
    <w:p w:rsidR="00C54DB1" w:rsidRPr="00D42A19" w:rsidRDefault="00C54DB1" w:rsidP="00C54DB1">
      <w:pPr>
        <w:rPr>
          <w:rFonts w:cs="Arial"/>
        </w:rPr>
      </w:pPr>
      <w:r w:rsidRPr="00D42A19">
        <w:t xml:space="preserve">El “Octavo congreso científico de fitomejoramiento y ciencia de las semillas”, organizado por la Sociedad de Fitomejoradores y Productores de Semilla de Serbia y la Cámara de Comercio de Serbia en Belgrado, </w:t>
      </w:r>
      <w:r w:rsidRPr="00D42A19">
        <w:br/>
        <w:t>el 28 de mayo de 2015.</w:t>
      </w:r>
    </w:p>
    <w:p w:rsidR="00C54DB1" w:rsidRPr="00D42A19" w:rsidRDefault="00C54DB1" w:rsidP="00C54DB1">
      <w:pPr>
        <w:rPr>
          <w:rFonts w:cs="Arial"/>
        </w:rPr>
      </w:pPr>
    </w:p>
    <w:p w:rsidR="00C54DB1" w:rsidRPr="00D42A19" w:rsidRDefault="00C54DB1" w:rsidP="00C54DB1">
      <w:pPr>
        <w:rPr>
          <w:rFonts w:cs="Arial"/>
        </w:rPr>
      </w:pPr>
      <w:r w:rsidRPr="00D42A19">
        <w:t>El representante de la Dirección de Protección Vegetal del MAEP ha finalizado satisfactoriamente el curso de la UPOV de enseñanza a distancia DL</w:t>
      </w:r>
      <w:r w:rsidRPr="00D42A19">
        <w:noBreakHyphen/>
        <w:t>305, impartido en colaboración con la Academia de la OMPI:</w:t>
      </w:r>
    </w:p>
    <w:p w:rsidR="00C54DB1" w:rsidRPr="00D42A19" w:rsidRDefault="00C54DB1" w:rsidP="00C54DB1">
      <w:pPr>
        <w:rPr>
          <w:rFonts w:cs="Arial"/>
          <w:bCs/>
          <w:iCs/>
        </w:rPr>
      </w:pPr>
    </w:p>
    <w:p w:rsidR="00C54DB1" w:rsidRPr="00D42A19" w:rsidRDefault="00C54DB1" w:rsidP="00C54DB1">
      <w:pPr>
        <w:rPr>
          <w:rFonts w:cs="Arial"/>
        </w:rPr>
      </w:pPr>
      <w:r w:rsidRPr="00D42A19">
        <w:t>Administración de los derechos de obtentor (parte 1 del curso DL</w:t>
      </w:r>
      <w:r w:rsidRPr="00D42A19">
        <w:noBreakHyphen/>
        <w:t>305:  “Examen de las solicitudes de derechos de obtentor”, del 16 de febrero al 22 de marzo de 2015);</w:t>
      </w:r>
    </w:p>
    <w:p w:rsidR="00C54DB1" w:rsidRPr="00D42A19" w:rsidRDefault="00C54DB1" w:rsidP="00C54DB1">
      <w:pPr>
        <w:rPr>
          <w:rFonts w:cs="Arial"/>
          <w:bCs/>
          <w:iCs/>
        </w:rPr>
      </w:pPr>
    </w:p>
    <w:p w:rsidR="00C54DB1" w:rsidRPr="00D42A19" w:rsidRDefault="00C54DB1" w:rsidP="00C54DB1">
      <w:pPr>
        <w:rPr>
          <w:rFonts w:cs="Arial"/>
        </w:rPr>
      </w:pPr>
      <w:r w:rsidRPr="00D42A19">
        <w:t>Examen DHE (parte 2 del curso DL</w:t>
      </w:r>
      <w:r w:rsidRPr="00D42A19">
        <w:noBreakHyphen/>
        <w:t xml:space="preserve">305:  “Examen de las solicitudes de derechos de obtentor”, del </w:t>
      </w:r>
      <w:r w:rsidRPr="00D42A19">
        <w:br/>
        <w:t>20 de abril al 24 de mayo de 2015).</w:t>
      </w:r>
    </w:p>
    <w:p w:rsidR="00C54DB1" w:rsidRPr="00D42A19" w:rsidRDefault="00C54DB1" w:rsidP="00C54DB1">
      <w:pPr>
        <w:rPr>
          <w:rFonts w:cs="Arial"/>
        </w:rPr>
      </w:pPr>
    </w:p>
    <w:p w:rsidR="00C54DB1" w:rsidRPr="00D42A19" w:rsidRDefault="00C54DB1" w:rsidP="00C54DB1">
      <w:pPr>
        <w:rPr>
          <w:rFonts w:cs="Arial"/>
        </w:rPr>
      </w:pPr>
      <w:r w:rsidRPr="00D42A19">
        <w:t>Como parte del proceso de integración de la República de Serbia en la UE, los representantes de la Dirección de Protección Vegetal del MAEP participaron en la proyección bilateral del capítulo 12:  seguridad alimentaria y política veterinaria y fitosanitaria, que tuvo lugar del 20 al 24 de octubre de 2014, en la Dirección General de Sanidad y Consumidores de la Comisión Europea (DG SANCO), en Bruselas (Bélgica).</w:t>
      </w:r>
    </w:p>
    <w:p w:rsidR="00C54DB1" w:rsidRPr="00D42A19" w:rsidRDefault="00C54DB1" w:rsidP="00C54DB1">
      <w:pPr>
        <w:rPr>
          <w:rFonts w:cs="Arial"/>
        </w:rPr>
      </w:pPr>
    </w:p>
    <w:p w:rsidR="00C54DB1" w:rsidRPr="00D42A19" w:rsidRDefault="00C54DB1" w:rsidP="00C54DB1">
      <w:pPr>
        <w:rPr>
          <w:rFonts w:cs="Arial"/>
        </w:rPr>
      </w:pPr>
    </w:p>
    <w:p w:rsidR="00C54DB1" w:rsidRPr="00D42A19" w:rsidRDefault="00C54DB1" w:rsidP="00C54DB1">
      <w:pPr>
        <w:rPr>
          <w:rFonts w:cs="Arial"/>
        </w:rPr>
      </w:pPr>
      <w:r w:rsidRPr="00D42A19">
        <w:t>II.</w:t>
      </w:r>
      <w:r w:rsidRPr="00D42A19">
        <w:tab/>
        <w:t>OTRAS NOVEDADES DE INTERÉS PARA LA UPOV</w:t>
      </w:r>
    </w:p>
    <w:p w:rsidR="00C54DB1" w:rsidRPr="00D42A19" w:rsidRDefault="00C54DB1" w:rsidP="00C54DB1">
      <w:pPr>
        <w:rPr>
          <w:rFonts w:cs="Arial"/>
        </w:rPr>
      </w:pPr>
    </w:p>
    <w:p w:rsidR="00C54DB1" w:rsidRPr="00D42A19" w:rsidRDefault="00C54DB1" w:rsidP="00C54DB1">
      <w:pPr>
        <w:rPr>
          <w:rFonts w:cs="Arial"/>
        </w:rPr>
      </w:pPr>
      <w:r w:rsidRPr="00D42A19">
        <w:t xml:space="preserve">Toda la información relativa a los derechos de obtentor, como el Registro de las solicitudes de derechos de obtentor, el Registro de las obtenciones vegetales protegidas y otra información relativa a los derechos de obtentor, además del Catálogo Nacional de Variedades de la República de Serbia (lista nacional de variedades), está disponible en el sitio web de la Dirección de Protección Vegetal del MAEP:  </w:t>
      </w:r>
    </w:p>
    <w:p w:rsidR="00C54DB1" w:rsidRPr="00D42A19" w:rsidRDefault="001714F3" w:rsidP="00C54DB1">
      <w:pPr>
        <w:rPr>
          <w:rFonts w:cs="Arial"/>
        </w:rPr>
      </w:pPr>
      <w:hyperlink r:id="rId35">
        <w:r w:rsidR="00C54DB1" w:rsidRPr="00D42A19">
          <w:rPr>
            <w:rStyle w:val="Hyperlink"/>
          </w:rPr>
          <w:t>www.uzb.minpolj.gov.rs/index.php?lang=en</w:t>
        </w:r>
      </w:hyperlink>
    </w:p>
    <w:p w:rsidR="00C54DB1" w:rsidRPr="00D42A19" w:rsidRDefault="001714F3" w:rsidP="00C54DB1">
      <w:pPr>
        <w:rPr>
          <w:rFonts w:cs="Arial"/>
        </w:rPr>
      </w:pPr>
      <w:hyperlink r:id="rId36">
        <w:r w:rsidR="00C54DB1" w:rsidRPr="00D42A19">
          <w:rPr>
            <w:rStyle w:val="Hyperlink"/>
          </w:rPr>
          <w:t>www.uzb.minpolj.gov.rs/index.php?option=com_content&amp;view=article&amp;id=61&amp;Itemid=14&amp;lang=en</w:t>
        </w:r>
      </w:hyperlink>
    </w:p>
    <w:p w:rsidR="00C54DB1" w:rsidRPr="00D42A19" w:rsidRDefault="00C54DB1" w:rsidP="00C54DB1"/>
    <w:p w:rsidR="003F39F5" w:rsidRPr="00D42A19" w:rsidRDefault="003F39F5" w:rsidP="003F39F5">
      <w:pPr>
        <w:rPr>
          <w:rFonts w:cs="Arial"/>
        </w:rPr>
      </w:pPr>
    </w:p>
    <w:p w:rsidR="003F39F5" w:rsidRPr="00D42A19" w:rsidRDefault="003F39F5" w:rsidP="003F39F5">
      <w:pPr>
        <w:rPr>
          <w:rFonts w:cs="Arial"/>
        </w:rPr>
      </w:pPr>
    </w:p>
    <w:p w:rsidR="003F39F5" w:rsidRPr="00D42A19" w:rsidRDefault="00F14899" w:rsidP="003F39F5">
      <w:pPr>
        <w:jc w:val="right"/>
      </w:pPr>
      <w:r w:rsidRPr="00D42A19">
        <w:t>[Sigue el Anexo</w:t>
      </w:r>
      <w:r w:rsidR="003F39F5" w:rsidRPr="00D42A19">
        <w:t xml:space="preserve"> XV</w:t>
      </w:r>
      <w:r w:rsidRPr="00D42A19">
        <w:t>]</w:t>
      </w:r>
    </w:p>
    <w:p w:rsidR="003F39F5" w:rsidRPr="00D42A19" w:rsidRDefault="003F39F5" w:rsidP="003F39F5">
      <w:pPr>
        <w:jc w:val="left"/>
      </w:pPr>
    </w:p>
    <w:p w:rsidR="003F39F5" w:rsidRPr="00D42A19" w:rsidRDefault="003F39F5" w:rsidP="003F39F5">
      <w:pPr>
        <w:jc w:val="left"/>
        <w:sectPr w:rsidR="003F39F5" w:rsidRPr="00D42A19" w:rsidSect="004F3A50">
          <w:headerReference w:type="default" r:id="rId37"/>
          <w:pgSz w:w="11907" w:h="16840" w:code="9"/>
          <w:pgMar w:top="510" w:right="1134" w:bottom="1134" w:left="1134" w:header="510" w:footer="680" w:gutter="0"/>
          <w:pgNumType w:start="1"/>
          <w:cols w:space="720"/>
          <w:titlePg/>
        </w:sectPr>
      </w:pPr>
    </w:p>
    <w:p w:rsidR="003F39F5" w:rsidRPr="00D42A19" w:rsidRDefault="003F39F5" w:rsidP="003F39F5">
      <w:pPr>
        <w:jc w:val="center"/>
      </w:pPr>
      <w:r w:rsidRPr="00D42A19">
        <w:t>C/49/15</w:t>
      </w:r>
    </w:p>
    <w:p w:rsidR="003F39F5" w:rsidRPr="00D42A19" w:rsidRDefault="003F39F5" w:rsidP="003F39F5">
      <w:pPr>
        <w:jc w:val="center"/>
      </w:pPr>
    </w:p>
    <w:p w:rsidR="003F39F5" w:rsidRPr="00D42A19" w:rsidRDefault="00F14899" w:rsidP="003F39F5">
      <w:pPr>
        <w:jc w:val="center"/>
      </w:pPr>
      <w:r w:rsidRPr="00D42A19">
        <w:t>ANEXO</w:t>
      </w:r>
      <w:r w:rsidR="003F39F5" w:rsidRPr="00D42A19">
        <w:t xml:space="preserve"> XV</w:t>
      </w:r>
    </w:p>
    <w:p w:rsidR="003F39F5" w:rsidRPr="00D42A19" w:rsidRDefault="003F39F5" w:rsidP="003F39F5">
      <w:pPr>
        <w:jc w:val="center"/>
      </w:pPr>
    </w:p>
    <w:p w:rsidR="003F39F5" w:rsidRPr="00D42A19" w:rsidRDefault="003F39F5" w:rsidP="003F39F5">
      <w:pPr>
        <w:jc w:val="center"/>
      </w:pPr>
    </w:p>
    <w:p w:rsidR="003F39F5" w:rsidRPr="00D42A19" w:rsidRDefault="00F14899" w:rsidP="003F39F5">
      <w:pPr>
        <w:jc w:val="center"/>
      </w:pPr>
      <w:r w:rsidRPr="00D42A19">
        <w:t>SUIZA</w:t>
      </w:r>
    </w:p>
    <w:p w:rsidR="003F39F5" w:rsidRPr="00D42A19" w:rsidRDefault="003F39F5" w:rsidP="003F39F5">
      <w:pPr>
        <w:jc w:val="left"/>
      </w:pPr>
    </w:p>
    <w:p w:rsidR="003F39F5" w:rsidRPr="00D42A19" w:rsidRDefault="003F39F5" w:rsidP="003F39F5">
      <w:pPr>
        <w:jc w:val="left"/>
      </w:pPr>
    </w:p>
    <w:p w:rsidR="00463836" w:rsidRPr="00D42A19" w:rsidRDefault="00463836" w:rsidP="00463836">
      <w:r w:rsidRPr="00D42A19">
        <w:t>I.</w:t>
      </w:r>
      <w:r w:rsidRPr="00D42A19">
        <w:tab/>
        <w:t>PROTECCIÓN DE LAS OBTENCIONES VEGETALES</w:t>
      </w:r>
    </w:p>
    <w:p w:rsidR="00463836" w:rsidRPr="00D42A19" w:rsidRDefault="00463836" w:rsidP="00463836"/>
    <w:p w:rsidR="00463836" w:rsidRPr="00D42A19" w:rsidRDefault="00463836" w:rsidP="00463836">
      <w:pPr>
        <w:rPr>
          <w:u w:val="single"/>
        </w:rPr>
      </w:pPr>
      <w:r w:rsidRPr="00D42A19">
        <w:t>1.</w:t>
      </w:r>
      <w:r w:rsidRPr="00D42A19">
        <w:tab/>
      </w:r>
      <w:r w:rsidRPr="00D42A19">
        <w:rPr>
          <w:u w:val="single"/>
        </w:rPr>
        <w:t>Situación en el ámbito legislativo</w:t>
      </w:r>
    </w:p>
    <w:p w:rsidR="00463836" w:rsidRPr="00D42A19" w:rsidRDefault="00463836" w:rsidP="00463836"/>
    <w:p w:rsidR="00463836" w:rsidRPr="00D42A19" w:rsidRDefault="00463836" w:rsidP="00463836">
      <w:r w:rsidRPr="00D42A19">
        <w:t>1.1</w:t>
      </w:r>
      <w:r w:rsidRPr="00D42A19">
        <w:tab/>
        <w:t>Modificaciones de la ley y de los reglamentos</w:t>
      </w:r>
    </w:p>
    <w:p w:rsidR="00463836" w:rsidRPr="00D42A19" w:rsidRDefault="00463836" w:rsidP="00463836"/>
    <w:p w:rsidR="00463836" w:rsidRPr="00D42A19" w:rsidRDefault="00463836" w:rsidP="00463836">
      <w:r w:rsidRPr="00D42A19">
        <w:t xml:space="preserve">El año pasado no se produjeron modificaciones de la legislación sobre protección de las obtenciones vegetales. </w:t>
      </w:r>
    </w:p>
    <w:p w:rsidR="00463836" w:rsidRPr="00D42A19" w:rsidRDefault="00463836" w:rsidP="00463836"/>
    <w:p w:rsidR="00463836" w:rsidRPr="00D42A19" w:rsidRDefault="00463836" w:rsidP="00463836">
      <w:r w:rsidRPr="00D42A19">
        <w:t>1.2</w:t>
      </w:r>
      <w:r w:rsidRPr="00D42A19">
        <w:tab/>
        <w:t>Extensión de la protección a otros géneros y especies</w:t>
      </w:r>
    </w:p>
    <w:p w:rsidR="00463836" w:rsidRPr="00D42A19" w:rsidRDefault="00463836" w:rsidP="00463836"/>
    <w:p w:rsidR="00463836" w:rsidRPr="00D42A19" w:rsidRDefault="00463836" w:rsidP="00463836">
      <w:r w:rsidRPr="00D42A19">
        <w:t xml:space="preserve">En Suiza todos los géneros y especies pueden ser objeto de protección. </w:t>
      </w:r>
    </w:p>
    <w:p w:rsidR="00463836" w:rsidRPr="00D42A19" w:rsidRDefault="00463836" w:rsidP="00463836"/>
    <w:p w:rsidR="00463836" w:rsidRPr="00D42A19" w:rsidRDefault="00463836" w:rsidP="00463836">
      <w:r w:rsidRPr="00D42A19">
        <w:t>1.3</w:t>
      </w:r>
      <w:r w:rsidRPr="00D42A19">
        <w:tab/>
        <w:t>Jurisprudencia</w:t>
      </w:r>
    </w:p>
    <w:p w:rsidR="00463836" w:rsidRPr="00D42A19" w:rsidRDefault="00463836" w:rsidP="00463836"/>
    <w:p w:rsidR="00463836" w:rsidRPr="00D42A19" w:rsidRDefault="00463836" w:rsidP="00463836">
      <w:r w:rsidRPr="00D42A19">
        <w:t xml:space="preserve">El año pasado no se emitió ninguna decisión judicial, de la que tengamos conocimiento, en el ámbito de la protección de las obtenciones vegetales. </w:t>
      </w:r>
    </w:p>
    <w:p w:rsidR="00463836" w:rsidRPr="00D42A19" w:rsidRDefault="00463836" w:rsidP="00463836"/>
    <w:p w:rsidR="00463836" w:rsidRPr="00D42A19" w:rsidRDefault="00463836" w:rsidP="00463836"/>
    <w:p w:rsidR="00463836" w:rsidRPr="00D42A19" w:rsidRDefault="00463836" w:rsidP="00463836">
      <w:r w:rsidRPr="00D42A19">
        <w:t>2.</w:t>
      </w:r>
      <w:r w:rsidRPr="00D42A19">
        <w:tab/>
      </w:r>
      <w:r w:rsidRPr="00D42A19">
        <w:rPr>
          <w:u w:val="single"/>
        </w:rPr>
        <w:t>Cooperación en el examen</w:t>
      </w:r>
    </w:p>
    <w:p w:rsidR="00463836" w:rsidRPr="00D42A19" w:rsidRDefault="00463836" w:rsidP="00463836"/>
    <w:p w:rsidR="00463836" w:rsidRPr="00D42A19" w:rsidRDefault="00463836" w:rsidP="00463836">
      <w:r w:rsidRPr="00D42A19">
        <w:t xml:space="preserve">No se produjeron cambios.  En Suiza no se realizan exámenes.  Todos los exámenes se encargan a entidades extranjeras o si no se utilizan los informes de examen existentes.  </w:t>
      </w:r>
    </w:p>
    <w:p w:rsidR="00463836" w:rsidRPr="00D42A19" w:rsidRDefault="00463836" w:rsidP="00463836"/>
    <w:p w:rsidR="00463836" w:rsidRPr="00D42A19" w:rsidRDefault="00463836" w:rsidP="00463836">
      <w:pPr>
        <w:rPr>
          <w:u w:val="single"/>
        </w:rPr>
      </w:pPr>
      <w:r w:rsidRPr="00D42A19">
        <w:t>3.</w:t>
      </w:r>
      <w:r w:rsidRPr="00D42A19">
        <w:tab/>
      </w:r>
      <w:r w:rsidRPr="00D42A19">
        <w:rPr>
          <w:u w:val="single"/>
        </w:rPr>
        <w:t>Situación en el ámbito administrativo</w:t>
      </w:r>
    </w:p>
    <w:p w:rsidR="00463836" w:rsidRPr="00D42A19" w:rsidRDefault="00463836" w:rsidP="00463836"/>
    <w:p w:rsidR="00463836" w:rsidRPr="00D42A19" w:rsidRDefault="00463836" w:rsidP="00463836">
      <w:r w:rsidRPr="00D42A19">
        <w:t>Sin novedades relevantes.</w:t>
      </w:r>
    </w:p>
    <w:p w:rsidR="00463836" w:rsidRPr="00D42A19" w:rsidRDefault="00463836" w:rsidP="00463836"/>
    <w:p w:rsidR="00463836" w:rsidRPr="00D42A19" w:rsidRDefault="00463836" w:rsidP="00463836"/>
    <w:p w:rsidR="00463836" w:rsidRPr="00D42A19" w:rsidRDefault="00463836" w:rsidP="00463836">
      <w:pPr>
        <w:rPr>
          <w:u w:val="single"/>
        </w:rPr>
      </w:pPr>
      <w:r w:rsidRPr="00D42A19">
        <w:t>4.</w:t>
      </w:r>
      <w:r w:rsidRPr="00D42A19">
        <w:tab/>
      </w:r>
      <w:r w:rsidRPr="00D42A19">
        <w:rPr>
          <w:u w:val="single"/>
        </w:rPr>
        <w:t>Situación en el ámbito técnico</w:t>
      </w:r>
    </w:p>
    <w:p w:rsidR="00463836" w:rsidRPr="00D42A19" w:rsidRDefault="00463836" w:rsidP="00463836"/>
    <w:p w:rsidR="00463836" w:rsidRPr="00D42A19" w:rsidRDefault="00463836" w:rsidP="00463836">
      <w:r w:rsidRPr="00D42A19">
        <w:t xml:space="preserve">No hay novedades reseñables, ya que no se realizan exámenes en Suiza. </w:t>
      </w:r>
    </w:p>
    <w:p w:rsidR="00463836" w:rsidRPr="00D42A19" w:rsidRDefault="00463836" w:rsidP="00463836"/>
    <w:p w:rsidR="00463836" w:rsidRPr="00D42A19" w:rsidRDefault="00463836" w:rsidP="00463836"/>
    <w:p w:rsidR="00463836" w:rsidRPr="00D42A19" w:rsidRDefault="00463836" w:rsidP="00463836">
      <w:r w:rsidRPr="00D42A19">
        <w:t>5.</w:t>
      </w:r>
      <w:r w:rsidRPr="00D42A19">
        <w:tab/>
      </w:r>
      <w:r w:rsidRPr="00D42A19">
        <w:rPr>
          <w:u w:val="single"/>
        </w:rPr>
        <w:t>Actividades para la promoción de la protección de las obtenciones vegetales</w:t>
      </w:r>
    </w:p>
    <w:p w:rsidR="00463836" w:rsidRPr="00D42A19" w:rsidRDefault="00463836" w:rsidP="00463836"/>
    <w:tbl>
      <w:tblPr>
        <w:tblW w:w="9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1101"/>
        <w:gridCol w:w="679"/>
        <w:gridCol w:w="1021"/>
        <w:gridCol w:w="1558"/>
        <w:gridCol w:w="2077"/>
        <w:gridCol w:w="1843"/>
        <w:gridCol w:w="1559"/>
      </w:tblGrid>
      <w:tr w:rsidR="00463836" w:rsidRPr="00D42A19" w:rsidTr="005B5E84">
        <w:tc>
          <w:tcPr>
            <w:tcW w:w="1101" w:type="dxa"/>
            <w:tcBorders>
              <w:top w:val="single" w:sz="4" w:space="0" w:color="auto"/>
              <w:left w:val="single" w:sz="4" w:space="0" w:color="auto"/>
              <w:bottom w:val="single" w:sz="4" w:space="0" w:color="auto"/>
              <w:right w:val="single" w:sz="4" w:space="0" w:color="auto"/>
            </w:tcBorders>
            <w:hideMark/>
          </w:tcPr>
          <w:p w:rsidR="00463836" w:rsidRPr="00D42A19" w:rsidRDefault="00463836" w:rsidP="005B5E84">
            <w:pPr>
              <w:jc w:val="left"/>
              <w:rPr>
                <w:sz w:val="18"/>
                <w:szCs w:val="26"/>
              </w:rPr>
            </w:pPr>
            <w:r w:rsidRPr="00D42A19">
              <w:rPr>
                <w:sz w:val="18"/>
              </w:rPr>
              <w:t>Título de la actividad</w:t>
            </w:r>
          </w:p>
        </w:tc>
        <w:tc>
          <w:tcPr>
            <w:tcW w:w="679" w:type="dxa"/>
            <w:tcBorders>
              <w:top w:val="single" w:sz="4" w:space="0" w:color="auto"/>
              <w:left w:val="single" w:sz="4" w:space="0" w:color="auto"/>
              <w:bottom w:val="single" w:sz="4" w:space="0" w:color="auto"/>
              <w:right w:val="single" w:sz="4" w:space="0" w:color="auto"/>
            </w:tcBorders>
            <w:hideMark/>
          </w:tcPr>
          <w:p w:rsidR="00463836" w:rsidRPr="00D42A19" w:rsidRDefault="00463836" w:rsidP="005B5E84">
            <w:pPr>
              <w:jc w:val="left"/>
              <w:rPr>
                <w:sz w:val="18"/>
              </w:rPr>
            </w:pPr>
            <w:r w:rsidRPr="00D42A19">
              <w:rPr>
                <w:sz w:val="18"/>
              </w:rPr>
              <w:t>Fecha</w:t>
            </w:r>
          </w:p>
        </w:tc>
        <w:tc>
          <w:tcPr>
            <w:tcW w:w="1021" w:type="dxa"/>
            <w:tcBorders>
              <w:top w:val="single" w:sz="4" w:space="0" w:color="auto"/>
              <w:left w:val="single" w:sz="4" w:space="0" w:color="auto"/>
              <w:bottom w:val="single" w:sz="4" w:space="0" w:color="auto"/>
              <w:right w:val="single" w:sz="4" w:space="0" w:color="auto"/>
            </w:tcBorders>
            <w:hideMark/>
          </w:tcPr>
          <w:p w:rsidR="00463836" w:rsidRPr="00D42A19" w:rsidRDefault="00463836" w:rsidP="005B5E84">
            <w:pPr>
              <w:jc w:val="left"/>
              <w:rPr>
                <w:sz w:val="18"/>
              </w:rPr>
            </w:pPr>
            <w:r w:rsidRPr="00D42A19">
              <w:rPr>
                <w:sz w:val="18"/>
              </w:rPr>
              <w:t>Lugar</w:t>
            </w:r>
          </w:p>
        </w:tc>
        <w:tc>
          <w:tcPr>
            <w:tcW w:w="1558" w:type="dxa"/>
            <w:tcBorders>
              <w:top w:val="single" w:sz="4" w:space="0" w:color="auto"/>
              <w:left w:val="single" w:sz="4" w:space="0" w:color="auto"/>
              <w:bottom w:val="single" w:sz="4" w:space="0" w:color="auto"/>
              <w:right w:val="single" w:sz="4" w:space="0" w:color="auto"/>
            </w:tcBorders>
            <w:hideMark/>
          </w:tcPr>
          <w:p w:rsidR="00463836" w:rsidRPr="00D42A19" w:rsidRDefault="00463836" w:rsidP="005B5E84">
            <w:pPr>
              <w:jc w:val="left"/>
              <w:rPr>
                <w:sz w:val="18"/>
              </w:rPr>
            </w:pPr>
            <w:r w:rsidRPr="00D42A19">
              <w:rPr>
                <w:sz w:val="18"/>
              </w:rPr>
              <w:t>Organizadores</w:t>
            </w:r>
          </w:p>
        </w:tc>
        <w:tc>
          <w:tcPr>
            <w:tcW w:w="2077" w:type="dxa"/>
            <w:tcBorders>
              <w:top w:val="single" w:sz="4" w:space="0" w:color="auto"/>
              <w:left w:val="single" w:sz="4" w:space="0" w:color="auto"/>
              <w:bottom w:val="single" w:sz="4" w:space="0" w:color="auto"/>
              <w:right w:val="single" w:sz="4" w:space="0" w:color="auto"/>
            </w:tcBorders>
            <w:hideMark/>
          </w:tcPr>
          <w:p w:rsidR="00463836" w:rsidRPr="00D42A19" w:rsidRDefault="00463836" w:rsidP="005B5E84">
            <w:pPr>
              <w:jc w:val="left"/>
              <w:rPr>
                <w:sz w:val="18"/>
              </w:rPr>
            </w:pPr>
            <w:r w:rsidRPr="00D42A19">
              <w:rPr>
                <w:sz w:val="18"/>
              </w:rPr>
              <w:t>Finalidad de la actividad</w:t>
            </w:r>
          </w:p>
        </w:tc>
        <w:tc>
          <w:tcPr>
            <w:tcW w:w="1843" w:type="dxa"/>
            <w:tcBorders>
              <w:top w:val="single" w:sz="4" w:space="0" w:color="auto"/>
              <w:left w:val="single" w:sz="4" w:space="0" w:color="auto"/>
              <w:bottom w:val="single" w:sz="4" w:space="0" w:color="auto"/>
              <w:right w:val="single" w:sz="4" w:space="0" w:color="auto"/>
            </w:tcBorders>
            <w:hideMark/>
          </w:tcPr>
          <w:p w:rsidR="00463836" w:rsidRPr="00D42A19" w:rsidRDefault="00463836" w:rsidP="005B5E84">
            <w:pPr>
              <w:jc w:val="left"/>
              <w:rPr>
                <w:sz w:val="18"/>
              </w:rPr>
            </w:pPr>
            <w:r w:rsidRPr="00D42A19">
              <w:rPr>
                <w:sz w:val="18"/>
              </w:rPr>
              <w:t xml:space="preserve">Países participantes/ organizaciones (número de participantes de cada país/organización) </w:t>
            </w:r>
          </w:p>
        </w:tc>
        <w:tc>
          <w:tcPr>
            <w:tcW w:w="1559" w:type="dxa"/>
            <w:tcBorders>
              <w:top w:val="single" w:sz="4" w:space="0" w:color="auto"/>
              <w:left w:val="single" w:sz="4" w:space="0" w:color="auto"/>
              <w:bottom w:val="single" w:sz="4" w:space="0" w:color="auto"/>
              <w:right w:val="single" w:sz="4" w:space="0" w:color="auto"/>
            </w:tcBorders>
            <w:hideMark/>
          </w:tcPr>
          <w:p w:rsidR="00463836" w:rsidRPr="00D42A19" w:rsidRDefault="00463836" w:rsidP="005B5E84">
            <w:pPr>
              <w:jc w:val="left"/>
              <w:rPr>
                <w:sz w:val="18"/>
              </w:rPr>
            </w:pPr>
            <w:r w:rsidRPr="00D42A19">
              <w:rPr>
                <w:sz w:val="18"/>
              </w:rPr>
              <w:t>Comentarios</w:t>
            </w:r>
          </w:p>
        </w:tc>
      </w:tr>
      <w:tr w:rsidR="00463836" w:rsidRPr="00D42A19" w:rsidTr="005B5E84">
        <w:tc>
          <w:tcPr>
            <w:tcW w:w="1101" w:type="dxa"/>
            <w:tcBorders>
              <w:top w:val="single" w:sz="4" w:space="0" w:color="auto"/>
              <w:left w:val="single" w:sz="4" w:space="0" w:color="auto"/>
              <w:bottom w:val="single" w:sz="4" w:space="0" w:color="auto"/>
              <w:right w:val="single" w:sz="4" w:space="0" w:color="auto"/>
            </w:tcBorders>
          </w:tcPr>
          <w:p w:rsidR="00463836" w:rsidRPr="00D42A19" w:rsidRDefault="00463836" w:rsidP="005B5E84">
            <w:pPr>
              <w:jc w:val="left"/>
              <w:rPr>
                <w:sz w:val="18"/>
                <w:szCs w:val="18"/>
              </w:rPr>
            </w:pPr>
            <w:r w:rsidRPr="00D42A19">
              <w:rPr>
                <w:sz w:val="18"/>
              </w:rPr>
              <w:t>1.</w:t>
            </w:r>
          </w:p>
          <w:p w:rsidR="00463836" w:rsidRPr="00D42A19" w:rsidRDefault="00463836" w:rsidP="005B5E84">
            <w:pPr>
              <w:jc w:val="left"/>
              <w:rPr>
                <w:sz w:val="18"/>
                <w:szCs w:val="18"/>
              </w:rPr>
            </w:pPr>
          </w:p>
        </w:tc>
        <w:tc>
          <w:tcPr>
            <w:tcW w:w="679" w:type="dxa"/>
            <w:tcBorders>
              <w:top w:val="single" w:sz="4" w:space="0" w:color="auto"/>
              <w:left w:val="single" w:sz="4" w:space="0" w:color="auto"/>
              <w:bottom w:val="single" w:sz="4" w:space="0" w:color="auto"/>
              <w:right w:val="single" w:sz="4" w:space="0" w:color="auto"/>
            </w:tcBorders>
          </w:tcPr>
          <w:p w:rsidR="00463836" w:rsidRPr="00D42A19" w:rsidRDefault="00463836" w:rsidP="005B5E84">
            <w:pPr>
              <w:jc w:val="left"/>
              <w:rPr>
                <w:sz w:val="18"/>
                <w:szCs w:val="18"/>
              </w:rPr>
            </w:pPr>
            <w:r w:rsidRPr="00D42A19">
              <w:rPr>
                <w:sz w:val="18"/>
              </w:rPr>
              <w:t>2015</w:t>
            </w:r>
          </w:p>
        </w:tc>
        <w:tc>
          <w:tcPr>
            <w:tcW w:w="1021" w:type="dxa"/>
            <w:tcBorders>
              <w:top w:val="single" w:sz="4" w:space="0" w:color="auto"/>
              <w:left w:val="single" w:sz="4" w:space="0" w:color="auto"/>
              <w:bottom w:val="single" w:sz="4" w:space="0" w:color="auto"/>
              <w:right w:val="single" w:sz="4" w:space="0" w:color="auto"/>
            </w:tcBorders>
          </w:tcPr>
          <w:p w:rsidR="00463836" w:rsidRPr="00D42A19" w:rsidRDefault="00463836" w:rsidP="005B5E84">
            <w:pPr>
              <w:jc w:val="left"/>
              <w:rPr>
                <w:sz w:val="18"/>
                <w:szCs w:val="18"/>
              </w:rPr>
            </w:pPr>
            <w:r w:rsidRPr="00D42A19">
              <w:rPr>
                <w:sz w:val="18"/>
              </w:rPr>
              <w:t>Berna</w:t>
            </w:r>
          </w:p>
        </w:tc>
        <w:tc>
          <w:tcPr>
            <w:tcW w:w="1558" w:type="dxa"/>
            <w:tcBorders>
              <w:top w:val="single" w:sz="4" w:space="0" w:color="auto"/>
              <w:left w:val="single" w:sz="4" w:space="0" w:color="auto"/>
              <w:bottom w:val="single" w:sz="4" w:space="0" w:color="auto"/>
              <w:right w:val="single" w:sz="4" w:space="0" w:color="auto"/>
            </w:tcBorders>
          </w:tcPr>
          <w:p w:rsidR="00463836" w:rsidRPr="00D42A19" w:rsidRDefault="00463836" w:rsidP="005B5E84">
            <w:pPr>
              <w:jc w:val="left"/>
              <w:rPr>
                <w:sz w:val="18"/>
                <w:szCs w:val="18"/>
              </w:rPr>
            </w:pPr>
            <w:r w:rsidRPr="00D42A19">
              <w:rPr>
                <w:sz w:val="18"/>
              </w:rPr>
              <w:t>Oficina Federal de Agricultura</w:t>
            </w:r>
          </w:p>
        </w:tc>
        <w:tc>
          <w:tcPr>
            <w:tcW w:w="2077" w:type="dxa"/>
            <w:tcBorders>
              <w:top w:val="single" w:sz="4" w:space="0" w:color="auto"/>
              <w:left w:val="single" w:sz="4" w:space="0" w:color="auto"/>
              <w:bottom w:val="single" w:sz="4" w:space="0" w:color="auto"/>
              <w:right w:val="single" w:sz="4" w:space="0" w:color="auto"/>
            </w:tcBorders>
          </w:tcPr>
          <w:p w:rsidR="00463836" w:rsidRPr="00D42A19" w:rsidRDefault="00463836" w:rsidP="005B5E84">
            <w:pPr>
              <w:pStyle w:val="Default"/>
              <w:rPr>
                <w:sz w:val="18"/>
                <w:szCs w:val="18"/>
                <w:lang w:val="es-ES_tradnl"/>
              </w:rPr>
            </w:pPr>
            <w:r w:rsidRPr="00D42A19">
              <w:rPr>
                <w:sz w:val="18"/>
                <w:lang w:val="es-ES_tradnl"/>
              </w:rPr>
              <w:t xml:space="preserve">Crear condiciones básicas estables a largo plazo para el fitomejoramiento:  garantizar que las actividades de fitomejoramiento reciban la remuneración que les corresponde </w:t>
            </w:r>
          </w:p>
        </w:tc>
        <w:tc>
          <w:tcPr>
            <w:tcW w:w="1843" w:type="dxa"/>
            <w:tcBorders>
              <w:top w:val="single" w:sz="4" w:space="0" w:color="auto"/>
              <w:left w:val="single" w:sz="4" w:space="0" w:color="auto"/>
              <w:bottom w:val="single" w:sz="4" w:space="0" w:color="auto"/>
              <w:right w:val="single" w:sz="4" w:space="0" w:color="auto"/>
            </w:tcBorders>
          </w:tcPr>
          <w:p w:rsidR="00463836" w:rsidRPr="00D42A19" w:rsidRDefault="00463836" w:rsidP="005B5E84">
            <w:pPr>
              <w:jc w:val="left"/>
              <w:rPr>
                <w:sz w:val="18"/>
                <w:szCs w:val="18"/>
              </w:rPr>
            </w:pPr>
            <w:r w:rsidRPr="00D42A19">
              <w:rPr>
                <w:sz w:val="18"/>
              </w:rPr>
              <w:t>Sectores interesados destacados en el ámbito del fitomejoramiento en Suiza</w:t>
            </w:r>
          </w:p>
        </w:tc>
        <w:tc>
          <w:tcPr>
            <w:tcW w:w="1559" w:type="dxa"/>
            <w:tcBorders>
              <w:top w:val="single" w:sz="4" w:space="0" w:color="auto"/>
              <w:left w:val="single" w:sz="4" w:space="0" w:color="auto"/>
              <w:bottom w:val="single" w:sz="4" w:space="0" w:color="auto"/>
              <w:right w:val="single" w:sz="4" w:space="0" w:color="auto"/>
            </w:tcBorders>
          </w:tcPr>
          <w:p w:rsidR="00463836" w:rsidRPr="00D42A19" w:rsidRDefault="00463836" w:rsidP="005B5E84">
            <w:pPr>
              <w:jc w:val="left"/>
              <w:rPr>
                <w:sz w:val="18"/>
                <w:szCs w:val="18"/>
              </w:rPr>
            </w:pPr>
            <w:r w:rsidRPr="00D42A19">
              <w:rPr>
                <w:sz w:val="18"/>
              </w:rPr>
              <w:t>Iniciativa de alto nivel que tiene el propósito de formular una estrategia de fitomejoramiento</w:t>
            </w:r>
          </w:p>
          <w:p w:rsidR="00463836" w:rsidRPr="00D42A19" w:rsidRDefault="00463836" w:rsidP="005B5E84">
            <w:pPr>
              <w:jc w:val="left"/>
              <w:rPr>
                <w:sz w:val="18"/>
                <w:szCs w:val="18"/>
              </w:rPr>
            </w:pPr>
            <w:r w:rsidRPr="00D42A19">
              <w:rPr>
                <w:sz w:val="18"/>
              </w:rPr>
              <w:t>para Suiza</w:t>
            </w:r>
          </w:p>
        </w:tc>
      </w:tr>
      <w:tr w:rsidR="00463836" w:rsidRPr="00D42A19" w:rsidTr="005B5E84">
        <w:tc>
          <w:tcPr>
            <w:tcW w:w="1101" w:type="dxa"/>
            <w:tcBorders>
              <w:top w:val="single" w:sz="4" w:space="0" w:color="auto"/>
              <w:left w:val="single" w:sz="4" w:space="0" w:color="auto"/>
              <w:bottom w:val="single" w:sz="4" w:space="0" w:color="auto"/>
              <w:right w:val="single" w:sz="4" w:space="0" w:color="auto"/>
            </w:tcBorders>
          </w:tcPr>
          <w:p w:rsidR="00463836" w:rsidRPr="00D42A19" w:rsidRDefault="00463836" w:rsidP="005B5E84">
            <w:pPr>
              <w:jc w:val="left"/>
              <w:rPr>
                <w:sz w:val="18"/>
              </w:rPr>
            </w:pPr>
            <w:r w:rsidRPr="00D42A19">
              <w:rPr>
                <w:sz w:val="18"/>
              </w:rPr>
              <w:t>2.</w:t>
            </w:r>
          </w:p>
          <w:p w:rsidR="00463836" w:rsidRPr="00D42A19" w:rsidRDefault="00463836" w:rsidP="005B5E84">
            <w:pPr>
              <w:jc w:val="left"/>
              <w:rPr>
                <w:sz w:val="18"/>
              </w:rPr>
            </w:pPr>
          </w:p>
        </w:tc>
        <w:tc>
          <w:tcPr>
            <w:tcW w:w="679" w:type="dxa"/>
            <w:tcBorders>
              <w:top w:val="single" w:sz="4" w:space="0" w:color="auto"/>
              <w:left w:val="single" w:sz="4" w:space="0" w:color="auto"/>
              <w:bottom w:val="single" w:sz="4" w:space="0" w:color="auto"/>
              <w:right w:val="single" w:sz="4" w:space="0" w:color="auto"/>
            </w:tcBorders>
          </w:tcPr>
          <w:p w:rsidR="00463836" w:rsidRPr="00D42A19" w:rsidRDefault="00463836" w:rsidP="005B5E84">
            <w:pPr>
              <w:jc w:val="left"/>
              <w:rPr>
                <w:sz w:val="18"/>
              </w:rPr>
            </w:pPr>
            <w:r w:rsidRPr="00D42A19">
              <w:rPr>
                <w:sz w:val="18"/>
              </w:rPr>
              <w:t>30 de marzo de 2015</w:t>
            </w:r>
          </w:p>
        </w:tc>
        <w:tc>
          <w:tcPr>
            <w:tcW w:w="1021" w:type="dxa"/>
            <w:tcBorders>
              <w:top w:val="single" w:sz="4" w:space="0" w:color="auto"/>
              <w:left w:val="single" w:sz="4" w:space="0" w:color="auto"/>
              <w:bottom w:val="single" w:sz="4" w:space="0" w:color="auto"/>
              <w:right w:val="single" w:sz="4" w:space="0" w:color="auto"/>
            </w:tcBorders>
          </w:tcPr>
          <w:p w:rsidR="00463836" w:rsidRPr="00D42A19" w:rsidRDefault="00463836" w:rsidP="005B5E84">
            <w:pPr>
              <w:jc w:val="left"/>
              <w:rPr>
                <w:sz w:val="18"/>
              </w:rPr>
            </w:pPr>
            <w:r w:rsidRPr="00D42A19">
              <w:rPr>
                <w:sz w:val="18"/>
              </w:rPr>
              <w:t>Berna</w:t>
            </w:r>
          </w:p>
        </w:tc>
        <w:tc>
          <w:tcPr>
            <w:tcW w:w="1558" w:type="dxa"/>
            <w:tcBorders>
              <w:top w:val="single" w:sz="4" w:space="0" w:color="auto"/>
              <w:left w:val="single" w:sz="4" w:space="0" w:color="auto"/>
              <w:bottom w:val="single" w:sz="4" w:space="0" w:color="auto"/>
              <w:right w:val="single" w:sz="4" w:space="0" w:color="auto"/>
            </w:tcBorders>
          </w:tcPr>
          <w:p w:rsidR="00463836" w:rsidRPr="00D42A19" w:rsidRDefault="00463836" w:rsidP="005B5E84">
            <w:pPr>
              <w:jc w:val="left"/>
              <w:rPr>
                <w:sz w:val="18"/>
              </w:rPr>
            </w:pPr>
            <w:r w:rsidRPr="00D42A19">
              <w:rPr>
                <w:sz w:val="18"/>
              </w:rPr>
              <w:t>Oficina Federal de Agricultura</w:t>
            </w:r>
          </w:p>
        </w:tc>
        <w:tc>
          <w:tcPr>
            <w:tcW w:w="2077" w:type="dxa"/>
            <w:tcBorders>
              <w:top w:val="single" w:sz="4" w:space="0" w:color="auto"/>
              <w:left w:val="single" w:sz="4" w:space="0" w:color="auto"/>
              <w:bottom w:val="single" w:sz="4" w:space="0" w:color="auto"/>
              <w:right w:val="single" w:sz="4" w:space="0" w:color="auto"/>
            </w:tcBorders>
          </w:tcPr>
          <w:p w:rsidR="00463836" w:rsidRPr="00D42A19" w:rsidRDefault="00463836" w:rsidP="005B5E84">
            <w:pPr>
              <w:jc w:val="left"/>
              <w:rPr>
                <w:sz w:val="18"/>
              </w:rPr>
            </w:pPr>
            <w:r w:rsidRPr="00D42A19">
              <w:rPr>
                <w:sz w:val="18"/>
              </w:rPr>
              <w:t xml:space="preserve">Facilitar información sobre el funcionamiento administrativo de la Oficina Suiza de Protección de Obtenciones Vegetales </w:t>
            </w:r>
          </w:p>
        </w:tc>
        <w:tc>
          <w:tcPr>
            <w:tcW w:w="1843" w:type="dxa"/>
            <w:tcBorders>
              <w:top w:val="single" w:sz="4" w:space="0" w:color="auto"/>
              <w:left w:val="single" w:sz="4" w:space="0" w:color="auto"/>
              <w:bottom w:val="single" w:sz="4" w:space="0" w:color="auto"/>
              <w:right w:val="single" w:sz="4" w:space="0" w:color="auto"/>
            </w:tcBorders>
          </w:tcPr>
          <w:p w:rsidR="00463836" w:rsidRPr="00D42A19" w:rsidRDefault="00463836" w:rsidP="005B5E84">
            <w:pPr>
              <w:jc w:val="left"/>
              <w:rPr>
                <w:sz w:val="18"/>
              </w:rPr>
            </w:pPr>
            <w:r w:rsidRPr="00D42A19">
              <w:rPr>
                <w:sz w:val="18"/>
              </w:rPr>
              <w:t>OAPI:  2 personas</w:t>
            </w:r>
            <w:r w:rsidRPr="00D42A19">
              <w:rPr>
                <w:sz w:val="18"/>
              </w:rPr>
              <w:br/>
              <w:t>UPOV:  1 persona</w:t>
            </w:r>
          </w:p>
          <w:p w:rsidR="00463836" w:rsidRPr="00D42A19" w:rsidRDefault="00463836" w:rsidP="005B5E84">
            <w:pPr>
              <w:jc w:val="left"/>
              <w:rPr>
                <w:sz w:val="18"/>
              </w:rPr>
            </w:pPr>
          </w:p>
        </w:tc>
        <w:tc>
          <w:tcPr>
            <w:tcW w:w="1559" w:type="dxa"/>
            <w:tcBorders>
              <w:top w:val="single" w:sz="4" w:space="0" w:color="auto"/>
              <w:left w:val="single" w:sz="4" w:space="0" w:color="auto"/>
              <w:bottom w:val="single" w:sz="4" w:space="0" w:color="auto"/>
              <w:right w:val="single" w:sz="4" w:space="0" w:color="auto"/>
            </w:tcBorders>
          </w:tcPr>
          <w:p w:rsidR="00463836" w:rsidRPr="00D42A19" w:rsidRDefault="00463836" w:rsidP="005B5E84">
            <w:pPr>
              <w:jc w:val="left"/>
              <w:rPr>
                <w:sz w:val="18"/>
              </w:rPr>
            </w:pPr>
          </w:p>
        </w:tc>
      </w:tr>
    </w:tbl>
    <w:p w:rsidR="00463836" w:rsidRPr="00D42A19" w:rsidRDefault="00463836" w:rsidP="00463836"/>
    <w:p w:rsidR="00463836" w:rsidRPr="00D42A19" w:rsidRDefault="00463836" w:rsidP="00463836"/>
    <w:p w:rsidR="00463836" w:rsidRPr="00D42A19" w:rsidRDefault="00463836" w:rsidP="00463836">
      <w:pPr>
        <w:jc w:val="left"/>
      </w:pPr>
      <w:r w:rsidRPr="00D42A19">
        <w:br w:type="page"/>
      </w:r>
    </w:p>
    <w:p w:rsidR="00463836" w:rsidRPr="00D42A19" w:rsidRDefault="00463836" w:rsidP="00463836">
      <w:r w:rsidRPr="00D42A19">
        <w:t>II.</w:t>
      </w:r>
      <w:r w:rsidRPr="00D42A19">
        <w:tab/>
        <w:t>OTRAS NOVEDADES DE INTERÉS PARA LA UPOV</w:t>
      </w:r>
    </w:p>
    <w:p w:rsidR="00463836" w:rsidRPr="00D42A19" w:rsidRDefault="00463836" w:rsidP="00463836"/>
    <w:p w:rsidR="00463836" w:rsidRPr="00D42A19" w:rsidRDefault="00463836" w:rsidP="00463836">
      <w:r w:rsidRPr="00D42A19">
        <w:t>En Suiza se están elaborando dos ordenanzas que pueden ser de interés para la UPOV:</w:t>
      </w:r>
    </w:p>
    <w:p w:rsidR="00463836" w:rsidRPr="00D42A19" w:rsidRDefault="00463836" w:rsidP="00463836"/>
    <w:p w:rsidR="00463836" w:rsidRPr="00D42A19" w:rsidRDefault="00463836" w:rsidP="00463836">
      <w:pPr>
        <w:ind w:left="567" w:hanging="567"/>
      </w:pPr>
      <w:r w:rsidRPr="00D42A19">
        <w:t>•</w:t>
      </w:r>
      <w:r w:rsidRPr="00D42A19">
        <w:tab/>
        <w:t>La Ordenanza sobre la Conservación y la Utilización Sostenible de los Recursos Fitogenéticos para la Alimentación y la Agricultura (con los auspicios de la Oficina Federal de Agricultura).</w:t>
      </w:r>
    </w:p>
    <w:p w:rsidR="00463836" w:rsidRPr="00D42A19" w:rsidRDefault="00463836" w:rsidP="00463836">
      <w:pPr>
        <w:ind w:left="567" w:hanging="567"/>
      </w:pPr>
    </w:p>
    <w:p w:rsidR="00463836" w:rsidRPr="00D42A19" w:rsidRDefault="00463836" w:rsidP="00463836">
      <w:pPr>
        <w:ind w:left="567" w:hanging="567"/>
      </w:pPr>
      <w:r w:rsidRPr="00D42A19">
        <w:t>•</w:t>
      </w:r>
      <w:r w:rsidRPr="00D42A19">
        <w:tab/>
        <w:t>La Ordenanza sobre el Protocolo de Nagoya (con los auspicios de la Oficina Federal de Medio Ambiente).</w:t>
      </w:r>
    </w:p>
    <w:p w:rsidR="003F39F5" w:rsidRPr="00D42A19" w:rsidRDefault="003F39F5" w:rsidP="003F39F5"/>
    <w:p w:rsidR="003F39F5" w:rsidRPr="00D42A19" w:rsidRDefault="003F39F5" w:rsidP="003F39F5"/>
    <w:p w:rsidR="00463836" w:rsidRPr="00D42A19" w:rsidRDefault="00463836" w:rsidP="003F39F5"/>
    <w:p w:rsidR="003F39F5" w:rsidRPr="00D42A19" w:rsidRDefault="00F14899" w:rsidP="003F39F5">
      <w:pPr>
        <w:jc w:val="right"/>
      </w:pPr>
      <w:r w:rsidRPr="00D42A19">
        <w:t>[Sigue el Anexo</w:t>
      </w:r>
      <w:r w:rsidR="003F39F5" w:rsidRPr="00D42A19">
        <w:t xml:space="preserve"> XVI</w:t>
      </w:r>
      <w:r w:rsidRPr="00D42A19">
        <w:t>]</w:t>
      </w:r>
    </w:p>
    <w:p w:rsidR="003F39F5" w:rsidRPr="00D42A19" w:rsidRDefault="003F39F5" w:rsidP="003F39F5">
      <w:pPr>
        <w:jc w:val="left"/>
      </w:pPr>
    </w:p>
    <w:p w:rsidR="003F39F5" w:rsidRPr="00D42A19" w:rsidRDefault="003F39F5" w:rsidP="003F39F5">
      <w:pPr>
        <w:jc w:val="left"/>
        <w:sectPr w:rsidR="003F39F5" w:rsidRPr="00D42A19" w:rsidSect="004F3A50">
          <w:headerReference w:type="default" r:id="rId38"/>
          <w:pgSz w:w="11907" w:h="16840" w:code="9"/>
          <w:pgMar w:top="510" w:right="1134" w:bottom="1134" w:left="1134" w:header="510" w:footer="680" w:gutter="0"/>
          <w:pgNumType w:start="1"/>
          <w:cols w:space="720"/>
          <w:titlePg/>
        </w:sectPr>
      </w:pPr>
    </w:p>
    <w:p w:rsidR="003F39F5" w:rsidRPr="00D42A19" w:rsidRDefault="003F39F5" w:rsidP="003F39F5">
      <w:pPr>
        <w:jc w:val="center"/>
      </w:pPr>
      <w:r w:rsidRPr="00D42A19">
        <w:t>C/49/15</w:t>
      </w:r>
    </w:p>
    <w:p w:rsidR="003F39F5" w:rsidRPr="00D42A19" w:rsidRDefault="003F39F5" w:rsidP="003F39F5">
      <w:pPr>
        <w:jc w:val="center"/>
      </w:pPr>
    </w:p>
    <w:p w:rsidR="003F39F5" w:rsidRPr="00D42A19" w:rsidRDefault="00F14899" w:rsidP="003F39F5">
      <w:pPr>
        <w:jc w:val="center"/>
      </w:pPr>
      <w:r w:rsidRPr="00D42A19">
        <w:t>ANEXO</w:t>
      </w:r>
      <w:r w:rsidR="003F39F5" w:rsidRPr="00D42A19">
        <w:t xml:space="preserve"> XVI</w:t>
      </w:r>
    </w:p>
    <w:p w:rsidR="003F39F5" w:rsidRPr="00D42A19" w:rsidRDefault="003F39F5" w:rsidP="003F39F5">
      <w:pPr>
        <w:jc w:val="center"/>
      </w:pPr>
    </w:p>
    <w:p w:rsidR="003F39F5" w:rsidRPr="00D42A19" w:rsidRDefault="003F39F5" w:rsidP="003F39F5">
      <w:pPr>
        <w:jc w:val="center"/>
      </w:pPr>
    </w:p>
    <w:p w:rsidR="003F39F5" w:rsidRPr="00D42A19" w:rsidRDefault="00F14899" w:rsidP="003F39F5">
      <w:pPr>
        <w:jc w:val="center"/>
      </w:pPr>
      <w:r w:rsidRPr="00D42A19">
        <w:t>TÚNEZ</w:t>
      </w:r>
    </w:p>
    <w:p w:rsidR="003F39F5" w:rsidRPr="00D42A19" w:rsidRDefault="003F39F5" w:rsidP="003F39F5">
      <w:pPr>
        <w:jc w:val="left"/>
      </w:pPr>
    </w:p>
    <w:p w:rsidR="003F39F5" w:rsidRPr="00D42A19" w:rsidRDefault="003F39F5" w:rsidP="003F39F5"/>
    <w:p w:rsidR="00B23BD7" w:rsidRPr="00D42A19" w:rsidRDefault="00B23BD7" w:rsidP="00B23BD7">
      <w:pPr>
        <w:rPr>
          <w:rFonts w:cs="Arial"/>
          <w:lang w:bidi="ne-NP"/>
        </w:rPr>
      </w:pPr>
      <w:r w:rsidRPr="00D42A19">
        <w:rPr>
          <w:rFonts w:cs="Arial"/>
          <w:lang w:bidi="ne-NP"/>
        </w:rPr>
        <w:t>I.</w:t>
      </w:r>
      <w:r w:rsidRPr="00D42A19">
        <w:rPr>
          <w:rFonts w:cs="Arial"/>
          <w:lang w:bidi="ne-NP"/>
        </w:rPr>
        <w:tab/>
        <w:t>PROTECCIÓN DE LAS OBTENCIONES VEGETALES</w:t>
      </w:r>
    </w:p>
    <w:p w:rsidR="00B23BD7" w:rsidRPr="00D42A19" w:rsidRDefault="00B23BD7" w:rsidP="00B23BD7"/>
    <w:p w:rsidR="00B23BD7" w:rsidRPr="00D42A19" w:rsidRDefault="00B23BD7" w:rsidP="00B23BD7">
      <w:r w:rsidRPr="00D42A19">
        <w:t>1.</w:t>
      </w:r>
      <w:r w:rsidRPr="00D42A19">
        <w:tab/>
      </w:r>
      <w:r w:rsidRPr="00D42A19">
        <w:rPr>
          <w:u w:val="single"/>
        </w:rPr>
        <w:t>Situación en el campo legislativo</w:t>
      </w:r>
    </w:p>
    <w:p w:rsidR="00B23BD7" w:rsidRPr="00D42A19" w:rsidRDefault="00B23BD7" w:rsidP="00B23BD7"/>
    <w:p w:rsidR="00B23BD7" w:rsidRPr="00D42A19" w:rsidRDefault="00B23BD7" w:rsidP="00B23BD7">
      <w:r w:rsidRPr="00D42A19">
        <w:t>1.1</w:t>
      </w:r>
      <w:r w:rsidRPr="00D42A19">
        <w:tab/>
        <w:t>Modificaciones de la ley y de los reglamentos</w:t>
      </w:r>
    </w:p>
    <w:p w:rsidR="00B23BD7" w:rsidRPr="00D42A19" w:rsidRDefault="00B23BD7" w:rsidP="00B23BD7">
      <w:pPr>
        <w:ind w:left="567" w:hanging="567"/>
      </w:pPr>
    </w:p>
    <w:p w:rsidR="00B23BD7" w:rsidRPr="00D42A19" w:rsidRDefault="00B23BD7" w:rsidP="00B23BD7">
      <w:pPr>
        <w:ind w:left="567" w:hanging="567"/>
      </w:pPr>
      <w:r w:rsidRPr="00D42A19">
        <w:t>-</w:t>
      </w:r>
      <w:r w:rsidRPr="00D42A19">
        <w:tab/>
        <w:t>Adaptación al Acta de 1991 del Convenio:  Ley Nº 99</w:t>
      </w:r>
      <w:r w:rsidRPr="00D42A19">
        <w:noBreakHyphen/>
      </w:r>
      <w:r w:rsidRPr="00D42A19">
        <w:rPr>
          <w:rFonts w:cs="Arial"/>
        </w:rPr>
        <w:t>42 de 10 de mayo de 1999, relativa a las semillas, plantas y obtenciones vegetales</w:t>
      </w:r>
      <w:r w:rsidRPr="00D42A19">
        <w:t>, modificada por la Ley N° 66</w:t>
      </w:r>
      <w:r w:rsidRPr="00D42A19">
        <w:noBreakHyphen/>
        <w:t>2000 de 3 de julio de 2000.</w:t>
      </w:r>
    </w:p>
    <w:p w:rsidR="00B23BD7" w:rsidRPr="00D42A19" w:rsidRDefault="00B23BD7" w:rsidP="00B23BD7">
      <w:pPr>
        <w:ind w:left="567" w:hanging="567"/>
      </w:pPr>
    </w:p>
    <w:p w:rsidR="00B23BD7" w:rsidRPr="00D42A19" w:rsidRDefault="00B23BD7" w:rsidP="00B23BD7">
      <w:pPr>
        <w:ind w:left="567" w:hanging="567"/>
      </w:pPr>
      <w:r w:rsidRPr="00D42A19">
        <w:t>-</w:t>
      </w:r>
      <w:r w:rsidRPr="00D42A19">
        <w:tab/>
        <w:t>Otras modificaciones, incluyendo las referentes a las tasas:  el importe de las tasas anuales no ha variado desde la promulgación del Decreto N° 1802</w:t>
      </w:r>
      <w:r w:rsidRPr="00D42A19">
        <w:noBreakHyphen/>
        <w:t>2001 de 7 de agosto de 2001, por el que se fijan los importes y las modalidades de percepción y utilización de las tasas de inscripción de variedades, semillas y plantas y de homologación de su producción o multiplicación, las tasas de inscripción de las solicitudes y los certificados de obtención vegetal en los catálogos correspondientes, y la tasa anual a la que están sujetos los certificados de obtención vegetal una vez inscritos.</w:t>
      </w:r>
    </w:p>
    <w:p w:rsidR="00B23BD7" w:rsidRPr="00D42A19" w:rsidRDefault="00B23BD7" w:rsidP="00B23BD7"/>
    <w:p w:rsidR="00B23BD7" w:rsidRPr="00D42A19" w:rsidRDefault="00B23BD7" w:rsidP="00B23BD7">
      <w:r w:rsidRPr="00D42A19">
        <w:t>1.2</w:t>
      </w:r>
      <w:r w:rsidRPr="00D42A19">
        <w:tab/>
        <w:t>Extensión de la protección a otros géneros y especies (realizada o en proyecto)</w:t>
      </w:r>
    </w:p>
    <w:p w:rsidR="00B23BD7" w:rsidRPr="00D42A19" w:rsidRDefault="00B23BD7" w:rsidP="00B23BD7"/>
    <w:p w:rsidR="00B23BD7" w:rsidRPr="00D42A19" w:rsidRDefault="00B23BD7" w:rsidP="00B23BD7">
      <w:pPr>
        <w:ind w:left="567" w:hanging="567"/>
      </w:pPr>
      <w:r w:rsidRPr="00D42A19">
        <w:t>-</w:t>
      </w:r>
      <w:r w:rsidRPr="00D42A19">
        <w:tab/>
        <w:t>Decreto de 24 de junio de 2000, por el que se definen la lista de variedades con derecho a protección, los datos y el método de inscripción de las solicitudes y los certificados de obtención vegetal en el Catálogo nacional de obtenciones vegetales.</w:t>
      </w:r>
    </w:p>
    <w:p w:rsidR="00B23BD7" w:rsidRPr="00D42A19" w:rsidRDefault="00B23BD7" w:rsidP="00B23BD7">
      <w:pPr>
        <w:ind w:left="567" w:hanging="567"/>
      </w:pPr>
    </w:p>
    <w:p w:rsidR="00B23BD7" w:rsidRPr="00D42A19" w:rsidRDefault="00B23BD7" w:rsidP="00B23BD7">
      <w:pPr>
        <w:ind w:left="567" w:hanging="567"/>
      </w:pPr>
      <w:r w:rsidRPr="00D42A19">
        <w:t>-</w:t>
      </w:r>
      <w:r w:rsidRPr="00D42A19">
        <w:tab/>
        <w:t>Decreto de 9 de septiembre de 2004 (extensión de la protección a las especies ajo (</w:t>
      </w:r>
      <w:proofErr w:type="spellStart"/>
      <w:r w:rsidRPr="00D42A19">
        <w:rPr>
          <w:i/>
          <w:iCs/>
        </w:rPr>
        <w:t>Allium</w:t>
      </w:r>
      <w:proofErr w:type="spellEnd"/>
      <w:r w:rsidRPr="00D42A19">
        <w:rPr>
          <w:i/>
          <w:iCs/>
        </w:rPr>
        <w:t xml:space="preserve"> </w:t>
      </w:r>
      <w:proofErr w:type="spellStart"/>
      <w:r w:rsidRPr="00D42A19">
        <w:rPr>
          <w:i/>
          <w:iCs/>
        </w:rPr>
        <w:t>sativum</w:t>
      </w:r>
      <w:proofErr w:type="spellEnd"/>
      <w:r w:rsidRPr="00D42A19">
        <w:t>) y alcachofa (</w:t>
      </w:r>
      <w:proofErr w:type="spellStart"/>
      <w:r w:rsidRPr="00D42A19">
        <w:rPr>
          <w:i/>
          <w:iCs/>
        </w:rPr>
        <w:t>Cynara</w:t>
      </w:r>
      <w:proofErr w:type="spellEnd"/>
      <w:r w:rsidRPr="00D42A19">
        <w:rPr>
          <w:i/>
          <w:iCs/>
        </w:rPr>
        <w:t xml:space="preserve"> </w:t>
      </w:r>
      <w:proofErr w:type="spellStart"/>
      <w:r w:rsidRPr="00D42A19">
        <w:rPr>
          <w:i/>
          <w:iCs/>
        </w:rPr>
        <w:t>scolymus</w:t>
      </w:r>
      <w:proofErr w:type="spellEnd"/>
      <w:r w:rsidRPr="00D42A19">
        <w:t>)).</w:t>
      </w:r>
    </w:p>
    <w:p w:rsidR="00B23BD7" w:rsidRPr="00D42A19" w:rsidRDefault="00B23BD7" w:rsidP="00B23BD7">
      <w:pPr>
        <w:ind w:left="567" w:hanging="567"/>
      </w:pPr>
    </w:p>
    <w:p w:rsidR="00B23BD7" w:rsidRPr="00D42A19" w:rsidRDefault="00B23BD7" w:rsidP="00B23BD7">
      <w:pPr>
        <w:ind w:left="567" w:hanging="567"/>
      </w:pPr>
      <w:r w:rsidRPr="00D42A19">
        <w:t>-</w:t>
      </w:r>
      <w:r w:rsidRPr="00D42A19">
        <w:tab/>
        <w:t>Decreto de 1 de marzo de 2010 (extensión de la protección a las especies aguacate (</w:t>
      </w:r>
      <w:proofErr w:type="spellStart"/>
      <w:r w:rsidRPr="00D42A19">
        <w:rPr>
          <w:i/>
          <w:iCs/>
        </w:rPr>
        <w:t>Persea</w:t>
      </w:r>
      <w:proofErr w:type="spellEnd"/>
      <w:r w:rsidRPr="00D42A19">
        <w:rPr>
          <w:i/>
          <w:iCs/>
        </w:rPr>
        <w:t xml:space="preserve"> americana </w:t>
      </w:r>
      <w:proofErr w:type="spellStart"/>
      <w:r w:rsidRPr="00D42A19">
        <w:t>Mill</w:t>
      </w:r>
      <w:proofErr w:type="spellEnd"/>
      <w:r w:rsidRPr="00D42A19">
        <w:t>.) y frambueso (</w:t>
      </w:r>
      <w:proofErr w:type="spellStart"/>
      <w:r w:rsidRPr="00D42A19">
        <w:rPr>
          <w:i/>
          <w:iCs/>
        </w:rPr>
        <w:t>Rubus</w:t>
      </w:r>
      <w:proofErr w:type="spellEnd"/>
      <w:r w:rsidRPr="00D42A19">
        <w:rPr>
          <w:i/>
          <w:iCs/>
        </w:rPr>
        <w:t xml:space="preserve"> </w:t>
      </w:r>
      <w:proofErr w:type="spellStart"/>
      <w:r w:rsidRPr="00D42A19">
        <w:rPr>
          <w:i/>
          <w:iCs/>
        </w:rPr>
        <w:t>idaeus</w:t>
      </w:r>
      <w:proofErr w:type="spellEnd"/>
      <w:r w:rsidRPr="00D42A19">
        <w:rPr>
          <w:iCs/>
        </w:rPr>
        <w:t>)</w:t>
      </w:r>
      <w:r w:rsidRPr="00D42A19">
        <w:t>).</w:t>
      </w:r>
    </w:p>
    <w:p w:rsidR="00B23BD7" w:rsidRPr="00D42A19" w:rsidRDefault="00B23BD7" w:rsidP="00B23BD7"/>
    <w:p w:rsidR="00B23BD7" w:rsidRPr="00D42A19" w:rsidRDefault="00B23BD7" w:rsidP="00B23BD7">
      <w:r w:rsidRPr="00D42A19">
        <w:t>1.3</w:t>
      </w:r>
      <w:r w:rsidRPr="00D42A19">
        <w:tab/>
        <w:t xml:space="preserve">Jurisprudencia </w:t>
      </w:r>
    </w:p>
    <w:p w:rsidR="00B23BD7" w:rsidRPr="00D42A19" w:rsidRDefault="00B23BD7" w:rsidP="00B23BD7"/>
    <w:p w:rsidR="00B23BD7" w:rsidRPr="00D42A19" w:rsidRDefault="00B23BD7" w:rsidP="00B23BD7">
      <w:r w:rsidRPr="00D42A19">
        <w:t xml:space="preserve">No se dictaron </w:t>
      </w:r>
      <w:r w:rsidRPr="00D42A19">
        <w:rPr>
          <w:rStyle w:val="ht"/>
        </w:rPr>
        <w:t>resoluciones judiciales o administrativas que pudieran constituir una fuente de reglamentación judicial.</w:t>
      </w:r>
    </w:p>
    <w:p w:rsidR="00B23BD7" w:rsidRPr="00D42A19" w:rsidRDefault="00B23BD7" w:rsidP="00B23BD7"/>
    <w:p w:rsidR="00B23BD7" w:rsidRPr="00D42A19" w:rsidRDefault="00B23BD7" w:rsidP="00B23BD7"/>
    <w:p w:rsidR="00B23BD7" w:rsidRPr="00D42A19" w:rsidRDefault="00B23BD7" w:rsidP="00B23BD7">
      <w:pPr>
        <w:rPr>
          <w:u w:val="single"/>
        </w:rPr>
      </w:pPr>
      <w:r w:rsidRPr="00D42A19">
        <w:t>2.</w:t>
      </w:r>
      <w:r w:rsidRPr="00D42A19">
        <w:tab/>
      </w:r>
      <w:r w:rsidRPr="00D42A19">
        <w:rPr>
          <w:u w:val="single"/>
        </w:rPr>
        <w:t>Cooperación en el examen</w:t>
      </w:r>
    </w:p>
    <w:p w:rsidR="00B23BD7" w:rsidRPr="00D42A19" w:rsidRDefault="00B23BD7" w:rsidP="00B23BD7">
      <w:pPr>
        <w:rPr>
          <w:u w:val="single"/>
        </w:rPr>
      </w:pPr>
    </w:p>
    <w:p w:rsidR="00B23BD7" w:rsidRPr="00D42A19" w:rsidRDefault="00B23BD7" w:rsidP="00B23BD7">
      <w:r w:rsidRPr="00D42A19">
        <w:t>No se ha suscrito ni modificado ningún acuerdo en materia de examen.  Los servicios tunecinos encargados de la protección de las obtenciones vegetales continúan recibiendo solicitudes de protección mediante la adquisición de informes DHE.  Dichos informes se adquieren a través de la Oficina Comunitaria de Variedades Vegetales (OCVV) y el pago de las tasas se efectúa entre el solicitante de protección y la OCVV.</w:t>
      </w:r>
    </w:p>
    <w:p w:rsidR="00B23BD7" w:rsidRPr="00D42A19" w:rsidRDefault="00B23BD7" w:rsidP="00B23BD7"/>
    <w:p w:rsidR="00B23BD7" w:rsidRPr="00D42A19" w:rsidRDefault="00B23BD7" w:rsidP="00B23BD7"/>
    <w:p w:rsidR="00B23BD7" w:rsidRPr="00D42A19" w:rsidRDefault="00B23BD7" w:rsidP="00B23BD7">
      <w:pPr>
        <w:rPr>
          <w:u w:val="single"/>
        </w:rPr>
      </w:pPr>
      <w:r w:rsidRPr="00D42A19">
        <w:t>3.</w:t>
      </w:r>
      <w:r w:rsidRPr="00D42A19">
        <w:tab/>
      </w:r>
      <w:r w:rsidRPr="00D42A19">
        <w:rPr>
          <w:u w:val="single"/>
        </w:rPr>
        <w:t>Situación en el campo administrativo</w:t>
      </w:r>
    </w:p>
    <w:p w:rsidR="00B23BD7" w:rsidRPr="00D42A19" w:rsidRDefault="00B23BD7" w:rsidP="00B23BD7"/>
    <w:p w:rsidR="00B23BD7" w:rsidRPr="00D42A19" w:rsidRDefault="00B23BD7" w:rsidP="00B23BD7">
      <w:r w:rsidRPr="00D42A19">
        <w:t>No se produjeron cambios en la estructura administrativa ni en la gestión de los procedimientos y sistemas (administrativos).</w:t>
      </w:r>
    </w:p>
    <w:p w:rsidR="00B23BD7" w:rsidRPr="00D42A19" w:rsidRDefault="00B23BD7" w:rsidP="00B23BD7"/>
    <w:p w:rsidR="00B23BD7" w:rsidRPr="00D42A19" w:rsidRDefault="00B23BD7" w:rsidP="00B23BD7"/>
    <w:p w:rsidR="00B23BD7" w:rsidRPr="00D42A19" w:rsidRDefault="00B23BD7" w:rsidP="00B23BD7">
      <w:pPr>
        <w:rPr>
          <w:u w:val="single"/>
        </w:rPr>
      </w:pPr>
      <w:r w:rsidRPr="00D42A19">
        <w:t>4.</w:t>
      </w:r>
      <w:r w:rsidRPr="00D42A19">
        <w:tab/>
      </w:r>
      <w:r w:rsidRPr="00D42A19">
        <w:rPr>
          <w:u w:val="single"/>
        </w:rPr>
        <w:t>Situación en el campo técnico</w:t>
      </w:r>
    </w:p>
    <w:p w:rsidR="00B23BD7" w:rsidRPr="00D42A19" w:rsidRDefault="00B23BD7" w:rsidP="00B23BD7"/>
    <w:p w:rsidR="00B23BD7" w:rsidRPr="00D42A19" w:rsidRDefault="00B23BD7" w:rsidP="00B23BD7">
      <w:r w:rsidRPr="00D42A19">
        <w:t>El funcionamiento de los exámenes técnicos de las diferentes especies se ciñe a la evolución y las modificaciones acordadas por el sistema de la UPOV.</w:t>
      </w:r>
    </w:p>
    <w:p w:rsidR="00B23BD7" w:rsidRPr="00D42A19" w:rsidRDefault="00B23BD7" w:rsidP="00B23BD7"/>
    <w:p w:rsidR="00B23BD7" w:rsidRPr="00D42A19" w:rsidRDefault="00B23BD7" w:rsidP="00B23BD7">
      <w:pPr>
        <w:jc w:val="left"/>
      </w:pPr>
    </w:p>
    <w:p w:rsidR="00B23BD7" w:rsidRPr="00D42A19" w:rsidRDefault="00B23BD7" w:rsidP="00B23BD7">
      <w:pPr>
        <w:rPr>
          <w:u w:val="single"/>
        </w:rPr>
      </w:pPr>
      <w:r w:rsidRPr="00D42A19">
        <w:t>5.</w:t>
      </w:r>
      <w:r w:rsidRPr="00D42A19">
        <w:tab/>
      </w:r>
      <w:r w:rsidRPr="00D42A19">
        <w:rPr>
          <w:u w:val="single"/>
        </w:rPr>
        <w:t>Actividades para la promoción de la protección de las obtenciones vegetales</w:t>
      </w:r>
    </w:p>
    <w:p w:rsidR="00B23BD7" w:rsidRPr="00D42A19" w:rsidRDefault="00B23BD7" w:rsidP="00B23BD7"/>
    <w:p w:rsidR="00B23BD7" w:rsidRPr="00D42A19" w:rsidRDefault="00B23BD7" w:rsidP="00B23BD7">
      <w:r w:rsidRPr="00D42A19">
        <w:t>No se llevó a cabo ninguna actividad.</w:t>
      </w:r>
    </w:p>
    <w:p w:rsidR="00B23BD7" w:rsidRPr="00D42A19" w:rsidRDefault="00B23BD7" w:rsidP="00B23BD7">
      <w:pPr>
        <w:keepNext/>
      </w:pPr>
      <w:r w:rsidRPr="00D42A19">
        <w:t>II.</w:t>
      </w:r>
      <w:r w:rsidRPr="00D42A19">
        <w:tab/>
        <w:t>OTRAS NOVEDADES DE INTERÉS PARA LA UPOV</w:t>
      </w:r>
    </w:p>
    <w:p w:rsidR="00B23BD7" w:rsidRPr="00D42A19" w:rsidRDefault="00B23BD7" w:rsidP="00B23BD7">
      <w:pPr>
        <w:keepNext/>
      </w:pPr>
    </w:p>
    <w:p w:rsidR="00B23BD7" w:rsidRPr="00D42A19" w:rsidRDefault="00B23BD7" w:rsidP="00B23BD7">
      <w:pPr>
        <w:keepNext/>
      </w:pPr>
      <w:r w:rsidRPr="00D42A19">
        <w:t>No se produjeron novedades que fueran de interés para la UPOV.</w:t>
      </w:r>
    </w:p>
    <w:p w:rsidR="00B23BD7" w:rsidRPr="00D42A19" w:rsidRDefault="00B23BD7" w:rsidP="00B23BD7">
      <w:pPr>
        <w:jc w:val="left"/>
        <w:rPr>
          <w:rFonts w:cs="Arial"/>
        </w:rPr>
      </w:pPr>
    </w:p>
    <w:p w:rsidR="003F39F5" w:rsidRPr="00D42A19" w:rsidRDefault="003F39F5" w:rsidP="003F39F5"/>
    <w:p w:rsidR="00B23BD7" w:rsidRPr="00D42A19" w:rsidRDefault="00B23BD7" w:rsidP="003F39F5"/>
    <w:p w:rsidR="003F39F5" w:rsidRPr="00D42A19" w:rsidRDefault="00F14899" w:rsidP="003F39F5">
      <w:pPr>
        <w:jc w:val="right"/>
      </w:pPr>
      <w:r w:rsidRPr="00D42A19">
        <w:t>[Sigue el Anexo</w:t>
      </w:r>
      <w:r w:rsidR="003F39F5" w:rsidRPr="00D42A19">
        <w:t xml:space="preserve"> XVII</w:t>
      </w:r>
      <w:r w:rsidRPr="00D42A19">
        <w:t>]</w:t>
      </w:r>
    </w:p>
    <w:p w:rsidR="003F39F5" w:rsidRPr="00D42A19" w:rsidRDefault="003F39F5" w:rsidP="003F39F5">
      <w:pPr>
        <w:jc w:val="left"/>
      </w:pPr>
    </w:p>
    <w:p w:rsidR="003F39F5" w:rsidRPr="00D42A19" w:rsidRDefault="003F39F5" w:rsidP="003F39F5">
      <w:pPr>
        <w:jc w:val="left"/>
        <w:sectPr w:rsidR="003F39F5" w:rsidRPr="00D42A19" w:rsidSect="004F3A50">
          <w:headerReference w:type="default" r:id="rId39"/>
          <w:pgSz w:w="11907" w:h="16840" w:code="9"/>
          <w:pgMar w:top="510" w:right="1134" w:bottom="1134" w:left="1134" w:header="510" w:footer="680" w:gutter="0"/>
          <w:pgNumType w:start="1"/>
          <w:cols w:space="720"/>
          <w:titlePg/>
        </w:sectPr>
      </w:pPr>
    </w:p>
    <w:p w:rsidR="003F39F5" w:rsidRPr="00D42A19" w:rsidRDefault="003F39F5" w:rsidP="003F39F5">
      <w:pPr>
        <w:jc w:val="center"/>
      </w:pPr>
      <w:r w:rsidRPr="00D42A19">
        <w:t>C/49/15</w:t>
      </w:r>
    </w:p>
    <w:p w:rsidR="003F39F5" w:rsidRPr="00D42A19" w:rsidRDefault="003F39F5" w:rsidP="003F39F5">
      <w:pPr>
        <w:jc w:val="center"/>
      </w:pPr>
    </w:p>
    <w:p w:rsidR="003F39F5" w:rsidRPr="00D42A19" w:rsidRDefault="00F14899" w:rsidP="003F39F5">
      <w:pPr>
        <w:jc w:val="center"/>
      </w:pPr>
      <w:r w:rsidRPr="00D42A19">
        <w:t>ANEXO</w:t>
      </w:r>
      <w:r w:rsidR="003F39F5" w:rsidRPr="00D42A19">
        <w:t xml:space="preserve"> XVII</w:t>
      </w:r>
    </w:p>
    <w:p w:rsidR="003F39F5" w:rsidRPr="00D42A19" w:rsidRDefault="003F39F5" w:rsidP="003F39F5">
      <w:pPr>
        <w:jc w:val="center"/>
      </w:pPr>
    </w:p>
    <w:p w:rsidR="003F39F5" w:rsidRPr="00D42A19" w:rsidRDefault="003F39F5" w:rsidP="003F39F5">
      <w:pPr>
        <w:jc w:val="center"/>
      </w:pPr>
    </w:p>
    <w:p w:rsidR="003F39F5" w:rsidRPr="00D42A19" w:rsidRDefault="00F14899" w:rsidP="003F39F5">
      <w:pPr>
        <w:jc w:val="center"/>
      </w:pPr>
      <w:r w:rsidRPr="00D42A19">
        <w:t>UNIÓN EUROPEA</w:t>
      </w:r>
    </w:p>
    <w:p w:rsidR="003F39F5" w:rsidRPr="00D42A19" w:rsidRDefault="003F39F5" w:rsidP="003F39F5">
      <w:pPr>
        <w:jc w:val="center"/>
      </w:pPr>
    </w:p>
    <w:p w:rsidR="005B5E84" w:rsidRPr="00D42A19" w:rsidRDefault="005B5E84" w:rsidP="005B5E84">
      <w:pPr>
        <w:jc w:val="center"/>
      </w:pPr>
      <w:r w:rsidRPr="00D42A19">
        <w:t>Período:  octubre de 2014 a octubre de 2015</w:t>
      </w:r>
    </w:p>
    <w:p w:rsidR="005B5E84" w:rsidRPr="00D42A19" w:rsidRDefault="005B5E84" w:rsidP="005B5E84"/>
    <w:p w:rsidR="005B5E84" w:rsidRPr="00D42A19" w:rsidRDefault="005B5E84" w:rsidP="005B5E84">
      <w:pPr>
        <w:jc w:val="center"/>
      </w:pPr>
      <w:r w:rsidRPr="00D42A19">
        <w:t xml:space="preserve">(Informe preparado por la Comisión Europea </w:t>
      </w:r>
      <w:r w:rsidRPr="00D42A19">
        <w:br/>
        <w:t>en estrecha cooperación con la Oficina Comunitaria de Variedades Vegetales (OCVV))</w:t>
      </w:r>
      <w:r w:rsidR="004A7E64" w:rsidRPr="004A7E64">
        <w:rPr>
          <w:rStyle w:val="EndnoteReference"/>
          <w:rFonts w:cs="Arial"/>
        </w:rPr>
        <w:t xml:space="preserve"> </w:t>
      </w:r>
      <w:r w:rsidR="004A7E64">
        <w:rPr>
          <w:rStyle w:val="EndnoteReference"/>
          <w:rFonts w:cs="Arial"/>
        </w:rPr>
        <w:endnoteReference w:id="2"/>
      </w:r>
    </w:p>
    <w:p w:rsidR="005B5E84" w:rsidRPr="00D42A19" w:rsidRDefault="005B5E84" w:rsidP="005B5E84"/>
    <w:p w:rsidR="005B5E84" w:rsidRPr="00D42A19" w:rsidRDefault="005B5E84" w:rsidP="005B5E84"/>
    <w:p w:rsidR="005B5E84" w:rsidRPr="00D42A19" w:rsidRDefault="005B5E84" w:rsidP="005B5E84">
      <w:pPr>
        <w:pStyle w:val="ListBullet"/>
        <w:numPr>
          <w:ilvl w:val="0"/>
          <w:numId w:val="0"/>
        </w:numPr>
        <w:tabs>
          <w:tab w:val="left" w:pos="720"/>
        </w:tabs>
        <w:ind w:left="283" w:hanging="283"/>
        <w:rPr>
          <w:rFonts w:cs="Arial"/>
          <w:b/>
          <w:u w:val="single"/>
          <w:lang w:val="es-ES_tradnl"/>
        </w:rPr>
      </w:pPr>
      <w:r w:rsidRPr="00D42A19">
        <w:rPr>
          <w:b/>
          <w:u w:val="single"/>
          <w:lang w:val="es-ES_tradnl"/>
        </w:rPr>
        <w:t>PROTECCIÓN DE LAS OBTENCIONES VEGETALES</w:t>
      </w:r>
    </w:p>
    <w:p w:rsidR="005B5E84" w:rsidRPr="00D42A19" w:rsidRDefault="005B5E84" w:rsidP="005B5E84">
      <w:pPr>
        <w:spacing w:after="240"/>
        <w:rPr>
          <w:rFonts w:cs="Arial"/>
          <w:b/>
          <w:u w:val="single"/>
        </w:rPr>
      </w:pPr>
      <w:r w:rsidRPr="00D42A19">
        <w:rPr>
          <w:b/>
        </w:rPr>
        <w:t xml:space="preserve">1) </w:t>
      </w:r>
      <w:r w:rsidRPr="00D42A19">
        <w:rPr>
          <w:b/>
          <w:u w:val="single"/>
        </w:rPr>
        <w:t>Legislación</w:t>
      </w:r>
    </w:p>
    <w:p w:rsidR="005B5E84" w:rsidRPr="00D42A19" w:rsidRDefault="005B5E84" w:rsidP="005B5E84">
      <w:pPr>
        <w:pStyle w:val="ListBullet"/>
        <w:numPr>
          <w:ilvl w:val="0"/>
          <w:numId w:val="0"/>
        </w:numPr>
        <w:tabs>
          <w:tab w:val="left" w:pos="720"/>
        </w:tabs>
        <w:ind w:left="283" w:hanging="283"/>
        <w:rPr>
          <w:rFonts w:cs="Arial"/>
          <w:b/>
          <w:i/>
          <w:u w:val="single"/>
          <w:lang w:val="es-ES_tradnl"/>
        </w:rPr>
      </w:pPr>
      <w:r w:rsidRPr="00D42A19">
        <w:rPr>
          <w:i/>
          <w:u w:val="single"/>
          <w:lang w:val="es-ES_tradnl"/>
        </w:rPr>
        <w:t>1.0 General</w:t>
      </w:r>
      <w:r w:rsidRPr="00D42A19">
        <w:rPr>
          <w:b/>
          <w:i/>
          <w:u w:val="single"/>
          <w:lang w:val="es-ES_tradnl"/>
        </w:rPr>
        <w:t xml:space="preserve"> </w:t>
      </w:r>
    </w:p>
    <w:p w:rsidR="005B5E84" w:rsidRPr="00D42A19" w:rsidRDefault="005B5E84" w:rsidP="005B5E84">
      <w:pPr>
        <w:spacing w:after="240"/>
        <w:rPr>
          <w:rFonts w:cs="Arial"/>
        </w:rPr>
      </w:pPr>
      <w:r w:rsidRPr="00D42A19">
        <w:t xml:space="preserve">La Presidencia del Consejo de la Unión Europea (EU) estuvo a cargo de Italia del 1 de julio al </w:t>
      </w:r>
      <w:r w:rsidRPr="00D42A19">
        <w:br/>
        <w:t>31 de diciembre de 2014;  de Letonia, del 1 de enero al 30 de junio de 2015, y de Luxemburgo, del 1 de julio al 31 de diciembre de 2015.</w:t>
      </w:r>
    </w:p>
    <w:p w:rsidR="005B5E84" w:rsidRPr="00D42A19" w:rsidRDefault="005B5E84" w:rsidP="005B5E84">
      <w:pPr>
        <w:spacing w:after="240"/>
        <w:rPr>
          <w:rFonts w:cs="Arial"/>
          <w:i/>
          <w:u w:val="single"/>
        </w:rPr>
      </w:pPr>
      <w:r w:rsidRPr="00D42A19">
        <w:rPr>
          <w:i/>
          <w:u w:val="single"/>
        </w:rPr>
        <w:t>1.1  Modificaciones de la ley y de los reglamentos</w:t>
      </w:r>
    </w:p>
    <w:p w:rsidR="005B5E84" w:rsidRPr="00D42A19" w:rsidRDefault="005B5E84" w:rsidP="005B5E84">
      <w:pPr>
        <w:spacing w:after="240"/>
        <w:rPr>
          <w:rFonts w:cs="Arial"/>
          <w:i/>
        </w:rPr>
      </w:pPr>
      <w:r w:rsidRPr="00D42A19">
        <w:rPr>
          <w:i/>
        </w:rPr>
        <w:t xml:space="preserve">Reglamento de Ejecución (UE) Nº 1294/2014 de la Comisión de 4 de diciembre de 2014 por el que se modifica el Reglamento (CE) Nº 1238/95 en lo que respecta a la cuantía de las tasas de solicitud y de la tasa de examen que se deben abonar a la Oficina Comunitaria de Variedades Vegetales (OCVV). </w:t>
      </w:r>
    </w:p>
    <w:p w:rsidR="005B5E84" w:rsidRPr="00D42A19" w:rsidRDefault="005B5E84" w:rsidP="005B5E84">
      <w:pPr>
        <w:spacing w:after="240"/>
        <w:rPr>
          <w:rFonts w:cs="Arial"/>
        </w:rPr>
      </w:pPr>
      <w:r w:rsidRPr="00D42A19">
        <w:t xml:space="preserve">El artículo 7, apartado 7, se ha modificado en lo relativo al importe de la tasa de solicitud retenida para la tramitación de solicitudes de concesión de la protección comunitaria que no son válidas.  Este importe se redujo de 300 euros a 200 euros. </w:t>
      </w:r>
    </w:p>
    <w:p w:rsidR="005B5E84" w:rsidRPr="00D42A19" w:rsidRDefault="005B5E84" w:rsidP="005B5E84">
      <w:pPr>
        <w:spacing w:after="240"/>
        <w:rPr>
          <w:rFonts w:cs="Arial"/>
        </w:rPr>
      </w:pPr>
      <w:r w:rsidRPr="00D42A19">
        <w:t>Las tasas relativas al examen técnico, contempladas en el artículo 8, se han actualizado para todos los grupos de costos.  Los nuevos grupos de costos se han publicado en el sitio web de la OCVV (</w:t>
      </w:r>
      <w:hyperlink r:id="rId40">
        <w:r w:rsidRPr="00D42A19">
          <w:rPr>
            <w:rStyle w:val="Hyperlink"/>
          </w:rPr>
          <w:t>http://www.cpvo.europa.eu/main/es/home/methods-of-payment/applicable-fees/examination-fees</w:t>
        </w:r>
      </w:hyperlink>
      <w:r w:rsidRPr="00D42A19">
        <w:t>).</w:t>
      </w:r>
    </w:p>
    <w:p w:rsidR="005B5E84" w:rsidRPr="00D42A19" w:rsidRDefault="005B5E84" w:rsidP="005B5E84">
      <w:pPr>
        <w:spacing w:after="240"/>
        <w:rPr>
          <w:rFonts w:cs="Arial"/>
          <w:i/>
          <w:u w:val="single"/>
        </w:rPr>
      </w:pPr>
      <w:r w:rsidRPr="00D42A19">
        <w:rPr>
          <w:i/>
          <w:u w:val="single"/>
        </w:rPr>
        <w:t xml:space="preserve">1.2 Jurisprudencia </w:t>
      </w:r>
    </w:p>
    <w:p w:rsidR="005B5E84" w:rsidRPr="00D42A19" w:rsidRDefault="005B5E84" w:rsidP="005B5E84">
      <w:pPr>
        <w:spacing w:after="240"/>
        <w:ind w:left="720"/>
        <w:rPr>
          <w:rFonts w:cs="Arial"/>
        </w:rPr>
      </w:pPr>
      <w:r w:rsidRPr="00D42A19">
        <w:rPr>
          <w:i/>
        </w:rPr>
        <w:t xml:space="preserve">a) Una sentencia del Tribunal de Justicia de la Unión Europea  de 21 de mayo de 2015 en el asunto C-546/12P, </w:t>
      </w:r>
      <w:proofErr w:type="spellStart"/>
      <w:r w:rsidRPr="00D42A19">
        <w:rPr>
          <w:i/>
        </w:rPr>
        <w:t>Ralf</w:t>
      </w:r>
      <w:proofErr w:type="spellEnd"/>
      <w:r w:rsidRPr="00D42A19">
        <w:rPr>
          <w:i/>
        </w:rPr>
        <w:t xml:space="preserve"> </w:t>
      </w:r>
      <w:proofErr w:type="spellStart"/>
      <w:r w:rsidRPr="00D42A19">
        <w:rPr>
          <w:i/>
        </w:rPr>
        <w:t>Schräder</w:t>
      </w:r>
      <w:proofErr w:type="spellEnd"/>
      <w:r w:rsidRPr="00D42A19">
        <w:rPr>
          <w:i/>
        </w:rPr>
        <w:t xml:space="preserve"> contra la OCVV y </w:t>
      </w:r>
      <w:proofErr w:type="spellStart"/>
      <w:r w:rsidRPr="00D42A19">
        <w:rPr>
          <w:i/>
        </w:rPr>
        <w:t>Jørn</w:t>
      </w:r>
      <w:proofErr w:type="spellEnd"/>
      <w:r w:rsidRPr="00D42A19">
        <w:rPr>
          <w:i/>
        </w:rPr>
        <w:t xml:space="preserve"> </w:t>
      </w:r>
      <w:proofErr w:type="spellStart"/>
      <w:r w:rsidRPr="00D42A19">
        <w:rPr>
          <w:i/>
        </w:rPr>
        <w:t>Hansson</w:t>
      </w:r>
      <w:proofErr w:type="spellEnd"/>
      <w:r w:rsidRPr="00D42A19">
        <w:rPr>
          <w:i/>
        </w:rPr>
        <w:t xml:space="preserve"> (“</w:t>
      </w:r>
      <w:proofErr w:type="spellStart"/>
      <w:r w:rsidRPr="00D42A19">
        <w:rPr>
          <w:i/>
        </w:rPr>
        <w:t>Lemon</w:t>
      </w:r>
      <w:proofErr w:type="spellEnd"/>
      <w:r w:rsidRPr="00D42A19">
        <w:rPr>
          <w:i/>
        </w:rPr>
        <w:t xml:space="preserve">’ </w:t>
      </w:r>
      <w:proofErr w:type="spellStart"/>
      <w:r w:rsidRPr="00D42A19">
        <w:rPr>
          <w:i/>
        </w:rPr>
        <w:t>Symphony</w:t>
      </w:r>
      <w:proofErr w:type="spellEnd"/>
      <w:r w:rsidRPr="00D42A19">
        <w:rPr>
          <w:i/>
        </w:rPr>
        <w:t xml:space="preserve">”) relativo a un recurso de casación interpuesto contra la sentencia del Tribunal General de la Unión Europea en los asuntos acumulados T-133/08, T-134/08, T-177/08 y T-242/09 en la que el Tribunal General ha desestimado el recurso interpuesto contra la resolución de la Sala de Recurso de la Oficina de 23 de enero de 2009 (asunto A010/2007) relativo a  una solicitud de anulación de la protección comunitaria de obtención vegetal (PCOV) concedida a la variedad </w:t>
      </w:r>
      <w:r w:rsidRPr="00D42A19">
        <w:rPr>
          <w:rFonts w:cs="Arial"/>
          <w:i/>
        </w:rPr>
        <w:t>“</w:t>
      </w:r>
      <w:proofErr w:type="spellStart"/>
      <w:r w:rsidRPr="00D42A19">
        <w:rPr>
          <w:i/>
        </w:rPr>
        <w:t>Lemon</w:t>
      </w:r>
      <w:proofErr w:type="spellEnd"/>
      <w:r w:rsidRPr="00D42A19">
        <w:rPr>
          <w:i/>
        </w:rPr>
        <w:t xml:space="preserve"> </w:t>
      </w:r>
      <w:proofErr w:type="spellStart"/>
      <w:r w:rsidRPr="00D42A19">
        <w:rPr>
          <w:i/>
        </w:rPr>
        <w:t>Symphony</w:t>
      </w:r>
      <w:proofErr w:type="spellEnd"/>
      <w:r w:rsidRPr="00D42A19">
        <w:rPr>
          <w:rFonts w:cs="Arial"/>
          <w:i/>
        </w:rPr>
        <w:t>”</w:t>
      </w:r>
      <w:r w:rsidRPr="00D42A19">
        <w:rPr>
          <w:i/>
        </w:rPr>
        <w:t>.</w:t>
      </w:r>
      <w:r w:rsidRPr="00D42A19">
        <w:t xml:space="preserve"> </w:t>
      </w:r>
    </w:p>
    <w:p w:rsidR="005B5E84" w:rsidRPr="00D42A19" w:rsidRDefault="005B5E84" w:rsidP="005B5E84">
      <w:pPr>
        <w:spacing w:after="240"/>
        <w:rPr>
          <w:rFonts w:cs="Arial"/>
        </w:rPr>
      </w:pPr>
      <w:r w:rsidRPr="00D42A19">
        <w:t xml:space="preserve">El Tribunal de Justicia ha desestimado el recurso de casación por infundado y ha condenado al solicitante en costas.  En cuanto al fondo, el Tribunal de Justicia ha confirmado que la disposición relativa al examen de los hechos de oficio por la OCVV, en relación tanto con el examen de fondo como el examen técnico, se aplica también al procedimiento ante la Sala de Recurso. </w:t>
      </w:r>
    </w:p>
    <w:p w:rsidR="005B5E84" w:rsidRPr="00D42A19" w:rsidRDefault="005B5E84" w:rsidP="005B5E84">
      <w:pPr>
        <w:spacing w:after="240"/>
        <w:rPr>
          <w:rFonts w:cs="Arial"/>
        </w:rPr>
      </w:pPr>
      <w:r w:rsidRPr="00D42A19">
        <w:t>En cuanto a los procedimientos de nulidad en virtud del apartado 1 del artículo 20 del Reglamento de base,  la Oficina declara la nulidad de la protección comunitaria de una obtención vegetal (PCOV) si se demuestra que en el momento de la concesión de la protección no se reunían las condiciones de distinción y novedad.  Esas condiciones son un requisito indispensable para la concesión de una PCOV y, por lo tanto, en su ausencia, el derecho concedido es ilícito y es de interés público que se la declare nula de pleno derecho.  También podrá hacerse una declaración de nulidad de una PCOV en interés de un tercero.  Sin embargo, esta posibilidad no justifica que se permita a un tercero solicitar la nulidad de una PCOV en todas las circunstancias y sin razones específicas.  La concesión de una PCOV es el resultado de un examen muy prolongado y complejo.  Por eso, la PCOV disfruta de un amplio margen en cuanto a la nulidad del derecho concedido en la medida en que la obtención vegetal protegida ha sido sometida a un examen de fondo y técnico.  Por lo tanto, solo se justifica un nuevo examen por medio de procedimientos de nulidad cuando existan serias dudas de que las condiciones de concesión de una PCOV no se hayan cumplido.  Por ese motivo, un tercero que procure anular una PCOV debe aportar pruebas y datos de suficiente entidad como para plantear serias dudas acerca de la legalidad de su concesión.  Por consiguiente, el tercero ha soportado el peso de la prueba a ese efecto.</w:t>
      </w:r>
    </w:p>
    <w:p w:rsidR="005B5E84" w:rsidRPr="00D42A19" w:rsidRDefault="005B5E84" w:rsidP="005B5E84">
      <w:pPr>
        <w:keepLines/>
        <w:spacing w:after="240"/>
        <w:ind w:left="720"/>
        <w:rPr>
          <w:rFonts w:cs="Arial"/>
          <w:i/>
        </w:rPr>
      </w:pPr>
      <w:r w:rsidRPr="00D42A19">
        <w:rPr>
          <w:i/>
        </w:rPr>
        <w:t>b)</w:t>
      </w:r>
      <w:r w:rsidRPr="00D42A19">
        <w:tab/>
      </w:r>
      <w:r w:rsidRPr="00D42A19">
        <w:rPr>
          <w:i/>
        </w:rPr>
        <w:t>Sentencia del Tribunal de Justicia (Sala Segunda) de 25 de junio de 2015 en el asunto C</w:t>
      </w:r>
      <w:r w:rsidRPr="00D42A19">
        <w:noBreakHyphen/>
      </w:r>
      <w:r w:rsidRPr="00D42A19">
        <w:rPr>
          <w:i/>
        </w:rPr>
        <w:t xml:space="preserve">242/14 Petición de decisión prejudicial:  planteada por el </w:t>
      </w:r>
      <w:proofErr w:type="spellStart"/>
      <w:r w:rsidRPr="00D42A19">
        <w:rPr>
          <w:i/>
        </w:rPr>
        <w:t>Landgericht</w:t>
      </w:r>
      <w:proofErr w:type="spellEnd"/>
      <w:r w:rsidRPr="00D42A19">
        <w:rPr>
          <w:i/>
        </w:rPr>
        <w:t xml:space="preserve"> </w:t>
      </w:r>
      <w:proofErr w:type="spellStart"/>
      <w:r w:rsidRPr="00D42A19">
        <w:rPr>
          <w:i/>
        </w:rPr>
        <w:t>Mannheim</w:t>
      </w:r>
      <w:proofErr w:type="spellEnd"/>
      <w:r w:rsidRPr="00D42A19">
        <w:rPr>
          <w:i/>
        </w:rPr>
        <w:t xml:space="preserve"> (Alemania).  </w:t>
      </w:r>
      <w:r w:rsidRPr="000F479D">
        <w:rPr>
          <w:i/>
          <w:lang w:val="de-DE"/>
        </w:rPr>
        <w:t>Saatgut-</w:t>
      </w:r>
      <w:proofErr w:type="spellStart"/>
      <w:r w:rsidRPr="000F479D">
        <w:rPr>
          <w:i/>
          <w:lang w:val="de-DE"/>
        </w:rPr>
        <w:t>Treuhandverwaltungs</w:t>
      </w:r>
      <w:proofErr w:type="spellEnd"/>
      <w:r w:rsidRPr="000F479D">
        <w:rPr>
          <w:i/>
          <w:lang w:val="de-DE"/>
        </w:rPr>
        <w:t xml:space="preserve"> GmbH contra Gerhard und Jürgen Vogel GbR y </w:t>
      </w:r>
      <w:proofErr w:type="spellStart"/>
      <w:r w:rsidRPr="000F479D">
        <w:rPr>
          <w:i/>
          <w:lang w:val="de-DE"/>
        </w:rPr>
        <w:t>otros</w:t>
      </w:r>
      <w:proofErr w:type="spellEnd"/>
      <w:r w:rsidRPr="000F479D">
        <w:rPr>
          <w:i/>
          <w:lang w:val="de-DE"/>
        </w:rPr>
        <w:t xml:space="preserve">.  </w:t>
      </w:r>
      <w:r w:rsidRPr="00D42A19">
        <w:rPr>
          <w:i/>
        </w:rPr>
        <w:t xml:space="preserve">Protección comunitaria de las obtenciones vegetales  - Reglamento (CE) Nº 2100/94 - Excepción prevista en el artículo 14 - Utilización por los agricultores del producto de la cosecha con fines de propagación sin autorización del titular - Obligación de los agricultores de pagar una remuneración justa por dicha utilización - Plazo en que debe producirse el pago para poder acogerse a la excepción - Posibilidad del titular de invocar el artículo 94 - Infracción.  </w:t>
      </w:r>
    </w:p>
    <w:p w:rsidR="005B5E84" w:rsidRPr="00D42A19" w:rsidRDefault="005B5E84" w:rsidP="005B5E84">
      <w:pPr>
        <w:spacing w:after="240"/>
        <w:rPr>
          <w:rFonts w:cs="Arial"/>
          <w:i/>
        </w:rPr>
      </w:pPr>
      <w:r w:rsidRPr="00D42A19">
        <w:t>Para poder acogerse a la excepción, prevista en el artículo 14 del Reglamento (CE) Nº 2100/94 del Consejo, de 27 de julio de 1994, relativo a la protección comunitaria de las obtenciones vegetales, a la obligación de obtener la autorización del titular de la protección de la obtención vegetal de que se trate, un agricultor que, sin mediar relación contractual con ese titular, haya utilizado el producto de la cosecha obtenido del cultivo de material de propagación de una variedad protegida (semillas de cultivo), está obligado a cumplir la obligación de pago de la remuneración justa debida, en virtud del citado artículo 14, apartado 3, cuarto guion, en un plazo que expira al final de la campaña de comercialización durante la cual se produjo dicha utilización, es decir, como muy tarde el 30 de junio siguiente a la fecha de resiembra.</w:t>
      </w:r>
    </w:p>
    <w:p w:rsidR="005B5E84" w:rsidRPr="00D42A19" w:rsidRDefault="005B5E84" w:rsidP="005B5E84">
      <w:pPr>
        <w:spacing w:after="240"/>
        <w:rPr>
          <w:rFonts w:cs="Arial"/>
          <w:u w:val="single"/>
        </w:rPr>
      </w:pPr>
      <w:r w:rsidRPr="00D42A19">
        <w:rPr>
          <w:b/>
          <w:u w:val="single"/>
        </w:rPr>
        <w:t>2) Cooperación en el examen</w:t>
      </w:r>
    </w:p>
    <w:p w:rsidR="005B5E84" w:rsidRPr="00D42A19" w:rsidRDefault="005B5E84" w:rsidP="005B5E84">
      <w:pPr>
        <w:spacing w:after="240"/>
        <w:rPr>
          <w:rFonts w:cs="Arial"/>
          <w:u w:val="single"/>
        </w:rPr>
      </w:pPr>
      <w:r w:rsidRPr="00D42A19">
        <w:rPr>
          <w:i/>
          <w:u w:val="single"/>
        </w:rPr>
        <w:t>2.1 Suscripción de nuevos acuerdos:</w:t>
      </w:r>
      <w:r w:rsidRPr="00D42A19">
        <w:t xml:space="preserve">  no se produjeron cambios.</w:t>
      </w:r>
    </w:p>
    <w:p w:rsidR="005B5E84" w:rsidRPr="00D42A19" w:rsidRDefault="005B5E84" w:rsidP="005B5E84">
      <w:pPr>
        <w:spacing w:after="240"/>
        <w:rPr>
          <w:rFonts w:cs="Arial"/>
          <w:u w:val="single"/>
        </w:rPr>
      </w:pPr>
      <w:r w:rsidRPr="00D42A19">
        <w:rPr>
          <w:i/>
          <w:u w:val="single"/>
        </w:rPr>
        <w:t>2.2 Modificación de los ya existentes:</w:t>
      </w:r>
      <w:r w:rsidRPr="00D42A19">
        <w:t xml:space="preserve">  no se produjeron cambios.</w:t>
      </w:r>
    </w:p>
    <w:p w:rsidR="005B5E84" w:rsidRPr="00D42A19" w:rsidRDefault="005B5E84" w:rsidP="005B5E84">
      <w:pPr>
        <w:spacing w:after="240"/>
        <w:rPr>
          <w:rFonts w:cs="Arial"/>
          <w:u w:val="single"/>
        </w:rPr>
      </w:pPr>
      <w:r w:rsidRPr="00D42A19">
        <w:rPr>
          <w:i/>
          <w:u w:val="single"/>
        </w:rPr>
        <w:t>2.3 Memorando de entendimiento con otros países:</w:t>
      </w:r>
      <w:r w:rsidRPr="00D42A19">
        <w:t xml:space="preserve">  no se produjeron cambios.</w:t>
      </w:r>
    </w:p>
    <w:p w:rsidR="005B5E84" w:rsidRPr="00D42A19" w:rsidRDefault="005B5E84" w:rsidP="005B5E84">
      <w:pPr>
        <w:spacing w:after="240"/>
        <w:rPr>
          <w:rFonts w:cs="Arial"/>
          <w:b/>
          <w:u w:val="single"/>
        </w:rPr>
      </w:pPr>
      <w:r w:rsidRPr="00D42A19">
        <w:rPr>
          <w:b/>
          <w:u w:val="single"/>
        </w:rPr>
        <w:t xml:space="preserve">3) Situación en el ámbito administrativo </w:t>
      </w:r>
    </w:p>
    <w:p w:rsidR="005B5E84" w:rsidRPr="00D42A19" w:rsidRDefault="005B5E84" w:rsidP="005B5E84">
      <w:pPr>
        <w:spacing w:after="240"/>
        <w:rPr>
          <w:rFonts w:cs="Arial"/>
          <w:u w:val="single"/>
        </w:rPr>
      </w:pPr>
      <w:r w:rsidRPr="00D42A19">
        <w:rPr>
          <w:i/>
          <w:u w:val="single"/>
        </w:rPr>
        <w:t>Cambios en la estructura administrativa de la OCVV:</w:t>
      </w:r>
      <w:r w:rsidRPr="00D42A19">
        <w:t xml:space="preserve">  no se produjeron cambios.</w:t>
      </w:r>
    </w:p>
    <w:p w:rsidR="005B5E84" w:rsidRPr="00D42A19" w:rsidRDefault="005B5E84" w:rsidP="005B5E84">
      <w:pPr>
        <w:spacing w:after="240"/>
        <w:rPr>
          <w:rFonts w:cs="Arial"/>
          <w:u w:val="single"/>
        </w:rPr>
      </w:pPr>
      <w:r w:rsidRPr="00D42A19">
        <w:rPr>
          <w:b/>
          <w:u w:val="single"/>
        </w:rPr>
        <w:t>4) Situación en el ámbito técnico</w:t>
      </w:r>
    </w:p>
    <w:p w:rsidR="005B5E84" w:rsidRPr="00D42A19" w:rsidRDefault="005B5E84" w:rsidP="005B5E84">
      <w:pPr>
        <w:spacing w:after="240"/>
        <w:rPr>
          <w:rFonts w:cs="Arial"/>
          <w:i/>
          <w:u w:val="single"/>
        </w:rPr>
      </w:pPr>
      <w:r w:rsidRPr="00D42A19">
        <w:rPr>
          <w:i/>
          <w:u w:val="single"/>
        </w:rPr>
        <w:t xml:space="preserve">4.1 Información sobre el funcionamiento de la protección de las obtenciones vegetales en la UE </w:t>
      </w:r>
    </w:p>
    <w:p w:rsidR="005B5E84" w:rsidRPr="00D42A19" w:rsidRDefault="005B5E84" w:rsidP="005B5E84">
      <w:pPr>
        <w:spacing w:after="240"/>
        <w:ind w:left="714" w:hanging="357"/>
        <w:rPr>
          <w:rFonts w:cs="Arial"/>
          <w:bCs/>
          <w:i/>
        </w:rPr>
      </w:pPr>
      <w:r w:rsidRPr="00D42A19">
        <w:rPr>
          <w:i/>
        </w:rPr>
        <w:t xml:space="preserve">a. </w:t>
      </w:r>
      <w:r w:rsidRPr="00D42A19">
        <w:tab/>
      </w:r>
      <w:r w:rsidRPr="00D42A19">
        <w:rPr>
          <w:i/>
        </w:rPr>
        <w:t>Relación con las oficinas de examen</w:t>
      </w:r>
    </w:p>
    <w:p w:rsidR="005B5E84" w:rsidRPr="00D42A19" w:rsidRDefault="005B5E84" w:rsidP="005B5E84">
      <w:pPr>
        <w:spacing w:after="240"/>
        <w:ind w:right="43"/>
        <w:rPr>
          <w:rFonts w:cs="Arial"/>
        </w:rPr>
      </w:pPr>
      <w:r w:rsidRPr="00D42A19">
        <w:t xml:space="preserve">En 2014, la OCVV celebró su decimoctava reunión anual con las oficinas de examen, a la que asistieron también representantes de Oficina de la UPOV y las organizaciones de obtentores (la ESA, la CIOPORA y </w:t>
      </w:r>
      <w:proofErr w:type="spellStart"/>
      <w:r w:rsidRPr="00D42A19">
        <w:rPr>
          <w:i/>
        </w:rPr>
        <w:t>Plantum</w:t>
      </w:r>
      <w:proofErr w:type="spellEnd"/>
      <w:r w:rsidRPr="00D42A19">
        <w:t>), además de un representante de Noruega.  Los principales temas tratados fueron los siguientes:</w:t>
      </w:r>
    </w:p>
    <w:p w:rsidR="005B5E84" w:rsidRPr="00D42A19" w:rsidRDefault="005B5E84" w:rsidP="00DC569B">
      <w:pPr>
        <w:numPr>
          <w:ilvl w:val="0"/>
          <w:numId w:val="8"/>
        </w:numPr>
        <w:autoSpaceDE w:val="0"/>
        <w:autoSpaceDN w:val="0"/>
        <w:adjustRightInd w:val="0"/>
        <w:spacing w:after="120"/>
        <w:ind w:left="641" w:hanging="357"/>
        <w:rPr>
          <w:rFonts w:cs="Arial"/>
        </w:rPr>
      </w:pPr>
      <w:r w:rsidRPr="00D42A19">
        <w:t>la red de funcionarios encargados de la coordinación técnica:  presentación de una nueva estructura;</w:t>
      </w:r>
    </w:p>
    <w:p w:rsidR="005B5E84" w:rsidRPr="00D42A19" w:rsidRDefault="005B5E84" w:rsidP="00DC569B">
      <w:pPr>
        <w:numPr>
          <w:ilvl w:val="0"/>
          <w:numId w:val="8"/>
        </w:numPr>
        <w:autoSpaceDE w:val="0"/>
        <w:autoSpaceDN w:val="0"/>
        <w:adjustRightInd w:val="0"/>
        <w:spacing w:after="120"/>
        <w:ind w:left="641" w:hanging="357"/>
        <w:rPr>
          <w:rFonts w:cs="Arial"/>
        </w:rPr>
      </w:pPr>
      <w:r w:rsidRPr="00D42A19">
        <w:t>discrepancias entre la información que figura en el Cuestionario Técnico y el aspecto de las plantas en el ensayo en cultivo DHE;</w:t>
      </w:r>
    </w:p>
    <w:p w:rsidR="005B5E84" w:rsidRPr="00D42A19" w:rsidRDefault="005B5E84" w:rsidP="00DC569B">
      <w:pPr>
        <w:numPr>
          <w:ilvl w:val="0"/>
          <w:numId w:val="8"/>
        </w:numPr>
        <w:autoSpaceDE w:val="0"/>
        <w:autoSpaceDN w:val="0"/>
        <w:adjustRightInd w:val="0"/>
        <w:spacing w:after="120"/>
        <w:ind w:left="641" w:hanging="357"/>
        <w:rPr>
          <w:rFonts w:cs="Arial"/>
        </w:rPr>
      </w:pPr>
      <w:r w:rsidRPr="00D42A19">
        <w:t>análisis del procedimiento para caracteres adicionales cuando se necesite una intervención de investigación técnica para evaluar el carácter;</w:t>
      </w:r>
    </w:p>
    <w:p w:rsidR="005B5E84" w:rsidRPr="00D42A19" w:rsidRDefault="005B5E84" w:rsidP="00DC569B">
      <w:pPr>
        <w:numPr>
          <w:ilvl w:val="0"/>
          <w:numId w:val="8"/>
        </w:numPr>
        <w:autoSpaceDE w:val="0"/>
        <w:autoSpaceDN w:val="0"/>
        <w:adjustRightInd w:val="0"/>
        <w:spacing w:after="120"/>
        <w:ind w:left="641" w:hanging="357"/>
        <w:rPr>
          <w:rFonts w:cs="Arial"/>
        </w:rPr>
      </w:pPr>
      <w:r w:rsidRPr="00D42A19">
        <w:t>situación de la centralización de las especies ornamentales pequeñas;</w:t>
      </w:r>
    </w:p>
    <w:p w:rsidR="005B5E84" w:rsidRPr="00D42A19" w:rsidRDefault="005B5E84" w:rsidP="00DC569B">
      <w:pPr>
        <w:numPr>
          <w:ilvl w:val="0"/>
          <w:numId w:val="8"/>
        </w:numPr>
        <w:autoSpaceDE w:val="0"/>
        <w:autoSpaceDN w:val="0"/>
        <w:adjustRightInd w:val="0"/>
        <w:spacing w:after="120"/>
        <w:ind w:left="641" w:hanging="357"/>
        <w:rPr>
          <w:rFonts w:cs="Arial"/>
        </w:rPr>
      </w:pPr>
      <w:r w:rsidRPr="00D42A19">
        <w:t>posibilidades de los Estados que no sean miembros de la UE de cooperar con las autoridades de la UPOV en el intercambio de informes de examen técnico;</w:t>
      </w:r>
    </w:p>
    <w:p w:rsidR="005B5E84" w:rsidRPr="00D42A19" w:rsidRDefault="005B5E84" w:rsidP="00DC569B">
      <w:pPr>
        <w:numPr>
          <w:ilvl w:val="0"/>
          <w:numId w:val="8"/>
        </w:numPr>
        <w:autoSpaceDE w:val="0"/>
        <w:autoSpaceDN w:val="0"/>
        <w:adjustRightInd w:val="0"/>
        <w:spacing w:after="120"/>
        <w:ind w:left="641" w:hanging="357"/>
        <w:rPr>
          <w:rFonts w:cs="Arial"/>
        </w:rPr>
      </w:pPr>
      <w:r w:rsidRPr="00D42A19">
        <w:t>actualización de las descripciones de variedades;</w:t>
      </w:r>
    </w:p>
    <w:p w:rsidR="005B5E84" w:rsidRPr="00D42A19" w:rsidRDefault="005B5E84" w:rsidP="00DC569B">
      <w:pPr>
        <w:numPr>
          <w:ilvl w:val="0"/>
          <w:numId w:val="8"/>
        </w:numPr>
        <w:autoSpaceDE w:val="0"/>
        <w:autoSpaceDN w:val="0"/>
        <w:adjustRightInd w:val="0"/>
        <w:spacing w:after="120"/>
        <w:ind w:left="641" w:hanging="357"/>
        <w:rPr>
          <w:rFonts w:cs="Arial"/>
        </w:rPr>
      </w:pPr>
      <w:r w:rsidRPr="00D42A19">
        <w:t>aspectos relativos al principio de “una misma llave para varias puertas”;</w:t>
      </w:r>
    </w:p>
    <w:p w:rsidR="005B5E84" w:rsidRPr="00D42A19" w:rsidRDefault="005B5E84" w:rsidP="00DC569B">
      <w:pPr>
        <w:numPr>
          <w:ilvl w:val="0"/>
          <w:numId w:val="8"/>
        </w:numPr>
        <w:autoSpaceDE w:val="0"/>
        <w:autoSpaceDN w:val="0"/>
        <w:adjustRightInd w:val="0"/>
        <w:spacing w:after="120"/>
        <w:ind w:left="641" w:hanging="357"/>
        <w:rPr>
          <w:rFonts w:cs="Arial"/>
        </w:rPr>
      </w:pPr>
      <w:r w:rsidRPr="00D42A19">
        <w:t>papel de las oficinas de examen como facilitadoras de información sobre la novedad, las denominaciones de variedades y el derecho (otros aspectos que DHE);</w:t>
      </w:r>
    </w:p>
    <w:p w:rsidR="005B5E84" w:rsidRPr="00D42A19" w:rsidRDefault="005B5E84" w:rsidP="00DC569B">
      <w:pPr>
        <w:numPr>
          <w:ilvl w:val="0"/>
          <w:numId w:val="8"/>
        </w:numPr>
        <w:autoSpaceDE w:val="0"/>
        <w:autoSpaceDN w:val="0"/>
        <w:adjustRightInd w:val="0"/>
        <w:spacing w:after="120"/>
        <w:ind w:left="641" w:hanging="357"/>
        <w:rPr>
          <w:rFonts w:cs="Arial"/>
        </w:rPr>
      </w:pPr>
      <w:r w:rsidRPr="00D42A19">
        <w:t>propuesta de revisión de los requisitos que han de satisfacer las oficinas de examen para que se les confíe la ejecución del examen;</w:t>
      </w:r>
    </w:p>
    <w:p w:rsidR="005B5E84" w:rsidRPr="00D42A19" w:rsidRDefault="005B5E84" w:rsidP="00DC569B">
      <w:pPr>
        <w:numPr>
          <w:ilvl w:val="0"/>
          <w:numId w:val="8"/>
        </w:numPr>
        <w:autoSpaceDE w:val="0"/>
        <w:autoSpaceDN w:val="0"/>
        <w:adjustRightInd w:val="0"/>
        <w:spacing w:after="120"/>
        <w:ind w:left="641" w:hanging="357"/>
        <w:rPr>
          <w:rFonts w:cs="Arial"/>
        </w:rPr>
      </w:pPr>
      <w:r w:rsidRPr="00D42A19">
        <w:t xml:space="preserve">introducción de marcas comunitarias en su base de datos </w:t>
      </w:r>
      <w:r w:rsidRPr="00D42A19">
        <w:rPr>
          <w:rFonts w:cs="Arial"/>
        </w:rPr>
        <w:t>“</w:t>
      </w:r>
      <w:proofErr w:type="spellStart"/>
      <w:r w:rsidRPr="00D42A19">
        <w:t>Variety</w:t>
      </w:r>
      <w:proofErr w:type="spellEnd"/>
      <w:r w:rsidRPr="00D42A19">
        <w:t xml:space="preserve"> </w:t>
      </w:r>
      <w:proofErr w:type="spellStart"/>
      <w:r w:rsidRPr="00D42A19">
        <w:t>Finder</w:t>
      </w:r>
      <w:proofErr w:type="spellEnd"/>
      <w:r w:rsidRPr="00D42A19">
        <w:rPr>
          <w:rFonts w:cs="Arial"/>
        </w:rPr>
        <w:t>”</w:t>
      </w:r>
      <w:r w:rsidRPr="00D42A19">
        <w:t xml:space="preserve"> y observaciones de las oficinas de examen;</w:t>
      </w:r>
    </w:p>
    <w:p w:rsidR="005B5E84" w:rsidRPr="00D42A19" w:rsidRDefault="005B5E84" w:rsidP="00DC569B">
      <w:pPr>
        <w:numPr>
          <w:ilvl w:val="0"/>
          <w:numId w:val="8"/>
        </w:numPr>
        <w:autoSpaceDE w:val="0"/>
        <w:autoSpaceDN w:val="0"/>
        <w:adjustRightInd w:val="0"/>
        <w:spacing w:after="240"/>
        <w:ind w:left="641" w:hanging="357"/>
        <w:rPr>
          <w:rFonts w:cs="Arial"/>
        </w:rPr>
      </w:pPr>
      <w:r w:rsidRPr="00D42A19">
        <w:t>información sobre la situación de la estrategia de I+D de la OCVV.</w:t>
      </w:r>
    </w:p>
    <w:p w:rsidR="005B5E84" w:rsidRPr="00D42A19" w:rsidRDefault="005B5E84" w:rsidP="005B5E84">
      <w:pPr>
        <w:spacing w:after="240"/>
        <w:ind w:left="714" w:hanging="357"/>
        <w:rPr>
          <w:rFonts w:cs="Arial"/>
          <w:i/>
        </w:rPr>
      </w:pPr>
      <w:r w:rsidRPr="00D42A19">
        <w:rPr>
          <w:i/>
        </w:rPr>
        <w:t xml:space="preserve">b. </w:t>
      </w:r>
      <w:r w:rsidRPr="00D42A19">
        <w:tab/>
      </w:r>
      <w:r w:rsidRPr="00D42A19">
        <w:rPr>
          <w:i/>
        </w:rPr>
        <w:t xml:space="preserve">Preparación de los protocolos de la OCVV </w:t>
      </w:r>
    </w:p>
    <w:p w:rsidR="005B5E84" w:rsidRPr="00D42A19" w:rsidRDefault="005B5E84" w:rsidP="005B5E84">
      <w:pPr>
        <w:spacing w:after="240"/>
        <w:ind w:right="43"/>
        <w:rPr>
          <w:rFonts w:cs="Arial"/>
        </w:rPr>
      </w:pPr>
      <w:r w:rsidRPr="00D42A19">
        <w:t>En 2014, se invitó a expertos de las oficinas de examen de los Estados miembros a participar en la elaboración o la revisión de protocolos técnicos para el examen DHE, que posteriormente fueron aprobados por el Consejo de Administración o que se espera que sean aprobados en 2015.  Se celebraron las siguientes reuniones de expertos para examinar los protocolos técnicos correspondientes a:</w:t>
      </w:r>
    </w:p>
    <w:p w:rsidR="005B5E84" w:rsidRPr="00D42A19" w:rsidRDefault="005B5E84" w:rsidP="00DC569B">
      <w:pPr>
        <w:numPr>
          <w:ilvl w:val="0"/>
          <w:numId w:val="9"/>
        </w:numPr>
        <w:spacing w:after="120"/>
        <w:ind w:left="714" w:right="43" w:hanging="357"/>
        <w:rPr>
          <w:rFonts w:cs="Arial"/>
        </w:rPr>
      </w:pPr>
      <w:r w:rsidRPr="00D42A19">
        <w:t xml:space="preserve">las especies agrícolas:  cebada, avena, soja, algodón, </w:t>
      </w:r>
      <w:proofErr w:type="spellStart"/>
      <w:r w:rsidRPr="00D42A19">
        <w:t>festuca</w:t>
      </w:r>
      <w:proofErr w:type="spellEnd"/>
      <w:r w:rsidRPr="00D42A19">
        <w:t xml:space="preserve"> alta y </w:t>
      </w:r>
      <w:proofErr w:type="spellStart"/>
      <w:r w:rsidRPr="00D42A19">
        <w:t>festuca</w:t>
      </w:r>
      <w:proofErr w:type="spellEnd"/>
      <w:r w:rsidRPr="00D42A19">
        <w:t xml:space="preserve"> pratense, </w:t>
      </w:r>
      <w:proofErr w:type="spellStart"/>
      <w:r w:rsidRPr="00D42A19">
        <w:t>haboncillo</w:t>
      </w:r>
      <w:proofErr w:type="spellEnd"/>
      <w:r w:rsidRPr="00D42A19">
        <w:t xml:space="preserve"> y veza común; </w:t>
      </w:r>
    </w:p>
    <w:p w:rsidR="005B5E84" w:rsidRPr="00D42A19" w:rsidRDefault="005B5E84" w:rsidP="00DC569B">
      <w:pPr>
        <w:numPr>
          <w:ilvl w:val="0"/>
          <w:numId w:val="9"/>
        </w:numPr>
        <w:spacing w:after="120"/>
        <w:ind w:left="714" w:right="4" w:hanging="357"/>
        <w:rPr>
          <w:rFonts w:cs="Arial"/>
        </w:rPr>
      </w:pPr>
      <w:r w:rsidRPr="00D42A19">
        <w:t>las especies hortícolas:  acelga, colinabo, calabaza/zapallo, escorzonera/salsifí negro, cebollino y guisante/arveja;</w:t>
      </w:r>
    </w:p>
    <w:p w:rsidR="005B5E84" w:rsidRPr="00D42A19" w:rsidRDefault="005B5E84" w:rsidP="00DC569B">
      <w:pPr>
        <w:numPr>
          <w:ilvl w:val="0"/>
          <w:numId w:val="9"/>
        </w:numPr>
        <w:spacing w:after="120"/>
        <w:ind w:left="714" w:right="4" w:hanging="357"/>
        <w:rPr>
          <w:rFonts w:cs="Arial"/>
        </w:rPr>
      </w:pPr>
      <w:r w:rsidRPr="00D42A19">
        <w:t xml:space="preserve">las especies ornamentales:  </w:t>
      </w:r>
      <w:proofErr w:type="spellStart"/>
      <w:r w:rsidRPr="00D42A19">
        <w:rPr>
          <w:i/>
        </w:rPr>
        <w:t>Canna</w:t>
      </w:r>
      <w:proofErr w:type="spellEnd"/>
      <w:r w:rsidRPr="00D42A19">
        <w:rPr>
          <w:i/>
        </w:rPr>
        <w:t xml:space="preserve">, </w:t>
      </w:r>
      <w:proofErr w:type="spellStart"/>
      <w:r w:rsidRPr="00D42A19">
        <w:rPr>
          <w:i/>
        </w:rPr>
        <w:t>Vriesea</w:t>
      </w:r>
      <w:proofErr w:type="spellEnd"/>
      <w:r w:rsidRPr="00D42A19">
        <w:rPr>
          <w:i/>
        </w:rPr>
        <w:t xml:space="preserve">, </w:t>
      </w:r>
      <w:proofErr w:type="spellStart"/>
      <w:r w:rsidRPr="00D42A19">
        <w:rPr>
          <w:i/>
        </w:rPr>
        <w:t>Mandevilla</w:t>
      </w:r>
      <w:proofErr w:type="spellEnd"/>
      <w:r w:rsidRPr="00D42A19">
        <w:t xml:space="preserve"> y</w:t>
      </w:r>
      <w:r w:rsidRPr="00D42A19">
        <w:rPr>
          <w:i/>
        </w:rPr>
        <w:t xml:space="preserve"> </w:t>
      </w:r>
      <w:proofErr w:type="spellStart"/>
      <w:r w:rsidRPr="00D42A19">
        <w:rPr>
          <w:i/>
        </w:rPr>
        <w:t>Hosta</w:t>
      </w:r>
      <w:proofErr w:type="spellEnd"/>
      <w:r w:rsidRPr="00D42A19">
        <w:rPr>
          <w:i/>
        </w:rPr>
        <w:t>;</w:t>
      </w:r>
      <w:r w:rsidRPr="00D42A19">
        <w:t xml:space="preserve"> </w:t>
      </w:r>
    </w:p>
    <w:p w:rsidR="005B5E84" w:rsidRPr="00D42A19" w:rsidRDefault="005B5E84" w:rsidP="00DC569B">
      <w:pPr>
        <w:numPr>
          <w:ilvl w:val="0"/>
          <w:numId w:val="9"/>
        </w:numPr>
        <w:spacing w:after="240"/>
        <w:ind w:left="714" w:hanging="357"/>
        <w:jc w:val="left"/>
        <w:rPr>
          <w:rFonts w:cs="Arial"/>
        </w:rPr>
      </w:pPr>
      <w:r w:rsidRPr="00D42A19">
        <w:t xml:space="preserve">las especies frutales:  durazno /melocotonero y </w:t>
      </w:r>
      <w:proofErr w:type="spellStart"/>
      <w:r w:rsidRPr="00D42A19">
        <w:t>portainjerto</w:t>
      </w:r>
      <w:proofErr w:type="spellEnd"/>
      <w:r w:rsidRPr="00D42A19">
        <w:t xml:space="preserve"> de </w:t>
      </w:r>
      <w:proofErr w:type="spellStart"/>
      <w:r w:rsidRPr="00D42A19">
        <w:rPr>
          <w:i/>
        </w:rPr>
        <w:t>Prunus</w:t>
      </w:r>
      <w:proofErr w:type="spellEnd"/>
      <w:r w:rsidRPr="00D42A19">
        <w:t>.</w:t>
      </w:r>
    </w:p>
    <w:p w:rsidR="005B5E84" w:rsidRPr="00D42A19" w:rsidRDefault="005B5E84" w:rsidP="005B5E84">
      <w:pPr>
        <w:spacing w:after="240"/>
        <w:ind w:left="360"/>
        <w:rPr>
          <w:rFonts w:cs="Arial"/>
          <w:i/>
        </w:rPr>
      </w:pPr>
      <w:r w:rsidRPr="00D42A19">
        <w:rPr>
          <w:i/>
        </w:rPr>
        <w:t>c. Novedades relativas a la base de datos “</w:t>
      </w:r>
      <w:proofErr w:type="spellStart"/>
      <w:r w:rsidRPr="00D42A19">
        <w:rPr>
          <w:i/>
        </w:rPr>
        <w:t>Variety</w:t>
      </w:r>
      <w:proofErr w:type="spellEnd"/>
      <w:r w:rsidRPr="00D42A19">
        <w:rPr>
          <w:i/>
        </w:rPr>
        <w:t xml:space="preserve"> </w:t>
      </w:r>
      <w:proofErr w:type="spellStart"/>
      <w:r w:rsidRPr="00D42A19">
        <w:rPr>
          <w:i/>
        </w:rPr>
        <w:t>Finder</w:t>
      </w:r>
      <w:proofErr w:type="spellEnd"/>
      <w:r w:rsidRPr="00D42A19">
        <w:rPr>
          <w:i/>
        </w:rPr>
        <w:t xml:space="preserve">” de la OCVV </w:t>
      </w:r>
    </w:p>
    <w:p w:rsidR="005B5E84" w:rsidRPr="00D42A19" w:rsidRDefault="005B5E84" w:rsidP="005B5E84">
      <w:pPr>
        <w:tabs>
          <w:tab w:val="left" w:pos="142"/>
        </w:tabs>
        <w:spacing w:after="240"/>
        <w:rPr>
          <w:rFonts w:cs="Arial"/>
        </w:rPr>
      </w:pPr>
      <w:r w:rsidRPr="00D42A19">
        <w:t>“</w:t>
      </w:r>
      <w:proofErr w:type="spellStart"/>
      <w:r w:rsidRPr="00D42A19">
        <w:t>Variety</w:t>
      </w:r>
      <w:proofErr w:type="spellEnd"/>
      <w:r w:rsidRPr="00D42A19">
        <w:t xml:space="preserve"> </w:t>
      </w:r>
      <w:proofErr w:type="spellStart"/>
      <w:r w:rsidRPr="00D42A19">
        <w:t>Finder</w:t>
      </w:r>
      <w:proofErr w:type="spellEnd"/>
      <w:r w:rsidRPr="00D42A19">
        <w:t>” es una base de datos en Internet que fue creada por la OCVV en 2005 con el fin de comprobar las denominaciones de variedades propuestas en el proceso de evaluación de su admisibilidad.  Además de datos correspondientes a los diversos países de las variedades respecto de las cuales se han solicitado u otorgado derechos de obtentor, alberga también listas nacionales de especies agrícolas y hortícolas y algunos registros comerciales.  La base de datos se puede consultar de forma gratuita en el menú “Bases de datos” del sitio web de la OCVV, si bien aún es preciso identificarse mediante una cuenta de usuario y una contraseña.</w:t>
      </w:r>
    </w:p>
    <w:p w:rsidR="005B5E84" w:rsidRPr="00D42A19" w:rsidRDefault="005B5E84" w:rsidP="005B5E84">
      <w:pPr>
        <w:autoSpaceDE w:val="0"/>
        <w:autoSpaceDN w:val="0"/>
        <w:spacing w:after="240"/>
        <w:rPr>
          <w:rFonts w:cs="Arial"/>
        </w:rPr>
      </w:pPr>
      <w:r w:rsidRPr="00D42A19">
        <w:t>Desde mayo de 2014, las marcas comerciales comunitarias inscritas en la Oficina para la Armonización del Mercado Interior (OAMI) se han incorporado y actualizado diariamente en la base de datos “</w:t>
      </w:r>
      <w:proofErr w:type="spellStart"/>
      <w:r w:rsidRPr="00D42A19">
        <w:t>Variety</w:t>
      </w:r>
      <w:proofErr w:type="spellEnd"/>
      <w:r w:rsidRPr="00D42A19">
        <w:t xml:space="preserve"> </w:t>
      </w:r>
      <w:proofErr w:type="spellStart"/>
      <w:r w:rsidRPr="00D42A19">
        <w:t>Finder</w:t>
      </w:r>
      <w:proofErr w:type="spellEnd"/>
      <w:r w:rsidRPr="00D42A19">
        <w:t>”.  Estas marcas comerciales están inscritas en la clase 31 del “Arreglo de Niza” relativo a la clasificación internacional de productos y servicios a los fines del registro de marcas, clase que está integrada por plantas vivas.  Cuando los usuarios comprueban la admisibilidad de la denominación propuesta para una variedad, se presentan las marcas comunitarias en los resultados de la comprobación de denominaciones efectuado en “</w:t>
      </w:r>
      <w:proofErr w:type="spellStart"/>
      <w:r w:rsidRPr="00D42A19">
        <w:t>Variety</w:t>
      </w:r>
      <w:proofErr w:type="spellEnd"/>
      <w:r w:rsidRPr="00D42A19">
        <w:t xml:space="preserve"> </w:t>
      </w:r>
      <w:proofErr w:type="spellStart"/>
      <w:r w:rsidRPr="00D42A19">
        <w:t>Finder</w:t>
      </w:r>
      <w:proofErr w:type="spellEnd"/>
      <w:r w:rsidRPr="00D42A19">
        <w:t>”.</w:t>
      </w:r>
    </w:p>
    <w:p w:rsidR="005B5E84" w:rsidRPr="00D42A19" w:rsidRDefault="005B5E84" w:rsidP="005B5E84">
      <w:pPr>
        <w:tabs>
          <w:tab w:val="left" w:pos="142"/>
        </w:tabs>
        <w:spacing w:after="240"/>
        <w:rPr>
          <w:rFonts w:cs="Arial"/>
        </w:rPr>
      </w:pPr>
      <w:r w:rsidRPr="00D42A19">
        <w:t>Hasta la fecha, se han inscrito más de 940.000 denominaciones procedentes de los Estados miembros de la UE y la UPOV.  En el gráfico siguiente se ofrece un panorama del contenido de la base de datos, con el número total de inscripciones por cada tipo de registro.</w:t>
      </w:r>
    </w:p>
    <w:p w:rsidR="005B5E84" w:rsidRPr="00D42A19" w:rsidRDefault="005B5E84" w:rsidP="005B5E84">
      <w:pPr>
        <w:tabs>
          <w:tab w:val="left" w:pos="142"/>
        </w:tabs>
        <w:spacing w:after="240"/>
        <w:jc w:val="center"/>
        <w:rPr>
          <w:rFonts w:cs="Arial"/>
        </w:rPr>
      </w:pPr>
      <w:r w:rsidRPr="00D42A19">
        <w:rPr>
          <w:rFonts w:cs="Arial"/>
          <w:noProof/>
          <w:lang w:val="en-US"/>
        </w:rPr>
        <w:drawing>
          <wp:inline distT="0" distB="0" distL="0" distR="0" wp14:anchorId="0696F516" wp14:editId="684502A4">
            <wp:extent cx="5569900" cy="3465319"/>
            <wp:effectExtent l="19050" t="0" r="11750" b="1781"/>
            <wp:docPr id="79"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5B5E84" w:rsidRPr="00D42A19" w:rsidRDefault="005B5E84" w:rsidP="005B5E84">
      <w:pPr>
        <w:tabs>
          <w:tab w:val="left" w:pos="142"/>
        </w:tabs>
        <w:spacing w:after="240"/>
        <w:rPr>
          <w:rFonts w:cs="Arial"/>
        </w:rPr>
      </w:pPr>
      <w:r w:rsidRPr="00D42A19">
        <w:t xml:space="preserve">El sistema cuenta con una herramienta de búsqueda muy utilizada por los usuarios de 62 países de todo el mundo.  En 2014 utilizaron la herramienta más clientes (+11%) que en el año anterior. </w:t>
      </w:r>
    </w:p>
    <w:p w:rsidR="005B5E84" w:rsidRPr="00D42A19" w:rsidRDefault="005B5E84" w:rsidP="005B5E84">
      <w:pPr>
        <w:tabs>
          <w:tab w:val="left" w:pos="142"/>
        </w:tabs>
        <w:spacing w:after="240"/>
        <w:rPr>
          <w:rFonts w:cs="Arial"/>
        </w:rPr>
      </w:pPr>
      <w:r w:rsidRPr="00D42A19">
        <w:t xml:space="preserve">En el gráfico de similitud se muestra el número de comprobaciones de similitud efectuadas en la base de datos por las autoridades nacionales o internacionales, los clientes de la OCVV y entidades de otro tipo en los últimos tres años:  en 2014 se efectuaron más de 80.000 comprobaciones. </w:t>
      </w:r>
    </w:p>
    <w:p w:rsidR="005B5E84" w:rsidRPr="00D42A19" w:rsidRDefault="005B5E84" w:rsidP="005B5E84">
      <w:pPr>
        <w:keepNext/>
        <w:tabs>
          <w:tab w:val="left" w:pos="142"/>
        </w:tabs>
        <w:spacing w:after="240"/>
        <w:rPr>
          <w:rFonts w:cs="Arial"/>
        </w:rPr>
      </w:pPr>
      <w:r w:rsidRPr="00D42A19">
        <w:rPr>
          <w:noProof/>
          <w:lang w:val="en-US"/>
        </w:rPr>
        <mc:AlternateContent>
          <mc:Choice Requires="wps">
            <w:drawing>
              <wp:anchor distT="0" distB="0" distL="114300" distR="114300" simplePos="0" relativeHeight="251665408" behindDoc="0" locked="0" layoutInCell="1" allowOverlap="1" wp14:anchorId="3A832984" wp14:editId="54DC81EC">
                <wp:simplePos x="0" y="0"/>
                <wp:positionH relativeFrom="column">
                  <wp:posOffset>3381375</wp:posOffset>
                </wp:positionH>
                <wp:positionV relativeFrom="paragraph">
                  <wp:posOffset>274955</wp:posOffset>
                </wp:positionV>
                <wp:extent cx="657225" cy="153670"/>
                <wp:effectExtent l="0" t="0" r="3810" b="3175"/>
                <wp:wrapNone/>
                <wp:docPr id="5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153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537B95" w:rsidRDefault="005B5E84" w:rsidP="005B5E84">
                            <w:pPr>
                              <w:rPr>
                                <w:b/>
                                <w:sz w:val="16"/>
                              </w:rPr>
                            </w:pPr>
                            <w:r w:rsidRPr="00537B95">
                              <w:rPr>
                                <w:b/>
                                <w:sz w:val="16"/>
                              </w:rPr>
                              <w:t>Leyenda</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65" type="#_x0000_t202" style="position:absolute;left:0;text-align:left;margin-left:266.25pt;margin-top:21.65pt;width:51.75pt;height:12.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ltyhAIAABc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" stroked="f">
                <v:textbox inset=".5mm,.3mm,.5mm,.3mm">
                  <w:txbxContent>
                    <w:p w:rsidR="005B5E84" w:rsidRPr="00537B95" w:rsidRDefault="005B5E84" w:rsidP="005B5E84">
                      <w:pPr>
                        <w:rPr>
                          <w:b/>
                          <w:sz w:val="16"/>
                        </w:rPr>
                      </w:pPr>
                      <w:r w:rsidRPr="00537B95">
                        <w:rPr>
                          <w:b/>
                          <w:sz w:val="16"/>
                        </w:rPr>
                        <w:t>Leyenda</w:t>
                      </w:r>
                    </w:p>
                  </w:txbxContent>
                </v:textbox>
              </v:shape>
            </w:pict>
          </mc:Fallback>
        </mc:AlternateContent>
      </w:r>
      <w:r w:rsidRPr="00D42A19">
        <w:t>Número de comprobaciones de similitud efectuadas en “</w:t>
      </w:r>
      <w:proofErr w:type="spellStart"/>
      <w:r w:rsidRPr="00D42A19">
        <w:t>Variety</w:t>
      </w:r>
      <w:proofErr w:type="spellEnd"/>
      <w:r w:rsidRPr="00D42A19">
        <w:t xml:space="preserve"> </w:t>
      </w:r>
      <w:proofErr w:type="spellStart"/>
      <w:r w:rsidRPr="00D42A19">
        <w:t>Finder</w:t>
      </w:r>
      <w:proofErr w:type="spellEnd"/>
      <w:r w:rsidRPr="00D42A19">
        <w:t xml:space="preserve">” </w:t>
      </w:r>
    </w:p>
    <w:p w:rsidR="005B5E84" w:rsidRPr="00D42A19" w:rsidRDefault="00D42A19" w:rsidP="005B5E84">
      <w:pPr>
        <w:tabs>
          <w:tab w:val="left" w:pos="142"/>
        </w:tabs>
        <w:spacing w:after="240"/>
        <w:rPr>
          <w:rFonts w:cs="Arial"/>
        </w:rPr>
      </w:pPr>
      <w:r w:rsidRPr="00D42A19">
        <w:rPr>
          <w:rFonts w:cs="Arial"/>
          <w:noProof/>
          <w:lang w:val="en-US"/>
        </w:rPr>
        <mc:AlternateContent>
          <mc:Choice Requires="wps">
            <w:drawing>
              <wp:anchor distT="0" distB="0" distL="114300" distR="114300" simplePos="0" relativeHeight="251666432" behindDoc="0" locked="0" layoutInCell="1" allowOverlap="1" wp14:anchorId="2A7113D3" wp14:editId="4F125E5E">
                <wp:simplePos x="0" y="0"/>
                <wp:positionH relativeFrom="column">
                  <wp:posOffset>3557270</wp:posOffset>
                </wp:positionH>
                <wp:positionV relativeFrom="paragraph">
                  <wp:posOffset>101600</wp:posOffset>
                </wp:positionV>
                <wp:extent cx="1960880" cy="577215"/>
                <wp:effectExtent l="0" t="0" r="1270" b="0"/>
                <wp:wrapNone/>
                <wp:docPr id="7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0880" cy="577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65094F" w:rsidRDefault="005B5E84" w:rsidP="00D42A19">
                            <w:pPr>
                              <w:spacing w:line="250" w:lineRule="exact"/>
                              <w:rPr>
                                <w:sz w:val="16"/>
                              </w:rPr>
                            </w:pPr>
                            <w:r w:rsidRPr="0065094F">
                              <w:rPr>
                                <w:sz w:val="16"/>
                              </w:rPr>
                              <w:t>Autoridades nacionales e internacionales</w:t>
                            </w:r>
                          </w:p>
                          <w:p w:rsidR="005B5E84" w:rsidRPr="0065094F" w:rsidRDefault="005B5E84" w:rsidP="00D42A19">
                            <w:pPr>
                              <w:spacing w:line="250" w:lineRule="exact"/>
                              <w:rPr>
                                <w:sz w:val="16"/>
                              </w:rPr>
                            </w:pPr>
                            <w:r w:rsidRPr="0065094F">
                              <w:rPr>
                                <w:sz w:val="16"/>
                              </w:rPr>
                              <w:t>Clientes de la OCVV</w:t>
                            </w:r>
                          </w:p>
                          <w:p w:rsidR="005B5E84" w:rsidRPr="0065094F" w:rsidRDefault="005B5E84" w:rsidP="00D42A19">
                            <w:pPr>
                              <w:spacing w:line="250" w:lineRule="exact"/>
                              <w:rPr>
                                <w:sz w:val="16"/>
                              </w:rPr>
                            </w:pPr>
                            <w:r w:rsidRPr="0065094F">
                              <w:rPr>
                                <w:sz w:val="16"/>
                              </w:rPr>
                              <w:t>Otras categorías</w:t>
                            </w:r>
                          </w:p>
                        </w:txbxContent>
                      </wps:txbx>
                      <wps:bodyPr rot="0" vert="horz" wrap="square" lIns="18000" tIns="10800" rIns="18000" bIns="1080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66" type="#_x0000_t202" style="position:absolute;left:0;text-align:left;margin-left:280.1pt;margin-top:8pt;width:154.4pt;height:45.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" stroked="f">
                <v:textbox inset=".5mm,.3mm,.5mm,.3mm">
                  <w:txbxContent>
                    <w:p w:rsidR="005B5E84" w:rsidRPr="0065094F" w:rsidRDefault="005B5E84" w:rsidP="00D42A19">
                      <w:pPr>
                        <w:spacing w:line="250" w:lineRule="exact"/>
                        <w:rPr>
                          <w:sz w:val="16"/>
                        </w:rPr>
                      </w:pPr>
                      <w:r w:rsidRPr="0065094F">
                        <w:rPr>
                          <w:sz w:val="16"/>
                        </w:rPr>
                        <w:t>Autoridades nacionales e internacionales</w:t>
                      </w:r>
                    </w:p>
                    <w:p w:rsidR="005B5E84" w:rsidRPr="0065094F" w:rsidRDefault="005B5E84" w:rsidP="00D42A19">
                      <w:pPr>
                        <w:spacing w:line="250" w:lineRule="exact"/>
                        <w:rPr>
                          <w:sz w:val="16"/>
                        </w:rPr>
                      </w:pPr>
                      <w:r w:rsidRPr="0065094F">
                        <w:rPr>
                          <w:sz w:val="16"/>
                        </w:rPr>
                        <w:t>Clientes de la OCVV</w:t>
                      </w:r>
                    </w:p>
                    <w:p w:rsidR="005B5E84" w:rsidRPr="0065094F" w:rsidRDefault="005B5E84" w:rsidP="00D42A19">
                      <w:pPr>
                        <w:spacing w:line="250" w:lineRule="exact"/>
                        <w:rPr>
                          <w:sz w:val="16"/>
                        </w:rPr>
                      </w:pPr>
                      <w:r w:rsidRPr="0065094F">
                        <w:rPr>
                          <w:sz w:val="16"/>
                        </w:rPr>
                        <w:t>Otras categorías</w:t>
                      </w:r>
                    </w:p>
                  </w:txbxContent>
                </v:textbox>
              </v:shape>
            </w:pict>
          </mc:Fallback>
        </mc:AlternateContent>
      </w:r>
      <w:r w:rsidR="005B5E84" w:rsidRPr="00D42A19">
        <w:rPr>
          <w:noProof/>
          <w:lang w:val="en-US"/>
        </w:rPr>
        <mc:AlternateContent>
          <mc:Choice Requires="wpg">
            <w:drawing>
              <wp:anchor distT="0" distB="0" distL="114300" distR="114300" simplePos="0" relativeHeight="251671552" behindDoc="0" locked="0" layoutInCell="1" allowOverlap="1" wp14:anchorId="0EBB1863" wp14:editId="3AA35872">
                <wp:simplePos x="0" y="0"/>
                <wp:positionH relativeFrom="column">
                  <wp:posOffset>-32385</wp:posOffset>
                </wp:positionH>
                <wp:positionV relativeFrom="paragraph">
                  <wp:posOffset>92710</wp:posOffset>
                </wp:positionV>
                <wp:extent cx="495935" cy="3564255"/>
                <wp:effectExtent l="1905" t="0" r="0" b="635"/>
                <wp:wrapNone/>
                <wp:docPr id="51"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935" cy="3564255"/>
                          <a:chOff x="1083" y="9146"/>
                          <a:chExt cx="781" cy="5613"/>
                        </a:xfrm>
                      </wpg:grpSpPr>
                      <wps:wsp>
                        <wps:cNvPr id="52" name="Text Box 15"/>
                        <wps:cNvSpPr txBox="1">
                          <a:spLocks noChangeArrowheads="1"/>
                        </wps:cNvSpPr>
                        <wps:spPr bwMode="auto">
                          <a:xfrm>
                            <a:off x="1311" y="14515"/>
                            <a:ext cx="505" cy="244"/>
                          </a:xfrm>
                          <a:prstGeom prst="rect">
                            <a:avLst/>
                          </a:prstGeom>
                          <a:solidFill>
                            <a:schemeClr val="bg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5B5E84" w:rsidRPr="00537B95" w:rsidRDefault="005B5E84" w:rsidP="005B5E84">
                              <w:pPr>
                                <w:rPr>
                                  <w:sz w:val="14"/>
                                </w:rPr>
                              </w:pPr>
                              <w:r>
                                <w:rPr>
                                  <w:sz w:val="14"/>
                                </w:rPr>
                                <w:t>10.000</w:t>
                              </w:r>
                            </w:p>
                          </w:txbxContent>
                        </wps:txbx>
                        <wps:bodyPr rot="0" vert="horz" wrap="square" lIns="18000" tIns="10800" rIns="18000" bIns="10800" anchor="t" anchorCtr="0" upright="1">
                          <a:noAutofit/>
                        </wps:bodyPr>
                      </wps:wsp>
                      <wps:wsp>
                        <wps:cNvPr id="53" name="Text Box 16"/>
                        <wps:cNvSpPr txBox="1">
                          <a:spLocks noChangeArrowheads="1"/>
                        </wps:cNvSpPr>
                        <wps:spPr bwMode="auto">
                          <a:xfrm>
                            <a:off x="1313" y="13796"/>
                            <a:ext cx="531" cy="244"/>
                          </a:xfrm>
                          <a:prstGeom prst="rect">
                            <a:avLst/>
                          </a:prstGeom>
                          <a:solidFill>
                            <a:schemeClr val="bg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5B5E84" w:rsidRPr="00537B95" w:rsidRDefault="005B5E84" w:rsidP="005B5E84">
                              <w:pPr>
                                <w:rPr>
                                  <w:sz w:val="14"/>
                                </w:rPr>
                              </w:pPr>
                              <w:r>
                                <w:rPr>
                                  <w:sz w:val="14"/>
                                </w:rPr>
                                <w:t>20.000</w:t>
                              </w:r>
                            </w:p>
                          </w:txbxContent>
                        </wps:txbx>
                        <wps:bodyPr rot="0" vert="horz" wrap="square" lIns="18000" tIns="10800" rIns="18000" bIns="10800" anchor="t" anchorCtr="0" upright="1">
                          <a:noAutofit/>
                        </wps:bodyPr>
                      </wps:wsp>
                      <wps:wsp>
                        <wps:cNvPr id="54" name="Text Box 17"/>
                        <wps:cNvSpPr txBox="1">
                          <a:spLocks noChangeArrowheads="1"/>
                        </wps:cNvSpPr>
                        <wps:spPr bwMode="auto">
                          <a:xfrm>
                            <a:off x="1322" y="13070"/>
                            <a:ext cx="529" cy="244"/>
                          </a:xfrm>
                          <a:prstGeom prst="rect">
                            <a:avLst/>
                          </a:prstGeom>
                          <a:solidFill>
                            <a:schemeClr val="bg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5B5E84" w:rsidRPr="00537B95" w:rsidRDefault="005B5E84" w:rsidP="005B5E84">
                              <w:pPr>
                                <w:rPr>
                                  <w:sz w:val="14"/>
                                </w:rPr>
                              </w:pPr>
                              <w:r>
                                <w:rPr>
                                  <w:sz w:val="14"/>
                                </w:rPr>
                                <w:t>30.000</w:t>
                              </w:r>
                            </w:p>
                          </w:txbxContent>
                        </wps:txbx>
                        <wps:bodyPr rot="0" vert="horz" wrap="square" lIns="18000" tIns="10800" rIns="18000" bIns="10800" anchor="t" anchorCtr="0" upright="1">
                          <a:noAutofit/>
                        </wps:bodyPr>
                      </wps:wsp>
                      <wps:wsp>
                        <wps:cNvPr id="55" name="Text Box 18"/>
                        <wps:cNvSpPr txBox="1">
                          <a:spLocks noChangeArrowheads="1"/>
                        </wps:cNvSpPr>
                        <wps:spPr bwMode="auto">
                          <a:xfrm>
                            <a:off x="1324" y="12358"/>
                            <a:ext cx="531" cy="244"/>
                          </a:xfrm>
                          <a:prstGeom prst="rect">
                            <a:avLst/>
                          </a:prstGeom>
                          <a:solidFill>
                            <a:schemeClr val="bg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5B5E84" w:rsidRPr="00537B95" w:rsidRDefault="005B5E84" w:rsidP="005B5E84">
                              <w:pPr>
                                <w:rPr>
                                  <w:sz w:val="14"/>
                                </w:rPr>
                              </w:pPr>
                              <w:r>
                                <w:rPr>
                                  <w:sz w:val="14"/>
                                </w:rPr>
                                <w:t>40.000</w:t>
                              </w:r>
                            </w:p>
                          </w:txbxContent>
                        </wps:txbx>
                        <wps:bodyPr rot="0" vert="horz" wrap="square" lIns="18000" tIns="10800" rIns="18000" bIns="10800" anchor="t" anchorCtr="0" upright="1">
                          <a:noAutofit/>
                        </wps:bodyPr>
                      </wps:wsp>
                      <wps:wsp>
                        <wps:cNvPr id="56" name="Text Box 19"/>
                        <wps:cNvSpPr txBox="1">
                          <a:spLocks noChangeArrowheads="1"/>
                        </wps:cNvSpPr>
                        <wps:spPr bwMode="auto">
                          <a:xfrm>
                            <a:off x="1333" y="9420"/>
                            <a:ext cx="531" cy="244"/>
                          </a:xfrm>
                          <a:prstGeom prst="rect">
                            <a:avLst/>
                          </a:prstGeom>
                          <a:solidFill>
                            <a:schemeClr val="bg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5B5E84" w:rsidRPr="00537B95" w:rsidRDefault="005B5E84" w:rsidP="005B5E84">
                              <w:pPr>
                                <w:rPr>
                                  <w:sz w:val="14"/>
                                </w:rPr>
                              </w:pPr>
                              <w:r>
                                <w:rPr>
                                  <w:sz w:val="14"/>
                                </w:rPr>
                                <w:t>80.000</w:t>
                              </w:r>
                            </w:p>
                          </w:txbxContent>
                        </wps:txbx>
                        <wps:bodyPr rot="0" vert="horz" wrap="square" lIns="18000" tIns="10800" rIns="18000" bIns="10800" anchor="t" anchorCtr="0" upright="1">
                          <a:noAutofit/>
                        </wps:bodyPr>
                      </wps:wsp>
                      <wps:wsp>
                        <wps:cNvPr id="57" name="Text Box 20"/>
                        <wps:cNvSpPr txBox="1">
                          <a:spLocks noChangeArrowheads="1"/>
                        </wps:cNvSpPr>
                        <wps:spPr bwMode="auto">
                          <a:xfrm>
                            <a:off x="1328" y="10192"/>
                            <a:ext cx="531" cy="244"/>
                          </a:xfrm>
                          <a:prstGeom prst="rect">
                            <a:avLst/>
                          </a:prstGeom>
                          <a:solidFill>
                            <a:schemeClr val="bg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5B5E84" w:rsidRPr="00537B95" w:rsidRDefault="005B5E84" w:rsidP="005B5E84">
                              <w:pPr>
                                <w:rPr>
                                  <w:sz w:val="14"/>
                                </w:rPr>
                              </w:pPr>
                              <w:r>
                                <w:rPr>
                                  <w:sz w:val="14"/>
                                </w:rPr>
                                <w:t>70.000</w:t>
                              </w:r>
                            </w:p>
                          </w:txbxContent>
                        </wps:txbx>
                        <wps:bodyPr rot="0" vert="horz" wrap="square" lIns="18000" tIns="10800" rIns="18000" bIns="10800" anchor="t" anchorCtr="0" upright="1">
                          <a:noAutofit/>
                        </wps:bodyPr>
                      </wps:wsp>
                      <wps:wsp>
                        <wps:cNvPr id="58" name="Text Box 21"/>
                        <wps:cNvSpPr txBox="1">
                          <a:spLocks noChangeArrowheads="1"/>
                        </wps:cNvSpPr>
                        <wps:spPr bwMode="auto">
                          <a:xfrm>
                            <a:off x="1330" y="10901"/>
                            <a:ext cx="531" cy="244"/>
                          </a:xfrm>
                          <a:prstGeom prst="rect">
                            <a:avLst/>
                          </a:prstGeom>
                          <a:solidFill>
                            <a:schemeClr val="bg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5B5E84" w:rsidRPr="00537B95" w:rsidRDefault="005B5E84" w:rsidP="005B5E84">
                              <w:pPr>
                                <w:rPr>
                                  <w:sz w:val="14"/>
                                </w:rPr>
                              </w:pPr>
                              <w:r>
                                <w:rPr>
                                  <w:sz w:val="14"/>
                                </w:rPr>
                                <w:t>60.000</w:t>
                              </w:r>
                            </w:p>
                          </w:txbxContent>
                        </wps:txbx>
                        <wps:bodyPr rot="0" vert="horz" wrap="square" lIns="18000" tIns="10800" rIns="18000" bIns="10800" anchor="t" anchorCtr="0" upright="1">
                          <a:noAutofit/>
                        </wps:bodyPr>
                      </wps:wsp>
                      <wps:wsp>
                        <wps:cNvPr id="59" name="Text Box 22"/>
                        <wps:cNvSpPr txBox="1">
                          <a:spLocks noChangeArrowheads="1"/>
                        </wps:cNvSpPr>
                        <wps:spPr bwMode="auto">
                          <a:xfrm>
                            <a:off x="1332" y="11638"/>
                            <a:ext cx="531" cy="244"/>
                          </a:xfrm>
                          <a:prstGeom prst="rect">
                            <a:avLst/>
                          </a:prstGeom>
                          <a:solidFill>
                            <a:schemeClr val="bg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5B5E84" w:rsidRPr="00537B95" w:rsidRDefault="005B5E84" w:rsidP="005B5E84">
                              <w:pPr>
                                <w:rPr>
                                  <w:sz w:val="14"/>
                                </w:rPr>
                              </w:pPr>
                              <w:r>
                                <w:rPr>
                                  <w:sz w:val="14"/>
                                </w:rPr>
                                <w:t>50.000</w:t>
                              </w:r>
                            </w:p>
                          </w:txbxContent>
                        </wps:txbx>
                        <wps:bodyPr rot="0" vert="horz" wrap="square" lIns="18000" tIns="10800" rIns="18000" bIns="10800" anchor="t" anchorCtr="0" upright="1">
                          <a:noAutofit/>
                        </wps:bodyPr>
                      </wps:wsp>
                      <wps:wsp>
                        <wps:cNvPr id="60" name="Text Box 23"/>
                        <wps:cNvSpPr txBox="1">
                          <a:spLocks noChangeArrowheads="1"/>
                        </wps:cNvSpPr>
                        <wps:spPr bwMode="auto">
                          <a:xfrm>
                            <a:off x="1083" y="9146"/>
                            <a:ext cx="249" cy="4261"/>
                          </a:xfrm>
                          <a:prstGeom prst="rect">
                            <a:avLst/>
                          </a:prstGeom>
                          <a:solidFill>
                            <a:schemeClr val="bg1">
                              <a:lumMod val="100000"/>
                              <a:lumOff val="0"/>
                            </a:schemeClr>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5B5E84" w:rsidRPr="00537B95" w:rsidRDefault="005B5E84" w:rsidP="005B5E84">
                              <w:pPr>
                                <w:rPr>
                                  <w:sz w:val="14"/>
                                </w:rPr>
                              </w:pPr>
                              <w:r>
                                <w:rPr>
                                  <w:sz w:val="14"/>
                                </w:rPr>
                                <w:t>Total de comprobaciones de distinción</w:t>
                              </w:r>
                            </w:p>
                          </w:txbxContent>
                        </wps:txbx>
                        <wps:bodyPr rot="0" vert="vert270"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67" style="position:absolute;left:0;text-align:left;margin-left:-2.55pt;margin-top:7.3pt;width:39.05pt;height:280.65pt;z-index:251671552" coordorigin="1083,9146" coordsize="781,56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">
                <v:shape id="Text Box 15" o:spid="_x0000_s1068" type="#_x0000_t202" style="position:absolute;left:1311;top:14515;width:505;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PI88MA&#10;AADbAAAADwAAAGRycy9kb3ducmV2LnhtbESPwWrDMBBE74X8g9hCb7Vcl5TUiWJMIOBLD0lDzhtp&#10;a5tYK2PJjvP3UaHQ4zAzb5hNMdtOTDT41rGCtyQFQaydablWcPrev65A+IBssHNMCu7kodgunjaY&#10;G3fjA03HUIsIYZ+jgiaEPpfS64Ys+sT1xNH7cYPFEOVQSzPgLcJtJ7M0/ZAWW44LDfa0a0hfj6NV&#10;MGdcZu9lVY3nLz5f7F537adW6uV5LtcgAs3hP/zXroyCZQa/X+IPkN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JPI88MAAADbAAAADwAAAAAAAAAAAAAAAACYAgAAZHJzL2Rv&#10;d25yZXYueG1sUEsFBgAAAAAEAAQA9QAAAIgDAAAAAA==&#10;" fillcolor="white [3212]" stroked="f" strokecolor="#f2f2f2 [3041]" strokeweight="3pt">
                  <v:shadow color="#974706 [1609]" opacity=".5" offset="1pt"/>
                  <v:textbox inset=".5mm,.3mm,.5mm,.3mm">
                    <w:txbxContent>
                      <w:p w:rsidR="005B5E84" w:rsidRPr="00537B95" w:rsidRDefault="005B5E84" w:rsidP="005B5E84">
                        <w:pPr>
                          <w:rPr>
                            <w:sz w:val="14"/>
                          </w:rPr>
                        </w:pPr>
                        <w:r>
                          <w:rPr>
                            <w:sz w:val="14"/>
                          </w:rPr>
                          <w:t>10.000</w:t>
                        </w:r>
                      </w:p>
                    </w:txbxContent>
                  </v:textbox>
                </v:shape>
                <v:shape id="Text Box 16" o:spid="_x0000_s1069" type="#_x0000_t202" style="position:absolute;left:1313;top:13796;width:531;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9taMMA&#10;AADbAAAADwAAAGRycy9kb3ducmV2LnhtbESPwWrDMBBE74X8g9hAbrVcm5bUiRJMIOBLD3WDz1tp&#10;Y5taK2MpifP3UaHQ4zAzb5jtfraDuNLke8cKXpIUBLF2pudWwenr+LwG4QOywcExKbiTh/1u8bTF&#10;wrgbf9K1Dq2IEPYFKuhCGAspve7Iok/cSBy9s5sshiinVpoJbxFuB5ml6Zu02HNc6HCkQ0f6p75Y&#10;BXPGZZaXVXVpPrj5tkc99O9aqdVyLjcgAs3hP/zXroyC1xx+v8QfIH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99taMMAAADbAAAADwAAAAAAAAAAAAAAAACYAgAAZHJzL2Rv&#10;d25yZXYueG1sUEsFBgAAAAAEAAQA9QAAAIgDAAAAAA==&#10;" fillcolor="white [3212]" stroked="f" strokecolor="#f2f2f2 [3041]" strokeweight="3pt">
                  <v:shadow color="#974706 [1609]" opacity=".5" offset="1pt"/>
                  <v:textbox inset=".5mm,.3mm,.5mm,.3mm">
                    <w:txbxContent>
                      <w:p w:rsidR="005B5E84" w:rsidRPr="00537B95" w:rsidRDefault="005B5E84" w:rsidP="005B5E84">
                        <w:pPr>
                          <w:rPr>
                            <w:sz w:val="14"/>
                          </w:rPr>
                        </w:pPr>
                        <w:r>
                          <w:rPr>
                            <w:sz w:val="14"/>
                          </w:rPr>
                          <w:t>20.000</w:t>
                        </w:r>
                      </w:p>
                    </w:txbxContent>
                  </v:textbox>
                </v:shape>
                <v:shape id="Text Box 17" o:spid="_x0000_s1070" type="#_x0000_t202" style="position:absolute;left:1322;top:13070;width:529;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b1HMIA&#10;AADbAAAADwAAAGRycy9kb3ducmV2LnhtbESPT4vCMBTE78J+h/AWvGm69Q9ajVIEoZc96C6en8mz&#10;Ldu8lCZq/fYbQfA4zMxvmPW2t424Uedrxwq+xgkIYu1MzaWC35/9aAHCB2SDjWNS8CAP283HYI2Z&#10;cXc+0O0YShEh7DNUUIXQZlJ6XZFFP3YtcfQurrMYouxKaTq8R7htZJokc2mx5rhQYUu7ivTf8WoV&#10;9Cnn6SQviuvpm09nu9dNvdRKDT/7fAUiUB/e4Ve7MApmU3h+iT9Ab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NvUcwgAAANsAAAAPAAAAAAAAAAAAAAAAAJgCAABkcnMvZG93&#10;bnJldi54bWxQSwUGAAAAAAQABAD1AAAAhwMAAAAA&#10;" fillcolor="white [3212]" stroked="f" strokecolor="#f2f2f2 [3041]" strokeweight="3pt">
                  <v:shadow color="#974706 [1609]" opacity=".5" offset="1pt"/>
                  <v:textbox inset=".5mm,.3mm,.5mm,.3mm">
                    <w:txbxContent>
                      <w:p w:rsidR="005B5E84" w:rsidRPr="00537B95" w:rsidRDefault="005B5E84" w:rsidP="005B5E84">
                        <w:pPr>
                          <w:rPr>
                            <w:sz w:val="14"/>
                          </w:rPr>
                        </w:pPr>
                        <w:r>
                          <w:rPr>
                            <w:sz w:val="14"/>
                          </w:rPr>
                          <w:t>30.000</w:t>
                        </w:r>
                      </w:p>
                    </w:txbxContent>
                  </v:textbox>
                </v:shape>
                <v:shape id="Text Box 18" o:spid="_x0000_s1071" type="#_x0000_t202" style="position:absolute;left:1324;top:12358;width:531;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pQh8EA&#10;AADbAAAADwAAAGRycy9kb3ducmV2LnhtbESPQYvCMBSE7wv+h/AEb2tqRVmrUYog9OJhdfH8TJ5t&#10;sXkpTdT6782C4HGYmW+Y1aa3jbhT52vHCibjBASxdqbmUsHfcff9A8IHZIONY1LwJA+b9eBrhZlx&#10;D/6l+yGUIkLYZ6igCqHNpPS6Iot+7Fri6F1cZzFE2ZXSdPiIcNvINEnm0mLNcaHClrYV6evhZhX0&#10;KefpNC+K22nPp7Pd6aZeaKVGwz5fggjUh0/43S6MgtkM/r/EHyDX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d6UIfBAAAA2wAAAA8AAAAAAAAAAAAAAAAAmAIAAGRycy9kb3du&#10;cmV2LnhtbFBLBQYAAAAABAAEAPUAAACGAwAAAAA=&#10;" fillcolor="white [3212]" stroked="f" strokecolor="#f2f2f2 [3041]" strokeweight="3pt">
                  <v:shadow color="#974706 [1609]" opacity=".5" offset="1pt"/>
                  <v:textbox inset=".5mm,.3mm,.5mm,.3mm">
                    <w:txbxContent>
                      <w:p w:rsidR="005B5E84" w:rsidRPr="00537B95" w:rsidRDefault="005B5E84" w:rsidP="005B5E84">
                        <w:pPr>
                          <w:rPr>
                            <w:sz w:val="14"/>
                          </w:rPr>
                        </w:pPr>
                        <w:r>
                          <w:rPr>
                            <w:sz w:val="14"/>
                          </w:rPr>
                          <w:t>40.000</w:t>
                        </w:r>
                      </w:p>
                    </w:txbxContent>
                  </v:textbox>
                </v:shape>
                <v:shape id="Text Box 19" o:spid="_x0000_s1072" type="#_x0000_t202" style="position:absolute;left:1333;top:9420;width:531;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jO8MMA&#10;AADbAAAADwAAAGRycy9kb3ducmV2LnhtbESPwWrDMBBE74H+g9hCb4lcl5rEjWJMIeBLD3FDzhtp&#10;a5taK2PJjvv3VaDQ4zAzb5h9sdhezDT6zrGC500Cglg703Gj4Px5XG9B+IBssHdMCn7IQ3F4WO0x&#10;N+7GJ5rr0IgIYZ+jgjaEIZfS65Ys+o0biKP35UaLIcqxkWbEW4TbXqZJkkmLHceFFgd6b0l/15NV&#10;sKRcpi9lVU2XD75c7VH33U4r9fS4lG8gAi3hP/zXroyC1wzuX+IPkI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jO8MMAAADbAAAADwAAAAAAAAAAAAAAAACYAgAAZHJzL2Rv&#10;d25yZXYueG1sUEsFBgAAAAAEAAQA9QAAAIgDAAAAAA==&#10;" fillcolor="white [3212]" stroked="f" strokecolor="#f2f2f2 [3041]" strokeweight="3pt">
                  <v:shadow color="#974706 [1609]" opacity=".5" offset="1pt"/>
                  <v:textbox inset=".5mm,.3mm,.5mm,.3mm">
                    <w:txbxContent>
                      <w:p w:rsidR="005B5E84" w:rsidRPr="00537B95" w:rsidRDefault="005B5E84" w:rsidP="005B5E84">
                        <w:pPr>
                          <w:rPr>
                            <w:sz w:val="14"/>
                          </w:rPr>
                        </w:pPr>
                        <w:r>
                          <w:rPr>
                            <w:sz w:val="14"/>
                          </w:rPr>
                          <w:t>80.000</w:t>
                        </w:r>
                      </w:p>
                    </w:txbxContent>
                  </v:textbox>
                </v:shape>
                <v:shape id="_x0000_s1073" type="#_x0000_t202" style="position:absolute;left:1328;top:10192;width:531;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Rra8IA&#10;AADbAAAADwAAAGRycy9kb3ducmV2LnhtbESPT4vCMBTE78J+h/AWvGm6Ff9VoxRB6GUPuovnZ/Js&#10;yzYvpYlav/1GEDwOM/MbZr3tbSNu1PnasYKvcQKCWDtTc6ng92c/WoDwAdlg45gUPMjDdvMxWGNm&#10;3J0PdDuGUkQI+wwVVCG0mZReV2TRj11LHL2L6yyGKLtSmg7vEW4bmSbJTFqsOS5U2NKuIv13vFoF&#10;fcp5OsmL4nr65tPZ7nVTL7VSw88+X4EI1Id3+NUujILpHJ5f4g+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5GtrwgAAANsAAAAPAAAAAAAAAAAAAAAAAJgCAABkcnMvZG93&#10;bnJldi54bWxQSwUGAAAAAAQABAD1AAAAhwMAAAAA&#10;" fillcolor="white [3212]" stroked="f" strokecolor="#f2f2f2 [3041]" strokeweight="3pt">
                  <v:shadow color="#974706 [1609]" opacity=".5" offset="1pt"/>
                  <v:textbox inset=".5mm,.3mm,.5mm,.3mm">
                    <w:txbxContent>
                      <w:p w:rsidR="005B5E84" w:rsidRPr="00537B95" w:rsidRDefault="005B5E84" w:rsidP="005B5E84">
                        <w:pPr>
                          <w:rPr>
                            <w:sz w:val="14"/>
                          </w:rPr>
                        </w:pPr>
                        <w:r>
                          <w:rPr>
                            <w:sz w:val="14"/>
                          </w:rPr>
                          <w:t>70.000</w:t>
                        </w:r>
                      </w:p>
                    </w:txbxContent>
                  </v:textbox>
                </v:shape>
                <v:shape id="Text Box 21" o:spid="_x0000_s1074" type="#_x0000_t202" style="position:absolute;left:1330;top:10901;width:531;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v/GcAA&#10;AADbAAAADwAAAGRycy9kb3ducmV2LnhtbERPz2uDMBS+F/o/hFfYrcZZOjbXKFIoeNmhbnh+S95U&#10;Zl7EpNX998thsOPH9/tUrnYUd5r94FjBY5KCINbODNwp+Hi/7J9B+IBscHRMCn7IQ1lsNyfMjVv4&#10;SvcmdCKGsM9RQR/ClEvpdU8WfeIm4sh9udliiHDupJlxieF2lFmaPkmLA8eGHic696S/m5tVsGZc&#10;ZYeqrm/tG7ef9qLH4UUr9bBbq1cQgdbwL/5z10bBMY6NX+IPkM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Xv/GcAAAADbAAAADwAAAAAAAAAAAAAAAACYAgAAZHJzL2Rvd25y&#10;ZXYueG1sUEsFBgAAAAAEAAQA9QAAAIUDAAAAAA==&#10;" fillcolor="white [3212]" stroked="f" strokecolor="#f2f2f2 [3041]" strokeweight="3pt">
                  <v:shadow color="#974706 [1609]" opacity=".5" offset="1pt"/>
                  <v:textbox inset=".5mm,.3mm,.5mm,.3mm">
                    <w:txbxContent>
                      <w:p w:rsidR="005B5E84" w:rsidRPr="00537B95" w:rsidRDefault="005B5E84" w:rsidP="005B5E84">
                        <w:pPr>
                          <w:rPr>
                            <w:sz w:val="14"/>
                          </w:rPr>
                        </w:pPr>
                        <w:r>
                          <w:rPr>
                            <w:sz w:val="14"/>
                          </w:rPr>
                          <w:t>60.000</w:t>
                        </w:r>
                      </w:p>
                    </w:txbxContent>
                  </v:textbox>
                </v:shape>
                <v:shape id="Text Box 22" o:spid="_x0000_s1075" type="#_x0000_t202" style="position:absolute;left:1332;top:11638;width:531;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dagsEA&#10;AADbAAAADwAAAGRycy9kb3ducmV2LnhtbESPQYvCMBSE7wv+h/AEb2tqZWWtRimC0MseVhfPz+TZ&#10;FpuX0qRa/71ZEDwOM/MNs94OthE36nztWMFsmoAg1s7UXCr4O+4/v0H4gGywcUwKHuRhuxl9rDEz&#10;7s6/dDuEUkQI+wwVVCG0mZReV2TRT11LHL2L6yyGKLtSmg7vEW4bmSbJQlqsOS5U2NKuIn099FbB&#10;kHKezvOi6E8/fDrbvW7qpVZqMh7yFYhAQ3iHX+3CKPhawv+X+APk5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3WoLBAAAA2wAAAA8AAAAAAAAAAAAAAAAAmAIAAGRycy9kb3du&#10;cmV2LnhtbFBLBQYAAAAABAAEAPUAAACGAwAAAAA=&#10;" fillcolor="white [3212]" stroked="f" strokecolor="#f2f2f2 [3041]" strokeweight="3pt">
                  <v:shadow color="#974706 [1609]" opacity=".5" offset="1pt"/>
                  <v:textbox inset=".5mm,.3mm,.5mm,.3mm">
                    <w:txbxContent>
                      <w:p w:rsidR="005B5E84" w:rsidRPr="00537B95" w:rsidRDefault="005B5E84" w:rsidP="005B5E84">
                        <w:pPr>
                          <w:rPr>
                            <w:sz w:val="14"/>
                          </w:rPr>
                        </w:pPr>
                        <w:r>
                          <w:rPr>
                            <w:sz w:val="14"/>
                          </w:rPr>
                          <w:t>50.000</w:t>
                        </w:r>
                      </w:p>
                    </w:txbxContent>
                  </v:textbox>
                </v:shape>
                <v:shape id="Text Box 23" o:spid="_x0000_s1076" type="#_x0000_t202" style="position:absolute;left:1083;top:9146;width:249;height:42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3ggMMA&#10;AADbAAAADwAAAGRycy9kb3ducmV2LnhtbERPy2rCQBTdF/yH4QpuSp3U0lDSjCIFJQuh9YFubzM3&#10;D83cCZkxxr/vLAouD+edLgbTiJ46V1tW8DqNQBDnVtdcKjjsVy8fIJxH1thYJgV3crCYj55STLS9&#10;8Zb6nS9FCGGXoILK+zaR0uUVGXRT2xIHrrCdQR9gV0rd4S2Em0bOoiiWBmsODRW29FVRftldjYJ9&#10;HN/fjj/R+XdzWWeyPxXP2fu3UpPxsPwE4WnwD/G/O9MK4rA+fAk/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3ggMMAAADbAAAADwAAAAAAAAAAAAAAAACYAgAAZHJzL2Rv&#10;d25yZXYueG1sUEsFBgAAAAAEAAQA9QAAAIgDAAAAAA==&#10;" fillcolor="white [3212]" stroked="f" strokecolor="#f2f2f2 [3041]" strokeweight="3pt">
                  <v:shadow color="#974706 [1609]" opacity=".5" offset="1pt"/>
                  <v:textbox style="layout-flow:vertical;mso-layout-flow-alt:bottom-to-top" inset=".5mm,.3mm,.5mm,.3mm">
                    <w:txbxContent>
                      <w:p w:rsidR="005B5E84" w:rsidRPr="00537B95" w:rsidRDefault="005B5E84" w:rsidP="005B5E84">
                        <w:pPr>
                          <w:rPr>
                            <w:sz w:val="14"/>
                          </w:rPr>
                        </w:pPr>
                        <w:r>
                          <w:rPr>
                            <w:sz w:val="14"/>
                          </w:rPr>
                          <w:t>Total de comprobaciones de distinción</w:t>
                        </w:r>
                      </w:p>
                    </w:txbxContent>
                  </v:textbox>
                </v:shape>
              </v:group>
            </w:pict>
          </mc:Fallback>
        </mc:AlternateContent>
      </w:r>
      <w:r w:rsidR="005B5E84" w:rsidRPr="00D42A19">
        <w:rPr>
          <w:noProof/>
          <w:lang w:val="en-US"/>
        </w:rPr>
        <mc:AlternateContent>
          <mc:Choice Requires="wpg">
            <w:drawing>
              <wp:anchor distT="0" distB="0" distL="114300" distR="114300" simplePos="0" relativeHeight="251670528" behindDoc="0" locked="0" layoutInCell="1" allowOverlap="1" wp14:anchorId="2784D605" wp14:editId="2E135808">
                <wp:simplePos x="0" y="0"/>
                <wp:positionH relativeFrom="column">
                  <wp:posOffset>780415</wp:posOffset>
                </wp:positionH>
                <wp:positionV relativeFrom="paragraph">
                  <wp:posOffset>824230</wp:posOffset>
                </wp:positionV>
                <wp:extent cx="2298065" cy="3194685"/>
                <wp:effectExtent l="0" t="0" r="1905" b="635"/>
                <wp:wrapNone/>
                <wp:docPr id="6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98065" cy="3194685"/>
                          <a:chOff x="2391" y="10298"/>
                          <a:chExt cx="3619" cy="5031"/>
                        </a:xfrm>
                      </wpg:grpSpPr>
                      <wps:wsp>
                        <wps:cNvPr id="62" name="Text Box 6"/>
                        <wps:cNvSpPr txBox="1">
                          <a:spLocks noChangeArrowheads="1"/>
                        </wps:cNvSpPr>
                        <wps:spPr bwMode="auto">
                          <a:xfrm>
                            <a:off x="2391" y="11227"/>
                            <a:ext cx="633" cy="303"/>
                          </a:xfrm>
                          <a:prstGeom prst="rect">
                            <a:avLst/>
                          </a:prstGeom>
                          <a:solidFill>
                            <a:srgbClr val="0676C2"/>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5B5E84" w:rsidRPr="00537B95" w:rsidRDefault="005B5E84" w:rsidP="005B5E84">
                              <w:pPr>
                                <w:rPr>
                                  <w:sz w:val="14"/>
                                </w:rPr>
                              </w:pPr>
                              <w:r>
                                <w:rPr>
                                  <w:sz w:val="14"/>
                                </w:rPr>
                                <w:t>29.515</w:t>
                              </w:r>
                            </w:p>
                          </w:txbxContent>
                        </wps:txbx>
                        <wps:bodyPr rot="0" vert="horz" wrap="square" lIns="18000" tIns="10800" rIns="18000" bIns="10800" anchor="t" anchorCtr="0" upright="1">
                          <a:noAutofit/>
                        </wps:bodyPr>
                      </wps:wsp>
                      <wps:wsp>
                        <wps:cNvPr id="63" name="Text Box 7"/>
                        <wps:cNvSpPr txBox="1">
                          <a:spLocks noChangeArrowheads="1"/>
                        </wps:cNvSpPr>
                        <wps:spPr bwMode="auto">
                          <a:xfrm>
                            <a:off x="3828" y="10298"/>
                            <a:ext cx="633" cy="303"/>
                          </a:xfrm>
                          <a:prstGeom prst="rect">
                            <a:avLst/>
                          </a:prstGeom>
                          <a:solidFill>
                            <a:srgbClr val="0676C2"/>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5B5E84" w:rsidRPr="00537B95" w:rsidRDefault="005B5E84" w:rsidP="005B5E84">
                              <w:pPr>
                                <w:rPr>
                                  <w:sz w:val="14"/>
                                </w:rPr>
                              </w:pPr>
                              <w:r>
                                <w:rPr>
                                  <w:sz w:val="14"/>
                                </w:rPr>
                                <w:t>30.104</w:t>
                              </w:r>
                            </w:p>
                          </w:txbxContent>
                        </wps:txbx>
                        <wps:bodyPr rot="0" vert="horz" wrap="square" lIns="18000" tIns="10800" rIns="18000" bIns="10800" anchor="t" anchorCtr="0" upright="1">
                          <a:noAutofit/>
                        </wps:bodyPr>
                      </wps:wsp>
                      <wps:wsp>
                        <wps:cNvPr id="64" name="Text Box 8"/>
                        <wps:cNvSpPr txBox="1">
                          <a:spLocks noChangeArrowheads="1"/>
                        </wps:cNvSpPr>
                        <wps:spPr bwMode="auto">
                          <a:xfrm>
                            <a:off x="5293" y="10475"/>
                            <a:ext cx="633" cy="303"/>
                          </a:xfrm>
                          <a:prstGeom prst="rect">
                            <a:avLst/>
                          </a:prstGeom>
                          <a:solidFill>
                            <a:srgbClr val="0676C2"/>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5B5E84" w:rsidRPr="00537B95" w:rsidRDefault="005B5E84" w:rsidP="005B5E84">
                              <w:pPr>
                                <w:rPr>
                                  <w:sz w:val="14"/>
                                </w:rPr>
                              </w:pPr>
                              <w:r>
                                <w:rPr>
                                  <w:sz w:val="14"/>
                                </w:rPr>
                                <w:t>30.768</w:t>
                              </w:r>
                            </w:p>
                          </w:txbxContent>
                        </wps:txbx>
                        <wps:bodyPr rot="0" vert="horz" wrap="square" lIns="18000" tIns="10800" rIns="18000" bIns="10800" anchor="t" anchorCtr="0" upright="1">
                          <a:noAutofit/>
                        </wps:bodyPr>
                      </wps:wsp>
                      <wps:wsp>
                        <wps:cNvPr id="65" name="Text Box 9"/>
                        <wps:cNvSpPr txBox="1">
                          <a:spLocks noChangeArrowheads="1"/>
                        </wps:cNvSpPr>
                        <wps:spPr bwMode="auto">
                          <a:xfrm>
                            <a:off x="3851" y="13023"/>
                            <a:ext cx="633" cy="303"/>
                          </a:xfrm>
                          <a:prstGeom prst="rect">
                            <a:avLst/>
                          </a:prstGeom>
                          <a:solidFill>
                            <a:srgbClr val="0DA33B"/>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5B5E84" w:rsidRPr="00537B95" w:rsidRDefault="005B5E84" w:rsidP="005B5E84">
                              <w:pPr>
                                <w:rPr>
                                  <w:sz w:val="14"/>
                                </w:rPr>
                              </w:pPr>
                              <w:r>
                                <w:rPr>
                                  <w:sz w:val="14"/>
                                </w:rPr>
                                <w:t>44.420</w:t>
                              </w:r>
                            </w:p>
                          </w:txbxContent>
                        </wps:txbx>
                        <wps:bodyPr rot="0" vert="horz" wrap="square" lIns="18000" tIns="10800" rIns="18000" bIns="10800" anchor="t" anchorCtr="0" upright="1">
                          <a:noAutofit/>
                        </wps:bodyPr>
                      </wps:wsp>
                      <wps:wsp>
                        <wps:cNvPr id="66" name="Text Box 10"/>
                        <wps:cNvSpPr txBox="1">
                          <a:spLocks noChangeArrowheads="1"/>
                        </wps:cNvSpPr>
                        <wps:spPr bwMode="auto">
                          <a:xfrm>
                            <a:off x="2397" y="13683"/>
                            <a:ext cx="633" cy="303"/>
                          </a:xfrm>
                          <a:prstGeom prst="rect">
                            <a:avLst/>
                          </a:prstGeom>
                          <a:solidFill>
                            <a:srgbClr val="0DA33B"/>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5B5E84" w:rsidRPr="00537B95" w:rsidRDefault="005B5E84" w:rsidP="005B5E84">
                              <w:pPr>
                                <w:rPr>
                                  <w:sz w:val="14"/>
                                </w:rPr>
                              </w:pPr>
                              <w:r>
                                <w:rPr>
                                  <w:sz w:val="14"/>
                                </w:rPr>
                                <w:t>36.972</w:t>
                              </w:r>
                            </w:p>
                          </w:txbxContent>
                        </wps:txbx>
                        <wps:bodyPr rot="0" vert="horz" wrap="square" lIns="18000" tIns="10800" rIns="18000" bIns="10800" anchor="t" anchorCtr="0" upright="1">
                          <a:noAutofit/>
                        </wps:bodyPr>
                      </wps:wsp>
                      <wps:wsp>
                        <wps:cNvPr id="67" name="Text Box 11"/>
                        <wps:cNvSpPr txBox="1">
                          <a:spLocks noChangeArrowheads="1"/>
                        </wps:cNvSpPr>
                        <wps:spPr bwMode="auto">
                          <a:xfrm>
                            <a:off x="5325" y="13097"/>
                            <a:ext cx="633" cy="303"/>
                          </a:xfrm>
                          <a:prstGeom prst="rect">
                            <a:avLst/>
                          </a:prstGeom>
                          <a:solidFill>
                            <a:srgbClr val="0DA33B"/>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5B5E84" w:rsidRPr="00537B95" w:rsidRDefault="005B5E84" w:rsidP="005B5E84">
                              <w:pPr>
                                <w:rPr>
                                  <w:sz w:val="14"/>
                                </w:rPr>
                              </w:pPr>
                              <w:r>
                                <w:rPr>
                                  <w:sz w:val="14"/>
                                </w:rPr>
                                <w:t>41.031</w:t>
                              </w:r>
                            </w:p>
                          </w:txbxContent>
                        </wps:txbx>
                        <wps:bodyPr rot="0" vert="horz" wrap="square" lIns="18000" tIns="10800" rIns="18000" bIns="10800" anchor="t" anchorCtr="0" upright="1">
                          <a:noAutofit/>
                        </wps:bodyPr>
                      </wps:wsp>
                      <wps:wsp>
                        <wps:cNvPr id="68" name="Text Box 12"/>
                        <wps:cNvSpPr txBox="1">
                          <a:spLocks noChangeArrowheads="1"/>
                        </wps:cNvSpPr>
                        <wps:spPr bwMode="auto">
                          <a:xfrm>
                            <a:off x="5390" y="14912"/>
                            <a:ext cx="620" cy="244"/>
                          </a:xfrm>
                          <a:prstGeom prst="rect">
                            <a:avLst/>
                          </a:prstGeom>
                          <a:solidFill>
                            <a:srgbClr val="FDBD3D"/>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5B5E84" w:rsidRPr="00537B95" w:rsidRDefault="005B5E84" w:rsidP="005B5E84">
                              <w:pPr>
                                <w:rPr>
                                  <w:sz w:val="14"/>
                                </w:rPr>
                              </w:pPr>
                              <w:r>
                                <w:rPr>
                                  <w:sz w:val="14"/>
                                </w:rPr>
                                <w:t>8.828</w:t>
                              </w:r>
                            </w:p>
                          </w:txbxContent>
                        </wps:txbx>
                        <wps:bodyPr rot="0" vert="horz" wrap="square" lIns="18000" tIns="10800" rIns="18000" bIns="10800" anchor="t" anchorCtr="0" upright="1">
                          <a:noAutofit/>
                        </wps:bodyPr>
                      </wps:wsp>
                      <wps:wsp>
                        <wps:cNvPr id="69" name="Text Box 13"/>
                        <wps:cNvSpPr txBox="1">
                          <a:spLocks noChangeArrowheads="1"/>
                        </wps:cNvSpPr>
                        <wps:spPr bwMode="auto">
                          <a:xfrm>
                            <a:off x="2431" y="15152"/>
                            <a:ext cx="620" cy="177"/>
                          </a:xfrm>
                          <a:prstGeom prst="rect">
                            <a:avLst/>
                          </a:prstGeom>
                          <a:solidFill>
                            <a:srgbClr val="FDBD3D"/>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5B5E84" w:rsidRPr="00537B95" w:rsidRDefault="005B5E84" w:rsidP="005B5E84">
                              <w:pPr>
                                <w:rPr>
                                  <w:sz w:val="14"/>
                                </w:rPr>
                              </w:pPr>
                              <w:r>
                                <w:rPr>
                                  <w:sz w:val="14"/>
                                </w:rPr>
                                <w:t>2.673</w:t>
                              </w:r>
                            </w:p>
                          </w:txbxContent>
                        </wps:txbx>
                        <wps:bodyPr rot="0" vert="horz" wrap="square" lIns="18000" tIns="10800" rIns="18000" bIns="10800" anchor="t" anchorCtr="0" upright="1">
                          <a:noAutofit/>
                        </wps:bodyPr>
                      </wps:wsp>
                      <wps:wsp>
                        <wps:cNvPr id="70" name="Text Box 14"/>
                        <wps:cNvSpPr txBox="1">
                          <a:spLocks noChangeArrowheads="1"/>
                        </wps:cNvSpPr>
                        <wps:spPr bwMode="auto">
                          <a:xfrm>
                            <a:off x="3910" y="14958"/>
                            <a:ext cx="620" cy="244"/>
                          </a:xfrm>
                          <a:prstGeom prst="rect">
                            <a:avLst/>
                          </a:prstGeom>
                          <a:solidFill>
                            <a:srgbClr val="FDBD3D"/>
                          </a:solidFill>
                          <a:ln>
                            <a:noFill/>
                          </a:ln>
                          <a:effectLst/>
                          <a:extLst>
                            <a:ext uri="{91240B29-F687-4F45-9708-019B960494DF}">
                              <a14:hiddenLine xmlns:a14="http://schemas.microsoft.com/office/drawing/2010/main" w="38100">
                                <a:solidFill>
                                  <a:schemeClr val="lt1">
                                    <a:lumMod val="95000"/>
                                    <a:lumOff val="0"/>
                                  </a:schemeClr>
                                </a:solidFill>
                                <a:miter lim="800000"/>
                                <a:headEnd/>
                                <a:tailEnd/>
                              </a14:hiddenLine>
                            </a:ext>
                            <a:ext uri="{AF507438-7753-43E0-B8FC-AC1667EBCBE1}">
                              <a14:hiddenEffects xmlns:a14="http://schemas.microsoft.com/office/drawing/2010/main">
                                <a:effectLst>
                                  <a:outerShdw dist="28398" dir="3806097" algn="ctr" rotWithShape="0">
                                    <a:schemeClr val="accent6">
                                      <a:lumMod val="50000"/>
                                      <a:lumOff val="0"/>
                                      <a:alpha val="50000"/>
                                    </a:schemeClr>
                                  </a:outerShdw>
                                </a:effectLst>
                              </a14:hiddenEffects>
                            </a:ext>
                          </a:extLst>
                        </wps:spPr>
                        <wps:txbx>
                          <w:txbxContent>
                            <w:p w:rsidR="005B5E84" w:rsidRPr="00537B95" w:rsidRDefault="005B5E84" w:rsidP="005B5E84">
                              <w:pPr>
                                <w:rPr>
                                  <w:sz w:val="14"/>
                                </w:rPr>
                              </w:pPr>
                              <w:r>
                                <w:rPr>
                                  <w:sz w:val="14"/>
                                </w:rPr>
                                <w:t>8.629</w:t>
                              </w:r>
                            </w:p>
                          </w:txbxContent>
                        </wps:txbx>
                        <wps:bodyPr rot="0" vert="horz" wrap="square" lIns="18000" tIns="10800" rIns="180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77" style="position:absolute;left:0;text-align:left;margin-left:61.45pt;margin-top:64.9pt;width:180.95pt;height:251.55pt;z-index:251670528" coordorigin="2391,10298" coordsize="3619,50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">
                <v:shape id="Text Box 6" o:spid="_x0000_s1078" type="#_x0000_t202" style="position:absolute;left:2391;top:11227;width:633;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i4sMA&#10;AADbAAAADwAAAGRycy9kb3ducmV2LnhtbESPT4vCMBTE74LfIbyFvWm6wop2jWJ3KSyCB//dH83b&#10;pti81Cba7rc3guBxmJnfMItVb2txo9ZXjhV8jBMQxIXTFZcKjod8NAPhA7LG2jEp+CcPq+VwsMBU&#10;u453dNuHUkQI+xQVmBCaVEpfGLLox64hjt6fay2GKNtS6ha7CLe1nCTJVFqsOC4YbOjbUHHeX60C&#10;O7/mZpuffuQm6z7n2yS7lNlOqfe3fv0FIlAfXuFn+1crmE7g8SX+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Li4sMAAADbAAAADwAAAAAAAAAAAAAAAACYAgAAZHJzL2Rv&#10;d25yZXYueG1sUEsFBgAAAAAEAAQA9QAAAIgDAAAAAA==&#10;" fillcolor="#0676c2" stroked="f" strokecolor="#f2f2f2 [3041]" strokeweight="3pt">
                  <v:shadow color="#974706 [1609]" opacity=".5" offset="1pt"/>
                  <v:textbox inset=".5mm,.3mm,.5mm,.3mm">
                    <w:txbxContent>
                      <w:p w:rsidR="005B5E84" w:rsidRPr="00537B95" w:rsidRDefault="005B5E84" w:rsidP="005B5E84">
                        <w:pPr>
                          <w:rPr>
                            <w:sz w:val="14"/>
                          </w:rPr>
                        </w:pPr>
                        <w:r>
                          <w:rPr>
                            <w:sz w:val="14"/>
                          </w:rPr>
                          <w:t>29.515</w:t>
                        </w:r>
                      </w:p>
                    </w:txbxContent>
                  </v:textbox>
                </v:shape>
                <v:shape id="Text Box 7" o:spid="_x0000_s1079" type="#_x0000_t202" style="position:absolute;left:3828;top:10298;width:633;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5HecMA&#10;AADbAAAADwAAAGRycy9kb3ducmV2LnhtbESPQWvCQBSE74L/YXlCb7ppRdHoKqYSkIIHtb0/ss9s&#10;aPZtzK4m/ffdQsHjMDPfMOttb2vxoNZXjhW8ThIQxIXTFZcKPi/5eAHCB2SNtWNS8EMetpvhYI2p&#10;dh2f6HEOpYgQ9ikqMCE0qZS+MGTRT1xDHL2ray2GKNtS6ha7CLe1fEuSubRYcVww2NC7oeL7fLcK&#10;7PKem2P+tZcfWTdbHpPsVmYnpV5G/W4FIlAfnuH/9kErmE/h7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5HecMAAADbAAAADwAAAAAAAAAAAAAAAACYAgAAZHJzL2Rv&#10;d25yZXYueG1sUEsFBgAAAAAEAAQA9QAAAIgDAAAAAA==&#10;" fillcolor="#0676c2" stroked="f" strokecolor="#f2f2f2 [3041]" strokeweight="3pt">
                  <v:shadow color="#974706 [1609]" opacity=".5" offset="1pt"/>
                  <v:textbox inset=".5mm,.3mm,.5mm,.3mm">
                    <w:txbxContent>
                      <w:p w:rsidR="005B5E84" w:rsidRPr="00537B95" w:rsidRDefault="005B5E84" w:rsidP="005B5E84">
                        <w:pPr>
                          <w:rPr>
                            <w:sz w:val="14"/>
                          </w:rPr>
                        </w:pPr>
                        <w:r>
                          <w:rPr>
                            <w:sz w:val="14"/>
                          </w:rPr>
                          <w:t>30.104</w:t>
                        </w:r>
                      </w:p>
                    </w:txbxContent>
                  </v:textbox>
                </v:shape>
                <v:shape id="Text Box 8" o:spid="_x0000_s1080" type="#_x0000_t202" style="position:absolute;left:5293;top:10475;width:633;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ffDcMA&#10;AADbAAAADwAAAGRycy9kb3ducmV2LnhtbESPQWvCQBSE74L/YXlCb7ppUdHoKqYSkIIHtb0/ss9s&#10;aPZtzK4m/ffdQsHjMDPfMOttb2vxoNZXjhW8ThIQxIXTFZcKPi/5eAHCB2SNtWNS8EMetpvhYI2p&#10;dh2f6HEOpYgQ9ikqMCE0qZS+MGTRT1xDHL2ray2GKNtS6ha7CLe1fEuSubRYcVww2NC7oeL7fLcK&#10;7PKem2P+tZcfWTdbHpPsVmYnpV5G/W4FIlAfnuH/9kErmE/h70v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ffDcMAAADbAAAADwAAAAAAAAAAAAAAAACYAgAAZHJzL2Rv&#10;d25yZXYueG1sUEsFBgAAAAAEAAQA9QAAAIgDAAAAAA==&#10;" fillcolor="#0676c2" stroked="f" strokecolor="#f2f2f2 [3041]" strokeweight="3pt">
                  <v:shadow color="#974706 [1609]" opacity=".5" offset="1pt"/>
                  <v:textbox inset=".5mm,.3mm,.5mm,.3mm">
                    <w:txbxContent>
                      <w:p w:rsidR="005B5E84" w:rsidRPr="00537B95" w:rsidRDefault="005B5E84" w:rsidP="005B5E84">
                        <w:pPr>
                          <w:rPr>
                            <w:sz w:val="14"/>
                          </w:rPr>
                        </w:pPr>
                        <w:r>
                          <w:rPr>
                            <w:sz w:val="14"/>
                          </w:rPr>
                          <w:t>30.768</w:t>
                        </w:r>
                      </w:p>
                    </w:txbxContent>
                  </v:textbox>
                </v:shape>
                <v:shape id="Text Box 9" o:spid="_x0000_s1081" type="#_x0000_t202" style="position:absolute;left:3851;top:13023;width:633;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j5MUA&#10;AADbAAAADwAAAGRycy9kb3ducmV2LnhtbESPT2vCQBTE7wW/w/KE3nRjof6JriJCoYceahTU2zP7&#10;moRm34a81cRv3y0Uehxm5jfMatO7Wt2plcqzgck4AUWce1txYeB4eBvNQUlAtlh7JgMPEtisB08r&#10;TK3veE/3LBQqQlhSNFCG0KRaS16SQxn7hjh6X751GKJsC21b7CLc1folSabaYcVxocSGdiXl39nN&#10;Gchv9tTIRzeTy+J8nUiffe7PD2Oeh/12CSpQH/7Df+13a2D6Cr9f4g/Q6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T+PkxQAAANsAAAAPAAAAAAAAAAAAAAAAAJgCAABkcnMv&#10;ZG93bnJldi54bWxQSwUGAAAAAAQABAD1AAAAigMAAAAA&#10;" fillcolor="#0da33b" stroked="f" strokecolor="#f2f2f2 [3041]" strokeweight="3pt">
                  <v:shadow color="#974706 [1609]" opacity=".5" offset="1pt"/>
                  <v:textbox inset=".5mm,.3mm,.5mm,.3mm">
                    <w:txbxContent>
                      <w:p w:rsidR="005B5E84" w:rsidRPr="00537B95" w:rsidRDefault="005B5E84" w:rsidP="005B5E84">
                        <w:pPr>
                          <w:rPr>
                            <w:sz w:val="14"/>
                          </w:rPr>
                        </w:pPr>
                        <w:r>
                          <w:rPr>
                            <w:sz w:val="14"/>
                          </w:rPr>
                          <w:t>44.420</w:t>
                        </w:r>
                      </w:p>
                    </w:txbxContent>
                  </v:textbox>
                </v:shape>
                <v:shape id="Text Box 10" o:spid="_x0000_s1082" type="#_x0000_t202" style="position:absolute;left:2397;top:13683;width:633;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19k8QA&#10;AADbAAAADwAAAGRycy9kb3ducmV2LnhtbESPQWvCQBSE70L/w/IKvelGD7FNXaUIgoceNBVqb6/Z&#10;1yQ0+zbkrSb+e1cQPA4z8w2zWA2uUWfqpPZsYDpJQBEX3tZcGjh8bcavoCQgW2w8k4ELCayWT6MF&#10;Ztb3vKdzHkoVISwZGqhCaDOtpajIoUx8Sxy9P985DFF2pbYd9hHuGj1LklQ7rDkuVNjSuqLiPz85&#10;A8XJfrfy2c/l5+34O5Uh3+2PF2NenoePd1CBhvAI39tbayBN4fYl/gC9v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edfZPEAAAA2wAAAA8AAAAAAAAAAAAAAAAAmAIAAGRycy9k&#10;b3ducmV2LnhtbFBLBQYAAAAABAAEAPUAAACJAwAAAAA=&#10;" fillcolor="#0da33b" stroked="f" strokecolor="#f2f2f2 [3041]" strokeweight="3pt">
                  <v:shadow color="#974706 [1609]" opacity=".5" offset="1pt"/>
                  <v:textbox inset=".5mm,.3mm,.5mm,.3mm">
                    <w:txbxContent>
                      <w:p w:rsidR="005B5E84" w:rsidRPr="00537B95" w:rsidRDefault="005B5E84" w:rsidP="005B5E84">
                        <w:pPr>
                          <w:rPr>
                            <w:sz w:val="14"/>
                          </w:rPr>
                        </w:pPr>
                        <w:r>
                          <w:rPr>
                            <w:sz w:val="14"/>
                          </w:rPr>
                          <w:t>36.972</w:t>
                        </w:r>
                      </w:p>
                    </w:txbxContent>
                  </v:textbox>
                </v:shape>
                <v:shape id="Text Box 11" o:spid="_x0000_s1083" type="#_x0000_t202" style="position:absolute;left:5325;top:13097;width:633;height: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YCMUA&#10;AADbAAAADwAAAGRycy9kb3ducmV2LnhtbESPQWvCQBSE70L/w/KE3nSTHtSmrkEKhR56qLFQe3vN&#10;PpNg9m3IW038992C4HGYmW+YdT66Vl2ol8azgXSegCIuvW24MvC1f5utQElAtth6JgNXEsg3D5M1&#10;ZtYPvKNLESoVISwZGqhD6DKtpazJocx9Rxy9o+8dhij7Stsehwh3rX5KkoV22HBcqLGj15rKU3F2&#10;Bsqz/e7kY1jKz/PhN5Wx+NwdrsY8TsftC6hAY7iHb+13a2CxhP8v8Qfo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40dgIxQAAANsAAAAPAAAAAAAAAAAAAAAAAJgCAABkcnMv&#10;ZG93bnJldi54bWxQSwUGAAAAAAQABAD1AAAAigMAAAAA&#10;" fillcolor="#0da33b" stroked="f" strokecolor="#f2f2f2 [3041]" strokeweight="3pt">
                  <v:shadow color="#974706 [1609]" opacity=".5" offset="1pt"/>
                  <v:textbox inset=".5mm,.3mm,.5mm,.3mm">
                    <w:txbxContent>
                      <w:p w:rsidR="005B5E84" w:rsidRPr="00537B95" w:rsidRDefault="005B5E84" w:rsidP="005B5E84">
                        <w:pPr>
                          <w:rPr>
                            <w:sz w:val="14"/>
                          </w:rPr>
                        </w:pPr>
                        <w:r>
                          <w:rPr>
                            <w:sz w:val="14"/>
                          </w:rPr>
                          <w:t>41.031</w:t>
                        </w:r>
                      </w:p>
                    </w:txbxContent>
                  </v:textbox>
                </v:shape>
                <v:shape id="Text Box 12" o:spid="_x0000_s1084" type="#_x0000_t202" style="position:absolute;left:5390;top:14912;width:620;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RMRr0A&#10;AADbAAAADwAAAGRycy9kb3ducmV2LnhtbERPvQrCMBDeBd8hnOCmqQ4i1SgiKIJSsAquR3O21eZS&#10;m6j17c0gOH58//NlayrxosaVlhWMhhEI4szqknMF59NmMAXhPLLGyjIp+JCD5aLbmWOs7ZuP9Ep9&#10;LkIIuxgVFN7XsZQuK8igG9qaOHBX2xj0ATa51A2+Q7ip5DiKJtJgyaGhwJrWBWX39GkU5G1it+Pk&#10;kpz2j3R6tTq96UOpVL/XrmYgPLX+L/65d1rBJIwNX8IPkI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qRMRr0AAADbAAAADwAAAAAAAAAAAAAAAACYAgAAZHJzL2Rvd25yZXYu&#10;eG1sUEsFBgAAAAAEAAQA9QAAAIIDAAAAAA==&#10;" fillcolor="#fdbd3d" stroked="f" strokecolor="#f2f2f2 [3041]" strokeweight="3pt">
                  <v:shadow color="#974706 [1609]" opacity=".5" offset="1pt"/>
                  <v:textbox inset=".5mm,.3mm,.5mm,.3mm">
                    <w:txbxContent>
                      <w:p w:rsidR="005B5E84" w:rsidRPr="00537B95" w:rsidRDefault="005B5E84" w:rsidP="005B5E84">
                        <w:pPr>
                          <w:rPr>
                            <w:sz w:val="14"/>
                          </w:rPr>
                        </w:pPr>
                        <w:r>
                          <w:rPr>
                            <w:sz w:val="14"/>
                          </w:rPr>
                          <w:t>8.828</w:t>
                        </w:r>
                      </w:p>
                    </w:txbxContent>
                  </v:textbox>
                </v:shape>
                <v:shape id="Text Box 13" o:spid="_x0000_s1085" type="#_x0000_t202" style="position:absolute;left:2431;top:15152;width:620;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jp3cMA&#10;AADbAAAADwAAAGRycy9kb3ducmV2LnhtbESPQWvCQBSE7wX/w/KE3pqNHsRGVxHBIlQCTQSvj+wz&#10;iWbfptk1if++Wyj0OMzMN8x6O5pG9NS52rKCWRSDIC6srrlUcM4Pb0sQziNrbCyTgic52G4mL2tM&#10;tB34i/rMlyJA2CWooPK+TaR0RUUGXWRb4uBdbWfQB9mVUnc4BLhp5DyOF9JgzWGhwpb2FRX37GEU&#10;lGNqP+bpJc0/v7Pl1erspk+1Uq/TcbcC4Wn0/+G/9lErWLzD75fwA+Tm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ejp3cMAAADbAAAADwAAAAAAAAAAAAAAAACYAgAAZHJzL2Rv&#10;d25yZXYueG1sUEsFBgAAAAAEAAQA9QAAAIgDAAAAAA==&#10;" fillcolor="#fdbd3d" stroked="f" strokecolor="#f2f2f2 [3041]" strokeweight="3pt">
                  <v:shadow color="#974706 [1609]" opacity=".5" offset="1pt"/>
                  <v:textbox inset=".5mm,.3mm,.5mm,.3mm">
                    <w:txbxContent>
                      <w:p w:rsidR="005B5E84" w:rsidRPr="00537B95" w:rsidRDefault="005B5E84" w:rsidP="005B5E84">
                        <w:pPr>
                          <w:rPr>
                            <w:sz w:val="14"/>
                          </w:rPr>
                        </w:pPr>
                        <w:r>
                          <w:rPr>
                            <w:sz w:val="14"/>
                          </w:rPr>
                          <w:t>2.673</w:t>
                        </w:r>
                      </w:p>
                    </w:txbxContent>
                  </v:textbox>
                </v:shape>
                <v:shape id="Text Box 14" o:spid="_x0000_s1086" type="#_x0000_t202" style="position:absolute;left:3910;top:14958;width:620;height:2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QvWncAA&#10;AADbAAAADwAAAGRycy9kb3ducmV2LnhtbERPy4rCMBTdC/5DuII7TXXhSDUVERwEpTCt4PbS3D60&#10;uek0UTt/P1kMzPJw3tvdYFrxot41lhUs5hEI4sLqhisF1/w4W4NwHllja5kU/JCDXTIebTHW9s1f&#10;9Mp8JUIIuxgV1N53sZSuqMmgm9uOOHCl7Q36APtK6h7fIdy0chlFK2mw4dBQY0eHmopH9jQKqiG1&#10;n8v0lubn72xdWp3d9aVRajoZ9hsQngb/L/5zn7SCj7A+fAk/QCa/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QvWncAAAADbAAAADwAAAAAAAAAAAAAAAACYAgAAZHJzL2Rvd25y&#10;ZXYueG1sUEsFBgAAAAAEAAQA9QAAAIUDAAAAAA==&#10;" fillcolor="#fdbd3d" stroked="f" strokecolor="#f2f2f2 [3041]" strokeweight="3pt">
                  <v:shadow color="#974706 [1609]" opacity=".5" offset="1pt"/>
                  <v:textbox inset=".5mm,.3mm,.5mm,.3mm">
                    <w:txbxContent>
                      <w:p w:rsidR="005B5E84" w:rsidRPr="00537B95" w:rsidRDefault="005B5E84" w:rsidP="005B5E84">
                        <w:pPr>
                          <w:rPr>
                            <w:sz w:val="14"/>
                          </w:rPr>
                        </w:pPr>
                        <w:r>
                          <w:rPr>
                            <w:sz w:val="14"/>
                          </w:rPr>
                          <w:t>8.629</w:t>
                        </w:r>
                      </w:p>
                    </w:txbxContent>
                  </v:textbox>
                </v:shape>
              </v:group>
            </w:pict>
          </mc:Fallback>
        </mc:AlternateContent>
      </w:r>
      <w:r w:rsidR="005B5E84" w:rsidRPr="00D42A19">
        <w:rPr>
          <w:rFonts w:cs="Arial"/>
          <w:noProof/>
          <w:lang w:val="en-US"/>
        </w:rPr>
        <w:drawing>
          <wp:inline distT="0" distB="0" distL="0" distR="0" wp14:anchorId="3724F90F" wp14:editId="2073793C">
            <wp:extent cx="4705350" cy="420052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705350" cy="4200525"/>
                    </a:xfrm>
                    <a:prstGeom prst="rect">
                      <a:avLst/>
                    </a:prstGeom>
                    <a:noFill/>
                    <a:ln>
                      <a:noFill/>
                    </a:ln>
                  </pic:spPr>
                </pic:pic>
              </a:graphicData>
            </a:graphic>
          </wp:inline>
        </w:drawing>
      </w:r>
    </w:p>
    <w:p w:rsidR="005B5E84" w:rsidRPr="00D42A19" w:rsidRDefault="005B5E84" w:rsidP="005B5E84">
      <w:pPr>
        <w:pStyle w:val="Default"/>
        <w:spacing w:after="240"/>
        <w:jc w:val="both"/>
        <w:rPr>
          <w:color w:val="auto"/>
          <w:sz w:val="20"/>
          <w:szCs w:val="20"/>
          <w:lang w:val="es-ES_tradnl"/>
        </w:rPr>
      </w:pPr>
      <w:r w:rsidRPr="00D42A19">
        <w:rPr>
          <w:color w:val="auto"/>
          <w:sz w:val="20"/>
          <w:lang w:val="es-ES_tradnl"/>
        </w:rPr>
        <w:t>Un menú de recuperación de información permite efectuar búsquedas más generales sobre las variedades y especies inscritas en la base de datos y la nueva posibilidad de acceder a determinados datos estadísticos sobre el contenido de la base de datos a partir de un intervalo de criterios de búsqueda.</w:t>
      </w:r>
    </w:p>
    <w:p w:rsidR="005B5E84" w:rsidRPr="00D42A19" w:rsidRDefault="005B5E84" w:rsidP="005B5E84">
      <w:pPr>
        <w:pStyle w:val="Default"/>
        <w:spacing w:after="240"/>
        <w:jc w:val="both"/>
        <w:rPr>
          <w:color w:val="auto"/>
          <w:sz w:val="20"/>
          <w:szCs w:val="20"/>
          <w:lang w:val="es-ES_tradnl"/>
        </w:rPr>
      </w:pPr>
      <w:r w:rsidRPr="00D42A19">
        <w:rPr>
          <w:color w:val="auto"/>
          <w:sz w:val="20"/>
          <w:lang w:val="es-ES_tradnl"/>
        </w:rPr>
        <w:t>Este menú de extracción, denominado “</w:t>
      </w:r>
      <w:proofErr w:type="spellStart"/>
      <w:r w:rsidRPr="00D42A19">
        <w:rPr>
          <w:color w:val="auto"/>
          <w:sz w:val="20"/>
          <w:lang w:val="es-ES_tradnl"/>
        </w:rPr>
        <w:t>Search</w:t>
      </w:r>
      <w:proofErr w:type="spellEnd"/>
      <w:r w:rsidRPr="00D42A19">
        <w:rPr>
          <w:color w:val="auto"/>
          <w:sz w:val="20"/>
          <w:lang w:val="es-ES_tradnl"/>
        </w:rPr>
        <w:t xml:space="preserve"> </w:t>
      </w:r>
      <w:proofErr w:type="spellStart"/>
      <w:r w:rsidRPr="00D42A19">
        <w:rPr>
          <w:color w:val="auto"/>
          <w:sz w:val="20"/>
          <w:lang w:val="es-ES_tradnl"/>
        </w:rPr>
        <w:t>Varieties</w:t>
      </w:r>
      <w:proofErr w:type="spellEnd"/>
      <w:r w:rsidRPr="00D42A19">
        <w:rPr>
          <w:color w:val="auto"/>
          <w:sz w:val="20"/>
          <w:lang w:val="es-ES_tradnl"/>
        </w:rPr>
        <w:t xml:space="preserve">”, se siguió perfeccionando en septiembre de 2014, cuando se añadieron opciones de criterios de búsqueda y se aumentó la capacidad de sus funciones de exportación.  Este perfeccionamiento tuvo una repercusión directa en su uso durante los últimos meses de 2014, como se ilustra en el siguiente gráfico: </w:t>
      </w:r>
    </w:p>
    <w:p w:rsidR="005B5E84" w:rsidRPr="00D42A19" w:rsidRDefault="005B5E84" w:rsidP="005B5E84">
      <w:pPr>
        <w:pStyle w:val="Default"/>
        <w:spacing w:after="240"/>
        <w:jc w:val="both"/>
        <w:rPr>
          <w:sz w:val="20"/>
          <w:szCs w:val="20"/>
          <w:lang w:val="es-ES_tradnl"/>
        </w:rPr>
      </w:pPr>
      <w:r w:rsidRPr="00D42A19">
        <w:rPr>
          <w:noProof/>
          <w:color w:val="auto"/>
          <w:sz w:val="20"/>
          <w:szCs w:val="20"/>
        </w:rPr>
        <w:drawing>
          <wp:inline distT="0" distB="0" distL="0" distR="0" wp14:anchorId="08FEC2E6" wp14:editId="3087ABB3">
            <wp:extent cx="5324475" cy="2700655"/>
            <wp:effectExtent l="19050" t="0" r="9525" b="4445"/>
            <wp:docPr id="4"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5B5E84" w:rsidRPr="00D42A19" w:rsidRDefault="005B5E84" w:rsidP="005B5E84">
      <w:pPr>
        <w:tabs>
          <w:tab w:val="left" w:pos="142"/>
        </w:tabs>
        <w:spacing w:after="240"/>
        <w:rPr>
          <w:rFonts w:cs="Arial"/>
        </w:rPr>
      </w:pPr>
      <w:r w:rsidRPr="00D42A19">
        <w:rPr>
          <w:noProof/>
          <w:lang w:val="en-US"/>
        </w:rPr>
        <mc:AlternateContent>
          <mc:Choice Requires="wps">
            <w:drawing>
              <wp:anchor distT="0" distB="0" distL="114300" distR="114300" simplePos="0" relativeHeight="251667456" behindDoc="0" locked="0" layoutInCell="1" allowOverlap="1" wp14:anchorId="5FD2CA11" wp14:editId="349ED86D">
                <wp:simplePos x="0" y="0"/>
                <wp:positionH relativeFrom="column">
                  <wp:posOffset>746125</wp:posOffset>
                </wp:positionH>
                <wp:positionV relativeFrom="paragraph">
                  <wp:posOffset>623570</wp:posOffset>
                </wp:positionV>
                <wp:extent cx="3951605" cy="350520"/>
                <wp:effectExtent l="0" t="0" r="1905" b="3810"/>
                <wp:wrapNone/>
                <wp:docPr id="7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35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4671C8" w:rsidRDefault="005B5E84" w:rsidP="00D42A19">
                            <w:pPr>
                              <w:jc w:val="center"/>
                              <w:rPr>
                                <w:b/>
                                <w:sz w:val="18"/>
                              </w:rPr>
                            </w:pPr>
                            <w:r w:rsidRPr="004671C8">
                              <w:rPr>
                                <w:b/>
                                <w:sz w:val="18"/>
                              </w:rPr>
                              <w:t>Número de países de los que la OCVV ha recibido datos</w:t>
                            </w:r>
                            <w:r>
                              <w:rPr>
                                <w:b/>
                                <w:sz w:val="18"/>
                              </w:rPr>
                              <w:t>;</w:t>
                            </w:r>
                            <w:r w:rsidRPr="004671C8">
                              <w:rPr>
                                <w:b/>
                                <w:sz w:val="18"/>
                              </w:rPr>
                              <w:t xml:space="preserve"> </w:t>
                            </w:r>
                            <w:r>
                              <w:rPr>
                                <w:b/>
                                <w:sz w:val="18"/>
                              </w:rPr>
                              <w:br/>
                            </w:r>
                            <w:r w:rsidRPr="004671C8">
                              <w:rPr>
                                <w:b/>
                                <w:sz w:val="18"/>
                              </w:rPr>
                              <w:t>la línea indica el número de organizaciones que aportaron datos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87" type="#_x0000_t202" style="position:absolute;left:0;text-align:left;margin-left:58.75pt;margin-top:49.1pt;width:311.15pt;height:27.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" stroked="f">
                <v:textbox>
                  <w:txbxContent>
                    <w:p w:rsidR="005B5E84" w:rsidRPr="004671C8" w:rsidRDefault="005B5E84" w:rsidP="00D42A19">
                      <w:pPr>
                        <w:jc w:val="center"/>
                        <w:rPr>
                          <w:b/>
                          <w:sz w:val="18"/>
                        </w:rPr>
                      </w:pPr>
                      <w:r w:rsidRPr="004671C8">
                        <w:rPr>
                          <w:b/>
                          <w:sz w:val="18"/>
                        </w:rPr>
                        <w:t>Número de países de los que la OCVV ha recibido datos</w:t>
                      </w:r>
                      <w:r>
                        <w:rPr>
                          <w:b/>
                          <w:sz w:val="18"/>
                        </w:rPr>
                        <w:t>;</w:t>
                      </w:r>
                      <w:r w:rsidRPr="004671C8">
                        <w:rPr>
                          <w:b/>
                          <w:sz w:val="18"/>
                        </w:rPr>
                        <w:t xml:space="preserve"> </w:t>
                      </w:r>
                      <w:r>
                        <w:rPr>
                          <w:b/>
                          <w:sz w:val="18"/>
                        </w:rPr>
                        <w:br/>
                      </w:r>
                      <w:r w:rsidRPr="004671C8">
                        <w:rPr>
                          <w:b/>
                          <w:sz w:val="18"/>
                        </w:rPr>
                        <w:t>la línea indica el número de organizaciones que aportaron datos</w:t>
                      </w:r>
                    </w:p>
                  </w:txbxContent>
                </v:textbox>
              </v:shape>
            </w:pict>
          </mc:Fallback>
        </mc:AlternateContent>
      </w:r>
      <w:r w:rsidRPr="00D42A19">
        <w:t xml:space="preserve">La OCVV recibe de forma periódica los datos de los registros oficiales y comerciales directamente de los Estados miembros de la UE y, por conducto de la UPOV, de la mayor parte de los países ajenos a la UE.  Durante el año 2014, aportaron datos a </w:t>
      </w:r>
      <w:r w:rsidRPr="00D42A19">
        <w:rPr>
          <w:rFonts w:cs="Arial"/>
        </w:rPr>
        <w:t>“</w:t>
      </w:r>
      <w:proofErr w:type="spellStart"/>
      <w:r w:rsidRPr="00D42A19">
        <w:t>Variety</w:t>
      </w:r>
      <w:proofErr w:type="spellEnd"/>
      <w:r w:rsidRPr="00D42A19">
        <w:t xml:space="preserve"> </w:t>
      </w:r>
      <w:proofErr w:type="spellStart"/>
      <w:r w:rsidRPr="00D42A19">
        <w:t>Finder</w:t>
      </w:r>
      <w:proofErr w:type="spellEnd"/>
      <w:r w:rsidRPr="00D42A19">
        <w:rPr>
          <w:rFonts w:cs="Arial"/>
        </w:rPr>
        <w:t>“</w:t>
      </w:r>
      <w:r w:rsidRPr="00D42A19">
        <w:t xml:space="preserve"> 54 organizaciones de 48 países, lo que representa 351 contribuciones. </w:t>
      </w:r>
    </w:p>
    <w:p w:rsidR="005B5E84" w:rsidRPr="00D42A19" w:rsidRDefault="005B5E84" w:rsidP="005B5E84">
      <w:pPr>
        <w:tabs>
          <w:tab w:val="left" w:pos="142"/>
        </w:tabs>
        <w:spacing w:after="240"/>
        <w:rPr>
          <w:rFonts w:cs="Arial"/>
          <w:b/>
        </w:rPr>
      </w:pPr>
      <w:r w:rsidRPr="00D42A19">
        <w:rPr>
          <w:noProof/>
          <w:lang w:val="en-US"/>
        </w:rPr>
        <mc:AlternateContent>
          <mc:Choice Requires="wpg">
            <w:drawing>
              <wp:anchor distT="0" distB="0" distL="114300" distR="114300" simplePos="0" relativeHeight="251668480" behindDoc="0" locked="0" layoutInCell="1" allowOverlap="1" wp14:anchorId="4CE196CD" wp14:editId="05632213">
                <wp:simplePos x="0" y="0"/>
                <wp:positionH relativeFrom="column">
                  <wp:posOffset>-17145</wp:posOffset>
                </wp:positionH>
                <wp:positionV relativeFrom="paragraph">
                  <wp:posOffset>945515</wp:posOffset>
                </wp:positionV>
                <wp:extent cx="5088255" cy="1280795"/>
                <wp:effectExtent l="0" t="0" r="0" b="0"/>
                <wp:wrapNone/>
                <wp:docPr id="73"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8255" cy="1280795"/>
                          <a:chOff x="1107" y="10439"/>
                          <a:chExt cx="8013" cy="2017"/>
                        </a:xfrm>
                      </wpg:grpSpPr>
                      <wps:wsp>
                        <wps:cNvPr id="74" name="Text Box 32"/>
                        <wps:cNvSpPr txBox="1">
                          <a:spLocks noChangeArrowheads="1"/>
                        </wps:cNvSpPr>
                        <wps:spPr bwMode="auto">
                          <a:xfrm>
                            <a:off x="1107" y="10439"/>
                            <a:ext cx="363" cy="18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4671C8" w:rsidRDefault="005B5E84" w:rsidP="005B5E84">
                              <w:pPr>
                                <w:rPr>
                                  <w:rFonts w:asciiTheme="majorHAnsi" w:eastAsiaTheme="majorEastAsia" w:hAnsiTheme="majorHAnsi" w:cstheme="majorBidi"/>
                                  <w:b/>
                                  <w:bCs/>
                                  <w:sz w:val="14"/>
                                  <w:szCs w:val="36"/>
                                </w:rPr>
                              </w:pPr>
                              <w:r w:rsidRPr="004671C8">
                                <w:rPr>
                                  <w:rFonts w:asciiTheme="majorHAnsi" w:eastAsiaTheme="majorEastAsia" w:hAnsiTheme="majorHAnsi" w:cstheme="majorBidi"/>
                                  <w:b/>
                                  <w:bCs/>
                                  <w:sz w:val="14"/>
                                  <w:szCs w:val="36"/>
                                </w:rPr>
                                <w:t>Número de países</w:t>
                              </w:r>
                            </w:p>
                            <w:p w:rsidR="005B5E84" w:rsidRDefault="005B5E84" w:rsidP="005B5E84"/>
                          </w:txbxContent>
                        </wps:txbx>
                        <wps:bodyPr rot="0" vert="vert270" wrap="square" lIns="10800" tIns="10800" rIns="10800" bIns="10800" anchor="t" anchorCtr="0" upright="1">
                          <a:noAutofit/>
                        </wps:bodyPr>
                      </wps:wsp>
                      <wps:wsp>
                        <wps:cNvPr id="75" name="Text Box 33"/>
                        <wps:cNvSpPr txBox="1">
                          <a:spLocks noChangeArrowheads="1"/>
                        </wps:cNvSpPr>
                        <wps:spPr bwMode="auto">
                          <a:xfrm>
                            <a:off x="8757" y="10649"/>
                            <a:ext cx="363" cy="180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4671C8" w:rsidRDefault="005B5E84" w:rsidP="005B5E84">
                              <w:pPr>
                                <w:rPr>
                                  <w:rFonts w:asciiTheme="majorHAnsi" w:eastAsiaTheme="majorEastAsia" w:hAnsiTheme="majorHAnsi" w:cstheme="majorBidi"/>
                                  <w:b/>
                                  <w:bCs/>
                                  <w:sz w:val="14"/>
                                  <w:szCs w:val="36"/>
                                </w:rPr>
                              </w:pPr>
                              <w:r w:rsidRPr="004671C8">
                                <w:rPr>
                                  <w:rFonts w:asciiTheme="majorHAnsi" w:eastAsiaTheme="majorEastAsia" w:hAnsiTheme="majorHAnsi" w:cstheme="majorBidi"/>
                                  <w:b/>
                                  <w:bCs/>
                                  <w:sz w:val="14"/>
                                  <w:szCs w:val="36"/>
                                </w:rPr>
                                <w:t xml:space="preserve">Número de </w:t>
                              </w:r>
                              <w:r>
                                <w:rPr>
                                  <w:rFonts w:asciiTheme="majorHAnsi" w:eastAsiaTheme="majorEastAsia" w:hAnsiTheme="majorHAnsi" w:cstheme="majorBidi"/>
                                  <w:b/>
                                  <w:bCs/>
                                  <w:sz w:val="14"/>
                                  <w:szCs w:val="36"/>
                                </w:rPr>
                                <w:t>organizaciones</w:t>
                              </w:r>
                            </w:p>
                            <w:p w:rsidR="005B5E84" w:rsidRDefault="005B5E84" w:rsidP="005B5E84"/>
                          </w:txbxContent>
                        </wps:txbx>
                        <wps:bodyPr rot="0" vert="vert270" wrap="square" lIns="10800" tIns="10800" rIns="10800" bIns="108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 o:spid="_x0000_s1088" style="position:absolute;left:0;text-align:left;margin-left:-1.35pt;margin-top:74.45pt;width:400.65pt;height:100.85pt;z-index:251668480" coordorigin="1107,10439" coordsize="8013,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">
                <v:shape id="Text Box 32" o:spid="_x0000_s1089" type="#_x0000_t202" style="position:absolute;left:1107;top:10439;width:363;height:1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LK18MA&#10;AADbAAAADwAAAGRycy9kb3ducmV2LnhtbESPT4vCMBTE74LfITxhL7KmLqJLNYoUFGHx4B/E46N5&#10;tsXmpSRR67ffCILHYWZ+w8wWranFnZyvLCsYDhIQxLnVFRcKjofV9y8IH5A11pZJwZM8LObdzgxT&#10;bR+8o/s+FCJC2KeooAyhSaX0eUkG/cA2xNG7WGcwROkKqR0+ItzU8idJxtJgxXGhxIaykvLr/mYU&#10;6Av2/1bHLFvfyOVn3p22E31S6qvXLqcgArXhE363N1rBZASvL/E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nLK18MAAADbAAAADwAAAAAAAAAAAAAAAACYAgAAZHJzL2Rv&#10;d25yZXYueG1sUEsFBgAAAAAEAAQA9QAAAIgDAAAAAA==&#10;" stroked="f">
                  <v:textbox style="layout-flow:vertical;mso-layout-flow-alt:bottom-to-top" inset=".3mm,.3mm,.3mm,.3mm">
                    <w:txbxContent>
                      <w:p w:rsidR="005B5E84" w:rsidRPr="004671C8" w:rsidRDefault="005B5E84" w:rsidP="005B5E84">
                        <w:pPr>
                          <w:rPr>
                            <w:rFonts w:asciiTheme="majorHAnsi" w:eastAsiaTheme="majorEastAsia" w:hAnsiTheme="majorHAnsi" w:cstheme="majorBidi"/>
                            <w:b/>
                            <w:bCs/>
                            <w:sz w:val="14"/>
                            <w:szCs w:val="36"/>
                          </w:rPr>
                        </w:pPr>
                        <w:r w:rsidRPr="004671C8">
                          <w:rPr>
                            <w:rFonts w:asciiTheme="majorHAnsi" w:eastAsiaTheme="majorEastAsia" w:hAnsiTheme="majorHAnsi" w:cstheme="majorBidi"/>
                            <w:b/>
                            <w:bCs/>
                            <w:sz w:val="14"/>
                            <w:szCs w:val="36"/>
                          </w:rPr>
                          <w:t>Número de países</w:t>
                        </w:r>
                      </w:p>
                      <w:p w:rsidR="005B5E84" w:rsidRDefault="005B5E84" w:rsidP="005B5E84"/>
                    </w:txbxContent>
                  </v:textbox>
                </v:shape>
                <v:shape id="Text Box 33" o:spid="_x0000_s1090" type="#_x0000_t202" style="position:absolute;left:8757;top:10649;width:363;height:1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5vTMMA&#10;AADbAAAADwAAAGRycy9kb3ducmV2LnhtbESPT4vCMBTE74LfITxhL7KmLqhLNYoUFGHx4B/E46N5&#10;tsXmpSRR67ffCILHYWZ+w8wWranFnZyvLCsYDhIQxLnVFRcKjofV9y8IH5A11pZJwZM8LObdzgxT&#10;bR+8o/s+FCJC2KeooAyhSaX0eUkG/cA2xNG7WGcwROkKqR0+ItzU8idJxtJgxXGhxIaykvLr/mYU&#10;6Av2/1bHLFvfyOVn3p22E31S6qvXLqcgArXhE363N1rBZASvL/EH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5vTMMAAADbAAAADwAAAAAAAAAAAAAAAACYAgAAZHJzL2Rv&#10;d25yZXYueG1sUEsFBgAAAAAEAAQA9QAAAIgDAAAAAA==&#10;" stroked="f">
                  <v:textbox style="layout-flow:vertical;mso-layout-flow-alt:bottom-to-top" inset=".3mm,.3mm,.3mm,.3mm">
                    <w:txbxContent>
                      <w:p w:rsidR="005B5E84" w:rsidRPr="004671C8" w:rsidRDefault="005B5E84" w:rsidP="005B5E84">
                        <w:pPr>
                          <w:rPr>
                            <w:rFonts w:asciiTheme="majorHAnsi" w:eastAsiaTheme="majorEastAsia" w:hAnsiTheme="majorHAnsi" w:cstheme="majorBidi"/>
                            <w:b/>
                            <w:bCs/>
                            <w:sz w:val="14"/>
                            <w:szCs w:val="36"/>
                          </w:rPr>
                        </w:pPr>
                        <w:r w:rsidRPr="004671C8">
                          <w:rPr>
                            <w:rFonts w:asciiTheme="majorHAnsi" w:eastAsiaTheme="majorEastAsia" w:hAnsiTheme="majorHAnsi" w:cstheme="majorBidi"/>
                            <w:b/>
                            <w:bCs/>
                            <w:sz w:val="14"/>
                            <w:szCs w:val="36"/>
                          </w:rPr>
                          <w:t xml:space="preserve">Número de </w:t>
                        </w:r>
                        <w:r>
                          <w:rPr>
                            <w:rFonts w:asciiTheme="majorHAnsi" w:eastAsiaTheme="majorEastAsia" w:hAnsiTheme="majorHAnsi" w:cstheme="majorBidi"/>
                            <w:b/>
                            <w:bCs/>
                            <w:sz w:val="14"/>
                            <w:szCs w:val="36"/>
                          </w:rPr>
                          <w:t>organizaciones</w:t>
                        </w:r>
                      </w:p>
                      <w:p w:rsidR="005B5E84" w:rsidRDefault="005B5E84" w:rsidP="005B5E84"/>
                    </w:txbxContent>
                  </v:textbox>
                </v:shape>
              </v:group>
            </w:pict>
          </mc:Fallback>
        </mc:AlternateContent>
      </w:r>
      <w:r w:rsidRPr="00D42A19">
        <w:rPr>
          <w:noProof/>
          <w:lang w:val="en-US"/>
        </w:rPr>
        <mc:AlternateContent>
          <mc:Choice Requires="wpg">
            <w:drawing>
              <wp:anchor distT="0" distB="0" distL="114300" distR="114300" simplePos="0" relativeHeight="251669504" behindDoc="0" locked="0" layoutInCell="1" allowOverlap="1" wp14:anchorId="471EE016" wp14:editId="068773C7">
                <wp:simplePos x="0" y="0"/>
                <wp:positionH relativeFrom="column">
                  <wp:posOffset>5033010</wp:posOffset>
                </wp:positionH>
                <wp:positionV relativeFrom="paragraph">
                  <wp:posOffset>269240</wp:posOffset>
                </wp:positionV>
                <wp:extent cx="1112520" cy="360680"/>
                <wp:effectExtent l="0" t="0" r="1905" b="1905"/>
                <wp:wrapNone/>
                <wp:docPr id="76"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2520" cy="360680"/>
                          <a:chOff x="9060" y="9374"/>
                          <a:chExt cx="1752" cy="568"/>
                        </a:xfrm>
                      </wpg:grpSpPr>
                      <wps:wsp>
                        <wps:cNvPr id="77" name="Text Box 34"/>
                        <wps:cNvSpPr txBox="1">
                          <a:spLocks noChangeArrowheads="1"/>
                        </wps:cNvSpPr>
                        <wps:spPr bwMode="auto">
                          <a:xfrm>
                            <a:off x="9060" y="9374"/>
                            <a:ext cx="1752" cy="20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Pr="00B9272B" w:rsidRDefault="005B5E84" w:rsidP="005B5E84">
                              <w:pPr>
                                <w:rPr>
                                  <w:b/>
                                  <w:sz w:val="10"/>
                                </w:rPr>
                              </w:pPr>
                              <w:r w:rsidRPr="00B9272B">
                                <w:rPr>
                                  <w:b/>
                                  <w:sz w:val="10"/>
                                </w:rPr>
                                <w:t>PERTENENCIA A LA UE</w:t>
                              </w:r>
                            </w:p>
                          </w:txbxContent>
                        </wps:txbx>
                        <wps:bodyPr rot="0" vert="horz" wrap="square" lIns="10800" tIns="3600" rIns="10800" bIns="45720" anchor="t" anchorCtr="0" upright="1">
                          <a:noAutofit/>
                        </wps:bodyPr>
                      </wps:wsp>
                      <wps:wsp>
                        <wps:cNvPr id="78" name="Text Box 35"/>
                        <wps:cNvSpPr txBox="1">
                          <a:spLocks noChangeArrowheads="1"/>
                        </wps:cNvSpPr>
                        <wps:spPr bwMode="auto">
                          <a:xfrm>
                            <a:off x="9282" y="9588"/>
                            <a:ext cx="1152" cy="35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B5E84" w:rsidRDefault="005B5E84" w:rsidP="005B5E84">
                              <w:pPr>
                                <w:rPr>
                                  <w:b/>
                                  <w:sz w:val="10"/>
                                </w:rPr>
                              </w:pPr>
                              <w:r w:rsidRPr="00891F49">
                                <w:rPr>
                                  <w:b/>
                                  <w:sz w:val="10"/>
                                </w:rPr>
                                <w:t>MIEMBROS DE LA UE</w:t>
                              </w:r>
                            </w:p>
                            <w:p w:rsidR="005B5E84" w:rsidRPr="00891F49" w:rsidRDefault="005B5E84" w:rsidP="005B5E84">
                              <w:pPr>
                                <w:rPr>
                                  <w:b/>
                                  <w:sz w:val="10"/>
                                </w:rPr>
                              </w:pPr>
                            </w:p>
                            <w:p w:rsidR="005B5E84" w:rsidRPr="00891F49" w:rsidRDefault="005B5E84" w:rsidP="005B5E84">
                              <w:pPr>
                                <w:rPr>
                                  <w:b/>
                                  <w:sz w:val="10"/>
                                </w:rPr>
                              </w:pPr>
                              <w:r w:rsidRPr="00891F49">
                                <w:rPr>
                                  <w:b/>
                                  <w:sz w:val="10"/>
                                </w:rPr>
                                <w:t>AJENOS A LA UE</w:t>
                              </w:r>
                            </w:p>
                          </w:txbxContent>
                        </wps:txbx>
                        <wps:bodyPr rot="0" vert="horz" wrap="square" lIns="10800" tIns="3600" rIns="10800" bIns="36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6" o:spid="_x0000_s1091" style="position:absolute;left:0;text-align:left;margin-left:396.3pt;margin-top:21.2pt;width:87.6pt;height:28.4pt;z-index:251669504" coordorigin="9060,9374" coordsize="1752,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">
                <v:shape id="Text Box 34" o:spid="_x0000_s1092" type="#_x0000_t202" style="position:absolute;left:9060;top:9374;width:1752;height:2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cd08YA&#10;AADbAAAADwAAAGRycy9kb3ducmV2LnhtbESPT2vCQBTE7wW/w/IKvdVNVapGV7EtWgte/AceH9ln&#10;Esy+DdnVRD+9KxQ8DjPzG2Y8bUwhLlS53LKCj3YEgjixOudUwW47fx+AcB5ZY2GZFFzJwXTSehlj&#10;rG3Na7psfCoChF2MCjLvy1hKl2Rk0LVtSRy8o60M+iCrVOoK6wA3hexE0ac0mHNYyLCk74yS0+Zs&#10;FPz9Hnr2a7E71vt8VXSH3Z/zYn1T6u21mY1AeGr8M/zfXmoF/T48voQfIC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wcd08YAAADbAAAADwAAAAAAAAAAAAAAAACYAgAAZHJz&#10;L2Rvd25yZXYueG1sUEsFBgAAAAAEAAQA9QAAAIsDAAAAAA==&#10;" stroked="f">
                  <v:textbox inset=".3mm,.1mm,.3mm">
                    <w:txbxContent>
                      <w:p w:rsidR="005B5E84" w:rsidRPr="00B9272B" w:rsidRDefault="005B5E84" w:rsidP="005B5E84">
                        <w:pPr>
                          <w:rPr>
                            <w:b/>
                            <w:sz w:val="10"/>
                          </w:rPr>
                        </w:pPr>
                        <w:r w:rsidRPr="00B9272B">
                          <w:rPr>
                            <w:b/>
                            <w:sz w:val="10"/>
                          </w:rPr>
                          <w:t>PERTENENCIA A LA UE</w:t>
                        </w:r>
                      </w:p>
                    </w:txbxContent>
                  </v:textbox>
                </v:shape>
                <v:shape id="Text Box 35" o:spid="_x0000_s1093" type="#_x0000_t202" style="position:absolute;left:9282;top:9588;width:1152;height:3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bUacEA&#10;AADbAAAADwAAAGRycy9kb3ducmV2LnhtbERPTYvCMBC9L/gfwgh726buYZVqFJUV9qRYBa9jM7bF&#10;ZtJtUlv99eYgeHy879miN5W4UeNKywpGUQyCOLO65FzB8bD5moBwHlljZZkU3MnBYj74mGGibcd7&#10;uqU+FyGEXYIKCu/rREqXFWTQRbYmDtzFNgZ9gE0udYNdCDeV/I7jH2mw5NBQYE3rgrJr2hoF7alr&#10;V/H/efOol/fddrxNf3dtqtTnsF9OQXjq/Vv8cv9pBeMwNnwJP0DO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G1GnBAAAA2wAAAA8AAAAAAAAAAAAAAAAAmAIAAGRycy9kb3du&#10;cmV2LnhtbFBLBQYAAAAABAAEAPUAAACGAwAAAAA=&#10;" stroked="f">
                  <v:textbox inset=".3mm,.1mm,.3mm,.1mm">
                    <w:txbxContent>
                      <w:p w:rsidR="005B5E84" w:rsidRDefault="005B5E84" w:rsidP="005B5E84">
                        <w:pPr>
                          <w:rPr>
                            <w:b/>
                            <w:sz w:val="10"/>
                          </w:rPr>
                        </w:pPr>
                        <w:r w:rsidRPr="00891F49">
                          <w:rPr>
                            <w:b/>
                            <w:sz w:val="10"/>
                          </w:rPr>
                          <w:t>MIEMBROS DE LA UE</w:t>
                        </w:r>
                      </w:p>
                      <w:p w:rsidR="005B5E84" w:rsidRPr="00891F49" w:rsidRDefault="005B5E84" w:rsidP="005B5E84">
                        <w:pPr>
                          <w:rPr>
                            <w:b/>
                            <w:sz w:val="10"/>
                          </w:rPr>
                        </w:pPr>
                      </w:p>
                      <w:p w:rsidR="005B5E84" w:rsidRPr="00891F49" w:rsidRDefault="005B5E84" w:rsidP="005B5E84">
                        <w:pPr>
                          <w:rPr>
                            <w:b/>
                            <w:sz w:val="10"/>
                          </w:rPr>
                        </w:pPr>
                        <w:r w:rsidRPr="00891F49">
                          <w:rPr>
                            <w:b/>
                            <w:sz w:val="10"/>
                          </w:rPr>
                          <w:t>AJENOS A LA UE</w:t>
                        </w:r>
                      </w:p>
                    </w:txbxContent>
                  </v:textbox>
                </v:shape>
              </v:group>
            </w:pict>
          </mc:Fallback>
        </mc:AlternateContent>
      </w:r>
      <w:r w:rsidRPr="00D42A19">
        <w:rPr>
          <w:rFonts w:cs="Arial"/>
          <w:b/>
          <w:noProof/>
          <w:lang w:val="en-US"/>
        </w:rPr>
        <w:drawing>
          <wp:inline distT="0" distB="0" distL="0" distR="0" wp14:anchorId="15714D39" wp14:editId="36AC3277">
            <wp:extent cx="5972175" cy="3171825"/>
            <wp:effectExtent l="0" t="0" r="9525" b="9525"/>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972175" cy="3171825"/>
                    </a:xfrm>
                    <a:prstGeom prst="rect">
                      <a:avLst/>
                    </a:prstGeom>
                    <a:noFill/>
                    <a:ln>
                      <a:noFill/>
                    </a:ln>
                  </pic:spPr>
                </pic:pic>
              </a:graphicData>
            </a:graphic>
          </wp:inline>
        </w:drawing>
      </w:r>
    </w:p>
    <w:p w:rsidR="005B5E84" w:rsidRPr="00D42A19" w:rsidRDefault="005B5E84" w:rsidP="00D42A19">
      <w:pPr>
        <w:tabs>
          <w:tab w:val="left" w:pos="426"/>
        </w:tabs>
        <w:spacing w:after="240"/>
        <w:rPr>
          <w:rFonts w:cs="Arial"/>
        </w:rPr>
      </w:pPr>
      <w:r w:rsidRPr="00D42A19">
        <w:t>La OCVV pone verdadero empeño en mantener lo más actualizada posible la base de datos:  el 96% de las contribuciones recibidas en 2014 fueron incorporadas en menos de 5 días hábiles.</w:t>
      </w:r>
    </w:p>
    <w:p w:rsidR="005B5E84" w:rsidRPr="00D42A19" w:rsidRDefault="005B5E84" w:rsidP="005B5E84">
      <w:pPr>
        <w:spacing w:after="240"/>
        <w:jc w:val="left"/>
        <w:rPr>
          <w:rFonts w:cs="Arial"/>
          <w:i/>
        </w:rPr>
      </w:pPr>
      <w:r w:rsidRPr="00D42A19">
        <w:br w:type="page"/>
      </w:r>
    </w:p>
    <w:p w:rsidR="005B5E84" w:rsidRPr="00D42A19" w:rsidRDefault="005B5E84" w:rsidP="005B5E84">
      <w:pPr>
        <w:keepNext/>
        <w:spacing w:after="240"/>
        <w:ind w:left="714" w:hanging="357"/>
        <w:rPr>
          <w:rFonts w:cs="Arial"/>
          <w:i/>
        </w:rPr>
      </w:pPr>
      <w:r w:rsidRPr="00D42A19">
        <w:rPr>
          <w:i/>
        </w:rPr>
        <w:t xml:space="preserve">d. </w:t>
      </w:r>
      <w:r w:rsidRPr="00D42A19">
        <w:tab/>
      </w:r>
      <w:r w:rsidRPr="00D42A19">
        <w:rPr>
          <w:i/>
        </w:rPr>
        <w:t xml:space="preserve">Cooperación en la comprobación de denominaciones con los Estados miembros de la UE </w:t>
      </w:r>
    </w:p>
    <w:p w:rsidR="005B5E84" w:rsidRPr="00D42A19" w:rsidRDefault="005B5E84" w:rsidP="005B5E84">
      <w:pPr>
        <w:tabs>
          <w:tab w:val="left" w:pos="142"/>
        </w:tabs>
        <w:autoSpaceDE w:val="0"/>
        <w:autoSpaceDN w:val="0"/>
        <w:adjustRightInd w:val="0"/>
        <w:spacing w:after="240"/>
        <w:rPr>
          <w:rFonts w:cs="Arial"/>
        </w:rPr>
      </w:pPr>
      <w:r w:rsidRPr="00D42A19">
        <w:t xml:space="preserve">Cinco años después de comenzar la cooperación en el programa de comprobación de denominaciones, 2014 fue otro año sin precedentes para el servicio, ya que se recibieron más de 6.600 peticiones de comprobación.  Tales cifras confirman el éxito del proyecto, como se ilustra en el siguiente gráfico. </w:t>
      </w:r>
    </w:p>
    <w:p w:rsidR="005B5E84" w:rsidRPr="00D42A19" w:rsidRDefault="005B5E84" w:rsidP="005B5E84">
      <w:pPr>
        <w:tabs>
          <w:tab w:val="left" w:pos="142"/>
        </w:tabs>
        <w:autoSpaceDE w:val="0"/>
        <w:autoSpaceDN w:val="0"/>
        <w:adjustRightInd w:val="0"/>
        <w:spacing w:after="240"/>
        <w:rPr>
          <w:rFonts w:cs="Arial"/>
        </w:rPr>
      </w:pPr>
      <w:r w:rsidRPr="00D42A19">
        <w:rPr>
          <w:rFonts w:cs="Arial"/>
          <w:noProof/>
          <w:lang w:val="en-US"/>
        </w:rPr>
        <w:drawing>
          <wp:inline distT="0" distB="0" distL="0" distR="0" wp14:anchorId="0718BFE6" wp14:editId="5B8684AA">
            <wp:extent cx="5612130" cy="4584065"/>
            <wp:effectExtent l="0" t="0" r="0" b="0"/>
            <wp:docPr id="7" name="Gráfico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5B5E84" w:rsidRPr="00D42A19" w:rsidRDefault="005B5E84" w:rsidP="005B5E84">
      <w:pPr>
        <w:tabs>
          <w:tab w:val="left" w:pos="142"/>
        </w:tabs>
        <w:autoSpaceDE w:val="0"/>
        <w:autoSpaceDN w:val="0"/>
        <w:adjustRightInd w:val="0"/>
        <w:spacing w:after="240"/>
        <w:rPr>
          <w:rFonts w:eastAsia="MyriadPro-Light" w:cs="Arial"/>
        </w:rPr>
      </w:pPr>
      <w:r w:rsidRPr="00D42A19">
        <w:t xml:space="preserve">Algunos Estados miembros de la UE, que ya habían comenzado a aportar datos al servicio con mayor regularidad en 2013, intensificaron su compromiso durante 2014 al tomar la iniciativa en el debate en torno a las normas sobre las denominaciones y su interpretación. </w:t>
      </w:r>
    </w:p>
    <w:p w:rsidR="005B5E84" w:rsidRPr="00D42A19" w:rsidRDefault="005B5E84" w:rsidP="005B5E84">
      <w:pPr>
        <w:tabs>
          <w:tab w:val="left" w:pos="142"/>
        </w:tabs>
        <w:autoSpaceDE w:val="0"/>
        <w:autoSpaceDN w:val="0"/>
        <w:adjustRightInd w:val="0"/>
        <w:spacing w:after="240"/>
        <w:rPr>
          <w:rFonts w:cs="Arial"/>
        </w:rPr>
      </w:pPr>
      <w:r w:rsidRPr="00D42A19">
        <w:t>Este compromiso de los Estados miembros de la UE representa una contribución positiva a la armonización de las normas dentro de la Unión Europea.</w:t>
      </w:r>
    </w:p>
    <w:p w:rsidR="005B5E84" w:rsidRPr="00D42A19" w:rsidRDefault="005B5E84" w:rsidP="005B5E84">
      <w:pPr>
        <w:spacing w:after="240"/>
        <w:ind w:left="357"/>
        <w:rPr>
          <w:rFonts w:cs="Arial"/>
          <w:i/>
        </w:rPr>
      </w:pPr>
      <w:r w:rsidRPr="00D42A19">
        <w:rPr>
          <w:i/>
        </w:rPr>
        <w:t xml:space="preserve">e. Proyecto piloto relativo a la mejora de la cooperación en el examen de denominaciones con la </w:t>
      </w:r>
      <w:r w:rsidRPr="00D42A19">
        <w:t xml:space="preserve">Royal General </w:t>
      </w:r>
      <w:proofErr w:type="spellStart"/>
      <w:r w:rsidRPr="00D42A19">
        <w:t>Bulb</w:t>
      </w:r>
      <w:proofErr w:type="spellEnd"/>
      <w:r w:rsidRPr="00D42A19">
        <w:t xml:space="preserve"> </w:t>
      </w:r>
      <w:proofErr w:type="spellStart"/>
      <w:r w:rsidRPr="00D42A19">
        <w:t>Growers</w:t>
      </w:r>
      <w:proofErr w:type="spellEnd"/>
      <w:r w:rsidRPr="00D42A19">
        <w:t xml:space="preserve">' </w:t>
      </w:r>
      <w:proofErr w:type="spellStart"/>
      <w:r w:rsidRPr="00D42A19">
        <w:t>Association</w:t>
      </w:r>
      <w:proofErr w:type="spellEnd"/>
      <w:r w:rsidRPr="00D42A19">
        <w:rPr>
          <w:i/>
        </w:rPr>
        <w:t xml:space="preserve"> </w:t>
      </w:r>
    </w:p>
    <w:p w:rsidR="005B5E84" w:rsidRPr="00D42A19" w:rsidRDefault="005B5E84" w:rsidP="005B5E84">
      <w:pPr>
        <w:tabs>
          <w:tab w:val="left" w:pos="142"/>
        </w:tabs>
        <w:autoSpaceDE w:val="0"/>
        <w:autoSpaceDN w:val="0"/>
        <w:adjustRightInd w:val="0"/>
        <w:spacing w:after="240"/>
        <w:rPr>
          <w:rFonts w:cs="Arial"/>
        </w:rPr>
      </w:pPr>
      <w:r w:rsidRPr="00D42A19">
        <w:t xml:space="preserve">Durante su reunión del 2 de octubre de 2013, el Consejo de Administración de la OCVV se mostró de acuerdo, en principio, con la contribución de la </w:t>
      </w:r>
      <w:r w:rsidRPr="00D42A19">
        <w:rPr>
          <w:i/>
        </w:rPr>
        <w:t xml:space="preserve">Royal General </w:t>
      </w:r>
      <w:proofErr w:type="spellStart"/>
      <w:r w:rsidRPr="00D42A19">
        <w:rPr>
          <w:i/>
        </w:rPr>
        <w:t>Bulb</w:t>
      </w:r>
      <w:proofErr w:type="spellEnd"/>
      <w:r w:rsidRPr="00D42A19">
        <w:rPr>
          <w:i/>
        </w:rPr>
        <w:t xml:space="preserve"> </w:t>
      </w:r>
      <w:proofErr w:type="spellStart"/>
      <w:r w:rsidRPr="00D42A19">
        <w:rPr>
          <w:i/>
        </w:rPr>
        <w:t>Growers</w:t>
      </w:r>
      <w:proofErr w:type="spellEnd"/>
      <w:r w:rsidRPr="00D42A19">
        <w:rPr>
          <w:i/>
        </w:rPr>
        <w:t xml:space="preserve">' </w:t>
      </w:r>
      <w:proofErr w:type="spellStart"/>
      <w:r w:rsidRPr="00D42A19">
        <w:rPr>
          <w:i/>
        </w:rPr>
        <w:t>Association</w:t>
      </w:r>
      <w:proofErr w:type="spellEnd"/>
      <w:r w:rsidRPr="00D42A19">
        <w:t xml:space="preserve"> (KAVB) de los Países Bajos a la mejora de la cooperación en el examen de denominaciones durante un periodo de prueba de un año, a fin de poder evaluar mejor las ventajas y las consecuencias de fortalecer una cooperación que comenzó ya hace varios años de una manera menos formal.</w:t>
      </w:r>
    </w:p>
    <w:p w:rsidR="005B5E84" w:rsidRPr="00D42A19" w:rsidRDefault="005B5E84" w:rsidP="005B5E84">
      <w:pPr>
        <w:tabs>
          <w:tab w:val="left" w:pos="142"/>
        </w:tabs>
        <w:autoSpaceDE w:val="0"/>
        <w:autoSpaceDN w:val="0"/>
        <w:adjustRightInd w:val="0"/>
        <w:spacing w:after="240"/>
        <w:rPr>
          <w:rFonts w:eastAsia="MyriadPro-Light" w:cs="Arial"/>
        </w:rPr>
      </w:pPr>
      <w:r w:rsidRPr="00D42A19">
        <w:t xml:space="preserve">En 2014 la KAVB presentó algo más de 500 propuestas de denominación.  Estas peticiones adicionales no afectaron el tiempo global de tramitación:  por el contrario, casi el 89% de las peticiones se atendieron en menos de 24 horas, lo que representa una ligera mejora con respecto a 2013. </w:t>
      </w:r>
    </w:p>
    <w:p w:rsidR="005B5E84" w:rsidRPr="00D42A19" w:rsidRDefault="005B5E84" w:rsidP="005B5E84">
      <w:pPr>
        <w:spacing w:after="240"/>
        <w:rPr>
          <w:rFonts w:cs="Arial"/>
        </w:rPr>
      </w:pPr>
      <w:r w:rsidRPr="00D42A19">
        <w:t>La OCVV ha considerado muy positiva la cooperación con la KAVB.  Los colegas de la KAVB han transmitido periódicamente sus puntos de vista acerca de la interpretación de las directrices en lo que atañe a las denominaciones, lo que ha permitido a la OCVV mejorar su razonamiento.  Los conocimientos de la asociación neerlandesa sobre el mercado de los bulbos también ha sido muy valiosa para evitar numerosas observaciones sobre las propuestas de denominaciones de variedades remitidas por otras autoridades a fin de obtener asesoramiento o en los procedimientos de la OCVV.  El menor porcentaje de propuestas de la KAVB sujetas a observaciones (20,4%) con respecto a las cifras globales de la UE (24%) hacen digna de crédito a esta constructiva cooperación.</w:t>
      </w:r>
    </w:p>
    <w:p w:rsidR="005B5E84" w:rsidRPr="00D42A19" w:rsidRDefault="005B5E84" w:rsidP="005B5E84">
      <w:pPr>
        <w:tabs>
          <w:tab w:val="left" w:pos="142"/>
        </w:tabs>
        <w:spacing w:after="240"/>
        <w:rPr>
          <w:rFonts w:cs="Arial"/>
        </w:rPr>
      </w:pPr>
      <w:r w:rsidRPr="00D42A19">
        <w:t>El Consejo Administrativo consideró que la cooperación con la KAVB es un valor añadido en materia de puesta en común e intercambio de información sobre la interpretación de las normas acerca de las denominaciones de las variedades y, en marzo de 2015, conforme a la propuesta de la OCVV, convino en extender la duración de la cooperación en el ámbito de las denominaciones de variedades durante un periodo de tiempo indefinido.</w:t>
      </w:r>
    </w:p>
    <w:p w:rsidR="005B5E84" w:rsidRPr="00D42A19" w:rsidRDefault="005B5E84" w:rsidP="005B5E84">
      <w:pPr>
        <w:spacing w:after="240"/>
        <w:ind w:left="720" w:hanging="720"/>
        <w:rPr>
          <w:rFonts w:cs="Arial"/>
          <w:i/>
          <w:u w:val="single"/>
        </w:rPr>
      </w:pPr>
      <w:r w:rsidRPr="00D42A19">
        <w:rPr>
          <w:i/>
          <w:u w:val="single"/>
        </w:rPr>
        <w:t xml:space="preserve">4.2 Reuniones de expertos en cultivos </w:t>
      </w:r>
    </w:p>
    <w:p w:rsidR="005B5E84" w:rsidRPr="00D42A19" w:rsidRDefault="005B5E84" w:rsidP="005B5E84">
      <w:pPr>
        <w:autoSpaceDE w:val="0"/>
        <w:autoSpaceDN w:val="0"/>
        <w:adjustRightInd w:val="0"/>
        <w:spacing w:after="240"/>
        <w:ind w:left="360"/>
        <w:rPr>
          <w:rFonts w:cs="Arial"/>
          <w:i/>
          <w:color w:val="000000"/>
        </w:rPr>
      </w:pPr>
      <w:r w:rsidRPr="00D42A19">
        <w:rPr>
          <w:i/>
          <w:color w:val="000000"/>
        </w:rPr>
        <w:t>a. Reunión de expertos en cultivos hortícolas</w:t>
      </w:r>
    </w:p>
    <w:p w:rsidR="005B5E84" w:rsidRPr="00D42A19" w:rsidRDefault="005B5E84" w:rsidP="005B5E84">
      <w:pPr>
        <w:autoSpaceDE w:val="0"/>
        <w:autoSpaceDN w:val="0"/>
        <w:adjustRightInd w:val="0"/>
        <w:spacing w:after="240"/>
        <w:rPr>
          <w:rFonts w:cs="Arial"/>
          <w:color w:val="000000"/>
        </w:rPr>
      </w:pPr>
      <w:r w:rsidRPr="00D42A19">
        <w:rPr>
          <w:color w:val="000000"/>
        </w:rPr>
        <w:t>Los días 22 y 23 de octubre de 2014 se celebró una reunión de expertos en cultivos hortícolas para examinar los asuntos siguientes:</w:t>
      </w:r>
    </w:p>
    <w:p w:rsidR="005B5E84" w:rsidRPr="00D42A19" w:rsidRDefault="005B5E84" w:rsidP="00DC569B">
      <w:pPr>
        <w:numPr>
          <w:ilvl w:val="0"/>
          <w:numId w:val="10"/>
        </w:numPr>
        <w:autoSpaceDE w:val="0"/>
        <w:autoSpaceDN w:val="0"/>
        <w:adjustRightInd w:val="0"/>
        <w:spacing w:after="120"/>
        <w:ind w:left="714" w:hanging="357"/>
        <w:rPr>
          <w:rFonts w:cs="Arial"/>
          <w:color w:val="000000"/>
        </w:rPr>
      </w:pPr>
      <w:r w:rsidRPr="00D42A19">
        <w:rPr>
          <w:color w:val="000000"/>
        </w:rPr>
        <w:t>revisión de varios protocolos técnicos;</w:t>
      </w:r>
    </w:p>
    <w:p w:rsidR="005B5E84" w:rsidRPr="00D42A19" w:rsidRDefault="005B5E84" w:rsidP="00DC569B">
      <w:pPr>
        <w:numPr>
          <w:ilvl w:val="0"/>
          <w:numId w:val="10"/>
        </w:numPr>
        <w:autoSpaceDE w:val="0"/>
        <w:autoSpaceDN w:val="0"/>
        <w:adjustRightInd w:val="0"/>
        <w:spacing w:after="120"/>
        <w:ind w:left="714" w:hanging="357"/>
        <w:rPr>
          <w:rFonts w:cs="Arial"/>
          <w:color w:val="000000"/>
        </w:rPr>
      </w:pPr>
      <w:r w:rsidRPr="00D42A19">
        <w:t>normas de procedimiento definitivas sobre exámenes DHE análogos de variedades hortícolas en dos lugares de examen diferentes;</w:t>
      </w:r>
    </w:p>
    <w:p w:rsidR="005B5E84" w:rsidRPr="00D42A19" w:rsidRDefault="005B5E84" w:rsidP="00DC569B">
      <w:pPr>
        <w:numPr>
          <w:ilvl w:val="0"/>
          <w:numId w:val="10"/>
        </w:numPr>
        <w:autoSpaceDE w:val="0"/>
        <w:autoSpaceDN w:val="0"/>
        <w:adjustRightInd w:val="0"/>
        <w:spacing w:after="120"/>
        <w:ind w:left="714" w:hanging="357"/>
        <w:rPr>
          <w:rFonts w:cs="Arial"/>
          <w:color w:val="000000"/>
        </w:rPr>
      </w:pPr>
      <w:r w:rsidRPr="00D42A19">
        <w:t>posible revisión del formato común del punto 4.1 en los cuestionarios técnicos de hortalizas;</w:t>
      </w:r>
    </w:p>
    <w:p w:rsidR="005B5E84" w:rsidRPr="00D42A19" w:rsidRDefault="005B5E84" w:rsidP="00DC569B">
      <w:pPr>
        <w:numPr>
          <w:ilvl w:val="0"/>
          <w:numId w:val="10"/>
        </w:numPr>
        <w:autoSpaceDE w:val="0"/>
        <w:autoSpaceDN w:val="0"/>
        <w:adjustRightInd w:val="0"/>
        <w:spacing w:after="120"/>
        <w:ind w:left="714" w:hanging="357"/>
        <w:rPr>
          <w:rFonts w:cs="Arial"/>
          <w:color w:val="000000"/>
        </w:rPr>
      </w:pPr>
      <w:r w:rsidRPr="00D42A19">
        <w:t xml:space="preserve"> principio de “una misma llave para varias puertas”, informe sobre de situación; </w:t>
      </w:r>
    </w:p>
    <w:p w:rsidR="005B5E84" w:rsidRPr="00D42A19" w:rsidRDefault="005B5E84" w:rsidP="00DC569B">
      <w:pPr>
        <w:numPr>
          <w:ilvl w:val="0"/>
          <w:numId w:val="10"/>
        </w:numPr>
        <w:autoSpaceDE w:val="0"/>
        <w:autoSpaceDN w:val="0"/>
        <w:adjustRightInd w:val="0"/>
        <w:spacing w:after="120"/>
        <w:ind w:left="714" w:hanging="357"/>
        <w:rPr>
          <w:rFonts w:cs="Arial"/>
          <w:color w:val="000000"/>
        </w:rPr>
      </w:pPr>
      <w:r w:rsidRPr="00D42A19">
        <w:t>mayor colaboración entre las oficinas encargadas del examen de hortalizas, sin excluir la posible centralización de algunas especies “pequeñas”;</w:t>
      </w:r>
    </w:p>
    <w:p w:rsidR="005B5E84" w:rsidRPr="00D42A19" w:rsidRDefault="005B5E84" w:rsidP="00DC569B">
      <w:pPr>
        <w:pStyle w:val="BodyTextIndent2"/>
        <w:numPr>
          <w:ilvl w:val="0"/>
          <w:numId w:val="10"/>
        </w:numPr>
        <w:tabs>
          <w:tab w:val="left" w:pos="284"/>
        </w:tabs>
        <w:spacing w:line="240" w:lineRule="auto"/>
        <w:ind w:left="714" w:right="176" w:hanging="357"/>
        <w:rPr>
          <w:rFonts w:cs="Arial"/>
          <w:iCs/>
          <w:lang w:val="es-ES_tradnl"/>
        </w:rPr>
      </w:pPr>
      <w:r w:rsidRPr="00D42A19">
        <w:rPr>
          <w:lang w:val="es-ES_tradnl"/>
        </w:rPr>
        <w:t>extensión de los códigos de la UPOV para proporcionar información sobre los tipos de cultivo;</w:t>
      </w:r>
    </w:p>
    <w:p w:rsidR="005B5E84" w:rsidRPr="00D42A19" w:rsidRDefault="005B5E84" w:rsidP="00DC569B">
      <w:pPr>
        <w:numPr>
          <w:ilvl w:val="0"/>
          <w:numId w:val="10"/>
        </w:numPr>
        <w:autoSpaceDE w:val="0"/>
        <w:autoSpaceDN w:val="0"/>
        <w:adjustRightInd w:val="0"/>
        <w:spacing w:after="120"/>
        <w:ind w:hanging="357"/>
        <w:rPr>
          <w:rFonts w:cs="Arial"/>
          <w:color w:val="000000"/>
        </w:rPr>
      </w:pPr>
      <w:r w:rsidRPr="00D42A19">
        <w:rPr>
          <w:color w:val="000000"/>
        </w:rPr>
        <w:t>debates en curso sobre las pruebas de resistencia a las enfermedades:</w:t>
      </w:r>
    </w:p>
    <w:p w:rsidR="005B5E84" w:rsidRPr="00D42A19" w:rsidRDefault="005B5E84" w:rsidP="00DC569B">
      <w:pPr>
        <w:numPr>
          <w:ilvl w:val="1"/>
          <w:numId w:val="3"/>
        </w:numPr>
        <w:autoSpaceDE w:val="0"/>
        <w:autoSpaceDN w:val="0"/>
        <w:adjustRightInd w:val="0"/>
        <w:spacing w:after="120"/>
        <w:ind w:hanging="357"/>
        <w:rPr>
          <w:rFonts w:cs="Arial"/>
          <w:color w:val="000000"/>
        </w:rPr>
      </w:pPr>
      <w:r w:rsidRPr="00D42A19">
        <w:rPr>
          <w:color w:val="000000"/>
        </w:rPr>
        <w:t>mayores progresos en el retraso en la aplicación de caracteres con asterisco de resistencia a las enfermedades;</w:t>
      </w:r>
    </w:p>
    <w:p w:rsidR="005B5E84" w:rsidRPr="00D42A19" w:rsidRDefault="005B5E84" w:rsidP="00DC569B">
      <w:pPr>
        <w:numPr>
          <w:ilvl w:val="1"/>
          <w:numId w:val="3"/>
        </w:numPr>
        <w:autoSpaceDE w:val="0"/>
        <w:autoSpaceDN w:val="0"/>
        <w:adjustRightInd w:val="0"/>
        <w:spacing w:after="120"/>
        <w:ind w:hanging="357"/>
        <w:rPr>
          <w:rFonts w:cs="Arial"/>
          <w:color w:val="000000"/>
        </w:rPr>
      </w:pPr>
      <w:r w:rsidRPr="00D42A19">
        <w:rPr>
          <w:color w:val="000000"/>
        </w:rPr>
        <w:t>análisis más detallado de los existentes caracteres con asterisco de resistencia a las enfermedades;</w:t>
      </w:r>
    </w:p>
    <w:p w:rsidR="005B5E84" w:rsidRPr="00D42A19" w:rsidRDefault="005B5E84" w:rsidP="00DC569B">
      <w:pPr>
        <w:numPr>
          <w:ilvl w:val="0"/>
          <w:numId w:val="3"/>
        </w:numPr>
        <w:autoSpaceDE w:val="0"/>
        <w:autoSpaceDN w:val="0"/>
        <w:adjustRightInd w:val="0"/>
        <w:spacing w:after="240"/>
        <w:rPr>
          <w:rFonts w:cs="Arial"/>
          <w:color w:val="000000"/>
        </w:rPr>
      </w:pPr>
      <w:r w:rsidRPr="00D42A19">
        <w:rPr>
          <w:color w:val="000000"/>
        </w:rPr>
        <w:t>situación de los proyectos de I+D, en curso y futuros, en el sector hortícola.</w:t>
      </w:r>
    </w:p>
    <w:p w:rsidR="005B5E84" w:rsidRPr="00D42A19" w:rsidRDefault="005B5E84" w:rsidP="005B5E84">
      <w:pPr>
        <w:autoSpaceDE w:val="0"/>
        <w:autoSpaceDN w:val="0"/>
        <w:adjustRightInd w:val="0"/>
        <w:spacing w:after="240"/>
        <w:ind w:left="360"/>
        <w:rPr>
          <w:rFonts w:cs="Arial"/>
          <w:i/>
          <w:color w:val="000000"/>
        </w:rPr>
      </w:pPr>
      <w:r w:rsidRPr="00D42A19">
        <w:rPr>
          <w:i/>
          <w:color w:val="000000"/>
        </w:rPr>
        <w:t>b. Reunión de expertos en cultivos agrícolas</w:t>
      </w:r>
    </w:p>
    <w:p w:rsidR="005B5E84" w:rsidRPr="00D42A19" w:rsidRDefault="005B5E84" w:rsidP="005B5E84">
      <w:pPr>
        <w:autoSpaceDE w:val="0"/>
        <w:autoSpaceDN w:val="0"/>
        <w:adjustRightInd w:val="0"/>
        <w:spacing w:after="240"/>
        <w:rPr>
          <w:rFonts w:cs="Arial"/>
          <w:color w:val="000000"/>
        </w:rPr>
      </w:pPr>
      <w:r w:rsidRPr="00D42A19">
        <w:rPr>
          <w:color w:val="000000"/>
        </w:rPr>
        <w:t>Los días 7 y 8 de octubre de 2014 se celebró una reunión de expertos en cultivos agrícolas para examinar los asuntos siguientes:</w:t>
      </w:r>
    </w:p>
    <w:p w:rsidR="005B5E84" w:rsidRPr="00D42A19" w:rsidRDefault="005B5E84" w:rsidP="00DC569B">
      <w:pPr>
        <w:numPr>
          <w:ilvl w:val="0"/>
          <w:numId w:val="11"/>
        </w:numPr>
        <w:autoSpaceDE w:val="0"/>
        <w:autoSpaceDN w:val="0"/>
        <w:adjustRightInd w:val="0"/>
        <w:spacing w:after="120"/>
        <w:ind w:left="782" w:hanging="357"/>
        <w:rPr>
          <w:rFonts w:cs="Arial"/>
          <w:color w:val="000000"/>
        </w:rPr>
      </w:pPr>
      <w:r w:rsidRPr="00D42A19">
        <w:rPr>
          <w:color w:val="000000"/>
        </w:rPr>
        <w:t xml:space="preserve">revisión de varios protocolos técnicos; </w:t>
      </w:r>
    </w:p>
    <w:p w:rsidR="005B5E84" w:rsidRPr="00D42A19" w:rsidRDefault="005B5E84" w:rsidP="00DC569B">
      <w:pPr>
        <w:numPr>
          <w:ilvl w:val="0"/>
          <w:numId w:val="11"/>
        </w:numPr>
        <w:autoSpaceDE w:val="0"/>
        <w:autoSpaceDN w:val="0"/>
        <w:adjustRightInd w:val="0"/>
        <w:spacing w:after="120"/>
        <w:ind w:left="782" w:hanging="357"/>
        <w:rPr>
          <w:rFonts w:cs="Arial"/>
          <w:color w:val="000000"/>
        </w:rPr>
      </w:pPr>
      <w:r w:rsidRPr="00D42A19">
        <w:rPr>
          <w:color w:val="000000"/>
        </w:rPr>
        <w:t xml:space="preserve">segregación de caracteres en las variedades híbridas; </w:t>
      </w:r>
    </w:p>
    <w:p w:rsidR="005B5E84" w:rsidRPr="00D42A19" w:rsidRDefault="005B5E84" w:rsidP="00DC569B">
      <w:pPr>
        <w:numPr>
          <w:ilvl w:val="0"/>
          <w:numId w:val="11"/>
        </w:numPr>
        <w:autoSpaceDE w:val="0"/>
        <w:autoSpaceDN w:val="0"/>
        <w:adjustRightInd w:val="0"/>
        <w:spacing w:after="120"/>
        <w:ind w:left="782" w:hanging="357"/>
        <w:rPr>
          <w:rFonts w:cs="Arial"/>
          <w:color w:val="000000"/>
        </w:rPr>
      </w:pPr>
      <w:r w:rsidRPr="00D42A19">
        <w:rPr>
          <w:color w:val="000000"/>
        </w:rPr>
        <w:t>cereales:  relación entre plazo de reenvío y denegación;</w:t>
      </w:r>
    </w:p>
    <w:p w:rsidR="005B5E84" w:rsidRPr="00D42A19" w:rsidRDefault="005B5E84" w:rsidP="00DC569B">
      <w:pPr>
        <w:numPr>
          <w:ilvl w:val="0"/>
          <w:numId w:val="11"/>
        </w:numPr>
        <w:autoSpaceDE w:val="0"/>
        <w:autoSpaceDN w:val="0"/>
        <w:adjustRightInd w:val="0"/>
        <w:spacing w:after="120"/>
        <w:ind w:left="782" w:hanging="357"/>
        <w:rPr>
          <w:rFonts w:cs="Arial"/>
          <w:color w:val="000000"/>
        </w:rPr>
      </w:pPr>
      <w:r w:rsidRPr="00D42A19">
        <w:rPr>
          <w:color w:val="000000"/>
        </w:rPr>
        <w:t xml:space="preserve">informe sobre las verificaciones técnicas desencadenadas por la omisión de la presentación de semillas; </w:t>
      </w:r>
    </w:p>
    <w:p w:rsidR="005B5E84" w:rsidRPr="00D42A19" w:rsidRDefault="005B5E84" w:rsidP="00DC569B">
      <w:pPr>
        <w:numPr>
          <w:ilvl w:val="0"/>
          <w:numId w:val="11"/>
        </w:numPr>
        <w:autoSpaceDE w:val="0"/>
        <w:autoSpaceDN w:val="0"/>
        <w:adjustRightInd w:val="0"/>
        <w:spacing w:after="120"/>
        <w:ind w:left="782" w:hanging="357"/>
        <w:rPr>
          <w:rFonts w:cs="Arial"/>
          <w:color w:val="000000"/>
        </w:rPr>
      </w:pPr>
      <w:r w:rsidRPr="00D42A19">
        <w:rPr>
          <w:color w:val="000000"/>
        </w:rPr>
        <w:t>principio de “una misma llave para varias puertas”;</w:t>
      </w:r>
    </w:p>
    <w:p w:rsidR="005B5E84" w:rsidRPr="00D42A19" w:rsidRDefault="005B5E84" w:rsidP="00DC569B">
      <w:pPr>
        <w:numPr>
          <w:ilvl w:val="0"/>
          <w:numId w:val="11"/>
        </w:numPr>
        <w:autoSpaceDE w:val="0"/>
        <w:autoSpaceDN w:val="0"/>
        <w:adjustRightInd w:val="0"/>
        <w:spacing w:after="120"/>
        <w:ind w:left="782" w:hanging="357"/>
        <w:rPr>
          <w:rFonts w:cs="Arial"/>
          <w:color w:val="000000"/>
        </w:rPr>
      </w:pPr>
      <w:r w:rsidRPr="00D42A19">
        <w:rPr>
          <w:color w:val="000000"/>
        </w:rPr>
        <w:t>la base de datos de la papa/patata;</w:t>
      </w:r>
    </w:p>
    <w:p w:rsidR="005B5E84" w:rsidRPr="00D42A19" w:rsidRDefault="005B5E84" w:rsidP="00DC569B">
      <w:pPr>
        <w:numPr>
          <w:ilvl w:val="0"/>
          <w:numId w:val="11"/>
        </w:numPr>
        <w:autoSpaceDE w:val="0"/>
        <w:autoSpaceDN w:val="0"/>
        <w:adjustRightInd w:val="0"/>
        <w:spacing w:after="240"/>
        <w:rPr>
          <w:rFonts w:cs="Arial"/>
          <w:color w:val="000000"/>
        </w:rPr>
      </w:pPr>
      <w:r w:rsidRPr="00D42A19">
        <w:rPr>
          <w:color w:val="000000"/>
        </w:rPr>
        <w:t>situación de los proyectos de I+D, en curso y futuros, en el sector de los cultivos agrícolas;</w:t>
      </w:r>
    </w:p>
    <w:p w:rsidR="005B5E84" w:rsidRPr="00D42A19" w:rsidRDefault="005B5E84" w:rsidP="005B5E84">
      <w:pPr>
        <w:autoSpaceDE w:val="0"/>
        <w:autoSpaceDN w:val="0"/>
        <w:adjustRightInd w:val="0"/>
        <w:spacing w:after="240"/>
        <w:ind w:left="425"/>
        <w:rPr>
          <w:rFonts w:cs="Arial"/>
          <w:i/>
          <w:color w:val="000000"/>
        </w:rPr>
      </w:pPr>
      <w:r w:rsidRPr="00D42A19">
        <w:rPr>
          <w:i/>
          <w:color w:val="000000"/>
        </w:rPr>
        <w:t>c. Reunión de expertos en cultivos frutales</w:t>
      </w:r>
    </w:p>
    <w:p w:rsidR="005B5E84" w:rsidRPr="00D42A19" w:rsidRDefault="005B5E84" w:rsidP="005B5E84">
      <w:pPr>
        <w:autoSpaceDE w:val="0"/>
        <w:autoSpaceDN w:val="0"/>
        <w:adjustRightInd w:val="0"/>
        <w:spacing w:after="240"/>
        <w:rPr>
          <w:rFonts w:cs="Arial"/>
          <w:color w:val="000000"/>
        </w:rPr>
      </w:pPr>
      <w:r w:rsidRPr="00D42A19">
        <w:rPr>
          <w:color w:val="000000"/>
        </w:rPr>
        <w:t>Los días 30 de septiembre y 1 de octubre de 2014 se celebró una reunión de expertos en cultivos frutales para examinar los asuntos siguientes:</w:t>
      </w:r>
    </w:p>
    <w:p w:rsidR="005B5E84" w:rsidRPr="00D42A19" w:rsidRDefault="005B5E84" w:rsidP="00DC569B">
      <w:pPr>
        <w:numPr>
          <w:ilvl w:val="0"/>
          <w:numId w:val="12"/>
        </w:numPr>
        <w:autoSpaceDE w:val="0"/>
        <w:autoSpaceDN w:val="0"/>
        <w:adjustRightInd w:val="0"/>
        <w:spacing w:after="120"/>
        <w:ind w:left="782" w:hanging="357"/>
        <w:rPr>
          <w:rFonts w:cs="Arial"/>
          <w:color w:val="000000"/>
        </w:rPr>
      </w:pPr>
      <w:r w:rsidRPr="00D42A19">
        <w:rPr>
          <w:color w:val="000000"/>
        </w:rPr>
        <w:t>informes provisionales:  información sujeta a observaciones;</w:t>
      </w:r>
    </w:p>
    <w:p w:rsidR="005B5E84" w:rsidRPr="00D42A19" w:rsidRDefault="005B5E84" w:rsidP="00DC569B">
      <w:pPr>
        <w:numPr>
          <w:ilvl w:val="0"/>
          <w:numId w:val="12"/>
        </w:numPr>
        <w:autoSpaceDE w:val="0"/>
        <w:autoSpaceDN w:val="0"/>
        <w:adjustRightInd w:val="0"/>
        <w:spacing w:after="120"/>
        <w:ind w:left="782" w:hanging="357"/>
        <w:rPr>
          <w:rFonts w:cs="Arial"/>
          <w:color w:val="000000"/>
        </w:rPr>
      </w:pPr>
      <w:r w:rsidRPr="00D42A19">
        <w:rPr>
          <w:color w:val="000000"/>
        </w:rPr>
        <w:t xml:space="preserve">informe sobre la jornada de puertas abiertas dedicada a las variedades del manzana celebrada el 18 de diciembre de 2013 y propuesta de seguimiento; </w:t>
      </w:r>
    </w:p>
    <w:p w:rsidR="005B5E84" w:rsidRPr="00D42A19" w:rsidRDefault="005B5E84" w:rsidP="00DC569B">
      <w:pPr>
        <w:numPr>
          <w:ilvl w:val="0"/>
          <w:numId w:val="12"/>
        </w:numPr>
        <w:autoSpaceDE w:val="0"/>
        <w:autoSpaceDN w:val="0"/>
        <w:adjustRightInd w:val="0"/>
        <w:spacing w:after="120"/>
        <w:ind w:left="782" w:hanging="357"/>
        <w:rPr>
          <w:rFonts w:cs="Arial"/>
          <w:color w:val="000000"/>
        </w:rPr>
      </w:pPr>
      <w:r w:rsidRPr="00D42A19">
        <w:rPr>
          <w:color w:val="000000"/>
        </w:rPr>
        <w:t xml:space="preserve">muestra para la evaluación de la homogeneidad; </w:t>
      </w:r>
    </w:p>
    <w:p w:rsidR="005B5E84" w:rsidRPr="00D42A19" w:rsidRDefault="005B5E84" w:rsidP="00DC569B">
      <w:pPr>
        <w:numPr>
          <w:ilvl w:val="0"/>
          <w:numId w:val="12"/>
        </w:numPr>
        <w:autoSpaceDE w:val="0"/>
        <w:autoSpaceDN w:val="0"/>
        <w:adjustRightInd w:val="0"/>
        <w:spacing w:after="120"/>
        <w:ind w:left="782" w:hanging="357"/>
        <w:rPr>
          <w:rFonts w:cs="Arial"/>
          <w:color w:val="000000"/>
        </w:rPr>
      </w:pPr>
      <w:r w:rsidRPr="00D42A19">
        <w:rPr>
          <w:color w:val="000000"/>
        </w:rPr>
        <w:t xml:space="preserve">posibilidades de cooperar con autoridades de la UPOV de otros países en el intercambio de informes de examen técnico; </w:t>
      </w:r>
    </w:p>
    <w:p w:rsidR="005B5E84" w:rsidRPr="00D42A19" w:rsidRDefault="005B5E84" w:rsidP="00DC569B">
      <w:pPr>
        <w:numPr>
          <w:ilvl w:val="0"/>
          <w:numId w:val="12"/>
        </w:numPr>
        <w:autoSpaceDE w:val="0"/>
        <w:autoSpaceDN w:val="0"/>
        <w:adjustRightInd w:val="0"/>
        <w:spacing w:after="120"/>
        <w:ind w:left="782" w:hanging="357"/>
        <w:rPr>
          <w:rFonts w:cs="Arial"/>
          <w:color w:val="000000"/>
        </w:rPr>
      </w:pPr>
      <w:r w:rsidRPr="00D42A19">
        <w:rPr>
          <w:color w:val="000000"/>
        </w:rPr>
        <w:t xml:space="preserve">necesidad de una colección viva de especies pequeñas del sector frutícola; </w:t>
      </w:r>
    </w:p>
    <w:p w:rsidR="005B5E84" w:rsidRPr="00D42A19" w:rsidRDefault="005B5E84" w:rsidP="00DC569B">
      <w:pPr>
        <w:numPr>
          <w:ilvl w:val="0"/>
          <w:numId w:val="12"/>
        </w:numPr>
        <w:autoSpaceDE w:val="0"/>
        <w:autoSpaceDN w:val="0"/>
        <w:adjustRightInd w:val="0"/>
        <w:spacing w:after="120"/>
        <w:ind w:left="782" w:hanging="357"/>
        <w:rPr>
          <w:rFonts w:cs="Arial"/>
          <w:color w:val="000000"/>
        </w:rPr>
      </w:pPr>
      <w:r w:rsidRPr="00D42A19">
        <w:rPr>
          <w:color w:val="000000"/>
        </w:rPr>
        <w:t xml:space="preserve">exámenes en la explotación del obtentor; </w:t>
      </w:r>
    </w:p>
    <w:p w:rsidR="005B5E84" w:rsidRPr="00D42A19" w:rsidRDefault="005B5E84" w:rsidP="00DC569B">
      <w:pPr>
        <w:numPr>
          <w:ilvl w:val="0"/>
          <w:numId w:val="12"/>
        </w:numPr>
        <w:autoSpaceDE w:val="0"/>
        <w:autoSpaceDN w:val="0"/>
        <w:adjustRightInd w:val="0"/>
        <w:spacing w:after="120"/>
        <w:ind w:left="782" w:hanging="357"/>
        <w:rPr>
          <w:rFonts w:cs="Arial"/>
          <w:color w:val="000000"/>
        </w:rPr>
      </w:pPr>
      <w:r w:rsidRPr="00D42A19">
        <w:rPr>
          <w:color w:val="000000"/>
        </w:rPr>
        <w:t xml:space="preserve">intercambio de opiniones sobre la necesidad de llevar a cabo una revisión parcial del protocolo de la mandarina de la OCVV, teniendo en cuenta las novedades más recientes acaecidas en el TWF de la UPOV; </w:t>
      </w:r>
    </w:p>
    <w:p w:rsidR="005B5E84" w:rsidRPr="00D42A19" w:rsidRDefault="005B5E84" w:rsidP="00DC569B">
      <w:pPr>
        <w:numPr>
          <w:ilvl w:val="0"/>
          <w:numId w:val="12"/>
        </w:numPr>
        <w:autoSpaceDE w:val="0"/>
        <w:autoSpaceDN w:val="0"/>
        <w:adjustRightInd w:val="0"/>
        <w:spacing w:after="120"/>
        <w:ind w:left="782" w:hanging="357"/>
        <w:rPr>
          <w:rFonts w:cs="Arial"/>
          <w:color w:val="000000"/>
        </w:rPr>
      </w:pPr>
      <w:r w:rsidRPr="00D42A19">
        <w:rPr>
          <w:color w:val="000000"/>
        </w:rPr>
        <w:t xml:space="preserve">edad de las plantas y comparación por pares en relación con el examen técnico de variedades frutales; </w:t>
      </w:r>
    </w:p>
    <w:p w:rsidR="005B5E84" w:rsidRPr="00D42A19" w:rsidRDefault="005B5E84" w:rsidP="00DC569B">
      <w:pPr>
        <w:numPr>
          <w:ilvl w:val="0"/>
          <w:numId w:val="12"/>
        </w:numPr>
        <w:autoSpaceDE w:val="0"/>
        <w:autoSpaceDN w:val="0"/>
        <w:adjustRightInd w:val="0"/>
        <w:spacing w:after="120"/>
        <w:ind w:left="782" w:hanging="357"/>
        <w:rPr>
          <w:rFonts w:cs="Arial"/>
          <w:color w:val="000000"/>
        </w:rPr>
      </w:pPr>
      <w:r w:rsidRPr="00D42A19">
        <w:rPr>
          <w:color w:val="000000"/>
        </w:rPr>
        <w:t>formalidades fitosanitarias;</w:t>
      </w:r>
    </w:p>
    <w:p w:rsidR="005B5E84" w:rsidRPr="00D42A19" w:rsidRDefault="005B5E84" w:rsidP="00DC569B">
      <w:pPr>
        <w:numPr>
          <w:ilvl w:val="0"/>
          <w:numId w:val="12"/>
        </w:numPr>
        <w:autoSpaceDE w:val="0"/>
        <w:autoSpaceDN w:val="0"/>
        <w:adjustRightInd w:val="0"/>
        <w:spacing w:after="240"/>
        <w:rPr>
          <w:rFonts w:cs="Arial"/>
          <w:color w:val="000000"/>
        </w:rPr>
      </w:pPr>
      <w:r w:rsidRPr="00D42A19">
        <w:rPr>
          <w:color w:val="000000"/>
        </w:rPr>
        <w:t>seguimiento del proyecto de I+D “Reducción del número de periodos obligatorios de observación en el examen DHE de variedades candidatas en el sector frutícola”.</w:t>
      </w:r>
    </w:p>
    <w:p w:rsidR="005B5E84" w:rsidRPr="00D42A19" w:rsidRDefault="005B5E84" w:rsidP="005B5E84">
      <w:pPr>
        <w:autoSpaceDE w:val="0"/>
        <w:autoSpaceDN w:val="0"/>
        <w:adjustRightInd w:val="0"/>
        <w:spacing w:after="240"/>
        <w:ind w:left="425"/>
        <w:rPr>
          <w:rFonts w:cs="Arial"/>
          <w:i/>
          <w:color w:val="000000"/>
        </w:rPr>
      </w:pPr>
      <w:r w:rsidRPr="00D42A19">
        <w:rPr>
          <w:i/>
          <w:color w:val="000000"/>
        </w:rPr>
        <w:t>d. Reunión de expertos en cultivos ornamentales</w:t>
      </w:r>
    </w:p>
    <w:p w:rsidR="005B5E84" w:rsidRPr="00D42A19" w:rsidRDefault="005B5E84" w:rsidP="005B5E84">
      <w:pPr>
        <w:autoSpaceDE w:val="0"/>
        <w:autoSpaceDN w:val="0"/>
        <w:adjustRightInd w:val="0"/>
        <w:spacing w:after="240"/>
        <w:ind w:left="63"/>
        <w:rPr>
          <w:rFonts w:cs="Arial"/>
          <w:color w:val="000000"/>
        </w:rPr>
      </w:pPr>
      <w:r w:rsidRPr="00D42A19">
        <w:rPr>
          <w:color w:val="000000"/>
        </w:rPr>
        <w:t>Los días 23 y 24 de septiembre de 2014 se celebró una reunión de expertos en cultivos ornamentales para examinar los asuntos siguientes:</w:t>
      </w:r>
    </w:p>
    <w:p w:rsidR="005B5E84" w:rsidRPr="00D42A19" w:rsidRDefault="005B5E84" w:rsidP="00DC569B">
      <w:pPr>
        <w:numPr>
          <w:ilvl w:val="0"/>
          <w:numId w:val="13"/>
        </w:numPr>
        <w:autoSpaceDE w:val="0"/>
        <w:autoSpaceDN w:val="0"/>
        <w:adjustRightInd w:val="0"/>
        <w:spacing w:after="120"/>
        <w:ind w:left="782" w:hanging="357"/>
        <w:rPr>
          <w:rFonts w:cs="Arial"/>
          <w:color w:val="000000"/>
        </w:rPr>
      </w:pPr>
      <w:r w:rsidRPr="00D42A19">
        <w:rPr>
          <w:color w:val="000000"/>
        </w:rPr>
        <w:t>centralización de especies pequeñas;</w:t>
      </w:r>
    </w:p>
    <w:p w:rsidR="005B5E84" w:rsidRPr="00D42A19" w:rsidRDefault="005B5E84" w:rsidP="00DC569B">
      <w:pPr>
        <w:numPr>
          <w:ilvl w:val="0"/>
          <w:numId w:val="13"/>
        </w:numPr>
        <w:autoSpaceDE w:val="0"/>
        <w:autoSpaceDN w:val="0"/>
        <w:adjustRightInd w:val="0"/>
        <w:spacing w:after="120"/>
        <w:ind w:left="782" w:hanging="357"/>
        <w:rPr>
          <w:rFonts w:cs="Arial"/>
          <w:color w:val="000000"/>
        </w:rPr>
      </w:pPr>
      <w:r w:rsidRPr="00D42A19">
        <w:rPr>
          <w:color w:val="000000"/>
        </w:rPr>
        <w:t>propuesta de adaptación de las instrucciones generales sobre la presentación de muestras para las solicitudes de derechos de obtentor de especies ornamentales;</w:t>
      </w:r>
    </w:p>
    <w:p w:rsidR="005B5E84" w:rsidRPr="00D42A19" w:rsidRDefault="005B5E84" w:rsidP="00DC569B">
      <w:pPr>
        <w:numPr>
          <w:ilvl w:val="0"/>
          <w:numId w:val="13"/>
        </w:numPr>
        <w:autoSpaceDE w:val="0"/>
        <w:autoSpaceDN w:val="0"/>
        <w:adjustRightInd w:val="0"/>
        <w:spacing w:after="120"/>
        <w:ind w:left="782" w:hanging="357"/>
        <w:rPr>
          <w:rFonts w:cs="Arial"/>
          <w:color w:val="000000"/>
        </w:rPr>
      </w:pPr>
      <w:r w:rsidRPr="00D42A19">
        <w:rPr>
          <w:color w:val="000000"/>
        </w:rPr>
        <w:t>problemas de presentación de material vegetal desde fuera de la UE, intercambio de opiniones acerca de las experiencias, necesidad de actualizar los requisitos generales de presentación;</w:t>
      </w:r>
    </w:p>
    <w:p w:rsidR="005B5E84" w:rsidRPr="00D42A19" w:rsidRDefault="005B5E84" w:rsidP="00DC569B">
      <w:pPr>
        <w:numPr>
          <w:ilvl w:val="0"/>
          <w:numId w:val="13"/>
        </w:numPr>
        <w:autoSpaceDE w:val="0"/>
        <w:autoSpaceDN w:val="0"/>
        <w:adjustRightInd w:val="0"/>
        <w:spacing w:after="120"/>
        <w:ind w:left="782" w:hanging="357"/>
        <w:rPr>
          <w:rFonts w:cs="Arial"/>
          <w:color w:val="000000"/>
        </w:rPr>
      </w:pPr>
      <w:r w:rsidRPr="00D42A19">
        <w:rPr>
          <w:color w:val="000000"/>
        </w:rPr>
        <w:t>informe sobre los caracteres adicionales aceptados recientemente en el sector ornamental, situación;</w:t>
      </w:r>
    </w:p>
    <w:p w:rsidR="005B5E84" w:rsidRPr="00D42A19" w:rsidRDefault="005B5E84" w:rsidP="00DC569B">
      <w:pPr>
        <w:numPr>
          <w:ilvl w:val="0"/>
          <w:numId w:val="13"/>
        </w:numPr>
        <w:autoSpaceDE w:val="0"/>
        <w:autoSpaceDN w:val="0"/>
        <w:adjustRightInd w:val="0"/>
        <w:spacing w:after="120"/>
        <w:ind w:left="782" w:hanging="357"/>
        <w:rPr>
          <w:rFonts w:cs="Arial"/>
          <w:color w:val="000000"/>
        </w:rPr>
      </w:pPr>
      <w:r w:rsidRPr="00D42A19">
        <w:rPr>
          <w:color w:val="000000"/>
        </w:rPr>
        <w:t xml:space="preserve">presentación sobre informatización del procedimiento para nuevas especies y observaciones de las oficinas de examen después del primer procedimiento; </w:t>
      </w:r>
    </w:p>
    <w:p w:rsidR="005B5E84" w:rsidRPr="00D42A19" w:rsidRDefault="005B5E84" w:rsidP="00DC569B">
      <w:pPr>
        <w:numPr>
          <w:ilvl w:val="0"/>
          <w:numId w:val="13"/>
        </w:numPr>
        <w:autoSpaceDE w:val="0"/>
        <w:autoSpaceDN w:val="0"/>
        <w:adjustRightInd w:val="0"/>
        <w:spacing w:after="240"/>
        <w:rPr>
          <w:rFonts w:cs="Arial"/>
          <w:color w:val="000000"/>
        </w:rPr>
      </w:pPr>
      <w:r w:rsidRPr="00D42A19">
        <w:rPr>
          <w:color w:val="000000"/>
        </w:rPr>
        <w:t>legibilidad del Cuestionario Técnico y el formulario de solicitud en Internet desde el punto de vista del examinador.</w:t>
      </w:r>
    </w:p>
    <w:p w:rsidR="005B5E84" w:rsidRPr="00D42A19" w:rsidRDefault="005B5E84" w:rsidP="005B5E84">
      <w:pPr>
        <w:autoSpaceDE w:val="0"/>
        <w:autoSpaceDN w:val="0"/>
        <w:adjustRightInd w:val="0"/>
        <w:spacing w:after="240"/>
        <w:rPr>
          <w:rFonts w:cs="Arial"/>
          <w:color w:val="000000"/>
        </w:rPr>
      </w:pPr>
      <w:r w:rsidRPr="00D42A19">
        <w:t xml:space="preserve">La OPVV acogió en </w:t>
      </w:r>
      <w:proofErr w:type="spellStart"/>
      <w:r w:rsidRPr="00D42A19">
        <w:t>Anger</w:t>
      </w:r>
      <w:proofErr w:type="spellEnd"/>
      <w:r w:rsidRPr="00D42A19">
        <w:t xml:space="preserve"> (Francia) la cuadragésima novena sesión del Grupo de Trabajo Técnico sobre Hortalizas (TWV/49) del 15 al 19 de junio de 2015.  Asistieron a esta sesión más de 60 expertos de diferentes países.</w:t>
      </w:r>
    </w:p>
    <w:p w:rsidR="005B5E84" w:rsidRPr="00D42A19" w:rsidRDefault="005B5E84" w:rsidP="005B5E84">
      <w:pPr>
        <w:spacing w:after="240"/>
        <w:rPr>
          <w:rFonts w:cs="Arial"/>
          <w:u w:val="single"/>
        </w:rPr>
      </w:pPr>
      <w:r w:rsidRPr="00D42A19">
        <w:rPr>
          <w:i/>
          <w:u w:val="single"/>
        </w:rPr>
        <w:t>4.3 Servicio de control de calidad</w:t>
      </w:r>
    </w:p>
    <w:p w:rsidR="005B5E84" w:rsidRPr="00D42A19" w:rsidRDefault="005B5E84" w:rsidP="005B5E84">
      <w:pPr>
        <w:spacing w:after="240"/>
        <w:rPr>
          <w:rFonts w:cs="Arial"/>
        </w:rPr>
      </w:pPr>
      <w:r w:rsidRPr="00D42A19">
        <w:t xml:space="preserve">En el marco del programa de evaluación de la OCVV, se llevaron a cabo 12 auditorías de oficinas encargadas del examen, entre las que se incluyen las visitas trienales regulares de auditoría así como 2 evaluaciones </w:t>
      </w:r>
      <w:r w:rsidRPr="00D42A19">
        <w:rPr>
          <w:i/>
        </w:rPr>
        <w:t>ad hoc</w:t>
      </w:r>
      <w:r w:rsidRPr="00D42A19">
        <w:t xml:space="preserve"> efectuadas en respuesta a las peticiones de ampliación del alcance en materia de acreditación.  Estas evaluaciones concluyeron el segundo ciclo completo de auditoría, desde la creación del programa en 2010.  El Consejo de Administración de la OCVV aceptó las recomendaciones en materia de acreditación formuladas en las reuniones del Consejo de Administración de octubre de 2014 y marzo de 2015. </w:t>
      </w:r>
    </w:p>
    <w:p w:rsidR="005B5E84" w:rsidRPr="00D42A19" w:rsidRDefault="005B5E84" w:rsidP="005B5E84">
      <w:pPr>
        <w:spacing w:after="240"/>
        <w:rPr>
          <w:rFonts w:cs="Arial"/>
        </w:rPr>
      </w:pPr>
      <w:r w:rsidRPr="00D42A19">
        <w:t>El Consejo Administrativo también nombró a 30 expertos técnicos que participan en evaluaciones, para renovar y complementar el actual grupo de expertos.</w:t>
      </w:r>
    </w:p>
    <w:p w:rsidR="005B5E84" w:rsidRPr="00D42A19" w:rsidRDefault="005B5E84" w:rsidP="005B5E84">
      <w:pPr>
        <w:spacing w:after="240"/>
        <w:rPr>
          <w:rFonts w:cs="Arial"/>
        </w:rPr>
      </w:pPr>
      <w:r w:rsidRPr="00D42A19">
        <w:t>Junto con el ejercicio de cálculo de los costos, se inició la cofinanciación de la auditoría entre la OCVV y sus oficinas de examen.  Se comunicó una estimación de los honorarios de auditoría individuales a las oficinas de examen.  Al comenzar el tercer ciclo de auditoría en 2016, el 50% de los costes de auditoría correrán por cuenta de las oficinas de examen.</w:t>
      </w:r>
    </w:p>
    <w:p w:rsidR="005B5E84" w:rsidRPr="00D42A19" w:rsidRDefault="005B5E84" w:rsidP="005B5E84">
      <w:pPr>
        <w:spacing w:after="240"/>
        <w:rPr>
          <w:rFonts w:cs="Arial"/>
          <w:b/>
          <w:u w:val="single"/>
        </w:rPr>
      </w:pPr>
      <w:r w:rsidRPr="00D42A19">
        <w:rPr>
          <w:b/>
          <w:u w:val="single"/>
        </w:rPr>
        <w:t xml:space="preserve">5) Actividades para la promoción de la protección de las obtenciones vegetales: </w:t>
      </w:r>
    </w:p>
    <w:p w:rsidR="005B5E84" w:rsidRPr="00D42A19" w:rsidRDefault="005B5E84" w:rsidP="005B5E84">
      <w:pPr>
        <w:spacing w:after="240"/>
        <w:rPr>
          <w:rFonts w:cs="Arial"/>
          <w:i/>
          <w:u w:val="single"/>
        </w:rPr>
      </w:pPr>
      <w:r w:rsidRPr="00D42A19">
        <w:rPr>
          <w:i/>
          <w:u w:val="single"/>
        </w:rPr>
        <w:t>5.1 Seminarios y reuniones internacionales</w:t>
      </w:r>
    </w:p>
    <w:p w:rsidR="005B5E84" w:rsidRPr="00D42A19" w:rsidRDefault="005B5E84" w:rsidP="005B5E84">
      <w:pPr>
        <w:spacing w:after="240"/>
        <w:ind w:left="720"/>
        <w:rPr>
          <w:rFonts w:cs="Arial"/>
          <w:i/>
        </w:rPr>
      </w:pPr>
      <w:r w:rsidRPr="00D42A19">
        <w:rPr>
          <w:i/>
        </w:rPr>
        <w:t>a. EXPO MILÁN 2015</w:t>
      </w:r>
    </w:p>
    <w:p w:rsidR="005B5E84" w:rsidRPr="00D42A19" w:rsidRDefault="005B5E84" w:rsidP="005B5E84">
      <w:pPr>
        <w:spacing w:after="240"/>
        <w:rPr>
          <w:rFonts w:cs="Arial"/>
        </w:rPr>
      </w:pPr>
      <w:r w:rsidRPr="00D42A19">
        <w:t xml:space="preserve">El 14 de julio de 2015, DG SANTÉ organizó una conferencia sobre “Cambio climático y seguridad alimentaria:  amenazas para la sanidad vegetal, el fitomejoramiento y los recursos genéticos”.  La conferencia contó con los auspicios de una serie de actividades de promoción de la sostenibilidad a largo plazo de la cadena alimentaria para garantizar la seguridad alimentaria. </w:t>
      </w:r>
    </w:p>
    <w:p w:rsidR="005B5E84" w:rsidRPr="00D42A19" w:rsidRDefault="005B5E84" w:rsidP="005B5E84">
      <w:pPr>
        <w:shd w:val="clear" w:color="auto" w:fill="FFFFFF"/>
        <w:spacing w:after="240"/>
        <w:rPr>
          <w:rFonts w:cs="Arial"/>
        </w:rPr>
      </w:pPr>
      <w:r w:rsidRPr="00D42A19">
        <w:t>Los expertos de los Estados miembros de la UE, las partes interesadas, los miembros del sector académico y las organizaciones internacionales debatieron en la Expo Milán los efectos del cambio climático en la seguridad alimentaria y la inocuidad de los alimentos y los nuevos riesgos que entraña para la salud y la alta calidad de las plantas y las semillas.  El Secretario General Adjunto de la UPOV presentó a la audiencia una ponencia sobre el problema de la protección de la innovación en el sector del fitomejoramiento.</w:t>
      </w:r>
    </w:p>
    <w:p w:rsidR="005B5E84" w:rsidRPr="00D42A19" w:rsidRDefault="005B5E84" w:rsidP="005B5E84">
      <w:pPr>
        <w:spacing w:after="240"/>
        <w:ind w:left="720"/>
        <w:rPr>
          <w:rFonts w:cs="Arial"/>
          <w:i/>
        </w:rPr>
      </w:pPr>
      <w:r w:rsidRPr="00D42A19">
        <w:rPr>
          <w:i/>
        </w:rPr>
        <w:t>b. La OCVV</w:t>
      </w:r>
    </w:p>
    <w:p w:rsidR="005B5E84" w:rsidRPr="00D42A19" w:rsidRDefault="005B5E84" w:rsidP="005B5E84">
      <w:pPr>
        <w:spacing w:after="240"/>
        <w:rPr>
          <w:rFonts w:cs="Arial"/>
        </w:rPr>
      </w:pPr>
      <w:r w:rsidRPr="00D42A19">
        <w:t xml:space="preserve">El Presidente de la OCVV asistió a un taller de la Organización Africana de la Propiedad Intelectual (OAPI) que tuvo lugar en </w:t>
      </w:r>
      <w:proofErr w:type="spellStart"/>
      <w:r w:rsidRPr="00D42A19">
        <w:t>Zimbabwe</w:t>
      </w:r>
      <w:proofErr w:type="spellEnd"/>
      <w:r w:rsidRPr="00D42A19">
        <w:t xml:space="preserve">, del 26 de octubre al 2 de noviembre de 2014, en el que prestó asistencia a la ARIPO en la creación de su sistema regional de protección de las obtenciones vegetales y aportó los conocimientos de la OCVV en materia de sistemas regionales de protección de las obtenciones vegetales.  Participó en una reunión de expertos de la ARIPO a fin de elaborar un protocolo de protección de las nuevas obtenciones vegetales (derechos de obtentor) en </w:t>
      </w:r>
      <w:proofErr w:type="spellStart"/>
      <w:r w:rsidRPr="00D42A19">
        <w:t>Arusha</w:t>
      </w:r>
      <w:proofErr w:type="spellEnd"/>
      <w:r w:rsidRPr="00D42A19">
        <w:t xml:space="preserve"> (TZ) del 29 de junio al 1 de julio de 2015.  Asistió a la novena sesión extraordinaria del Consejo Administrativo de la ARIPO, que se celebró en </w:t>
      </w:r>
      <w:proofErr w:type="spellStart"/>
      <w:r w:rsidRPr="00D42A19">
        <w:t>Arusha</w:t>
      </w:r>
      <w:proofErr w:type="spellEnd"/>
      <w:r w:rsidRPr="00D42A19">
        <w:t xml:space="preserve"> el 2 y el 3 de julio de 2015.</w:t>
      </w:r>
    </w:p>
    <w:p w:rsidR="005B5E84" w:rsidRPr="00D42A19" w:rsidRDefault="005B5E84" w:rsidP="005B5E84">
      <w:pPr>
        <w:spacing w:after="240"/>
        <w:rPr>
          <w:rFonts w:cs="Arial"/>
        </w:rPr>
      </w:pPr>
      <w:r w:rsidRPr="00D42A19">
        <w:t xml:space="preserve">El Presidente de la OCVV colaboró en un curso de formación en materia de derechos de obtentor en </w:t>
      </w:r>
      <w:proofErr w:type="spellStart"/>
      <w:r w:rsidRPr="00D42A19">
        <w:t>Arusha</w:t>
      </w:r>
      <w:proofErr w:type="spellEnd"/>
      <w:r w:rsidRPr="00D42A19">
        <w:t xml:space="preserve"> del 27 de noviembre al 2 de diciembre de 2014.  El curso fue organizado por la UPOV, el GEVES (FR) y el </w:t>
      </w:r>
      <w:proofErr w:type="spellStart"/>
      <w:r w:rsidRPr="00D42A19">
        <w:rPr>
          <w:i/>
        </w:rPr>
        <w:t>Naktuinbouw</w:t>
      </w:r>
      <w:proofErr w:type="spellEnd"/>
      <w:r w:rsidRPr="00D42A19">
        <w:t xml:space="preserve"> (NL).  Participó en un segundo curso de formación organizado por la UPOV en el </w:t>
      </w:r>
      <w:proofErr w:type="spellStart"/>
      <w:r w:rsidRPr="00D42A19">
        <w:rPr>
          <w:i/>
        </w:rPr>
        <w:t>Naktuinbouw</w:t>
      </w:r>
      <w:proofErr w:type="spellEnd"/>
      <w:r w:rsidRPr="00D42A19">
        <w:t xml:space="preserve"> sobre la protección de las obtenciones vegetales en </w:t>
      </w:r>
      <w:proofErr w:type="spellStart"/>
      <w:r w:rsidRPr="00D42A19">
        <w:t>Arusha</w:t>
      </w:r>
      <w:proofErr w:type="spellEnd"/>
      <w:r w:rsidRPr="00D42A19">
        <w:t xml:space="preserve"> del 23 al 27 de abril.  </w:t>
      </w:r>
    </w:p>
    <w:p w:rsidR="005B5E84" w:rsidRPr="00D42A19" w:rsidRDefault="005B5E84" w:rsidP="005B5E84">
      <w:pPr>
        <w:spacing w:after="240"/>
        <w:rPr>
          <w:rFonts w:cs="Arial"/>
        </w:rPr>
      </w:pPr>
      <w:r w:rsidRPr="00D42A19">
        <w:t>El Presidente de la OCVV participó en la reunión anual de la Oficina de Protección de las Obtenciones Vegetales del Departamento de Agricultura de los Estados Unidos de América (USDA), que tuvo lugar en diciembre de 2014 en Chicago (Estados Unidos de América), en la que presentó una ponencia sobre el sistema de protección de las obtenciones vegetales de la UE y destacó sus ventajas, tales como la evaluación de las solicitudes, el sistema de presentación de solicitudes por Internet y la base de datos “</w:t>
      </w:r>
      <w:proofErr w:type="spellStart"/>
      <w:r w:rsidRPr="00D42A19">
        <w:t>Variety</w:t>
      </w:r>
      <w:proofErr w:type="spellEnd"/>
      <w:r w:rsidRPr="00D42A19">
        <w:t xml:space="preserve"> </w:t>
      </w:r>
      <w:proofErr w:type="spellStart"/>
      <w:r w:rsidRPr="00D42A19">
        <w:t>Finder</w:t>
      </w:r>
      <w:proofErr w:type="spellEnd"/>
      <w:r w:rsidRPr="00D42A19">
        <w:t xml:space="preserve">”.  En el debate se comprobó que si bien los sistemas de la UE y los Estados Unidos funcionan de manera diferente, tienen denominadores comunes.  También participó en una ponencia conjunta con el Dr. Paul </w:t>
      </w:r>
      <w:proofErr w:type="spellStart"/>
      <w:r w:rsidRPr="00D42A19">
        <w:t>Zankowski</w:t>
      </w:r>
      <w:proofErr w:type="spellEnd"/>
      <w:r w:rsidRPr="00D42A19">
        <w:t xml:space="preserve">, de la USDA, a la </w:t>
      </w:r>
      <w:r w:rsidRPr="00D42A19">
        <w:rPr>
          <w:i/>
        </w:rPr>
        <w:t xml:space="preserve">American </w:t>
      </w:r>
      <w:proofErr w:type="spellStart"/>
      <w:r w:rsidRPr="00D42A19">
        <w:rPr>
          <w:i/>
        </w:rPr>
        <w:t>Seed</w:t>
      </w:r>
      <w:proofErr w:type="spellEnd"/>
      <w:r w:rsidRPr="00D42A19">
        <w:rPr>
          <w:i/>
        </w:rPr>
        <w:t xml:space="preserve"> </w:t>
      </w:r>
      <w:proofErr w:type="spellStart"/>
      <w:r w:rsidRPr="00D42A19">
        <w:rPr>
          <w:i/>
        </w:rPr>
        <w:t>Trade</w:t>
      </w:r>
      <w:proofErr w:type="spellEnd"/>
      <w:r w:rsidRPr="00D42A19">
        <w:rPr>
          <w:i/>
        </w:rPr>
        <w:t xml:space="preserve"> </w:t>
      </w:r>
      <w:proofErr w:type="spellStart"/>
      <w:r w:rsidRPr="00D42A19">
        <w:rPr>
          <w:i/>
        </w:rPr>
        <w:t>Association</w:t>
      </w:r>
      <w:proofErr w:type="spellEnd"/>
      <w:r w:rsidRPr="00D42A19">
        <w:t xml:space="preserve"> (ASTA).  Como miembros de la UPOV, es importante que la UE y los Estados Unidos de América trabajen juntos y, en definitiva, reduzcan la carga administrativa que soportan los obtentores.  La OCVV confía en poder colaborar con sus homólogos estadounidenses a fin de seguir prestando apoyo y protección a los obtentores, para que los puedan seguir investigando y desarrollando nuevas obtenciones vegetales.</w:t>
      </w:r>
    </w:p>
    <w:p w:rsidR="005B5E84" w:rsidRPr="00D42A19" w:rsidRDefault="005B5E84" w:rsidP="005B5E84">
      <w:pPr>
        <w:spacing w:after="240"/>
        <w:rPr>
          <w:rFonts w:cs="Arial"/>
        </w:rPr>
      </w:pPr>
      <w:r w:rsidRPr="009F5335">
        <w:t>El Presidente de la OCVV se reunió con el Dr. </w:t>
      </w:r>
      <w:proofErr w:type="spellStart"/>
      <w:r w:rsidRPr="009F5335">
        <w:t>Bao</w:t>
      </w:r>
      <w:proofErr w:type="spellEnd"/>
      <w:r w:rsidRPr="009F5335">
        <w:t xml:space="preserve">-Ji Chen, </w:t>
      </w:r>
      <w:r w:rsidR="000F479D" w:rsidRPr="009F5335">
        <w:t>‘</w:t>
      </w:r>
      <w:r w:rsidRPr="009F5335">
        <w:t>Ministro de Agricultura</w:t>
      </w:r>
      <w:r w:rsidR="000F479D" w:rsidRPr="009F5335">
        <w:t>’</w:t>
      </w:r>
      <w:r w:rsidRPr="009F5335">
        <w:t xml:space="preserve"> de </w:t>
      </w:r>
      <w:r w:rsidR="009F5335" w:rsidRPr="009F5335">
        <w:t xml:space="preserve">la provincia china de </w:t>
      </w:r>
      <w:proofErr w:type="spellStart"/>
      <w:r w:rsidR="009F5335" w:rsidRPr="009F5335">
        <w:t>Taiwa</w:t>
      </w:r>
      <w:r w:rsidRPr="009F5335">
        <w:t>n</w:t>
      </w:r>
      <w:proofErr w:type="spellEnd"/>
      <w:r w:rsidRPr="009F5335">
        <w:t xml:space="preserve">, en París el 7 de julio para considerar </w:t>
      </w:r>
      <w:r w:rsidR="000F479D" w:rsidRPr="009F5335">
        <w:t>la protección de nuevas variedades vegetales</w:t>
      </w:r>
      <w:r w:rsidRPr="009F5335">
        <w:t>.</w:t>
      </w:r>
    </w:p>
    <w:p w:rsidR="005B5E84" w:rsidRPr="00D42A19" w:rsidRDefault="005B5E84" w:rsidP="005B5E84">
      <w:pPr>
        <w:spacing w:after="240"/>
        <w:rPr>
          <w:rFonts w:cs="Arial"/>
        </w:rPr>
      </w:pPr>
      <w:r w:rsidRPr="00D42A19">
        <w:t xml:space="preserve">El 14 de julio de 2015 el Presidente de la OCVV participó, en la Expo Milán, en la conferencia organizada por la DG SANTÉ de la Comisión Europea sobre “Cambio climático y seguridad alimentaria:  amenazas para la sanidad vegetal, el fitomejoramiento y los recursos genéticos”. </w:t>
      </w:r>
    </w:p>
    <w:p w:rsidR="005B5E84" w:rsidRPr="00D42A19" w:rsidRDefault="005B5E84" w:rsidP="005B5E84">
      <w:pPr>
        <w:spacing w:after="240"/>
        <w:rPr>
          <w:rFonts w:cs="Arial"/>
        </w:rPr>
      </w:pPr>
      <w:r w:rsidRPr="00D42A19">
        <w:t xml:space="preserve">El Vicepresidente de la OCVV participó y presentó ponencias en la primera edición del curso de </w:t>
      </w:r>
      <w:proofErr w:type="spellStart"/>
      <w:r w:rsidRPr="00D42A19">
        <w:t>de</w:t>
      </w:r>
      <w:proofErr w:type="spellEnd"/>
      <w:r w:rsidRPr="00D42A19">
        <w:t xml:space="preserve"> la UPOV “Formación de formadores” dirigido a los países de América Latina, organizado por la UPOV, la Organización Mundial de la Propiedad Intelectual (OMPI) y las autoridades españolas, en Montevideo (Uruguay) en diciembre de 2014.</w:t>
      </w:r>
    </w:p>
    <w:p w:rsidR="005B5E84" w:rsidRPr="00D42A19" w:rsidRDefault="005B5E84" w:rsidP="005B5E84">
      <w:pPr>
        <w:spacing w:after="240"/>
        <w:rPr>
          <w:rFonts w:cs="Arial"/>
        </w:rPr>
      </w:pPr>
      <w:r w:rsidRPr="00D42A19">
        <w:t>El Vicepresidente de la OCVV participó en el Quinto Seminario Internacional sobre el Derecho de Obtentor, organizado por el Instituto Ecuatoriano de la Propiedad Intelectual (IEPI) en colaboración con la UPOV y el Instituto Nacional Autónomo de Investigaciones Agropecuarias (INIAP), en Quevedo (Ecuador), en octubre de 2014.  Presentó ponencias sobre el sistema comunitario de protección de las obtenciones vegetales y la organización de los exámenes DHE en la UE.  En esta ocasión, se organizó una reunión paralela con el</w:t>
      </w:r>
      <w:r w:rsidR="00D42A19" w:rsidRPr="00D42A19">
        <w:t> </w:t>
      </w:r>
      <w:r w:rsidRPr="00D42A19">
        <w:t>IEPI a fin de examinar la posibilidad de promover una mayor cooperación con la OCVV y sus oficinas de examen.</w:t>
      </w:r>
    </w:p>
    <w:p w:rsidR="005B5E84" w:rsidRPr="00D42A19" w:rsidRDefault="005B5E84" w:rsidP="005B5E84">
      <w:pPr>
        <w:spacing w:after="240"/>
        <w:rPr>
          <w:rFonts w:cs="Arial"/>
        </w:rPr>
      </w:pPr>
      <w:r w:rsidRPr="00D42A19">
        <w:t xml:space="preserve">El Vicepresidente también participó e hizo una presentación en el “Taller de derechos de la P.I.” organizado por la Asociación de Semillas de Asia y el Pacífico (APSA) el 18 y el 19 de mayo de 2015 en Bangkok (Tailandia).  El taller estuvo dirigido a las asociaciones nacionales de semillas que integran la APSA, y su principal propósito fue presentar y debatir el “Documento de Posición Institucional en Materia de Derechos de la Propiedad Intelectual” de esta asociación. </w:t>
      </w:r>
    </w:p>
    <w:p w:rsidR="005B5E84" w:rsidRPr="00D42A19" w:rsidRDefault="005B5E84" w:rsidP="005B5E84">
      <w:pPr>
        <w:spacing w:after="240"/>
        <w:rPr>
          <w:rFonts w:cs="Arial"/>
        </w:rPr>
      </w:pPr>
      <w:r w:rsidRPr="00D42A19">
        <w:t xml:space="preserve">El Director de la Unidad Jurídica asistió al Máster en Propiedad Intelectual del Magister </w:t>
      </w:r>
      <w:proofErr w:type="spellStart"/>
      <w:r w:rsidRPr="00D42A19">
        <w:t>Lucentinus</w:t>
      </w:r>
      <w:proofErr w:type="spellEnd"/>
      <w:r w:rsidRPr="00D42A19">
        <w:t xml:space="preserve"> de la Universidad de Alicante “Módulo intensivo I sobre los derechos del obtentor vegetal”, el 13 y el 14 de noviembre de 2014 (España), en el que presentó una ponencia.</w:t>
      </w:r>
    </w:p>
    <w:p w:rsidR="005B5E84" w:rsidRPr="00D42A19" w:rsidRDefault="005B5E84" w:rsidP="005B5E84">
      <w:pPr>
        <w:spacing w:after="240"/>
        <w:rPr>
          <w:rFonts w:cs="Arial"/>
        </w:rPr>
      </w:pPr>
      <w:r w:rsidRPr="00D42A19">
        <w:t xml:space="preserve">El Director de la Unidad Jurídica presentó una ponencia sobre el sistema de protección de las obtenciones vegetales de la UE en el XVIII Curso sobre protección de las obtenciones vegetales, impartido en </w:t>
      </w:r>
      <w:proofErr w:type="spellStart"/>
      <w:r w:rsidRPr="00D42A19">
        <w:t>Wageningen</w:t>
      </w:r>
      <w:proofErr w:type="spellEnd"/>
      <w:r w:rsidRPr="00D42A19">
        <w:t xml:space="preserve"> (Países Bajos) el 22 de junio de 2015 y organizado por el </w:t>
      </w:r>
      <w:proofErr w:type="spellStart"/>
      <w:r w:rsidRPr="00D42A19">
        <w:rPr>
          <w:i/>
        </w:rPr>
        <w:t>Naktuinbouw</w:t>
      </w:r>
      <w:proofErr w:type="spellEnd"/>
      <w:r w:rsidRPr="00D42A19">
        <w:t xml:space="preserve">. </w:t>
      </w:r>
    </w:p>
    <w:p w:rsidR="005B5E84" w:rsidRPr="00D42A19" w:rsidRDefault="005B5E84" w:rsidP="005B5E84">
      <w:pPr>
        <w:autoSpaceDE w:val="0"/>
        <w:autoSpaceDN w:val="0"/>
        <w:adjustRightInd w:val="0"/>
        <w:spacing w:after="240"/>
        <w:rPr>
          <w:rFonts w:cs="Arial"/>
        </w:rPr>
      </w:pPr>
      <w:r w:rsidRPr="00D42A19">
        <w:t>El Director de la Unidad Jurídica asistió al Seminario sobre los Derechos de Obtentor y otros Derechos de P.I. en el Desarrollo de la Agricultura (Jornada sobre “La protección de las variedades vegetales y otros derechos de propiedad intelectual en el desarrollo de la agricultura”) (Oficina Española de Patentes y Marcas (OEPM)) en Madrid (España), el 11 de junio de 2015, en el que presentó una ponencia.</w:t>
      </w:r>
    </w:p>
    <w:p w:rsidR="005B5E84" w:rsidRPr="00D42A19" w:rsidRDefault="005B5E84" w:rsidP="005B5E84">
      <w:pPr>
        <w:autoSpaceDE w:val="0"/>
        <w:autoSpaceDN w:val="0"/>
        <w:adjustRightInd w:val="0"/>
        <w:spacing w:after="240"/>
        <w:rPr>
          <w:rFonts w:cs="Arial"/>
        </w:rPr>
      </w:pPr>
      <w:r w:rsidRPr="00D42A19">
        <w:t>El Director de la Unidad Jurídica asistió al Seminario “IV Jornada de ASOVAV Nueva visión sobre los derechos del obtentor en las variedades protegidas)” organizada por la ASOVAV (Asociación de Operadores de Variedades Vegetales), que tuvo lugar en Valencia (España), el 18 de junio de 2015, en el que presentó una ponencia.</w:t>
      </w:r>
    </w:p>
    <w:p w:rsidR="005B5E84" w:rsidRPr="00D42A19" w:rsidRDefault="005B5E84" w:rsidP="005B5E84">
      <w:pPr>
        <w:autoSpaceDE w:val="0"/>
        <w:autoSpaceDN w:val="0"/>
        <w:adjustRightInd w:val="0"/>
        <w:spacing w:after="240"/>
        <w:rPr>
          <w:rFonts w:cs="Arial"/>
        </w:rPr>
      </w:pPr>
      <w:r w:rsidRPr="00D42A19">
        <w:t>La Asesora Jurídica ha seguido la labor del Observatorio Europeo de las Vulneraciones de los Derechos de Propiedad Intelectual de la Oficina de Armonización del Mercado Interior (OAMI) desde febrero de 2013.  El Observatorio inició en septiembre de 2014 el proyecto piloto de una base de datos de jurisprudencia sobre la observancia de todos derechos de P.I. que, según se prevé, incorporará 800 casos (jurisdicciones nacionales, OAMI, OCVV, Tribunal de Justicia de la UE) y dispondrá de algunas oficinas de la propiedad intelectual en algunos Estados Miembros:  Dinamarca, Eslovenia, España, Francia, Lituania, Rumania, Reino Unido y Suecia.  Esa fase finalizó en mayo de 2015 y la Unidad Jurídica elaboró la contribución de la OCVV.  Otros cuatro países se unieron al proyecto en 2015:  Austria, Irlanda, Hungría y la República Checa.  Las decisiones que les atañen son las “principales” sentencias de ejecución de derechos de propiedad intelectual (donde “principales” debe entenderse como una resolución que sienta un precedente o revoca la jurisprudencia establecida), en procedimientos civiles y penales, dictadas entre 2006 y 2014 en relación con todos los derechos de la P.I.  Una vez finalizado el proyecto, la actualización se llevará a cabo anualmente.  La Asesora Jurídica asistirá a las reuniones de septiembre y octubre del Observatorio, en las que se informará a los miembros acerca de las novedades que se han producido en relación con este y otros proyectos de los Grupos de Trabajo Jurídico y de Observancia de Derechos del Observatorio de la OAMI.</w:t>
      </w:r>
    </w:p>
    <w:p w:rsidR="005B5E84" w:rsidRPr="00D42A19" w:rsidRDefault="005B5E84" w:rsidP="005B5E84">
      <w:pPr>
        <w:autoSpaceDE w:val="0"/>
        <w:autoSpaceDN w:val="0"/>
        <w:adjustRightInd w:val="0"/>
        <w:spacing w:after="240"/>
        <w:rPr>
          <w:rFonts w:cs="Arial"/>
        </w:rPr>
      </w:pPr>
      <w:r w:rsidRPr="00D42A19">
        <w:t xml:space="preserve">El experto en especies frutales y hortícolas de la Unidad técnica del OCVV asistió y presentó ponencias en el curso de formación organizado por la Oficina Española de Variedades Vegetales (OEVV) sobre la armonización de la labor de examen DHE llevada a cabo por los centros de examen españoles acreditados por la OCVV, de conformidad con los principios de la UPOV y la OCVV, en San Fernando de Henares (España), del 24 al 27 de febrero de 2014. </w:t>
      </w:r>
    </w:p>
    <w:p w:rsidR="005B5E84" w:rsidRPr="00D42A19" w:rsidRDefault="005B5E84" w:rsidP="005B5E84">
      <w:pPr>
        <w:autoSpaceDE w:val="0"/>
        <w:autoSpaceDN w:val="0"/>
        <w:adjustRightInd w:val="0"/>
        <w:spacing w:after="240"/>
        <w:rPr>
          <w:rFonts w:cs="Arial"/>
        </w:rPr>
      </w:pPr>
      <w:r w:rsidRPr="00D42A19">
        <w:t xml:space="preserve">La OCVV estuvo representada por el Director del Servicio de Control de Calidad en el </w:t>
      </w:r>
      <w:proofErr w:type="spellStart"/>
      <w:r w:rsidRPr="00D42A19">
        <w:rPr>
          <w:i/>
        </w:rPr>
        <w:t>Séminaire</w:t>
      </w:r>
      <w:proofErr w:type="spellEnd"/>
      <w:r w:rsidRPr="00D42A19">
        <w:rPr>
          <w:i/>
        </w:rPr>
        <w:t xml:space="preserve"> </w:t>
      </w:r>
      <w:proofErr w:type="spellStart"/>
      <w:r w:rsidRPr="00D42A19">
        <w:rPr>
          <w:i/>
        </w:rPr>
        <w:t>national</w:t>
      </w:r>
      <w:proofErr w:type="spellEnd"/>
      <w:r w:rsidRPr="00D42A19">
        <w:rPr>
          <w:i/>
        </w:rPr>
        <w:t xml:space="preserve"> </w:t>
      </w:r>
      <w:proofErr w:type="spellStart"/>
      <w:r w:rsidRPr="00D42A19">
        <w:rPr>
          <w:i/>
        </w:rPr>
        <w:t>d’information</w:t>
      </w:r>
      <w:proofErr w:type="spellEnd"/>
      <w:r w:rsidRPr="00D42A19">
        <w:rPr>
          <w:i/>
        </w:rPr>
        <w:t xml:space="preserve"> et de </w:t>
      </w:r>
      <w:proofErr w:type="spellStart"/>
      <w:r w:rsidRPr="00D42A19">
        <w:rPr>
          <w:i/>
        </w:rPr>
        <w:t>sensibilisation</w:t>
      </w:r>
      <w:proofErr w:type="spellEnd"/>
      <w:r w:rsidRPr="00D42A19">
        <w:rPr>
          <w:i/>
        </w:rPr>
        <w:t xml:space="preserve"> à </w:t>
      </w:r>
      <w:proofErr w:type="spellStart"/>
      <w:r w:rsidRPr="00D42A19">
        <w:rPr>
          <w:i/>
        </w:rPr>
        <w:t>l’intention</w:t>
      </w:r>
      <w:proofErr w:type="spellEnd"/>
      <w:r w:rsidRPr="00D42A19">
        <w:rPr>
          <w:i/>
        </w:rPr>
        <w:t xml:space="preserve"> des </w:t>
      </w:r>
      <w:proofErr w:type="spellStart"/>
      <w:r w:rsidRPr="00D42A19">
        <w:rPr>
          <w:i/>
        </w:rPr>
        <w:t>experts</w:t>
      </w:r>
      <w:proofErr w:type="spellEnd"/>
      <w:r w:rsidRPr="00D42A19">
        <w:rPr>
          <w:i/>
        </w:rPr>
        <w:t xml:space="preserve"> des centres de </w:t>
      </w:r>
      <w:proofErr w:type="spellStart"/>
      <w:r w:rsidRPr="00D42A19">
        <w:rPr>
          <w:i/>
        </w:rPr>
        <w:t>recherche</w:t>
      </w:r>
      <w:proofErr w:type="spellEnd"/>
      <w:r w:rsidRPr="00D42A19">
        <w:rPr>
          <w:i/>
        </w:rPr>
        <w:t xml:space="preserve"> </w:t>
      </w:r>
      <w:proofErr w:type="spellStart"/>
      <w:r w:rsidRPr="00D42A19">
        <w:rPr>
          <w:i/>
        </w:rPr>
        <w:t>agricole</w:t>
      </w:r>
      <w:proofErr w:type="spellEnd"/>
      <w:r w:rsidRPr="00D42A19">
        <w:t xml:space="preserve"> de la Organización Africana de la Propiedad Intelectual (OAPI), en Camerún, del 27 al 29 de julio de 2015.  Durante el seminario, presentó el sistema de la OCVV de derechos de obtentor.</w:t>
      </w:r>
    </w:p>
    <w:p w:rsidR="005B5E84" w:rsidRPr="00D42A19" w:rsidRDefault="005B5E84" w:rsidP="005B5E84">
      <w:pPr>
        <w:spacing w:after="240"/>
        <w:rPr>
          <w:rFonts w:cs="Arial"/>
          <w:i/>
          <w:u w:val="single"/>
        </w:rPr>
      </w:pPr>
      <w:r w:rsidRPr="00D42A19">
        <w:rPr>
          <w:i/>
          <w:u w:val="single"/>
        </w:rPr>
        <w:t xml:space="preserve">5.2 Visitas de Estados y organizaciones que no son miembros </w:t>
      </w:r>
    </w:p>
    <w:p w:rsidR="005B5E84" w:rsidRPr="00D42A19" w:rsidRDefault="005B5E84" w:rsidP="005B5E84">
      <w:pPr>
        <w:spacing w:after="240"/>
        <w:rPr>
          <w:rFonts w:cs="Arial"/>
        </w:rPr>
      </w:pPr>
      <w:r w:rsidRPr="00D42A19">
        <w:t>En el periodo objeto del informe, la OCVV tuvo el honor de recibir las siguientes visitas de autoridades de alto rango:</w:t>
      </w:r>
    </w:p>
    <w:p w:rsidR="005B5E84" w:rsidRPr="00D42A19" w:rsidRDefault="005B5E84" w:rsidP="00DC569B">
      <w:pPr>
        <w:numPr>
          <w:ilvl w:val="0"/>
          <w:numId w:val="14"/>
        </w:numPr>
        <w:spacing w:after="120"/>
        <w:ind w:left="1071" w:hanging="357"/>
        <w:rPr>
          <w:rFonts w:cs="Arial"/>
        </w:rPr>
      </w:pPr>
      <w:r w:rsidRPr="00D42A19">
        <w:t>La Delegación de la Organización Africana de la Propiedad Intelectual (OAPI) el 18 de junio de 2015;</w:t>
      </w:r>
    </w:p>
    <w:p w:rsidR="005B5E84" w:rsidRPr="00D42A19" w:rsidRDefault="005B5E84" w:rsidP="00DC569B">
      <w:pPr>
        <w:numPr>
          <w:ilvl w:val="0"/>
          <w:numId w:val="14"/>
        </w:numPr>
        <w:spacing w:after="240"/>
        <w:rPr>
          <w:rFonts w:cs="Arial"/>
        </w:rPr>
      </w:pPr>
      <w:r w:rsidRPr="00D42A19">
        <w:t>La Delegación del Instituto de Consultoría de Gestión de NNT DATA del Japón, el 14 de octubre de 2014.</w:t>
      </w:r>
    </w:p>
    <w:p w:rsidR="005B5E84" w:rsidRPr="00D42A19" w:rsidRDefault="005B5E84" w:rsidP="005B5E84">
      <w:pPr>
        <w:spacing w:after="240"/>
        <w:rPr>
          <w:rFonts w:cs="Arial"/>
          <w:i/>
          <w:u w:val="single"/>
        </w:rPr>
      </w:pPr>
      <w:r w:rsidRPr="00D42A19">
        <w:rPr>
          <w:i/>
          <w:u w:val="single"/>
        </w:rPr>
        <w:t xml:space="preserve">5.3 Participación en ferias internacionales y jornadas de puertas abiertas </w:t>
      </w:r>
    </w:p>
    <w:p w:rsidR="005B5E84" w:rsidRPr="00D42A19" w:rsidRDefault="005B5E84" w:rsidP="005B5E84">
      <w:pPr>
        <w:pStyle w:val="ListParagraph"/>
        <w:spacing w:after="240"/>
        <w:ind w:left="0" w:firstLine="0"/>
        <w:jc w:val="both"/>
        <w:rPr>
          <w:rFonts w:cs="Arial"/>
          <w:szCs w:val="20"/>
          <w:lang w:val="es-ES_tradnl"/>
        </w:rPr>
      </w:pPr>
      <w:r w:rsidRPr="00D42A19">
        <w:rPr>
          <w:lang w:val="es-ES_tradnl"/>
        </w:rPr>
        <w:t>La OCVV entiende que su participación en las ferias internacionales y en las jornadas de puertas abiertas que celebran las oficinas de examen es útil para impulsar el sistema de protección comunitaria de las obtenciones vegetales, para conocer directamente a los solicitantes y para ofrecer información a los agricultores.  En 2015, la OCVV participó en dos ferias.</w:t>
      </w:r>
    </w:p>
    <w:p w:rsidR="005B5E84" w:rsidRPr="00D42A19" w:rsidRDefault="005B5E84" w:rsidP="00DC569B">
      <w:pPr>
        <w:pStyle w:val="ListParagraph"/>
        <w:numPr>
          <w:ilvl w:val="0"/>
          <w:numId w:val="15"/>
        </w:numPr>
        <w:spacing w:after="120"/>
        <w:ind w:left="782" w:hanging="357"/>
        <w:jc w:val="both"/>
        <w:rPr>
          <w:rFonts w:cs="Arial"/>
          <w:szCs w:val="20"/>
          <w:lang w:val="es-ES_tradnl"/>
        </w:rPr>
      </w:pPr>
      <w:r w:rsidRPr="00D42A19">
        <w:rPr>
          <w:lang w:val="es-ES_tradnl"/>
        </w:rPr>
        <w:t xml:space="preserve">En enero de 2015, la OCVV asistió a la “IPM”, la feria dedicada a las plantas ornamentales que se celebra en </w:t>
      </w:r>
      <w:proofErr w:type="spellStart"/>
      <w:r w:rsidRPr="00D42A19">
        <w:rPr>
          <w:lang w:val="es-ES_tradnl"/>
        </w:rPr>
        <w:t>Essen</w:t>
      </w:r>
      <w:proofErr w:type="spellEnd"/>
      <w:r w:rsidRPr="00D42A19">
        <w:rPr>
          <w:lang w:val="es-ES_tradnl"/>
        </w:rPr>
        <w:t xml:space="preserve"> (Alemania).  Compartió la caseta con sus colegas de la </w:t>
      </w:r>
      <w:proofErr w:type="spellStart"/>
      <w:r w:rsidRPr="00D42A19">
        <w:rPr>
          <w:i/>
          <w:lang w:val="es-ES_tradnl"/>
        </w:rPr>
        <w:t>Bundessortenamt</w:t>
      </w:r>
      <w:proofErr w:type="spellEnd"/>
      <w:r w:rsidRPr="00D42A19">
        <w:rPr>
          <w:lang w:val="es-ES_tradnl"/>
        </w:rPr>
        <w:t xml:space="preserve"> (DE), el </w:t>
      </w:r>
      <w:proofErr w:type="spellStart"/>
      <w:r w:rsidRPr="00D42A19">
        <w:rPr>
          <w:i/>
          <w:lang w:val="es-ES_tradnl"/>
        </w:rPr>
        <w:t>Naktuinbouw</w:t>
      </w:r>
      <w:proofErr w:type="spellEnd"/>
      <w:r w:rsidRPr="00D42A19">
        <w:rPr>
          <w:lang w:val="es-ES_tradnl"/>
        </w:rPr>
        <w:t xml:space="preserve"> (NL) y el NIAB (UK).  La atención se centró en las especies ornamentales.</w:t>
      </w:r>
    </w:p>
    <w:p w:rsidR="005B5E84" w:rsidRPr="00D42A19" w:rsidRDefault="005B5E84" w:rsidP="00DC569B">
      <w:pPr>
        <w:pStyle w:val="ListParagraph"/>
        <w:numPr>
          <w:ilvl w:val="0"/>
          <w:numId w:val="15"/>
        </w:numPr>
        <w:spacing w:after="240"/>
        <w:jc w:val="both"/>
        <w:rPr>
          <w:rFonts w:cs="Arial"/>
          <w:szCs w:val="20"/>
          <w:lang w:val="es-ES_tradnl"/>
        </w:rPr>
      </w:pPr>
      <w:r w:rsidRPr="00D42A19">
        <w:rPr>
          <w:lang w:val="es-ES_tradnl"/>
        </w:rPr>
        <w:t xml:space="preserve">En febrero de 2015 se celebró el </w:t>
      </w:r>
      <w:proofErr w:type="spellStart"/>
      <w:r w:rsidRPr="00D42A19">
        <w:rPr>
          <w:i/>
          <w:lang w:val="es-ES_tradnl"/>
        </w:rPr>
        <w:t>Salon</w:t>
      </w:r>
      <w:proofErr w:type="spellEnd"/>
      <w:r w:rsidRPr="00D42A19">
        <w:rPr>
          <w:i/>
          <w:lang w:val="es-ES_tradnl"/>
        </w:rPr>
        <w:t xml:space="preserve"> du </w:t>
      </w:r>
      <w:proofErr w:type="spellStart"/>
      <w:r w:rsidRPr="00D42A19">
        <w:rPr>
          <w:i/>
          <w:lang w:val="es-ES_tradnl"/>
        </w:rPr>
        <w:t>Végétal</w:t>
      </w:r>
      <w:proofErr w:type="spellEnd"/>
      <w:r w:rsidRPr="00D42A19">
        <w:rPr>
          <w:lang w:val="es-ES_tradnl"/>
        </w:rPr>
        <w:t xml:space="preserve"> en Angers (Francia), feria en la que se dan cita principalmente los cultivadores de plantas ornamentales y en la que la OCVV participa habitualmente junto con el GEVES (FR).</w:t>
      </w:r>
    </w:p>
    <w:p w:rsidR="005B5E84" w:rsidRPr="00D42A19" w:rsidRDefault="005B5E84" w:rsidP="005B5E84">
      <w:pPr>
        <w:autoSpaceDE w:val="0"/>
        <w:autoSpaceDN w:val="0"/>
        <w:adjustRightInd w:val="0"/>
        <w:spacing w:after="240"/>
        <w:rPr>
          <w:rFonts w:cs="Arial"/>
        </w:rPr>
      </w:pPr>
      <w:r w:rsidRPr="00D42A19">
        <w:t>En cooperación con la OEVV (Oficina Española de Variedades Vegetales) y el INIA (Instituto Nacional de Investigación y Tecnología Agraria y Alimentaria), la OCVV organizó una jornada de puertas abiertas dedicada a las variedades hortícolas el 21 de octubre de 2014 en Valencia (España).  A dicha jornada asistieron más de 70 obtentores, solicitantes, representantes, usuarios o examinadores de variedades hortícolas protegidas mediante los sistemas nacionales o el sistema de protección comunitaria de las obtenciones vegetales o inscritas en el catálogo oficial de variedades y especies.  Se mantuvieron animados debates sobre las ocho ponencias presentadas por las organizaciones anfitrionas y la Asociación Europea de Semillas (ESA) en torno a los problemas actuales en materia del examen DHE de las especies hortícolas y de los derechos de obtentor.  La tarde se dedicó a la visita a las instalaciones españolas en las que se examinan especies hortícolas donde los examinadores explicaron las complejidades del examen DHE de las especies destinadas a ensalada en las condiciones locales.  El final de la jornada se dedicó a las conclusiones sobre la manera de introducir mejoras en el sector de las hortalizas en el futuro.</w:t>
      </w:r>
    </w:p>
    <w:p w:rsidR="005B5E84" w:rsidRPr="00D42A19" w:rsidRDefault="005B5E84" w:rsidP="005B5E84">
      <w:pPr>
        <w:autoSpaceDE w:val="0"/>
        <w:autoSpaceDN w:val="0"/>
        <w:adjustRightInd w:val="0"/>
        <w:spacing w:after="240"/>
        <w:rPr>
          <w:rFonts w:cs="Arial"/>
        </w:rPr>
      </w:pPr>
      <w:r w:rsidRPr="00D42A19">
        <w:t xml:space="preserve">El 15 de octubre de 2014, la OCVV participó en una jornada de puertas abiertas organizada por la </w:t>
      </w:r>
      <w:proofErr w:type="spellStart"/>
      <w:r w:rsidRPr="00D42A19">
        <w:rPr>
          <w:i/>
        </w:rPr>
        <w:t>Bundessortenamt</w:t>
      </w:r>
      <w:proofErr w:type="spellEnd"/>
      <w:r w:rsidRPr="00D42A19">
        <w:t xml:space="preserve"> en Hannover (Alemania) para obtentores de variedades de </w:t>
      </w:r>
      <w:proofErr w:type="spellStart"/>
      <w:r w:rsidRPr="00D42A19">
        <w:rPr>
          <w:i/>
        </w:rPr>
        <w:t>Calluna</w:t>
      </w:r>
      <w:proofErr w:type="spellEnd"/>
      <w:r w:rsidRPr="00D42A19">
        <w:t xml:space="preserve">.  En ella los obtentores tuvieron la oportunidad de familiarizarse con la realización del examen técnico y con la </w:t>
      </w:r>
      <w:proofErr w:type="spellStart"/>
      <w:r w:rsidRPr="00D42A19">
        <w:rPr>
          <w:i/>
        </w:rPr>
        <w:t>Bundessortenamt</w:t>
      </w:r>
      <w:proofErr w:type="spellEnd"/>
      <w:r w:rsidRPr="00D42A19">
        <w:t xml:space="preserve"> y la OCVV.  Después de las presentaciones y los debates, tuvo lugar una visita al ensayo en cultivo.  Asistieron a la jornada unos 30 participantes, en su mayoría obtentores alemanes.</w:t>
      </w:r>
    </w:p>
    <w:p w:rsidR="005B5E84" w:rsidRPr="00D42A19" w:rsidRDefault="005B5E84" w:rsidP="005B5E84">
      <w:pPr>
        <w:spacing w:after="240"/>
        <w:rPr>
          <w:rFonts w:cs="Arial"/>
          <w:i/>
          <w:u w:val="single"/>
        </w:rPr>
      </w:pPr>
      <w:r w:rsidRPr="00D42A19">
        <w:rPr>
          <w:i/>
          <w:u w:val="single"/>
        </w:rPr>
        <w:t xml:space="preserve">5.4 Programa </w:t>
      </w:r>
      <w:proofErr w:type="spellStart"/>
      <w:r w:rsidRPr="00D42A19">
        <w:rPr>
          <w:i/>
          <w:u w:val="single"/>
        </w:rPr>
        <w:t>Multibeneficiarios</w:t>
      </w:r>
      <w:proofErr w:type="spellEnd"/>
      <w:r w:rsidRPr="00D42A19">
        <w:rPr>
          <w:i/>
          <w:u w:val="single"/>
        </w:rPr>
        <w:t xml:space="preserve"> de participación de los países candidatos a la adhesión a la UE en el sistema comunitario de protección de las variedades vegetales </w:t>
      </w:r>
    </w:p>
    <w:p w:rsidR="005B5E84" w:rsidRPr="009F5335" w:rsidRDefault="005B5E84" w:rsidP="005B5E84">
      <w:pPr>
        <w:autoSpaceDE w:val="0"/>
        <w:autoSpaceDN w:val="0"/>
        <w:adjustRightInd w:val="0"/>
        <w:spacing w:after="240"/>
        <w:rPr>
          <w:rFonts w:cs="Arial"/>
        </w:rPr>
      </w:pPr>
      <w:r w:rsidRPr="00D42A19">
        <w:t xml:space="preserve">La OCVV participa desde 2006 en el denominado “Programa </w:t>
      </w:r>
      <w:proofErr w:type="spellStart"/>
      <w:r w:rsidRPr="00D42A19">
        <w:t>Multibeneficiarios</w:t>
      </w:r>
      <w:proofErr w:type="spellEnd"/>
      <w:r w:rsidRPr="00D42A19">
        <w:t xml:space="preserve">” de la UE y concebido con el fin de preparar a los países que son candidatos a la adhesión a la Unión Europea y del cual se beneficiaron, en un principio, Turquía y Croacia.  En 2008 se hizo extensivo a la ex República Yugoslava de Macedonia y en 2009 a todos los países de la región occidental de los Balcanes.  Albania y Serbia manifestaron su </w:t>
      </w:r>
      <w:r w:rsidRPr="009F5335">
        <w:t xml:space="preserve">interés en participar en sus actividades en 2009, </w:t>
      </w:r>
      <w:r w:rsidR="00D42A19" w:rsidRPr="009F5335">
        <w:t xml:space="preserve">y </w:t>
      </w:r>
      <w:r w:rsidRPr="009F5335">
        <w:t>Bosnia y Herzegovina en 2010</w:t>
      </w:r>
      <w:r w:rsidR="00D42A19" w:rsidRPr="009F5335">
        <w:t>.</w:t>
      </w:r>
      <w:r w:rsidRPr="009F5335">
        <w:t xml:space="preserve"> Kosovo</w:t>
      </w:r>
      <w:r w:rsidR="00D42A19" w:rsidRPr="009F5335">
        <w:t xml:space="preserve"> manifestó su interés en participar</w:t>
      </w:r>
      <w:r w:rsidRPr="009F5335">
        <w:t xml:space="preserve"> en virtud de la Resolución 1244/99 del Consejo de Seguridad de las Naciones Unidas, en 2014.  En el marco de dicho programa, los representantes de las administraciones nacionales de derechos de obtentor fueron invitados a participar en las reuniones de expertos en cultivos que se celebran periódicamente en la OCVV.  Por otra parte, diversos expertos de los países candidatos recibieron formación en las oficinas de examen que ya trabajan en nombre de la OCVV.  Asimismo, expertos de la UE impartieron formación dirigida a personal en los propios países candidatos. </w:t>
      </w:r>
    </w:p>
    <w:p w:rsidR="005B5E84" w:rsidRPr="009F5335" w:rsidRDefault="005B5E84" w:rsidP="005B5E84">
      <w:pPr>
        <w:autoSpaceDE w:val="0"/>
        <w:autoSpaceDN w:val="0"/>
        <w:adjustRightInd w:val="0"/>
        <w:spacing w:after="240"/>
        <w:rPr>
          <w:rFonts w:cs="Arial"/>
        </w:rPr>
      </w:pPr>
      <w:r w:rsidRPr="009F5335">
        <w:t xml:space="preserve">Solo algunas de las actividades llevadas a cabo están comprendidas dentro del periodo del que se informa:  el 2 de octubre de 2014, la OCVV organizó un taller sobre denominaciones de variedades en Zagreb, el que contó con la participación del personal técnico y administrativo de la administración croata de derechos de obtentor. </w:t>
      </w:r>
    </w:p>
    <w:p w:rsidR="005B5E84" w:rsidRPr="00D42A19" w:rsidRDefault="005B5E84" w:rsidP="005B5E84">
      <w:pPr>
        <w:autoSpaceDE w:val="0"/>
        <w:autoSpaceDN w:val="0"/>
        <w:adjustRightInd w:val="0"/>
        <w:spacing w:after="240"/>
        <w:rPr>
          <w:rFonts w:cs="Arial"/>
        </w:rPr>
      </w:pPr>
      <w:r w:rsidRPr="009F5335">
        <w:t>En octubre de 2014, los participantes de Croacia, la ex República Yugoslava de Macedonia, Serbia y Turquía asistieron a la reunión de expertos en especies agrícolas celebrada en Anger</w:t>
      </w:r>
      <w:r w:rsidR="00D42A19" w:rsidRPr="009F5335">
        <w:t>s</w:t>
      </w:r>
      <w:r w:rsidRPr="009F5335">
        <w:t>.</w:t>
      </w:r>
      <w:r w:rsidR="00D42A19" w:rsidRPr="009F5335">
        <w:t xml:space="preserve">  Kosovo también participó.</w:t>
      </w:r>
      <w:r w:rsidRPr="009F5335">
        <w:t xml:space="preserve">  El mismo mes, los expertos en especies hortícolas celebraron su reunión anual en Valencia, seguida de una Jornada de Puertas Abiertas organizada en la estación de examen española, en la que participaron expertos de Albania, la ex República Yugoslava de Macedonia, Serbia y Turquía. </w:t>
      </w:r>
      <w:r w:rsidR="00D42A19" w:rsidRPr="009F5335">
        <w:t xml:space="preserve"> Kosovo también participó.</w:t>
      </w:r>
    </w:p>
    <w:p w:rsidR="005B5E84" w:rsidRPr="00D42A19" w:rsidRDefault="005B5E84" w:rsidP="005B5E84">
      <w:pPr>
        <w:autoSpaceDE w:val="0"/>
        <w:autoSpaceDN w:val="0"/>
        <w:adjustRightInd w:val="0"/>
        <w:spacing w:after="240"/>
        <w:rPr>
          <w:rFonts w:cs="Arial"/>
        </w:rPr>
      </w:pPr>
      <w:r w:rsidRPr="00D42A19">
        <w:t xml:space="preserve">También en octubre de 2014, la OCVV organizó un taller en cooperación con la </w:t>
      </w:r>
      <w:proofErr w:type="spellStart"/>
      <w:r w:rsidRPr="00D42A19">
        <w:rPr>
          <w:i/>
        </w:rPr>
        <w:t>Bundessortenamt</w:t>
      </w:r>
      <w:proofErr w:type="spellEnd"/>
      <w:r w:rsidRPr="00D42A19">
        <w:t xml:space="preserve"> de Alemania sobre el modo en que la OCVV coopera con las oficinas de examen en la tramitación de solicitudes y en las responsabilidades y estructuración de las oficinas de examen.</w:t>
      </w:r>
    </w:p>
    <w:p w:rsidR="005B5E84" w:rsidRPr="00D42A19" w:rsidRDefault="005B5E84" w:rsidP="005B5E84">
      <w:pPr>
        <w:autoSpaceDE w:val="0"/>
        <w:autoSpaceDN w:val="0"/>
        <w:adjustRightInd w:val="0"/>
        <w:spacing w:after="240"/>
        <w:rPr>
          <w:rFonts w:cs="Arial"/>
        </w:rPr>
      </w:pPr>
      <w:r w:rsidRPr="00D42A19">
        <w:t xml:space="preserve">A finales de octubre de 2014, tuvo lugar en la ex República Yugoslava de Macedonia un taller de 2 días sobre la aplicación de un régimen de protección de las variedades vegetales y de sensibilización en torno a esta materia.  La parte dedicada a la aplicación estuvo destinada a las autoridades macedonias y la parte de sensibilización estuvo dirigida a los obtentores y agricultores locales.  El taller se llevó a cabo en cooperación con la UPOV, la República Checa y las autoridades alemanas en derechos de obtentor. </w:t>
      </w:r>
    </w:p>
    <w:p w:rsidR="005B5E84" w:rsidRPr="00D42A19" w:rsidRDefault="005B5E84" w:rsidP="005B5E84">
      <w:pPr>
        <w:autoSpaceDE w:val="0"/>
        <w:autoSpaceDN w:val="0"/>
        <w:adjustRightInd w:val="0"/>
        <w:spacing w:after="240"/>
        <w:rPr>
          <w:rFonts w:cs="Arial"/>
        </w:rPr>
      </w:pPr>
      <w:r w:rsidRPr="00D42A19">
        <w:t xml:space="preserve">El Programa </w:t>
      </w:r>
      <w:proofErr w:type="spellStart"/>
      <w:r w:rsidRPr="00D42A19">
        <w:t>Multibeneficiarios</w:t>
      </w:r>
      <w:proofErr w:type="spellEnd"/>
      <w:r w:rsidRPr="00D42A19">
        <w:t xml:space="preserve"> finalizó en noviembre de 2014;  en la actualidad no hay otro programa previsto. </w:t>
      </w:r>
    </w:p>
    <w:p w:rsidR="005B5E84" w:rsidRPr="00D42A19" w:rsidRDefault="005B5E84" w:rsidP="005B5E84">
      <w:pPr>
        <w:spacing w:after="240"/>
        <w:rPr>
          <w:rFonts w:cs="Arial"/>
          <w:i/>
          <w:u w:val="single"/>
        </w:rPr>
      </w:pPr>
      <w:r w:rsidRPr="00D42A19">
        <w:rPr>
          <w:i/>
          <w:u w:val="single"/>
        </w:rPr>
        <w:t xml:space="preserve">5.5  Novedades en materia de tecnologías de la información </w:t>
      </w:r>
    </w:p>
    <w:p w:rsidR="005B5E84" w:rsidRPr="00D42A19" w:rsidRDefault="005B5E84" w:rsidP="005B5E84">
      <w:pPr>
        <w:autoSpaceDE w:val="0"/>
        <w:autoSpaceDN w:val="0"/>
        <w:adjustRightInd w:val="0"/>
        <w:spacing w:after="240"/>
        <w:rPr>
          <w:rFonts w:cs="Arial"/>
        </w:rPr>
      </w:pPr>
      <w:bookmarkStart w:id="6" w:name="content"/>
      <w:bookmarkEnd w:id="6"/>
      <w:r w:rsidRPr="00D42A19">
        <w:t>El servicio de presentación de solicitudes por Internet de la OCVV se ha desarrollado con el tiempo, y el interés de los solicitantes ha ido creciendo gracias al fomento de dicho instrumento por parte de la OCVV.  Mediante este sistema se han reducido los errores de los solicitantes y, actualmente, cerca de un 80% de las solicitudes se recibe por Internet.  El Consejo Administrativo de la OCVV aprobó el principio de una tasa de solicitud reducida para las presentaciones de solicitud de derechos de obtentor efectuadas por Internet, a partir del 1 de enero de 2016.</w:t>
      </w:r>
    </w:p>
    <w:p w:rsidR="005B5E84" w:rsidRPr="00D42A19" w:rsidRDefault="005B5E84" w:rsidP="005B5E84">
      <w:pPr>
        <w:spacing w:after="240"/>
        <w:rPr>
          <w:rFonts w:cs="Arial"/>
        </w:rPr>
      </w:pPr>
      <w:r w:rsidRPr="00D42A19">
        <w:t xml:space="preserve">El proyecto B2B, encaminado a facilitar el envío de documentos por vía electrónica entre la OCVV y las oficinas de examen, superó la fase piloto con muy buenos resultados y actualmente se ha puesto en marcha en algunas oficinas de examen.  En julio de 2015, la OCVV ha dejado de enviar comunicaciones en papel a sus oficinas de examen y desde entonces utiliza exclusivamente las soluciones informáticas para la transmisión de documentos por vía electrónica. </w:t>
      </w:r>
    </w:p>
    <w:p w:rsidR="005B5E84" w:rsidRPr="00D42A19" w:rsidRDefault="005B5E84" w:rsidP="005F043F">
      <w:pPr>
        <w:spacing w:after="360"/>
        <w:rPr>
          <w:rFonts w:cs="Arial"/>
          <w:u w:val="single"/>
        </w:rPr>
      </w:pPr>
      <w:r w:rsidRPr="00D42A19">
        <w:t xml:space="preserve">La OCVV ha emprendido un estudio para poner en práctica un sistema que posibilite una completa interacción por Internet con los clientes en todas sus comunicaciones. </w:t>
      </w:r>
    </w:p>
    <w:p w:rsidR="005B5E84" w:rsidRPr="00D42A19" w:rsidRDefault="005B5E84" w:rsidP="005B5E84">
      <w:pPr>
        <w:pStyle w:val="ListBullet"/>
        <w:numPr>
          <w:ilvl w:val="0"/>
          <w:numId w:val="0"/>
        </w:numPr>
        <w:tabs>
          <w:tab w:val="left" w:pos="720"/>
        </w:tabs>
        <w:ind w:left="283" w:hanging="283"/>
        <w:rPr>
          <w:rFonts w:cs="Arial"/>
          <w:b/>
          <w:u w:val="single"/>
          <w:lang w:val="es-ES_tradnl"/>
        </w:rPr>
      </w:pPr>
      <w:r w:rsidRPr="00D42A19">
        <w:rPr>
          <w:b/>
          <w:u w:val="single"/>
          <w:lang w:val="es-ES_tradnl"/>
        </w:rPr>
        <w:t>ÁMBITOS DE ACTIVIDAD CONEXOS</w:t>
      </w:r>
    </w:p>
    <w:p w:rsidR="005B5E84" w:rsidRPr="00D42A19" w:rsidRDefault="005B5E84" w:rsidP="005B5E84">
      <w:pPr>
        <w:pStyle w:val="ListBullet"/>
        <w:numPr>
          <w:ilvl w:val="0"/>
          <w:numId w:val="0"/>
        </w:numPr>
        <w:tabs>
          <w:tab w:val="left" w:pos="720"/>
        </w:tabs>
        <w:ind w:left="283" w:hanging="283"/>
        <w:rPr>
          <w:rFonts w:cs="Arial"/>
          <w:b/>
          <w:u w:val="single"/>
          <w:lang w:val="es-ES_tradnl"/>
        </w:rPr>
      </w:pPr>
      <w:r w:rsidRPr="00D42A19">
        <w:rPr>
          <w:b/>
          <w:u w:val="single"/>
          <w:lang w:val="es-ES_tradnl"/>
        </w:rPr>
        <w:t xml:space="preserve">1) Comercialización de semillas y de material de reproducción o de multiplicación </w:t>
      </w:r>
    </w:p>
    <w:p w:rsidR="005B5E84" w:rsidRPr="00D42A19" w:rsidRDefault="005B5E84" w:rsidP="005B5E84">
      <w:pPr>
        <w:autoSpaceDE w:val="0"/>
        <w:autoSpaceDN w:val="0"/>
        <w:adjustRightInd w:val="0"/>
        <w:spacing w:after="240"/>
        <w:rPr>
          <w:rFonts w:cs="Arial"/>
        </w:rPr>
      </w:pPr>
      <w:r w:rsidRPr="00D42A19">
        <w:t>En 2015 se actualizaron el catálogo común de variedades de plantas agrícolas y el catálogo de especies hortícolas en 7 y 6 ocasiones, respectivamente.  A finales de 2014, se aceptó la comercialización en la UE de más de 20.700 variedades de especies agrícolas y más de 19.100 variedades hortícolas.  Además, se registraron en la UE 773 variedades de especies hortícolas de conservación o desarrolladas por aficionados.</w:t>
      </w:r>
    </w:p>
    <w:p w:rsidR="005B5E84" w:rsidRPr="00D42A19" w:rsidRDefault="005B5E84" w:rsidP="005B5E84">
      <w:pPr>
        <w:autoSpaceDE w:val="0"/>
        <w:autoSpaceDN w:val="0"/>
        <w:adjustRightInd w:val="0"/>
        <w:spacing w:after="240"/>
        <w:rPr>
          <w:rFonts w:cs="Arial"/>
          <w:b/>
          <w:u w:val="single"/>
        </w:rPr>
      </w:pPr>
      <w:r w:rsidRPr="00D42A19">
        <w:t xml:space="preserve">La propuesta de Reglamento del Parlamento Europeo y el Consejo relativo a la producción y comercialización de los materiales de reproducción vegetal (Reglamento sobre materiales de reproducción vegetal)  notificada en G/SPS/N/EU/46 el 21 de mayo de 2013 ha sido retirada por la Comisión Europea el 7 de marzo de 2015 (OJ C 80, 7.3.2015, </w:t>
      </w:r>
      <w:proofErr w:type="spellStart"/>
      <w:r w:rsidRPr="00D42A19">
        <w:t>pags</w:t>
      </w:r>
      <w:proofErr w:type="spellEnd"/>
      <w:r w:rsidRPr="00D42A19">
        <w:t>. 17</w:t>
      </w:r>
      <w:r w:rsidRPr="00D42A19">
        <w:noBreakHyphen/>
        <w:t>23).</w:t>
      </w:r>
    </w:p>
    <w:p w:rsidR="005B5E84" w:rsidRPr="00D42A19" w:rsidRDefault="005B5E84" w:rsidP="005B5E84">
      <w:pPr>
        <w:pStyle w:val="ListBullet"/>
        <w:numPr>
          <w:ilvl w:val="0"/>
          <w:numId w:val="0"/>
        </w:numPr>
        <w:tabs>
          <w:tab w:val="left" w:pos="720"/>
        </w:tabs>
        <w:ind w:left="283" w:hanging="283"/>
        <w:rPr>
          <w:rFonts w:cs="Arial"/>
          <w:b/>
          <w:u w:val="single"/>
          <w:lang w:val="es-ES_tradnl"/>
        </w:rPr>
      </w:pPr>
      <w:r w:rsidRPr="00D42A19">
        <w:rPr>
          <w:b/>
          <w:u w:val="single"/>
          <w:lang w:val="es-ES_tradnl"/>
        </w:rPr>
        <w:t xml:space="preserve">2) Recursos genéticos </w:t>
      </w:r>
    </w:p>
    <w:p w:rsidR="005B5E84" w:rsidRPr="00D42A19" w:rsidRDefault="005B5E84" w:rsidP="005B5E84">
      <w:pPr>
        <w:pStyle w:val="ListBullet"/>
        <w:numPr>
          <w:ilvl w:val="0"/>
          <w:numId w:val="0"/>
        </w:numPr>
        <w:tabs>
          <w:tab w:val="left" w:pos="720"/>
        </w:tabs>
        <w:rPr>
          <w:rFonts w:cs="Arial"/>
          <w:lang w:val="es-ES_tradnl"/>
        </w:rPr>
      </w:pPr>
      <w:r w:rsidRPr="00D42A19">
        <w:rPr>
          <w:lang w:val="es-ES_tradnl"/>
        </w:rPr>
        <w:t>En el marco de la política de la UE y sus Estados miembros sobre la conservación de los recursos fitogenéticos, en 2014 se registraron 63 variedades de conservación de especies hortícolas y 206 de especies de cultivos agrícolas para la producción de cultivos comerciales, con arreglo a determinadas condiciones para su comercialización en la UE.</w:t>
      </w:r>
    </w:p>
    <w:p w:rsidR="005B5E84" w:rsidRPr="00D42A19" w:rsidRDefault="005B5E84" w:rsidP="005B5E84">
      <w:pPr>
        <w:pStyle w:val="ListBullet"/>
        <w:numPr>
          <w:ilvl w:val="0"/>
          <w:numId w:val="0"/>
        </w:numPr>
        <w:tabs>
          <w:tab w:val="left" w:pos="720"/>
        </w:tabs>
        <w:ind w:left="283" w:hanging="283"/>
        <w:rPr>
          <w:rFonts w:cs="Arial"/>
          <w:b/>
          <w:u w:val="single"/>
          <w:lang w:val="es-ES_tradnl"/>
        </w:rPr>
      </w:pPr>
      <w:r w:rsidRPr="00D42A19">
        <w:rPr>
          <w:b/>
          <w:u w:val="single"/>
          <w:lang w:val="es-ES_tradnl"/>
        </w:rPr>
        <w:t>3) Organismos genéticamente modificados</w:t>
      </w:r>
    </w:p>
    <w:p w:rsidR="005B5E84" w:rsidRPr="00D42A19" w:rsidRDefault="005B5E84" w:rsidP="005B5E84">
      <w:pPr>
        <w:spacing w:after="240"/>
        <w:rPr>
          <w:rFonts w:cs="Arial"/>
          <w:bCs/>
        </w:rPr>
      </w:pPr>
      <w:r w:rsidRPr="00D42A19">
        <w:t>En lo que respecta al cultivo de OGM, el 11 de marzo de 2015 el Parlamento Europeo y del Consejo aprobaron la Directiva (UE) 2015/412 del Parlamento Europeo y del Consejo por la que se modifica la Directiva 2001/18/CE en lo que respecta a la posibilidad de que los Estados miembros restrinjan o prohíban el cultivo de organismos genéticamente modificados (OMG) en su territorio.</w:t>
      </w:r>
    </w:p>
    <w:p w:rsidR="005B5E84" w:rsidRPr="00D42A19" w:rsidRDefault="005B5E84" w:rsidP="005F043F">
      <w:pPr>
        <w:keepNext/>
        <w:spacing w:after="240"/>
        <w:rPr>
          <w:rFonts w:cs="Arial"/>
        </w:rPr>
      </w:pPr>
      <w:r w:rsidRPr="00D42A19">
        <w:t>En virtud de esta nueva Directiva:</w:t>
      </w:r>
    </w:p>
    <w:p w:rsidR="005B5E84" w:rsidRPr="00D42A19" w:rsidRDefault="005B5E84" w:rsidP="00DC569B">
      <w:pPr>
        <w:numPr>
          <w:ilvl w:val="0"/>
          <w:numId w:val="5"/>
        </w:numPr>
        <w:spacing w:after="120"/>
        <w:ind w:left="720" w:hanging="357"/>
        <w:rPr>
          <w:rFonts w:cs="Arial"/>
        </w:rPr>
      </w:pPr>
      <w:r w:rsidRPr="00D42A19">
        <w:t>los Estados miembros disponen de dos opciones para restringir o prohibir el cultivo de los OMG en su territorio:</w:t>
      </w:r>
    </w:p>
    <w:p w:rsidR="005B5E84" w:rsidRPr="00D42A19" w:rsidRDefault="005B5E84" w:rsidP="00DC569B">
      <w:pPr>
        <w:numPr>
          <w:ilvl w:val="1"/>
          <w:numId w:val="5"/>
        </w:numPr>
        <w:spacing w:after="120"/>
        <w:ind w:hanging="357"/>
        <w:rPr>
          <w:rFonts w:cs="Arial"/>
        </w:rPr>
      </w:pPr>
      <w:r w:rsidRPr="00D42A19">
        <w:rPr>
          <w:u w:val="single"/>
        </w:rPr>
        <w:t>Opción 1</w:t>
      </w:r>
      <w:r w:rsidRPr="00D42A19">
        <w:t>:  durante el procedimiento de autorización de un determinado OMG, los Estados miembros podrán pedir que su territorio quede excluido en su totalidad o en parte del cultivo.  La Comisión presentará la petición al notificador y la pondrá a disposición del público.  La empresa que haya presentado la solicitud de autorización del OMG dispone de 30 días para oponerse a la petición.  Si no se reciben objeciones dentro de ese plazo, la Comisión adaptará la decisión de autorización para que el territorio del Estado miembro de que se trate quede excluido del cultivo, de conformidad con dicha petición.</w:t>
      </w:r>
    </w:p>
    <w:p w:rsidR="005B5E84" w:rsidRPr="00D42A19" w:rsidRDefault="005B5E84" w:rsidP="00DC569B">
      <w:pPr>
        <w:numPr>
          <w:ilvl w:val="1"/>
          <w:numId w:val="5"/>
        </w:numPr>
        <w:spacing w:after="120"/>
        <w:ind w:hanging="357"/>
        <w:rPr>
          <w:rFonts w:cs="Arial"/>
        </w:rPr>
      </w:pPr>
      <w:r w:rsidRPr="00D42A19">
        <w:rPr>
          <w:u w:val="single"/>
        </w:rPr>
        <w:t>Opción 2</w:t>
      </w:r>
      <w:r w:rsidRPr="00D42A19">
        <w:t xml:space="preserve">:  una vez que la Comisión haya concedido la autorización, el Estado miembro puede tomar medidas para restringir o prohibir el cultivo en su territorio basándose en motivos imperiosos.  La medida propuesta se comunicará a la Comisión, que dispone de 75 días para reaccionar en caso de que no se cumplan las condiciones de la Directiva y, una vez finalizado ese plazo de moratoria, el Estado miembro podrá adoptar dicha medida. </w:t>
      </w:r>
    </w:p>
    <w:p w:rsidR="005B5E84" w:rsidRPr="00D42A19" w:rsidRDefault="005B5E84" w:rsidP="00DC569B">
      <w:pPr>
        <w:numPr>
          <w:ilvl w:val="0"/>
          <w:numId w:val="5"/>
        </w:numPr>
        <w:spacing w:after="120"/>
        <w:ind w:left="720" w:hanging="357"/>
        <w:rPr>
          <w:rFonts w:cs="Arial"/>
        </w:rPr>
      </w:pPr>
      <w:r w:rsidRPr="00D42A19">
        <w:t>Los Estados miembros que cultiven OGM en sus zonas fronterizas tendrán que aplicar medidas de coexistencia, a menos que sean innecesarias debido a la presencia de barreras naturales tales como montañas o mares.</w:t>
      </w:r>
    </w:p>
    <w:p w:rsidR="005B5E84" w:rsidRPr="00D42A19" w:rsidRDefault="005B5E84" w:rsidP="00DC569B">
      <w:pPr>
        <w:numPr>
          <w:ilvl w:val="0"/>
          <w:numId w:val="5"/>
        </w:numPr>
        <w:spacing w:after="120"/>
        <w:ind w:left="720" w:hanging="357"/>
        <w:rPr>
          <w:rFonts w:cs="Arial"/>
        </w:rPr>
      </w:pPr>
      <w:r w:rsidRPr="00D42A19">
        <w:t>Dentro de un plazo de 4 años, la Comisión informará sobre la reparación de daños medioambientales efectuada por los Estados miembros.</w:t>
      </w:r>
    </w:p>
    <w:p w:rsidR="005B5E84" w:rsidRPr="00D42A19" w:rsidRDefault="005B5E84" w:rsidP="00DC569B">
      <w:pPr>
        <w:numPr>
          <w:ilvl w:val="0"/>
          <w:numId w:val="5"/>
        </w:numPr>
        <w:spacing w:after="240"/>
        <w:ind w:left="720"/>
        <w:rPr>
          <w:rFonts w:cs="Arial"/>
        </w:rPr>
      </w:pPr>
      <w:r w:rsidRPr="00D42A19">
        <w:t xml:space="preserve">La Comisión debe actualizar dentro de un plazo de 2 años los anexos sobre evaluación del riesgo para el medio ambiente de la Directiva 2001/18/CE en lo que respecta a la liberación intencional en el medio ambiente de organismos modificados genéticamente. </w:t>
      </w:r>
    </w:p>
    <w:p w:rsidR="005B5E84" w:rsidRPr="00D42A19" w:rsidRDefault="005B5E84" w:rsidP="005B5E84">
      <w:pPr>
        <w:pStyle w:val="ListBullet"/>
        <w:numPr>
          <w:ilvl w:val="0"/>
          <w:numId w:val="0"/>
        </w:numPr>
        <w:tabs>
          <w:tab w:val="left" w:pos="720"/>
        </w:tabs>
        <w:ind w:left="283" w:hanging="283"/>
        <w:rPr>
          <w:rFonts w:cs="Arial"/>
          <w:b/>
          <w:u w:val="single"/>
          <w:lang w:val="es-ES_tradnl"/>
        </w:rPr>
      </w:pPr>
      <w:r w:rsidRPr="00D42A19">
        <w:rPr>
          <w:b/>
          <w:u w:val="single"/>
          <w:lang w:val="es-ES_tradnl"/>
        </w:rPr>
        <w:t xml:space="preserve">4) I+D </w:t>
      </w:r>
    </w:p>
    <w:p w:rsidR="005B5E84" w:rsidRPr="00D42A19" w:rsidRDefault="005B5E84" w:rsidP="005B5E84">
      <w:pPr>
        <w:spacing w:after="240"/>
        <w:rPr>
          <w:rFonts w:cs="Arial"/>
          <w:i/>
          <w:u w:val="single"/>
        </w:rPr>
      </w:pPr>
      <w:r w:rsidRPr="00D42A19">
        <w:rPr>
          <w:i/>
          <w:u w:val="single"/>
        </w:rPr>
        <w:t>1.1 Nuevos proyectos aprobados</w:t>
      </w:r>
    </w:p>
    <w:p w:rsidR="005B5E84" w:rsidRPr="00D42A19" w:rsidRDefault="005B5E84" w:rsidP="005B5E84">
      <w:pPr>
        <w:spacing w:after="240"/>
        <w:rPr>
          <w:rFonts w:cs="Arial"/>
        </w:rPr>
      </w:pPr>
      <w:r w:rsidRPr="00D42A19">
        <w:t>No se produjeron cambios.</w:t>
      </w:r>
    </w:p>
    <w:p w:rsidR="005B5E84" w:rsidRPr="00D42A19" w:rsidRDefault="005B5E84" w:rsidP="005B5E84">
      <w:pPr>
        <w:pStyle w:val="ListBullet"/>
        <w:numPr>
          <w:ilvl w:val="0"/>
          <w:numId w:val="0"/>
        </w:numPr>
        <w:tabs>
          <w:tab w:val="left" w:pos="720"/>
        </w:tabs>
        <w:ind w:left="283" w:hanging="283"/>
        <w:rPr>
          <w:rFonts w:eastAsia="Calibri" w:cs="Arial"/>
          <w:i/>
          <w:u w:val="single"/>
          <w:lang w:val="es-ES_tradnl"/>
        </w:rPr>
      </w:pPr>
      <w:r w:rsidRPr="00D42A19">
        <w:rPr>
          <w:i/>
          <w:u w:val="single"/>
          <w:lang w:val="es-ES_tradnl"/>
        </w:rPr>
        <w:t>1.2 Proyectos en curso</w:t>
      </w:r>
    </w:p>
    <w:p w:rsidR="005B5E84" w:rsidRPr="00D42A19" w:rsidRDefault="005B5E84" w:rsidP="005B5E84">
      <w:pPr>
        <w:spacing w:after="240"/>
        <w:ind w:left="283"/>
        <w:rPr>
          <w:rFonts w:cs="Arial"/>
          <w:i/>
        </w:rPr>
      </w:pPr>
      <w:r w:rsidRPr="00D42A19">
        <w:rPr>
          <w:i/>
        </w:rPr>
        <w:t>a. Base de datos europea de la papa/patata como compilación centralizada de variedades notoriamente conocidas</w:t>
      </w:r>
    </w:p>
    <w:p w:rsidR="005B5E84" w:rsidRPr="00D42A19" w:rsidRDefault="005B5E84" w:rsidP="005B5E84">
      <w:pPr>
        <w:spacing w:after="240"/>
        <w:rPr>
          <w:rFonts w:cs="Arial"/>
        </w:rPr>
      </w:pPr>
      <w:r w:rsidRPr="00D42A19">
        <w:t xml:space="preserve">Este proyecto, aprobado al principio de 2014, da continuidad al proyecto, ya finalizado, titulado “Construcción de una base de datos de </w:t>
      </w:r>
      <w:proofErr w:type="spellStart"/>
      <w:r w:rsidRPr="00D42A19">
        <w:t>microsatélites</w:t>
      </w:r>
      <w:proofErr w:type="spellEnd"/>
      <w:r w:rsidRPr="00D42A19">
        <w:t xml:space="preserve"> y caracteres morfológicos de variedades de la papa/patata en el Catálogo Común de la UE”.  El nuevo proyecto ha sido emprendido por la OCVV (coordinador) y en él participan nueve oficinas encargadas del examen de la papa/patata:  el </w:t>
      </w:r>
      <w:proofErr w:type="spellStart"/>
      <w:r w:rsidRPr="00D42A19">
        <w:rPr>
          <w:i/>
        </w:rPr>
        <w:t>Naktuinbouw</w:t>
      </w:r>
      <w:proofErr w:type="spellEnd"/>
      <w:r w:rsidRPr="00D42A19">
        <w:t xml:space="preserve"> (NL), el SASA (UK), la BSA (DE), el COBORU (PL), OEVV (ES), el DAF (IE), la AGES (AT), el UKZUZ (CZ), el UKSUP (SK) y la Asociación Europea de Semillas (ESA).  El objetivo del mismo es crear y administrar una base de datos europea de variedades de la papa/patata que contenga datos morfológicos y moleculares e imágenes de brotes así como administrar una colección de muestras de ADN de tales variedades. </w:t>
      </w:r>
    </w:p>
    <w:p w:rsidR="005B5E84" w:rsidRPr="00D42A19" w:rsidRDefault="005B5E84" w:rsidP="005B5E84">
      <w:pPr>
        <w:widowControl w:val="0"/>
        <w:autoSpaceDE w:val="0"/>
        <w:autoSpaceDN w:val="0"/>
        <w:adjustRightInd w:val="0"/>
        <w:spacing w:after="240"/>
        <w:rPr>
          <w:rFonts w:cs="Arial"/>
        </w:rPr>
      </w:pPr>
      <w:r w:rsidRPr="00D42A19">
        <w:t xml:space="preserve">La base de datos, que se administra como compilación centralizada de datos morfológicos y moleculares de variedades notoriamente conocidas, constituirá, para las oficinas de examen, una importante herramienta que les permitirá organizar eficientemente los exámenes DHE y ofrecer resultados fiables con respecto a un cultivo sin colecciones de referencia vivas.  La utilización de una única base de datos centralizada mejorará la calidad y reducirá, en principio, los costos del examen DHE con respecto a lo que suponía mantener diversas bases de datos en cada país.  Por otra parte, al margen del objetivo de dicha base de datos en relación con el examen DHE, los titulares de derechos podrían utilizar parte de la base de datos (perfiles moleculares) en casos en que necesiten hacer valer sus derechos.  En 2014 tuvo lugar una reunión de expertos en las instalaciones de la </w:t>
      </w:r>
      <w:proofErr w:type="spellStart"/>
      <w:r w:rsidRPr="00D42A19">
        <w:rPr>
          <w:i/>
        </w:rPr>
        <w:t>Bundessortenamt</w:t>
      </w:r>
      <w:proofErr w:type="spellEnd"/>
      <w:r w:rsidRPr="00D42A19">
        <w:t xml:space="preserve">, en </w:t>
      </w:r>
      <w:proofErr w:type="spellStart"/>
      <w:r w:rsidRPr="00D42A19">
        <w:t>Magdeburg</w:t>
      </w:r>
      <w:proofErr w:type="spellEnd"/>
      <w:r w:rsidRPr="00D42A19">
        <w:t xml:space="preserve">.  Además de aspectos técnicos, se trataron cuestiones relacionadas con los derechos de acceso y confidencialidad de los datos y sus resultados. </w:t>
      </w:r>
    </w:p>
    <w:p w:rsidR="005B5E84" w:rsidRPr="00D42A19" w:rsidRDefault="005B5E84" w:rsidP="005B5E84">
      <w:pPr>
        <w:spacing w:after="240"/>
        <w:rPr>
          <w:rFonts w:cs="Arial"/>
        </w:rPr>
      </w:pPr>
      <w:r w:rsidRPr="00D42A19">
        <w:t xml:space="preserve">El 27 y el 28 de mayo de 2015, la OCVV organizó la cuarta reunión de expertos en papa/patata para debatir el proyecto de I+D de organización de una base de datos común.  Su anfitrión fue la Agencia Austríaca de Sanidad y Seguridad Alimentaria (AGES) y se celebró en Viena (AT).  Asistieron 26 participantes, todos ellos de oficinas encargadas del examen y dos asociaciones de obtentores:  la ESA y </w:t>
      </w:r>
      <w:proofErr w:type="spellStart"/>
      <w:r w:rsidRPr="00D42A19">
        <w:rPr>
          <w:i/>
        </w:rPr>
        <w:t>Plantum</w:t>
      </w:r>
      <w:proofErr w:type="spellEnd"/>
      <w:r w:rsidRPr="00D42A19">
        <w:t>.  Dado que la base de datos de papa/patata es un proyecto piloto de colaboración entre diversos participantes, se suscitaron animados debates.  Básicamente se refirieron, por una parte, a los acuerdos que se deben establecer entre los participantes en el proyecto (oficinas de examen y la ESA) y, por otra, a los laboratorios que llevan a cabo los estudios moleculares, además de diversas cuestiones prácticas sobre la obtención de datos, como por ejemplo la presentación de muestras y el envío de los resultados obtenidos y la dirección de la base de datos.  La quinta reunión tuvo lugar en Angers el 23 de septiembre de 2015, junto con la reunión anual de los expertos en especies agrícolas de la OCVV.  El informe final de ese proyecto de I+D estará disponible al término de 2015.</w:t>
      </w:r>
    </w:p>
    <w:p w:rsidR="005B5E84" w:rsidRPr="00D42A19" w:rsidRDefault="005B5E84" w:rsidP="005B5E84">
      <w:pPr>
        <w:autoSpaceDE w:val="0"/>
        <w:autoSpaceDN w:val="0"/>
        <w:adjustRightInd w:val="0"/>
        <w:spacing w:after="240"/>
        <w:ind w:left="720"/>
        <w:rPr>
          <w:rFonts w:cs="Arial"/>
          <w:i/>
        </w:rPr>
      </w:pPr>
      <w:r w:rsidRPr="00D42A19">
        <w:rPr>
          <w:i/>
        </w:rPr>
        <w:t>b. “Creación de una base de datos común del maíz para los exámenes DHE en cooperación entre Eslovaquia, Hungría, la República Checa y la OCVV”</w:t>
      </w:r>
    </w:p>
    <w:p w:rsidR="005B5E84" w:rsidRPr="00D42A19" w:rsidRDefault="005B5E84" w:rsidP="005B5E84">
      <w:pPr>
        <w:widowControl w:val="0"/>
        <w:autoSpaceDE w:val="0"/>
        <w:autoSpaceDN w:val="0"/>
        <w:adjustRightInd w:val="0"/>
        <w:spacing w:after="240"/>
        <w:rPr>
          <w:rFonts w:cs="Arial"/>
        </w:rPr>
      </w:pPr>
      <w:r w:rsidRPr="00D42A19">
        <w:t>Este proyecto fue aprobado formalmente por la OCVV en marzo de 2014.  El coordinador es el ÚKZÚZ (CZ) y cuenta con la colaboración de la NEBIH (HU) y el UKSUP (SK).  El objetivo del proyecto es crear una base de datos común del maíz para los exámenes DHE mediante un acuerdo de cooperación entre Eslovaquia, Hungría, la República Checa y la OCVV.  Dicha base de datos deberá contener descripciones morfológicas armonizadas de líneas e híbridos del maíz con arreglo al protocolo técnico de la OCVV de todos los países que participen en el proyecto.  La base de datos se actualizará con regularidad y las partes asociadas y la OCVV podrán consultarla por medios electrónicos. Así, cada parte podrá ocuparse de mantener en sus propios locales únicamente las semillas de las variedades correspondientes a las condiciones climáticas del país y que no se conserven en otras oficinas de examen.  Durante la ejecución del proyecto, se prevé que se produzca un intercambio de información y de opiniones acerca de las experiencias con los expertos de tres oficinas de examen que ya comparten la base de datos de maíz.  Este proyecto estará concluido al término de 2015.</w:t>
      </w:r>
    </w:p>
    <w:p w:rsidR="005B5E84" w:rsidRPr="00D42A19" w:rsidRDefault="005B5E84" w:rsidP="005B5E84">
      <w:pPr>
        <w:pStyle w:val="Pa26"/>
        <w:spacing w:after="240" w:line="240" w:lineRule="auto"/>
        <w:ind w:left="720"/>
        <w:jc w:val="both"/>
        <w:rPr>
          <w:rFonts w:ascii="Arial" w:hAnsi="Arial" w:cs="Arial"/>
          <w:i/>
          <w:sz w:val="20"/>
          <w:szCs w:val="20"/>
          <w:lang w:val="es-ES_tradnl"/>
        </w:rPr>
      </w:pPr>
      <w:r w:rsidRPr="00D42A19">
        <w:rPr>
          <w:rFonts w:ascii="Arial" w:hAnsi="Arial"/>
          <w:i/>
          <w:sz w:val="20"/>
          <w:lang w:val="es-ES_tradnl"/>
        </w:rPr>
        <w:t xml:space="preserve">c. “Análisis del efecto de los organismos endófitos en el fenotipo de variedades de </w:t>
      </w:r>
      <w:proofErr w:type="spellStart"/>
      <w:r w:rsidRPr="00D42A19">
        <w:rPr>
          <w:rFonts w:ascii="Arial" w:hAnsi="Arial"/>
          <w:sz w:val="20"/>
          <w:lang w:val="es-ES_tradnl"/>
        </w:rPr>
        <w:t>Lolium</w:t>
      </w:r>
      <w:proofErr w:type="spellEnd"/>
      <w:r w:rsidRPr="00D42A19">
        <w:rPr>
          <w:rFonts w:ascii="Arial" w:hAnsi="Arial"/>
          <w:sz w:val="20"/>
          <w:lang w:val="es-ES_tradnl"/>
        </w:rPr>
        <w:t xml:space="preserve"> perenne</w:t>
      </w:r>
      <w:r w:rsidRPr="00D42A19">
        <w:rPr>
          <w:rFonts w:ascii="Arial" w:hAnsi="Arial"/>
          <w:i/>
          <w:sz w:val="20"/>
          <w:lang w:val="es-ES_tradnl"/>
        </w:rPr>
        <w:t xml:space="preserve"> y </w:t>
      </w:r>
      <w:proofErr w:type="spellStart"/>
      <w:r w:rsidRPr="00D42A19">
        <w:rPr>
          <w:rFonts w:ascii="Arial" w:hAnsi="Arial"/>
          <w:sz w:val="20"/>
          <w:lang w:val="es-ES_tradnl"/>
        </w:rPr>
        <w:t>Festuca</w:t>
      </w:r>
      <w:proofErr w:type="spellEnd"/>
      <w:r w:rsidRPr="00D42A19">
        <w:rPr>
          <w:rFonts w:ascii="Arial" w:hAnsi="Arial"/>
          <w:sz w:val="20"/>
          <w:lang w:val="es-ES_tradnl"/>
        </w:rPr>
        <w:t xml:space="preserve"> </w:t>
      </w:r>
      <w:proofErr w:type="spellStart"/>
      <w:r w:rsidRPr="00D42A19">
        <w:rPr>
          <w:rFonts w:ascii="Arial" w:hAnsi="Arial"/>
          <w:sz w:val="20"/>
          <w:lang w:val="es-ES_tradnl"/>
        </w:rPr>
        <w:t>arundinacea</w:t>
      </w:r>
      <w:proofErr w:type="spellEnd"/>
      <w:r w:rsidRPr="00D42A19">
        <w:rPr>
          <w:rFonts w:ascii="Arial" w:hAnsi="Arial"/>
          <w:i/>
          <w:sz w:val="20"/>
          <w:lang w:val="es-ES_tradnl"/>
        </w:rPr>
        <w:t>”</w:t>
      </w:r>
    </w:p>
    <w:p w:rsidR="005B5E84" w:rsidRPr="00D42A19" w:rsidRDefault="005B5E84" w:rsidP="005B5E84">
      <w:pPr>
        <w:spacing w:after="240"/>
        <w:rPr>
          <w:rFonts w:cs="Arial"/>
        </w:rPr>
      </w:pPr>
      <w:r w:rsidRPr="00D42A19">
        <w:t xml:space="preserve">La OCVV y el Organismo de Investigación sobre Alimentación y Medio Ambiente del Reino Unido (FERA) son los coordinadores de este proyecto, que cuenta con los siguientes colaboradores:  la </w:t>
      </w:r>
      <w:proofErr w:type="spellStart"/>
      <w:r w:rsidRPr="00D42A19">
        <w:rPr>
          <w:i/>
        </w:rPr>
        <w:t>Bundessortenamt</w:t>
      </w:r>
      <w:proofErr w:type="spellEnd"/>
      <w:r w:rsidRPr="00D42A19">
        <w:t xml:space="preserve"> (DE), la ESA (a través de las empresas de fitomejoramiento DLF </w:t>
      </w:r>
      <w:proofErr w:type="spellStart"/>
      <w:r w:rsidRPr="00D42A19">
        <w:t>Trifolium</w:t>
      </w:r>
      <w:proofErr w:type="spellEnd"/>
      <w:r w:rsidRPr="00D42A19">
        <w:t xml:space="preserve"> y </w:t>
      </w:r>
      <w:proofErr w:type="spellStart"/>
      <w:r w:rsidRPr="00D42A19">
        <w:t>Barenbrug</w:t>
      </w:r>
      <w:proofErr w:type="spellEnd"/>
      <w:r w:rsidRPr="00D42A19">
        <w:t xml:space="preserve">) y el GEVES (FR).  El objetivo del proyecto es determinar si la presencia de organismos endófitos en las variedades de </w:t>
      </w:r>
      <w:proofErr w:type="spellStart"/>
      <w:r w:rsidRPr="00D42A19">
        <w:rPr>
          <w:i/>
        </w:rPr>
        <w:t>Lolium</w:t>
      </w:r>
      <w:proofErr w:type="spellEnd"/>
      <w:r w:rsidRPr="00D42A19">
        <w:rPr>
          <w:i/>
        </w:rPr>
        <w:t> perenne</w:t>
      </w:r>
      <w:r w:rsidRPr="00D42A19">
        <w:t xml:space="preserve"> y </w:t>
      </w:r>
      <w:proofErr w:type="spellStart"/>
      <w:r w:rsidRPr="00D42A19">
        <w:rPr>
          <w:i/>
        </w:rPr>
        <w:t>Festuca</w:t>
      </w:r>
      <w:proofErr w:type="spellEnd"/>
      <w:r w:rsidRPr="00D42A19">
        <w:rPr>
          <w:i/>
        </w:rPr>
        <w:t xml:space="preserve"> </w:t>
      </w:r>
      <w:proofErr w:type="spellStart"/>
      <w:r w:rsidRPr="00D42A19">
        <w:rPr>
          <w:i/>
        </w:rPr>
        <w:t>arundinacea</w:t>
      </w:r>
      <w:proofErr w:type="spellEnd"/>
      <w:r w:rsidRPr="00D42A19">
        <w:t xml:space="preserve"> ejerce algún efecto en su fenotipo y, por consiguiente, en la expresión de los caracteres que se observan en los exámenes DHE, y delimitar las posibles consecuencias en los requisitos de calidad del material que se ha de enviar a tal efecto.  El proyecto prevé la evaluación de cuatro variedades de cada especie que presenten dos estadios de infección por endófitos (0% y 100%).  Las variedades se someterán durante dos ciclos de cultivo a los exámenes DHE habituales, para los que se empleará el correspondiente protocolo técnico de la OCVV.  El periodo de establecimiento de las plantas tuvo lugar a lo largo de 2013.  El primer informe provisional indica que posiblemente la presencia de organismos endófitos no tenga una repercusión considerable;  sin embargo, la evaluación final tendrá lugar en 2015.  Se prevé que el informe final esté disponible al término de 2015.</w:t>
      </w:r>
    </w:p>
    <w:p w:rsidR="005B5E84" w:rsidRPr="00D42A19" w:rsidRDefault="005B5E84" w:rsidP="005B5E84">
      <w:pPr>
        <w:spacing w:after="240"/>
        <w:ind w:left="720"/>
        <w:rPr>
          <w:rFonts w:eastAsia="Calibri" w:cs="Arial"/>
          <w:i/>
        </w:rPr>
      </w:pPr>
      <w:r w:rsidRPr="00D42A19">
        <w:rPr>
          <w:i/>
        </w:rPr>
        <w:t xml:space="preserve">d. </w:t>
      </w:r>
      <w:r w:rsidRPr="00D42A19">
        <w:tab/>
      </w:r>
      <w:r w:rsidRPr="00D42A19">
        <w:rPr>
          <w:i/>
        </w:rPr>
        <w:t>“Armonización de las resistencias a las enfermedades de los cultivos hortícolas”</w:t>
      </w:r>
    </w:p>
    <w:p w:rsidR="005B5E84" w:rsidRPr="00D42A19" w:rsidRDefault="005B5E84" w:rsidP="005B5E84">
      <w:pPr>
        <w:widowControl w:val="0"/>
        <w:autoSpaceDE w:val="0"/>
        <w:autoSpaceDN w:val="0"/>
        <w:adjustRightInd w:val="0"/>
        <w:spacing w:after="240"/>
        <w:rPr>
          <w:rFonts w:cs="Arial"/>
        </w:rPr>
      </w:pPr>
      <w:r w:rsidRPr="00D42A19">
        <w:t>Este proyecto, iniciado en 2012, es coordinado por el GEVES (Francia) y cuenta con los siguientes colaboradores:  el ÚKZÚZ (CZ), la BSA (DE), la OEVV (ES), la NEBIH (HU), el </w:t>
      </w:r>
      <w:proofErr w:type="spellStart"/>
      <w:r w:rsidRPr="00D42A19">
        <w:rPr>
          <w:i/>
        </w:rPr>
        <w:t>Naktuinbouw</w:t>
      </w:r>
      <w:proofErr w:type="spellEnd"/>
      <w:r w:rsidRPr="00D42A19">
        <w:t xml:space="preserve"> (NL), el UK y la ESA. Mediante este proyecto se da continuación al proyecto “Armonización de la resistencia a las enfermedades de los cultivos hortícolas” culminado en 2008, aunque el nuevo proyecto tiene por objeto la resistencia a siete enfermedades de la pimienta, el guisante y la lechuga.  La finalidad de este proyecto es asegurarse de que las oficinas de examen y los obtentores que trabajan en ensayos de resistencia a las enfermedades puedan emplear metodologías comunes e interpretar de la misma manera los síntomas de las enfermedades que deriven de dichos ensayos.  El coordinador del proyecto, el GEVES, organizó una primera reunión a finales de junio de 2012 para consensuar con los participantes en el proyecto el calendario de las labores que se habrán de hacer, así como las razas o aislados que se utilizarán.  En el segundo semestre de 2012, la labor se centró en la descripción y comparación de las pruebas que se utilizan actualmente para determinar la resistencia a las enfermedades.  La segunda reunión del grupo tuvo lugar en mayo de 2013 y la OCVV recibió el primer informe provisional en agosto de 2013. </w:t>
      </w:r>
    </w:p>
    <w:p w:rsidR="005B5E84" w:rsidRPr="00D42A19" w:rsidRDefault="005B5E84" w:rsidP="005B5E84">
      <w:pPr>
        <w:widowControl w:val="0"/>
        <w:autoSpaceDE w:val="0"/>
        <w:autoSpaceDN w:val="0"/>
        <w:adjustRightInd w:val="0"/>
        <w:spacing w:after="240"/>
        <w:rPr>
          <w:rFonts w:cs="Arial"/>
        </w:rPr>
      </w:pPr>
      <w:r w:rsidRPr="00D42A19">
        <w:t xml:space="preserve">La tercera reunión del grupo tuvo lugar en abril de 2014 en </w:t>
      </w:r>
      <w:proofErr w:type="spellStart"/>
      <w:r w:rsidRPr="00D42A19">
        <w:t>Roelofarendsveen</w:t>
      </w:r>
      <w:proofErr w:type="spellEnd"/>
      <w:r w:rsidRPr="00D42A19">
        <w:t xml:space="preserve"> (NL).  Los participantes en el proyecto informaron de los avances realizados con los aislados y las razas identificados durante los doce meses anteriores.  Los participantes también señalaron los ámbitos que todavía requieren atención a fin de asegurar la correcta interpretación de los resultados de laboratorio.  En esta reunión, la OCVV también presentó los resultados de un estudio realizado por la ESA y la OCVV unos meses antes sobre los problemas que habían encontrado las empresas productoras de semillas hortícolas al llevar a cabo algunos de los ensayos de resistencia a las enfermedades descritos en líneas generales en los protocolos de hortalizas de la OCVV;  la OCVV manifestó que algunos de ellos podrían constituir el fundamento de un futuro proyecto, el “</w:t>
      </w:r>
      <w:proofErr w:type="spellStart"/>
      <w:r w:rsidRPr="00D42A19">
        <w:t>Harmores</w:t>
      </w:r>
      <w:proofErr w:type="spellEnd"/>
      <w:r w:rsidRPr="00D42A19">
        <w:t xml:space="preserve"> 3”. </w:t>
      </w:r>
    </w:p>
    <w:p w:rsidR="005B5E84" w:rsidRPr="00D42A19" w:rsidRDefault="005B5E84" w:rsidP="005B5E84">
      <w:pPr>
        <w:widowControl w:val="0"/>
        <w:autoSpaceDE w:val="0"/>
        <w:autoSpaceDN w:val="0"/>
        <w:adjustRightInd w:val="0"/>
        <w:spacing w:after="240"/>
        <w:rPr>
          <w:rFonts w:cs="Arial"/>
        </w:rPr>
      </w:pPr>
      <w:r w:rsidRPr="00D42A19">
        <w:t>Durante la segunda mitad de 2014, los participantes en el proyecto siguieron intercambiando resultados a fin de perfeccionar las futuras metodologías armonizadas de los ensayos de resistencia a las enfermedades en estudio para el proyecto “</w:t>
      </w:r>
      <w:proofErr w:type="spellStart"/>
      <w:r w:rsidRPr="00D42A19">
        <w:t>Harmores</w:t>
      </w:r>
      <w:proofErr w:type="spellEnd"/>
      <w:r w:rsidRPr="00D42A19">
        <w:t xml:space="preserve"> 2”.  En ese sentido, el GEVES organizó en Angers, a principios de noviembre, dos talleres para los participantes en el proyecto que tuvieron lugar en jornadas sucesivas.  Uno consistió en un trabajo práctico de laboratorio sobre los síntomas causados por </w:t>
      </w:r>
      <w:proofErr w:type="spellStart"/>
      <w:r w:rsidRPr="00D42A19">
        <w:rPr>
          <w:i/>
        </w:rPr>
        <w:t>Bremia</w:t>
      </w:r>
      <w:proofErr w:type="spellEnd"/>
      <w:r w:rsidRPr="00D42A19">
        <w:rPr>
          <w:i/>
        </w:rPr>
        <w:t xml:space="preserve"> </w:t>
      </w:r>
      <w:proofErr w:type="spellStart"/>
      <w:r w:rsidRPr="00D42A19">
        <w:rPr>
          <w:i/>
        </w:rPr>
        <w:t>lactuca</w:t>
      </w:r>
      <w:proofErr w:type="spellEnd"/>
      <w:r w:rsidRPr="00D42A19">
        <w:t xml:space="preserve"> en la lechuga;  se organizaron pequeños grupos que trabajaron juntos en el examen de los síntomas en el cotiledón en “casos difíciles” para ver cómo efectuada cada uno las anotaciones, con el propósito de llegar a interpretaciones comunes.  El segundo taller también consistió en una experiencia práctica de laboratorio, esta vez con </w:t>
      </w:r>
      <w:r w:rsidRPr="00D42A19">
        <w:rPr>
          <w:i/>
        </w:rPr>
        <w:t xml:space="preserve">Fusarium </w:t>
      </w:r>
      <w:proofErr w:type="spellStart"/>
      <w:r w:rsidRPr="00D42A19">
        <w:rPr>
          <w:i/>
        </w:rPr>
        <w:t>oxysporum</w:t>
      </w:r>
      <w:proofErr w:type="spellEnd"/>
      <w:r w:rsidRPr="00D42A19">
        <w:t xml:space="preserve"> en el guisante;  se compararon dos escalas de notación, una de las cuales estaba armonizada en cuanto a los dos métodos de inoculación validados en los ensayos comparativos para la fase 3 del proyecto.  El informe provisional correspondiente al segundo año del proyecto se recibió en septiembre de 2014.</w:t>
      </w:r>
    </w:p>
    <w:p w:rsidR="005B5E84" w:rsidRPr="00D42A19" w:rsidRDefault="005B5E84" w:rsidP="005B5E84">
      <w:pPr>
        <w:spacing w:after="240"/>
        <w:rPr>
          <w:rFonts w:cs="Arial"/>
        </w:rPr>
      </w:pPr>
      <w:r w:rsidRPr="00D42A19">
        <w:t>El proyecto concluirá a finales de 2015 con la presentación del informe final al OCVV.</w:t>
      </w:r>
    </w:p>
    <w:p w:rsidR="005B5E84" w:rsidRPr="00D42A19" w:rsidRDefault="005B5E84" w:rsidP="005B5E84">
      <w:pPr>
        <w:spacing w:after="240"/>
        <w:ind w:left="720"/>
        <w:rPr>
          <w:rFonts w:eastAsia="Calibri" w:cs="Arial"/>
          <w:i/>
        </w:rPr>
      </w:pPr>
      <w:r w:rsidRPr="00D42A19">
        <w:rPr>
          <w:i/>
        </w:rPr>
        <w:t>e. “Efecto del remojo de semillas en los exámenes DHE de cultivos hortícolas”</w:t>
      </w:r>
    </w:p>
    <w:p w:rsidR="005B5E84" w:rsidRPr="00D42A19" w:rsidRDefault="005B5E84" w:rsidP="005B5E84">
      <w:pPr>
        <w:spacing w:after="240"/>
        <w:rPr>
          <w:rFonts w:cs="Arial"/>
        </w:rPr>
      </w:pPr>
      <w:r w:rsidRPr="00D42A19">
        <w:t xml:space="preserve">Este proyecto, iniciado por la OCVV, fue aprobado en enero de 2014 por un año.  El coordinador del proyecto es la OCVV y cuenta con la colaboración de la ESA y las oficinas las oficinas encargadas del examen que hayan sido seleccionadas (el </w:t>
      </w:r>
      <w:proofErr w:type="spellStart"/>
      <w:r w:rsidRPr="00D42A19">
        <w:rPr>
          <w:i/>
        </w:rPr>
        <w:t>Naktuinbouw</w:t>
      </w:r>
      <w:proofErr w:type="spellEnd"/>
      <w:r w:rsidRPr="00D42A19">
        <w:t xml:space="preserve"> (NL), la OEVV/INIA (ES) y el GEVES (FR)).  En el proyecto se investiga el posible efecto del remojo de semillas en la expresión de caracteres de variedades de la berenjena y del </w:t>
      </w:r>
      <w:proofErr w:type="spellStart"/>
      <w:r w:rsidRPr="00D42A19">
        <w:t>portainjertos</w:t>
      </w:r>
      <w:proofErr w:type="spellEnd"/>
      <w:r w:rsidRPr="00D42A19">
        <w:t xml:space="preserve"> del tomate en las oficinas a las que se les haya encargado el examen de tales especies.  Aunque en el sistema de protección comunitaria de las obtenciones vegetales la protección de dichas especies hortícolas no figura entre las más solicitadas, sí son las principales desde el punto de vista comercial.  En el marco del proyecto de I+D se examina asimismo el posible efecto del remojo de semillas en la disminución del índice de germinación a lo largo del tiempo. </w:t>
      </w:r>
    </w:p>
    <w:p w:rsidR="005B5E84" w:rsidRPr="00D42A19" w:rsidRDefault="005B5E84" w:rsidP="005B5E84">
      <w:pPr>
        <w:spacing w:after="240"/>
        <w:rPr>
          <w:rFonts w:cs="Arial"/>
        </w:rPr>
      </w:pPr>
      <w:r w:rsidRPr="00D42A19">
        <w:t xml:space="preserve">Las primeras actividades del proyecto fueron la organización del ensayo y el envío, por parte de los miembros de la ESA, de muestras de semillas remojadas y sin remojar de tres variedades de la berenjena y del </w:t>
      </w:r>
      <w:proofErr w:type="spellStart"/>
      <w:r w:rsidRPr="00D42A19">
        <w:t>portainjertos</w:t>
      </w:r>
      <w:proofErr w:type="spellEnd"/>
      <w:r w:rsidRPr="00D42A19">
        <w:t xml:space="preserve"> del tomate.  El </w:t>
      </w:r>
      <w:proofErr w:type="spellStart"/>
      <w:r w:rsidRPr="00D42A19">
        <w:rPr>
          <w:i/>
        </w:rPr>
        <w:t>Naktuinbouw</w:t>
      </w:r>
      <w:proofErr w:type="spellEnd"/>
      <w:r w:rsidRPr="00D42A19">
        <w:t xml:space="preserve"> llevó a cabo ensayos de berenjena y de </w:t>
      </w:r>
      <w:proofErr w:type="spellStart"/>
      <w:r w:rsidRPr="00D42A19">
        <w:t>portainjertos</w:t>
      </w:r>
      <w:proofErr w:type="spellEnd"/>
      <w:r w:rsidRPr="00D42A19">
        <w:t xml:space="preserve"> del tomate, mientras que el GEVES realizó ensayos de la berenjena y la OEVV/INIA ensayos de </w:t>
      </w:r>
      <w:proofErr w:type="spellStart"/>
      <w:r w:rsidRPr="00D42A19">
        <w:t>portainjertos</w:t>
      </w:r>
      <w:proofErr w:type="spellEnd"/>
      <w:r w:rsidRPr="00D42A19">
        <w:t xml:space="preserve"> del tomate.  Para cada especie, ambos colaboradores emplearon una organización del ensayo idéntica, sin excluir el empleo de los protocolos de la OCVV vigentes para la berenjena y los </w:t>
      </w:r>
      <w:proofErr w:type="spellStart"/>
      <w:r w:rsidRPr="00D42A19">
        <w:t>portainjertos</w:t>
      </w:r>
      <w:proofErr w:type="spellEnd"/>
      <w:r w:rsidRPr="00D42A19">
        <w:t xml:space="preserve"> del tomate.  Las semillas se sembraron a tiempo y las observaciones posteriores se efectuaron según las condiciones locales.</w:t>
      </w:r>
    </w:p>
    <w:p w:rsidR="005B5E84" w:rsidRPr="00D42A19" w:rsidRDefault="005B5E84" w:rsidP="005B5E84">
      <w:pPr>
        <w:spacing w:after="240"/>
        <w:rPr>
          <w:rFonts w:cs="Arial"/>
        </w:rPr>
      </w:pPr>
      <w:r w:rsidRPr="00D42A19">
        <w:t xml:space="preserve">A finales de agosto de 2014 tuvo lugar una reunión de los participantes en el proyecto en </w:t>
      </w:r>
      <w:proofErr w:type="spellStart"/>
      <w:r w:rsidRPr="00D42A19">
        <w:t>Roelofarendsveen</w:t>
      </w:r>
      <w:proofErr w:type="spellEnd"/>
      <w:r w:rsidRPr="00D42A19">
        <w:t xml:space="preserve"> (NL) con el propósito de comentar los resultados preliminares en el momento de la cosecha del fruto.  Cada participante en el proyecto presentó una pormenorizada ponencia durante la reunión anual de expertos en especies hortícolas (VEM15) celebrada en Valencia el 22 de octubre de 2014.  En las semanas posteriores, cada uno de los participantes en el proyecto envió un informe formal a la CVOO sobre los ensayos que habían llevado a cabo con las especies designadas que se les habían asignado.</w:t>
      </w:r>
    </w:p>
    <w:p w:rsidR="005B5E84" w:rsidRPr="00D42A19" w:rsidRDefault="005B5E84" w:rsidP="005B5E84">
      <w:pPr>
        <w:spacing w:after="240"/>
        <w:rPr>
          <w:rFonts w:cs="Arial"/>
        </w:rPr>
      </w:pPr>
      <w:r w:rsidRPr="00D42A19">
        <w:t xml:space="preserve">La OCVV ha estado elaborando el informe final sobre el proyecto durante 2015 y, una vez acabado, analizará junto con las partes interesadas, las repercusiones que derivan de sus conclusiones. </w:t>
      </w:r>
    </w:p>
    <w:p w:rsidR="005B5E84" w:rsidRPr="00D42A19" w:rsidRDefault="005B5E84" w:rsidP="005B5E84">
      <w:pPr>
        <w:pStyle w:val="ListBullet"/>
        <w:numPr>
          <w:ilvl w:val="0"/>
          <w:numId w:val="0"/>
        </w:numPr>
        <w:tabs>
          <w:tab w:val="left" w:pos="720"/>
        </w:tabs>
        <w:ind w:left="283" w:hanging="283"/>
        <w:rPr>
          <w:rFonts w:cs="Arial"/>
          <w:i/>
          <w:u w:val="single"/>
          <w:lang w:val="es-ES_tradnl"/>
        </w:rPr>
      </w:pPr>
      <w:r w:rsidRPr="00D42A19">
        <w:rPr>
          <w:i/>
          <w:u w:val="single"/>
          <w:lang w:val="es-ES_tradnl"/>
        </w:rPr>
        <w:t>1.3 Seguimiento de proyectos concluidos</w:t>
      </w:r>
    </w:p>
    <w:p w:rsidR="005B5E84" w:rsidRPr="00D42A19" w:rsidRDefault="005B5E84" w:rsidP="005B5E84">
      <w:pPr>
        <w:pStyle w:val="Pa26"/>
        <w:spacing w:after="240" w:line="240" w:lineRule="auto"/>
        <w:ind w:left="283"/>
        <w:jc w:val="both"/>
        <w:rPr>
          <w:rFonts w:ascii="Arial" w:hAnsi="Arial" w:cs="Arial"/>
          <w:i/>
          <w:sz w:val="20"/>
          <w:szCs w:val="20"/>
          <w:lang w:val="es-ES_tradnl"/>
        </w:rPr>
      </w:pPr>
      <w:r w:rsidRPr="00D42A19">
        <w:rPr>
          <w:rFonts w:ascii="Arial" w:hAnsi="Arial"/>
          <w:i/>
          <w:sz w:val="20"/>
          <w:lang w:val="es-ES_tradnl"/>
        </w:rPr>
        <w:t xml:space="preserve">a. “Reducción del número de periodos obligatorios de observación en el examen DHE de variedades candidatas en el sector frutícola” </w:t>
      </w:r>
    </w:p>
    <w:p w:rsidR="005B5E84" w:rsidRPr="00D42A19" w:rsidRDefault="005B5E84" w:rsidP="005B5E84">
      <w:pPr>
        <w:autoSpaceDE w:val="0"/>
        <w:autoSpaceDN w:val="0"/>
        <w:adjustRightInd w:val="0"/>
        <w:spacing w:after="240"/>
        <w:rPr>
          <w:rFonts w:cs="Arial"/>
        </w:rPr>
      </w:pPr>
      <w:r w:rsidRPr="00D42A19">
        <w:t xml:space="preserve">Este proyecto fue coordinado por la OCVV y cuenta con los siguientes colaboradores:  la </w:t>
      </w:r>
      <w:proofErr w:type="spellStart"/>
      <w:r w:rsidRPr="00D42A19">
        <w:rPr>
          <w:i/>
        </w:rPr>
        <w:t>Bundessortenamt</w:t>
      </w:r>
      <w:proofErr w:type="spellEnd"/>
      <w:r w:rsidRPr="00D42A19">
        <w:t xml:space="preserve"> (DE), el COBORU (PL), la Comunidad Internacional de Fitomejoradores de Plantas Ornamentales y frutales de Reproducción Asexuada (CIOPORA), el CRA-FRU (IT), la OEVV (ES), el GEVES (FR), la Oficina Nacional de Seguridad de la Cadena Alimentaria (HU), el Instituto Central de Supervisión y Exámenes Agrícolas de la Oficina Nacional de Variedades Vegetales (NPVO) (CZ) y </w:t>
      </w:r>
      <w:proofErr w:type="spellStart"/>
      <w:r w:rsidRPr="00D42A19">
        <w:rPr>
          <w:i/>
        </w:rPr>
        <w:t>Plantum</w:t>
      </w:r>
      <w:proofErr w:type="spellEnd"/>
      <w:r w:rsidRPr="00D42A19">
        <w:t xml:space="preserve"> (NL).  El proyecto se inició a comienzos de 2013 y concluyó al término de 2013.  El costo del examen DHE de las variedades candidatas de frutales es relativamente elevado en comparación con el de las variedades de otros sectores agrícolas.  El objetivo de este proyecto es:  i) determinar si está verdaderamente justificado, desde el punto de vista técnico, el requisito de obtener dos cosechas satisfactorias de fruta para formular una conclusión respecto al examen DHE y  ii) elaborar la subsiguiente descripción válida de la variedad.  El alcance del proyecto abarca cinco especies:  durazno/melocotonero, fresa, manzano, frambueso y vid.  Se han empleado variedades que contaban con un protocolo técnico de la OCVV y que fueron inscritas (lista nacional y título nacional y comunitario de derechos de obtentor) en los últimos 5 años.</w:t>
      </w:r>
    </w:p>
    <w:p w:rsidR="005B5E84" w:rsidRPr="00D42A19" w:rsidRDefault="005B5E84" w:rsidP="005B5E84">
      <w:pPr>
        <w:autoSpaceDE w:val="0"/>
        <w:autoSpaceDN w:val="0"/>
        <w:adjustRightInd w:val="0"/>
        <w:spacing w:after="240"/>
        <w:rPr>
          <w:rFonts w:cs="Arial"/>
        </w:rPr>
      </w:pPr>
      <w:r w:rsidRPr="00D42A19">
        <w:t>Los resultados indican que en la gran mayoría de los casos, el segundo año de observación confirma los resultados del primero en cuanto a DHE en un contexto en el que las descripciones de variedades se hacen a partir de 2 años de observaciones.  Sin embargo, si el examen DHE se limitara al primer periodo de fructificación, deben tenerse en cuenta otras consecuencias.  En primer lugar, en el primer periodo de fructificación satisfactorio, los árboles aún son jóvenes y, en virtud del presente protocolo, no expresan algunos caracteres de la misma manera en que lo harían el segundo año de observación.  En segundo lugar, cambiar a un sistema en el que las observaciones se limitaran de manera sistemática al primer periodo de fructificación tendría consecuencias cuando se comparan las descripciones de variedades con las observaciones efectuadas durante el segundo año de examen que están almacenadas en las bases de datos.  La comparación entre las variedades descritas a partir de material vegetal de distinta edad es menos fiable y, probablemente, tendría consecuencias cuando se escogen variedades para incluirlas en el ensayo de crecimiento con el propósito de efectuar una comparación por pares.</w:t>
      </w:r>
    </w:p>
    <w:p w:rsidR="005B5E84" w:rsidRPr="00D42A19" w:rsidRDefault="005B5E84" w:rsidP="005B5E84">
      <w:pPr>
        <w:spacing w:after="240"/>
        <w:rPr>
          <w:rFonts w:cs="Arial"/>
        </w:rPr>
      </w:pPr>
      <w:r w:rsidRPr="00D42A19">
        <w:t xml:space="preserve">A manera de seguimiento, se invita a las oficinas de examen a enviar informes después de un año de examen cuando no existan dudas sobre la distinción.  La OCVV ha trabajado en una propuesta a la UPOV para modificar el texto estándar sobre la duración del examen que deje abierta la posibilidad de que este concluya tras un año de observación.  Esta propuesta se debatió en la reunión de 2015 del TWF. </w:t>
      </w:r>
    </w:p>
    <w:p w:rsidR="005B5E84" w:rsidRPr="00D42A19" w:rsidRDefault="005B5E84" w:rsidP="005B5E84">
      <w:pPr>
        <w:spacing w:after="240"/>
        <w:ind w:left="720"/>
        <w:rPr>
          <w:rFonts w:cs="Arial"/>
          <w:i/>
        </w:rPr>
      </w:pPr>
      <w:r w:rsidRPr="00D42A19">
        <w:rPr>
          <w:i/>
        </w:rPr>
        <w:t xml:space="preserve">b. “Modificación del sistema de cultivo y de los requisitos del material vegetal de </w:t>
      </w:r>
      <w:proofErr w:type="spellStart"/>
      <w:r w:rsidRPr="00D42A19">
        <w:t>Helleborus</w:t>
      </w:r>
      <w:proofErr w:type="spellEnd"/>
      <w:r w:rsidRPr="00D42A19">
        <w:rPr>
          <w:i/>
        </w:rPr>
        <w:t>”</w:t>
      </w:r>
    </w:p>
    <w:p w:rsidR="005B5E84" w:rsidRPr="00D42A19" w:rsidRDefault="005B5E84" w:rsidP="005B5E84">
      <w:pPr>
        <w:widowControl w:val="0"/>
        <w:autoSpaceDE w:val="0"/>
        <w:autoSpaceDN w:val="0"/>
        <w:adjustRightInd w:val="0"/>
        <w:spacing w:after="240"/>
        <w:rPr>
          <w:rFonts w:cs="Arial"/>
        </w:rPr>
      </w:pPr>
      <w:r w:rsidRPr="00D42A19">
        <w:t xml:space="preserve">El proyecto, fue emprendido por la OCVV y ejecutado en colaboración con el </w:t>
      </w:r>
      <w:proofErr w:type="spellStart"/>
      <w:r w:rsidRPr="00D42A19">
        <w:rPr>
          <w:i/>
        </w:rPr>
        <w:t>Naktuinbouw</w:t>
      </w:r>
      <w:proofErr w:type="spellEnd"/>
      <w:r w:rsidRPr="00D42A19">
        <w:t>.  Se puso en marcha en marzo de 2013 y el informe final se escribió al término de 2014.</w:t>
      </w:r>
    </w:p>
    <w:p w:rsidR="005B5E84" w:rsidRPr="00D42A19" w:rsidRDefault="005B5E84" w:rsidP="005B5E84">
      <w:pPr>
        <w:widowControl w:val="0"/>
        <w:autoSpaceDE w:val="0"/>
        <w:autoSpaceDN w:val="0"/>
        <w:adjustRightInd w:val="0"/>
        <w:spacing w:after="240"/>
        <w:rPr>
          <w:rFonts w:cs="Arial"/>
        </w:rPr>
      </w:pPr>
      <w:r w:rsidRPr="00D42A19">
        <w:t xml:space="preserve">En el marco de una solicitud de protección comunitaria de una obtención vegetal, el examen DHE de las variedades de </w:t>
      </w:r>
      <w:proofErr w:type="spellStart"/>
      <w:r w:rsidRPr="00D42A19">
        <w:rPr>
          <w:i/>
        </w:rPr>
        <w:t>Helleborus</w:t>
      </w:r>
      <w:proofErr w:type="spellEnd"/>
      <w:r w:rsidRPr="00D42A19">
        <w:t xml:space="preserve"> se centraliza en el </w:t>
      </w:r>
      <w:proofErr w:type="spellStart"/>
      <w:r w:rsidRPr="00D42A19">
        <w:rPr>
          <w:i/>
        </w:rPr>
        <w:t>Naktuinbouw</w:t>
      </w:r>
      <w:proofErr w:type="spellEnd"/>
      <w:r w:rsidRPr="00D42A19">
        <w:t>, donde las plantas se cultivan en parte al aire libre, en terreno descubierto.  Este sistema de cultivo no pareció ser el óptimo, dado que en el pasado el escaso drenaje del suelo causó ciertos daños y que algunos inviernos fríos o las condiciones meteorológicas desfavorables podrían dañar las variedades candidatas y la colección de referencia.  Además, la manera habitual de producción comercial parece ajustarse más al cultivo en macetas que al cultivo en el terreno.  El propósito de este proyecto ha sido investigar la conveniencia de optar por un sistema de cultivo diferente al actual, es decir, cambiarlo por un cultivo en macetas enviadas en abril, basado en una experimentación llevada a cabo con 12 variedades de referencia.</w:t>
      </w:r>
    </w:p>
    <w:p w:rsidR="005B5E84" w:rsidRPr="00D42A19" w:rsidRDefault="005B5E84" w:rsidP="005B5E84">
      <w:pPr>
        <w:widowControl w:val="0"/>
        <w:autoSpaceDE w:val="0"/>
        <w:autoSpaceDN w:val="0"/>
        <w:adjustRightInd w:val="0"/>
        <w:spacing w:after="240"/>
        <w:rPr>
          <w:rFonts w:cs="Arial"/>
        </w:rPr>
      </w:pPr>
      <w:r w:rsidRPr="00D42A19">
        <w:t>Los resultados del proyecto piloto han demostrado que:</w:t>
      </w:r>
    </w:p>
    <w:p w:rsidR="005B5E84" w:rsidRPr="00D42A19" w:rsidRDefault="005B5E84" w:rsidP="00DC569B">
      <w:pPr>
        <w:pStyle w:val="NoSpacing"/>
        <w:numPr>
          <w:ilvl w:val="0"/>
          <w:numId w:val="4"/>
        </w:numPr>
        <w:spacing w:after="120"/>
        <w:ind w:left="714" w:hanging="357"/>
        <w:rPr>
          <w:rFonts w:ascii="Arial" w:eastAsia="Times New Roman" w:hAnsi="Arial" w:cs="Arial"/>
          <w:sz w:val="20"/>
          <w:szCs w:val="20"/>
          <w:lang w:val="es-ES_tradnl"/>
        </w:rPr>
      </w:pPr>
      <w:r w:rsidRPr="00D42A19">
        <w:rPr>
          <w:rFonts w:ascii="Arial" w:hAnsi="Arial"/>
          <w:sz w:val="20"/>
          <w:lang w:val="es-ES_tradnl"/>
        </w:rPr>
        <w:t>las plantas provenientes del cultivo en maceta fueron más uniformes;</w:t>
      </w:r>
    </w:p>
    <w:p w:rsidR="005B5E84" w:rsidRPr="00D42A19" w:rsidRDefault="005B5E84" w:rsidP="00DC569B">
      <w:pPr>
        <w:pStyle w:val="NoSpacing"/>
        <w:numPr>
          <w:ilvl w:val="0"/>
          <w:numId w:val="4"/>
        </w:numPr>
        <w:spacing w:after="240"/>
        <w:rPr>
          <w:rFonts w:ascii="Arial" w:eastAsia="Times New Roman" w:hAnsi="Arial" w:cs="Arial"/>
          <w:sz w:val="20"/>
          <w:szCs w:val="20"/>
          <w:lang w:val="es-ES_tradnl"/>
        </w:rPr>
      </w:pPr>
      <w:r w:rsidRPr="00D42A19">
        <w:rPr>
          <w:rFonts w:ascii="Arial" w:hAnsi="Arial"/>
          <w:sz w:val="20"/>
          <w:lang w:val="es-ES_tradnl"/>
        </w:rPr>
        <w:t xml:space="preserve">el cambio del tratamiento tuvo solo un efecto limitado en la expresión de los caracteres. </w:t>
      </w:r>
    </w:p>
    <w:p w:rsidR="005B5E84" w:rsidRPr="00D42A19" w:rsidRDefault="005B5E84" w:rsidP="005B5E84">
      <w:pPr>
        <w:widowControl w:val="0"/>
        <w:autoSpaceDE w:val="0"/>
        <w:autoSpaceDN w:val="0"/>
        <w:adjustRightInd w:val="0"/>
        <w:spacing w:after="240"/>
        <w:rPr>
          <w:rFonts w:cs="Arial"/>
        </w:rPr>
      </w:pPr>
      <w:r w:rsidRPr="00D42A19">
        <w:t xml:space="preserve">Teniendo en cuenta esos datos, la oficina de examen propuso cambiar las condiciones de examen y el sistema de cultivo por un cultivo en maceta iniciado al aire libre en abril que se traslade a un invernadero sin calefacción a finales de noviembre.  Este nuevo sistema se ha puesto en práctica para todas las variedades candidatas desde el primer año del examen DHE, a partir de abril de 2015. </w:t>
      </w:r>
    </w:p>
    <w:p w:rsidR="005B5E84" w:rsidRPr="00D42A19" w:rsidRDefault="005B5E84" w:rsidP="005B5E84">
      <w:pPr>
        <w:spacing w:after="240"/>
        <w:ind w:left="720"/>
        <w:rPr>
          <w:rFonts w:cs="Arial"/>
          <w:i/>
        </w:rPr>
      </w:pPr>
      <w:r w:rsidRPr="00D42A19">
        <w:rPr>
          <w:i/>
        </w:rPr>
        <w:t>c.  Proyecto sobre el rosal:  muestreo, análisis y almacenamiento del ADN muestreado</w:t>
      </w:r>
    </w:p>
    <w:p w:rsidR="005B5E84" w:rsidRPr="00D42A19" w:rsidRDefault="005B5E84" w:rsidP="005B5E84">
      <w:pPr>
        <w:spacing w:after="240"/>
        <w:rPr>
          <w:rFonts w:cs="Arial"/>
        </w:rPr>
      </w:pPr>
      <w:r w:rsidRPr="00D42A19">
        <w:t>En junio de 2011, la OCVV propuso al Consejo de Administración seguir adelante con un proyecto piloto sobre muestreo y almacenamiento del ADN de la rosa.  Se decidió conservar, de forma obligatoria, una muestra de ADN de material vegetal original presentado para cada examen técnico.  Esa muestra se podría utilizar, en caso de duda, para verificar (en la medida en que las técnicas vigentes lo permitan) la identidad del material solicitado para cultivarlo como referencia en un examen DHE;  esta verificación se haría comparando los perfiles de ADN de este material recibido como variedad de referencia con el perfil del ADN almacenado de esa misma variedad presentada para el examen.  Esta muestra también se podría emplear en relación con la defensa de los derechos de obtentor cuando este lo solicite.  En un futuro contexto, esta muestra se podría emplear para la gestión de la colección de referencia.</w:t>
      </w:r>
    </w:p>
    <w:p w:rsidR="005B5E84" w:rsidRPr="00D42A19" w:rsidRDefault="005B5E84" w:rsidP="005B5E84">
      <w:pPr>
        <w:spacing w:after="240"/>
        <w:rPr>
          <w:rFonts w:cs="Arial"/>
        </w:rPr>
      </w:pPr>
      <w:r w:rsidRPr="00D42A19">
        <w:t xml:space="preserve">Se ha definido un procedimiento en el que se establece en detalle el muestreo de ADN como parte del examen técnico, a partir del cual se ha llamado a licitación para elegir un laboratorio.  En 2011, se ha encargado la labor al </w:t>
      </w:r>
      <w:proofErr w:type="spellStart"/>
      <w:r w:rsidRPr="00D42A19">
        <w:rPr>
          <w:i/>
        </w:rPr>
        <w:t>Naktuinbouw</w:t>
      </w:r>
      <w:proofErr w:type="spellEnd"/>
      <w:r w:rsidRPr="00D42A19">
        <w:t xml:space="preserve"> durante un periodo de 4 años que finaliza en febrero de 2015.  El muestreo se inició durante el transcurso del examen DUS de 2011.</w:t>
      </w:r>
    </w:p>
    <w:p w:rsidR="005B5E84" w:rsidRPr="00D42A19" w:rsidRDefault="005B5E84" w:rsidP="005B5E84">
      <w:pPr>
        <w:spacing w:after="240"/>
        <w:rPr>
          <w:rFonts w:cs="Arial"/>
        </w:rPr>
      </w:pPr>
      <w:r w:rsidRPr="00D42A19">
        <w:t xml:space="preserve">Durante estos 5 años se ha conservado una muestra de ADN del material vegetal original presentado para cada examen técnico de la rosa, con carácter obligatorio en virtud el procedimiento adoptado.  Las hojas se han recolectado en las diferentes oficinas de examen encargadas (la </w:t>
      </w:r>
      <w:proofErr w:type="spellStart"/>
      <w:r w:rsidRPr="00D42A19">
        <w:rPr>
          <w:i/>
        </w:rPr>
        <w:t>Bundessortenamt</w:t>
      </w:r>
      <w:proofErr w:type="spellEnd"/>
      <w:r w:rsidRPr="00D42A19">
        <w:t xml:space="preserve">, el </w:t>
      </w:r>
      <w:proofErr w:type="spellStart"/>
      <w:r w:rsidRPr="00D42A19">
        <w:rPr>
          <w:i/>
        </w:rPr>
        <w:t>Naktuinbouw</w:t>
      </w:r>
      <w:proofErr w:type="spellEnd"/>
      <w:r w:rsidRPr="00D42A19">
        <w:t xml:space="preserve"> y el NIAB) y se han enviado al laboratorio encargado (el </w:t>
      </w:r>
      <w:proofErr w:type="spellStart"/>
      <w:r w:rsidRPr="00D42A19">
        <w:rPr>
          <w:i/>
        </w:rPr>
        <w:t>Naktuinbouw</w:t>
      </w:r>
      <w:proofErr w:type="spellEnd"/>
      <w:r w:rsidRPr="00D42A19">
        <w:t xml:space="preserve">). Las extracciones de ADN y el almacenamiento tuvo lugar en este laboratorio.  Desde el inicio del proyecto, se ha almacenado el ADN de “732 muestras de ADN”. </w:t>
      </w:r>
    </w:p>
    <w:p w:rsidR="005B5E84" w:rsidRPr="00D42A19" w:rsidRDefault="005B5E84" w:rsidP="002F64A8">
      <w:pPr>
        <w:spacing w:after="240"/>
      </w:pPr>
      <w:r w:rsidRPr="00D42A19">
        <w:t xml:space="preserve">La OCVV ha efectuado un análisis interno de la evolución del proyecto y de los comentarios recibidos de los participantes y las organizaciones de </w:t>
      </w:r>
      <w:proofErr w:type="spellStart"/>
      <w:r w:rsidRPr="00D42A19">
        <w:t>fitomejoradores</w:t>
      </w:r>
      <w:proofErr w:type="spellEnd"/>
      <w:r w:rsidRPr="00D42A19">
        <w:t xml:space="preserve"> (la CIOPORA y </w:t>
      </w:r>
      <w:proofErr w:type="spellStart"/>
      <w:r w:rsidRPr="00D42A19">
        <w:rPr>
          <w:i/>
        </w:rPr>
        <w:t>Plantum</w:t>
      </w:r>
      <w:proofErr w:type="spellEnd"/>
      <w:r w:rsidRPr="00D42A19">
        <w:t>).  Durante este periodo, ninguna de estas muestras ha sido utilizada por las oficinas de examen encargadas ni por los obtentores.  Esta situación se puede explicar por diferentes motivos.  En marzo de 2014, el Consejo Administrativo de la OCVV convino en extender el proyecto durante más de un año, a fin de evitar una interrupción de la toma de muestras de ADN, ya que se está preparando un nuevo proyecto para la rosa.  El nuevo proyecto tiene el propósito de utilizar nuevos marcadores moleculares que se consideran de interés para la gestión de las colecciones de referencia de la rosa de invernadero.</w:t>
      </w:r>
    </w:p>
    <w:p w:rsidR="003F39F5" w:rsidRPr="00D42A19" w:rsidRDefault="003F39F5" w:rsidP="003F39F5"/>
    <w:p w:rsidR="003F39F5" w:rsidRPr="00D42A19" w:rsidRDefault="003F39F5" w:rsidP="003F39F5"/>
    <w:p w:rsidR="003F39F5" w:rsidRPr="00D42A19" w:rsidRDefault="003F39F5" w:rsidP="003F39F5">
      <w:pPr>
        <w:sectPr w:rsidR="003F39F5" w:rsidRPr="00D42A19" w:rsidSect="004F3A50">
          <w:headerReference w:type="default" r:id="rId46"/>
          <w:pgSz w:w="11907" w:h="16840" w:code="9"/>
          <w:pgMar w:top="510" w:right="1134" w:bottom="993" w:left="1134" w:header="510" w:footer="680" w:gutter="0"/>
          <w:pgNumType w:start="1"/>
          <w:cols w:space="720"/>
          <w:titlePg/>
        </w:sectPr>
      </w:pPr>
    </w:p>
    <w:p w:rsidR="003F39F5" w:rsidRPr="00D42A19" w:rsidRDefault="003F39F5" w:rsidP="003F39F5">
      <w:pPr>
        <w:jc w:val="center"/>
      </w:pPr>
      <w:r w:rsidRPr="00D42A19">
        <w:t>C/49/15</w:t>
      </w:r>
    </w:p>
    <w:p w:rsidR="003F39F5" w:rsidRPr="00D42A19" w:rsidRDefault="003F39F5" w:rsidP="003F39F5">
      <w:pPr>
        <w:jc w:val="center"/>
      </w:pPr>
    </w:p>
    <w:p w:rsidR="003F39F5" w:rsidRPr="00D42A19" w:rsidRDefault="00F14899" w:rsidP="003F39F5">
      <w:pPr>
        <w:jc w:val="center"/>
      </w:pPr>
      <w:r w:rsidRPr="00D42A19">
        <w:t>ANEXO</w:t>
      </w:r>
      <w:r w:rsidR="003F39F5" w:rsidRPr="00D42A19">
        <w:t xml:space="preserve"> XVIII</w:t>
      </w:r>
    </w:p>
    <w:p w:rsidR="003F39F5" w:rsidRPr="00D42A19" w:rsidRDefault="003F39F5" w:rsidP="003F39F5">
      <w:pPr>
        <w:jc w:val="center"/>
      </w:pPr>
    </w:p>
    <w:p w:rsidR="003F39F5" w:rsidRPr="00D42A19" w:rsidRDefault="003F39F5" w:rsidP="003F39F5">
      <w:pPr>
        <w:jc w:val="center"/>
      </w:pPr>
    </w:p>
    <w:p w:rsidR="003F39F5" w:rsidRPr="00D42A19" w:rsidRDefault="00F14899" w:rsidP="003F39F5">
      <w:pPr>
        <w:jc w:val="center"/>
      </w:pPr>
      <w:r w:rsidRPr="00D42A19">
        <w:t>ORGANIZACIÓN REGIONAL AFRICANA DE LA PROPIEDAD INTELECTUAL</w:t>
      </w:r>
      <w:r w:rsidR="003F39F5" w:rsidRPr="00D42A19">
        <w:br/>
        <w:t>(ARIPO)</w:t>
      </w:r>
    </w:p>
    <w:p w:rsidR="003F39F5" w:rsidRPr="00D42A19" w:rsidRDefault="003F39F5" w:rsidP="003F39F5"/>
    <w:p w:rsidR="003F39F5" w:rsidRPr="00D42A19" w:rsidRDefault="003F39F5" w:rsidP="003F39F5"/>
    <w:p w:rsidR="00DC569B" w:rsidRPr="00CD55AD" w:rsidRDefault="00DC569B" w:rsidP="00DC569B">
      <w:pPr>
        <w:rPr>
          <w:rFonts w:cs="Arial"/>
          <w:lang w:val="es-ES"/>
        </w:rPr>
      </w:pPr>
      <w:r w:rsidRPr="004D4403">
        <w:rPr>
          <w:rFonts w:cs="Arial"/>
          <w:bCs/>
        </w:rPr>
        <w:t>El</w:t>
      </w:r>
      <w:r>
        <w:rPr>
          <w:rFonts w:cs="Arial"/>
          <w:bCs/>
        </w:rPr>
        <w:t xml:space="preserve"> </w:t>
      </w:r>
      <w:r w:rsidRPr="004D4403">
        <w:rPr>
          <w:rFonts w:cs="Arial"/>
          <w:bCs/>
        </w:rPr>
        <w:t xml:space="preserve">6 de julio de 2015, la ARIPO y sus diecinueve Estados miembros organizaron en </w:t>
      </w:r>
      <w:proofErr w:type="spellStart"/>
      <w:r w:rsidRPr="004D4403">
        <w:rPr>
          <w:rFonts w:cs="Arial"/>
          <w:bCs/>
        </w:rPr>
        <w:t>Arusha</w:t>
      </w:r>
      <w:proofErr w:type="spellEnd"/>
      <w:r w:rsidRPr="004D4403">
        <w:rPr>
          <w:rFonts w:cs="Arial"/>
          <w:bCs/>
        </w:rPr>
        <w:t xml:space="preserve"> (República Unida de </w:t>
      </w:r>
      <w:proofErr w:type="spellStart"/>
      <w:r w:rsidRPr="004D4403">
        <w:rPr>
          <w:rFonts w:cs="Arial"/>
          <w:bCs/>
        </w:rPr>
        <w:t>Tanzanía</w:t>
      </w:r>
      <w:proofErr w:type="spellEnd"/>
      <w:r w:rsidRPr="004D4403">
        <w:rPr>
          <w:rFonts w:cs="Arial"/>
          <w:bCs/>
        </w:rPr>
        <w:t>) una Conferencia Diplomática para la adopción del proyecto de Protocolo de la ARIPO para la Protección de las Obtenciones Vegetales.</w:t>
      </w:r>
      <w:r w:rsidRPr="00CD55AD">
        <w:rPr>
          <w:rFonts w:cs="Arial"/>
          <w:bCs/>
          <w:lang w:val="es-ES"/>
        </w:rPr>
        <w:t xml:space="preserve">  </w:t>
      </w:r>
      <w:r w:rsidRPr="008E1677">
        <w:rPr>
          <w:rFonts w:cs="Arial"/>
          <w:bCs/>
        </w:rPr>
        <w:t>Precedieron a la Conferencia una sesión del Comité de Expertos, que se celebró del 29 de junio al 1 de julio de 2015, y la novena sesión extraordinaria del Consejo Administrativo, que se celebró el 2 y el 3 de julio de 2015.</w:t>
      </w:r>
      <w:r w:rsidRPr="00CD55AD">
        <w:rPr>
          <w:rFonts w:cs="Arial"/>
          <w:bCs/>
          <w:lang w:val="es-ES"/>
        </w:rPr>
        <w:t xml:space="preserve">  </w:t>
      </w:r>
      <w:r w:rsidRPr="008E1677">
        <w:rPr>
          <w:rFonts w:cs="Arial"/>
          <w:bCs/>
        </w:rPr>
        <w:t>Asistieron a la Conferencia más de 120 delegados entre los que se contaban Ministros de Agricultura, Comercio, Industria y Justicia, así como responsables de la formulación de políticas y otros altos funcionarios de los Ministerios de Agricultura y de las oficinas nacionales de propiedad intelectual.</w:t>
      </w:r>
      <w:r w:rsidRPr="00CD55AD">
        <w:rPr>
          <w:rFonts w:cs="Arial"/>
          <w:bCs/>
          <w:lang w:val="es-ES"/>
        </w:rPr>
        <w:t xml:space="preserve"> </w:t>
      </w:r>
      <w:r w:rsidRPr="005C02EA">
        <w:rPr>
          <w:rFonts w:cs="Arial"/>
          <w:bCs/>
        </w:rPr>
        <w:t xml:space="preserve">También asistieron a la Conferencia, en calidad de observadores, las siguientes organizaciones e instituciones internacionales:  la Organización Mundial de la Propiedad Intelectual (OMPI), la Oficina Comunitaria de Variedades Vegetales </w:t>
      </w:r>
      <w:r w:rsidRPr="005C02EA">
        <w:rPr>
          <w:rFonts w:cs="Arial"/>
        </w:rPr>
        <w:t xml:space="preserve">de la Unión Europea </w:t>
      </w:r>
      <w:r w:rsidRPr="005C02EA">
        <w:rPr>
          <w:rFonts w:cs="Arial"/>
          <w:bCs/>
        </w:rPr>
        <w:t xml:space="preserve">(OCVV), la Asociación </w:t>
      </w:r>
      <w:r w:rsidRPr="005C02EA">
        <w:rPr>
          <w:rFonts w:cs="Arial"/>
        </w:rPr>
        <w:t>Nacional de Semillas y Plántulas de Francia (GNIS), la Oficina de Patentes y Marcas de los Estados Unidos de América (USPTO) y la Unión Internacional para la Protección de las Obtenciones Vegetales (UPOV).</w:t>
      </w:r>
      <w:r w:rsidRPr="00CD55AD">
        <w:rPr>
          <w:rFonts w:cs="Arial"/>
          <w:lang w:val="es-ES"/>
        </w:rPr>
        <w:t xml:space="preserve">  </w:t>
      </w:r>
    </w:p>
    <w:p w:rsidR="00DC569B" w:rsidRPr="00CD55AD" w:rsidRDefault="00DC569B" w:rsidP="00DC569B">
      <w:pPr>
        <w:rPr>
          <w:rFonts w:cs="Arial"/>
          <w:lang w:val="es-ES"/>
        </w:rPr>
      </w:pPr>
    </w:p>
    <w:p w:rsidR="00DC569B" w:rsidRPr="00CD55AD" w:rsidRDefault="00DC569B" w:rsidP="00DC569B">
      <w:pPr>
        <w:rPr>
          <w:rFonts w:cs="Arial"/>
          <w:lang w:val="es-ES"/>
        </w:rPr>
      </w:pPr>
      <w:r w:rsidRPr="006D37D0">
        <w:rPr>
          <w:rFonts w:cs="Arial"/>
        </w:rPr>
        <w:t xml:space="preserve">En la Conferencia se adoptó el proyecto de Protocolo de la ARIPO para la Protección de las Obtenciones Vegetales con algunas modificaciones (véase el Apéndice) y se decidió denominarlo “Protocolo de </w:t>
      </w:r>
      <w:proofErr w:type="spellStart"/>
      <w:r w:rsidRPr="006D37D0">
        <w:rPr>
          <w:rFonts w:cs="Arial"/>
        </w:rPr>
        <w:t>Arusha</w:t>
      </w:r>
      <w:proofErr w:type="spellEnd"/>
      <w:r w:rsidRPr="006D37D0">
        <w:rPr>
          <w:rFonts w:cs="Arial"/>
        </w:rPr>
        <w:t xml:space="preserve"> para la Protección de las Obtenciones Vegetales”.</w:t>
      </w:r>
    </w:p>
    <w:p w:rsidR="00DC569B" w:rsidRPr="00CD55AD" w:rsidRDefault="00DC569B" w:rsidP="00DC569B">
      <w:pPr>
        <w:rPr>
          <w:rFonts w:cs="Arial"/>
          <w:lang w:val="es-ES"/>
        </w:rPr>
      </w:pPr>
    </w:p>
    <w:p w:rsidR="00DC569B" w:rsidRPr="00CD55AD" w:rsidRDefault="00DC569B" w:rsidP="00DC569B">
      <w:pPr>
        <w:rPr>
          <w:rFonts w:cs="Arial"/>
          <w:lang w:val="es-ES"/>
        </w:rPr>
      </w:pPr>
      <w:r w:rsidRPr="006D37D0">
        <w:rPr>
          <w:rFonts w:cs="Arial"/>
        </w:rPr>
        <w:t>En la sesión del Comité de Expertos que precedió a la Conferencia se recomendó que dicho Comité participe en la formulación del Reglamento y que el Consejo Administrativo establezca un plazo para completar su redacción a fin de facilitar la plena aplicación del Protocolo.</w:t>
      </w:r>
      <w:r w:rsidRPr="00CD55AD">
        <w:rPr>
          <w:rFonts w:cs="Arial"/>
          <w:lang w:val="es-ES"/>
        </w:rPr>
        <w:t xml:space="preserve">  </w:t>
      </w:r>
      <w:r w:rsidRPr="006D37D0">
        <w:rPr>
          <w:rFonts w:cs="Arial"/>
        </w:rPr>
        <w:t xml:space="preserve">En la novena sesión extraordinaria del Consejo Administrativo, que se celebró el 2 y el 3 de </w:t>
      </w:r>
      <w:r>
        <w:rPr>
          <w:rFonts w:cs="Arial"/>
        </w:rPr>
        <w:t>junio</w:t>
      </w:r>
      <w:r w:rsidRPr="006D37D0">
        <w:rPr>
          <w:rFonts w:cs="Arial"/>
        </w:rPr>
        <w:t xml:space="preserve"> de 2015 en el mismo lugar que la Conferencia Diplomática, el Consejo aprobó la recomendación de que el Comité de Expertos participe en la elaboración del proyecto de Reglamento para la aplicación del Protocolo.</w:t>
      </w:r>
      <w:r w:rsidRPr="00CD55AD">
        <w:rPr>
          <w:rFonts w:cs="Arial"/>
          <w:lang w:val="es-ES"/>
        </w:rPr>
        <w:t xml:space="preserve">  </w:t>
      </w:r>
      <w:r w:rsidRPr="005378C3">
        <w:rPr>
          <w:rFonts w:cs="Arial"/>
        </w:rPr>
        <w:t>Asimismo, el Consejo Administrativo solicitó a la Secretaría de la ARIPO que en el plan estratégico de la ARIPO propuesto para el período 2016</w:t>
      </w:r>
      <w:r w:rsidRPr="005378C3">
        <w:rPr>
          <w:rFonts w:cs="Arial"/>
        </w:rPr>
        <w:noBreakHyphen/>
        <w:t>2020 se contemple la elaboración del proyecto de Reglamento, con inclusión de un presupuesto, y que este se presente al Consejo Administrativo en su trigésima novena sesión a fin de que adopte una decisión respecto de los plazos para la elaboración del proyecto de Reglamento.</w:t>
      </w:r>
      <w:r w:rsidRPr="00CD55AD">
        <w:rPr>
          <w:rFonts w:cs="Arial"/>
          <w:lang w:val="es-ES"/>
        </w:rPr>
        <w:t xml:space="preserve">  </w:t>
      </w:r>
    </w:p>
    <w:p w:rsidR="00DC569B" w:rsidRPr="00CD55AD" w:rsidRDefault="00DC569B" w:rsidP="00DC569B">
      <w:pPr>
        <w:ind w:left="720" w:hanging="720"/>
        <w:rPr>
          <w:rFonts w:cs="Arial"/>
          <w:lang w:val="es-ES"/>
        </w:rPr>
      </w:pPr>
    </w:p>
    <w:p w:rsidR="00DC569B" w:rsidRPr="00CD55AD" w:rsidRDefault="00DC569B" w:rsidP="00DC569B">
      <w:pPr>
        <w:rPr>
          <w:rFonts w:cs="Arial"/>
          <w:lang w:val="es-ES"/>
        </w:rPr>
      </w:pPr>
      <w:r w:rsidRPr="00864280">
        <w:rPr>
          <w:rFonts w:cs="Arial"/>
        </w:rPr>
        <w:t>Tras la decisión adoptada por el Consejo Administrativo en su novena sesión extraordinaria, la Secretaría de la ARIPO propuso el siguiente plan de trabajo para que el Consejo Administrativo lo apruebe en su trigésima novena sesión, que se celebrará en Lusaka (Zambia) del 16 al 18 de noviembre de 2015:</w:t>
      </w:r>
      <w:r w:rsidRPr="00CD55AD">
        <w:rPr>
          <w:rFonts w:cs="Arial"/>
          <w:lang w:val="es-ES"/>
        </w:rPr>
        <w:t xml:space="preserve"> </w:t>
      </w:r>
    </w:p>
    <w:p w:rsidR="00DC569B" w:rsidRPr="00CD55AD" w:rsidRDefault="00DC569B" w:rsidP="00DC569B">
      <w:pPr>
        <w:ind w:left="720" w:hanging="720"/>
        <w:rPr>
          <w:rFonts w:cs="Arial"/>
          <w:lang w:val="es-ES"/>
        </w:rPr>
      </w:pPr>
    </w:p>
    <w:p w:rsidR="00DC569B" w:rsidRPr="00CD55AD" w:rsidRDefault="00DC569B" w:rsidP="00DC569B">
      <w:pPr>
        <w:numPr>
          <w:ilvl w:val="0"/>
          <w:numId w:val="16"/>
        </w:numPr>
        <w:tabs>
          <w:tab w:val="left" w:pos="1701"/>
        </w:tabs>
        <w:ind w:left="1701" w:hanging="567"/>
        <w:rPr>
          <w:rFonts w:cs="Arial"/>
          <w:lang w:val="es-ES"/>
        </w:rPr>
      </w:pPr>
      <w:r w:rsidRPr="00864280">
        <w:rPr>
          <w:rFonts w:cs="Arial"/>
        </w:rPr>
        <w:t>Elaboración del proyecto inicial de Reglamento por un redactor jurídico (de enero a febrero de 2016).</w:t>
      </w:r>
    </w:p>
    <w:p w:rsidR="00DC569B" w:rsidRPr="00CD55AD" w:rsidRDefault="00DC569B" w:rsidP="00DC569B">
      <w:pPr>
        <w:numPr>
          <w:ilvl w:val="0"/>
          <w:numId w:val="16"/>
        </w:numPr>
        <w:tabs>
          <w:tab w:val="left" w:pos="1701"/>
        </w:tabs>
        <w:ind w:left="1701" w:hanging="567"/>
        <w:rPr>
          <w:rFonts w:cs="Arial"/>
        </w:rPr>
      </w:pPr>
      <w:r w:rsidRPr="00864280">
        <w:rPr>
          <w:rFonts w:cs="Arial"/>
        </w:rPr>
        <w:t>Distribución del proyecto inicial de Reglamento a los Estados miembros y a las instituciones interesadas pertinentes para que lo revisen y formulen observaciones (de marzo a mayo de 2016).</w:t>
      </w:r>
    </w:p>
    <w:p w:rsidR="00DC569B" w:rsidRPr="00CD55AD" w:rsidRDefault="00DC569B" w:rsidP="00DC569B">
      <w:pPr>
        <w:numPr>
          <w:ilvl w:val="0"/>
          <w:numId w:val="16"/>
        </w:numPr>
        <w:tabs>
          <w:tab w:val="left" w:pos="1701"/>
        </w:tabs>
        <w:ind w:left="1701" w:hanging="567"/>
        <w:rPr>
          <w:rFonts w:cs="Arial"/>
        </w:rPr>
      </w:pPr>
      <w:r w:rsidRPr="00864280">
        <w:rPr>
          <w:rFonts w:cs="Arial"/>
        </w:rPr>
        <w:t>Organización de una reunión del Comité de Expertos para revisar el proyecto de Reglamento tomando en consideración las observaciones remitidas por los Estados miembros y las instituciones interesadas (junio de 2016).</w:t>
      </w:r>
    </w:p>
    <w:p w:rsidR="00DC569B" w:rsidRPr="00CD55AD" w:rsidRDefault="00DC569B" w:rsidP="00DC569B">
      <w:pPr>
        <w:numPr>
          <w:ilvl w:val="0"/>
          <w:numId w:val="16"/>
        </w:numPr>
        <w:tabs>
          <w:tab w:val="left" w:pos="1701"/>
        </w:tabs>
        <w:ind w:left="1701" w:hanging="567"/>
        <w:rPr>
          <w:rFonts w:cs="Arial"/>
        </w:rPr>
      </w:pPr>
      <w:r w:rsidRPr="00864280">
        <w:rPr>
          <w:rFonts w:cs="Arial"/>
        </w:rPr>
        <w:t>Examen del proyecto de Reglamento por el Comité Técnico de Protección de Variedades Vegetales (agosto de 2016).</w:t>
      </w:r>
    </w:p>
    <w:p w:rsidR="00DC569B" w:rsidRPr="00CD55AD" w:rsidRDefault="00DC569B" w:rsidP="00DC569B">
      <w:pPr>
        <w:numPr>
          <w:ilvl w:val="0"/>
          <w:numId w:val="16"/>
        </w:numPr>
        <w:tabs>
          <w:tab w:val="left" w:pos="1701"/>
        </w:tabs>
        <w:ind w:left="1701" w:hanging="567"/>
        <w:rPr>
          <w:rFonts w:cs="Arial"/>
        </w:rPr>
      </w:pPr>
      <w:r w:rsidRPr="00864280">
        <w:rPr>
          <w:rFonts w:cs="Arial"/>
        </w:rPr>
        <w:t xml:space="preserve">Examen y adopción del proyecto de Reglamento para la aplicación del Protocolo de </w:t>
      </w:r>
      <w:proofErr w:type="spellStart"/>
      <w:r w:rsidRPr="00864280">
        <w:rPr>
          <w:rFonts w:cs="Arial"/>
        </w:rPr>
        <w:t>Arusha</w:t>
      </w:r>
      <w:proofErr w:type="spellEnd"/>
      <w:r w:rsidRPr="00864280">
        <w:rPr>
          <w:rFonts w:cs="Arial"/>
        </w:rPr>
        <w:t xml:space="preserve"> por el Consejo Administrativo en su cuadragésima sesión (noviembre de 2016).</w:t>
      </w:r>
    </w:p>
    <w:p w:rsidR="00DC569B" w:rsidRPr="00CD55AD" w:rsidRDefault="00DC569B" w:rsidP="00DC569B">
      <w:pPr>
        <w:rPr>
          <w:rFonts w:cs="Arial"/>
          <w:lang w:val="es-ES"/>
        </w:rPr>
      </w:pPr>
    </w:p>
    <w:p w:rsidR="00DC569B" w:rsidRPr="00CD55AD" w:rsidRDefault="00DC569B" w:rsidP="00DC569B">
      <w:pPr>
        <w:rPr>
          <w:lang w:val="es-ES"/>
        </w:rPr>
      </w:pPr>
      <w:r w:rsidRPr="00864280">
        <w:t>La Secretaría de la ARIPO está elaborando un plan de operaciones para el establecimiento de una oficina que se encargue del registro de las obtenciones vegetales.</w:t>
      </w:r>
      <w:r w:rsidRPr="00CD55AD">
        <w:rPr>
          <w:lang w:val="es-ES"/>
        </w:rPr>
        <w:t xml:space="preserve">  </w:t>
      </w:r>
      <w:r w:rsidRPr="00864280">
        <w:t>Se han instaurado unas directrices para determinar y seleccionar, en los Estados miembros, centros de excelencia en los que llevar a cabo los exámenes DHE.</w:t>
      </w:r>
    </w:p>
    <w:p w:rsidR="00DC569B" w:rsidRPr="00CD55AD" w:rsidRDefault="00DC569B" w:rsidP="00DC569B">
      <w:pPr>
        <w:rPr>
          <w:lang w:val="es-ES"/>
        </w:rPr>
      </w:pPr>
    </w:p>
    <w:p w:rsidR="00DC569B" w:rsidRPr="00CD55AD" w:rsidRDefault="00DC569B" w:rsidP="00DC569B">
      <w:pPr>
        <w:spacing w:after="200" w:line="276" w:lineRule="auto"/>
        <w:rPr>
          <w:lang w:val="es-ES"/>
        </w:rPr>
      </w:pPr>
      <w:r w:rsidRPr="00CD55AD">
        <w:rPr>
          <w:lang w:val="es-ES"/>
        </w:rPr>
        <w:br w:type="page"/>
      </w:r>
    </w:p>
    <w:p w:rsidR="00DC569B" w:rsidRPr="00CD55AD" w:rsidRDefault="00DC569B" w:rsidP="00DC569B">
      <w:pPr>
        <w:jc w:val="center"/>
        <w:rPr>
          <w:lang w:val="es-ES"/>
        </w:rPr>
      </w:pPr>
      <w:r w:rsidRPr="004D4403">
        <w:t>APÉNDICE</w:t>
      </w:r>
    </w:p>
    <w:p w:rsidR="00DC569B" w:rsidRPr="00CD55AD" w:rsidRDefault="00DC569B" w:rsidP="00DC569B">
      <w:pPr>
        <w:rPr>
          <w:lang w:val="es-ES"/>
        </w:rPr>
      </w:pPr>
    </w:p>
    <w:p w:rsidR="00DC569B" w:rsidRPr="00CD55AD" w:rsidRDefault="00DC569B" w:rsidP="00DC569B">
      <w:pPr>
        <w:rPr>
          <w:lang w:val="es-ES"/>
        </w:rPr>
      </w:pPr>
    </w:p>
    <w:p w:rsidR="00DC569B" w:rsidRPr="00CD55AD" w:rsidRDefault="00DC569B" w:rsidP="00DC569B">
      <w:pPr>
        <w:rPr>
          <w:rFonts w:cs="Arial"/>
          <w:lang w:val="es-ES"/>
        </w:rPr>
      </w:pPr>
      <w:r w:rsidRPr="00C4771E">
        <w:rPr>
          <w:rFonts w:cs="Arial"/>
        </w:rPr>
        <w:t>En el cuadro siguiente se exponen las modificaciones introducidas durante el procedimiento de adopción del proyecto de Protocolo de la ARIPO para la Protección de las Obtenciones Vegetales, que no formaban parte de la decisión del Consejo de la UPOV de 11 de abril de 2014.</w:t>
      </w:r>
    </w:p>
    <w:p w:rsidR="00DC569B" w:rsidRPr="00CD55AD" w:rsidRDefault="00DC569B" w:rsidP="00DC569B">
      <w:pPr>
        <w:rPr>
          <w:rFonts w:cs="Arial"/>
          <w:lang w:val="es-ES"/>
        </w:rPr>
      </w:pPr>
    </w:p>
    <w:tbl>
      <w:tblPr>
        <w:tblW w:w="9639"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159"/>
        <w:gridCol w:w="3740"/>
        <w:gridCol w:w="3740"/>
      </w:tblGrid>
      <w:tr w:rsidR="00DC569B" w:rsidRPr="007D3E31" w:rsidTr="006D5FBC">
        <w:trPr>
          <w:cantSplit/>
          <w:tblHeader/>
        </w:trPr>
        <w:tc>
          <w:tcPr>
            <w:tcW w:w="2159" w:type="dxa"/>
            <w:tcBorders>
              <w:top w:val="single" w:sz="4" w:space="0" w:color="auto"/>
              <w:left w:val="single" w:sz="4" w:space="0" w:color="auto"/>
              <w:bottom w:val="single" w:sz="4" w:space="0" w:color="auto"/>
              <w:right w:val="single" w:sz="4" w:space="0" w:color="auto"/>
            </w:tcBorders>
            <w:shd w:val="clear" w:color="auto" w:fill="D9D9D9"/>
          </w:tcPr>
          <w:p w:rsidR="00DC569B" w:rsidRPr="007D3E31" w:rsidRDefault="00DC569B" w:rsidP="006D5FBC">
            <w:pPr>
              <w:jc w:val="center"/>
              <w:rPr>
                <w:rFonts w:cs="Arial"/>
                <w:b/>
              </w:rPr>
            </w:pPr>
            <w:r w:rsidRPr="00C4771E">
              <w:rPr>
                <w:rFonts w:cs="Arial"/>
                <w:b/>
              </w:rPr>
              <w:t>ARTÍCULO</w:t>
            </w:r>
          </w:p>
        </w:tc>
        <w:tc>
          <w:tcPr>
            <w:tcW w:w="3740" w:type="dxa"/>
            <w:tcBorders>
              <w:top w:val="single" w:sz="4" w:space="0" w:color="auto"/>
              <w:left w:val="single" w:sz="4" w:space="0" w:color="auto"/>
              <w:bottom w:val="single" w:sz="4" w:space="0" w:color="auto"/>
              <w:right w:val="single" w:sz="4" w:space="0" w:color="auto"/>
            </w:tcBorders>
            <w:shd w:val="clear" w:color="auto" w:fill="D9D9D9"/>
          </w:tcPr>
          <w:p w:rsidR="00DC569B" w:rsidRPr="007D3E31" w:rsidRDefault="00DC569B" w:rsidP="006D5FBC">
            <w:pPr>
              <w:jc w:val="center"/>
              <w:rPr>
                <w:rFonts w:cs="Arial"/>
                <w:b/>
              </w:rPr>
            </w:pPr>
            <w:r w:rsidRPr="00C4771E">
              <w:rPr>
                <w:rFonts w:cs="Arial"/>
                <w:b/>
              </w:rPr>
              <w:t>PROYECTO DE TEXTO</w:t>
            </w:r>
          </w:p>
        </w:tc>
        <w:tc>
          <w:tcPr>
            <w:tcW w:w="3740" w:type="dxa"/>
            <w:tcBorders>
              <w:top w:val="single" w:sz="4" w:space="0" w:color="auto"/>
              <w:left w:val="single" w:sz="4" w:space="0" w:color="auto"/>
              <w:bottom w:val="single" w:sz="4" w:space="0" w:color="auto"/>
              <w:right w:val="single" w:sz="4" w:space="0" w:color="auto"/>
            </w:tcBorders>
            <w:shd w:val="clear" w:color="auto" w:fill="D9D9D9"/>
          </w:tcPr>
          <w:p w:rsidR="00DC569B" w:rsidRPr="007D3E31" w:rsidRDefault="00DC569B" w:rsidP="006D5FBC">
            <w:pPr>
              <w:jc w:val="center"/>
              <w:rPr>
                <w:rFonts w:cs="Arial"/>
                <w:b/>
                <w:lang w:val="en-GB"/>
              </w:rPr>
            </w:pPr>
            <w:r w:rsidRPr="00C4771E">
              <w:rPr>
                <w:rFonts w:cs="Arial"/>
                <w:b/>
              </w:rPr>
              <w:t>TEXTO APROBADO</w:t>
            </w:r>
          </w:p>
        </w:tc>
      </w:tr>
      <w:tr w:rsidR="00DC569B" w:rsidRPr="00CD55AD" w:rsidTr="006D5FBC">
        <w:trPr>
          <w:cantSplit/>
        </w:trPr>
        <w:tc>
          <w:tcPr>
            <w:tcW w:w="2159"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1</w:t>
            </w:r>
          </w:p>
          <w:p w:rsidR="00DC569B" w:rsidRPr="00CD55AD" w:rsidRDefault="00DC569B" w:rsidP="006D5FBC">
            <w:pPr>
              <w:jc w:val="center"/>
              <w:rPr>
                <w:rFonts w:cs="Arial"/>
                <w:b/>
                <w:lang w:val="es-ES"/>
              </w:rPr>
            </w:pPr>
            <w:r w:rsidRPr="004D4403">
              <w:rPr>
                <w:rFonts w:cs="Arial"/>
                <w:b/>
              </w:rPr>
              <w:t>Definiciones</w:t>
            </w:r>
          </w:p>
          <w:p w:rsidR="00DC569B" w:rsidRPr="00CD55AD" w:rsidRDefault="00DC569B" w:rsidP="006D5FBC">
            <w:pPr>
              <w:jc w:val="center"/>
              <w:rPr>
                <w:rFonts w:cs="Arial"/>
                <w:b/>
                <w:lang w:val="es-ES"/>
              </w:rPr>
            </w:pPr>
          </w:p>
          <w:p w:rsidR="00DC569B" w:rsidRPr="00CD55AD" w:rsidRDefault="00DC569B" w:rsidP="006D5FBC">
            <w:pPr>
              <w:widowControl w:val="0"/>
              <w:rPr>
                <w:rFonts w:cs="Arial"/>
                <w:lang w:val="es-ES"/>
              </w:rPr>
            </w:pPr>
            <w:r w:rsidRPr="00C4771E">
              <w:rPr>
                <w:rFonts w:cs="Arial"/>
              </w:rPr>
              <w:t>“Consejo Administrativo de Protección de Variedades Vegetales”</w:t>
            </w:r>
            <w:r w:rsidRPr="00CD55AD">
              <w:rPr>
                <w:rFonts w:cs="Arial"/>
                <w:lang w:val="es-ES"/>
              </w:rPr>
              <w:t xml:space="preserve"> </w:t>
            </w:r>
          </w:p>
          <w:p w:rsidR="00DC569B" w:rsidRPr="00CD55AD" w:rsidRDefault="00DC569B" w:rsidP="006D5FBC">
            <w:pPr>
              <w:rPr>
                <w:rFonts w:cs="Arial"/>
                <w:lang w:val="es-ES"/>
              </w:rPr>
            </w:pP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1</w:t>
            </w:r>
          </w:p>
          <w:p w:rsidR="00DC569B" w:rsidRPr="00CD55AD" w:rsidRDefault="00DC569B" w:rsidP="006D5FBC">
            <w:pPr>
              <w:jc w:val="center"/>
              <w:rPr>
                <w:rFonts w:cs="Arial"/>
                <w:b/>
                <w:lang w:val="es-ES"/>
              </w:rPr>
            </w:pPr>
            <w:r w:rsidRPr="004D4403">
              <w:rPr>
                <w:rFonts w:cs="Arial"/>
                <w:b/>
              </w:rPr>
              <w:t>Definiciones</w:t>
            </w:r>
          </w:p>
          <w:p w:rsidR="00DC569B" w:rsidRPr="00CD55AD" w:rsidRDefault="00DC569B" w:rsidP="006D5FBC">
            <w:pPr>
              <w:jc w:val="center"/>
              <w:rPr>
                <w:rFonts w:cs="Arial"/>
                <w:b/>
                <w:lang w:val="es-ES"/>
              </w:rPr>
            </w:pPr>
          </w:p>
          <w:p w:rsidR="00DC569B" w:rsidRPr="00CD55AD" w:rsidRDefault="00DC569B" w:rsidP="006D5FBC">
            <w:pPr>
              <w:widowControl w:val="0"/>
              <w:rPr>
                <w:rFonts w:cs="Arial"/>
                <w:lang w:val="es-ES"/>
              </w:rPr>
            </w:pPr>
            <w:r w:rsidRPr="00EB1E2E">
              <w:rPr>
                <w:rFonts w:cs="Arial"/>
              </w:rPr>
              <w:t>Se entenderá por “Consejo Administrativo de Protección de Variedades Vegetales” el órgano integrado por los directores de las oficinas encargadas de la administración de la protección de variedades vegetales en los Estados Contratantes vinculados al presente Protocolo, siempre y cuando todo Estado Contratante pueda designar a cualquier otra persona o personas, de quien considere que posee los conocimientos o la experiencia pertinentes en materia de protección de variedades vegetales, para que lo represente ante el Consejo Administrativo de Protección de Variedades Vegetales;</w:t>
            </w: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1</w:t>
            </w:r>
          </w:p>
          <w:p w:rsidR="00DC569B" w:rsidRPr="00CD55AD" w:rsidRDefault="00DC569B" w:rsidP="006D5FBC">
            <w:pPr>
              <w:jc w:val="center"/>
              <w:rPr>
                <w:rFonts w:cs="Arial"/>
                <w:b/>
                <w:lang w:val="es-ES"/>
              </w:rPr>
            </w:pPr>
            <w:r w:rsidRPr="004D4403">
              <w:rPr>
                <w:rFonts w:cs="Arial"/>
                <w:b/>
              </w:rPr>
              <w:t>Definiciones</w:t>
            </w:r>
          </w:p>
          <w:p w:rsidR="00DC569B" w:rsidRPr="00CD55AD" w:rsidRDefault="00DC569B" w:rsidP="006D5FBC">
            <w:pPr>
              <w:jc w:val="center"/>
              <w:rPr>
                <w:rFonts w:cs="Arial"/>
                <w:b/>
                <w:lang w:val="es-ES"/>
              </w:rPr>
            </w:pPr>
          </w:p>
          <w:p w:rsidR="00DC569B" w:rsidRPr="00CD55AD" w:rsidRDefault="00DC569B" w:rsidP="006D5FBC">
            <w:pPr>
              <w:rPr>
                <w:rFonts w:cs="Arial"/>
                <w:lang w:val="es-ES"/>
              </w:rPr>
            </w:pPr>
            <w:r w:rsidRPr="00EB1E2E">
              <w:rPr>
                <w:rFonts w:cs="Arial"/>
              </w:rPr>
              <w:t>Se entenderá por “Consejo Administrativo” aquel que se haya constituido en virtud del Acuerdo relativo a la creación de una Organización Regional Africana de la Propiedad Intelectual (ARIPO);</w:t>
            </w:r>
          </w:p>
          <w:p w:rsidR="00DC569B" w:rsidRPr="00CD55AD" w:rsidRDefault="00DC569B" w:rsidP="006D5FBC">
            <w:pPr>
              <w:rPr>
                <w:rFonts w:cs="Arial"/>
                <w:strike/>
                <w:lang w:val="es-ES"/>
              </w:rPr>
            </w:pPr>
          </w:p>
        </w:tc>
      </w:tr>
      <w:tr w:rsidR="00DC569B" w:rsidRPr="00CD55AD" w:rsidTr="006D5FBC">
        <w:trPr>
          <w:cantSplit/>
        </w:trPr>
        <w:tc>
          <w:tcPr>
            <w:tcW w:w="2159" w:type="dxa"/>
            <w:tcBorders>
              <w:top w:val="single" w:sz="4" w:space="0" w:color="auto"/>
              <w:left w:val="single" w:sz="4" w:space="0" w:color="auto"/>
              <w:bottom w:val="single" w:sz="4" w:space="0" w:color="auto"/>
              <w:right w:val="single" w:sz="4" w:space="0" w:color="auto"/>
            </w:tcBorders>
          </w:tcPr>
          <w:p w:rsidR="00DC569B" w:rsidRPr="007D3E31" w:rsidRDefault="00DC569B" w:rsidP="006D5FBC">
            <w:pPr>
              <w:rPr>
                <w:rFonts w:cs="Arial"/>
                <w:b/>
              </w:rPr>
            </w:pPr>
            <w:r w:rsidRPr="00EB1E2E">
              <w:rPr>
                <w:rFonts w:cs="Arial"/>
              </w:rPr>
              <w:t>“agente o representante”</w:t>
            </w: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rPr>
                <w:rFonts w:cs="Arial"/>
                <w:lang w:val="es-ES"/>
              </w:rPr>
            </w:pPr>
            <w:r w:rsidRPr="00EF67A1">
              <w:rPr>
                <w:rFonts w:cs="Arial"/>
              </w:rPr>
              <w:t>Se entenderá por “agente o representante” un representante legalmente reconocido y autorizado del obtentor o del titular del derecho de obtentor que resida o posea una oficina en el estado sede de la ARIPO o en alguno de los Estados Contratantes vinculados al presente Protocolo y haya sido autorizado mediante un poder especial para actuar en nombre del obtentor o del titular del derecho de obtentor;</w:t>
            </w: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rPr>
                <w:rFonts w:cs="Arial"/>
                <w:lang w:val="es-ES"/>
              </w:rPr>
            </w:pPr>
            <w:r w:rsidRPr="00EF67A1">
              <w:rPr>
                <w:rFonts w:cs="Arial"/>
              </w:rPr>
              <w:t>Se entenderá por “agente o representante” un representante legalmente reconocido y autorizado del obtentor o del titular del derecho de obtentor que resida en alguno de los Estados Contratantes vinculados al presente Protocolo y haya sido autorizado mediante un poder especial para actuar en nombre del obtentor o del titular del derecho de obtentor;</w:t>
            </w:r>
          </w:p>
        </w:tc>
      </w:tr>
      <w:tr w:rsidR="00DC569B" w:rsidRPr="007D3E31" w:rsidTr="006D5FBC">
        <w:trPr>
          <w:cantSplit/>
        </w:trPr>
        <w:tc>
          <w:tcPr>
            <w:tcW w:w="2159" w:type="dxa"/>
            <w:tcBorders>
              <w:top w:val="single" w:sz="4" w:space="0" w:color="auto"/>
              <w:left w:val="single" w:sz="4" w:space="0" w:color="auto"/>
              <w:bottom w:val="single" w:sz="4" w:space="0" w:color="auto"/>
              <w:right w:val="single" w:sz="4" w:space="0" w:color="auto"/>
            </w:tcBorders>
          </w:tcPr>
          <w:p w:rsidR="00DC569B" w:rsidRPr="007D3E31" w:rsidRDefault="00DC569B" w:rsidP="006D5FBC">
            <w:pPr>
              <w:rPr>
                <w:rFonts w:cs="Arial"/>
              </w:rPr>
            </w:pPr>
            <w:r w:rsidRPr="00EF67A1">
              <w:rPr>
                <w:rFonts w:cs="Arial"/>
              </w:rPr>
              <w:t>“tasas anuales”</w:t>
            </w:r>
            <w:r w:rsidRPr="007D3E31">
              <w:rPr>
                <w:rFonts w:cs="Arial"/>
                <w:lang w:val="en-GB"/>
              </w:rPr>
              <w:t xml:space="preserve"> </w:t>
            </w:r>
          </w:p>
          <w:p w:rsidR="00DC569B" w:rsidRPr="007D3E31" w:rsidRDefault="00DC569B" w:rsidP="006D5FBC">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rPr>
                <w:rFonts w:cs="Arial"/>
                <w:lang w:val="es-ES"/>
              </w:rPr>
            </w:pPr>
            <w:r w:rsidRPr="00EF67A1">
              <w:rPr>
                <w:rFonts w:cs="Arial"/>
              </w:rPr>
              <w:t>Se entenderá por “tasas anuales” las que el obtentor deberá abonar a la Oficina de la ARIPO para mantener su derecho en vigor;</w:t>
            </w:r>
          </w:p>
        </w:tc>
        <w:tc>
          <w:tcPr>
            <w:tcW w:w="3740" w:type="dxa"/>
            <w:tcBorders>
              <w:top w:val="single" w:sz="4" w:space="0" w:color="auto"/>
              <w:left w:val="single" w:sz="4" w:space="0" w:color="auto"/>
              <w:bottom w:val="single" w:sz="4" w:space="0" w:color="auto"/>
              <w:right w:val="single" w:sz="4" w:space="0" w:color="auto"/>
            </w:tcBorders>
          </w:tcPr>
          <w:p w:rsidR="00DC569B" w:rsidRPr="007D3E31" w:rsidRDefault="00DC569B" w:rsidP="006D5FBC">
            <w:pPr>
              <w:rPr>
                <w:rFonts w:cs="Arial"/>
                <w:b/>
                <w:i/>
                <w:lang w:val="en-GB"/>
              </w:rPr>
            </w:pPr>
            <w:r w:rsidRPr="00EF67A1">
              <w:rPr>
                <w:rFonts w:cs="Arial"/>
                <w:b/>
                <w:i/>
              </w:rPr>
              <w:t>Definición eliminada</w:t>
            </w:r>
          </w:p>
          <w:p w:rsidR="00DC569B" w:rsidRPr="007D3E31" w:rsidRDefault="00DC569B" w:rsidP="006D5FBC">
            <w:pPr>
              <w:rPr>
                <w:rFonts w:cs="Arial"/>
                <w:b/>
                <w:lang w:val="en-GB"/>
              </w:rPr>
            </w:pPr>
          </w:p>
        </w:tc>
      </w:tr>
      <w:tr w:rsidR="00DC569B" w:rsidRPr="00CD55AD" w:rsidTr="006D5FBC">
        <w:trPr>
          <w:cantSplit/>
        </w:trPr>
        <w:tc>
          <w:tcPr>
            <w:tcW w:w="2159" w:type="dxa"/>
            <w:tcBorders>
              <w:top w:val="single" w:sz="4" w:space="0" w:color="auto"/>
              <w:left w:val="single" w:sz="4" w:space="0" w:color="auto"/>
              <w:bottom w:val="single" w:sz="4" w:space="0" w:color="auto"/>
              <w:right w:val="single" w:sz="4" w:space="0" w:color="auto"/>
            </w:tcBorders>
          </w:tcPr>
          <w:p w:rsidR="00DC569B" w:rsidRPr="004D4403" w:rsidRDefault="00DC569B" w:rsidP="006D5FBC">
            <w:pPr>
              <w:rPr>
                <w:rFonts w:cs="Arial"/>
                <w:lang w:val="en-GB"/>
              </w:rPr>
            </w:pPr>
            <w:r w:rsidRPr="004D4403">
              <w:rPr>
                <w:rFonts w:cs="Arial"/>
                <w:lang w:val="en-GB"/>
              </w:rPr>
              <w:t>“ARIPO”</w:t>
            </w: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rPr>
                <w:rFonts w:cs="Arial"/>
                <w:lang w:val="es-ES"/>
              </w:rPr>
            </w:pPr>
            <w:r w:rsidRPr="00EF67A1">
              <w:rPr>
                <w:rFonts w:cs="Arial"/>
              </w:rPr>
              <w:t>Se entenderá por “ARIPO” la Organización Regional Africana de la Propiedad Intelectual, constituida en virtud del Acuerdo relativo a la Creación de una Organización Regional Africana de la Propiedad Intelectual (ARIPO), entonces denominada Organización de la propiedad industrial de los países angloparlantes de África, concertado en Lusaka (Zambia) el 9 de diciembre de 1976;</w:t>
            </w: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rPr>
                <w:rFonts w:cs="Arial"/>
                <w:lang w:val="es-ES"/>
              </w:rPr>
            </w:pPr>
            <w:r w:rsidRPr="00EF67A1">
              <w:rPr>
                <w:rFonts w:cs="Arial"/>
              </w:rPr>
              <w:t>Se entenderá por “ARIPO” la Organización Regional Africana de la Propiedad Intelectual, constituida en virtud del Acuerdo relativo a la Creación de una Organización Regional Africana de la Propiedad Intelectual (ARIPO), concertado en Lusaka (Zambia) el 9 de diciembre de 1976;</w:t>
            </w:r>
          </w:p>
        </w:tc>
      </w:tr>
      <w:tr w:rsidR="00DC569B" w:rsidRPr="00CD55AD" w:rsidTr="006D5FBC">
        <w:trPr>
          <w:cantSplit/>
        </w:trPr>
        <w:tc>
          <w:tcPr>
            <w:tcW w:w="2159" w:type="dxa"/>
            <w:tcBorders>
              <w:top w:val="single" w:sz="4" w:space="0" w:color="auto"/>
              <w:left w:val="single" w:sz="4" w:space="0" w:color="auto"/>
              <w:bottom w:val="single" w:sz="4" w:space="0" w:color="auto"/>
              <w:right w:val="single" w:sz="4" w:space="0" w:color="auto"/>
            </w:tcBorders>
          </w:tcPr>
          <w:p w:rsidR="00DC569B" w:rsidRPr="007D3E31" w:rsidRDefault="00DC569B" w:rsidP="006D5FBC">
            <w:pPr>
              <w:rPr>
                <w:rFonts w:cs="Arial"/>
                <w:lang w:val="en-GB"/>
              </w:rPr>
            </w:pPr>
            <w:r w:rsidRPr="00EF67A1">
              <w:rPr>
                <w:rFonts w:cs="Arial"/>
              </w:rPr>
              <w:t>“Oficina de la ARIPO”</w:t>
            </w:r>
            <w:r w:rsidRPr="007D3E31">
              <w:rPr>
                <w:rFonts w:cs="Arial"/>
                <w:lang w:val="en-GB"/>
              </w:rPr>
              <w:t xml:space="preserve"> </w:t>
            </w:r>
          </w:p>
          <w:p w:rsidR="00DC569B" w:rsidRPr="007D3E31" w:rsidRDefault="00DC569B" w:rsidP="006D5FBC">
            <w:pPr>
              <w:rPr>
                <w:rFonts w:cs="Arial"/>
                <w:lang w:val="en-GB"/>
              </w:rPr>
            </w:pPr>
          </w:p>
          <w:p w:rsidR="00DC569B" w:rsidRPr="007D3E31" w:rsidRDefault="00DC569B" w:rsidP="006D5FBC">
            <w:pPr>
              <w:rPr>
                <w:rFonts w:cs="Arial"/>
                <w:lang w:val="en-GB"/>
              </w:rPr>
            </w:pPr>
          </w:p>
          <w:p w:rsidR="00DC569B" w:rsidRPr="007D3E31" w:rsidRDefault="00DC569B" w:rsidP="006D5FBC">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rPr>
                <w:rFonts w:cs="Arial"/>
                <w:lang w:val="es-ES"/>
              </w:rPr>
            </w:pPr>
            <w:r w:rsidRPr="009A14C0">
              <w:rPr>
                <w:rFonts w:cs="Arial"/>
              </w:rPr>
              <w:t>Se entenderá por “Oficina de la ARIPO” la Oficina de la Organización Regional Africana de la Propiedad Intelectual;</w:t>
            </w: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rPr>
                <w:rFonts w:cs="Arial"/>
                <w:lang w:val="es-ES"/>
              </w:rPr>
            </w:pPr>
            <w:r w:rsidRPr="009A14C0">
              <w:rPr>
                <w:rFonts w:cs="Arial"/>
              </w:rPr>
              <w:t>Se entenderá por “Oficina de la ARIPO” la Secretaría de la Organización Regional Africana de la Propiedad Intelectual;</w:t>
            </w:r>
            <w:r w:rsidRPr="00CD55AD">
              <w:rPr>
                <w:rFonts w:cs="Arial"/>
                <w:lang w:val="es-ES"/>
              </w:rPr>
              <w:t xml:space="preserve"> </w:t>
            </w:r>
          </w:p>
        </w:tc>
      </w:tr>
      <w:tr w:rsidR="00DC569B" w:rsidRPr="00CD55AD" w:rsidTr="006D5FBC">
        <w:trPr>
          <w:cantSplit/>
        </w:trPr>
        <w:tc>
          <w:tcPr>
            <w:tcW w:w="2159"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widowControl w:val="0"/>
              <w:rPr>
                <w:rFonts w:cs="Arial"/>
                <w:lang w:val="es-ES"/>
              </w:rPr>
            </w:pPr>
            <w:r w:rsidRPr="009A14C0">
              <w:rPr>
                <w:rFonts w:cs="Arial"/>
              </w:rPr>
              <w:t>“titular del derecho de obtentor”</w:t>
            </w:r>
          </w:p>
          <w:p w:rsidR="00DC569B" w:rsidRPr="00CD55AD" w:rsidRDefault="00DC569B" w:rsidP="006D5FBC">
            <w:pPr>
              <w:widowControl w:val="0"/>
              <w:rPr>
                <w:rFonts w:cs="Arial"/>
                <w:lang w:val="es-ES"/>
              </w:rPr>
            </w:pPr>
          </w:p>
          <w:p w:rsidR="00DC569B" w:rsidRPr="00CD55AD" w:rsidRDefault="00DC569B" w:rsidP="006D5FBC">
            <w:pPr>
              <w:widowControl w:val="0"/>
              <w:rPr>
                <w:rFonts w:cs="Arial"/>
                <w:lang w:val="es-ES"/>
              </w:rPr>
            </w:pPr>
          </w:p>
          <w:p w:rsidR="00DC569B" w:rsidRPr="00CD55AD" w:rsidRDefault="00DC569B" w:rsidP="006D5FBC">
            <w:pPr>
              <w:rPr>
                <w:rFonts w:cs="Arial"/>
                <w:lang w:val="es-ES"/>
              </w:rPr>
            </w:pP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rPr>
                <w:rFonts w:cs="Arial"/>
                <w:lang w:val="es-ES"/>
              </w:rPr>
            </w:pPr>
            <w:r w:rsidRPr="009A14C0">
              <w:rPr>
                <w:rFonts w:cs="Arial"/>
              </w:rPr>
              <w:t>Se entenderá por “titular del derecho de obtentor”:</w:t>
            </w:r>
          </w:p>
          <w:p w:rsidR="00DC569B" w:rsidRPr="00CD55AD" w:rsidRDefault="00DC569B" w:rsidP="00DC569B">
            <w:pPr>
              <w:numPr>
                <w:ilvl w:val="0"/>
                <w:numId w:val="6"/>
              </w:numPr>
              <w:ind w:left="0" w:firstLine="0"/>
              <w:contextualSpacing/>
              <w:jc w:val="left"/>
              <w:rPr>
                <w:rFonts w:cs="Arial"/>
                <w:lang w:val="es-ES"/>
              </w:rPr>
            </w:pPr>
            <w:r w:rsidRPr="009A14C0">
              <w:rPr>
                <w:rFonts w:cs="Arial"/>
              </w:rPr>
              <w:t>la persona física o jurídica a cuyo nombre se ha expedido el certificado de derecho de obtentor;</w:t>
            </w:r>
            <w:r w:rsidRPr="00CD55AD">
              <w:rPr>
                <w:rFonts w:cs="Arial"/>
                <w:lang w:val="es-ES"/>
              </w:rPr>
              <w:t xml:space="preserve">  </w:t>
            </w:r>
            <w:r w:rsidRPr="004D4403">
              <w:rPr>
                <w:rFonts w:cs="Arial"/>
              </w:rPr>
              <w:t>o</w:t>
            </w: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rPr>
                <w:rFonts w:cs="Arial"/>
                <w:lang w:val="es-ES"/>
              </w:rPr>
            </w:pPr>
            <w:r w:rsidRPr="004D4403">
              <w:rPr>
                <w:rFonts w:cs="Arial"/>
              </w:rPr>
              <w:t>Se entenderá por “titular del derecho de obtentor”:</w:t>
            </w:r>
          </w:p>
          <w:p w:rsidR="00DC569B" w:rsidRPr="00CD55AD" w:rsidRDefault="00DC569B" w:rsidP="00DC569B">
            <w:pPr>
              <w:numPr>
                <w:ilvl w:val="0"/>
                <w:numId w:val="7"/>
              </w:numPr>
              <w:ind w:left="0" w:firstLine="0"/>
              <w:contextualSpacing/>
              <w:jc w:val="left"/>
              <w:rPr>
                <w:rFonts w:cs="Arial"/>
                <w:lang w:val="es-ES"/>
              </w:rPr>
            </w:pPr>
            <w:r w:rsidRPr="009A14C0">
              <w:rPr>
                <w:rFonts w:cs="Arial"/>
              </w:rPr>
              <w:t>la persona a cuyo nombre se ha expedido el certificado de derecho de obtentor;</w:t>
            </w:r>
            <w:r w:rsidRPr="00CD55AD">
              <w:rPr>
                <w:rFonts w:cs="Arial"/>
                <w:lang w:val="es-ES"/>
              </w:rPr>
              <w:t xml:space="preserve">  </w:t>
            </w:r>
            <w:r w:rsidRPr="004D4403">
              <w:rPr>
                <w:rFonts w:cs="Arial"/>
              </w:rPr>
              <w:t>o</w:t>
            </w:r>
          </w:p>
        </w:tc>
      </w:tr>
      <w:tr w:rsidR="00DC569B" w:rsidRPr="00CD55AD" w:rsidTr="006D5FBC">
        <w:trPr>
          <w:cantSplit/>
        </w:trPr>
        <w:tc>
          <w:tcPr>
            <w:tcW w:w="2159" w:type="dxa"/>
            <w:tcBorders>
              <w:top w:val="single" w:sz="4" w:space="0" w:color="auto"/>
              <w:left w:val="single" w:sz="4" w:space="0" w:color="auto"/>
              <w:bottom w:val="single" w:sz="4" w:space="0" w:color="auto"/>
              <w:right w:val="single" w:sz="4" w:space="0" w:color="auto"/>
            </w:tcBorders>
          </w:tcPr>
          <w:p w:rsidR="00DC569B" w:rsidRPr="007D3E31" w:rsidRDefault="00DC569B" w:rsidP="006D5FBC">
            <w:pPr>
              <w:rPr>
                <w:rFonts w:cs="Arial"/>
              </w:rPr>
            </w:pPr>
            <w:r w:rsidRPr="00374B96">
              <w:rPr>
                <w:rFonts w:cs="Arial"/>
              </w:rPr>
              <w:t>“persona”</w:t>
            </w:r>
            <w:r w:rsidRPr="007D3E31">
              <w:rPr>
                <w:rFonts w:cs="Arial"/>
              </w:rPr>
              <w:t xml:space="preserve"> </w:t>
            </w:r>
          </w:p>
          <w:p w:rsidR="00DC569B" w:rsidRPr="007D3E31" w:rsidRDefault="00DC569B" w:rsidP="006D5FBC">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DC569B" w:rsidRPr="007D3E31" w:rsidRDefault="00DC569B" w:rsidP="006D5FBC">
            <w:pPr>
              <w:rPr>
                <w:rFonts w:cs="Arial"/>
                <w:b/>
                <w:i/>
                <w:lang w:val="en-GB"/>
              </w:rPr>
            </w:pPr>
            <w:r w:rsidRPr="00374B96">
              <w:rPr>
                <w:rFonts w:cs="Arial"/>
                <w:b/>
                <w:i/>
              </w:rPr>
              <w:t>Definición nueva</w:t>
            </w: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rPr>
                <w:rFonts w:cs="Arial"/>
                <w:lang w:val="es-ES"/>
              </w:rPr>
            </w:pPr>
            <w:r w:rsidRPr="00374B96">
              <w:rPr>
                <w:rFonts w:cs="Arial"/>
              </w:rPr>
              <w:t>El término “persona” se entenderá referido a una persona física o jurídica;</w:t>
            </w:r>
          </w:p>
        </w:tc>
      </w:tr>
      <w:tr w:rsidR="00DC569B" w:rsidRPr="00CD55AD" w:rsidTr="006D5FBC">
        <w:trPr>
          <w:cantSplit/>
        </w:trPr>
        <w:tc>
          <w:tcPr>
            <w:tcW w:w="2159" w:type="dxa"/>
            <w:tcBorders>
              <w:top w:val="single" w:sz="4" w:space="0" w:color="auto"/>
              <w:left w:val="single" w:sz="4" w:space="0" w:color="auto"/>
              <w:bottom w:val="single" w:sz="4" w:space="0" w:color="auto"/>
              <w:right w:val="single" w:sz="4" w:space="0" w:color="auto"/>
            </w:tcBorders>
          </w:tcPr>
          <w:p w:rsidR="00DC569B" w:rsidRPr="007D3E31" w:rsidRDefault="00DC569B" w:rsidP="006D5FBC">
            <w:pPr>
              <w:jc w:val="center"/>
              <w:rPr>
                <w:rFonts w:cs="Arial"/>
                <w:b/>
              </w:rPr>
            </w:pPr>
            <w:r w:rsidRPr="004D4403">
              <w:rPr>
                <w:rFonts w:cs="Arial"/>
                <w:b/>
              </w:rPr>
              <w:t>Artículo 4</w:t>
            </w:r>
          </w:p>
          <w:p w:rsidR="00DC569B" w:rsidRPr="007D3E31" w:rsidRDefault="00DC569B" w:rsidP="006D5FBC">
            <w:pPr>
              <w:jc w:val="center"/>
              <w:rPr>
                <w:rFonts w:cs="Arial"/>
                <w:b/>
              </w:rPr>
            </w:pPr>
            <w:r w:rsidRPr="00374B96">
              <w:rPr>
                <w:rFonts w:cs="Arial"/>
                <w:b/>
              </w:rPr>
              <w:t>Administración</w:t>
            </w:r>
          </w:p>
          <w:p w:rsidR="00DC569B" w:rsidRPr="007D3E31" w:rsidRDefault="00DC569B" w:rsidP="006D5FBC">
            <w:pPr>
              <w:rPr>
                <w:rFonts w:cs="Arial"/>
                <w:lang w:val="en-GB"/>
              </w:rPr>
            </w:pPr>
          </w:p>
          <w:p w:rsidR="00DC569B" w:rsidRPr="007D3E31" w:rsidRDefault="00DC569B" w:rsidP="00DC569B">
            <w:pPr>
              <w:numPr>
                <w:ilvl w:val="0"/>
                <w:numId w:val="17"/>
              </w:numPr>
              <w:contextualSpacing/>
              <w:rPr>
                <w:rFonts w:cs="Arial"/>
              </w:rPr>
            </w:pPr>
          </w:p>
        </w:tc>
        <w:tc>
          <w:tcPr>
            <w:tcW w:w="3740" w:type="dxa"/>
            <w:tcBorders>
              <w:top w:val="single" w:sz="4" w:space="0" w:color="auto"/>
              <w:left w:val="single" w:sz="4" w:space="0" w:color="auto"/>
              <w:bottom w:val="single" w:sz="4" w:space="0" w:color="auto"/>
              <w:right w:val="single" w:sz="4" w:space="0" w:color="auto"/>
            </w:tcBorders>
          </w:tcPr>
          <w:p w:rsidR="00DC569B" w:rsidRPr="007D3E31" w:rsidRDefault="00DC569B" w:rsidP="006D5FBC">
            <w:pPr>
              <w:jc w:val="center"/>
              <w:rPr>
                <w:rFonts w:cs="Arial"/>
                <w:b/>
              </w:rPr>
            </w:pPr>
            <w:r w:rsidRPr="004D4403">
              <w:rPr>
                <w:rFonts w:cs="Arial"/>
                <w:b/>
              </w:rPr>
              <w:t>Artículo 4</w:t>
            </w:r>
          </w:p>
          <w:p w:rsidR="00DC569B" w:rsidRPr="007D3E31" w:rsidRDefault="00DC569B" w:rsidP="006D5FBC">
            <w:pPr>
              <w:jc w:val="center"/>
              <w:rPr>
                <w:rFonts w:cs="Arial"/>
                <w:b/>
              </w:rPr>
            </w:pPr>
            <w:r w:rsidRPr="004D4403">
              <w:rPr>
                <w:rFonts w:cs="Arial"/>
                <w:b/>
              </w:rPr>
              <w:t>Administración</w:t>
            </w:r>
          </w:p>
          <w:p w:rsidR="00DC569B" w:rsidRPr="007D3E31" w:rsidRDefault="00DC569B" w:rsidP="006D5FBC">
            <w:pPr>
              <w:rPr>
                <w:rFonts w:cs="Arial"/>
                <w:lang w:val="en-GB"/>
              </w:rPr>
            </w:pPr>
          </w:p>
          <w:p w:rsidR="00DC569B" w:rsidRPr="00CD55AD" w:rsidRDefault="00DC569B" w:rsidP="006D5FBC">
            <w:pPr>
              <w:contextualSpacing/>
              <w:rPr>
                <w:rFonts w:cs="Arial"/>
                <w:lang w:val="es-ES"/>
              </w:rPr>
            </w:pPr>
            <w:r w:rsidRPr="00374B96">
              <w:rPr>
                <w:rFonts w:cs="Arial"/>
              </w:rPr>
              <w:t>1) Los derechos de obtentor otorgados en virtud del presente Protocolo, a partir de una solicitud, serán válidos en todos los Estados Contratantes.</w:t>
            </w:r>
          </w:p>
          <w:p w:rsidR="00DC569B" w:rsidRPr="00CD55AD" w:rsidRDefault="00DC569B" w:rsidP="006D5FBC">
            <w:pPr>
              <w:rPr>
                <w:rFonts w:cs="Arial"/>
                <w:lang w:val="es-ES"/>
              </w:rPr>
            </w:pP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4</w:t>
            </w:r>
          </w:p>
          <w:p w:rsidR="00DC569B" w:rsidRPr="00CD55AD" w:rsidRDefault="00DC569B" w:rsidP="006D5FBC">
            <w:pPr>
              <w:jc w:val="center"/>
              <w:rPr>
                <w:rFonts w:cs="Arial"/>
                <w:b/>
                <w:lang w:val="es-ES"/>
              </w:rPr>
            </w:pPr>
            <w:r w:rsidRPr="004D4403">
              <w:rPr>
                <w:rFonts w:cs="Arial"/>
                <w:b/>
              </w:rPr>
              <w:t>Administración</w:t>
            </w:r>
          </w:p>
          <w:p w:rsidR="00DC569B" w:rsidRPr="00CD55AD" w:rsidRDefault="00DC569B" w:rsidP="006D5FBC">
            <w:pPr>
              <w:jc w:val="center"/>
              <w:rPr>
                <w:rFonts w:cs="Arial"/>
                <w:lang w:val="es-ES"/>
              </w:rPr>
            </w:pPr>
          </w:p>
          <w:p w:rsidR="00DC569B" w:rsidRPr="00CD55AD" w:rsidRDefault="00DC569B" w:rsidP="006D5FBC">
            <w:pPr>
              <w:rPr>
                <w:rFonts w:cs="Arial"/>
                <w:lang w:val="es-ES"/>
              </w:rPr>
            </w:pPr>
            <w:r w:rsidRPr="00374B96">
              <w:rPr>
                <w:rFonts w:cs="Arial"/>
              </w:rPr>
              <w:t>1) Un derecho de obtentor otorgado en virtud del presente Protocolo, a partir de una solicitud, gozará de protección en los Estados Contratantes designados, siempre y cuando el Estado Contratante designado no haya denegado su concesión.</w:t>
            </w:r>
          </w:p>
        </w:tc>
      </w:tr>
      <w:tr w:rsidR="00DC569B" w:rsidRPr="00CD55AD" w:rsidTr="006D5FBC">
        <w:trPr>
          <w:cantSplit/>
        </w:trPr>
        <w:tc>
          <w:tcPr>
            <w:tcW w:w="2159" w:type="dxa"/>
            <w:tcBorders>
              <w:top w:val="single" w:sz="4" w:space="0" w:color="auto"/>
              <w:left w:val="single" w:sz="4" w:space="0" w:color="auto"/>
              <w:bottom w:val="single" w:sz="4" w:space="0" w:color="auto"/>
              <w:right w:val="single" w:sz="4" w:space="0" w:color="auto"/>
            </w:tcBorders>
          </w:tcPr>
          <w:p w:rsidR="00DC569B" w:rsidRPr="007D3E31" w:rsidRDefault="00DC569B" w:rsidP="006D5FBC">
            <w:pPr>
              <w:jc w:val="center"/>
              <w:rPr>
                <w:rFonts w:cs="Arial"/>
                <w:b/>
              </w:rPr>
            </w:pPr>
            <w:r w:rsidRPr="00374B96">
              <w:rPr>
                <w:rFonts w:cs="Arial"/>
                <w:b/>
              </w:rPr>
              <w:t>CAPÍTULO III</w:t>
            </w: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bCs/>
                <w:caps/>
                <w:lang w:val="es-ES"/>
              </w:rPr>
            </w:pPr>
            <w:r w:rsidRPr="004D4403">
              <w:rPr>
                <w:rFonts w:cs="Arial"/>
                <w:b/>
                <w:bCs/>
                <w:caps/>
              </w:rPr>
              <w:t>CAPÍTULO III</w:t>
            </w:r>
          </w:p>
          <w:p w:rsidR="00DC569B" w:rsidRPr="00CD55AD" w:rsidRDefault="00DC569B" w:rsidP="006D5FBC">
            <w:pPr>
              <w:jc w:val="center"/>
              <w:rPr>
                <w:rFonts w:cs="Arial"/>
                <w:b/>
                <w:bCs/>
                <w:caps/>
                <w:lang w:val="es-ES"/>
              </w:rPr>
            </w:pPr>
            <w:r w:rsidRPr="00CD55AD">
              <w:rPr>
                <w:rFonts w:cs="Arial"/>
                <w:b/>
                <w:bCs/>
                <w:caps/>
                <w:lang w:val="es-ES"/>
              </w:rPr>
              <w:br/>
            </w:r>
            <w:r w:rsidRPr="00374B96">
              <w:rPr>
                <w:rFonts w:cs="Arial"/>
                <w:b/>
                <w:bCs/>
              </w:rPr>
              <w:t>CONDICIONES</w:t>
            </w:r>
            <w:r w:rsidRPr="00374B96">
              <w:rPr>
                <w:rFonts w:cs="Arial"/>
                <w:b/>
                <w:bCs/>
                <w:caps/>
              </w:rPr>
              <w:t xml:space="preserve"> DE CONCESIÓN DEL DERECHO DE OBTENTOR</w:t>
            </w: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bCs/>
                <w:caps/>
                <w:lang w:val="es-ES"/>
              </w:rPr>
            </w:pPr>
            <w:r w:rsidRPr="004D4403">
              <w:rPr>
                <w:rFonts w:cs="Arial"/>
                <w:b/>
                <w:bCs/>
                <w:caps/>
              </w:rPr>
              <w:t>CAPÍTULO III</w:t>
            </w:r>
          </w:p>
          <w:p w:rsidR="00DC569B" w:rsidRPr="00CD55AD" w:rsidRDefault="00DC569B" w:rsidP="006D5FBC">
            <w:pPr>
              <w:jc w:val="center"/>
              <w:rPr>
                <w:rFonts w:cs="Arial"/>
                <w:lang w:val="es-ES"/>
              </w:rPr>
            </w:pPr>
            <w:r w:rsidRPr="00CD55AD">
              <w:rPr>
                <w:rFonts w:cs="Arial"/>
                <w:b/>
                <w:bCs/>
                <w:caps/>
                <w:lang w:val="es-ES"/>
              </w:rPr>
              <w:br/>
            </w:r>
            <w:r w:rsidRPr="00374B96">
              <w:rPr>
                <w:rFonts w:cs="Arial"/>
                <w:b/>
                <w:bCs/>
                <w:caps/>
              </w:rPr>
              <w:t>CONDICIONES PARA LA CONCESIÓN DEL DERECHO DE OBTENTOR</w:t>
            </w:r>
          </w:p>
        </w:tc>
      </w:tr>
      <w:tr w:rsidR="00DC569B" w:rsidRPr="00CD55AD" w:rsidTr="006D5FBC">
        <w:trPr>
          <w:cantSplit/>
        </w:trPr>
        <w:tc>
          <w:tcPr>
            <w:tcW w:w="2159" w:type="dxa"/>
            <w:tcBorders>
              <w:top w:val="single" w:sz="4" w:space="0" w:color="auto"/>
              <w:left w:val="single" w:sz="4" w:space="0" w:color="auto"/>
              <w:bottom w:val="single" w:sz="4" w:space="0" w:color="auto"/>
              <w:right w:val="single" w:sz="4" w:space="0" w:color="auto"/>
            </w:tcBorders>
          </w:tcPr>
          <w:p w:rsidR="00DC569B" w:rsidRPr="007D3E31" w:rsidRDefault="00DC569B" w:rsidP="006D5FBC">
            <w:pPr>
              <w:widowControl w:val="0"/>
              <w:tabs>
                <w:tab w:val="left" w:pos="-31680"/>
              </w:tabs>
              <w:jc w:val="center"/>
              <w:rPr>
                <w:rFonts w:cs="Arial"/>
                <w:b/>
              </w:rPr>
            </w:pPr>
            <w:r w:rsidRPr="004D4403">
              <w:rPr>
                <w:rFonts w:cs="Arial"/>
                <w:b/>
              </w:rPr>
              <w:t>Artículo 7</w:t>
            </w:r>
          </w:p>
          <w:p w:rsidR="00DC569B" w:rsidRPr="007D3E31" w:rsidRDefault="00DC569B" w:rsidP="006D5FBC">
            <w:pPr>
              <w:jc w:val="center"/>
              <w:rPr>
                <w:rFonts w:cs="Arial"/>
                <w:b/>
              </w:rPr>
            </w:pPr>
            <w:r w:rsidRPr="004D4403">
              <w:rPr>
                <w:rFonts w:cs="Arial"/>
                <w:b/>
              </w:rPr>
              <w:t>Novedad</w:t>
            </w:r>
          </w:p>
          <w:p w:rsidR="00DC569B" w:rsidRPr="007D3E31" w:rsidRDefault="00DC569B" w:rsidP="006D5FBC">
            <w:pPr>
              <w:jc w:val="center"/>
              <w:rPr>
                <w:rFonts w:cs="Arial"/>
                <w:lang w:val="en-GB"/>
              </w:rPr>
            </w:pPr>
          </w:p>
          <w:p w:rsidR="00DC569B" w:rsidRPr="007D3E31" w:rsidRDefault="00DC569B" w:rsidP="006D5FBC">
            <w:pPr>
              <w:rPr>
                <w:rFonts w:cs="Arial"/>
              </w:rPr>
            </w:pPr>
            <w:r w:rsidRPr="007D3E31">
              <w:rPr>
                <w:rFonts w:cs="Arial"/>
                <w:lang w:val="en-GB"/>
              </w:rPr>
              <w:t xml:space="preserve">3) </w:t>
            </w: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widowControl w:val="0"/>
              <w:tabs>
                <w:tab w:val="left" w:pos="-31680"/>
              </w:tabs>
              <w:jc w:val="center"/>
              <w:rPr>
                <w:rFonts w:cs="Arial"/>
                <w:b/>
                <w:lang w:val="es-ES"/>
              </w:rPr>
            </w:pPr>
            <w:r w:rsidRPr="004D4403">
              <w:rPr>
                <w:rFonts w:cs="Arial"/>
                <w:b/>
              </w:rPr>
              <w:t>Artículo 7</w:t>
            </w:r>
          </w:p>
          <w:p w:rsidR="00DC569B" w:rsidRPr="00CD55AD" w:rsidRDefault="00DC569B" w:rsidP="006D5FBC">
            <w:pPr>
              <w:jc w:val="center"/>
              <w:rPr>
                <w:rFonts w:cs="Arial"/>
                <w:b/>
                <w:lang w:val="es-ES"/>
              </w:rPr>
            </w:pPr>
            <w:r w:rsidRPr="004D4403">
              <w:rPr>
                <w:rFonts w:cs="Arial"/>
                <w:b/>
              </w:rPr>
              <w:t>Novedad</w:t>
            </w:r>
          </w:p>
          <w:p w:rsidR="00DC569B" w:rsidRPr="00CD55AD" w:rsidRDefault="00DC569B" w:rsidP="006D5FBC">
            <w:pPr>
              <w:jc w:val="center"/>
              <w:rPr>
                <w:rFonts w:cs="Arial"/>
                <w:lang w:val="es-ES"/>
              </w:rPr>
            </w:pPr>
          </w:p>
          <w:p w:rsidR="00DC569B" w:rsidRPr="00CD55AD" w:rsidRDefault="00DC569B" w:rsidP="006D5FBC">
            <w:pPr>
              <w:rPr>
                <w:rFonts w:cs="Arial"/>
                <w:lang w:val="es-ES"/>
              </w:rPr>
            </w:pPr>
            <w:r w:rsidRPr="00374B96">
              <w:rPr>
                <w:rFonts w:cs="Arial"/>
              </w:rPr>
              <w:t>3) El párrafo 2) solo se aplicará a las solicitudes de derechos de obtentor presentadas en el plazo de un año a partir de la aplicación de las disposiciones del presente Protocolo a los géneros o especies en cuestión.</w:t>
            </w: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widowControl w:val="0"/>
              <w:tabs>
                <w:tab w:val="left" w:pos="-31680"/>
              </w:tabs>
              <w:jc w:val="center"/>
              <w:rPr>
                <w:rFonts w:cs="Arial"/>
                <w:b/>
                <w:lang w:val="es-ES"/>
              </w:rPr>
            </w:pPr>
            <w:r w:rsidRPr="004D4403">
              <w:rPr>
                <w:rFonts w:cs="Arial"/>
                <w:b/>
              </w:rPr>
              <w:t>Artículo 7</w:t>
            </w:r>
          </w:p>
          <w:p w:rsidR="00DC569B" w:rsidRPr="00CD55AD" w:rsidRDefault="00DC569B" w:rsidP="006D5FBC">
            <w:pPr>
              <w:jc w:val="center"/>
              <w:rPr>
                <w:rFonts w:cs="Arial"/>
                <w:b/>
                <w:lang w:val="es-ES"/>
              </w:rPr>
            </w:pPr>
            <w:r w:rsidRPr="004D4403">
              <w:rPr>
                <w:rFonts w:cs="Arial"/>
                <w:b/>
              </w:rPr>
              <w:t>Novedad</w:t>
            </w:r>
          </w:p>
          <w:p w:rsidR="00DC569B" w:rsidRPr="00CD55AD" w:rsidRDefault="00DC569B" w:rsidP="006D5FBC">
            <w:pPr>
              <w:jc w:val="center"/>
              <w:rPr>
                <w:rFonts w:cs="Arial"/>
                <w:lang w:val="es-ES"/>
              </w:rPr>
            </w:pPr>
          </w:p>
          <w:p w:rsidR="00DC569B" w:rsidRPr="00CD55AD" w:rsidRDefault="00DC569B" w:rsidP="006D5FBC">
            <w:pPr>
              <w:rPr>
                <w:rFonts w:cs="Arial"/>
                <w:lang w:val="es-ES"/>
              </w:rPr>
            </w:pPr>
            <w:r w:rsidRPr="00374B96">
              <w:rPr>
                <w:rFonts w:cs="Arial"/>
              </w:rPr>
              <w:t>3) El párrafo 2) solo se aplicará a las solicitudes de derechos de obtentor presentadas en el plazo de dos años a partir de la aplicación de las disposiciones del presente Protocolo a los géneros o especies en cuestión.</w:t>
            </w:r>
          </w:p>
        </w:tc>
      </w:tr>
      <w:tr w:rsidR="00DC569B" w:rsidRPr="00CD55AD" w:rsidTr="006D5FBC">
        <w:trPr>
          <w:cantSplit/>
        </w:trPr>
        <w:tc>
          <w:tcPr>
            <w:tcW w:w="2159"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11</w:t>
            </w:r>
            <w:r w:rsidRPr="00CD55AD">
              <w:rPr>
                <w:rFonts w:cs="Arial"/>
                <w:b/>
                <w:lang w:val="es-ES"/>
              </w:rPr>
              <w:t xml:space="preserve"> </w:t>
            </w:r>
          </w:p>
          <w:p w:rsidR="00DC569B" w:rsidRPr="00CD55AD" w:rsidRDefault="00DC569B" w:rsidP="006D5FBC">
            <w:pPr>
              <w:jc w:val="center"/>
              <w:rPr>
                <w:rFonts w:cs="Arial"/>
                <w:b/>
                <w:lang w:val="es-ES"/>
              </w:rPr>
            </w:pPr>
            <w:r w:rsidRPr="00CD55AD">
              <w:rPr>
                <w:rFonts w:cs="Arial"/>
                <w:b/>
                <w:lang w:val="es-ES"/>
              </w:rPr>
              <w:br/>
            </w:r>
            <w:r w:rsidRPr="00374B96">
              <w:rPr>
                <w:rFonts w:cs="Arial"/>
                <w:b/>
              </w:rPr>
              <w:t>Personas facultadas para solicitar protección</w:t>
            </w:r>
          </w:p>
          <w:p w:rsidR="00DC569B" w:rsidRPr="00CD55AD" w:rsidRDefault="00DC569B" w:rsidP="006D5FBC">
            <w:pPr>
              <w:rPr>
                <w:rFonts w:cs="Arial"/>
                <w:b/>
                <w:lang w:val="es-ES"/>
              </w:rPr>
            </w:pPr>
          </w:p>
          <w:p w:rsidR="00DC569B" w:rsidRPr="007D3E31" w:rsidRDefault="00DC569B" w:rsidP="006D5FBC">
            <w:pPr>
              <w:rPr>
                <w:rFonts w:cs="Arial"/>
              </w:rPr>
            </w:pPr>
            <w:r w:rsidRPr="007D3E31">
              <w:rPr>
                <w:rFonts w:cs="Arial"/>
              </w:rPr>
              <w:t>2)</w:t>
            </w:r>
          </w:p>
          <w:p w:rsidR="00DC569B" w:rsidRPr="007D3E31" w:rsidRDefault="00DC569B" w:rsidP="006D5FBC">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11</w:t>
            </w:r>
            <w:r w:rsidRPr="00CD55AD">
              <w:rPr>
                <w:rFonts w:cs="Arial"/>
                <w:b/>
                <w:lang w:val="es-ES"/>
              </w:rPr>
              <w:t xml:space="preserve"> </w:t>
            </w:r>
          </w:p>
          <w:p w:rsidR="00DC569B" w:rsidRPr="00CD55AD" w:rsidRDefault="00DC569B" w:rsidP="006D5FBC">
            <w:pPr>
              <w:jc w:val="center"/>
              <w:rPr>
                <w:rFonts w:cs="Arial"/>
                <w:b/>
                <w:lang w:val="es-ES"/>
              </w:rPr>
            </w:pPr>
            <w:r w:rsidRPr="00CD55AD">
              <w:rPr>
                <w:rFonts w:cs="Arial"/>
                <w:b/>
                <w:lang w:val="es-ES"/>
              </w:rPr>
              <w:br/>
            </w:r>
            <w:r w:rsidRPr="004D4403">
              <w:rPr>
                <w:rFonts w:cs="Arial"/>
                <w:b/>
              </w:rPr>
              <w:t>Personas facultadas para solicitar protección</w:t>
            </w:r>
          </w:p>
          <w:p w:rsidR="00DC569B" w:rsidRPr="00CD55AD" w:rsidRDefault="00DC569B" w:rsidP="006D5FBC">
            <w:pPr>
              <w:rPr>
                <w:rFonts w:cs="Arial"/>
                <w:b/>
                <w:lang w:val="es-ES"/>
              </w:rPr>
            </w:pPr>
          </w:p>
          <w:p w:rsidR="00DC569B" w:rsidRPr="00CD55AD" w:rsidRDefault="00DC569B" w:rsidP="006D5FBC">
            <w:pPr>
              <w:rPr>
                <w:rFonts w:cs="Arial"/>
                <w:lang w:val="es-ES"/>
              </w:rPr>
            </w:pPr>
            <w:r w:rsidRPr="00374B96">
              <w:rPr>
                <w:rFonts w:cs="Arial"/>
              </w:rPr>
              <w:t>2) Una solicitud, presentada de conformidad con el párrafo 1) por un obtentor que no resida en alguno de los Estados Contratantes, se remitirá solamente por medio de un agente que resida en alguno de los Estados Contratantes o en el estado sede de la ARIPO.</w:t>
            </w: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widowControl w:val="0"/>
              <w:tabs>
                <w:tab w:val="left" w:pos="-31680"/>
              </w:tabs>
              <w:jc w:val="center"/>
              <w:rPr>
                <w:rFonts w:cs="Arial"/>
                <w:b/>
                <w:lang w:val="es-ES"/>
              </w:rPr>
            </w:pPr>
            <w:r w:rsidRPr="004D4403">
              <w:rPr>
                <w:rFonts w:cs="Arial"/>
                <w:b/>
              </w:rPr>
              <w:t>Artículo 11</w:t>
            </w:r>
            <w:r w:rsidRPr="00CD55AD">
              <w:rPr>
                <w:rFonts w:cs="Arial"/>
                <w:b/>
                <w:lang w:val="es-ES"/>
              </w:rPr>
              <w:t xml:space="preserve"> </w:t>
            </w:r>
          </w:p>
          <w:p w:rsidR="00DC569B" w:rsidRPr="00CD55AD" w:rsidRDefault="00DC569B" w:rsidP="006D5FBC">
            <w:pPr>
              <w:widowControl w:val="0"/>
              <w:tabs>
                <w:tab w:val="left" w:pos="-31680"/>
              </w:tabs>
              <w:jc w:val="center"/>
              <w:rPr>
                <w:rFonts w:cs="Arial"/>
                <w:b/>
                <w:lang w:val="es-ES"/>
              </w:rPr>
            </w:pPr>
            <w:r w:rsidRPr="00CD55AD">
              <w:rPr>
                <w:rFonts w:cs="Arial"/>
                <w:b/>
                <w:lang w:val="es-ES"/>
              </w:rPr>
              <w:br/>
            </w:r>
            <w:r w:rsidRPr="004D4403">
              <w:rPr>
                <w:rFonts w:cs="Arial"/>
                <w:b/>
              </w:rPr>
              <w:t>Personas facultadas para solicitar protección</w:t>
            </w:r>
          </w:p>
          <w:p w:rsidR="00DC569B" w:rsidRPr="00CD55AD" w:rsidRDefault="00DC569B" w:rsidP="006D5FBC">
            <w:pPr>
              <w:widowControl w:val="0"/>
              <w:tabs>
                <w:tab w:val="left" w:pos="-31680"/>
              </w:tabs>
              <w:jc w:val="center"/>
              <w:rPr>
                <w:rFonts w:cs="Arial"/>
                <w:b/>
                <w:lang w:val="es-ES"/>
              </w:rPr>
            </w:pPr>
          </w:p>
          <w:p w:rsidR="00DC569B" w:rsidRPr="00CD55AD" w:rsidRDefault="00DC569B" w:rsidP="006D5FBC">
            <w:pPr>
              <w:widowControl w:val="0"/>
              <w:tabs>
                <w:tab w:val="left" w:pos="-31680"/>
              </w:tabs>
              <w:rPr>
                <w:rFonts w:cs="Arial"/>
                <w:b/>
                <w:lang w:val="es-ES"/>
              </w:rPr>
            </w:pPr>
            <w:r w:rsidRPr="00374B96">
              <w:rPr>
                <w:rFonts w:cs="Arial"/>
              </w:rPr>
              <w:t>2) Una solicitud presentada por un obtentor que no resida en alguno de los Estados Contratantes se remitirá solamente por medio de un agente que resida en alguno de los Estados Contratantes.</w:t>
            </w:r>
          </w:p>
          <w:p w:rsidR="00DC569B" w:rsidRPr="00CD55AD" w:rsidRDefault="00DC569B" w:rsidP="006D5FBC">
            <w:pPr>
              <w:rPr>
                <w:rFonts w:cs="Arial"/>
                <w:lang w:val="es-ES"/>
              </w:rPr>
            </w:pPr>
          </w:p>
        </w:tc>
      </w:tr>
      <w:tr w:rsidR="00DC569B" w:rsidRPr="00CD55AD" w:rsidTr="006D5FBC">
        <w:trPr>
          <w:cantSplit/>
        </w:trPr>
        <w:tc>
          <w:tcPr>
            <w:tcW w:w="2159"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18</w:t>
            </w:r>
          </w:p>
          <w:p w:rsidR="00DC569B" w:rsidRPr="00CD55AD" w:rsidRDefault="00DC569B" w:rsidP="006D5FBC">
            <w:pPr>
              <w:jc w:val="center"/>
              <w:rPr>
                <w:rFonts w:cs="Arial"/>
                <w:b/>
                <w:lang w:val="es-ES"/>
              </w:rPr>
            </w:pPr>
          </w:p>
          <w:p w:rsidR="00DC569B" w:rsidRPr="00CD55AD" w:rsidRDefault="00DC569B" w:rsidP="006D5FBC">
            <w:pPr>
              <w:jc w:val="center"/>
              <w:rPr>
                <w:rFonts w:cs="Arial"/>
                <w:b/>
                <w:lang w:val="es-ES"/>
              </w:rPr>
            </w:pPr>
            <w:r w:rsidRPr="00374B96">
              <w:rPr>
                <w:rFonts w:cs="Arial"/>
                <w:b/>
              </w:rPr>
              <w:t>Examen de la distinción, la homogeneidad y la estabilidad</w:t>
            </w:r>
          </w:p>
          <w:p w:rsidR="00DC569B" w:rsidRPr="00CD55AD" w:rsidRDefault="00DC569B" w:rsidP="006D5FBC">
            <w:pPr>
              <w:jc w:val="center"/>
              <w:rPr>
                <w:rFonts w:cs="Arial"/>
                <w:lang w:val="es-ES"/>
              </w:rPr>
            </w:pPr>
          </w:p>
          <w:p w:rsidR="00DC569B" w:rsidRPr="00CD55AD" w:rsidRDefault="00DC569B" w:rsidP="006D5FBC">
            <w:pPr>
              <w:jc w:val="center"/>
              <w:rPr>
                <w:rFonts w:cs="Arial"/>
                <w:lang w:val="es-ES"/>
              </w:rPr>
            </w:pPr>
          </w:p>
          <w:p w:rsidR="00DC569B" w:rsidRPr="007D3E31" w:rsidRDefault="00DC569B" w:rsidP="006D5FBC">
            <w:pPr>
              <w:rPr>
                <w:rFonts w:cs="Arial"/>
              </w:rPr>
            </w:pPr>
            <w:r w:rsidRPr="007D3E31">
              <w:rPr>
                <w:rFonts w:cs="Arial"/>
                <w:lang w:val="en-GB"/>
              </w:rPr>
              <w:t>1)</w:t>
            </w: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18</w:t>
            </w:r>
          </w:p>
          <w:p w:rsidR="00DC569B" w:rsidRPr="00CD55AD" w:rsidRDefault="00DC569B" w:rsidP="006D5FBC">
            <w:pPr>
              <w:jc w:val="center"/>
              <w:rPr>
                <w:rFonts w:cs="Arial"/>
                <w:b/>
                <w:lang w:val="es-ES"/>
              </w:rPr>
            </w:pPr>
          </w:p>
          <w:p w:rsidR="00DC569B" w:rsidRPr="00CD55AD" w:rsidRDefault="00DC569B" w:rsidP="006D5FBC">
            <w:pPr>
              <w:jc w:val="center"/>
              <w:rPr>
                <w:rFonts w:cs="Arial"/>
                <w:b/>
                <w:lang w:val="es-ES"/>
              </w:rPr>
            </w:pPr>
            <w:r w:rsidRPr="004D4403">
              <w:rPr>
                <w:rFonts w:cs="Arial"/>
                <w:b/>
              </w:rPr>
              <w:t>Examen de la distinción, la homogeneidad y la estabilidad</w:t>
            </w:r>
          </w:p>
          <w:p w:rsidR="00DC569B" w:rsidRPr="00CD55AD" w:rsidRDefault="00DC569B" w:rsidP="006D5FBC">
            <w:pPr>
              <w:rPr>
                <w:rFonts w:cs="Arial"/>
                <w:lang w:val="es-ES"/>
              </w:rPr>
            </w:pPr>
          </w:p>
          <w:p w:rsidR="00DC569B" w:rsidRPr="00CD55AD" w:rsidRDefault="00DC569B" w:rsidP="006D5FBC">
            <w:pPr>
              <w:widowControl w:val="0"/>
              <w:tabs>
                <w:tab w:val="left" w:pos="53"/>
              </w:tabs>
              <w:rPr>
                <w:rFonts w:cs="Arial"/>
                <w:lang w:val="es-ES"/>
              </w:rPr>
            </w:pPr>
            <w:r w:rsidRPr="00CD55AD">
              <w:rPr>
                <w:rFonts w:cs="Arial"/>
                <w:lang w:val="es-ES"/>
              </w:rPr>
              <w:t>1)</w:t>
            </w:r>
            <w:r w:rsidRPr="00CD55AD">
              <w:rPr>
                <w:rFonts w:cs="Arial"/>
                <w:lang w:val="es-ES"/>
              </w:rPr>
              <w:tab/>
            </w:r>
            <w:r w:rsidRPr="00374B96">
              <w:rPr>
                <w:rFonts w:cs="Arial"/>
              </w:rPr>
              <w:t>De conformidad con el Artículo 17.1)d), la Oficina de la ARIPO podrá, a los fines del examen y con objeto de velar por el cumplimiento de las condiciones establecidas en los Artículos 8, 9 y 10:</w:t>
            </w:r>
          </w:p>
          <w:p w:rsidR="00DC569B" w:rsidRPr="00CD55AD" w:rsidRDefault="00DC569B" w:rsidP="006D5FBC">
            <w:pPr>
              <w:widowControl w:val="0"/>
              <w:tabs>
                <w:tab w:val="left" w:pos="-31680"/>
              </w:tabs>
              <w:rPr>
                <w:rFonts w:cs="Arial"/>
                <w:lang w:val="es-ES"/>
              </w:rPr>
            </w:pPr>
          </w:p>
          <w:p w:rsidR="00DC569B" w:rsidRPr="00CD55AD" w:rsidRDefault="00DC569B" w:rsidP="006D5FBC">
            <w:pPr>
              <w:widowControl w:val="0"/>
              <w:tabs>
                <w:tab w:val="left" w:pos="-31680"/>
              </w:tabs>
              <w:rPr>
                <w:rFonts w:cs="Arial"/>
                <w:lang w:val="es-ES"/>
              </w:rPr>
            </w:pPr>
            <w:r w:rsidRPr="00CD55AD">
              <w:rPr>
                <w:rFonts w:cs="Arial"/>
                <w:lang w:val="es-ES"/>
              </w:rPr>
              <w:t>a)</w:t>
            </w:r>
            <w:r w:rsidRPr="00CD55AD">
              <w:rPr>
                <w:rFonts w:cs="Arial"/>
                <w:lang w:val="es-ES"/>
              </w:rPr>
              <w:tab/>
            </w:r>
            <w:r w:rsidRPr="00374B96">
              <w:rPr>
                <w:rFonts w:cs="Arial"/>
              </w:rPr>
              <w:t>disponer lo necesario para que el examen lo efectúe una institución competente de un Estado Contratante o de algún miembro de una organización intergubernamental que proporciona un sistema eficaz de protección de las obtenciones vegetales;</w:t>
            </w:r>
            <w:r>
              <w:rPr>
                <w:rFonts w:cs="Arial"/>
              </w:rPr>
              <w:t xml:space="preserve"> </w:t>
            </w:r>
            <w:r w:rsidRPr="00CD55AD">
              <w:rPr>
                <w:rFonts w:cs="Arial"/>
                <w:lang w:val="es-ES"/>
              </w:rPr>
              <w:t xml:space="preserve"> </w:t>
            </w:r>
            <w:r w:rsidRPr="004D4403">
              <w:rPr>
                <w:rFonts w:cs="Arial"/>
              </w:rPr>
              <w:t>o</w:t>
            </w:r>
          </w:p>
          <w:p w:rsidR="00DC569B" w:rsidRPr="00CD55AD" w:rsidRDefault="00DC569B" w:rsidP="006D5FBC">
            <w:pPr>
              <w:widowControl w:val="0"/>
              <w:tabs>
                <w:tab w:val="left" w:pos="-31680"/>
              </w:tabs>
              <w:rPr>
                <w:rFonts w:cs="Arial"/>
                <w:lang w:val="es-ES"/>
              </w:rPr>
            </w:pPr>
          </w:p>
          <w:p w:rsidR="00DC569B" w:rsidRPr="00CD55AD" w:rsidRDefault="00DC569B" w:rsidP="006D5FBC">
            <w:pPr>
              <w:widowControl w:val="0"/>
              <w:tabs>
                <w:tab w:val="left" w:pos="-31680"/>
              </w:tabs>
              <w:rPr>
                <w:rFonts w:cs="Arial"/>
                <w:lang w:val="es-ES"/>
              </w:rPr>
            </w:pPr>
            <w:r w:rsidRPr="00CD55AD">
              <w:rPr>
                <w:rFonts w:cs="Arial"/>
                <w:lang w:val="es-ES"/>
              </w:rPr>
              <w:t>b)</w:t>
            </w:r>
            <w:r w:rsidRPr="00CD55AD">
              <w:rPr>
                <w:rFonts w:cs="Arial"/>
                <w:lang w:val="es-ES"/>
              </w:rPr>
              <w:tab/>
            </w:r>
            <w:r w:rsidRPr="00374B96">
              <w:rPr>
                <w:rFonts w:cs="Arial"/>
              </w:rPr>
              <w:t>tener en cuenta los resultados de ensayos ya efectuados por el Estado Contratante o por algún miembro de una organización intergubernamental que proporciona un sistema eficaz de protección de las obtenciones vegetales.</w:t>
            </w:r>
          </w:p>
          <w:p w:rsidR="00DC569B" w:rsidRPr="00CD55AD" w:rsidRDefault="00DC569B" w:rsidP="006D5FBC">
            <w:pPr>
              <w:widowControl w:val="0"/>
              <w:rPr>
                <w:rFonts w:cs="Arial"/>
                <w:lang w:val="es-ES"/>
              </w:rPr>
            </w:pP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18</w:t>
            </w:r>
          </w:p>
          <w:p w:rsidR="00DC569B" w:rsidRPr="00CD55AD" w:rsidRDefault="00DC569B" w:rsidP="006D5FBC">
            <w:pPr>
              <w:jc w:val="center"/>
              <w:rPr>
                <w:rFonts w:cs="Arial"/>
                <w:b/>
                <w:lang w:val="es-ES"/>
              </w:rPr>
            </w:pPr>
          </w:p>
          <w:p w:rsidR="00DC569B" w:rsidRPr="00CD55AD" w:rsidRDefault="00DC569B" w:rsidP="006D5FBC">
            <w:pPr>
              <w:jc w:val="center"/>
              <w:rPr>
                <w:rFonts w:cs="Arial"/>
                <w:lang w:val="es-ES"/>
              </w:rPr>
            </w:pPr>
            <w:r w:rsidRPr="004D4403">
              <w:rPr>
                <w:rFonts w:cs="Arial"/>
                <w:b/>
              </w:rPr>
              <w:t>Examen de la distinción, la homogeneidad y la estabilidad</w:t>
            </w:r>
          </w:p>
          <w:p w:rsidR="00DC569B" w:rsidRPr="00CD55AD" w:rsidRDefault="00DC569B" w:rsidP="006D5FBC">
            <w:pPr>
              <w:rPr>
                <w:rFonts w:cs="Arial"/>
                <w:lang w:val="es-ES"/>
              </w:rPr>
            </w:pPr>
          </w:p>
          <w:p w:rsidR="00DC569B" w:rsidRPr="00CD55AD" w:rsidRDefault="00DC569B" w:rsidP="006D5FBC">
            <w:pPr>
              <w:widowControl w:val="0"/>
              <w:tabs>
                <w:tab w:val="left" w:pos="53"/>
              </w:tabs>
              <w:rPr>
                <w:rFonts w:cs="Arial"/>
                <w:lang w:val="es-ES"/>
              </w:rPr>
            </w:pPr>
            <w:r w:rsidRPr="00CD55AD">
              <w:rPr>
                <w:rFonts w:cs="Arial"/>
                <w:lang w:val="es-ES"/>
              </w:rPr>
              <w:t>1)</w:t>
            </w:r>
            <w:r w:rsidRPr="00CD55AD">
              <w:rPr>
                <w:rFonts w:cs="Arial"/>
                <w:lang w:val="es-ES"/>
              </w:rPr>
              <w:tab/>
            </w:r>
            <w:r w:rsidRPr="004D4403">
              <w:rPr>
                <w:rFonts w:cs="Arial"/>
              </w:rPr>
              <w:t>De conformidad con el Artículo 17.1)d), la Oficina de la ARIPO podrá, a los fines del examen y con objeto de velar por el cumplimiento de las condiciones establecidas en los Artículos 8, 9 y 10:</w:t>
            </w:r>
          </w:p>
          <w:p w:rsidR="00DC569B" w:rsidRPr="00CD55AD" w:rsidRDefault="00DC569B" w:rsidP="006D5FBC">
            <w:pPr>
              <w:rPr>
                <w:rFonts w:cs="Arial"/>
                <w:lang w:val="es-ES"/>
              </w:rPr>
            </w:pPr>
          </w:p>
          <w:p w:rsidR="00DC569B" w:rsidRPr="00CD55AD" w:rsidRDefault="00DC569B" w:rsidP="006D5FBC">
            <w:pPr>
              <w:rPr>
                <w:rFonts w:cs="Arial"/>
                <w:lang w:val="es-ES"/>
              </w:rPr>
            </w:pPr>
            <w:r w:rsidRPr="00CD55AD">
              <w:rPr>
                <w:rFonts w:cs="Arial"/>
                <w:lang w:val="es-ES"/>
              </w:rPr>
              <w:t>a)</w:t>
            </w:r>
            <w:r w:rsidRPr="00CD55AD">
              <w:rPr>
                <w:rFonts w:cs="Arial"/>
                <w:lang w:val="es-ES"/>
              </w:rPr>
              <w:tab/>
            </w:r>
            <w:r w:rsidRPr="00374B96">
              <w:rPr>
                <w:rFonts w:cs="Arial"/>
                <w:spacing w:val="-2"/>
              </w:rPr>
              <w:t xml:space="preserve">disponer lo necesario para que el examen lo </w:t>
            </w:r>
            <w:r w:rsidRPr="00374B96">
              <w:rPr>
                <w:rFonts w:cs="Arial"/>
              </w:rPr>
              <w:t xml:space="preserve">efectúe una </w:t>
            </w:r>
            <w:r w:rsidRPr="00374B96">
              <w:rPr>
                <w:rFonts w:cs="Arial"/>
                <w:spacing w:val="-2"/>
              </w:rPr>
              <w:t>institución competente de un Estado Contratante o de algún miembro de una organización intergubernamental que proporciona un sistema eficaz de protección de las obtenciones vegetales, seleccionado por el Consejo Administrativo</w:t>
            </w:r>
            <w:r w:rsidRPr="00374B96">
              <w:rPr>
                <w:rFonts w:cs="Arial"/>
              </w:rPr>
              <w:t>;</w:t>
            </w:r>
            <w:r w:rsidRPr="00CD55AD">
              <w:rPr>
                <w:rFonts w:cs="Arial"/>
                <w:lang w:val="es-ES"/>
              </w:rPr>
              <w:t xml:space="preserve">  </w:t>
            </w:r>
            <w:r w:rsidRPr="004D4403">
              <w:rPr>
                <w:rFonts w:cs="Arial"/>
              </w:rPr>
              <w:t>o</w:t>
            </w:r>
          </w:p>
          <w:p w:rsidR="00DC569B" w:rsidRPr="00CD55AD" w:rsidRDefault="00DC569B" w:rsidP="006D5FBC">
            <w:pPr>
              <w:rPr>
                <w:rFonts w:cs="Arial"/>
                <w:lang w:val="es-ES"/>
              </w:rPr>
            </w:pPr>
          </w:p>
          <w:p w:rsidR="00DC569B" w:rsidRPr="00CD55AD" w:rsidRDefault="00DC569B" w:rsidP="006D5FBC">
            <w:pPr>
              <w:rPr>
                <w:rFonts w:cs="Arial"/>
                <w:lang w:val="es-ES"/>
              </w:rPr>
            </w:pPr>
            <w:r w:rsidRPr="00CD55AD">
              <w:rPr>
                <w:rFonts w:cs="Arial"/>
                <w:lang w:val="es-ES"/>
              </w:rPr>
              <w:t>b)</w:t>
            </w:r>
            <w:r w:rsidRPr="00CD55AD">
              <w:rPr>
                <w:rFonts w:cs="Arial"/>
                <w:lang w:val="es-ES"/>
              </w:rPr>
              <w:tab/>
            </w:r>
            <w:r w:rsidRPr="00374B96">
              <w:rPr>
                <w:rFonts w:cs="Arial"/>
              </w:rPr>
              <w:t>tener en cuenta los resultados de ensayos ya efectuados por el Estado Contratante o por algún miembro de una organización intergubernamental que proporciona un sistema eficaz de protección de las obtenciones vegetales, seleccionado por el Consejo Administrativo.</w:t>
            </w:r>
          </w:p>
        </w:tc>
      </w:tr>
      <w:tr w:rsidR="00DC569B" w:rsidRPr="007D3E31" w:rsidTr="006D5FBC">
        <w:trPr>
          <w:cantSplit/>
        </w:trPr>
        <w:tc>
          <w:tcPr>
            <w:tcW w:w="2159"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19</w:t>
            </w:r>
            <w:r w:rsidRPr="00CD55AD">
              <w:rPr>
                <w:rFonts w:cs="Arial"/>
                <w:b/>
                <w:lang w:val="es-ES"/>
              </w:rPr>
              <w:t xml:space="preserve"> </w:t>
            </w:r>
          </w:p>
          <w:p w:rsidR="00DC569B" w:rsidRPr="00CD55AD" w:rsidRDefault="00DC569B" w:rsidP="006D5FBC">
            <w:pPr>
              <w:jc w:val="center"/>
              <w:rPr>
                <w:rFonts w:cs="Arial"/>
                <w:b/>
                <w:lang w:val="es-ES"/>
              </w:rPr>
            </w:pPr>
            <w:r w:rsidRPr="00374B96">
              <w:rPr>
                <w:rFonts w:cs="Arial"/>
                <w:b/>
              </w:rPr>
              <w:t>Concesión y denegación del derecho de obtentor</w:t>
            </w:r>
          </w:p>
          <w:p w:rsidR="00DC569B" w:rsidRPr="00CD55AD" w:rsidRDefault="00DC569B" w:rsidP="006D5FBC">
            <w:pPr>
              <w:rPr>
                <w:rFonts w:cs="Arial"/>
                <w:lang w:val="es-ES"/>
              </w:rPr>
            </w:pPr>
          </w:p>
          <w:p w:rsidR="00DC569B" w:rsidRPr="007D3E31" w:rsidRDefault="00DC569B" w:rsidP="006D5FBC">
            <w:pPr>
              <w:widowControl w:val="0"/>
              <w:tabs>
                <w:tab w:val="left" w:pos="53"/>
              </w:tabs>
              <w:rPr>
                <w:rFonts w:cs="Arial"/>
                <w:lang w:val="en-GB"/>
              </w:rPr>
            </w:pPr>
            <w:r w:rsidRPr="007D3E31">
              <w:rPr>
                <w:rFonts w:cs="Arial"/>
                <w:lang w:val="en-GB"/>
              </w:rPr>
              <w:t xml:space="preserve">2) </w:t>
            </w:r>
          </w:p>
          <w:p w:rsidR="00DC569B" w:rsidRPr="007D3E31" w:rsidRDefault="00DC569B" w:rsidP="006D5FBC">
            <w:pPr>
              <w:rPr>
                <w:rFonts w:cs="Arial"/>
                <w:lang w:val="en-GB"/>
              </w:rPr>
            </w:pPr>
          </w:p>
          <w:p w:rsidR="00DC569B" w:rsidRDefault="00DC569B" w:rsidP="006D5FBC">
            <w:pPr>
              <w:rPr>
                <w:rFonts w:cs="Arial"/>
                <w:lang w:val="en-GB"/>
              </w:rPr>
            </w:pPr>
          </w:p>
          <w:p w:rsidR="00DC569B" w:rsidRPr="007D3E31" w:rsidRDefault="00DC569B" w:rsidP="006D5FBC">
            <w:pPr>
              <w:rPr>
                <w:rFonts w:cs="Arial"/>
                <w:lang w:val="en-GB"/>
              </w:rPr>
            </w:pPr>
          </w:p>
          <w:p w:rsidR="00DC569B" w:rsidRPr="004D4403" w:rsidRDefault="00DC569B" w:rsidP="006D5FBC">
            <w:pPr>
              <w:rPr>
                <w:rFonts w:cs="Arial"/>
                <w:lang w:val="en-GB"/>
              </w:rPr>
            </w:pPr>
            <w:r w:rsidRPr="004D4403">
              <w:rPr>
                <w:rFonts w:cs="Arial"/>
                <w:lang w:val="en-GB"/>
              </w:rPr>
              <w:t>6)a)</w:t>
            </w:r>
            <w:r w:rsidRPr="004D4403">
              <w:rPr>
                <w:rFonts w:cs="Arial"/>
                <w:lang w:val="en-GB"/>
              </w:rPr>
              <w:tab/>
            </w:r>
          </w:p>
          <w:p w:rsidR="00DC569B" w:rsidRPr="007D3E31" w:rsidRDefault="00DC569B" w:rsidP="006D5FBC">
            <w:pPr>
              <w:rPr>
                <w:rFonts w:cs="Arial"/>
                <w:lang w:val="en-GB"/>
              </w:rPr>
            </w:pPr>
          </w:p>
          <w:p w:rsidR="00DC569B" w:rsidRPr="007D3E31" w:rsidRDefault="00DC569B" w:rsidP="006D5FBC">
            <w:pPr>
              <w:rPr>
                <w:rFonts w:cs="Arial"/>
              </w:rPr>
            </w:pP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19</w:t>
            </w:r>
            <w:r w:rsidRPr="00CD55AD">
              <w:rPr>
                <w:rFonts w:cs="Arial"/>
                <w:b/>
                <w:lang w:val="es-ES"/>
              </w:rPr>
              <w:t xml:space="preserve"> </w:t>
            </w:r>
          </w:p>
          <w:p w:rsidR="00DC569B" w:rsidRPr="00CD55AD" w:rsidRDefault="00DC569B" w:rsidP="006D5FBC">
            <w:pPr>
              <w:jc w:val="center"/>
              <w:rPr>
                <w:rFonts w:cs="Arial"/>
                <w:b/>
                <w:lang w:val="es-ES"/>
              </w:rPr>
            </w:pPr>
            <w:r w:rsidRPr="004D4403">
              <w:rPr>
                <w:rFonts w:cs="Arial"/>
                <w:b/>
              </w:rPr>
              <w:t>Concesión y denegación del derecho de obtentor</w:t>
            </w:r>
          </w:p>
          <w:p w:rsidR="00DC569B" w:rsidRPr="00CD55AD" w:rsidRDefault="00DC569B" w:rsidP="006D5FBC">
            <w:pPr>
              <w:rPr>
                <w:rFonts w:cs="Arial"/>
                <w:lang w:val="es-ES"/>
              </w:rPr>
            </w:pPr>
          </w:p>
          <w:p w:rsidR="00DC569B" w:rsidRPr="00CD55AD" w:rsidRDefault="00DC569B" w:rsidP="006D5FBC">
            <w:pPr>
              <w:widowControl w:val="0"/>
              <w:tabs>
                <w:tab w:val="left" w:pos="53"/>
              </w:tabs>
              <w:rPr>
                <w:rFonts w:cs="Arial"/>
                <w:lang w:val="es-ES"/>
              </w:rPr>
            </w:pPr>
            <w:r w:rsidRPr="00374B96">
              <w:rPr>
                <w:rFonts w:cs="Arial"/>
              </w:rPr>
              <w:t>2) Respecto de cada derecho de obtentor otorgado, la Oficina de la ARIPO: […]</w:t>
            </w:r>
          </w:p>
          <w:p w:rsidR="00DC569B" w:rsidRPr="00CD55AD" w:rsidRDefault="00DC569B" w:rsidP="006D5FBC">
            <w:pPr>
              <w:rPr>
                <w:rFonts w:cs="Arial"/>
                <w:lang w:val="es-ES"/>
              </w:rPr>
            </w:pPr>
          </w:p>
          <w:p w:rsidR="00DC569B" w:rsidRPr="00CD55AD" w:rsidRDefault="00DC569B" w:rsidP="006D5FBC">
            <w:pPr>
              <w:rPr>
                <w:rFonts w:cs="Arial"/>
                <w:lang w:val="es-ES"/>
              </w:rPr>
            </w:pPr>
          </w:p>
          <w:p w:rsidR="00DC569B" w:rsidRPr="00CD55AD" w:rsidRDefault="00DC569B" w:rsidP="006D5FBC">
            <w:pPr>
              <w:rPr>
                <w:rFonts w:cs="Arial"/>
                <w:lang w:val="es-ES"/>
              </w:rPr>
            </w:pPr>
            <w:r w:rsidRPr="00CD55AD">
              <w:rPr>
                <w:rFonts w:cs="Arial"/>
                <w:lang w:val="es-ES"/>
              </w:rPr>
              <w:t>6)</w:t>
            </w:r>
            <w:r w:rsidRPr="00CD55AD">
              <w:rPr>
                <w:rFonts w:cs="Arial"/>
                <w:lang w:val="es-ES"/>
              </w:rPr>
              <w:tab/>
            </w:r>
            <w:r w:rsidRPr="00374B96">
              <w:rPr>
                <w:rFonts w:cs="Arial"/>
              </w:rPr>
              <w:t>La Oficina de la ARIPO no podrá:</w:t>
            </w:r>
          </w:p>
          <w:p w:rsidR="00DC569B" w:rsidRPr="00CD55AD" w:rsidRDefault="00DC569B" w:rsidP="006D5FBC">
            <w:pPr>
              <w:rPr>
                <w:rFonts w:cs="Arial"/>
                <w:lang w:val="es-ES"/>
              </w:rPr>
            </w:pPr>
          </w:p>
          <w:p w:rsidR="00DC569B" w:rsidRPr="00CD55AD" w:rsidRDefault="00DC569B" w:rsidP="00DC569B">
            <w:pPr>
              <w:numPr>
                <w:ilvl w:val="0"/>
                <w:numId w:val="18"/>
              </w:numPr>
              <w:tabs>
                <w:tab w:val="clear" w:pos="0"/>
              </w:tabs>
              <w:ind w:left="0" w:firstLine="0"/>
              <w:contextualSpacing/>
              <w:jc w:val="left"/>
              <w:rPr>
                <w:rFonts w:cs="Arial"/>
                <w:lang w:val="es-ES"/>
              </w:rPr>
            </w:pPr>
            <w:r w:rsidRPr="00374B96">
              <w:rPr>
                <w:rFonts w:cs="Arial"/>
              </w:rPr>
              <w:t>denegar la concesión de un derecho de obtentor alegando que la protección para la misma variedad no ha sido solicitada o se ha denegado en otro Estado o en otra organización intergubernamental;</w:t>
            </w:r>
            <w:r w:rsidRPr="00CD55AD">
              <w:rPr>
                <w:rFonts w:cs="Arial"/>
                <w:lang w:val="es-ES"/>
              </w:rPr>
              <w:t xml:space="preserve">  </w:t>
            </w:r>
            <w:r w:rsidRPr="004D4403">
              <w:rPr>
                <w:rFonts w:cs="Arial"/>
              </w:rPr>
              <w:t>o</w:t>
            </w:r>
          </w:p>
          <w:p w:rsidR="00DC569B" w:rsidRPr="00CD55AD" w:rsidRDefault="00DC569B" w:rsidP="006D5FBC">
            <w:pPr>
              <w:rPr>
                <w:rFonts w:cs="Arial"/>
                <w:lang w:val="es-ES"/>
              </w:rPr>
            </w:pPr>
          </w:p>
          <w:p w:rsidR="00DC569B" w:rsidRPr="007D3E31" w:rsidRDefault="00DC569B" w:rsidP="006D5FBC">
            <w:pPr>
              <w:rPr>
                <w:rFonts w:cs="Arial"/>
              </w:rPr>
            </w:pPr>
            <w:r w:rsidRPr="007D3E31">
              <w:rPr>
                <w:rFonts w:cs="Arial"/>
                <w:lang w:val="en-GB"/>
              </w:rPr>
              <w:t>[…]</w:t>
            </w: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19</w:t>
            </w:r>
            <w:r w:rsidRPr="00CD55AD">
              <w:rPr>
                <w:rFonts w:cs="Arial"/>
                <w:b/>
                <w:lang w:val="es-ES"/>
              </w:rPr>
              <w:t xml:space="preserve"> </w:t>
            </w:r>
          </w:p>
          <w:p w:rsidR="00DC569B" w:rsidRPr="00CD55AD" w:rsidRDefault="00DC569B" w:rsidP="006D5FBC">
            <w:pPr>
              <w:jc w:val="center"/>
              <w:rPr>
                <w:rFonts w:cs="Arial"/>
                <w:b/>
                <w:lang w:val="es-ES"/>
              </w:rPr>
            </w:pPr>
            <w:r w:rsidRPr="004D4403">
              <w:rPr>
                <w:rFonts w:cs="Arial"/>
                <w:b/>
              </w:rPr>
              <w:t>Concesión y denegación del derecho de obtentor</w:t>
            </w:r>
          </w:p>
          <w:p w:rsidR="00DC569B" w:rsidRPr="00CD55AD" w:rsidRDefault="00DC569B" w:rsidP="006D5FBC">
            <w:pPr>
              <w:rPr>
                <w:rFonts w:cs="Arial"/>
                <w:lang w:val="es-ES"/>
              </w:rPr>
            </w:pPr>
          </w:p>
          <w:p w:rsidR="00DC569B" w:rsidRPr="00CD55AD" w:rsidRDefault="00DC569B" w:rsidP="006D5FBC">
            <w:pPr>
              <w:widowControl w:val="0"/>
              <w:tabs>
                <w:tab w:val="left" w:pos="53"/>
              </w:tabs>
              <w:rPr>
                <w:rFonts w:cs="Arial"/>
                <w:lang w:val="es-ES"/>
              </w:rPr>
            </w:pPr>
            <w:r w:rsidRPr="00374B96">
              <w:rPr>
                <w:rFonts w:cs="Arial"/>
              </w:rPr>
              <w:t>2) Respecto de cada derecho de obtentor otorgado y a reserva de lo dispuesto en el Artículo 4.1), la Oficina de la ARIPO:</w:t>
            </w:r>
            <w:r w:rsidRPr="00CD55AD">
              <w:rPr>
                <w:rFonts w:cs="Arial"/>
                <w:lang w:val="es-ES"/>
              </w:rPr>
              <w:t xml:space="preserve"> […]</w:t>
            </w:r>
          </w:p>
          <w:p w:rsidR="00DC569B" w:rsidRPr="00CD55AD" w:rsidRDefault="00DC569B" w:rsidP="006D5FBC">
            <w:pPr>
              <w:rPr>
                <w:rFonts w:cs="Arial"/>
                <w:lang w:val="es-ES"/>
              </w:rPr>
            </w:pPr>
          </w:p>
          <w:p w:rsidR="00DC569B" w:rsidRPr="00CD55AD" w:rsidRDefault="00DC569B" w:rsidP="006D5FBC">
            <w:pPr>
              <w:rPr>
                <w:rFonts w:cs="Arial"/>
                <w:lang w:val="es-ES"/>
              </w:rPr>
            </w:pPr>
            <w:r w:rsidRPr="00CD55AD">
              <w:rPr>
                <w:rFonts w:cs="Arial"/>
                <w:lang w:val="es-ES"/>
              </w:rPr>
              <w:t>6)</w:t>
            </w:r>
            <w:r w:rsidRPr="00CD55AD">
              <w:rPr>
                <w:rFonts w:cs="Arial"/>
                <w:lang w:val="es-ES"/>
              </w:rPr>
              <w:tab/>
            </w:r>
            <w:r w:rsidRPr="00374B96">
              <w:rPr>
                <w:rFonts w:cs="Arial"/>
              </w:rPr>
              <w:t>La Oficina de la ARIPO no podrá:</w:t>
            </w:r>
          </w:p>
          <w:p w:rsidR="00DC569B" w:rsidRPr="00CD55AD" w:rsidRDefault="00DC569B" w:rsidP="006D5FBC">
            <w:pPr>
              <w:rPr>
                <w:rFonts w:cs="Arial"/>
                <w:lang w:val="es-ES"/>
              </w:rPr>
            </w:pPr>
          </w:p>
          <w:p w:rsidR="00DC569B" w:rsidRPr="00CD55AD" w:rsidRDefault="00DC569B" w:rsidP="00DC569B">
            <w:pPr>
              <w:numPr>
                <w:ilvl w:val="0"/>
                <w:numId w:val="19"/>
              </w:numPr>
              <w:tabs>
                <w:tab w:val="clear" w:pos="0"/>
              </w:tabs>
              <w:ind w:left="0" w:firstLine="0"/>
              <w:contextualSpacing/>
              <w:jc w:val="left"/>
              <w:rPr>
                <w:rFonts w:cs="Arial"/>
                <w:lang w:val="es-ES"/>
              </w:rPr>
            </w:pPr>
            <w:r w:rsidRPr="00374B96">
              <w:rPr>
                <w:rFonts w:cs="Arial"/>
              </w:rPr>
              <w:t>denegar la concesión de un derecho de obtentor alegando que la protección para la misma variedad no ha sido solicitada o se ha denegado en otro Estado que se encuentre fuera de los territorios de los Estados Contratantes o en otra organización intergubernamental;</w:t>
            </w:r>
            <w:r w:rsidRPr="00CD55AD">
              <w:rPr>
                <w:rFonts w:cs="Arial"/>
                <w:lang w:val="es-ES"/>
              </w:rPr>
              <w:t xml:space="preserve">  </w:t>
            </w:r>
            <w:r w:rsidRPr="004D4403">
              <w:rPr>
                <w:rFonts w:cs="Arial"/>
              </w:rPr>
              <w:t>o</w:t>
            </w:r>
          </w:p>
          <w:p w:rsidR="00DC569B" w:rsidRPr="00CD55AD" w:rsidRDefault="00DC569B" w:rsidP="006D5FBC">
            <w:pPr>
              <w:rPr>
                <w:rFonts w:cs="Arial"/>
                <w:lang w:val="es-ES"/>
              </w:rPr>
            </w:pPr>
          </w:p>
          <w:p w:rsidR="00DC569B" w:rsidRPr="007D3E31" w:rsidRDefault="00DC569B" w:rsidP="006D5FBC">
            <w:pPr>
              <w:rPr>
                <w:rFonts w:cs="Arial"/>
              </w:rPr>
            </w:pPr>
            <w:r w:rsidRPr="007D3E31">
              <w:rPr>
                <w:rFonts w:cs="Arial"/>
                <w:lang w:val="en-GB"/>
              </w:rPr>
              <w:t>[…]</w:t>
            </w:r>
          </w:p>
        </w:tc>
      </w:tr>
      <w:tr w:rsidR="00DC569B" w:rsidRPr="00CD55AD" w:rsidTr="006D5FBC">
        <w:trPr>
          <w:cantSplit/>
        </w:trPr>
        <w:tc>
          <w:tcPr>
            <w:tcW w:w="2159"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24</w:t>
            </w:r>
            <w:r w:rsidRPr="00CD55AD">
              <w:rPr>
                <w:rFonts w:cs="Arial"/>
                <w:b/>
                <w:lang w:val="es-ES"/>
              </w:rPr>
              <w:t xml:space="preserve"> </w:t>
            </w:r>
            <w:r w:rsidRPr="00CD55AD">
              <w:rPr>
                <w:rFonts w:cs="Arial"/>
                <w:b/>
                <w:lang w:val="es-ES"/>
              </w:rPr>
              <w:br/>
            </w:r>
            <w:r w:rsidRPr="00946173">
              <w:rPr>
                <w:rFonts w:cs="Arial"/>
                <w:b/>
              </w:rPr>
              <w:t>Limitación del ejercicio del derecho de obtentor</w:t>
            </w:r>
          </w:p>
          <w:p w:rsidR="00DC569B" w:rsidRPr="00CD55AD" w:rsidRDefault="00DC569B" w:rsidP="00DC569B">
            <w:pPr>
              <w:pStyle w:val="inf61normal"/>
              <w:widowControl w:val="0"/>
              <w:numPr>
                <w:ilvl w:val="0"/>
                <w:numId w:val="20"/>
              </w:numPr>
              <w:rPr>
                <w:rFonts w:ascii="Arial" w:hAnsi="Arial" w:cs="Arial"/>
                <w:color w:val="auto"/>
                <w:sz w:val="20"/>
                <w:lang w:val="es-ES"/>
              </w:rPr>
            </w:pPr>
          </w:p>
          <w:p w:rsidR="00DC569B" w:rsidRPr="00CD55AD" w:rsidRDefault="00DC569B" w:rsidP="006D5FBC">
            <w:pPr>
              <w:pStyle w:val="inf61normal"/>
              <w:widowControl w:val="0"/>
              <w:rPr>
                <w:rFonts w:ascii="Arial" w:hAnsi="Arial" w:cs="Arial"/>
                <w:color w:val="auto"/>
                <w:sz w:val="20"/>
                <w:lang w:val="es-ES"/>
              </w:rPr>
            </w:pPr>
          </w:p>
          <w:p w:rsidR="00DC569B" w:rsidRPr="00CD55AD" w:rsidRDefault="00DC569B" w:rsidP="006D5FBC">
            <w:pPr>
              <w:pStyle w:val="inf61normal"/>
              <w:widowControl w:val="0"/>
              <w:rPr>
                <w:rFonts w:ascii="Arial" w:hAnsi="Arial" w:cs="Arial"/>
                <w:color w:val="auto"/>
                <w:sz w:val="20"/>
                <w:lang w:val="es-ES"/>
              </w:rPr>
            </w:pPr>
          </w:p>
          <w:p w:rsidR="00DC569B" w:rsidRPr="00CD55AD" w:rsidRDefault="00DC569B" w:rsidP="006D5FBC">
            <w:pPr>
              <w:pStyle w:val="inf61normal"/>
              <w:widowControl w:val="0"/>
              <w:rPr>
                <w:rFonts w:ascii="Arial" w:hAnsi="Arial" w:cs="Arial"/>
                <w:color w:val="auto"/>
                <w:sz w:val="20"/>
                <w:lang w:val="es-ES"/>
              </w:rPr>
            </w:pPr>
          </w:p>
          <w:p w:rsidR="00DC569B" w:rsidRPr="00CD55AD" w:rsidRDefault="00DC569B" w:rsidP="006D5FBC">
            <w:pPr>
              <w:pStyle w:val="inf61normal"/>
              <w:widowControl w:val="0"/>
              <w:rPr>
                <w:rFonts w:ascii="Arial" w:hAnsi="Arial" w:cs="Arial"/>
                <w:color w:val="auto"/>
                <w:sz w:val="20"/>
                <w:lang w:val="es-ES"/>
              </w:rPr>
            </w:pPr>
          </w:p>
          <w:p w:rsidR="00DC569B" w:rsidRPr="00CD55AD" w:rsidRDefault="00DC569B" w:rsidP="006D5FBC">
            <w:pPr>
              <w:pStyle w:val="inf61normal"/>
              <w:widowControl w:val="0"/>
              <w:rPr>
                <w:rFonts w:ascii="Arial" w:hAnsi="Arial" w:cs="Arial"/>
                <w:color w:val="auto"/>
                <w:sz w:val="20"/>
                <w:lang w:val="es-ES"/>
              </w:rPr>
            </w:pPr>
          </w:p>
          <w:p w:rsidR="00DC569B" w:rsidRPr="00CD55AD" w:rsidRDefault="00DC569B" w:rsidP="006D5FBC">
            <w:pPr>
              <w:pStyle w:val="inf61normal"/>
              <w:widowControl w:val="0"/>
              <w:rPr>
                <w:rFonts w:ascii="Arial" w:hAnsi="Arial" w:cs="Arial"/>
                <w:color w:val="auto"/>
                <w:sz w:val="20"/>
                <w:lang w:val="es-ES"/>
              </w:rPr>
            </w:pPr>
          </w:p>
          <w:p w:rsidR="00DC569B" w:rsidRPr="00CD55AD" w:rsidRDefault="00DC569B" w:rsidP="006D5FBC">
            <w:pPr>
              <w:pStyle w:val="inf61normal"/>
              <w:widowControl w:val="0"/>
              <w:rPr>
                <w:rFonts w:ascii="Arial" w:hAnsi="Arial" w:cs="Arial"/>
                <w:color w:val="auto"/>
                <w:sz w:val="20"/>
                <w:lang w:val="es-ES"/>
              </w:rPr>
            </w:pPr>
          </w:p>
          <w:p w:rsidR="00DC569B" w:rsidRPr="00CD55AD" w:rsidRDefault="00DC569B" w:rsidP="006D5FBC">
            <w:pPr>
              <w:pStyle w:val="inf61normal"/>
              <w:widowControl w:val="0"/>
              <w:rPr>
                <w:rFonts w:ascii="Arial" w:hAnsi="Arial" w:cs="Arial"/>
                <w:color w:val="auto"/>
                <w:sz w:val="20"/>
                <w:lang w:val="es-ES"/>
              </w:rPr>
            </w:pPr>
          </w:p>
          <w:p w:rsidR="00DC569B" w:rsidRPr="00CD55AD" w:rsidRDefault="00DC569B" w:rsidP="00DC569B">
            <w:pPr>
              <w:pStyle w:val="inf61normal"/>
              <w:widowControl w:val="0"/>
              <w:numPr>
                <w:ilvl w:val="0"/>
                <w:numId w:val="20"/>
              </w:numPr>
              <w:rPr>
                <w:rFonts w:ascii="Arial" w:hAnsi="Arial" w:cs="Arial"/>
                <w:color w:val="auto"/>
                <w:sz w:val="20"/>
                <w:lang w:val="es-ES"/>
              </w:rPr>
            </w:pPr>
          </w:p>
          <w:p w:rsidR="00DC569B" w:rsidRPr="00CD55AD" w:rsidRDefault="00DC569B" w:rsidP="006D5FBC">
            <w:pPr>
              <w:widowControl w:val="0"/>
              <w:rPr>
                <w:rFonts w:cs="Arial"/>
                <w:lang w:val="es-ES"/>
              </w:rPr>
            </w:pPr>
          </w:p>
          <w:p w:rsidR="00DC569B" w:rsidRPr="00CD55AD" w:rsidRDefault="00DC569B" w:rsidP="006D5FBC">
            <w:pPr>
              <w:pStyle w:val="inf61normal"/>
              <w:widowControl w:val="0"/>
              <w:rPr>
                <w:rFonts w:ascii="Arial" w:hAnsi="Arial" w:cs="Arial"/>
                <w:color w:val="auto"/>
                <w:sz w:val="20"/>
                <w:lang w:val="es-ES"/>
              </w:rPr>
            </w:pPr>
          </w:p>
          <w:p w:rsidR="00DC569B" w:rsidRPr="00CD55AD" w:rsidRDefault="00DC569B" w:rsidP="006D5FBC">
            <w:pPr>
              <w:rPr>
                <w:rFonts w:cs="Arial"/>
                <w:lang w:val="es-ES"/>
              </w:rPr>
            </w:pP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24</w:t>
            </w:r>
            <w:r w:rsidRPr="00CD55AD">
              <w:rPr>
                <w:rFonts w:cs="Arial"/>
                <w:b/>
                <w:lang w:val="es-ES"/>
              </w:rPr>
              <w:t xml:space="preserve"> </w:t>
            </w:r>
            <w:r w:rsidRPr="00CD55AD">
              <w:rPr>
                <w:rFonts w:cs="Arial"/>
                <w:b/>
                <w:lang w:val="es-ES"/>
              </w:rPr>
              <w:br/>
            </w:r>
            <w:r w:rsidRPr="004D4403">
              <w:rPr>
                <w:rFonts w:cs="Arial"/>
                <w:b/>
              </w:rPr>
              <w:t>Limitación del ejercicio del derecho de obtentor</w:t>
            </w:r>
          </w:p>
          <w:p w:rsidR="00DC569B" w:rsidRPr="00CD55AD" w:rsidRDefault="00DC569B" w:rsidP="006D5FBC">
            <w:pPr>
              <w:rPr>
                <w:rFonts w:cs="Arial"/>
                <w:b/>
                <w:lang w:val="es-ES"/>
              </w:rPr>
            </w:pPr>
          </w:p>
          <w:p w:rsidR="00DC569B" w:rsidRPr="00CD55AD" w:rsidRDefault="00DC569B" w:rsidP="006D5FBC">
            <w:pPr>
              <w:pStyle w:val="inf61normal"/>
              <w:widowControl w:val="0"/>
              <w:jc w:val="left"/>
              <w:rPr>
                <w:rFonts w:ascii="Arial" w:hAnsi="Arial" w:cs="Arial"/>
                <w:color w:val="auto"/>
                <w:sz w:val="20"/>
                <w:lang w:val="es-ES"/>
              </w:rPr>
            </w:pPr>
            <w:r w:rsidRPr="00946173">
              <w:rPr>
                <w:rFonts w:ascii="Arial" w:hAnsi="Arial" w:cs="Arial"/>
                <w:color w:val="auto"/>
                <w:sz w:val="20"/>
                <w:lang w:val="es-ES_tradnl"/>
              </w:rPr>
              <w:t>1) La Oficina de la ARIPO concederá licencias obligatorias a un tercero o a un Estado Contratante, previa solicitud de estos, únicamente por razones de interés público y previa consulta con el Consejo Administrativo de Protección de Variedades Vegetales.</w:t>
            </w:r>
          </w:p>
          <w:p w:rsidR="00DC569B" w:rsidRPr="00CD55AD" w:rsidRDefault="00DC569B" w:rsidP="006D5FBC">
            <w:pPr>
              <w:pStyle w:val="inf61normal"/>
              <w:widowControl w:val="0"/>
              <w:jc w:val="left"/>
              <w:rPr>
                <w:rFonts w:ascii="Arial" w:hAnsi="Arial" w:cs="Arial"/>
                <w:color w:val="auto"/>
                <w:sz w:val="20"/>
                <w:lang w:val="es-ES"/>
              </w:rPr>
            </w:pPr>
          </w:p>
          <w:p w:rsidR="00DC569B" w:rsidRPr="00CD55AD" w:rsidRDefault="00DC569B" w:rsidP="006D5FBC">
            <w:pPr>
              <w:pStyle w:val="inf61normal"/>
              <w:widowControl w:val="0"/>
              <w:jc w:val="left"/>
              <w:rPr>
                <w:rFonts w:ascii="Arial" w:hAnsi="Arial" w:cs="Arial"/>
                <w:color w:val="auto"/>
                <w:sz w:val="20"/>
                <w:lang w:val="es-ES"/>
              </w:rPr>
            </w:pPr>
            <w:r w:rsidRPr="00946173">
              <w:rPr>
                <w:rFonts w:ascii="Arial" w:hAnsi="Arial" w:cs="Arial"/>
                <w:color w:val="auto"/>
                <w:sz w:val="20"/>
                <w:lang w:val="es-ES_tradnl"/>
              </w:rPr>
              <w:t>2) Al conceder una licencia obligatoria con arreglo al párrafo 1), la Oficina de la ARIPO deberá precisar los actos que abarca y las condiciones razonables al efecto, con inclusión del pago de una remuneración equitativa al obtentor.</w:t>
            </w: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24</w:t>
            </w:r>
            <w:r w:rsidRPr="00CD55AD">
              <w:rPr>
                <w:rFonts w:cs="Arial"/>
                <w:b/>
                <w:lang w:val="es-ES"/>
              </w:rPr>
              <w:t xml:space="preserve"> </w:t>
            </w:r>
            <w:r w:rsidRPr="00CD55AD">
              <w:rPr>
                <w:rFonts w:cs="Arial"/>
                <w:b/>
                <w:lang w:val="es-ES"/>
              </w:rPr>
              <w:br/>
            </w:r>
            <w:r w:rsidRPr="004D4403">
              <w:rPr>
                <w:rFonts w:cs="Arial"/>
                <w:b/>
              </w:rPr>
              <w:t>Limitación del ejercicio del derecho de obtentor</w:t>
            </w:r>
          </w:p>
          <w:p w:rsidR="00DC569B" w:rsidRPr="00CD55AD" w:rsidRDefault="00DC569B" w:rsidP="006D5FBC">
            <w:pPr>
              <w:pStyle w:val="inf61normal"/>
              <w:jc w:val="left"/>
              <w:rPr>
                <w:rFonts w:ascii="Arial" w:hAnsi="Arial" w:cs="Arial"/>
                <w:color w:val="auto"/>
                <w:sz w:val="20"/>
                <w:lang w:val="es-ES"/>
              </w:rPr>
            </w:pPr>
          </w:p>
          <w:p w:rsidR="00DC569B" w:rsidRPr="00CD55AD" w:rsidRDefault="00DC569B" w:rsidP="006D5FBC">
            <w:pPr>
              <w:pStyle w:val="inf61normal"/>
              <w:jc w:val="left"/>
              <w:rPr>
                <w:rFonts w:ascii="Arial" w:hAnsi="Arial" w:cs="Arial"/>
                <w:color w:val="auto"/>
                <w:sz w:val="20"/>
                <w:lang w:val="es-ES"/>
              </w:rPr>
            </w:pPr>
            <w:r w:rsidRPr="00946173">
              <w:rPr>
                <w:rFonts w:ascii="Arial" w:hAnsi="Arial" w:cs="Arial"/>
                <w:color w:val="auto"/>
                <w:sz w:val="20"/>
                <w:lang w:val="es-ES_tradnl"/>
              </w:rPr>
              <w:t>1) Un Estado Contratante concederá licencias obligatorias a un solicitante únicamente por razones de interés público.</w:t>
            </w:r>
          </w:p>
          <w:p w:rsidR="00DC569B" w:rsidRPr="00CD55AD" w:rsidRDefault="00DC569B" w:rsidP="006D5FBC">
            <w:pPr>
              <w:rPr>
                <w:rFonts w:cs="Arial"/>
                <w:lang w:val="es-ES"/>
              </w:rPr>
            </w:pPr>
          </w:p>
          <w:p w:rsidR="00DC569B" w:rsidRPr="00CD55AD" w:rsidRDefault="00DC569B" w:rsidP="006D5FBC">
            <w:pPr>
              <w:rPr>
                <w:rFonts w:cs="Arial"/>
                <w:lang w:val="es-ES"/>
              </w:rPr>
            </w:pPr>
          </w:p>
          <w:p w:rsidR="00DC569B" w:rsidRPr="00CD55AD" w:rsidRDefault="00DC569B" w:rsidP="006D5FBC">
            <w:pPr>
              <w:rPr>
                <w:rFonts w:cs="Arial"/>
                <w:lang w:val="es-ES"/>
              </w:rPr>
            </w:pPr>
          </w:p>
          <w:p w:rsidR="00DC569B" w:rsidRPr="00CD55AD" w:rsidRDefault="00DC569B" w:rsidP="006D5FBC">
            <w:pPr>
              <w:rPr>
                <w:rFonts w:cs="Arial"/>
                <w:lang w:val="es-ES"/>
              </w:rPr>
            </w:pPr>
          </w:p>
          <w:p w:rsidR="00DC569B" w:rsidRPr="00CD55AD" w:rsidRDefault="00DC569B" w:rsidP="006D5FBC">
            <w:pPr>
              <w:widowControl w:val="0"/>
              <w:tabs>
                <w:tab w:val="left" w:pos="-31680"/>
              </w:tabs>
              <w:rPr>
                <w:rFonts w:cs="Arial"/>
                <w:kern w:val="28"/>
                <w:lang w:val="es-ES" w:eastAsia="en-ZW"/>
              </w:rPr>
            </w:pPr>
            <w:r w:rsidRPr="00946173">
              <w:rPr>
                <w:rFonts w:cs="Arial"/>
                <w:kern w:val="28"/>
                <w:lang w:eastAsia="en-ZW"/>
              </w:rPr>
              <w:t xml:space="preserve">2) </w:t>
            </w:r>
            <w:r w:rsidRPr="00946173">
              <w:rPr>
                <w:rFonts w:cs="Arial"/>
              </w:rPr>
              <w:t xml:space="preserve">Al conceder una licencia obligatoria con arreglo al párrafo 1), </w:t>
            </w:r>
            <w:r w:rsidRPr="00946173">
              <w:rPr>
                <w:rFonts w:cs="Arial"/>
                <w:kern w:val="28"/>
                <w:lang w:eastAsia="en-ZW"/>
              </w:rPr>
              <w:t xml:space="preserve">la Autoridad nacional </w:t>
            </w:r>
            <w:r w:rsidRPr="00946173">
              <w:rPr>
                <w:rFonts w:cs="Arial"/>
              </w:rPr>
              <w:t>deberá precisar los actos que abarca y las condiciones razonables al efecto, con inclusión del pago de una remuneración equitativa al obtentor</w:t>
            </w:r>
            <w:r w:rsidRPr="00946173">
              <w:rPr>
                <w:rFonts w:cs="Arial"/>
                <w:kern w:val="28"/>
                <w:lang w:eastAsia="en-ZW"/>
              </w:rPr>
              <w:t>.</w:t>
            </w:r>
          </w:p>
        </w:tc>
      </w:tr>
      <w:tr w:rsidR="00DC569B" w:rsidRPr="00CD55AD" w:rsidTr="006D5FBC">
        <w:trPr>
          <w:cantSplit/>
        </w:trPr>
        <w:tc>
          <w:tcPr>
            <w:tcW w:w="2159"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bCs/>
                <w:lang w:val="es-ES"/>
              </w:rPr>
            </w:pPr>
            <w:r w:rsidRPr="004D4403">
              <w:rPr>
                <w:rFonts w:cs="Arial"/>
                <w:b/>
                <w:bCs/>
              </w:rPr>
              <w:t>Artículo 26</w:t>
            </w:r>
            <w:r w:rsidRPr="00CD55AD">
              <w:rPr>
                <w:rFonts w:cs="Arial"/>
                <w:b/>
                <w:bCs/>
                <w:lang w:val="es-ES"/>
              </w:rPr>
              <w:t xml:space="preserve"> </w:t>
            </w:r>
            <w:r w:rsidRPr="00CD55AD">
              <w:rPr>
                <w:rFonts w:cs="Arial"/>
                <w:b/>
                <w:bCs/>
                <w:lang w:val="es-ES"/>
              </w:rPr>
              <w:br/>
            </w:r>
            <w:r w:rsidRPr="00946173">
              <w:rPr>
                <w:rFonts w:cs="Arial"/>
                <w:b/>
                <w:bCs/>
              </w:rPr>
              <w:t>Duración del derecho de obtentor</w:t>
            </w:r>
          </w:p>
          <w:p w:rsidR="00DC569B" w:rsidRPr="00CD55AD" w:rsidRDefault="00DC569B" w:rsidP="006D5FBC">
            <w:pPr>
              <w:pStyle w:val="ListParagraph"/>
              <w:widowControl w:val="0"/>
              <w:ind w:left="0"/>
              <w:jc w:val="both"/>
              <w:rPr>
                <w:rFonts w:cs="Arial"/>
                <w:szCs w:val="20"/>
                <w:lang w:val="es-ES"/>
              </w:rPr>
            </w:pP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bCs/>
                <w:lang w:val="es-ES"/>
              </w:rPr>
            </w:pPr>
            <w:r w:rsidRPr="004D4403">
              <w:rPr>
                <w:rFonts w:cs="Arial"/>
                <w:b/>
                <w:bCs/>
              </w:rPr>
              <w:t>Artículo 26</w:t>
            </w:r>
            <w:r w:rsidRPr="00CD55AD">
              <w:rPr>
                <w:rFonts w:cs="Arial"/>
                <w:b/>
                <w:bCs/>
                <w:lang w:val="es-ES"/>
              </w:rPr>
              <w:t xml:space="preserve"> </w:t>
            </w:r>
            <w:r w:rsidRPr="00CD55AD">
              <w:rPr>
                <w:rFonts w:cs="Arial"/>
                <w:b/>
                <w:bCs/>
                <w:lang w:val="es-ES"/>
              </w:rPr>
              <w:br/>
            </w:r>
            <w:r w:rsidRPr="004D4403">
              <w:rPr>
                <w:rFonts w:cs="Arial"/>
                <w:b/>
                <w:bCs/>
              </w:rPr>
              <w:t>Duración del derecho de obtentor</w:t>
            </w:r>
          </w:p>
          <w:p w:rsidR="00DC569B" w:rsidRPr="00CD55AD" w:rsidRDefault="00DC569B" w:rsidP="006D5FBC">
            <w:pPr>
              <w:pStyle w:val="ListParagraph"/>
              <w:widowControl w:val="0"/>
              <w:ind w:left="0"/>
              <w:jc w:val="both"/>
              <w:rPr>
                <w:rFonts w:cs="Arial"/>
                <w:szCs w:val="20"/>
                <w:lang w:val="es-ES"/>
              </w:rPr>
            </w:pPr>
          </w:p>
          <w:p w:rsidR="00DC569B" w:rsidRPr="00CD55AD" w:rsidRDefault="00DC569B" w:rsidP="006D5FBC">
            <w:pPr>
              <w:pStyle w:val="ListParagraph"/>
              <w:widowControl w:val="0"/>
              <w:ind w:left="0"/>
              <w:rPr>
                <w:rFonts w:cs="Arial"/>
                <w:szCs w:val="20"/>
                <w:lang w:val="es-ES"/>
              </w:rPr>
            </w:pPr>
            <w:r w:rsidRPr="00946173">
              <w:rPr>
                <w:rFonts w:cs="Arial"/>
                <w:szCs w:val="20"/>
                <w:lang w:val="es-ES_tradnl"/>
              </w:rPr>
              <w:t>El derecho de obtentor se concederá por un período de veinte años a partir de la fecha de concesión del derecho de obtentor excepto en el caso de los árboles y las vides, para los cuales el derecho de obtentor se concederá por un período de veinticinco años a partir de dicha fecha.</w:t>
            </w: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bCs/>
                <w:lang w:val="es-ES"/>
              </w:rPr>
            </w:pPr>
            <w:r w:rsidRPr="004D4403">
              <w:rPr>
                <w:rFonts w:cs="Arial"/>
                <w:b/>
                <w:bCs/>
              </w:rPr>
              <w:t>Artículo 26</w:t>
            </w:r>
            <w:r w:rsidRPr="00CD55AD">
              <w:rPr>
                <w:rFonts w:cs="Arial"/>
                <w:b/>
                <w:bCs/>
                <w:lang w:val="es-ES"/>
              </w:rPr>
              <w:t xml:space="preserve"> </w:t>
            </w:r>
            <w:r w:rsidRPr="00CD55AD">
              <w:rPr>
                <w:rFonts w:cs="Arial"/>
                <w:b/>
                <w:bCs/>
                <w:lang w:val="es-ES"/>
              </w:rPr>
              <w:br/>
            </w:r>
            <w:r w:rsidRPr="004D4403">
              <w:rPr>
                <w:rFonts w:cs="Arial"/>
                <w:b/>
                <w:bCs/>
              </w:rPr>
              <w:t>Duración del derecho de obtentor</w:t>
            </w:r>
          </w:p>
          <w:p w:rsidR="00DC569B" w:rsidRPr="00CD55AD" w:rsidRDefault="00DC569B" w:rsidP="006D5FBC">
            <w:pPr>
              <w:jc w:val="center"/>
              <w:rPr>
                <w:rFonts w:cs="Arial"/>
                <w:b/>
                <w:bCs/>
                <w:lang w:val="es-ES"/>
              </w:rPr>
            </w:pPr>
          </w:p>
          <w:p w:rsidR="00DC569B" w:rsidRPr="00CD55AD" w:rsidRDefault="00DC569B" w:rsidP="00DC569B">
            <w:pPr>
              <w:pStyle w:val="ListParagraph"/>
              <w:widowControl w:val="0"/>
              <w:numPr>
                <w:ilvl w:val="0"/>
                <w:numId w:val="21"/>
              </w:numPr>
              <w:tabs>
                <w:tab w:val="clear" w:pos="0"/>
              </w:tabs>
              <w:ind w:left="0" w:firstLine="0"/>
              <w:contextualSpacing/>
              <w:rPr>
                <w:rFonts w:cs="Arial"/>
                <w:szCs w:val="20"/>
                <w:lang w:val="es-ES"/>
              </w:rPr>
            </w:pPr>
            <w:r w:rsidRPr="004D4403">
              <w:rPr>
                <w:rFonts w:cs="Arial"/>
                <w:szCs w:val="20"/>
                <w:lang w:val="es-ES_tradnl"/>
              </w:rPr>
              <w:t>El derecho de obtentor se concederá por un período de veinte años a partir de la fecha de concesión del derecho de obtentor excepto en el caso de los árboles y las vides, para los cuales el derecho de obtentor se concederá por un período de veinticinco años a partir de dicha fecha.</w:t>
            </w:r>
          </w:p>
          <w:p w:rsidR="00DC569B" w:rsidRPr="00CD55AD" w:rsidRDefault="00DC569B" w:rsidP="006D5FBC">
            <w:pPr>
              <w:pStyle w:val="ListParagraph"/>
              <w:widowControl w:val="0"/>
              <w:ind w:left="0"/>
              <w:rPr>
                <w:rFonts w:cs="Arial"/>
                <w:szCs w:val="20"/>
                <w:lang w:val="es-ES"/>
              </w:rPr>
            </w:pPr>
          </w:p>
          <w:p w:rsidR="00DC569B" w:rsidRPr="00CD55AD" w:rsidRDefault="00DC569B" w:rsidP="00DC569B">
            <w:pPr>
              <w:pStyle w:val="ListParagraph"/>
              <w:widowControl w:val="0"/>
              <w:numPr>
                <w:ilvl w:val="0"/>
                <w:numId w:val="21"/>
              </w:numPr>
              <w:tabs>
                <w:tab w:val="clear" w:pos="0"/>
              </w:tabs>
              <w:ind w:left="0" w:firstLine="0"/>
              <w:contextualSpacing/>
              <w:rPr>
                <w:rFonts w:cs="Arial"/>
                <w:szCs w:val="20"/>
                <w:lang w:val="es-ES"/>
              </w:rPr>
            </w:pPr>
            <w:r w:rsidRPr="00946173">
              <w:rPr>
                <w:rFonts w:cs="Arial"/>
                <w:szCs w:val="20"/>
                <w:lang w:val="es-ES_tradnl"/>
              </w:rPr>
              <w:t>No obstante lo dispuesto en el apartado 1), el período de protección podrá prorrogarse cinco años adicionales mediante una notificación por escrito a la Oficina de la ARIPO respecto de géneros y especies determinados.</w:t>
            </w:r>
          </w:p>
        </w:tc>
      </w:tr>
      <w:tr w:rsidR="00DC569B" w:rsidRPr="00CD55AD" w:rsidTr="006D5FBC">
        <w:trPr>
          <w:cantSplit/>
        </w:trPr>
        <w:tc>
          <w:tcPr>
            <w:tcW w:w="2159"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37</w:t>
            </w:r>
          </w:p>
          <w:p w:rsidR="00DC569B" w:rsidRPr="00CD55AD" w:rsidRDefault="00DC569B" w:rsidP="006D5FBC">
            <w:pPr>
              <w:jc w:val="center"/>
              <w:rPr>
                <w:rFonts w:cs="Arial"/>
                <w:b/>
                <w:lang w:val="es-ES"/>
              </w:rPr>
            </w:pPr>
            <w:r w:rsidRPr="00946173">
              <w:rPr>
                <w:rFonts w:cs="Arial"/>
                <w:b/>
              </w:rPr>
              <w:t>Efecto uniforme de los derechos de obtentor regionales</w:t>
            </w:r>
          </w:p>
          <w:p w:rsidR="00DC569B" w:rsidRPr="00CD55AD" w:rsidRDefault="00DC569B" w:rsidP="006D5FBC">
            <w:pPr>
              <w:rPr>
                <w:rFonts w:cs="Arial"/>
                <w:b/>
                <w:lang w:val="es-ES"/>
              </w:rPr>
            </w:pPr>
          </w:p>
          <w:p w:rsidR="00DC569B" w:rsidRPr="00CD55AD" w:rsidRDefault="00DC569B" w:rsidP="006D5FBC">
            <w:pPr>
              <w:widowControl w:val="0"/>
              <w:rPr>
                <w:rFonts w:cs="Arial"/>
                <w:kern w:val="28"/>
                <w:lang w:val="es-ES" w:eastAsia="en-ZW"/>
              </w:rPr>
            </w:pPr>
          </w:p>
          <w:p w:rsidR="00DC569B" w:rsidRPr="00CD55AD" w:rsidRDefault="00DC569B" w:rsidP="006D5FBC">
            <w:pPr>
              <w:jc w:val="center"/>
              <w:rPr>
                <w:rFonts w:cs="Arial"/>
                <w:lang w:val="es-ES"/>
              </w:rPr>
            </w:pP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37</w:t>
            </w:r>
          </w:p>
          <w:p w:rsidR="00DC569B" w:rsidRPr="00CD55AD" w:rsidRDefault="00DC569B" w:rsidP="006D5FBC">
            <w:pPr>
              <w:jc w:val="center"/>
              <w:rPr>
                <w:rFonts w:cs="Arial"/>
                <w:b/>
                <w:lang w:val="es-ES"/>
              </w:rPr>
            </w:pPr>
            <w:r w:rsidRPr="004D4403">
              <w:rPr>
                <w:rFonts w:cs="Arial"/>
                <w:b/>
              </w:rPr>
              <w:t>Efecto uniforme de los derechos de obtentor regionales</w:t>
            </w:r>
          </w:p>
          <w:p w:rsidR="00DC569B" w:rsidRPr="00CD55AD" w:rsidRDefault="00DC569B" w:rsidP="006D5FBC">
            <w:pPr>
              <w:rPr>
                <w:rFonts w:cs="Arial"/>
                <w:b/>
                <w:lang w:val="es-ES"/>
              </w:rPr>
            </w:pPr>
          </w:p>
          <w:p w:rsidR="00DC569B" w:rsidRPr="00CD55AD" w:rsidRDefault="00DC569B" w:rsidP="006D5FBC">
            <w:pPr>
              <w:widowControl w:val="0"/>
              <w:tabs>
                <w:tab w:val="left" w:pos="-31680"/>
              </w:tabs>
              <w:rPr>
                <w:rFonts w:cs="Arial"/>
                <w:kern w:val="28"/>
                <w:lang w:val="es-ES" w:eastAsia="en-ZW"/>
              </w:rPr>
            </w:pPr>
            <w:r w:rsidRPr="00946173">
              <w:rPr>
                <w:rFonts w:cs="Arial"/>
                <w:kern w:val="28"/>
                <w:lang w:eastAsia="en-ZW"/>
              </w:rPr>
              <w:t>Los derechos de obtentor regionales tendrán un efecto uniforme en los territorios de los Estados Contratantes y no podrán otorgarse, transferirse o extinguirse en dichos territorios de un modo que no sea uniforme.</w:t>
            </w: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37</w:t>
            </w:r>
          </w:p>
          <w:p w:rsidR="00DC569B" w:rsidRPr="00CD55AD" w:rsidRDefault="00DC569B" w:rsidP="006D5FBC">
            <w:pPr>
              <w:jc w:val="center"/>
              <w:rPr>
                <w:rFonts w:cs="Arial"/>
                <w:b/>
                <w:lang w:val="es-ES"/>
              </w:rPr>
            </w:pPr>
            <w:r w:rsidRPr="004D4403">
              <w:rPr>
                <w:rFonts w:cs="Arial"/>
                <w:b/>
              </w:rPr>
              <w:t>Efecto uniforme de los derechos de obtentor regionales</w:t>
            </w:r>
          </w:p>
          <w:p w:rsidR="00DC569B" w:rsidRPr="00CD55AD" w:rsidRDefault="00DC569B" w:rsidP="006D5FBC">
            <w:pPr>
              <w:rPr>
                <w:rFonts w:cs="Arial"/>
                <w:lang w:val="es-ES"/>
              </w:rPr>
            </w:pPr>
          </w:p>
          <w:p w:rsidR="00DC569B" w:rsidRPr="00CD55AD" w:rsidRDefault="00DC569B" w:rsidP="006D5FBC">
            <w:pPr>
              <w:widowControl w:val="0"/>
              <w:tabs>
                <w:tab w:val="left" w:pos="-31680"/>
              </w:tabs>
              <w:rPr>
                <w:rFonts w:cs="Arial"/>
                <w:lang w:val="es-ES"/>
              </w:rPr>
            </w:pPr>
            <w:r w:rsidRPr="00946173">
              <w:rPr>
                <w:rFonts w:cs="Arial"/>
                <w:kern w:val="28"/>
                <w:lang w:eastAsia="en-ZW"/>
              </w:rPr>
              <w:t>Los derechos de obtentor regionales tendrán un efecto uniforme en los territorios de los Estados Contratantes designados en los que se han otorgado los derechos de obtentor.</w:t>
            </w:r>
          </w:p>
        </w:tc>
      </w:tr>
      <w:tr w:rsidR="00DC569B" w:rsidRPr="00CD55AD" w:rsidTr="006D5FBC">
        <w:trPr>
          <w:cantSplit/>
        </w:trPr>
        <w:tc>
          <w:tcPr>
            <w:tcW w:w="2159"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38</w:t>
            </w:r>
            <w:r w:rsidRPr="00CD55AD">
              <w:rPr>
                <w:rFonts w:cs="Arial"/>
                <w:b/>
                <w:lang w:val="es-ES"/>
              </w:rPr>
              <w:t xml:space="preserve"> </w:t>
            </w:r>
          </w:p>
          <w:p w:rsidR="00DC569B" w:rsidRPr="00CD55AD" w:rsidRDefault="00DC569B" w:rsidP="006D5FBC">
            <w:pPr>
              <w:jc w:val="center"/>
              <w:rPr>
                <w:rFonts w:cs="Arial"/>
                <w:b/>
                <w:lang w:val="es-ES"/>
              </w:rPr>
            </w:pPr>
            <w:r w:rsidRPr="00946173">
              <w:rPr>
                <w:rFonts w:cs="Arial"/>
                <w:b/>
              </w:rPr>
              <w:t>Derechos de obtentor nacionales sobre las obtenciones vegetales</w:t>
            </w:r>
          </w:p>
          <w:p w:rsidR="00DC569B" w:rsidRPr="00CD55AD" w:rsidRDefault="00DC569B" w:rsidP="006D5FBC">
            <w:pPr>
              <w:jc w:val="center"/>
              <w:rPr>
                <w:rFonts w:cs="Arial"/>
                <w:b/>
                <w:lang w:val="es-ES"/>
              </w:rPr>
            </w:pP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38</w:t>
            </w:r>
            <w:r w:rsidRPr="00CD55AD">
              <w:rPr>
                <w:rFonts w:cs="Arial"/>
                <w:b/>
                <w:lang w:val="es-ES"/>
              </w:rPr>
              <w:t xml:space="preserve"> </w:t>
            </w:r>
          </w:p>
          <w:p w:rsidR="00DC569B" w:rsidRPr="00CD55AD" w:rsidRDefault="00DC569B" w:rsidP="006D5FBC">
            <w:pPr>
              <w:jc w:val="center"/>
              <w:rPr>
                <w:rFonts w:cs="Arial"/>
                <w:b/>
                <w:lang w:val="es-ES"/>
              </w:rPr>
            </w:pPr>
            <w:r w:rsidRPr="00946173">
              <w:rPr>
                <w:b/>
              </w:rPr>
              <w:t>Derechos de obtentor nacionales sobre las obtenciones vegetales</w:t>
            </w:r>
          </w:p>
          <w:p w:rsidR="00DC569B" w:rsidRPr="00CD55AD" w:rsidRDefault="00DC569B" w:rsidP="006D5FBC">
            <w:pPr>
              <w:jc w:val="center"/>
              <w:rPr>
                <w:rFonts w:cs="Arial"/>
                <w:b/>
                <w:lang w:val="es-ES"/>
              </w:rPr>
            </w:pPr>
          </w:p>
          <w:p w:rsidR="00DC569B" w:rsidRPr="00CD55AD" w:rsidRDefault="00DC569B" w:rsidP="006D5FBC">
            <w:pPr>
              <w:rPr>
                <w:rFonts w:cs="Arial"/>
                <w:lang w:val="es-ES"/>
              </w:rPr>
            </w:pPr>
            <w:r w:rsidRPr="00946173">
              <w:rPr>
                <w:rFonts w:cs="Arial"/>
              </w:rPr>
              <w:t>El presente Protocolo se entenderá sin perjuicio del derecho de los Estados Contratantes a otorgar derechos de obtentor nacionales sobre las obtenciones vegetales, a reserva de lo dispuesto en el Artículo 39.</w:t>
            </w:r>
            <w:r w:rsidRPr="00CD55AD">
              <w:rPr>
                <w:rFonts w:cs="Arial"/>
                <w:lang w:val="es-ES"/>
              </w:rPr>
              <w:t xml:space="preserve"> </w:t>
            </w: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38</w:t>
            </w:r>
            <w:r w:rsidRPr="00CD55AD">
              <w:rPr>
                <w:rFonts w:cs="Arial"/>
                <w:b/>
                <w:lang w:val="es-ES"/>
              </w:rPr>
              <w:t xml:space="preserve"> </w:t>
            </w:r>
          </w:p>
          <w:p w:rsidR="00DC569B" w:rsidRPr="00CD55AD" w:rsidRDefault="00DC569B" w:rsidP="006D5FBC">
            <w:pPr>
              <w:jc w:val="center"/>
              <w:rPr>
                <w:rFonts w:cs="Arial"/>
                <w:b/>
                <w:lang w:val="es-ES"/>
              </w:rPr>
            </w:pPr>
            <w:r w:rsidRPr="00946173">
              <w:rPr>
                <w:b/>
              </w:rPr>
              <w:t>Derechos de obtentor nacionales sobre las obtenciones vegetales</w:t>
            </w:r>
            <w:r w:rsidRPr="00CD55AD">
              <w:rPr>
                <w:rFonts w:cs="Arial"/>
                <w:b/>
                <w:lang w:val="es-ES"/>
              </w:rPr>
              <w:t xml:space="preserve"> </w:t>
            </w:r>
          </w:p>
          <w:p w:rsidR="00DC569B" w:rsidRPr="00CD55AD" w:rsidRDefault="00DC569B" w:rsidP="006D5FBC">
            <w:pPr>
              <w:jc w:val="center"/>
              <w:rPr>
                <w:rFonts w:cs="Arial"/>
                <w:b/>
                <w:lang w:val="es-ES"/>
              </w:rPr>
            </w:pPr>
          </w:p>
          <w:p w:rsidR="00DC569B" w:rsidRPr="00CD55AD" w:rsidRDefault="00DC569B" w:rsidP="006D5FBC">
            <w:pPr>
              <w:rPr>
                <w:rFonts w:cs="Arial"/>
                <w:lang w:val="es-ES"/>
              </w:rPr>
            </w:pPr>
            <w:r w:rsidRPr="00946173">
              <w:rPr>
                <w:rFonts w:cs="Arial"/>
              </w:rPr>
              <w:t>El presente Protocolo se entenderá sin perjuicio del derecho de los Estados Contratantes a otorgar derechos de obtentor nacionales sobre las obtenciones vegetales.</w:t>
            </w:r>
            <w:r w:rsidRPr="00CD55AD">
              <w:rPr>
                <w:rFonts w:cs="Arial"/>
                <w:lang w:val="es-ES"/>
              </w:rPr>
              <w:t xml:space="preserve"> </w:t>
            </w:r>
          </w:p>
        </w:tc>
      </w:tr>
      <w:tr w:rsidR="00DC569B" w:rsidRPr="007D3E31" w:rsidTr="006D5FBC">
        <w:trPr>
          <w:cantSplit/>
        </w:trPr>
        <w:tc>
          <w:tcPr>
            <w:tcW w:w="2159"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39</w:t>
            </w:r>
          </w:p>
          <w:p w:rsidR="00DC569B" w:rsidRPr="00CD55AD" w:rsidRDefault="00DC569B" w:rsidP="006D5FBC">
            <w:pPr>
              <w:jc w:val="center"/>
              <w:rPr>
                <w:rFonts w:cs="Arial"/>
                <w:b/>
                <w:lang w:val="es-ES"/>
              </w:rPr>
            </w:pPr>
            <w:r w:rsidRPr="00946173">
              <w:rPr>
                <w:rFonts w:cs="Arial"/>
                <w:b/>
              </w:rPr>
              <w:t>Prohibición de la protección acumulativa</w:t>
            </w:r>
          </w:p>
          <w:p w:rsidR="00DC569B" w:rsidRPr="00CD55AD" w:rsidRDefault="00DC569B" w:rsidP="006D5FBC">
            <w:pPr>
              <w:jc w:val="center"/>
              <w:rPr>
                <w:rFonts w:cs="Arial"/>
                <w:b/>
                <w:lang w:val="es-ES"/>
              </w:rPr>
            </w:pPr>
          </w:p>
          <w:p w:rsidR="00DC569B" w:rsidRPr="00CD55AD" w:rsidRDefault="00DC569B" w:rsidP="006D5FBC">
            <w:pPr>
              <w:widowControl w:val="0"/>
              <w:rPr>
                <w:rFonts w:cs="Arial"/>
                <w:kern w:val="28"/>
                <w:lang w:val="es-ES" w:eastAsia="en-ZW"/>
              </w:rPr>
            </w:pPr>
            <w:r w:rsidRPr="00CD55AD">
              <w:rPr>
                <w:rFonts w:cs="Arial"/>
                <w:kern w:val="28"/>
                <w:lang w:val="es-ES" w:eastAsia="en-ZW"/>
              </w:rPr>
              <w:t> </w:t>
            </w:r>
          </w:p>
          <w:p w:rsidR="00DC569B" w:rsidRPr="00CD55AD" w:rsidRDefault="00DC569B" w:rsidP="006D5FBC">
            <w:pPr>
              <w:jc w:val="center"/>
              <w:rPr>
                <w:rFonts w:cs="Arial"/>
                <w:lang w:val="es-ES"/>
              </w:rPr>
            </w:pP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39</w:t>
            </w:r>
          </w:p>
          <w:p w:rsidR="00DC569B" w:rsidRPr="00CD55AD" w:rsidRDefault="00DC569B" w:rsidP="006D5FBC">
            <w:pPr>
              <w:jc w:val="center"/>
              <w:rPr>
                <w:rFonts w:cs="Arial"/>
                <w:b/>
                <w:lang w:val="es-ES"/>
              </w:rPr>
            </w:pPr>
            <w:r w:rsidRPr="00946173">
              <w:rPr>
                <w:rFonts w:cs="Arial"/>
                <w:b/>
              </w:rPr>
              <w:t>Prohibición de la protección acumulativa</w:t>
            </w:r>
          </w:p>
          <w:p w:rsidR="00DC569B" w:rsidRPr="00CD55AD" w:rsidRDefault="00DC569B" w:rsidP="006D5FBC">
            <w:pPr>
              <w:jc w:val="center"/>
              <w:rPr>
                <w:rFonts w:cs="Arial"/>
                <w:b/>
                <w:lang w:val="es-ES"/>
              </w:rPr>
            </w:pPr>
          </w:p>
          <w:p w:rsidR="00DC569B" w:rsidRPr="00CD55AD" w:rsidRDefault="00DC569B" w:rsidP="006D5FBC">
            <w:pPr>
              <w:widowControl w:val="0"/>
              <w:tabs>
                <w:tab w:val="left" w:pos="-31680"/>
              </w:tabs>
              <w:rPr>
                <w:rFonts w:cs="Arial"/>
                <w:kern w:val="28"/>
                <w:lang w:val="es-ES" w:eastAsia="en-ZW"/>
              </w:rPr>
            </w:pPr>
            <w:r w:rsidRPr="00946173">
              <w:rPr>
                <w:rFonts w:cs="Arial"/>
                <w:kern w:val="28"/>
                <w:lang w:eastAsia="en-ZW"/>
              </w:rPr>
              <w:t>Si, con anterioridad a la concesión del derecho de obtentor de alcance regional, al titular de un derecho de obtentor se le hubiera otorgado otro para la misma variedad, dicho obtentor no podrá invocar los derechos conferidos por tal protección de la variedad mientras continúe en vigor el derecho de obtentor de alcance regional.</w:t>
            </w: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39</w:t>
            </w:r>
          </w:p>
          <w:p w:rsidR="00DC569B" w:rsidRPr="00CD55AD" w:rsidRDefault="00DC569B" w:rsidP="006D5FBC">
            <w:pPr>
              <w:jc w:val="center"/>
              <w:rPr>
                <w:rFonts w:cs="Arial"/>
                <w:b/>
                <w:lang w:val="es-ES"/>
              </w:rPr>
            </w:pPr>
            <w:r w:rsidRPr="00946173">
              <w:rPr>
                <w:b/>
              </w:rPr>
              <w:t>Prohibición de la protección acumulativa</w:t>
            </w:r>
          </w:p>
          <w:p w:rsidR="00DC569B" w:rsidRPr="00CD55AD" w:rsidRDefault="00DC569B" w:rsidP="006D5FBC">
            <w:pPr>
              <w:rPr>
                <w:rFonts w:cs="Arial"/>
                <w:b/>
                <w:lang w:val="es-ES"/>
              </w:rPr>
            </w:pPr>
          </w:p>
          <w:p w:rsidR="00DC569B" w:rsidRPr="007D3E31" w:rsidRDefault="00DC569B" w:rsidP="006D5FBC">
            <w:pPr>
              <w:widowControl w:val="0"/>
              <w:tabs>
                <w:tab w:val="left" w:pos="-31680"/>
              </w:tabs>
              <w:rPr>
                <w:rFonts w:cs="Arial"/>
                <w:i/>
                <w:strike/>
                <w:kern w:val="28"/>
                <w:lang w:val="en-GB" w:eastAsia="en-ZW"/>
              </w:rPr>
            </w:pPr>
            <w:r w:rsidRPr="00946173">
              <w:rPr>
                <w:rFonts w:cs="Arial"/>
                <w:b/>
                <w:i/>
              </w:rPr>
              <w:t>Artículo suprimido</w:t>
            </w:r>
          </w:p>
          <w:p w:rsidR="00DC569B" w:rsidRPr="007D3E31" w:rsidRDefault="00DC569B" w:rsidP="006D5FBC">
            <w:pPr>
              <w:widowControl w:val="0"/>
              <w:rPr>
                <w:rFonts w:cs="Arial"/>
                <w:kern w:val="28"/>
                <w:lang w:eastAsia="en-ZW"/>
              </w:rPr>
            </w:pPr>
          </w:p>
          <w:p w:rsidR="00DC569B" w:rsidRPr="007D3E31" w:rsidRDefault="00DC569B" w:rsidP="006D5FBC">
            <w:pPr>
              <w:rPr>
                <w:rFonts w:cs="Arial"/>
              </w:rPr>
            </w:pPr>
          </w:p>
        </w:tc>
      </w:tr>
      <w:tr w:rsidR="00DC569B" w:rsidRPr="00CD55AD" w:rsidTr="006D5FBC">
        <w:trPr>
          <w:cantSplit/>
        </w:trPr>
        <w:tc>
          <w:tcPr>
            <w:tcW w:w="2159" w:type="dxa"/>
            <w:tcBorders>
              <w:top w:val="single" w:sz="4" w:space="0" w:color="auto"/>
              <w:left w:val="single" w:sz="4" w:space="0" w:color="auto"/>
              <w:bottom w:val="single" w:sz="4" w:space="0" w:color="auto"/>
              <w:right w:val="single" w:sz="4" w:space="0" w:color="auto"/>
            </w:tcBorders>
          </w:tcPr>
          <w:p w:rsidR="00DC569B" w:rsidRPr="007D3E31" w:rsidRDefault="00DC569B" w:rsidP="006D5FBC">
            <w:pPr>
              <w:jc w:val="center"/>
              <w:rPr>
                <w:rFonts w:cs="Arial"/>
                <w:b/>
              </w:rPr>
            </w:pPr>
            <w:r w:rsidRPr="004D4403">
              <w:rPr>
                <w:rFonts w:cs="Arial"/>
                <w:b/>
              </w:rPr>
              <w:t>Artículo 40</w:t>
            </w:r>
          </w:p>
          <w:p w:rsidR="00DC569B" w:rsidRPr="007D3E31" w:rsidRDefault="00DC569B" w:rsidP="006D5FBC">
            <w:pPr>
              <w:jc w:val="center"/>
              <w:rPr>
                <w:rFonts w:cs="Arial"/>
                <w:b/>
              </w:rPr>
            </w:pPr>
            <w:r w:rsidRPr="00946173">
              <w:rPr>
                <w:rFonts w:cs="Arial"/>
                <w:b/>
              </w:rPr>
              <w:t>Entrada en vigor</w:t>
            </w:r>
          </w:p>
          <w:p w:rsidR="00DC569B" w:rsidRPr="007D3E31" w:rsidRDefault="00DC569B" w:rsidP="006D5FBC">
            <w:pPr>
              <w:rPr>
                <w:rFonts w:cs="Arial"/>
              </w:rPr>
            </w:pPr>
          </w:p>
          <w:p w:rsidR="00DC569B" w:rsidRPr="007D3E31" w:rsidRDefault="00DC569B" w:rsidP="006D5FBC">
            <w:pPr>
              <w:rPr>
                <w:rFonts w:cs="Arial"/>
              </w:rPr>
            </w:pPr>
            <w:r w:rsidRPr="007D3E31">
              <w:rPr>
                <w:rFonts w:cs="Arial"/>
              </w:rPr>
              <w:t>3)</w:t>
            </w: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41</w:t>
            </w:r>
          </w:p>
          <w:p w:rsidR="00DC569B" w:rsidRPr="00CD55AD" w:rsidRDefault="00DC569B" w:rsidP="006D5FBC">
            <w:pPr>
              <w:jc w:val="center"/>
              <w:rPr>
                <w:rFonts w:cs="Arial"/>
                <w:b/>
                <w:lang w:val="es-ES"/>
              </w:rPr>
            </w:pPr>
            <w:r w:rsidRPr="004D4403">
              <w:rPr>
                <w:rFonts w:cs="Arial"/>
                <w:b/>
              </w:rPr>
              <w:t>Entrada en vigor</w:t>
            </w:r>
          </w:p>
          <w:p w:rsidR="00DC569B" w:rsidRPr="00CD55AD" w:rsidRDefault="00DC569B" w:rsidP="006D5FBC">
            <w:pPr>
              <w:rPr>
                <w:rFonts w:cs="Arial"/>
                <w:lang w:val="es-ES"/>
              </w:rPr>
            </w:pPr>
          </w:p>
          <w:p w:rsidR="00DC569B" w:rsidRPr="00CD55AD" w:rsidRDefault="00DC569B" w:rsidP="006D5FBC">
            <w:pPr>
              <w:rPr>
                <w:rFonts w:cs="Arial"/>
                <w:lang w:val="es-ES"/>
              </w:rPr>
            </w:pPr>
            <w:r w:rsidRPr="00946173">
              <w:rPr>
                <w:rFonts w:cs="Arial"/>
              </w:rPr>
              <w:t>3) El presente Protocolo entrará en vigor tres meses después de que cuatro Estados hayan depositado sus instrumentos de ratificación o de adhesión.</w:t>
            </w: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40</w:t>
            </w:r>
          </w:p>
          <w:p w:rsidR="00DC569B" w:rsidRPr="00CD55AD" w:rsidRDefault="00DC569B" w:rsidP="006D5FBC">
            <w:pPr>
              <w:jc w:val="center"/>
              <w:rPr>
                <w:rFonts w:cs="Arial"/>
                <w:b/>
                <w:lang w:val="es-ES"/>
              </w:rPr>
            </w:pPr>
            <w:r w:rsidRPr="004D4403">
              <w:rPr>
                <w:rFonts w:cs="Arial"/>
                <w:b/>
              </w:rPr>
              <w:t>Entrada en vigor</w:t>
            </w:r>
          </w:p>
          <w:p w:rsidR="00DC569B" w:rsidRPr="00CD55AD" w:rsidRDefault="00DC569B" w:rsidP="006D5FBC">
            <w:pPr>
              <w:widowControl w:val="0"/>
              <w:rPr>
                <w:rFonts w:cs="Arial"/>
                <w:kern w:val="28"/>
                <w:lang w:val="es-ES" w:eastAsia="en-ZW"/>
              </w:rPr>
            </w:pPr>
          </w:p>
          <w:p w:rsidR="00DC569B" w:rsidRPr="00CD55AD" w:rsidRDefault="00DC569B" w:rsidP="006D5FBC">
            <w:pPr>
              <w:widowControl w:val="0"/>
              <w:rPr>
                <w:rFonts w:cs="Arial"/>
                <w:kern w:val="28"/>
                <w:lang w:val="es-ES" w:eastAsia="en-ZW"/>
              </w:rPr>
            </w:pPr>
            <w:r w:rsidRPr="00946173">
              <w:rPr>
                <w:rFonts w:cs="Arial"/>
                <w:kern w:val="28"/>
                <w:lang w:eastAsia="en-ZW"/>
              </w:rPr>
              <w:t>3) El presente Protocolo entrará en vigor doce meses después de que cuatro Estados hayan depositado sus instrumentos de ratificación o de adhesión.</w:t>
            </w:r>
          </w:p>
        </w:tc>
      </w:tr>
      <w:tr w:rsidR="00DC569B" w:rsidRPr="00CD55AD" w:rsidTr="006D5FBC">
        <w:trPr>
          <w:cantSplit/>
        </w:trPr>
        <w:tc>
          <w:tcPr>
            <w:tcW w:w="2159" w:type="dxa"/>
            <w:tcBorders>
              <w:top w:val="single" w:sz="4" w:space="0" w:color="auto"/>
              <w:left w:val="single" w:sz="4" w:space="0" w:color="auto"/>
              <w:bottom w:val="single" w:sz="4" w:space="0" w:color="auto"/>
              <w:right w:val="single" w:sz="4" w:space="0" w:color="auto"/>
            </w:tcBorders>
          </w:tcPr>
          <w:p w:rsidR="00DC569B" w:rsidRPr="007D3E31" w:rsidRDefault="00DC569B" w:rsidP="006D5FBC">
            <w:pPr>
              <w:jc w:val="center"/>
              <w:rPr>
                <w:rFonts w:cs="Arial"/>
                <w:b/>
              </w:rPr>
            </w:pPr>
            <w:r w:rsidRPr="004D4403">
              <w:rPr>
                <w:rFonts w:cs="Arial"/>
                <w:b/>
              </w:rPr>
              <w:t>Artículo 42</w:t>
            </w:r>
            <w:r w:rsidRPr="007D3E31">
              <w:rPr>
                <w:rFonts w:cs="Arial"/>
                <w:b/>
              </w:rPr>
              <w:t xml:space="preserve"> </w:t>
            </w:r>
          </w:p>
          <w:p w:rsidR="00DC569B" w:rsidRPr="007D3E31" w:rsidRDefault="00DC569B" w:rsidP="006D5FBC">
            <w:pPr>
              <w:jc w:val="center"/>
              <w:rPr>
                <w:rFonts w:cs="Arial"/>
                <w:b/>
              </w:rPr>
            </w:pPr>
            <w:r w:rsidRPr="00946173">
              <w:rPr>
                <w:rFonts w:cs="Arial"/>
                <w:b/>
              </w:rPr>
              <w:t>Firma del Protocolo</w:t>
            </w:r>
          </w:p>
          <w:p w:rsidR="00DC569B" w:rsidRPr="007D3E31" w:rsidRDefault="00DC569B" w:rsidP="006D5FBC">
            <w:pPr>
              <w:rPr>
                <w:rFonts w:cs="Arial"/>
              </w:rPr>
            </w:pPr>
            <w:r w:rsidRPr="007D3E31">
              <w:rPr>
                <w:rFonts w:cs="Arial"/>
              </w:rPr>
              <w:t>1)</w:t>
            </w: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43</w:t>
            </w:r>
            <w:r w:rsidRPr="00CD55AD">
              <w:rPr>
                <w:rFonts w:cs="Arial"/>
                <w:b/>
                <w:lang w:val="es-ES"/>
              </w:rPr>
              <w:t xml:space="preserve"> </w:t>
            </w:r>
          </w:p>
          <w:p w:rsidR="00DC569B" w:rsidRPr="00CD55AD" w:rsidRDefault="00DC569B" w:rsidP="006D5FBC">
            <w:pPr>
              <w:jc w:val="center"/>
              <w:rPr>
                <w:rFonts w:cs="Arial"/>
                <w:b/>
                <w:lang w:val="es-ES"/>
              </w:rPr>
            </w:pPr>
            <w:r w:rsidRPr="004D4403">
              <w:rPr>
                <w:rFonts w:cs="Arial"/>
                <w:b/>
              </w:rPr>
              <w:t>Firma del Protocolo</w:t>
            </w:r>
          </w:p>
          <w:p w:rsidR="00DC569B" w:rsidRPr="00CD55AD" w:rsidRDefault="00DC569B" w:rsidP="006D5FBC">
            <w:pPr>
              <w:jc w:val="center"/>
              <w:rPr>
                <w:rFonts w:cs="Arial"/>
                <w:b/>
                <w:lang w:val="es-ES"/>
              </w:rPr>
            </w:pPr>
          </w:p>
          <w:p w:rsidR="00DC569B" w:rsidRPr="00CD55AD" w:rsidRDefault="00DC569B" w:rsidP="006D5FBC">
            <w:pPr>
              <w:rPr>
                <w:rFonts w:cs="Arial"/>
                <w:lang w:val="es-ES"/>
              </w:rPr>
            </w:pPr>
            <w:r w:rsidRPr="00946173">
              <w:rPr>
                <w:rFonts w:cs="Arial"/>
              </w:rPr>
              <w:t>1) El presente Protocolo se firmará en un solo ejemplar y se depositará en poder del Director General de la ARIPO.</w:t>
            </w:r>
          </w:p>
        </w:tc>
        <w:tc>
          <w:tcPr>
            <w:tcW w:w="3740" w:type="dxa"/>
            <w:tcBorders>
              <w:top w:val="single" w:sz="4" w:space="0" w:color="auto"/>
              <w:left w:val="single" w:sz="4" w:space="0" w:color="auto"/>
              <w:bottom w:val="single" w:sz="4" w:space="0" w:color="auto"/>
              <w:right w:val="single" w:sz="4" w:space="0" w:color="auto"/>
            </w:tcBorders>
          </w:tcPr>
          <w:p w:rsidR="00DC569B" w:rsidRPr="00CD55AD" w:rsidRDefault="00DC569B" w:rsidP="006D5FBC">
            <w:pPr>
              <w:jc w:val="center"/>
              <w:rPr>
                <w:rFonts w:cs="Arial"/>
                <w:b/>
                <w:lang w:val="es-ES"/>
              </w:rPr>
            </w:pPr>
            <w:r w:rsidRPr="004D4403">
              <w:rPr>
                <w:rFonts w:cs="Arial"/>
                <w:b/>
              </w:rPr>
              <w:t>Artículo 42</w:t>
            </w:r>
            <w:r w:rsidRPr="00CD55AD">
              <w:rPr>
                <w:rFonts w:cs="Arial"/>
                <w:b/>
                <w:lang w:val="es-ES"/>
              </w:rPr>
              <w:t xml:space="preserve"> </w:t>
            </w:r>
          </w:p>
          <w:p w:rsidR="00DC569B" w:rsidRPr="00CD55AD" w:rsidRDefault="00DC569B" w:rsidP="006D5FBC">
            <w:pPr>
              <w:jc w:val="center"/>
              <w:rPr>
                <w:rFonts w:cs="Arial"/>
                <w:b/>
                <w:lang w:val="es-ES"/>
              </w:rPr>
            </w:pPr>
            <w:r w:rsidRPr="004D4403">
              <w:rPr>
                <w:rFonts w:cs="Arial"/>
                <w:b/>
              </w:rPr>
              <w:t>Firma del Protocolo</w:t>
            </w:r>
          </w:p>
          <w:p w:rsidR="00DC569B" w:rsidRPr="00CD55AD" w:rsidRDefault="00DC569B" w:rsidP="006D5FBC">
            <w:pPr>
              <w:jc w:val="center"/>
              <w:rPr>
                <w:rFonts w:cs="Arial"/>
                <w:b/>
                <w:lang w:val="es-ES"/>
              </w:rPr>
            </w:pPr>
          </w:p>
          <w:p w:rsidR="00DC569B" w:rsidRPr="00CD55AD" w:rsidRDefault="00DC569B" w:rsidP="006D5FBC">
            <w:pPr>
              <w:rPr>
                <w:rFonts w:cs="Arial"/>
                <w:lang w:val="es-ES"/>
              </w:rPr>
            </w:pPr>
            <w:r w:rsidRPr="00946173">
              <w:rPr>
                <w:rFonts w:cs="Arial"/>
              </w:rPr>
              <w:t>1) El presente Protocolo se firmará en un solo ejemplar y se depositará en poder del Director General de la ARIPO.</w:t>
            </w:r>
            <w:r w:rsidRPr="00CD55AD">
              <w:rPr>
                <w:rFonts w:cs="Arial"/>
                <w:lang w:val="es-ES"/>
              </w:rPr>
              <w:t xml:space="preserve">  </w:t>
            </w:r>
            <w:r w:rsidRPr="00946173">
              <w:rPr>
                <w:rFonts w:cs="Arial"/>
              </w:rPr>
              <w:t>Quedará abierto a la firma de los Estados miembros de la Organización y de otros Estados miembros de la Unión Africana hasta el 31 de diciembre de 2015.</w:t>
            </w:r>
          </w:p>
        </w:tc>
      </w:tr>
    </w:tbl>
    <w:p w:rsidR="00DC569B" w:rsidRPr="00CD55AD" w:rsidRDefault="00DC569B" w:rsidP="00DC569B">
      <w:pPr>
        <w:rPr>
          <w:lang w:val="es-ES"/>
        </w:rPr>
      </w:pPr>
    </w:p>
    <w:p w:rsidR="003F39F5" w:rsidRPr="00DC569B" w:rsidRDefault="003F39F5" w:rsidP="003F39F5">
      <w:pPr>
        <w:rPr>
          <w:lang w:val="es-ES"/>
        </w:rPr>
      </w:pPr>
    </w:p>
    <w:p w:rsidR="003F39F5" w:rsidRPr="00D42A19" w:rsidRDefault="003F39F5" w:rsidP="003F39F5"/>
    <w:p w:rsidR="003F39F5" w:rsidRPr="00D42A19" w:rsidRDefault="003F39F5" w:rsidP="003F39F5">
      <w:pPr>
        <w:jc w:val="right"/>
      </w:pPr>
      <w:r w:rsidRPr="00D42A19">
        <w:t>[</w:t>
      </w:r>
      <w:r w:rsidR="00F14899" w:rsidRPr="00D42A19">
        <w:t>Fin del</w:t>
      </w:r>
      <w:r w:rsidRPr="00D42A19">
        <w:t xml:space="preserve"> </w:t>
      </w:r>
      <w:r w:rsidR="00F14899" w:rsidRPr="00D42A19">
        <w:t>Anexo</w:t>
      </w:r>
      <w:r w:rsidRPr="00D42A19">
        <w:t xml:space="preserve"> XVIII </w:t>
      </w:r>
      <w:r w:rsidR="00F14899" w:rsidRPr="00D42A19">
        <w:t xml:space="preserve">y del </w:t>
      </w:r>
      <w:r w:rsidRPr="00D42A19">
        <w:t>document</w:t>
      </w:r>
      <w:r w:rsidR="00F14899" w:rsidRPr="00D42A19">
        <w:t>o</w:t>
      </w:r>
      <w:r w:rsidRPr="00D42A19">
        <w:t>]</w:t>
      </w:r>
    </w:p>
    <w:p w:rsidR="001365D1" w:rsidRPr="00D42A19" w:rsidRDefault="001365D1" w:rsidP="003E7998">
      <w:pPr>
        <w:jc w:val="left"/>
      </w:pPr>
    </w:p>
    <w:sectPr w:rsidR="001365D1" w:rsidRPr="00D42A19" w:rsidSect="00DC569B">
      <w:headerReference w:type="default" r:id="rId4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E84" w:rsidRDefault="005B5E84" w:rsidP="00F45372">
      <w:r>
        <w:separator/>
      </w:r>
    </w:p>
    <w:p w:rsidR="005B5E84" w:rsidRDefault="005B5E84" w:rsidP="00F45372"/>
  </w:endnote>
  <w:endnote w:type="continuationSeparator" w:id="0">
    <w:p w:rsidR="005B5E84" w:rsidRDefault="005B5E84" w:rsidP="00F45372">
      <w:r>
        <w:separator/>
      </w:r>
    </w:p>
    <w:p w:rsidR="005B5E84" w:rsidRPr="00B108A6" w:rsidRDefault="005B5E84">
      <w:pPr>
        <w:pStyle w:val="Footer"/>
        <w:spacing w:after="60"/>
        <w:rPr>
          <w:sz w:val="18"/>
          <w:lang w:val="fr-FR"/>
        </w:rPr>
      </w:pPr>
      <w:r w:rsidRPr="00B108A6">
        <w:rPr>
          <w:sz w:val="18"/>
          <w:lang w:val="fr-FR"/>
        </w:rPr>
        <w:t>[Suite de la note de la page précédente]</w:t>
      </w:r>
    </w:p>
    <w:p w:rsidR="005B5E84" w:rsidRPr="00B108A6" w:rsidRDefault="005B5E84" w:rsidP="00F45372">
      <w:pPr>
        <w:rPr>
          <w:lang w:val="fr-FR"/>
        </w:rPr>
      </w:pPr>
    </w:p>
    <w:p w:rsidR="005B5E84" w:rsidRPr="00B108A6" w:rsidRDefault="005B5E84" w:rsidP="00F45372">
      <w:pPr>
        <w:rPr>
          <w:lang w:val="fr-FR"/>
        </w:rPr>
      </w:pPr>
    </w:p>
  </w:endnote>
  <w:endnote w:type="continuationNotice" w:id="1">
    <w:p w:rsidR="005B5E84" w:rsidRPr="00B108A6" w:rsidRDefault="005B5E84" w:rsidP="00F45372">
      <w:pPr>
        <w:rPr>
          <w:lang w:val="fr-FR"/>
        </w:rPr>
      </w:pPr>
      <w:r w:rsidRPr="00B108A6">
        <w:rPr>
          <w:lang w:val="fr-FR"/>
        </w:rPr>
        <w:t>[Suite de la note page suivante]</w:t>
      </w:r>
    </w:p>
    <w:p w:rsidR="005B5E84" w:rsidRPr="00B108A6" w:rsidRDefault="005B5E84" w:rsidP="00F45372">
      <w:pPr>
        <w:rPr>
          <w:lang w:val="fr-FR"/>
        </w:rPr>
      </w:pPr>
    </w:p>
    <w:p w:rsidR="005B5E84" w:rsidRPr="00B108A6" w:rsidRDefault="005B5E84" w:rsidP="00F45372">
      <w:pPr>
        <w:rPr>
          <w:lang w:val="fr-FR"/>
        </w:rPr>
      </w:pPr>
    </w:p>
  </w:endnote>
  <w:endnote w:id="2">
    <w:p w:rsidR="004A7E64" w:rsidRPr="004A7E64" w:rsidRDefault="004A7E64" w:rsidP="004A7E64">
      <w:pPr>
        <w:pStyle w:val="EndnoteText"/>
        <w:ind w:left="284" w:hanging="284"/>
        <w:rPr>
          <w:sz w:val="16"/>
        </w:rPr>
      </w:pPr>
      <w:r w:rsidRPr="009F5335">
        <w:rPr>
          <w:rStyle w:val="EndnoteReference"/>
          <w:sz w:val="16"/>
        </w:rPr>
        <w:endnoteRef/>
      </w:r>
      <w:r w:rsidRPr="009F5335">
        <w:rPr>
          <w:sz w:val="16"/>
        </w:rPr>
        <w:tab/>
        <w:t>Este informe utiliza la terminología de las Naciones Unidas.</w:t>
      </w:r>
      <w:bookmarkStart w:id="5" w:name="_GoBack"/>
      <w:bookmarkEnd w:id="5"/>
    </w:p>
    <w:p w:rsidR="004A7E64" w:rsidRPr="004A7E64" w:rsidRDefault="004A7E64" w:rsidP="004A7E64"/>
    <w:p w:rsidR="004A7E64" w:rsidRPr="004A7E64" w:rsidRDefault="004A7E64" w:rsidP="004A7E64"/>
    <w:p w:rsidR="004A7E64" w:rsidRPr="004A7E64" w:rsidRDefault="004A7E64" w:rsidP="004A7E64"/>
    <w:p w:rsidR="004A7E64" w:rsidRPr="00D42A19" w:rsidRDefault="004A7E64" w:rsidP="004A7E64">
      <w:pPr>
        <w:jc w:val="right"/>
      </w:pPr>
      <w:r w:rsidRPr="00D42A19">
        <w:t>[Sigue el Anexo XVIII]</w:t>
      </w:r>
    </w:p>
    <w:p w:rsidR="004A7E64" w:rsidRPr="00D365FF" w:rsidRDefault="004A7E64" w:rsidP="004A7E64">
      <w:pPr>
        <w:jc w:val="righ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yriad Pro Light">
    <w:altName w:val="Myriad Pro Light"/>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yriadPro-Light">
    <w:altName w:val="Arial Unicode MS"/>
    <w:panose1 w:val="00000000000000000000"/>
    <w:charset w:val="80"/>
    <w:family w:val="swiss"/>
    <w:notTrueType/>
    <w:pitch w:val="default"/>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E84" w:rsidRDefault="005B5E84" w:rsidP="006A59FA">
      <w:pPr>
        <w:spacing w:before="120"/>
      </w:pPr>
      <w:r>
        <w:separator/>
      </w:r>
    </w:p>
  </w:footnote>
  <w:footnote w:type="continuationSeparator" w:id="0">
    <w:p w:rsidR="005B5E84" w:rsidRDefault="005B5E84" w:rsidP="00F45372">
      <w:r>
        <w:separator/>
      </w:r>
    </w:p>
  </w:footnote>
  <w:footnote w:type="continuationNotice" w:id="1">
    <w:p w:rsidR="005B5E84" w:rsidRPr="00721353" w:rsidRDefault="005B5E84" w:rsidP="00721353">
      <w:pPr>
        <w:pStyle w:val="Footer"/>
      </w:pPr>
    </w:p>
  </w:footnote>
  <w:footnote w:id="2">
    <w:p w:rsidR="005B5E84" w:rsidRPr="00473D0E" w:rsidRDefault="005B5E84" w:rsidP="00473D0E">
      <w:pPr>
        <w:pStyle w:val="FootnoteText"/>
        <w:rPr>
          <w:lang w:val="es-ES_tradnl"/>
        </w:rPr>
      </w:pPr>
      <w:r w:rsidRPr="00473D0E">
        <w:rPr>
          <w:rStyle w:val="FootnoteReference"/>
          <w:lang w:val="es-ES_tradnl"/>
        </w:rPr>
        <w:footnoteRef/>
      </w:r>
      <w:r w:rsidRPr="00473D0E">
        <w:rPr>
          <w:lang w:val="es-ES_tradnl"/>
        </w:rPr>
        <w:tab/>
        <w:t>Los documentos adjuntos mencionados se pueden poner a disposición de quien los solicite.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E84" w:rsidRPr="008D3729" w:rsidRDefault="005B5E84" w:rsidP="00EB048E">
    <w:pPr>
      <w:pStyle w:val="Header"/>
      <w:rPr>
        <w:rStyle w:val="PageNumber"/>
      </w:rPr>
    </w:pPr>
    <w:r>
      <w:rPr>
        <w:rStyle w:val="PageNumber"/>
      </w:rPr>
      <w:t>C/49/</w:t>
    </w:r>
  </w:p>
  <w:p w:rsidR="005B5E84" w:rsidRPr="008D3729" w:rsidRDefault="005B5E84" w:rsidP="00EB048E">
    <w:pPr>
      <w:pStyle w:val="Header"/>
    </w:pPr>
    <w:proofErr w:type="gramStart"/>
    <w:r w:rsidRPr="008D3729">
      <w:t>página</w:t>
    </w:r>
    <w:proofErr w:type="gramEnd"/>
    <w:r w:rsidRPr="008D3729">
      <w:t xml:space="preserve"> </w:t>
    </w:r>
    <w:r w:rsidRPr="008D3729">
      <w:rPr>
        <w:rStyle w:val="PageNumber"/>
      </w:rPr>
      <w:fldChar w:fldCharType="begin"/>
    </w:r>
    <w:r w:rsidRPr="008D3729">
      <w:rPr>
        <w:rStyle w:val="PageNumber"/>
      </w:rPr>
      <w:instrText xml:space="preserve"> PAGE </w:instrText>
    </w:r>
    <w:r w:rsidRPr="008D3729">
      <w:rPr>
        <w:rStyle w:val="PageNumber"/>
      </w:rPr>
      <w:fldChar w:fldCharType="separate"/>
    </w:r>
    <w:r w:rsidR="001714F3">
      <w:rPr>
        <w:rStyle w:val="PageNumber"/>
        <w:noProof/>
      </w:rPr>
      <w:t>6</w:t>
    </w:r>
    <w:r w:rsidRPr="008D3729">
      <w:rPr>
        <w:rStyle w:val="PageNumber"/>
      </w:rPr>
      <w:fldChar w:fldCharType="end"/>
    </w:r>
  </w:p>
  <w:p w:rsidR="005B5E84" w:rsidRPr="008D3729" w:rsidRDefault="005B5E84" w:rsidP="00F45372"/>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E84" w:rsidRPr="00C5280D" w:rsidRDefault="005B5E84" w:rsidP="00EB048E">
    <w:pPr>
      <w:pStyle w:val="Header"/>
      <w:rPr>
        <w:rStyle w:val="PageNumber"/>
        <w:lang w:val="en-US"/>
      </w:rPr>
    </w:pPr>
    <w:r>
      <w:rPr>
        <w:rStyle w:val="PageNumber"/>
        <w:lang w:val="en-US"/>
      </w:rPr>
      <w:t>C/49/15</w:t>
    </w:r>
  </w:p>
  <w:p w:rsidR="005B5E84" w:rsidRPr="00C5280D" w:rsidRDefault="005B5E84" w:rsidP="00EB048E">
    <w:pPr>
      <w:pStyle w:val="Header"/>
      <w:rPr>
        <w:lang w:val="en-US"/>
      </w:rPr>
    </w:pPr>
    <w:proofErr w:type="spellStart"/>
    <w:r>
      <w:rPr>
        <w:lang w:val="en-US"/>
      </w:rPr>
      <w:t>Anexo</w:t>
    </w:r>
    <w:proofErr w:type="spellEnd"/>
    <w:r>
      <w:rPr>
        <w:lang w:val="en-US"/>
      </w:rPr>
      <w:t xml:space="preserve"> IX,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714F3">
      <w:rPr>
        <w:rStyle w:val="PageNumber"/>
        <w:noProof/>
        <w:lang w:val="en-US"/>
      </w:rPr>
      <w:t>6</w:t>
    </w:r>
    <w:r w:rsidRPr="00C5280D">
      <w:rPr>
        <w:rStyle w:val="PageNumber"/>
        <w:lang w:val="en-US"/>
      </w:rPr>
      <w:fldChar w:fldCharType="end"/>
    </w:r>
  </w:p>
  <w:p w:rsidR="005B5E84" w:rsidRPr="00C5280D" w:rsidRDefault="005B5E84" w:rsidP="004F3A5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E84" w:rsidRPr="00C5280D" w:rsidRDefault="005B5E84" w:rsidP="00EB048E">
    <w:pPr>
      <w:pStyle w:val="Header"/>
      <w:rPr>
        <w:rStyle w:val="PageNumber"/>
        <w:lang w:val="en-US"/>
      </w:rPr>
    </w:pPr>
    <w:r>
      <w:rPr>
        <w:rStyle w:val="PageNumber"/>
        <w:lang w:val="en-US"/>
      </w:rPr>
      <w:t>C/49/15</w:t>
    </w:r>
  </w:p>
  <w:p w:rsidR="005B5E84" w:rsidRPr="00C5280D" w:rsidRDefault="005B5E84" w:rsidP="00EB048E">
    <w:pPr>
      <w:pStyle w:val="Header"/>
      <w:rPr>
        <w:lang w:val="en-US"/>
      </w:rPr>
    </w:pPr>
    <w:proofErr w:type="spellStart"/>
    <w:r>
      <w:rPr>
        <w:lang w:val="en-US"/>
      </w:rPr>
      <w:t>Anexo</w:t>
    </w:r>
    <w:proofErr w:type="spellEnd"/>
    <w:r>
      <w:rPr>
        <w:lang w:val="en-US"/>
      </w:rPr>
      <w:t xml:space="preserve"> X,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714F3">
      <w:rPr>
        <w:rStyle w:val="PageNumber"/>
        <w:noProof/>
        <w:lang w:val="en-US"/>
      </w:rPr>
      <w:t>4</w:t>
    </w:r>
    <w:r w:rsidRPr="00C5280D">
      <w:rPr>
        <w:rStyle w:val="PageNumber"/>
        <w:lang w:val="en-US"/>
      </w:rPr>
      <w:fldChar w:fldCharType="end"/>
    </w:r>
  </w:p>
  <w:p w:rsidR="005B5E84" w:rsidRPr="00C5280D" w:rsidRDefault="005B5E84" w:rsidP="004F3A50"/>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E84" w:rsidRPr="00C5280D" w:rsidRDefault="005B5E84" w:rsidP="00EB048E">
    <w:pPr>
      <w:pStyle w:val="Header"/>
      <w:rPr>
        <w:rStyle w:val="PageNumber"/>
        <w:lang w:val="en-US"/>
      </w:rPr>
    </w:pPr>
    <w:r>
      <w:rPr>
        <w:rStyle w:val="PageNumber"/>
        <w:lang w:val="en-US"/>
      </w:rPr>
      <w:t>C/49/15</w:t>
    </w:r>
  </w:p>
  <w:p w:rsidR="005B5E84" w:rsidRPr="00C5280D" w:rsidRDefault="005B5E84" w:rsidP="00EB048E">
    <w:pPr>
      <w:pStyle w:val="Header"/>
      <w:rPr>
        <w:lang w:val="en-US"/>
      </w:rPr>
    </w:pPr>
    <w:proofErr w:type="spellStart"/>
    <w:r>
      <w:rPr>
        <w:lang w:val="en-US"/>
      </w:rPr>
      <w:t>Anexo</w:t>
    </w:r>
    <w:proofErr w:type="spellEnd"/>
    <w:r>
      <w:rPr>
        <w:lang w:val="en-US"/>
      </w:rPr>
      <w:t xml:space="preserve"> XII,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714F3">
      <w:rPr>
        <w:rStyle w:val="PageNumber"/>
        <w:noProof/>
        <w:lang w:val="en-US"/>
      </w:rPr>
      <w:t>2</w:t>
    </w:r>
    <w:r w:rsidRPr="00C5280D">
      <w:rPr>
        <w:rStyle w:val="PageNumber"/>
        <w:lang w:val="en-US"/>
      </w:rPr>
      <w:fldChar w:fldCharType="end"/>
    </w:r>
  </w:p>
  <w:p w:rsidR="005B5E84" w:rsidRPr="00C5280D" w:rsidRDefault="005B5E84" w:rsidP="004F3A5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E84" w:rsidRPr="00C5280D" w:rsidRDefault="005B5E84" w:rsidP="00EB048E">
    <w:pPr>
      <w:pStyle w:val="Header"/>
      <w:rPr>
        <w:rStyle w:val="PageNumber"/>
        <w:lang w:val="en-US"/>
      </w:rPr>
    </w:pPr>
    <w:r>
      <w:rPr>
        <w:rStyle w:val="PageNumber"/>
        <w:lang w:val="en-US"/>
      </w:rPr>
      <w:t>C/49/15</w:t>
    </w:r>
  </w:p>
  <w:p w:rsidR="005B5E84" w:rsidRPr="00C5280D" w:rsidRDefault="005B5E84" w:rsidP="00EB048E">
    <w:pPr>
      <w:pStyle w:val="Header"/>
      <w:rPr>
        <w:lang w:val="en-US"/>
      </w:rPr>
    </w:pPr>
    <w:proofErr w:type="spellStart"/>
    <w:r>
      <w:rPr>
        <w:lang w:val="en-US"/>
      </w:rPr>
      <w:t>Anexo</w:t>
    </w:r>
    <w:proofErr w:type="spellEnd"/>
    <w:r>
      <w:rPr>
        <w:lang w:val="en-US"/>
      </w:rPr>
      <w:t xml:space="preserve"> XIV,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714F3">
      <w:rPr>
        <w:rStyle w:val="PageNumber"/>
        <w:noProof/>
        <w:lang w:val="en-US"/>
      </w:rPr>
      <w:t>2</w:t>
    </w:r>
    <w:r w:rsidRPr="00C5280D">
      <w:rPr>
        <w:rStyle w:val="PageNumber"/>
        <w:lang w:val="en-US"/>
      </w:rPr>
      <w:fldChar w:fldCharType="end"/>
    </w:r>
  </w:p>
  <w:p w:rsidR="005B5E84" w:rsidRPr="00C5280D" w:rsidRDefault="005B5E84" w:rsidP="004F3A50"/>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E84" w:rsidRPr="00C5280D" w:rsidRDefault="005B5E84" w:rsidP="00EB048E">
    <w:pPr>
      <w:pStyle w:val="Header"/>
      <w:rPr>
        <w:rStyle w:val="PageNumber"/>
        <w:lang w:val="en-US"/>
      </w:rPr>
    </w:pPr>
    <w:r>
      <w:rPr>
        <w:rStyle w:val="PageNumber"/>
        <w:lang w:val="en-US"/>
      </w:rPr>
      <w:t>C/49/15</w:t>
    </w:r>
  </w:p>
  <w:p w:rsidR="005B5E84" w:rsidRPr="00C5280D" w:rsidRDefault="005B5E84" w:rsidP="00EB048E">
    <w:pPr>
      <w:pStyle w:val="Header"/>
      <w:rPr>
        <w:lang w:val="en-US"/>
      </w:rPr>
    </w:pPr>
    <w:proofErr w:type="spellStart"/>
    <w:r>
      <w:rPr>
        <w:lang w:val="en-US"/>
      </w:rPr>
      <w:t>Anexo</w:t>
    </w:r>
    <w:proofErr w:type="spellEnd"/>
    <w:r>
      <w:rPr>
        <w:lang w:val="en-US"/>
      </w:rPr>
      <w:t xml:space="preserve"> XV,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714F3">
      <w:rPr>
        <w:rStyle w:val="PageNumber"/>
        <w:noProof/>
        <w:lang w:val="en-US"/>
      </w:rPr>
      <w:t>6</w:t>
    </w:r>
    <w:r w:rsidRPr="00C5280D">
      <w:rPr>
        <w:rStyle w:val="PageNumber"/>
        <w:lang w:val="en-US"/>
      </w:rPr>
      <w:fldChar w:fldCharType="end"/>
    </w:r>
  </w:p>
  <w:p w:rsidR="005B5E84" w:rsidRPr="00C5280D" w:rsidRDefault="005B5E84" w:rsidP="004F3A50"/>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E84" w:rsidRPr="00C5280D" w:rsidRDefault="005B5E84" w:rsidP="00EB048E">
    <w:pPr>
      <w:pStyle w:val="Header"/>
      <w:rPr>
        <w:rStyle w:val="PageNumber"/>
        <w:lang w:val="en-US"/>
      </w:rPr>
    </w:pPr>
    <w:r>
      <w:rPr>
        <w:rStyle w:val="PageNumber"/>
        <w:lang w:val="en-US"/>
      </w:rPr>
      <w:t>C/49/15</w:t>
    </w:r>
  </w:p>
  <w:p w:rsidR="005B5E84" w:rsidRPr="00C5280D" w:rsidRDefault="005B5E84" w:rsidP="00EB048E">
    <w:pPr>
      <w:pStyle w:val="Header"/>
      <w:rPr>
        <w:lang w:val="en-US"/>
      </w:rPr>
    </w:pPr>
    <w:proofErr w:type="spellStart"/>
    <w:r>
      <w:rPr>
        <w:lang w:val="en-US"/>
      </w:rPr>
      <w:t>Anexo</w:t>
    </w:r>
    <w:proofErr w:type="spellEnd"/>
    <w:r>
      <w:rPr>
        <w:lang w:val="en-US"/>
      </w:rPr>
      <w:t xml:space="preserve"> XVI,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714F3">
      <w:rPr>
        <w:rStyle w:val="PageNumber"/>
        <w:noProof/>
        <w:lang w:val="en-US"/>
      </w:rPr>
      <w:t>2</w:t>
    </w:r>
    <w:r w:rsidRPr="00C5280D">
      <w:rPr>
        <w:rStyle w:val="PageNumber"/>
        <w:lang w:val="en-US"/>
      </w:rPr>
      <w:fldChar w:fldCharType="end"/>
    </w:r>
  </w:p>
  <w:p w:rsidR="005B5E84" w:rsidRPr="00C5280D" w:rsidRDefault="005B5E84" w:rsidP="004F3A50"/>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E84" w:rsidRPr="00C5280D" w:rsidRDefault="005B5E84" w:rsidP="00EB048E">
    <w:pPr>
      <w:pStyle w:val="Header"/>
      <w:rPr>
        <w:rStyle w:val="PageNumber"/>
        <w:lang w:val="en-US"/>
      </w:rPr>
    </w:pPr>
    <w:r>
      <w:rPr>
        <w:rStyle w:val="PageNumber"/>
        <w:lang w:val="en-US"/>
      </w:rPr>
      <w:t>C/49/15</w:t>
    </w:r>
  </w:p>
  <w:p w:rsidR="005B5E84" w:rsidRPr="00C5280D" w:rsidRDefault="005B5E84" w:rsidP="00EB048E">
    <w:pPr>
      <w:pStyle w:val="Header"/>
      <w:rPr>
        <w:lang w:val="en-US"/>
      </w:rPr>
    </w:pPr>
    <w:proofErr w:type="spellStart"/>
    <w:r>
      <w:rPr>
        <w:lang w:val="en-US"/>
      </w:rPr>
      <w:t>Anexo</w:t>
    </w:r>
    <w:proofErr w:type="spellEnd"/>
    <w:r>
      <w:rPr>
        <w:lang w:val="en-US"/>
      </w:rPr>
      <w:t xml:space="preserve"> XVII,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714F3">
      <w:rPr>
        <w:rStyle w:val="PageNumber"/>
        <w:noProof/>
        <w:lang w:val="en-US"/>
      </w:rPr>
      <w:t>17</w:t>
    </w:r>
    <w:r w:rsidRPr="00C5280D">
      <w:rPr>
        <w:rStyle w:val="PageNumber"/>
        <w:lang w:val="en-US"/>
      </w:rPr>
      <w:fldChar w:fldCharType="end"/>
    </w:r>
  </w:p>
  <w:p w:rsidR="005B5E84" w:rsidRPr="00C5280D" w:rsidRDefault="005B5E84" w:rsidP="004F3A50"/>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69B" w:rsidRPr="00C5280D" w:rsidRDefault="00DC569B" w:rsidP="00EB048E">
    <w:pPr>
      <w:pStyle w:val="Header"/>
      <w:rPr>
        <w:rStyle w:val="PageNumber"/>
        <w:lang w:val="en-US"/>
      </w:rPr>
    </w:pPr>
    <w:r>
      <w:rPr>
        <w:rStyle w:val="PageNumber"/>
        <w:lang w:val="en-US"/>
      </w:rPr>
      <w:t>C/49/15</w:t>
    </w:r>
  </w:p>
  <w:p w:rsidR="00DC569B" w:rsidRPr="00C5280D" w:rsidRDefault="00DC569B" w:rsidP="00EB048E">
    <w:pPr>
      <w:pStyle w:val="Header"/>
      <w:rPr>
        <w:lang w:val="en-US"/>
      </w:rPr>
    </w:pPr>
    <w:proofErr w:type="spellStart"/>
    <w:r>
      <w:rPr>
        <w:lang w:val="en-US"/>
      </w:rPr>
      <w:t>Anexo</w:t>
    </w:r>
    <w:proofErr w:type="spellEnd"/>
    <w:r>
      <w:rPr>
        <w:lang w:val="en-US"/>
      </w:rPr>
      <w:t xml:space="preserve"> XVIII,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714F3">
      <w:rPr>
        <w:rStyle w:val="PageNumber"/>
        <w:noProof/>
        <w:lang w:val="en-US"/>
      </w:rPr>
      <w:t>6</w:t>
    </w:r>
    <w:r w:rsidRPr="00C5280D">
      <w:rPr>
        <w:rStyle w:val="PageNumber"/>
        <w:lang w:val="en-US"/>
      </w:rPr>
      <w:fldChar w:fldCharType="end"/>
    </w:r>
  </w:p>
  <w:p w:rsidR="00DC569B" w:rsidRPr="00C5280D" w:rsidRDefault="00DC569B" w:rsidP="004F3A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E84" w:rsidRPr="00C5280D" w:rsidRDefault="005B5E84" w:rsidP="00EB048E">
    <w:pPr>
      <w:pStyle w:val="Header"/>
      <w:rPr>
        <w:rStyle w:val="PageNumber"/>
        <w:lang w:val="en-US"/>
      </w:rPr>
    </w:pPr>
    <w:r>
      <w:rPr>
        <w:rStyle w:val="PageNumber"/>
        <w:lang w:val="en-US"/>
      </w:rPr>
      <w:t>C/49/15</w:t>
    </w:r>
  </w:p>
  <w:p w:rsidR="005B5E84" w:rsidRPr="00C5280D" w:rsidRDefault="005B5E84" w:rsidP="00EB048E">
    <w:pPr>
      <w:pStyle w:val="Header"/>
      <w:rPr>
        <w:lang w:val="en-US"/>
      </w:rPr>
    </w:pPr>
    <w:proofErr w:type="spellStart"/>
    <w:r>
      <w:rPr>
        <w:lang w:val="en-US"/>
      </w:rPr>
      <w:t>Anexo</w:t>
    </w:r>
    <w:proofErr w:type="spellEnd"/>
    <w:r>
      <w:rPr>
        <w:lang w:val="en-US"/>
      </w:rPr>
      <w:t xml:space="preserve"> I,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714F3">
      <w:rPr>
        <w:rStyle w:val="PageNumber"/>
        <w:noProof/>
        <w:lang w:val="en-US"/>
      </w:rPr>
      <w:t>6</w:t>
    </w:r>
    <w:r w:rsidRPr="00C5280D">
      <w:rPr>
        <w:rStyle w:val="PageNumber"/>
        <w:lang w:val="en-US"/>
      </w:rPr>
      <w:fldChar w:fldCharType="end"/>
    </w:r>
  </w:p>
  <w:p w:rsidR="005B5E84" w:rsidRPr="00C5280D" w:rsidRDefault="005B5E84" w:rsidP="004F3A5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E84" w:rsidRPr="00C5280D" w:rsidRDefault="005B5E84" w:rsidP="00EB048E">
    <w:pPr>
      <w:pStyle w:val="Header"/>
      <w:rPr>
        <w:rStyle w:val="PageNumber"/>
        <w:lang w:val="en-US"/>
      </w:rPr>
    </w:pPr>
    <w:r>
      <w:rPr>
        <w:rStyle w:val="PageNumber"/>
        <w:lang w:val="en-US"/>
      </w:rPr>
      <w:t>C/49/15</w:t>
    </w:r>
  </w:p>
  <w:p w:rsidR="005B5E84" w:rsidRPr="00C5280D" w:rsidRDefault="005B5E84" w:rsidP="00EB048E">
    <w:pPr>
      <w:pStyle w:val="Header"/>
      <w:rPr>
        <w:lang w:val="en-US"/>
      </w:rPr>
    </w:pPr>
    <w:proofErr w:type="spellStart"/>
    <w:r>
      <w:rPr>
        <w:lang w:val="en-US"/>
      </w:rPr>
      <w:t>Anexo</w:t>
    </w:r>
    <w:proofErr w:type="spellEnd"/>
    <w:r>
      <w:rPr>
        <w:lang w:val="en-US"/>
      </w:rPr>
      <w:t xml:space="preserve"> II,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714F3">
      <w:rPr>
        <w:rStyle w:val="PageNumber"/>
        <w:noProof/>
        <w:lang w:val="en-US"/>
      </w:rPr>
      <w:t>6</w:t>
    </w:r>
    <w:r w:rsidRPr="00C5280D">
      <w:rPr>
        <w:rStyle w:val="PageNumber"/>
        <w:lang w:val="en-US"/>
      </w:rPr>
      <w:fldChar w:fldCharType="end"/>
    </w:r>
  </w:p>
  <w:p w:rsidR="005B5E84" w:rsidRPr="00C5280D" w:rsidRDefault="005B5E84" w:rsidP="004F3A5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E84" w:rsidRPr="00C5280D" w:rsidRDefault="005B5E84" w:rsidP="00EB048E">
    <w:pPr>
      <w:pStyle w:val="Header"/>
      <w:rPr>
        <w:rStyle w:val="PageNumber"/>
        <w:lang w:val="en-US"/>
      </w:rPr>
    </w:pPr>
    <w:r>
      <w:rPr>
        <w:rStyle w:val="PageNumber"/>
        <w:lang w:val="en-US"/>
      </w:rPr>
      <w:t>C/49/15</w:t>
    </w:r>
  </w:p>
  <w:p w:rsidR="005B5E84" w:rsidRPr="00C5280D" w:rsidRDefault="005B5E84" w:rsidP="00EB048E">
    <w:pPr>
      <w:pStyle w:val="Header"/>
      <w:rPr>
        <w:lang w:val="en-US"/>
      </w:rPr>
    </w:pPr>
    <w:proofErr w:type="spellStart"/>
    <w:r>
      <w:rPr>
        <w:lang w:val="en-US"/>
      </w:rPr>
      <w:t>Anexo</w:t>
    </w:r>
    <w:proofErr w:type="spellEnd"/>
    <w:r>
      <w:rPr>
        <w:lang w:val="en-US"/>
      </w:rPr>
      <w:t xml:space="preserve"> III,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714F3">
      <w:rPr>
        <w:rStyle w:val="PageNumber"/>
        <w:noProof/>
        <w:lang w:val="en-US"/>
      </w:rPr>
      <w:t>6</w:t>
    </w:r>
    <w:r w:rsidRPr="00C5280D">
      <w:rPr>
        <w:rStyle w:val="PageNumber"/>
        <w:lang w:val="en-US"/>
      </w:rPr>
      <w:fldChar w:fldCharType="end"/>
    </w:r>
  </w:p>
  <w:p w:rsidR="005B5E84" w:rsidRPr="00C5280D" w:rsidRDefault="005B5E84" w:rsidP="004F3A5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E84" w:rsidRPr="00C5280D" w:rsidRDefault="005B5E84" w:rsidP="00EB048E">
    <w:pPr>
      <w:pStyle w:val="Header"/>
      <w:rPr>
        <w:rStyle w:val="PageNumber"/>
        <w:lang w:val="en-US"/>
      </w:rPr>
    </w:pPr>
    <w:r>
      <w:rPr>
        <w:rStyle w:val="PageNumber"/>
        <w:lang w:val="en-US"/>
      </w:rPr>
      <w:t>C/49/15</w:t>
    </w:r>
  </w:p>
  <w:p w:rsidR="005B5E84" w:rsidRPr="00C5280D" w:rsidRDefault="005B5E84" w:rsidP="00EB048E">
    <w:pPr>
      <w:pStyle w:val="Header"/>
      <w:rPr>
        <w:lang w:val="en-US"/>
      </w:rPr>
    </w:pPr>
    <w:proofErr w:type="spellStart"/>
    <w:r>
      <w:rPr>
        <w:lang w:val="en-US"/>
      </w:rPr>
      <w:t>Anexo</w:t>
    </w:r>
    <w:proofErr w:type="spellEnd"/>
    <w:r>
      <w:rPr>
        <w:lang w:val="en-US"/>
      </w:rPr>
      <w:t xml:space="preserve"> IV,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714F3">
      <w:rPr>
        <w:rStyle w:val="PageNumber"/>
        <w:noProof/>
        <w:lang w:val="en-US"/>
      </w:rPr>
      <w:t>6</w:t>
    </w:r>
    <w:r w:rsidRPr="00C5280D">
      <w:rPr>
        <w:rStyle w:val="PageNumber"/>
        <w:lang w:val="en-US"/>
      </w:rPr>
      <w:fldChar w:fldCharType="end"/>
    </w:r>
  </w:p>
  <w:p w:rsidR="005B5E84" w:rsidRPr="00C5280D" w:rsidRDefault="005B5E84" w:rsidP="004F3A50"/>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E84" w:rsidRPr="00C5280D" w:rsidRDefault="005B5E84" w:rsidP="00EB048E">
    <w:pPr>
      <w:pStyle w:val="Header"/>
      <w:rPr>
        <w:rStyle w:val="PageNumber"/>
        <w:lang w:val="en-US"/>
      </w:rPr>
    </w:pPr>
    <w:r>
      <w:rPr>
        <w:rStyle w:val="PageNumber"/>
        <w:lang w:val="en-US"/>
      </w:rPr>
      <w:t>C/49/15</w:t>
    </w:r>
  </w:p>
  <w:p w:rsidR="005B5E84" w:rsidRPr="00C5280D" w:rsidRDefault="005B5E84" w:rsidP="00EB048E">
    <w:pPr>
      <w:pStyle w:val="Header"/>
      <w:rPr>
        <w:lang w:val="en-US"/>
      </w:rPr>
    </w:pPr>
    <w:proofErr w:type="spellStart"/>
    <w:r>
      <w:rPr>
        <w:lang w:val="en-US"/>
      </w:rPr>
      <w:t>Anexo</w:t>
    </w:r>
    <w:proofErr w:type="spellEnd"/>
    <w:r>
      <w:rPr>
        <w:lang w:val="en-US"/>
      </w:rPr>
      <w:t xml:space="preserve"> V,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714F3">
      <w:rPr>
        <w:rStyle w:val="PageNumber"/>
        <w:noProof/>
        <w:lang w:val="en-US"/>
      </w:rPr>
      <w:t>6</w:t>
    </w:r>
    <w:r w:rsidRPr="00C5280D">
      <w:rPr>
        <w:rStyle w:val="PageNumber"/>
        <w:lang w:val="en-US"/>
      </w:rPr>
      <w:fldChar w:fldCharType="end"/>
    </w:r>
  </w:p>
  <w:p w:rsidR="005B5E84" w:rsidRPr="00C5280D" w:rsidRDefault="005B5E84" w:rsidP="004F3A5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E84" w:rsidRPr="00C5280D" w:rsidRDefault="005B5E84" w:rsidP="00EB048E">
    <w:pPr>
      <w:pStyle w:val="Header"/>
      <w:rPr>
        <w:rStyle w:val="PageNumber"/>
        <w:lang w:val="en-US"/>
      </w:rPr>
    </w:pPr>
    <w:r>
      <w:rPr>
        <w:rStyle w:val="PageNumber"/>
        <w:lang w:val="en-US"/>
      </w:rPr>
      <w:t>C/49/15</w:t>
    </w:r>
  </w:p>
  <w:p w:rsidR="005B5E84" w:rsidRPr="00C5280D" w:rsidRDefault="005B5E84" w:rsidP="00EB048E">
    <w:pPr>
      <w:pStyle w:val="Header"/>
      <w:rPr>
        <w:lang w:val="en-US"/>
      </w:rPr>
    </w:pPr>
    <w:proofErr w:type="spellStart"/>
    <w:r>
      <w:rPr>
        <w:lang w:val="en-US"/>
      </w:rPr>
      <w:t>Anexo</w:t>
    </w:r>
    <w:proofErr w:type="spellEnd"/>
    <w:r>
      <w:rPr>
        <w:lang w:val="en-US"/>
      </w:rPr>
      <w:t xml:space="preserve"> VI,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714F3">
      <w:rPr>
        <w:rStyle w:val="PageNumber"/>
        <w:noProof/>
        <w:lang w:val="en-US"/>
      </w:rPr>
      <w:t>6</w:t>
    </w:r>
    <w:r w:rsidRPr="00C5280D">
      <w:rPr>
        <w:rStyle w:val="PageNumber"/>
        <w:lang w:val="en-US"/>
      </w:rPr>
      <w:fldChar w:fldCharType="end"/>
    </w:r>
  </w:p>
  <w:p w:rsidR="005B5E84" w:rsidRPr="00C5280D" w:rsidRDefault="005B5E84" w:rsidP="004F3A5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E84" w:rsidRPr="00C5280D" w:rsidRDefault="005B5E84" w:rsidP="00EB048E">
    <w:pPr>
      <w:pStyle w:val="Header"/>
      <w:rPr>
        <w:rStyle w:val="PageNumber"/>
        <w:lang w:val="en-US"/>
      </w:rPr>
    </w:pPr>
    <w:r>
      <w:rPr>
        <w:rStyle w:val="PageNumber"/>
        <w:lang w:val="en-US"/>
      </w:rPr>
      <w:t>C/49/15</w:t>
    </w:r>
  </w:p>
  <w:p w:rsidR="005B5E84" w:rsidRPr="00C5280D" w:rsidRDefault="005B5E84" w:rsidP="00EB048E">
    <w:pPr>
      <w:pStyle w:val="Header"/>
      <w:rPr>
        <w:lang w:val="en-US"/>
      </w:rPr>
    </w:pPr>
    <w:proofErr w:type="spellStart"/>
    <w:r>
      <w:rPr>
        <w:lang w:val="en-US"/>
      </w:rPr>
      <w:t>Anexo</w:t>
    </w:r>
    <w:proofErr w:type="spellEnd"/>
    <w:r>
      <w:rPr>
        <w:lang w:val="en-US"/>
      </w:rPr>
      <w:t xml:space="preserve"> VII,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714F3">
      <w:rPr>
        <w:rStyle w:val="PageNumber"/>
        <w:noProof/>
        <w:lang w:val="en-US"/>
      </w:rPr>
      <w:t>6</w:t>
    </w:r>
    <w:r w:rsidRPr="00C5280D">
      <w:rPr>
        <w:rStyle w:val="PageNumber"/>
        <w:lang w:val="en-US"/>
      </w:rPr>
      <w:fldChar w:fldCharType="end"/>
    </w:r>
  </w:p>
  <w:p w:rsidR="005B5E84" w:rsidRPr="00C5280D" w:rsidRDefault="005B5E84" w:rsidP="004F3A50"/>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E84" w:rsidRPr="00C5280D" w:rsidRDefault="005B5E84" w:rsidP="00EB048E">
    <w:pPr>
      <w:pStyle w:val="Header"/>
      <w:rPr>
        <w:rStyle w:val="PageNumber"/>
        <w:lang w:val="en-US"/>
      </w:rPr>
    </w:pPr>
    <w:r>
      <w:rPr>
        <w:rStyle w:val="PageNumber"/>
        <w:lang w:val="en-US"/>
      </w:rPr>
      <w:t>C/49/15</w:t>
    </w:r>
  </w:p>
  <w:p w:rsidR="005B5E84" w:rsidRPr="00C5280D" w:rsidRDefault="005B5E84" w:rsidP="00EB048E">
    <w:pPr>
      <w:pStyle w:val="Header"/>
      <w:rPr>
        <w:lang w:val="en-US"/>
      </w:rPr>
    </w:pPr>
    <w:proofErr w:type="spellStart"/>
    <w:r>
      <w:rPr>
        <w:lang w:val="en-US"/>
      </w:rPr>
      <w:t>Anexo</w:t>
    </w:r>
    <w:proofErr w:type="spellEnd"/>
    <w:r>
      <w:rPr>
        <w:lang w:val="en-US"/>
      </w:rPr>
      <w:t xml:space="preserve"> VIII, </w:t>
    </w:r>
    <w:proofErr w:type="spellStart"/>
    <w:r>
      <w:rPr>
        <w:lang w:val="en-US"/>
      </w:rPr>
      <w:t>página</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1714F3">
      <w:rPr>
        <w:rStyle w:val="PageNumber"/>
        <w:noProof/>
        <w:lang w:val="en-US"/>
      </w:rPr>
      <w:t>6</w:t>
    </w:r>
    <w:r w:rsidRPr="00C5280D">
      <w:rPr>
        <w:rStyle w:val="PageNumber"/>
        <w:lang w:val="en-US"/>
      </w:rPr>
      <w:fldChar w:fldCharType="end"/>
    </w:r>
  </w:p>
  <w:p w:rsidR="005B5E84" w:rsidRPr="00C5280D" w:rsidRDefault="005B5E84" w:rsidP="004F3A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339F9"/>
    <w:multiLevelType w:val="hybridMultilevel"/>
    <w:tmpl w:val="8FC26D0A"/>
    <w:lvl w:ilvl="0" w:tplc="963054CC">
      <w:start w:val="1"/>
      <w:numFmt w:val="decimal"/>
      <w:lvlText w:val="%1)"/>
      <w:lvlJc w:val="left"/>
      <w:pPr>
        <w:tabs>
          <w:tab w:val="num" w:pos="0"/>
        </w:tabs>
        <w:ind w:left="360" w:hanging="360"/>
      </w:pPr>
      <w:rPr>
        <w:rFonts w:hint="default"/>
        <w:color w:val="auto"/>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
    <w:nsid w:val="13B06B2B"/>
    <w:multiLevelType w:val="hybridMultilevel"/>
    <w:tmpl w:val="3BFA72E2"/>
    <w:lvl w:ilvl="0" w:tplc="30090019">
      <w:start w:val="1"/>
      <w:numFmt w:val="lowerLetter"/>
      <w:lvlText w:val="%1."/>
      <w:lvlJc w:val="left"/>
      <w:pPr>
        <w:ind w:left="720" w:hanging="360"/>
      </w:p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2">
    <w:nsid w:val="14D27B28"/>
    <w:multiLevelType w:val="hybridMultilevel"/>
    <w:tmpl w:val="BE868A9C"/>
    <w:lvl w:ilvl="0" w:tplc="30090019">
      <w:start w:val="1"/>
      <w:numFmt w:val="lowerLetter"/>
      <w:lvlText w:val="%1."/>
      <w:lvlJc w:val="left"/>
      <w:pPr>
        <w:ind w:left="720" w:hanging="360"/>
      </w:pPr>
      <w:rPr>
        <w:color w:val="auto"/>
      </w:rPr>
    </w:lvl>
    <w:lvl w:ilvl="1" w:tplc="30090019">
      <w:start w:val="1"/>
      <w:numFmt w:val="lowerLetter"/>
      <w:lvlText w:val="%2."/>
      <w:lvlJc w:val="left"/>
      <w:pPr>
        <w:ind w:left="1440" w:hanging="360"/>
      </w:pPr>
    </w:lvl>
    <w:lvl w:ilvl="2" w:tplc="3009001B">
      <w:start w:val="1"/>
      <w:numFmt w:val="lowerRoman"/>
      <w:lvlText w:val="%3."/>
      <w:lvlJc w:val="right"/>
      <w:pPr>
        <w:ind w:left="2160" w:hanging="180"/>
      </w:pPr>
    </w:lvl>
    <w:lvl w:ilvl="3" w:tplc="3009000F">
      <w:start w:val="1"/>
      <w:numFmt w:val="decimal"/>
      <w:lvlText w:val="%4."/>
      <w:lvlJc w:val="left"/>
      <w:pPr>
        <w:ind w:left="2880" w:hanging="360"/>
      </w:pPr>
    </w:lvl>
    <w:lvl w:ilvl="4" w:tplc="30090019">
      <w:start w:val="1"/>
      <w:numFmt w:val="lowerLetter"/>
      <w:lvlText w:val="%5."/>
      <w:lvlJc w:val="left"/>
      <w:pPr>
        <w:ind w:left="3600" w:hanging="360"/>
      </w:pPr>
    </w:lvl>
    <w:lvl w:ilvl="5" w:tplc="3009001B">
      <w:start w:val="1"/>
      <w:numFmt w:val="lowerRoman"/>
      <w:lvlText w:val="%6."/>
      <w:lvlJc w:val="right"/>
      <w:pPr>
        <w:ind w:left="4320" w:hanging="180"/>
      </w:pPr>
    </w:lvl>
    <w:lvl w:ilvl="6" w:tplc="3009000F">
      <w:start w:val="1"/>
      <w:numFmt w:val="decimal"/>
      <w:lvlText w:val="%7."/>
      <w:lvlJc w:val="left"/>
      <w:pPr>
        <w:ind w:left="5040" w:hanging="360"/>
      </w:pPr>
    </w:lvl>
    <w:lvl w:ilvl="7" w:tplc="30090019">
      <w:start w:val="1"/>
      <w:numFmt w:val="lowerLetter"/>
      <w:lvlText w:val="%8."/>
      <w:lvlJc w:val="left"/>
      <w:pPr>
        <w:ind w:left="5760" w:hanging="360"/>
      </w:pPr>
    </w:lvl>
    <w:lvl w:ilvl="8" w:tplc="3009001B">
      <w:start w:val="1"/>
      <w:numFmt w:val="lowerRoman"/>
      <w:lvlText w:val="%9."/>
      <w:lvlJc w:val="right"/>
      <w:pPr>
        <w:ind w:left="6480" w:hanging="180"/>
      </w:pPr>
    </w:lvl>
  </w:abstractNum>
  <w:abstractNum w:abstractNumId="3">
    <w:nsid w:val="168356AF"/>
    <w:multiLevelType w:val="hybridMultilevel"/>
    <w:tmpl w:val="9D96F202"/>
    <w:lvl w:ilvl="0" w:tplc="DEE461BC">
      <w:start w:val="1"/>
      <w:numFmt w:val="bullet"/>
      <w:lvlText w:val=""/>
      <w:lvlJc w:val="left"/>
      <w:pPr>
        <w:ind w:left="783" w:hanging="360"/>
      </w:pPr>
      <w:rPr>
        <w:rFonts w:ascii="Symbol" w:hAnsi="Symbol" w:hint="default"/>
        <w:sz w:val="20"/>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nsid w:val="24921CC2"/>
    <w:multiLevelType w:val="hybridMultilevel"/>
    <w:tmpl w:val="CED8AA9E"/>
    <w:lvl w:ilvl="0" w:tplc="DEE461BC">
      <w:start w:val="1"/>
      <w:numFmt w:val="bullet"/>
      <w:lvlText w:val=""/>
      <w:lvlJc w:val="left"/>
      <w:pPr>
        <w:ind w:left="783" w:hanging="360"/>
      </w:pPr>
      <w:rPr>
        <w:rFonts w:ascii="Symbol" w:hAnsi="Symbol" w:hint="default"/>
        <w:sz w:val="20"/>
      </w:rPr>
    </w:lvl>
    <w:lvl w:ilvl="1" w:tplc="59CC7F5E">
      <w:numFmt w:val="bullet"/>
      <w:lvlText w:val="-"/>
      <w:lvlJc w:val="left"/>
      <w:pPr>
        <w:ind w:left="1503" w:hanging="360"/>
      </w:pPr>
      <w:rPr>
        <w:rFonts w:ascii="Times New Roman" w:eastAsia="Times New Roman" w:hAnsi="Times New Roman" w:cs="Times New Roman"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5">
    <w:nsid w:val="338E16F5"/>
    <w:multiLevelType w:val="hybridMultilevel"/>
    <w:tmpl w:val="DE6EA1F4"/>
    <w:lvl w:ilvl="0" w:tplc="3009001B">
      <w:start w:val="1"/>
      <w:numFmt w:val="lowerRoman"/>
      <w:lvlText w:val="%1."/>
      <w:lvlJc w:val="right"/>
      <w:pPr>
        <w:ind w:left="1440" w:hanging="360"/>
      </w:pPr>
    </w:lvl>
    <w:lvl w:ilvl="1" w:tplc="30090019">
      <w:start w:val="1"/>
      <w:numFmt w:val="lowerLetter"/>
      <w:lvlText w:val="%2."/>
      <w:lvlJc w:val="left"/>
      <w:pPr>
        <w:ind w:left="2160" w:hanging="360"/>
      </w:pPr>
    </w:lvl>
    <w:lvl w:ilvl="2" w:tplc="3009001B">
      <w:start w:val="1"/>
      <w:numFmt w:val="lowerRoman"/>
      <w:lvlText w:val="%3."/>
      <w:lvlJc w:val="right"/>
      <w:pPr>
        <w:ind w:left="2880" w:hanging="180"/>
      </w:pPr>
    </w:lvl>
    <w:lvl w:ilvl="3" w:tplc="3009000F">
      <w:start w:val="1"/>
      <w:numFmt w:val="decimal"/>
      <w:lvlText w:val="%4."/>
      <w:lvlJc w:val="left"/>
      <w:pPr>
        <w:ind w:left="3600" w:hanging="360"/>
      </w:pPr>
    </w:lvl>
    <w:lvl w:ilvl="4" w:tplc="30090019">
      <w:start w:val="1"/>
      <w:numFmt w:val="lowerLetter"/>
      <w:lvlText w:val="%5."/>
      <w:lvlJc w:val="left"/>
      <w:pPr>
        <w:ind w:left="4320" w:hanging="360"/>
      </w:pPr>
    </w:lvl>
    <w:lvl w:ilvl="5" w:tplc="3009001B">
      <w:start w:val="1"/>
      <w:numFmt w:val="lowerRoman"/>
      <w:lvlText w:val="%6."/>
      <w:lvlJc w:val="right"/>
      <w:pPr>
        <w:ind w:left="5040" w:hanging="180"/>
      </w:pPr>
    </w:lvl>
    <w:lvl w:ilvl="6" w:tplc="3009000F">
      <w:start w:val="1"/>
      <w:numFmt w:val="decimal"/>
      <w:lvlText w:val="%7."/>
      <w:lvlJc w:val="left"/>
      <w:pPr>
        <w:ind w:left="5760" w:hanging="360"/>
      </w:pPr>
    </w:lvl>
    <w:lvl w:ilvl="7" w:tplc="30090019">
      <w:start w:val="1"/>
      <w:numFmt w:val="lowerLetter"/>
      <w:lvlText w:val="%8."/>
      <w:lvlJc w:val="left"/>
      <w:pPr>
        <w:ind w:left="6480" w:hanging="360"/>
      </w:pPr>
    </w:lvl>
    <w:lvl w:ilvl="8" w:tplc="3009001B">
      <w:start w:val="1"/>
      <w:numFmt w:val="lowerRoman"/>
      <w:lvlText w:val="%9."/>
      <w:lvlJc w:val="right"/>
      <w:pPr>
        <w:ind w:left="7200" w:hanging="180"/>
      </w:pPr>
    </w:lvl>
  </w:abstractNum>
  <w:abstractNum w:abstractNumId="6">
    <w:nsid w:val="34196199"/>
    <w:multiLevelType w:val="hybridMultilevel"/>
    <w:tmpl w:val="F08A75E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D8D0617"/>
    <w:multiLevelType w:val="hybridMultilevel"/>
    <w:tmpl w:val="6C64D996"/>
    <w:lvl w:ilvl="0" w:tplc="483460A0">
      <w:numFmt w:val="bullet"/>
      <w:lvlText w:val="-"/>
      <w:lvlJc w:val="left"/>
      <w:pPr>
        <w:ind w:left="360" w:hanging="360"/>
      </w:pPr>
      <w:rPr>
        <w:rFonts w:ascii="Arial" w:eastAsia="MS Mincho" w:hAnsi="Arial" w:cs="Times New Roman"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8">
    <w:nsid w:val="3EDB21FB"/>
    <w:multiLevelType w:val="hybridMultilevel"/>
    <w:tmpl w:val="AD5E6584"/>
    <w:lvl w:ilvl="0" w:tplc="DEE461BC">
      <w:start w:val="1"/>
      <w:numFmt w:val="bullet"/>
      <w:lvlText w:val=""/>
      <w:lvlJc w:val="left"/>
      <w:pPr>
        <w:ind w:left="644" w:hanging="360"/>
      </w:pPr>
      <w:rPr>
        <w:rFonts w:ascii="Symbol" w:hAnsi="Symbol" w:hint="default"/>
        <w:color w:val="auto"/>
        <w:sz w:val="2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nsid w:val="499D44B1"/>
    <w:multiLevelType w:val="hybridMultilevel"/>
    <w:tmpl w:val="F28C7EEE"/>
    <w:lvl w:ilvl="0" w:tplc="DEE461BC">
      <w:start w:val="1"/>
      <w:numFmt w:val="bullet"/>
      <w:lvlText w:val=""/>
      <w:lvlJc w:val="left"/>
      <w:pPr>
        <w:ind w:left="783" w:hanging="360"/>
      </w:pPr>
      <w:rPr>
        <w:rFonts w:ascii="Symbol" w:hAnsi="Symbol" w:hint="default"/>
        <w:sz w:val="20"/>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0">
    <w:nsid w:val="52D46677"/>
    <w:multiLevelType w:val="hybridMultilevel"/>
    <w:tmpl w:val="40BC0180"/>
    <w:lvl w:ilvl="0" w:tplc="DEE461BC">
      <w:start w:val="1"/>
      <w:numFmt w:val="bullet"/>
      <w:lvlText w:val=""/>
      <w:lvlJc w:val="left"/>
      <w:pPr>
        <w:ind w:left="783" w:hanging="360"/>
      </w:pPr>
      <w:rPr>
        <w:rFonts w:ascii="Symbol" w:hAnsi="Symbol" w:hint="default"/>
        <w:sz w:val="20"/>
      </w:rPr>
    </w:lvl>
    <w:lvl w:ilvl="1" w:tplc="51823D76">
      <w:numFmt w:val="bullet"/>
      <w:lvlText w:val=""/>
      <w:lvlJc w:val="left"/>
      <w:pPr>
        <w:ind w:left="1503" w:hanging="360"/>
      </w:pPr>
      <w:rPr>
        <w:rFonts w:ascii="Symbol" w:hAnsi="Symbol" w:cs="Times New Roman" w:hint="default"/>
        <w:sz w:val="24"/>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1">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12">
    <w:nsid w:val="57314A1D"/>
    <w:multiLevelType w:val="hybridMultilevel"/>
    <w:tmpl w:val="2B941D9C"/>
    <w:lvl w:ilvl="0" w:tplc="17AEECB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5EFF336E"/>
    <w:multiLevelType w:val="hybridMultilevel"/>
    <w:tmpl w:val="6D2CBE24"/>
    <w:lvl w:ilvl="0" w:tplc="3FC62222">
      <w:start w:val="1"/>
      <w:numFmt w:val="decimal"/>
      <w:lvlText w:val="%1)"/>
      <w:lvlJc w:val="left"/>
      <w:pPr>
        <w:tabs>
          <w:tab w:val="num" w:pos="-90"/>
        </w:tabs>
        <w:ind w:left="648" w:hanging="648"/>
      </w:pPr>
      <w:rPr>
        <w:rFonts w:hint="default"/>
      </w:rPr>
    </w:lvl>
    <w:lvl w:ilvl="1" w:tplc="040A0019" w:tentative="1">
      <w:start w:val="1"/>
      <w:numFmt w:val="lowerLetter"/>
      <w:lvlText w:val="%2."/>
      <w:lvlJc w:val="left"/>
      <w:pPr>
        <w:tabs>
          <w:tab w:val="num" w:pos="1080"/>
        </w:tabs>
        <w:ind w:left="1080" w:hanging="360"/>
      </w:pPr>
    </w:lvl>
    <w:lvl w:ilvl="2" w:tplc="040A001B" w:tentative="1">
      <w:start w:val="1"/>
      <w:numFmt w:val="lowerRoman"/>
      <w:lvlText w:val="%3."/>
      <w:lvlJc w:val="right"/>
      <w:pPr>
        <w:tabs>
          <w:tab w:val="num" w:pos="1800"/>
        </w:tabs>
        <w:ind w:left="1800" w:hanging="180"/>
      </w:pPr>
    </w:lvl>
    <w:lvl w:ilvl="3" w:tplc="040A000F" w:tentative="1">
      <w:start w:val="1"/>
      <w:numFmt w:val="decimal"/>
      <w:lvlText w:val="%4."/>
      <w:lvlJc w:val="left"/>
      <w:pPr>
        <w:tabs>
          <w:tab w:val="num" w:pos="2520"/>
        </w:tabs>
        <w:ind w:left="2520" w:hanging="360"/>
      </w:pPr>
    </w:lvl>
    <w:lvl w:ilvl="4" w:tplc="040A0019" w:tentative="1">
      <w:start w:val="1"/>
      <w:numFmt w:val="lowerLetter"/>
      <w:lvlText w:val="%5."/>
      <w:lvlJc w:val="left"/>
      <w:pPr>
        <w:tabs>
          <w:tab w:val="num" w:pos="3240"/>
        </w:tabs>
        <w:ind w:left="3240" w:hanging="360"/>
      </w:pPr>
    </w:lvl>
    <w:lvl w:ilvl="5" w:tplc="040A001B" w:tentative="1">
      <w:start w:val="1"/>
      <w:numFmt w:val="lowerRoman"/>
      <w:lvlText w:val="%6."/>
      <w:lvlJc w:val="right"/>
      <w:pPr>
        <w:tabs>
          <w:tab w:val="num" w:pos="3960"/>
        </w:tabs>
        <w:ind w:left="3960" w:hanging="180"/>
      </w:pPr>
    </w:lvl>
    <w:lvl w:ilvl="6" w:tplc="040A000F" w:tentative="1">
      <w:start w:val="1"/>
      <w:numFmt w:val="decimal"/>
      <w:lvlText w:val="%7."/>
      <w:lvlJc w:val="left"/>
      <w:pPr>
        <w:tabs>
          <w:tab w:val="num" w:pos="4680"/>
        </w:tabs>
        <w:ind w:left="4680" w:hanging="360"/>
      </w:pPr>
    </w:lvl>
    <w:lvl w:ilvl="7" w:tplc="040A0019" w:tentative="1">
      <w:start w:val="1"/>
      <w:numFmt w:val="lowerLetter"/>
      <w:lvlText w:val="%8."/>
      <w:lvlJc w:val="left"/>
      <w:pPr>
        <w:tabs>
          <w:tab w:val="num" w:pos="5400"/>
        </w:tabs>
        <w:ind w:left="5400" w:hanging="360"/>
      </w:pPr>
    </w:lvl>
    <w:lvl w:ilvl="8" w:tplc="040A001B" w:tentative="1">
      <w:start w:val="1"/>
      <w:numFmt w:val="lowerRoman"/>
      <w:lvlText w:val="%9."/>
      <w:lvlJc w:val="right"/>
      <w:pPr>
        <w:tabs>
          <w:tab w:val="num" w:pos="6120"/>
        </w:tabs>
        <w:ind w:left="6120" w:hanging="180"/>
      </w:pPr>
    </w:lvl>
  </w:abstractNum>
  <w:abstractNum w:abstractNumId="14">
    <w:nsid w:val="642B093C"/>
    <w:multiLevelType w:val="hybridMultilevel"/>
    <w:tmpl w:val="D6A0595E"/>
    <w:lvl w:ilvl="0" w:tplc="DEE461BC">
      <w:start w:val="1"/>
      <w:numFmt w:val="bullet"/>
      <w:lvlText w:val=""/>
      <w:lvlJc w:val="left"/>
      <w:pPr>
        <w:ind w:left="720" w:hanging="360"/>
      </w:pPr>
      <w:rPr>
        <w:rFonts w:ascii="Symbol" w:hAnsi="Symbol"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4BD01CA"/>
    <w:multiLevelType w:val="hybridMultilevel"/>
    <w:tmpl w:val="A190B20E"/>
    <w:lvl w:ilvl="0" w:tplc="373A01F4">
      <w:start w:val="1"/>
      <w:numFmt w:val="lowerLetter"/>
      <w:lvlText w:val="%1)"/>
      <w:lvlJc w:val="left"/>
      <w:pPr>
        <w:tabs>
          <w:tab w:val="num" w:pos="0"/>
        </w:tabs>
        <w:ind w:left="36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16">
    <w:nsid w:val="659674DC"/>
    <w:multiLevelType w:val="hybridMultilevel"/>
    <w:tmpl w:val="EE8E5124"/>
    <w:lvl w:ilvl="0" w:tplc="DEE461BC">
      <w:start w:val="1"/>
      <w:numFmt w:val="bullet"/>
      <w:lvlText w:val=""/>
      <w:lvlJc w:val="left"/>
      <w:pPr>
        <w:ind w:left="1077" w:hanging="360"/>
      </w:pPr>
      <w:rPr>
        <w:rFonts w:ascii="Symbol" w:hAnsi="Symbol" w:hint="default"/>
        <w:sz w:val="20"/>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7">
    <w:nsid w:val="663D7932"/>
    <w:multiLevelType w:val="hybridMultilevel"/>
    <w:tmpl w:val="A0B27548"/>
    <w:lvl w:ilvl="0" w:tplc="DEE461BC">
      <w:start w:val="1"/>
      <w:numFmt w:val="bullet"/>
      <w:lvlText w:val=""/>
      <w:lvlJc w:val="left"/>
      <w:pPr>
        <w:ind w:left="720" w:hanging="360"/>
      </w:pPr>
      <w:rPr>
        <w:rFonts w:ascii="Symbol" w:hAnsi="Symbol" w:hint="default"/>
        <w:sz w:val="20"/>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8825A29"/>
    <w:multiLevelType w:val="hybridMultilevel"/>
    <w:tmpl w:val="2492576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9">
    <w:nsid w:val="7A210B39"/>
    <w:multiLevelType w:val="hybridMultilevel"/>
    <w:tmpl w:val="80DE4834"/>
    <w:lvl w:ilvl="0" w:tplc="D8421942">
      <w:start w:val="1"/>
      <w:numFmt w:val="decimal"/>
      <w:lvlText w:val="%1)"/>
      <w:lvlJc w:val="left"/>
      <w:pPr>
        <w:tabs>
          <w:tab w:val="num" w:pos="-90"/>
        </w:tabs>
        <w:ind w:left="370" w:hanging="37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20">
    <w:nsid w:val="7AD7623F"/>
    <w:multiLevelType w:val="hybridMultilevel"/>
    <w:tmpl w:val="9678DD48"/>
    <w:lvl w:ilvl="0" w:tplc="373A01F4">
      <w:start w:val="1"/>
      <w:numFmt w:val="lowerLetter"/>
      <w:lvlText w:val="%1)"/>
      <w:lvlJc w:val="left"/>
      <w:pPr>
        <w:tabs>
          <w:tab w:val="num" w:pos="0"/>
        </w:tabs>
        <w:ind w:left="360" w:hanging="360"/>
      </w:pPr>
      <w:rPr>
        <w:rFonts w:hint="default"/>
      </w:r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num w:numId="1">
    <w:abstractNumId w:val="11"/>
  </w:num>
  <w:num w:numId="2">
    <w:abstractNumId w:val="18"/>
  </w:num>
  <w:num w:numId="3">
    <w:abstractNumId w:val="6"/>
  </w:num>
  <w:num w:numId="4">
    <w:abstractNumId w:val="12"/>
  </w:num>
  <w:num w:numId="5">
    <w:abstractNumId w:val="7"/>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4"/>
  </w:num>
  <w:num w:numId="10">
    <w:abstractNumId w:val="17"/>
  </w:num>
  <w:num w:numId="11">
    <w:abstractNumId w:val="9"/>
  </w:num>
  <w:num w:numId="12">
    <w:abstractNumId w:val="4"/>
  </w:num>
  <w:num w:numId="13">
    <w:abstractNumId w:val="3"/>
  </w:num>
  <w:num w:numId="14">
    <w:abstractNumId w:val="16"/>
  </w:num>
  <w:num w:numId="15">
    <w:abstractNumId w:val="10"/>
  </w:num>
  <w:num w:numId="16">
    <w:abstractNumId w:val="5"/>
  </w:num>
  <w:num w:numId="17">
    <w:abstractNumId w:val="13"/>
  </w:num>
  <w:num w:numId="18">
    <w:abstractNumId w:val="15"/>
  </w:num>
  <w:num w:numId="19">
    <w:abstractNumId w:val="20"/>
  </w:num>
  <w:num w:numId="20">
    <w:abstractNumId w:val="19"/>
  </w:num>
  <w:num w:numId="21">
    <w:abstractNumId w:val="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pos w:val="sectEnd"/>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860"/>
    <w:rsid w:val="0000571E"/>
    <w:rsid w:val="00010CF3"/>
    <w:rsid w:val="00011E27"/>
    <w:rsid w:val="000148BC"/>
    <w:rsid w:val="00024AB8"/>
    <w:rsid w:val="00030854"/>
    <w:rsid w:val="00036028"/>
    <w:rsid w:val="00042D04"/>
    <w:rsid w:val="00044642"/>
    <w:rsid w:val="000446B9"/>
    <w:rsid w:val="00047E21"/>
    <w:rsid w:val="00085505"/>
    <w:rsid w:val="000C244A"/>
    <w:rsid w:val="000C7021"/>
    <w:rsid w:val="000D6BBC"/>
    <w:rsid w:val="000D7780"/>
    <w:rsid w:val="000F479D"/>
    <w:rsid w:val="00105929"/>
    <w:rsid w:val="001131D5"/>
    <w:rsid w:val="001365D1"/>
    <w:rsid w:val="00141DB8"/>
    <w:rsid w:val="00142198"/>
    <w:rsid w:val="001714F3"/>
    <w:rsid w:val="0017474A"/>
    <w:rsid w:val="001758C6"/>
    <w:rsid w:val="001C5971"/>
    <w:rsid w:val="001D2DB2"/>
    <w:rsid w:val="001F7DBD"/>
    <w:rsid w:val="0021332C"/>
    <w:rsid w:val="00213982"/>
    <w:rsid w:val="00235267"/>
    <w:rsid w:val="0024416D"/>
    <w:rsid w:val="00257F4E"/>
    <w:rsid w:val="00264A36"/>
    <w:rsid w:val="00266E18"/>
    <w:rsid w:val="002800A0"/>
    <w:rsid w:val="002801B3"/>
    <w:rsid w:val="00281060"/>
    <w:rsid w:val="002940E8"/>
    <w:rsid w:val="002A6E50"/>
    <w:rsid w:val="002C256A"/>
    <w:rsid w:val="002E45F0"/>
    <w:rsid w:val="002F64A8"/>
    <w:rsid w:val="00305A7F"/>
    <w:rsid w:val="003152FE"/>
    <w:rsid w:val="00320AE8"/>
    <w:rsid w:val="00327436"/>
    <w:rsid w:val="00344BD6"/>
    <w:rsid w:val="0035528D"/>
    <w:rsid w:val="00361821"/>
    <w:rsid w:val="00370631"/>
    <w:rsid w:val="00373109"/>
    <w:rsid w:val="0039745E"/>
    <w:rsid w:val="003D227C"/>
    <w:rsid w:val="003D2B4D"/>
    <w:rsid w:val="003D7E71"/>
    <w:rsid w:val="003E7998"/>
    <w:rsid w:val="003F39F5"/>
    <w:rsid w:val="00444A88"/>
    <w:rsid w:val="00463836"/>
    <w:rsid w:val="00473D0E"/>
    <w:rsid w:val="00474DA4"/>
    <w:rsid w:val="004A7E64"/>
    <w:rsid w:val="004D047D"/>
    <w:rsid w:val="004F305A"/>
    <w:rsid w:val="004F3A50"/>
    <w:rsid w:val="00512164"/>
    <w:rsid w:val="00520297"/>
    <w:rsid w:val="005338F9"/>
    <w:rsid w:val="0054281C"/>
    <w:rsid w:val="0055268D"/>
    <w:rsid w:val="00576BE4"/>
    <w:rsid w:val="00576BF0"/>
    <w:rsid w:val="005A400A"/>
    <w:rsid w:val="005B5E84"/>
    <w:rsid w:val="005F043F"/>
    <w:rsid w:val="00612379"/>
    <w:rsid w:val="0061555F"/>
    <w:rsid w:val="00641200"/>
    <w:rsid w:val="00687EB4"/>
    <w:rsid w:val="006A59FA"/>
    <w:rsid w:val="006B17D2"/>
    <w:rsid w:val="006C224E"/>
    <w:rsid w:val="006D780A"/>
    <w:rsid w:val="00702E8E"/>
    <w:rsid w:val="00711860"/>
    <w:rsid w:val="00721353"/>
    <w:rsid w:val="00732DEC"/>
    <w:rsid w:val="00735BD5"/>
    <w:rsid w:val="00745D66"/>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67AC1"/>
    <w:rsid w:val="008A743F"/>
    <w:rsid w:val="008C0970"/>
    <w:rsid w:val="008D2CF7"/>
    <w:rsid w:val="008D3729"/>
    <w:rsid w:val="008E6312"/>
    <w:rsid w:val="00900C26"/>
    <w:rsid w:val="0090197F"/>
    <w:rsid w:val="00906DDC"/>
    <w:rsid w:val="00934277"/>
    <w:rsid w:val="00934E09"/>
    <w:rsid w:val="00936253"/>
    <w:rsid w:val="00952DD4"/>
    <w:rsid w:val="00970FED"/>
    <w:rsid w:val="00997029"/>
    <w:rsid w:val="009A0B1E"/>
    <w:rsid w:val="009D690D"/>
    <w:rsid w:val="009E65B6"/>
    <w:rsid w:val="009F5335"/>
    <w:rsid w:val="00A42AC3"/>
    <w:rsid w:val="00A430CF"/>
    <w:rsid w:val="00A47CDB"/>
    <w:rsid w:val="00A54309"/>
    <w:rsid w:val="00A929D4"/>
    <w:rsid w:val="00AA1F60"/>
    <w:rsid w:val="00AB2B93"/>
    <w:rsid w:val="00AB7E5B"/>
    <w:rsid w:val="00AE0EF1"/>
    <w:rsid w:val="00B07301"/>
    <w:rsid w:val="00B108A6"/>
    <w:rsid w:val="00B224DE"/>
    <w:rsid w:val="00B23BD7"/>
    <w:rsid w:val="00B72907"/>
    <w:rsid w:val="00B84BBD"/>
    <w:rsid w:val="00BA43FB"/>
    <w:rsid w:val="00BC127D"/>
    <w:rsid w:val="00BC1FE6"/>
    <w:rsid w:val="00C061B6"/>
    <w:rsid w:val="00C13808"/>
    <w:rsid w:val="00C2446C"/>
    <w:rsid w:val="00C336C5"/>
    <w:rsid w:val="00C36AE5"/>
    <w:rsid w:val="00C41F17"/>
    <w:rsid w:val="00C54DB1"/>
    <w:rsid w:val="00C5791C"/>
    <w:rsid w:val="00C66290"/>
    <w:rsid w:val="00C72B7A"/>
    <w:rsid w:val="00C92624"/>
    <w:rsid w:val="00C973F2"/>
    <w:rsid w:val="00CA774A"/>
    <w:rsid w:val="00CC11B0"/>
    <w:rsid w:val="00CF7E36"/>
    <w:rsid w:val="00D261C5"/>
    <w:rsid w:val="00D3708D"/>
    <w:rsid w:val="00D40426"/>
    <w:rsid w:val="00D42A19"/>
    <w:rsid w:val="00D57C96"/>
    <w:rsid w:val="00D72695"/>
    <w:rsid w:val="00D91203"/>
    <w:rsid w:val="00D95174"/>
    <w:rsid w:val="00DA4685"/>
    <w:rsid w:val="00DA6F36"/>
    <w:rsid w:val="00DB596E"/>
    <w:rsid w:val="00DC00EA"/>
    <w:rsid w:val="00DC569B"/>
    <w:rsid w:val="00E14071"/>
    <w:rsid w:val="00E3165F"/>
    <w:rsid w:val="00E72D49"/>
    <w:rsid w:val="00E7593C"/>
    <w:rsid w:val="00E7678A"/>
    <w:rsid w:val="00E80F31"/>
    <w:rsid w:val="00E935F1"/>
    <w:rsid w:val="00E94A81"/>
    <w:rsid w:val="00EA1FFB"/>
    <w:rsid w:val="00EA5245"/>
    <w:rsid w:val="00EB048E"/>
    <w:rsid w:val="00EE34DF"/>
    <w:rsid w:val="00EF2F89"/>
    <w:rsid w:val="00F00A88"/>
    <w:rsid w:val="00F1237A"/>
    <w:rsid w:val="00F14899"/>
    <w:rsid w:val="00F22CBD"/>
    <w:rsid w:val="00F45372"/>
    <w:rsid w:val="00F560F7"/>
    <w:rsid w:val="00F6334D"/>
    <w:rsid w:val="00F73179"/>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5D1"/>
    <w:pPr>
      <w:jc w:val="both"/>
    </w:pPr>
    <w:rPr>
      <w:rFonts w:ascii="Arial" w:hAnsi="Arial"/>
      <w:lang w:val="es-ES_tradn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8">
    <w:name w:val="heading 8"/>
    <w:basedOn w:val="Normal"/>
    <w:next w:val="Normal"/>
    <w:link w:val="Heading8Char"/>
    <w:qFormat/>
    <w:rsid w:val="003F39F5"/>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1365D1"/>
    <w:pPr>
      <w:tabs>
        <w:tab w:val="center" w:pos="4536"/>
        <w:tab w:val="right" w:pos="9072"/>
      </w:tabs>
      <w:jc w:val="center"/>
    </w:pPr>
    <w:rPr>
      <w:rFonts w:ascii="Arial" w:hAnsi="Arial"/>
      <w:lang w:val="es-ES_tradnl"/>
    </w:rPr>
  </w:style>
  <w:style w:type="paragraph" w:styleId="Footer">
    <w:name w:val="footer"/>
    <w:aliases w:val="doc_path_name"/>
    <w:link w:val="FooterChar"/>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8Char">
    <w:name w:val="Heading 8 Char"/>
    <w:basedOn w:val="DefaultParagraphFont"/>
    <w:link w:val="Heading8"/>
    <w:rsid w:val="003F39F5"/>
    <w:rPr>
      <w:rFonts w:ascii="Arial" w:hAnsi="Arial"/>
      <w:u w:val="single"/>
      <w:lang w:val="en-GB" w:eastAsia="pl-PL"/>
    </w:rPr>
  </w:style>
  <w:style w:type="paragraph" w:styleId="ListParagraph">
    <w:name w:val="List Paragraph"/>
    <w:basedOn w:val="Normal"/>
    <w:uiPriority w:val="34"/>
    <w:qFormat/>
    <w:rsid w:val="003F39F5"/>
    <w:pPr>
      <w:ind w:left="1134" w:hanging="567"/>
      <w:jc w:val="left"/>
    </w:pPr>
    <w:rPr>
      <w:szCs w:val="22"/>
      <w:lang w:val="en-US"/>
    </w:rPr>
  </w:style>
  <w:style w:type="table" w:styleId="TableGrid">
    <w:name w:val="Table Grid"/>
    <w:basedOn w:val="TableNormal"/>
    <w:rsid w:val="003F3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F39F5"/>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3F39F5"/>
    <w:rPr>
      <w:sz w:val="28"/>
      <w:lang w:val="pl-PL" w:eastAsia="pl-PL"/>
    </w:rPr>
  </w:style>
  <w:style w:type="character" w:customStyle="1" w:styleId="FooterChar">
    <w:name w:val="Footer Char"/>
    <w:aliases w:val="doc_path_name Char"/>
    <w:basedOn w:val="DefaultParagraphFont"/>
    <w:link w:val="Footer"/>
    <w:rsid w:val="003F39F5"/>
    <w:rPr>
      <w:rFonts w:ascii="Arial" w:hAnsi="Arial"/>
      <w:sz w:val="14"/>
    </w:rPr>
  </w:style>
  <w:style w:type="character" w:customStyle="1" w:styleId="FootnoteTextChar">
    <w:name w:val="Footnote Text Char"/>
    <w:link w:val="FootnoteText"/>
    <w:rsid w:val="003F39F5"/>
    <w:rPr>
      <w:rFonts w:ascii="Arial" w:hAnsi="Arial"/>
      <w:sz w:val="16"/>
    </w:rPr>
  </w:style>
  <w:style w:type="paragraph" w:styleId="ListBullet">
    <w:name w:val="List Bullet"/>
    <w:basedOn w:val="Normal"/>
    <w:uiPriority w:val="99"/>
    <w:rsid w:val="003F39F5"/>
    <w:pPr>
      <w:numPr>
        <w:numId w:val="1"/>
      </w:numPr>
      <w:spacing w:after="240"/>
    </w:pPr>
    <w:rPr>
      <w:lang w:val="en-GB"/>
    </w:rPr>
  </w:style>
  <w:style w:type="paragraph" w:customStyle="1" w:styleId="Default">
    <w:name w:val="Default"/>
    <w:rsid w:val="003F39F5"/>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3F39F5"/>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3F39F5"/>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3F39F5"/>
    <w:pPr>
      <w:spacing w:before="100" w:beforeAutospacing="1" w:after="100" w:afterAutospacing="1"/>
      <w:jc w:val="left"/>
    </w:pPr>
    <w:rPr>
      <w:rFonts w:ascii="SimSun" w:eastAsia="SimSun" w:hAnsi="SimSun" w:cs="SimSun"/>
      <w:sz w:val="24"/>
      <w:szCs w:val="24"/>
      <w:lang w:val="en-US" w:eastAsia="zh-CN"/>
    </w:rPr>
  </w:style>
  <w:style w:type="paragraph" w:styleId="PlainText">
    <w:name w:val="Plain Text"/>
    <w:basedOn w:val="Normal"/>
    <w:link w:val="PlainTextChar"/>
    <w:uiPriority w:val="99"/>
    <w:rsid w:val="003F39F5"/>
    <w:pPr>
      <w:spacing w:after="240"/>
    </w:pPr>
    <w:rPr>
      <w:rFonts w:ascii="Courier New" w:hAnsi="Courier New"/>
      <w:lang w:val="en-GB"/>
    </w:rPr>
  </w:style>
  <w:style w:type="character" w:customStyle="1" w:styleId="PlainTextChar">
    <w:name w:val="Plain Text Char"/>
    <w:basedOn w:val="DefaultParagraphFont"/>
    <w:link w:val="PlainText"/>
    <w:uiPriority w:val="99"/>
    <w:rsid w:val="003F39F5"/>
    <w:rPr>
      <w:rFonts w:ascii="Courier New" w:hAnsi="Courier New"/>
      <w:lang w:val="en-GB"/>
    </w:rPr>
  </w:style>
  <w:style w:type="paragraph" w:styleId="BodyTextIndent2">
    <w:name w:val="Body Text Indent 2"/>
    <w:basedOn w:val="Normal"/>
    <w:link w:val="BodyTextIndent2Char"/>
    <w:rsid w:val="003F39F5"/>
    <w:pPr>
      <w:spacing w:after="120" w:line="480" w:lineRule="auto"/>
      <w:ind w:left="360"/>
    </w:pPr>
    <w:rPr>
      <w:lang w:val="en-US"/>
    </w:rPr>
  </w:style>
  <w:style w:type="character" w:customStyle="1" w:styleId="BodyTextIndent2Char">
    <w:name w:val="Body Text Indent 2 Char"/>
    <w:basedOn w:val="DefaultParagraphFont"/>
    <w:link w:val="BodyTextIndent2"/>
    <w:rsid w:val="003F39F5"/>
    <w:rPr>
      <w:rFonts w:ascii="Arial" w:hAnsi="Arial"/>
    </w:rPr>
  </w:style>
  <w:style w:type="paragraph" w:styleId="BodyText3">
    <w:name w:val="Body Text 3"/>
    <w:basedOn w:val="Normal"/>
    <w:link w:val="BodyText3Char"/>
    <w:rsid w:val="003F39F5"/>
    <w:pPr>
      <w:spacing w:after="120"/>
    </w:pPr>
    <w:rPr>
      <w:sz w:val="16"/>
      <w:szCs w:val="16"/>
      <w:lang w:val="en-US"/>
    </w:rPr>
  </w:style>
  <w:style w:type="character" w:customStyle="1" w:styleId="BodyText3Char">
    <w:name w:val="Body Text 3 Char"/>
    <w:basedOn w:val="DefaultParagraphFont"/>
    <w:link w:val="BodyText3"/>
    <w:rsid w:val="003F39F5"/>
    <w:rPr>
      <w:rFonts w:ascii="Arial" w:hAnsi="Arial"/>
      <w:sz w:val="16"/>
      <w:szCs w:val="16"/>
    </w:rPr>
  </w:style>
  <w:style w:type="character" w:customStyle="1" w:styleId="FootnoteTextChar2">
    <w:name w:val="Footnote Text Char2"/>
    <w:rsid w:val="003F39F5"/>
    <w:rPr>
      <w:rFonts w:ascii="Arial" w:hAnsi="Arial" w:cs="Mangal"/>
      <w:sz w:val="18"/>
      <w:szCs w:val="24"/>
      <w:lang w:bidi="ne-NP"/>
    </w:rPr>
  </w:style>
  <w:style w:type="paragraph" w:styleId="NoSpacing">
    <w:name w:val="No Spacing"/>
    <w:uiPriority w:val="1"/>
    <w:qFormat/>
    <w:rsid w:val="003F39F5"/>
    <w:rPr>
      <w:rFonts w:ascii="Calibri" w:eastAsia="Calibri" w:hAnsi="Calibri"/>
      <w:sz w:val="22"/>
      <w:szCs w:val="22"/>
    </w:rPr>
  </w:style>
  <w:style w:type="paragraph" w:customStyle="1" w:styleId="inf61normal">
    <w:name w:val="inf_6_1_normal"/>
    <w:basedOn w:val="Normal"/>
    <w:rsid w:val="003F39F5"/>
    <w:pPr>
      <w:tabs>
        <w:tab w:val="left" w:pos="-31680"/>
        <w:tab w:val="left" w:pos="315"/>
      </w:tabs>
    </w:pPr>
    <w:rPr>
      <w:rFonts w:ascii="Times New Roman" w:hAnsi="Times New Roman"/>
      <w:color w:val="000000"/>
      <w:kern w:val="28"/>
      <w:sz w:val="24"/>
      <w:lang w:val="en-ZW" w:eastAsia="en-ZW"/>
    </w:rPr>
  </w:style>
  <w:style w:type="character" w:customStyle="1" w:styleId="FontStyle24">
    <w:name w:val="Font Style24"/>
    <w:basedOn w:val="DefaultParagraphFont"/>
    <w:uiPriority w:val="99"/>
    <w:rsid w:val="00473D0E"/>
    <w:rPr>
      <w:rFonts w:ascii="Calibri" w:hAnsi="Calibri" w:cs="Calibri"/>
      <w:b/>
      <w:bCs/>
      <w:sz w:val="36"/>
      <w:szCs w:val="36"/>
      <w:lang w:val="es-ES" w:eastAsia="es-ES"/>
    </w:rPr>
  </w:style>
  <w:style w:type="character" w:customStyle="1" w:styleId="FontStyle28">
    <w:name w:val="Font Style28"/>
    <w:basedOn w:val="DefaultParagraphFont"/>
    <w:uiPriority w:val="99"/>
    <w:rsid w:val="00473D0E"/>
    <w:rPr>
      <w:rFonts w:ascii="Calibri" w:hAnsi="Calibri" w:cs="Calibri"/>
      <w:spacing w:val="-10"/>
      <w:sz w:val="30"/>
      <w:szCs w:val="30"/>
      <w:lang w:val="es-ES" w:eastAsia="es-ES"/>
    </w:rPr>
  </w:style>
  <w:style w:type="paragraph" w:customStyle="1" w:styleId="Style4">
    <w:name w:val="Style4"/>
    <w:basedOn w:val="Normal"/>
    <w:uiPriority w:val="99"/>
    <w:rsid w:val="00473D0E"/>
    <w:pPr>
      <w:widowControl w:val="0"/>
      <w:autoSpaceDE w:val="0"/>
      <w:autoSpaceDN w:val="0"/>
      <w:adjustRightInd w:val="0"/>
      <w:spacing w:line="281" w:lineRule="exact"/>
      <w:ind w:firstLine="367"/>
      <w:jc w:val="left"/>
    </w:pPr>
    <w:rPr>
      <w:rFonts w:ascii="Calibri" w:hAnsi="Calibri"/>
      <w:sz w:val="24"/>
      <w:szCs w:val="24"/>
      <w:lang w:val="en-US"/>
    </w:rPr>
  </w:style>
  <w:style w:type="character" w:customStyle="1" w:styleId="FontStyle31">
    <w:name w:val="Font Style31"/>
    <w:basedOn w:val="DefaultParagraphFont"/>
    <w:uiPriority w:val="99"/>
    <w:rsid w:val="00473D0E"/>
    <w:rPr>
      <w:rFonts w:ascii="Calibri" w:hAnsi="Calibri" w:cs="Calibri"/>
      <w:sz w:val="24"/>
      <w:szCs w:val="24"/>
      <w:lang w:val="es-ES" w:eastAsia="es-ES"/>
    </w:rPr>
  </w:style>
  <w:style w:type="paragraph" w:customStyle="1" w:styleId="Style6">
    <w:name w:val="Style6"/>
    <w:basedOn w:val="Normal"/>
    <w:uiPriority w:val="99"/>
    <w:rsid w:val="00473D0E"/>
    <w:pPr>
      <w:widowControl w:val="0"/>
      <w:autoSpaceDE w:val="0"/>
      <w:autoSpaceDN w:val="0"/>
      <w:adjustRightInd w:val="0"/>
      <w:spacing w:line="338" w:lineRule="exact"/>
      <w:jc w:val="center"/>
    </w:pPr>
    <w:rPr>
      <w:rFonts w:ascii="Calibri" w:hAnsi="Calibri"/>
      <w:sz w:val="24"/>
      <w:szCs w:val="24"/>
      <w:lang w:val="en-US"/>
    </w:rPr>
  </w:style>
  <w:style w:type="character" w:customStyle="1" w:styleId="FontStyle25">
    <w:name w:val="Font Style25"/>
    <w:basedOn w:val="DefaultParagraphFont"/>
    <w:uiPriority w:val="99"/>
    <w:rsid w:val="00473D0E"/>
    <w:rPr>
      <w:rFonts w:ascii="Calibri" w:hAnsi="Calibri" w:cs="Calibri"/>
      <w:sz w:val="28"/>
      <w:szCs w:val="28"/>
      <w:lang w:val="es-ES" w:eastAsia="es-ES"/>
    </w:rPr>
  </w:style>
  <w:style w:type="character" w:customStyle="1" w:styleId="FontStyle27">
    <w:name w:val="Font Style27"/>
    <w:basedOn w:val="DefaultParagraphFont"/>
    <w:uiPriority w:val="99"/>
    <w:rsid w:val="00473D0E"/>
    <w:rPr>
      <w:rFonts w:ascii="Calibri" w:hAnsi="Calibri" w:cs="Calibri"/>
      <w:spacing w:val="-10"/>
      <w:sz w:val="36"/>
      <w:szCs w:val="36"/>
      <w:lang w:val="es-ES" w:eastAsia="es-ES"/>
    </w:rPr>
  </w:style>
  <w:style w:type="character" w:customStyle="1" w:styleId="ht">
    <w:name w:val="ht"/>
    <w:basedOn w:val="DefaultParagraphFont"/>
    <w:rsid w:val="00B23BD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List Bullet" w:uiPriority="99"/>
    <w:lsdException w:name="Title" w:qFormat="1"/>
    <w:lsdException w:name="Subtitle" w:qFormat="1"/>
    <w:lsdException w:name="Strong" w:qFormat="1"/>
    <w:lsdException w:name="Emphasis" w:qFormat="1"/>
    <w:lsdException w:name="Plain Text" w:uiPriority="99"/>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365D1"/>
    <w:pPr>
      <w:jc w:val="both"/>
    </w:pPr>
    <w:rPr>
      <w:rFonts w:ascii="Arial" w:hAnsi="Arial"/>
      <w:lang w:val="es-ES_tradnl"/>
    </w:rPr>
  </w:style>
  <w:style w:type="paragraph" w:styleId="Heading1">
    <w:name w:val="heading 1"/>
    <w:next w:val="Normal"/>
    <w:autoRedefine/>
    <w:qFormat/>
    <w:rsid w:val="00F73179"/>
    <w:pPr>
      <w:keepNext/>
      <w:jc w:val="both"/>
      <w:outlineLvl w:val="0"/>
    </w:pPr>
    <w:rPr>
      <w:rFonts w:ascii="Arial" w:hAnsi="Arial"/>
      <w:caps/>
    </w:rPr>
  </w:style>
  <w:style w:type="paragraph" w:styleId="Heading2">
    <w:name w:val="heading 2"/>
    <w:next w:val="Normal"/>
    <w:autoRedefine/>
    <w:qFormat/>
    <w:rsid w:val="00F73179"/>
    <w:pPr>
      <w:keepNext/>
      <w:jc w:val="both"/>
      <w:outlineLvl w:val="1"/>
    </w:pPr>
    <w:rPr>
      <w:rFonts w:ascii="Arial" w:hAnsi="Arial"/>
      <w:u w:val="single"/>
    </w:rPr>
  </w:style>
  <w:style w:type="paragraph" w:styleId="Heading3">
    <w:name w:val="heading 3"/>
    <w:next w:val="Normal"/>
    <w:autoRedefine/>
    <w:qFormat/>
    <w:rsid w:val="00F73179"/>
    <w:pPr>
      <w:keepNext/>
      <w:jc w:val="both"/>
      <w:outlineLvl w:val="2"/>
    </w:pPr>
    <w:rPr>
      <w:rFonts w:ascii="Arial" w:hAnsi="Arial"/>
      <w:i/>
    </w:rPr>
  </w:style>
  <w:style w:type="paragraph" w:styleId="Heading4">
    <w:name w:val="heading 4"/>
    <w:next w:val="Normal"/>
    <w:autoRedefine/>
    <w:qFormat/>
    <w:rsid w:val="00F73179"/>
    <w:pPr>
      <w:keepNext/>
      <w:ind w:left="567"/>
      <w:jc w:val="both"/>
      <w:outlineLvl w:val="3"/>
    </w:pPr>
    <w:rPr>
      <w:rFonts w:ascii="Arial" w:hAnsi="Arial"/>
      <w:i/>
      <w:lang w:val="fr-FR"/>
    </w:rPr>
  </w:style>
  <w:style w:type="paragraph" w:styleId="Heading5">
    <w:name w:val="heading 5"/>
    <w:next w:val="Normal"/>
    <w:autoRedefine/>
    <w:qFormat/>
    <w:rsid w:val="00F73179"/>
    <w:pPr>
      <w:keepNext/>
      <w:ind w:left="1134" w:hanging="567"/>
      <w:jc w:val="both"/>
      <w:outlineLvl w:val="4"/>
    </w:pPr>
    <w:rPr>
      <w:rFonts w:ascii="Arial" w:hAnsi="Arial"/>
      <w:sz w:val="18"/>
      <w:szCs w:val="18"/>
    </w:rPr>
  </w:style>
  <w:style w:type="paragraph" w:styleId="Heading8">
    <w:name w:val="heading 8"/>
    <w:basedOn w:val="Normal"/>
    <w:next w:val="Normal"/>
    <w:link w:val="Heading8Char"/>
    <w:qFormat/>
    <w:rsid w:val="003F39F5"/>
    <w:pPr>
      <w:keepNext/>
      <w:tabs>
        <w:tab w:val="left" w:pos="567"/>
        <w:tab w:val="left" w:pos="4962"/>
      </w:tabs>
      <w:jc w:val="center"/>
      <w:outlineLvl w:val="7"/>
    </w:pPr>
    <w:rPr>
      <w:u w:val="single"/>
      <w:lang w:val="en-GB" w:eastAsia="pl-PL"/>
    </w:rPr>
  </w:style>
  <w:style w:type="paragraph" w:styleId="Heading9">
    <w:name w:val="heading 9"/>
    <w:basedOn w:val="Normal"/>
    <w:next w:val="Normal"/>
    <w:qFormat/>
    <w:rsid w:val="00F73179"/>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1365D1"/>
    <w:pPr>
      <w:tabs>
        <w:tab w:val="center" w:pos="4536"/>
        <w:tab w:val="right" w:pos="9072"/>
      </w:tabs>
      <w:jc w:val="center"/>
    </w:pPr>
    <w:rPr>
      <w:rFonts w:ascii="Arial" w:hAnsi="Arial"/>
      <w:lang w:val="es-ES_tradnl"/>
    </w:rPr>
  </w:style>
  <w:style w:type="paragraph" w:styleId="Footer">
    <w:name w:val="footer"/>
    <w:aliases w:val="doc_path_name"/>
    <w:link w:val="FooterChar"/>
    <w:autoRedefine/>
    <w:rsid w:val="00F73179"/>
    <w:pPr>
      <w:jc w:val="both"/>
    </w:pPr>
    <w:rPr>
      <w:rFonts w:ascii="Arial" w:hAnsi="Arial"/>
      <w:sz w:val="14"/>
    </w:rPr>
  </w:style>
  <w:style w:type="character" w:styleId="PageNumber">
    <w:name w:val="page number"/>
    <w:basedOn w:val="DefaultParagraphFont"/>
    <w:rsid w:val="00F73179"/>
    <w:rPr>
      <w:rFonts w:ascii="Arial" w:hAnsi="Arial"/>
      <w:sz w:val="20"/>
    </w:rPr>
  </w:style>
  <w:style w:type="paragraph" w:styleId="Title">
    <w:name w:val="Title"/>
    <w:basedOn w:val="Normal"/>
    <w:qFormat/>
    <w:rsid w:val="00F73179"/>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F73179"/>
    <w:pPr>
      <w:spacing w:line="280" w:lineRule="exact"/>
      <w:ind w:left="1361"/>
    </w:pPr>
    <w:rPr>
      <w:b/>
      <w:bCs/>
      <w:spacing w:val="10"/>
    </w:rPr>
  </w:style>
  <w:style w:type="paragraph" w:customStyle="1" w:styleId="DecisionParagraphs">
    <w:name w:val="DecisionParagraphs"/>
    <w:basedOn w:val="Normal"/>
    <w:rsid w:val="00F73179"/>
    <w:pPr>
      <w:tabs>
        <w:tab w:val="left" w:pos="5387"/>
      </w:tabs>
      <w:ind w:left="4820"/>
    </w:pPr>
    <w:rPr>
      <w:i/>
    </w:rPr>
  </w:style>
  <w:style w:type="paragraph" w:styleId="FootnoteText">
    <w:name w:val="footnote text"/>
    <w:link w:val="FootnoteTextChar"/>
    <w:autoRedefine/>
    <w:rsid w:val="00F73179"/>
    <w:pPr>
      <w:spacing w:before="60"/>
      <w:ind w:left="567" w:hanging="567"/>
      <w:jc w:val="both"/>
    </w:pPr>
    <w:rPr>
      <w:rFonts w:ascii="Arial" w:hAnsi="Arial"/>
      <w:sz w:val="16"/>
    </w:rPr>
  </w:style>
  <w:style w:type="character" w:styleId="FootnoteReference">
    <w:name w:val="footnote reference"/>
    <w:basedOn w:val="DefaultParagraphFont"/>
    <w:semiHidden/>
    <w:rsid w:val="00F73179"/>
    <w:rPr>
      <w:vertAlign w:val="superscript"/>
    </w:rPr>
  </w:style>
  <w:style w:type="paragraph" w:styleId="Closing">
    <w:name w:val="Closing"/>
    <w:basedOn w:val="Normal"/>
    <w:rsid w:val="00F73179"/>
    <w:pPr>
      <w:ind w:left="4536"/>
      <w:jc w:val="center"/>
    </w:pPr>
  </w:style>
  <w:style w:type="paragraph" w:styleId="Index1">
    <w:name w:val="index 1"/>
    <w:basedOn w:val="Normal"/>
    <w:next w:val="Normal"/>
    <w:semiHidden/>
    <w:rsid w:val="00F73179"/>
    <w:pPr>
      <w:tabs>
        <w:tab w:val="right" w:leader="dot" w:pos="9071"/>
      </w:tabs>
      <w:ind w:left="284" w:hanging="284"/>
    </w:pPr>
    <w:rPr>
      <w:sz w:val="24"/>
    </w:rPr>
  </w:style>
  <w:style w:type="paragraph" w:styleId="Index2">
    <w:name w:val="index 2"/>
    <w:basedOn w:val="Normal"/>
    <w:next w:val="Normal"/>
    <w:semiHidden/>
    <w:rsid w:val="00F73179"/>
    <w:pPr>
      <w:tabs>
        <w:tab w:val="right" w:leader="dot" w:pos="9071"/>
      </w:tabs>
      <w:ind w:left="568" w:hanging="284"/>
    </w:pPr>
    <w:rPr>
      <w:sz w:val="24"/>
    </w:rPr>
  </w:style>
  <w:style w:type="paragraph" w:styleId="Index3">
    <w:name w:val="index 3"/>
    <w:basedOn w:val="Normal"/>
    <w:next w:val="Normal"/>
    <w:semiHidden/>
    <w:rsid w:val="00F73179"/>
    <w:pPr>
      <w:tabs>
        <w:tab w:val="right" w:leader="dot" w:pos="9071"/>
      </w:tabs>
      <w:ind w:left="851" w:hanging="284"/>
    </w:pPr>
    <w:rPr>
      <w:sz w:val="24"/>
    </w:rPr>
  </w:style>
  <w:style w:type="paragraph" w:styleId="MacroText">
    <w:name w:val="macro"/>
    <w:semiHidden/>
    <w:rsid w:val="00F73179"/>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F73179"/>
    <w:pPr>
      <w:ind w:left="4536"/>
      <w:jc w:val="center"/>
    </w:pPr>
  </w:style>
  <w:style w:type="character" w:customStyle="1" w:styleId="Doclang">
    <w:name w:val="Doc_lang"/>
    <w:basedOn w:val="DefaultParagraphFont"/>
    <w:rsid w:val="00F73179"/>
    <w:rPr>
      <w:rFonts w:ascii="Arial" w:hAnsi="Arial"/>
      <w:sz w:val="20"/>
      <w:lang w:val="en-US"/>
    </w:rPr>
  </w:style>
  <w:style w:type="paragraph" w:customStyle="1" w:styleId="Session">
    <w:name w:val="Session"/>
    <w:basedOn w:val="Normal"/>
    <w:semiHidden/>
    <w:rsid w:val="00F73179"/>
    <w:pPr>
      <w:spacing w:before="60"/>
      <w:jc w:val="center"/>
    </w:pPr>
    <w:rPr>
      <w:b/>
    </w:rPr>
  </w:style>
  <w:style w:type="paragraph" w:customStyle="1" w:styleId="Organizer">
    <w:name w:val="Organizer"/>
    <w:basedOn w:val="Normal"/>
    <w:semiHidden/>
    <w:rsid w:val="00F73179"/>
    <w:pPr>
      <w:spacing w:after="600"/>
      <w:ind w:left="-993" w:right="-994"/>
      <w:jc w:val="center"/>
    </w:pPr>
    <w:rPr>
      <w:b/>
      <w:caps/>
      <w:kern w:val="26"/>
      <w:sz w:val="26"/>
    </w:rPr>
  </w:style>
  <w:style w:type="paragraph" w:styleId="BodyText">
    <w:name w:val="Body Text"/>
    <w:basedOn w:val="Normal"/>
    <w:rsid w:val="00F73179"/>
  </w:style>
  <w:style w:type="paragraph" w:customStyle="1" w:styleId="StyleDocoriginalNotBold">
    <w:name w:val="Style Doc_original + Not Bold"/>
    <w:basedOn w:val="Docoriginal"/>
    <w:link w:val="StyleDocoriginalNotBoldChar"/>
    <w:autoRedefine/>
    <w:rsid w:val="00F73179"/>
    <w:pPr>
      <w:ind w:left="1589"/>
      <w:jc w:val="left"/>
    </w:pPr>
  </w:style>
  <w:style w:type="paragraph" w:customStyle="1" w:styleId="upove">
    <w:name w:val="upov_e"/>
    <w:basedOn w:val="Normal"/>
    <w:rsid w:val="00F73179"/>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F73179"/>
  </w:style>
  <w:style w:type="paragraph" w:styleId="EndnoteText">
    <w:name w:val="endnote text"/>
    <w:basedOn w:val="Normal"/>
    <w:semiHidden/>
    <w:rsid w:val="00F73179"/>
  </w:style>
  <w:style w:type="character" w:styleId="EndnoteReference">
    <w:name w:val="endnote reference"/>
    <w:basedOn w:val="DefaultParagraphFont"/>
    <w:semiHidden/>
    <w:rsid w:val="00F73179"/>
    <w:rPr>
      <w:vertAlign w:val="superscript"/>
    </w:rPr>
  </w:style>
  <w:style w:type="paragraph" w:customStyle="1" w:styleId="SessionMeetingPlace">
    <w:name w:val="Session_MeetingPlace"/>
    <w:basedOn w:val="Normal"/>
    <w:semiHidden/>
    <w:rsid w:val="00F73179"/>
    <w:pPr>
      <w:spacing w:before="480"/>
      <w:jc w:val="center"/>
    </w:pPr>
    <w:rPr>
      <w:b/>
      <w:bCs/>
      <w:kern w:val="28"/>
      <w:sz w:val="24"/>
    </w:rPr>
  </w:style>
  <w:style w:type="paragraph" w:customStyle="1" w:styleId="Original">
    <w:name w:val="Original"/>
    <w:basedOn w:val="Normal"/>
    <w:semiHidden/>
    <w:rsid w:val="00F73179"/>
    <w:pPr>
      <w:spacing w:before="60"/>
      <w:ind w:left="1276"/>
    </w:pPr>
    <w:rPr>
      <w:b/>
      <w:sz w:val="22"/>
    </w:rPr>
  </w:style>
  <w:style w:type="paragraph" w:styleId="Date">
    <w:name w:val="Date"/>
    <w:basedOn w:val="Normal"/>
    <w:semiHidden/>
    <w:rsid w:val="00F73179"/>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F73179"/>
    <w:pPr>
      <w:spacing w:before="60" w:after="480"/>
      <w:jc w:val="center"/>
    </w:pPr>
  </w:style>
  <w:style w:type="paragraph" w:customStyle="1" w:styleId="Lettrine">
    <w:name w:val="Lettrine"/>
    <w:basedOn w:val="Normal"/>
    <w:rsid w:val="00F73179"/>
    <w:pPr>
      <w:spacing w:after="120" w:line="340" w:lineRule="atLeast"/>
      <w:jc w:val="right"/>
    </w:pPr>
    <w:rPr>
      <w:b/>
      <w:bCs/>
      <w:sz w:val="56"/>
    </w:rPr>
  </w:style>
  <w:style w:type="paragraph" w:customStyle="1" w:styleId="LogoUPOV">
    <w:name w:val="LogoUPOV"/>
    <w:basedOn w:val="Normal"/>
    <w:rsid w:val="00F73179"/>
    <w:pPr>
      <w:spacing w:before="720"/>
      <w:jc w:val="center"/>
    </w:pPr>
  </w:style>
  <w:style w:type="paragraph" w:customStyle="1" w:styleId="Sessiontc">
    <w:name w:val="Session_tc"/>
    <w:basedOn w:val="StyleSessionAllcaps"/>
    <w:rsid w:val="00F73179"/>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F73179"/>
    <w:pPr>
      <w:spacing w:before="480"/>
    </w:pPr>
    <w:rPr>
      <w:bCs/>
      <w:caps/>
      <w:kern w:val="28"/>
      <w:sz w:val="24"/>
    </w:rPr>
  </w:style>
  <w:style w:type="paragraph" w:customStyle="1" w:styleId="plcountry">
    <w:name w:val="plcountry"/>
    <w:basedOn w:val="Normal"/>
    <w:rsid w:val="00F73179"/>
    <w:pPr>
      <w:keepNext/>
      <w:keepLines/>
      <w:spacing w:before="180" w:after="120"/>
      <w:jc w:val="left"/>
    </w:pPr>
    <w:rPr>
      <w:caps/>
      <w:noProof/>
      <w:snapToGrid w:val="0"/>
      <w:u w:val="single"/>
    </w:rPr>
  </w:style>
  <w:style w:type="paragraph" w:customStyle="1" w:styleId="pldetails">
    <w:name w:val="pldetails"/>
    <w:basedOn w:val="Normal"/>
    <w:rsid w:val="00F73179"/>
    <w:pPr>
      <w:keepLines/>
      <w:spacing w:before="60" w:after="60"/>
      <w:jc w:val="left"/>
    </w:pPr>
    <w:rPr>
      <w:noProof/>
      <w:snapToGrid w:val="0"/>
    </w:rPr>
  </w:style>
  <w:style w:type="paragraph" w:customStyle="1" w:styleId="plheading">
    <w:name w:val="plheading"/>
    <w:basedOn w:val="Normal"/>
    <w:rsid w:val="00F73179"/>
    <w:pPr>
      <w:keepNext/>
      <w:spacing w:before="480" w:after="120"/>
      <w:jc w:val="center"/>
    </w:pPr>
    <w:rPr>
      <w:caps/>
      <w:snapToGrid w:val="0"/>
      <w:u w:val="single"/>
    </w:rPr>
  </w:style>
  <w:style w:type="paragraph" w:customStyle="1" w:styleId="Sessiontcplacedate">
    <w:name w:val="Session_tc_place_date"/>
    <w:basedOn w:val="SessionMeetingPlace"/>
    <w:rsid w:val="00F73179"/>
    <w:pPr>
      <w:spacing w:before="240"/>
    </w:pPr>
  </w:style>
  <w:style w:type="paragraph" w:customStyle="1" w:styleId="Titleofdoc0">
    <w:name w:val="Title_of_doc"/>
    <w:basedOn w:val="Normal"/>
    <w:rsid w:val="00F73179"/>
    <w:pPr>
      <w:spacing w:before="600"/>
      <w:jc w:val="center"/>
    </w:pPr>
    <w:rPr>
      <w:caps/>
    </w:rPr>
  </w:style>
  <w:style w:type="paragraph" w:customStyle="1" w:styleId="preparedby1">
    <w:name w:val="prepared_by"/>
    <w:basedOn w:val="Normal"/>
    <w:semiHidden/>
    <w:rsid w:val="00F73179"/>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A929D4"/>
    <w:pPr>
      <w:ind w:left="567" w:hanging="567"/>
      <w:jc w:val="right"/>
    </w:pPr>
    <w:rPr>
      <w:rFonts w:ascii="Arial" w:hAnsi="Arial"/>
    </w:rPr>
  </w:style>
  <w:style w:type="character" w:customStyle="1" w:styleId="DocoriginalChar">
    <w:name w:val="Doc_original Char"/>
    <w:basedOn w:val="DefaultParagraphFont"/>
    <w:link w:val="Docoriginal"/>
    <w:rsid w:val="00F731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F73179"/>
    <w:rPr>
      <w:rFonts w:ascii="Arial" w:hAnsi="Arial"/>
      <w:b/>
      <w:bCs/>
      <w:spacing w:val="10"/>
      <w:lang w:val="en-US" w:eastAsia="en-US" w:bidi="ar-SA"/>
    </w:rPr>
  </w:style>
  <w:style w:type="paragraph" w:customStyle="1" w:styleId="StyleDocnumber">
    <w:name w:val="Style Doc_number"/>
    <w:basedOn w:val="Docoriginal"/>
    <w:rsid w:val="00F73179"/>
    <w:pPr>
      <w:ind w:left="1589"/>
    </w:pPr>
  </w:style>
  <w:style w:type="paragraph" w:customStyle="1" w:styleId="StyleDocoriginal">
    <w:name w:val="Style Doc_original"/>
    <w:basedOn w:val="Docoriginal"/>
    <w:link w:val="StyleDocoriginalChar"/>
    <w:rsid w:val="00F73179"/>
  </w:style>
  <w:style w:type="character" w:customStyle="1" w:styleId="StyleDocoriginalChar">
    <w:name w:val="Style Doc_original Char"/>
    <w:basedOn w:val="DocoriginalChar"/>
    <w:link w:val="StyleDocoriginal"/>
    <w:rsid w:val="00F73179"/>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F73179"/>
    <w:rPr>
      <w:rFonts w:ascii="Arial" w:hAnsi="Arial"/>
      <w:b/>
      <w:bCs/>
      <w:spacing w:val="10"/>
      <w:lang w:val="en-US" w:eastAsia="en-US" w:bidi="ar-SA"/>
    </w:rPr>
  </w:style>
  <w:style w:type="character" w:customStyle="1" w:styleId="StyleDoclangBold">
    <w:name w:val="Style Doc_lang + Bold"/>
    <w:basedOn w:val="Doclang"/>
    <w:rsid w:val="00F73179"/>
    <w:rPr>
      <w:rFonts w:ascii="Arial" w:hAnsi="Arial"/>
      <w:b/>
      <w:bCs/>
      <w:sz w:val="20"/>
      <w:lang w:val="en-US"/>
    </w:rPr>
  </w:style>
  <w:style w:type="paragraph" w:styleId="TOC2">
    <w:name w:val="toc 2"/>
    <w:next w:val="Normal"/>
    <w:autoRedefine/>
    <w:semiHidden/>
    <w:rsid w:val="00F73179"/>
    <w:pPr>
      <w:tabs>
        <w:tab w:val="right" w:leader="dot" w:pos="9639"/>
      </w:tabs>
      <w:spacing w:before="120"/>
      <w:ind w:left="851" w:right="851" w:hanging="567"/>
      <w:contextualSpacing/>
    </w:pPr>
    <w:rPr>
      <w:rFonts w:ascii="Arial" w:hAnsi="Arial"/>
      <w:noProof/>
    </w:rPr>
  </w:style>
  <w:style w:type="paragraph" w:styleId="TOC3">
    <w:name w:val="toc 3"/>
    <w:next w:val="Normal"/>
    <w:autoRedefine/>
    <w:semiHidden/>
    <w:rsid w:val="00F73179"/>
    <w:pPr>
      <w:tabs>
        <w:tab w:val="right" w:leader="dot" w:pos="9639"/>
      </w:tabs>
      <w:spacing w:before="120"/>
      <w:ind w:left="851" w:right="851" w:hanging="567"/>
      <w:contextualSpacing/>
    </w:pPr>
    <w:rPr>
      <w:rFonts w:ascii="Arial" w:hAnsi="Arial"/>
      <w:i/>
      <w:noProof/>
      <w:lang w:val="fr-FR"/>
    </w:rPr>
  </w:style>
  <w:style w:type="character" w:styleId="Hyperlink">
    <w:name w:val="Hyperlink"/>
    <w:basedOn w:val="DefaultParagraphFont"/>
    <w:rsid w:val="00F73179"/>
    <w:rPr>
      <w:rFonts w:ascii="Arial" w:hAnsi="Arial"/>
      <w:color w:val="0000FF"/>
      <w:u w:val="single"/>
    </w:rPr>
  </w:style>
  <w:style w:type="paragraph" w:styleId="TOC4">
    <w:name w:val="toc 4"/>
    <w:next w:val="Normal"/>
    <w:autoRedefine/>
    <w:semiHidden/>
    <w:rsid w:val="00F73179"/>
    <w:pPr>
      <w:tabs>
        <w:tab w:val="right" w:leader="dot" w:pos="9639"/>
      </w:tabs>
      <w:spacing w:before="120"/>
      <w:ind w:left="851" w:right="851" w:hanging="284"/>
    </w:pPr>
    <w:rPr>
      <w:rFonts w:ascii="Arial" w:hAnsi="Arial"/>
      <w:i/>
      <w:noProof/>
      <w:lang w:val="fr-FR"/>
    </w:rPr>
  </w:style>
  <w:style w:type="paragraph" w:styleId="TOC1">
    <w:name w:val="toc 1"/>
    <w:next w:val="Normal"/>
    <w:autoRedefine/>
    <w:semiHidden/>
    <w:rsid w:val="00F73179"/>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F73179"/>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00571E"/>
    <w:rPr>
      <w:rFonts w:ascii="Tahoma" w:hAnsi="Tahoma" w:cs="Tahoma"/>
      <w:sz w:val="16"/>
      <w:szCs w:val="16"/>
    </w:rPr>
  </w:style>
  <w:style w:type="character" w:customStyle="1" w:styleId="BalloonTextChar">
    <w:name w:val="Balloon Text Char"/>
    <w:basedOn w:val="DefaultParagraphFont"/>
    <w:link w:val="BalloonText"/>
    <w:rsid w:val="0000571E"/>
    <w:rPr>
      <w:rFonts w:ascii="Tahoma" w:hAnsi="Tahoma" w:cs="Tahoma"/>
      <w:sz w:val="16"/>
      <w:szCs w:val="16"/>
    </w:rPr>
  </w:style>
  <w:style w:type="character" w:customStyle="1" w:styleId="Heading8Char">
    <w:name w:val="Heading 8 Char"/>
    <w:basedOn w:val="DefaultParagraphFont"/>
    <w:link w:val="Heading8"/>
    <w:rsid w:val="003F39F5"/>
    <w:rPr>
      <w:rFonts w:ascii="Arial" w:hAnsi="Arial"/>
      <w:u w:val="single"/>
      <w:lang w:val="en-GB" w:eastAsia="pl-PL"/>
    </w:rPr>
  </w:style>
  <w:style w:type="paragraph" w:styleId="ListParagraph">
    <w:name w:val="List Paragraph"/>
    <w:basedOn w:val="Normal"/>
    <w:uiPriority w:val="34"/>
    <w:qFormat/>
    <w:rsid w:val="003F39F5"/>
    <w:pPr>
      <w:ind w:left="1134" w:hanging="567"/>
      <w:jc w:val="left"/>
    </w:pPr>
    <w:rPr>
      <w:szCs w:val="22"/>
      <w:lang w:val="en-US"/>
    </w:rPr>
  </w:style>
  <w:style w:type="table" w:styleId="TableGrid">
    <w:name w:val="Table Grid"/>
    <w:basedOn w:val="TableNormal"/>
    <w:rsid w:val="003F39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3F39F5"/>
    <w:pPr>
      <w:jc w:val="left"/>
    </w:pPr>
    <w:rPr>
      <w:rFonts w:ascii="Times New Roman" w:hAnsi="Times New Roman"/>
      <w:sz w:val="28"/>
      <w:lang w:val="pl-PL" w:eastAsia="pl-PL"/>
    </w:rPr>
  </w:style>
  <w:style w:type="character" w:customStyle="1" w:styleId="BodyText2Char">
    <w:name w:val="Body Text 2 Char"/>
    <w:basedOn w:val="DefaultParagraphFont"/>
    <w:link w:val="BodyText2"/>
    <w:rsid w:val="003F39F5"/>
    <w:rPr>
      <w:sz w:val="28"/>
      <w:lang w:val="pl-PL" w:eastAsia="pl-PL"/>
    </w:rPr>
  </w:style>
  <w:style w:type="character" w:customStyle="1" w:styleId="FooterChar">
    <w:name w:val="Footer Char"/>
    <w:aliases w:val="doc_path_name Char"/>
    <w:basedOn w:val="DefaultParagraphFont"/>
    <w:link w:val="Footer"/>
    <w:rsid w:val="003F39F5"/>
    <w:rPr>
      <w:rFonts w:ascii="Arial" w:hAnsi="Arial"/>
      <w:sz w:val="14"/>
    </w:rPr>
  </w:style>
  <w:style w:type="character" w:customStyle="1" w:styleId="FootnoteTextChar">
    <w:name w:val="Footnote Text Char"/>
    <w:link w:val="FootnoteText"/>
    <w:rsid w:val="003F39F5"/>
    <w:rPr>
      <w:rFonts w:ascii="Arial" w:hAnsi="Arial"/>
      <w:sz w:val="16"/>
    </w:rPr>
  </w:style>
  <w:style w:type="paragraph" w:styleId="ListBullet">
    <w:name w:val="List Bullet"/>
    <w:basedOn w:val="Normal"/>
    <w:uiPriority w:val="99"/>
    <w:rsid w:val="003F39F5"/>
    <w:pPr>
      <w:numPr>
        <w:numId w:val="1"/>
      </w:numPr>
      <w:spacing w:after="240"/>
    </w:pPr>
    <w:rPr>
      <w:lang w:val="en-GB"/>
    </w:rPr>
  </w:style>
  <w:style w:type="paragraph" w:customStyle="1" w:styleId="Default">
    <w:name w:val="Default"/>
    <w:rsid w:val="003F39F5"/>
    <w:pPr>
      <w:autoSpaceDE w:val="0"/>
      <w:autoSpaceDN w:val="0"/>
      <w:adjustRightInd w:val="0"/>
    </w:pPr>
    <w:rPr>
      <w:rFonts w:ascii="Arial" w:hAnsi="Arial" w:cs="Arial"/>
      <w:color w:val="000000"/>
      <w:sz w:val="24"/>
      <w:szCs w:val="24"/>
    </w:rPr>
  </w:style>
  <w:style w:type="paragraph" w:customStyle="1" w:styleId="Pa11">
    <w:name w:val="Pa11"/>
    <w:basedOn w:val="Normal"/>
    <w:next w:val="Normal"/>
    <w:uiPriority w:val="99"/>
    <w:rsid w:val="003F39F5"/>
    <w:pPr>
      <w:autoSpaceDE w:val="0"/>
      <w:autoSpaceDN w:val="0"/>
      <w:adjustRightInd w:val="0"/>
      <w:spacing w:line="191" w:lineRule="atLeast"/>
      <w:jc w:val="left"/>
    </w:pPr>
    <w:rPr>
      <w:rFonts w:ascii="Myriad Pro Light" w:eastAsia="Calibri" w:hAnsi="Myriad Pro Light"/>
      <w:sz w:val="24"/>
      <w:szCs w:val="24"/>
      <w:lang w:val="fr-FR" w:eastAsia="fr-FR"/>
    </w:rPr>
  </w:style>
  <w:style w:type="paragraph" w:customStyle="1" w:styleId="Pa26">
    <w:name w:val="Pa26"/>
    <w:basedOn w:val="Normal"/>
    <w:next w:val="Normal"/>
    <w:uiPriority w:val="99"/>
    <w:rsid w:val="003F39F5"/>
    <w:pPr>
      <w:autoSpaceDE w:val="0"/>
      <w:autoSpaceDN w:val="0"/>
      <w:adjustRightInd w:val="0"/>
      <w:spacing w:line="181" w:lineRule="atLeast"/>
      <w:jc w:val="left"/>
    </w:pPr>
    <w:rPr>
      <w:rFonts w:ascii="Myriad Pro Light" w:eastAsia="Calibri" w:hAnsi="Myriad Pro Light"/>
      <w:sz w:val="24"/>
      <w:szCs w:val="24"/>
      <w:lang w:val="fr-FR" w:eastAsia="fr-FR"/>
    </w:rPr>
  </w:style>
  <w:style w:type="paragraph" w:styleId="NormalWeb">
    <w:name w:val="Normal (Web)"/>
    <w:basedOn w:val="Normal"/>
    <w:uiPriority w:val="99"/>
    <w:rsid w:val="003F39F5"/>
    <w:pPr>
      <w:spacing w:before="100" w:beforeAutospacing="1" w:after="100" w:afterAutospacing="1"/>
      <w:jc w:val="left"/>
    </w:pPr>
    <w:rPr>
      <w:rFonts w:ascii="SimSun" w:eastAsia="SimSun" w:hAnsi="SimSun" w:cs="SimSun"/>
      <w:sz w:val="24"/>
      <w:szCs w:val="24"/>
      <w:lang w:val="en-US" w:eastAsia="zh-CN"/>
    </w:rPr>
  </w:style>
  <w:style w:type="paragraph" w:styleId="PlainText">
    <w:name w:val="Plain Text"/>
    <w:basedOn w:val="Normal"/>
    <w:link w:val="PlainTextChar"/>
    <w:uiPriority w:val="99"/>
    <w:rsid w:val="003F39F5"/>
    <w:pPr>
      <w:spacing w:after="240"/>
    </w:pPr>
    <w:rPr>
      <w:rFonts w:ascii="Courier New" w:hAnsi="Courier New"/>
      <w:lang w:val="en-GB"/>
    </w:rPr>
  </w:style>
  <w:style w:type="character" w:customStyle="1" w:styleId="PlainTextChar">
    <w:name w:val="Plain Text Char"/>
    <w:basedOn w:val="DefaultParagraphFont"/>
    <w:link w:val="PlainText"/>
    <w:uiPriority w:val="99"/>
    <w:rsid w:val="003F39F5"/>
    <w:rPr>
      <w:rFonts w:ascii="Courier New" w:hAnsi="Courier New"/>
      <w:lang w:val="en-GB"/>
    </w:rPr>
  </w:style>
  <w:style w:type="paragraph" w:styleId="BodyTextIndent2">
    <w:name w:val="Body Text Indent 2"/>
    <w:basedOn w:val="Normal"/>
    <w:link w:val="BodyTextIndent2Char"/>
    <w:rsid w:val="003F39F5"/>
    <w:pPr>
      <w:spacing w:after="120" w:line="480" w:lineRule="auto"/>
      <w:ind w:left="360"/>
    </w:pPr>
    <w:rPr>
      <w:lang w:val="en-US"/>
    </w:rPr>
  </w:style>
  <w:style w:type="character" w:customStyle="1" w:styleId="BodyTextIndent2Char">
    <w:name w:val="Body Text Indent 2 Char"/>
    <w:basedOn w:val="DefaultParagraphFont"/>
    <w:link w:val="BodyTextIndent2"/>
    <w:rsid w:val="003F39F5"/>
    <w:rPr>
      <w:rFonts w:ascii="Arial" w:hAnsi="Arial"/>
    </w:rPr>
  </w:style>
  <w:style w:type="paragraph" w:styleId="BodyText3">
    <w:name w:val="Body Text 3"/>
    <w:basedOn w:val="Normal"/>
    <w:link w:val="BodyText3Char"/>
    <w:rsid w:val="003F39F5"/>
    <w:pPr>
      <w:spacing w:after="120"/>
    </w:pPr>
    <w:rPr>
      <w:sz w:val="16"/>
      <w:szCs w:val="16"/>
      <w:lang w:val="en-US"/>
    </w:rPr>
  </w:style>
  <w:style w:type="character" w:customStyle="1" w:styleId="BodyText3Char">
    <w:name w:val="Body Text 3 Char"/>
    <w:basedOn w:val="DefaultParagraphFont"/>
    <w:link w:val="BodyText3"/>
    <w:rsid w:val="003F39F5"/>
    <w:rPr>
      <w:rFonts w:ascii="Arial" w:hAnsi="Arial"/>
      <w:sz w:val="16"/>
      <w:szCs w:val="16"/>
    </w:rPr>
  </w:style>
  <w:style w:type="character" w:customStyle="1" w:styleId="FootnoteTextChar2">
    <w:name w:val="Footnote Text Char2"/>
    <w:rsid w:val="003F39F5"/>
    <w:rPr>
      <w:rFonts w:ascii="Arial" w:hAnsi="Arial" w:cs="Mangal"/>
      <w:sz w:val="18"/>
      <w:szCs w:val="24"/>
      <w:lang w:bidi="ne-NP"/>
    </w:rPr>
  </w:style>
  <w:style w:type="paragraph" w:styleId="NoSpacing">
    <w:name w:val="No Spacing"/>
    <w:uiPriority w:val="1"/>
    <w:qFormat/>
    <w:rsid w:val="003F39F5"/>
    <w:rPr>
      <w:rFonts w:ascii="Calibri" w:eastAsia="Calibri" w:hAnsi="Calibri"/>
      <w:sz w:val="22"/>
      <w:szCs w:val="22"/>
    </w:rPr>
  </w:style>
  <w:style w:type="paragraph" w:customStyle="1" w:styleId="inf61normal">
    <w:name w:val="inf_6_1_normal"/>
    <w:basedOn w:val="Normal"/>
    <w:rsid w:val="003F39F5"/>
    <w:pPr>
      <w:tabs>
        <w:tab w:val="left" w:pos="-31680"/>
        <w:tab w:val="left" w:pos="315"/>
      </w:tabs>
    </w:pPr>
    <w:rPr>
      <w:rFonts w:ascii="Times New Roman" w:hAnsi="Times New Roman"/>
      <w:color w:val="000000"/>
      <w:kern w:val="28"/>
      <w:sz w:val="24"/>
      <w:lang w:val="en-ZW" w:eastAsia="en-ZW"/>
    </w:rPr>
  </w:style>
  <w:style w:type="character" w:customStyle="1" w:styleId="FontStyle24">
    <w:name w:val="Font Style24"/>
    <w:basedOn w:val="DefaultParagraphFont"/>
    <w:uiPriority w:val="99"/>
    <w:rsid w:val="00473D0E"/>
    <w:rPr>
      <w:rFonts w:ascii="Calibri" w:hAnsi="Calibri" w:cs="Calibri"/>
      <w:b/>
      <w:bCs/>
      <w:sz w:val="36"/>
      <w:szCs w:val="36"/>
      <w:lang w:val="es-ES" w:eastAsia="es-ES"/>
    </w:rPr>
  </w:style>
  <w:style w:type="character" w:customStyle="1" w:styleId="FontStyle28">
    <w:name w:val="Font Style28"/>
    <w:basedOn w:val="DefaultParagraphFont"/>
    <w:uiPriority w:val="99"/>
    <w:rsid w:val="00473D0E"/>
    <w:rPr>
      <w:rFonts w:ascii="Calibri" w:hAnsi="Calibri" w:cs="Calibri"/>
      <w:spacing w:val="-10"/>
      <w:sz w:val="30"/>
      <w:szCs w:val="30"/>
      <w:lang w:val="es-ES" w:eastAsia="es-ES"/>
    </w:rPr>
  </w:style>
  <w:style w:type="paragraph" w:customStyle="1" w:styleId="Style4">
    <w:name w:val="Style4"/>
    <w:basedOn w:val="Normal"/>
    <w:uiPriority w:val="99"/>
    <w:rsid w:val="00473D0E"/>
    <w:pPr>
      <w:widowControl w:val="0"/>
      <w:autoSpaceDE w:val="0"/>
      <w:autoSpaceDN w:val="0"/>
      <w:adjustRightInd w:val="0"/>
      <w:spacing w:line="281" w:lineRule="exact"/>
      <w:ind w:firstLine="367"/>
      <w:jc w:val="left"/>
    </w:pPr>
    <w:rPr>
      <w:rFonts w:ascii="Calibri" w:hAnsi="Calibri"/>
      <w:sz w:val="24"/>
      <w:szCs w:val="24"/>
      <w:lang w:val="en-US"/>
    </w:rPr>
  </w:style>
  <w:style w:type="character" w:customStyle="1" w:styleId="FontStyle31">
    <w:name w:val="Font Style31"/>
    <w:basedOn w:val="DefaultParagraphFont"/>
    <w:uiPriority w:val="99"/>
    <w:rsid w:val="00473D0E"/>
    <w:rPr>
      <w:rFonts w:ascii="Calibri" w:hAnsi="Calibri" w:cs="Calibri"/>
      <w:sz w:val="24"/>
      <w:szCs w:val="24"/>
      <w:lang w:val="es-ES" w:eastAsia="es-ES"/>
    </w:rPr>
  </w:style>
  <w:style w:type="paragraph" w:customStyle="1" w:styleId="Style6">
    <w:name w:val="Style6"/>
    <w:basedOn w:val="Normal"/>
    <w:uiPriority w:val="99"/>
    <w:rsid w:val="00473D0E"/>
    <w:pPr>
      <w:widowControl w:val="0"/>
      <w:autoSpaceDE w:val="0"/>
      <w:autoSpaceDN w:val="0"/>
      <w:adjustRightInd w:val="0"/>
      <w:spacing w:line="338" w:lineRule="exact"/>
      <w:jc w:val="center"/>
    </w:pPr>
    <w:rPr>
      <w:rFonts w:ascii="Calibri" w:hAnsi="Calibri"/>
      <w:sz w:val="24"/>
      <w:szCs w:val="24"/>
      <w:lang w:val="en-US"/>
    </w:rPr>
  </w:style>
  <w:style w:type="character" w:customStyle="1" w:styleId="FontStyle25">
    <w:name w:val="Font Style25"/>
    <w:basedOn w:val="DefaultParagraphFont"/>
    <w:uiPriority w:val="99"/>
    <w:rsid w:val="00473D0E"/>
    <w:rPr>
      <w:rFonts w:ascii="Calibri" w:hAnsi="Calibri" w:cs="Calibri"/>
      <w:sz w:val="28"/>
      <w:szCs w:val="28"/>
      <w:lang w:val="es-ES" w:eastAsia="es-ES"/>
    </w:rPr>
  </w:style>
  <w:style w:type="character" w:customStyle="1" w:styleId="FontStyle27">
    <w:name w:val="Font Style27"/>
    <w:basedOn w:val="DefaultParagraphFont"/>
    <w:uiPriority w:val="99"/>
    <w:rsid w:val="00473D0E"/>
    <w:rPr>
      <w:rFonts w:ascii="Calibri" w:hAnsi="Calibri" w:cs="Calibri"/>
      <w:spacing w:val="-10"/>
      <w:sz w:val="36"/>
      <w:szCs w:val="36"/>
      <w:lang w:val="es-ES" w:eastAsia="es-ES"/>
    </w:rPr>
  </w:style>
  <w:style w:type="character" w:customStyle="1" w:styleId="ht">
    <w:name w:val="ht"/>
    <w:basedOn w:val="DefaultParagraphFont"/>
    <w:rsid w:val="00B23B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hart" Target="charts/chart1.xml"/><Relationship Id="rId18" Type="http://schemas.openxmlformats.org/officeDocument/2006/relationships/hyperlink" Target="https://www.retsinformation.dk/Forms/R0710.aspx?id=173645" TargetMode="External"/><Relationship Id="rId26" Type="http://schemas.openxmlformats.org/officeDocument/2006/relationships/header" Target="header9.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yperlink" Target="mailto:upov.mail@upov.int" TargetMode="External"/><Relationship Id="rId34" Type="http://schemas.openxmlformats.org/officeDocument/2006/relationships/header" Target="header12.xml"/><Relationship Id="rId42" Type="http://schemas.openxmlformats.org/officeDocument/2006/relationships/image" Target="media/image4.emf"/><Relationship Id="rId47"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yperlink" Target="https://www.retsinformation.dk/Forms/R0710.aspx?id=123418" TargetMode="External"/><Relationship Id="rId25" Type="http://schemas.openxmlformats.org/officeDocument/2006/relationships/header" Target="header8.xml"/><Relationship Id="rId33" Type="http://schemas.openxmlformats.org/officeDocument/2006/relationships/hyperlink" Target="http://www.agepi.gov.md/" TargetMode="External"/><Relationship Id="rId38" Type="http://schemas.openxmlformats.org/officeDocument/2006/relationships/header" Target="header14.xml"/><Relationship Id="rId46" Type="http://schemas.openxmlformats.org/officeDocument/2006/relationships/header" Target="header1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tystofte.dk/wp-content/uploads/2015/08/prisliste-2016-pricelist-2016.pdf" TargetMode="External"/><Relationship Id="rId29" Type="http://schemas.openxmlformats.org/officeDocument/2006/relationships/package" Target="embeddings/Microsoft_PowerPoint_Slide1.sldx"/><Relationship Id="rId41"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hyperlink" Target="file:///D:\A-%20OMPI-%20UPOV\38160-c_49_15_annex_38160\38160-c_49_15_annex_38160\es-ES\(http:\www.cpvo.europa.eu\main\es\home\methods-of-payment\applicable-fees\examination-fees)" TargetMode="External"/><Relationship Id="rId45"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6.xml"/><Relationship Id="rId28" Type="http://schemas.openxmlformats.org/officeDocument/2006/relationships/image" Target="media/image3.emf"/><Relationship Id="rId36" Type="http://schemas.openxmlformats.org/officeDocument/2006/relationships/hyperlink" Target="http://www.uzb.minpolj.gov.rs/index.php?option=com_content&amp;view=article&amp;id=61&amp;Itemid=14&amp;lang=en" TargetMode="External"/><Relationship Id="rId49"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tystofte.dk/wp-content/uploads/2015/06/prisliste-2015-pricelist-2015.pdf" TargetMode="External"/><Relationship Id="rId31" Type="http://schemas.openxmlformats.org/officeDocument/2006/relationships/hyperlink" Target="http://www.coboru.pl/" TargetMode="External"/><Relationship Id="rId44" Type="http://schemas.openxmlformats.org/officeDocument/2006/relationships/image" Target="media/image5.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hart" Target="charts/chart2.xml"/><Relationship Id="rId22" Type="http://schemas.openxmlformats.org/officeDocument/2006/relationships/image" Target="media/image2.jpeg"/><Relationship Id="rId27" Type="http://schemas.openxmlformats.org/officeDocument/2006/relationships/header" Target="header10.xml"/><Relationship Id="rId30" Type="http://schemas.openxmlformats.org/officeDocument/2006/relationships/hyperlink" Target="http://www.coboru.pl/" TargetMode="External"/><Relationship Id="rId35" Type="http://schemas.openxmlformats.org/officeDocument/2006/relationships/hyperlink" Target="http://www.uzb.minpolj.gov.rs/index.php?lang=en" TargetMode="External"/><Relationship Id="rId43" Type="http://schemas.openxmlformats.org/officeDocument/2006/relationships/chart" Target="charts/chart4.xml"/><Relationship Id="rId48" Type="http://schemas.openxmlformats.org/officeDocument/2006/relationships/fontTable" Target="fontTable.xml"/><Relationship Id="rId8"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49\templates\C_49_ES.dotx"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jeimy.velasquez\Desktop\informe%20201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jeimy.velasquez\Desktop\informe%20201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pvonas\bonneau$\My%20Documents\_queries\Content\20141118VF%20content%20general.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C:\Users\bonneau\AppData\Local\Microsoft\Windows\Temporary%20Internet%20Files\Content.IE5\RY2EOOKC\1_-_Monthly_report_crosstab.csv"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oleObject" Target="file:///D:\A-%20OMPI-%20UPOV\38160-c_49_15_annex_38160\downloadPvULf111352\c_49_15_annex_graph_38160_ES.docx.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lgn="ctr">
              <a:defRPr/>
            </a:pPr>
            <a:r>
              <a:rPr lang="es-CO" sz="1100"/>
              <a:t>SOLICITUDES</a:t>
            </a:r>
            <a:r>
              <a:rPr lang="es-CO" sz="1100" baseline="0"/>
              <a:t> RECIBIDAS POR ESPECIES </a:t>
            </a:r>
          </a:p>
          <a:p>
            <a:pPr algn="ctr">
              <a:defRPr/>
            </a:pPr>
            <a:r>
              <a:rPr lang="es-CO" sz="1000" baseline="0"/>
              <a:t>OCTUBRE DE 2014 - SEPTIEMBRE  DE 2015</a:t>
            </a:r>
          </a:p>
          <a:p>
            <a:pPr algn="ctr">
              <a:defRPr/>
            </a:pPr>
            <a:r>
              <a:rPr lang="es-CO" sz="1100" baseline="0"/>
              <a:t> (214)</a:t>
            </a:r>
            <a:endParaRPr lang="es-CO" sz="1100"/>
          </a:p>
        </c:rich>
      </c:tx>
      <c:layout>
        <c:manualLayout>
          <c:xMode val="edge"/>
          <c:yMode val="edge"/>
          <c:x val="0.32369410047454217"/>
          <c:y val="3.5870082845483729E-2"/>
        </c:manualLayout>
      </c:layout>
      <c:overlay val="0"/>
    </c:title>
    <c:autoTitleDeleted val="0"/>
    <c:plotArea>
      <c:layout/>
      <c:barChart>
        <c:barDir val="col"/>
        <c:grouping val="clustered"/>
        <c:varyColors val="0"/>
        <c:ser>
          <c:idx val="0"/>
          <c:order val="0"/>
          <c:invertIfNegative val="0"/>
          <c:dPt>
            <c:idx val="0"/>
            <c:invertIfNegative val="0"/>
            <c:bubble3D val="0"/>
            <c:spPr>
              <a:solidFill>
                <a:srgbClr val="FF0000"/>
              </a:solidFill>
            </c:spPr>
          </c:dPt>
          <c:dPt>
            <c:idx val="1"/>
            <c:invertIfNegative val="0"/>
            <c:bubble3D val="0"/>
            <c:spPr>
              <a:solidFill>
                <a:srgbClr val="92D050"/>
              </a:solidFill>
            </c:spPr>
          </c:dPt>
          <c:dPt>
            <c:idx val="2"/>
            <c:invertIfNegative val="0"/>
            <c:bubble3D val="0"/>
            <c:spPr>
              <a:solidFill>
                <a:srgbClr val="FF33CC"/>
              </a:solidFill>
            </c:spPr>
          </c:dPt>
          <c:dPt>
            <c:idx val="3"/>
            <c:invertIfNegative val="0"/>
            <c:bubble3D val="0"/>
            <c:spPr>
              <a:solidFill>
                <a:srgbClr val="00CCFF"/>
              </a:solidFill>
            </c:spPr>
          </c:dPt>
          <c:dPt>
            <c:idx val="4"/>
            <c:invertIfNegative val="0"/>
            <c:bubble3D val="0"/>
            <c:spPr>
              <a:solidFill>
                <a:srgbClr val="FFFF00"/>
              </a:solidFill>
            </c:spPr>
          </c:dPt>
          <c:dPt>
            <c:idx val="5"/>
            <c:invertIfNegative val="0"/>
            <c:bubble3D val="0"/>
            <c:spPr>
              <a:solidFill>
                <a:srgbClr val="00CC00"/>
              </a:solidFill>
            </c:spPr>
          </c:dPt>
          <c:dPt>
            <c:idx val="7"/>
            <c:invertIfNegative val="0"/>
            <c:bubble3D val="0"/>
            <c:spPr>
              <a:solidFill>
                <a:srgbClr val="FFCC00"/>
              </a:solidFill>
            </c:spPr>
          </c:dPt>
          <c:dPt>
            <c:idx val="8"/>
            <c:invertIfNegative val="0"/>
            <c:bubble3D val="0"/>
            <c:spPr>
              <a:solidFill>
                <a:srgbClr val="6699FF"/>
              </a:solidFill>
            </c:spPr>
          </c:dPt>
          <c:dPt>
            <c:idx val="9"/>
            <c:invertIfNegative val="0"/>
            <c:bubble3D val="0"/>
            <c:spPr>
              <a:solidFill>
                <a:srgbClr val="990099"/>
              </a:solidFill>
            </c:spPr>
          </c:dPt>
          <c:dPt>
            <c:idx val="10"/>
            <c:invertIfNegative val="0"/>
            <c:bubble3D val="0"/>
            <c:spPr>
              <a:solidFill>
                <a:srgbClr val="CCCC00"/>
              </a:solidFill>
            </c:spPr>
          </c:dPt>
          <c:dPt>
            <c:idx val="11"/>
            <c:invertIfNegative val="0"/>
            <c:bubble3D val="0"/>
            <c:spPr>
              <a:solidFill>
                <a:srgbClr val="FF6600"/>
              </a:solidFill>
            </c:spPr>
          </c:dPt>
          <c:dPt>
            <c:idx val="12"/>
            <c:invertIfNegative val="0"/>
            <c:bubble3D val="0"/>
            <c:spPr>
              <a:solidFill>
                <a:srgbClr val="FF66CC"/>
              </a:solidFill>
            </c:spPr>
          </c:dPt>
          <c:dPt>
            <c:idx val="13"/>
            <c:invertIfNegative val="0"/>
            <c:bubble3D val="0"/>
            <c:spPr>
              <a:solidFill>
                <a:srgbClr val="0099FF"/>
              </a:solidFill>
            </c:spPr>
          </c:dPt>
          <c:dPt>
            <c:idx val="14"/>
            <c:invertIfNegative val="0"/>
            <c:bubble3D val="0"/>
            <c:spPr>
              <a:solidFill>
                <a:srgbClr val="808000"/>
              </a:solidFill>
            </c:spPr>
          </c:dPt>
          <c:dPt>
            <c:idx val="15"/>
            <c:invertIfNegative val="0"/>
            <c:bubble3D val="0"/>
            <c:spPr>
              <a:solidFill>
                <a:srgbClr val="FF33CC"/>
              </a:solidFill>
            </c:spPr>
          </c:dPt>
          <c:dPt>
            <c:idx val="16"/>
            <c:invertIfNegative val="0"/>
            <c:bubble3D val="0"/>
            <c:spPr>
              <a:solidFill>
                <a:srgbClr val="FFCC00"/>
              </a:solidFill>
            </c:spPr>
          </c:dPt>
          <c:dPt>
            <c:idx val="17"/>
            <c:invertIfNegative val="0"/>
            <c:bubble3D val="0"/>
            <c:spPr>
              <a:solidFill>
                <a:srgbClr val="66FF66"/>
              </a:solidFill>
            </c:spPr>
          </c:dPt>
          <c:dPt>
            <c:idx val="18"/>
            <c:invertIfNegative val="0"/>
            <c:bubble3D val="0"/>
            <c:spPr>
              <a:solidFill>
                <a:srgbClr val="00B050"/>
              </a:solidFill>
            </c:spPr>
          </c:dPt>
          <c:dPt>
            <c:idx val="20"/>
            <c:invertIfNegative val="0"/>
            <c:bubble3D val="0"/>
            <c:spPr>
              <a:solidFill>
                <a:srgbClr val="FA2E18"/>
              </a:solidFill>
            </c:spPr>
          </c:dPt>
          <c:dLbls>
            <c:dLbl>
              <c:idx val="0"/>
              <c:layout>
                <c:manualLayout>
                  <c:x val="0"/>
                  <c:y val="-1.3036102646762744E-4"/>
                </c:manualLayout>
              </c:layout>
              <c:dLblPos val="outEnd"/>
              <c:showLegendKey val="0"/>
              <c:showVal val="1"/>
              <c:showCatName val="0"/>
              <c:showSerName val="0"/>
              <c:showPercent val="0"/>
              <c:showBubbleSize val="0"/>
            </c:dLbl>
            <c:dLbl>
              <c:idx val="3"/>
              <c:layout>
                <c:manualLayout>
                  <c:x val="-2.0800828626395171E-3"/>
                  <c:y val="2.8871854545015493E-3"/>
                </c:manualLayout>
              </c:layout>
              <c:dLblPos val="outEnd"/>
              <c:showLegendKey val="0"/>
              <c:showVal val="1"/>
              <c:showCatName val="0"/>
              <c:showSerName val="0"/>
              <c:showPercent val="0"/>
              <c:showBubbleSize val="0"/>
            </c:dLbl>
            <c:dLbl>
              <c:idx val="5"/>
              <c:layout>
                <c:manualLayout>
                  <c:x val="0"/>
                  <c:y val="2.8871854545014612E-3"/>
                </c:manualLayout>
              </c:layout>
              <c:dLblPos val="outEnd"/>
              <c:showLegendKey val="0"/>
              <c:showVal val="1"/>
              <c:showCatName val="0"/>
              <c:showSerName val="0"/>
              <c:showPercent val="0"/>
              <c:showBubbleSize val="0"/>
            </c:dLbl>
            <c:dLbl>
              <c:idx val="7"/>
              <c:layout>
                <c:manualLayout>
                  <c:x val="-3.8134411949743502E-17"/>
                  <c:y val="2.2655652197535129E-3"/>
                </c:manualLayout>
              </c:layout>
              <c:dLblPos val="outEnd"/>
              <c:showLegendKey val="0"/>
              <c:showVal val="1"/>
              <c:showCatName val="0"/>
              <c:showSerName val="0"/>
              <c:showPercent val="0"/>
              <c:showBubbleSize val="0"/>
            </c:dLbl>
            <c:dLbl>
              <c:idx val="8"/>
              <c:layout>
                <c:manualLayout>
                  <c:x val="-3.8134411949743502E-17"/>
                  <c:y val="4.9125920828032112E-4"/>
                </c:manualLayout>
              </c:layout>
              <c:dLblPos val="outEnd"/>
              <c:showLegendKey val="0"/>
              <c:showVal val="1"/>
              <c:showCatName val="0"/>
              <c:showSerName val="0"/>
              <c:showPercent val="0"/>
              <c:showBubbleSize val="0"/>
            </c:dLbl>
            <c:dLbl>
              <c:idx val="9"/>
              <c:layout>
                <c:manualLayout>
                  <c:x val="7.6268823899487004E-17"/>
                  <c:y val="4.1387267708346605E-3"/>
                </c:manualLayout>
              </c:layout>
              <c:dLblPos val="outEnd"/>
              <c:showLegendKey val="0"/>
              <c:showVal val="1"/>
              <c:showCatName val="0"/>
              <c:showSerName val="0"/>
              <c:showPercent val="0"/>
              <c:showBubbleSize val="0"/>
            </c:dLbl>
            <c:dLbl>
              <c:idx val="10"/>
              <c:layout>
                <c:manualLayout>
                  <c:x val="0"/>
                  <c:y val="1.74280052461352E-3"/>
                </c:manualLayout>
              </c:layout>
              <c:dLblPos val="outEnd"/>
              <c:showLegendKey val="0"/>
              <c:showVal val="1"/>
              <c:showCatName val="0"/>
              <c:showSerName val="0"/>
              <c:showPercent val="0"/>
              <c:showBubbleSize val="0"/>
            </c:dLbl>
            <c:dLbl>
              <c:idx val="11"/>
              <c:layout>
                <c:manualLayout>
                  <c:x val="0"/>
                  <c:y val="1.8607804767292402E-2"/>
                </c:manualLayout>
              </c:layout>
              <c:dLblPos val="outEnd"/>
              <c:showLegendKey val="0"/>
              <c:showVal val="1"/>
              <c:showCatName val="0"/>
              <c:showSerName val="0"/>
              <c:showPercent val="0"/>
              <c:showBubbleSize val="0"/>
            </c:dLbl>
            <c:dLbl>
              <c:idx val="12"/>
              <c:layout>
                <c:manualLayout>
                  <c:x val="7.6268823899487004E-17"/>
                  <c:y val="1.8607804767292402E-2"/>
                </c:manualLayout>
              </c:layout>
              <c:dLblPos val="outEnd"/>
              <c:showLegendKey val="0"/>
              <c:showVal val="1"/>
              <c:showCatName val="0"/>
              <c:showSerName val="0"/>
              <c:showPercent val="0"/>
              <c:showBubbleSize val="0"/>
            </c:dLbl>
            <c:dLbl>
              <c:idx val="13"/>
              <c:layout>
                <c:manualLayout>
                  <c:x val="0"/>
                  <c:y val="1.836373707143193E-3"/>
                </c:manualLayout>
              </c:layout>
              <c:dLblPos val="outEnd"/>
              <c:showLegendKey val="0"/>
              <c:showVal val="1"/>
              <c:showCatName val="0"/>
              <c:showSerName val="0"/>
              <c:showPercent val="0"/>
              <c:showBubbleSize val="0"/>
            </c:dLbl>
            <c:dLbl>
              <c:idx val="14"/>
              <c:layout>
                <c:manualLayout>
                  <c:x val="0"/>
                  <c:y val="4.5782943419918716E-3"/>
                </c:manualLayout>
              </c:layout>
              <c:dLblPos val="outEnd"/>
              <c:showLegendKey val="0"/>
              <c:showVal val="1"/>
              <c:showCatName val="0"/>
              <c:showSerName val="0"/>
              <c:showPercent val="0"/>
              <c:showBubbleSize val="0"/>
            </c:dLbl>
            <c:dLbl>
              <c:idx val="15"/>
              <c:layout>
                <c:manualLayout>
                  <c:x val="0"/>
                  <c:y val="1.2844712800264764E-2"/>
                </c:manualLayout>
              </c:layout>
              <c:dLblPos val="outEnd"/>
              <c:showLegendKey val="0"/>
              <c:showVal val="1"/>
              <c:showCatName val="0"/>
              <c:showSerName val="0"/>
              <c:showPercent val="0"/>
              <c:showBubbleSize val="0"/>
            </c:dLbl>
            <c:dLbl>
              <c:idx val="16"/>
              <c:layout>
                <c:manualLayout>
                  <c:x val="0"/>
                  <c:y val="9.7901129095569056E-3"/>
                </c:manualLayout>
              </c:layout>
              <c:dLblPos val="outEnd"/>
              <c:showLegendKey val="0"/>
              <c:showVal val="1"/>
              <c:showCatName val="0"/>
              <c:showSerName val="0"/>
              <c:showPercent val="0"/>
              <c:showBubbleSize val="0"/>
            </c:dLbl>
            <c:dLbl>
              <c:idx val="17"/>
              <c:layout>
                <c:manualLayout>
                  <c:x val="0"/>
                  <c:y val="9.7901129095569056E-3"/>
                </c:manualLayout>
              </c:layout>
              <c:dLblPos val="outEnd"/>
              <c:showLegendKey val="0"/>
              <c:showVal val="1"/>
              <c:showCatName val="0"/>
              <c:showSerName val="0"/>
              <c:showPercent val="0"/>
              <c:showBubbleSize val="0"/>
            </c:dLbl>
            <c:dLbl>
              <c:idx val="18"/>
              <c:layout>
                <c:manualLayout>
                  <c:x val="0"/>
                  <c:y val="6.7355130188490459E-3"/>
                </c:manualLayout>
              </c:layout>
              <c:dLblPos val="outEnd"/>
              <c:showLegendKey val="0"/>
              <c:showVal val="1"/>
              <c:showCatName val="0"/>
              <c:showSerName val="0"/>
              <c:showPercent val="0"/>
              <c:showBubbleSize val="0"/>
            </c:dLbl>
            <c:dLbl>
              <c:idx val="19"/>
              <c:layout>
                <c:manualLayout>
                  <c:x val="0"/>
                  <c:y val="9.7901129095568484E-3"/>
                </c:manualLayout>
              </c:layout>
              <c:dLblPos val="outEnd"/>
              <c:showLegendKey val="0"/>
              <c:showVal val="1"/>
              <c:showCatName val="0"/>
              <c:showSerName val="0"/>
              <c:showPercent val="0"/>
              <c:showBubbleSize val="0"/>
            </c:dLbl>
            <c:dLbl>
              <c:idx val="20"/>
              <c:layout>
                <c:manualLayout>
                  <c:x val="0"/>
                  <c:y val="6.7355130188490459E-3"/>
                </c:manualLayout>
              </c:layout>
              <c:dLblPos val="outEnd"/>
              <c:showLegendKey val="0"/>
              <c:showVal val="1"/>
              <c:showCatName val="0"/>
              <c:showSerName val="0"/>
              <c:showPercent val="0"/>
              <c:showBubbleSize val="0"/>
            </c:dLbl>
            <c:dLbl>
              <c:idx val="22"/>
              <c:layout>
                <c:manualLayout>
                  <c:x val="1.5253764779897401E-16"/>
                  <c:y val="1.2470890439386461E-2"/>
                </c:manualLayout>
              </c:layout>
              <c:dLblPos val="outEnd"/>
              <c:showLegendKey val="0"/>
              <c:showVal val="1"/>
              <c:showCatName val="0"/>
              <c:showSerName val="0"/>
              <c:showPercent val="0"/>
              <c:showBubbleSize val="0"/>
            </c:dLbl>
            <c:dLbl>
              <c:idx val="25"/>
              <c:layout>
                <c:manualLayout>
                  <c:x val="0"/>
                  <c:y val="1.5378073388541511E-2"/>
                </c:manualLayout>
              </c:layout>
              <c:dLblPos val="outEnd"/>
              <c:showLegendKey val="0"/>
              <c:showVal val="1"/>
              <c:showCatName val="0"/>
              <c:showSerName val="0"/>
              <c:showPercent val="0"/>
              <c:showBubbleSize val="0"/>
            </c:dLbl>
            <c:dLblPos val="inEnd"/>
            <c:showLegendKey val="0"/>
            <c:showVal val="1"/>
            <c:showCatName val="0"/>
            <c:showSerName val="0"/>
            <c:showPercent val="0"/>
            <c:showBubbleSize val="0"/>
            <c:showLeaderLines val="0"/>
          </c:dLbls>
          <c:cat>
            <c:strRef>
              <c:f>Hoja1!$B$3:$B$29</c:f>
              <c:strCache>
                <c:ptCount val="27"/>
                <c:pt idx="0">
                  <c:v>AGUACATE</c:v>
                </c:pt>
                <c:pt idx="1">
                  <c:v>AJENJO</c:v>
                </c:pt>
                <c:pt idx="2">
                  <c:v>ALGODÓN </c:v>
                </c:pt>
                <c:pt idx="3">
                  <c:v>ALSTROEMERIA </c:v>
                </c:pt>
                <c:pt idx="4">
                  <c:v>ARANDANO</c:v>
                </c:pt>
                <c:pt idx="5">
                  <c:v>ARROZ </c:v>
                </c:pt>
                <c:pt idx="6">
                  <c:v>BRAQUIARIA</c:v>
                </c:pt>
                <c:pt idx="7">
                  <c:v>CACAO</c:v>
                </c:pt>
                <c:pt idx="8">
                  <c:v>CAFÉ </c:v>
                </c:pt>
                <c:pt idx="9">
                  <c:v>CALA </c:v>
                </c:pt>
                <c:pt idx="10">
                  <c:v>CAÑA DE AZÚCAR </c:v>
                </c:pt>
                <c:pt idx="11">
                  <c:v>CAPIN COLONIÁO</c:v>
                </c:pt>
                <c:pt idx="12">
                  <c:v>CEBOLLA</c:v>
                </c:pt>
                <c:pt idx="13">
                  <c:v>CLAVEL</c:v>
                </c:pt>
                <c:pt idx="14">
                  <c:v>CRISANTEMO </c:v>
                </c:pt>
                <c:pt idx="15">
                  <c:v>FRESA</c:v>
                </c:pt>
                <c:pt idx="16">
                  <c:v>GYPSOPHILA </c:v>
                </c:pt>
                <c:pt idx="17">
                  <c:v>HYPERICUM</c:v>
                </c:pt>
                <c:pt idx="18">
                  <c:v>LIMONIUM</c:v>
                </c:pt>
                <c:pt idx="19">
                  <c:v>MELON </c:v>
                </c:pt>
                <c:pt idx="20">
                  <c:v>PALMA DE ACEITE</c:v>
                </c:pt>
                <c:pt idx="21">
                  <c:v>PEPPEGRASS</c:v>
                </c:pt>
                <c:pt idx="22">
                  <c:v>ROSA</c:v>
                </c:pt>
                <c:pt idx="23">
                  <c:v>SANDIA</c:v>
                </c:pt>
                <c:pt idx="24">
                  <c:v>SOLIDAGO</c:v>
                </c:pt>
                <c:pt idx="25">
                  <c:v>TOMATE</c:v>
                </c:pt>
                <c:pt idx="26">
                  <c:v>VID</c:v>
                </c:pt>
              </c:strCache>
            </c:strRef>
          </c:cat>
          <c:val>
            <c:numRef>
              <c:f>Hoja1!$C$3:$C$29</c:f>
              <c:numCache>
                <c:formatCode>General</c:formatCode>
                <c:ptCount val="27"/>
                <c:pt idx="0">
                  <c:v>2</c:v>
                </c:pt>
                <c:pt idx="1">
                  <c:v>1</c:v>
                </c:pt>
                <c:pt idx="2">
                  <c:v>1</c:v>
                </c:pt>
                <c:pt idx="3">
                  <c:v>18</c:v>
                </c:pt>
                <c:pt idx="4">
                  <c:v>1</c:v>
                </c:pt>
                <c:pt idx="5">
                  <c:v>7</c:v>
                </c:pt>
                <c:pt idx="6">
                  <c:v>1</c:v>
                </c:pt>
                <c:pt idx="7">
                  <c:v>2</c:v>
                </c:pt>
                <c:pt idx="8">
                  <c:v>10</c:v>
                </c:pt>
                <c:pt idx="9">
                  <c:v>5</c:v>
                </c:pt>
                <c:pt idx="10">
                  <c:v>5</c:v>
                </c:pt>
                <c:pt idx="11">
                  <c:v>1</c:v>
                </c:pt>
                <c:pt idx="12">
                  <c:v>1</c:v>
                </c:pt>
                <c:pt idx="13">
                  <c:v>12</c:v>
                </c:pt>
                <c:pt idx="14">
                  <c:v>58</c:v>
                </c:pt>
                <c:pt idx="15">
                  <c:v>6</c:v>
                </c:pt>
                <c:pt idx="16">
                  <c:v>1</c:v>
                </c:pt>
                <c:pt idx="17">
                  <c:v>1</c:v>
                </c:pt>
                <c:pt idx="18">
                  <c:v>5</c:v>
                </c:pt>
                <c:pt idx="19">
                  <c:v>3</c:v>
                </c:pt>
                <c:pt idx="20">
                  <c:v>3</c:v>
                </c:pt>
                <c:pt idx="21">
                  <c:v>1</c:v>
                </c:pt>
                <c:pt idx="22">
                  <c:v>62</c:v>
                </c:pt>
                <c:pt idx="23">
                  <c:v>1</c:v>
                </c:pt>
                <c:pt idx="24">
                  <c:v>1</c:v>
                </c:pt>
                <c:pt idx="25">
                  <c:v>3</c:v>
                </c:pt>
                <c:pt idx="26">
                  <c:v>2</c:v>
                </c:pt>
              </c:numCache>
            </c:numRef>
          </c:val>
        </c:ser>
        <c:dLbls>
          <c:showLegendKey val="0"/>
          <c:showVal val="0"/>
          <c:showCatName val="0"/>
          <c:showSerName val="0"/>
          <c:showPercent val="0"/>
          <c:showBubbleSize val="0"/>
        </c:dLbls>
        <c:gapWidth val="75"/>
        <c:overlap val="40"/>
        <c:axId val="75009408"/>
        <c:axId val="115428736"/>
      </c:barChart>
      <c:catAx>
        <c:axId val="75009408"/>
        <c:scaling>
          <c:orientation val="minMax"/>
        </c:scaling>
        <c:delete val="0"/>
        <c:axPos val="b"/>
        <c:majorTickMark val="none"/>
        <c:minorTickMark val="none"/>
        <c:tickLblPos val="nextTo"/>
        <c:crossAx val="115428736"/>
        <c:crosses val="autoZero"/>
        <c:auto val="1"/>
        <c:lblAlgn val="ctr"/>
        <c:lblOffset val="100"/>
        <c:noMultiLvlLbl val="0"/>
      </c:catAx>
      <c:valAx>
        <c:axId val="115428736"/>
        <c:scaling>
          <c:orientation val="minMax"/>
          <c:max val="65"/>
          <c:min val="0"/>
        </c:scaling>
        <c:delete val="0"/>
        <c:axPos val="l"/>
        <c:majorGridlines/>
        <c:numFmt formatCode="General" sourceLinked="1"/>
        <c:majorTickMark val="none"/>
        <c:minorTickMark val="none"/>
        <c:tickLblPos val="nextTo"/>
        <c:crossAx val="75009408"/>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CO" sz="1100"/>
              <a:t>CERTIFICADOS</a:t>
            </a:r>
            <a:r>
              <a:rPr lang="es-CO" sz="1100" baseline="0"/>
              <a:t> ENTREGADOS </a:t>
            </a:r>
          </a:p>
          <a:p>
            <a:pPr>
              <a:defRPr/>
            </a:pPr>
            <a:r>
              <a:rPr lang="es-CO" sz="1000" baseline="0"/>
              <a:t>OCTUBRE 2014 - SEPTIEMBRE  DE 2015</a:t>
            </a:r>
          </a:p>
          <a:p>
            <a:pPr>
              <a:defRPr/>
            </a:pPr>
            <a:r>
              <a:rPr lang="es-CO" sz="1000" baseline="0"/>
              <a:t>170</a:t>
            </a:r>
            <a:endParaRPr lang="es-CO" sz="1000"/>
          </a:p>
        </c:rich>
      </c:tx>
      <c:layout>
        <c:manualLayout>
          <c:xMode val="edge"/>
          <c:yMode val="edge"/>
          <c:x val="0.30284142801945479"/>
          <c:y val="3.4152823757506286E-2"/>
        </c:manualLayout>
      </c:layout>
      <c:overlay val="0"/>
    </c:title>
    <c:autoTitleDeleted val="0"/>
    <c:plotArea>
      <c:layout>
        <c:manualLayout>
          <c:layoutTarget val="inner"/>
          <c:xMode val="edge"/>
          <c:yMode val="edge"/>
          <c:x val="0.27331768311569749"/>
          <c:y val="0.32206451907836547"/>
          <c:w val="0.45336463376860503"/>
          <c:h val="0.71472897583451711"/>
        </c:manualLayout>
      </c:layout>
      <c:pieChart>
        <c:varyColors val="1"/>
        <c:ser>
          <c:idx val="0"/>
          <c:order val="0"/>
          <c:explosion val="25"/>
          <c:dPt>
            <c:idx val="6"/>
            <c:bubble3D val="0"/>
            <c:explosion val="12"/>
          </c:dPt>
          <c:dLbls>
            <c:dLbl>
              <c:idx val="0"/>
              <c:layout>
                <c:manualLayout>
                  <c:x val="3.3342951696255362E-2"/>
                  <c:y val="-2.4883300098201911E-3"/>
                </c:manualLayout>
              </c:layout>
              <c:showLegendKey val="0"/>
              <c:showVal val="1"/>
              <c:showCatName val="1"/>
              <c:showSerName val="0"/>
              <c:showPercent val="0"/>
              <c:showBubbleSize val="0"/>
            </c:dLbl>
            <c:dLbl>
              <c:idx val="1"/>
              <c:layout>
                <c:manualLayout>
                  <c:x val="3.1271743206012295E-2"/>
                  <c:y val="-3.7047897911134081E-2"/>
                </c:manualLayout>
              </c:layout>
              <c:showLegendKey val="0"/>
              <c:showVal val="1"/>
              <c:showCatName val="1"/>
              <c:showSerName val="0"/>
              <c:showPercent val="0"/>
              <c:showBubbleSize val="0"/>
            </c:dLbl>
            <c:dLbl>
              <c:idx val="2"/>
              <c:layout>
                <c:manualLayout>
                  <c:x val="2.47665509202654E-2"/>
                  <c:y val="8.3380386809126083E-3"/>
                </c:manualLayout>
              </c:layout>
              <c:showLegendKey val="0"/>
              <c:showVal val="1"/>
              <c:showCatName val="1"/>
              <c:showSerName val="0"/>
              <c:showPercent val="0"/>
              <c:showBubbleSize val="0"/>
            </c:dLbl>
            <c:dLbl>
              <c:idx val="3"/>
              <c:layout>
                <c:manualLayout>
                  <c:x val="2.2272949576955053E-2"/>
                  <c:y val="-6.3634632351939613E-3"/>
                </c:manualLayout>
              </c:layout>
              <c:showLegendKey val="0"/>
              <c:showVal val="1"/>
              <c:showCatName val="1"/>
              <c:showSerName val="0"/>
              <c:showPercent val="0"/>
              <c:showBubbleSize val="0"/>
            </c:dLbl>
            <c:dLbl>
              <c:idx val="4"/>
              <c:layout>
                <c:manualLayout>
                  <c:x val="5.1640501459056749E-2"/>
                  <c:y val="7.4398034625361379E-3"/>
                </c:manualLayout>
              </c:layout>
              <c:showLegendKey val="0"/>
              <c:showVal val="1"/>
              <c:showCatName val="1"/>
              <c:showSerName val="0"/>
              <c:showPercent val="0"/>
              <c:showBubbleSize val="0"/>
            </c:dLbl>
            <c:dLbl>
              <c:idx val="5"/>
              <c:layout>
                <c:manualLayout>
                  <c:x val="6.1106600805334116E-2"/>
                  <c:y val="6.3829956748496456E-3"/>
                </c:manualLayout>
              </c:layout>
              <c:showLegendKey val="0"/>
              <c:showVal val="1"/>
              <c:showCatName val="1"/>
              <c:showSerName val="0"/>
              <c:showPercent val="0"/>
              <c:showBubbleSize val="0"/>
            </c:dLbl>
            <c:dLbl>
              <c:idx val="6"/>
              <c:layout>
                <c:manualLayout>
                  <c:x val="6.2326502665427691E-2"/>
                  <c:y val="4.7402521880853692E-2"/>
                </c:manualLayout>
              </c:layout>
              <c:showLegendKey val="0"/>
              <c:showVal val="1"/>
              <c:showCatName val="1"/>
              <c:showSerName val="0"/>
              <c:showPercent val="0"/>
              <c:showBubbleSize val="0"/>
            </c:dLbl>
            <c:dLbl>
              <c:idx val="7"/>
              <c:layout>
                <c:manualLayout>
                  <c:x val="-4.6790401199850021E-2"/>
                  <c:y val="-8.749504942606753E-3"/>
                </c:manualLayout>
              </c:layout>
              <c:showLegendKey val="0"/>
              <c:showVal val="1"/>
              <c:showCatName val="1"/>
              <c:showSerName val="0"/>
              <c:showPercent val="0"/>
              <c:showBubbleSize val="0"/>
            </c:dLbl>
            <c:dLbl>
              <c:idx val="8"/>
              <c:layout>
                <c:manualLayout>
                  <c:x val="7.2127125413671113E-3"/>
                  <c:y val="-7.1026375732691369E-2"/>
                </c:manualLayout>
              </c:layout>
              <c:showLegendKey val="0"/>
              <c:showVal val="1"/>
              <c:showCatName val="1"/>
              <c:showSerName val="0"/>
              <c:showPercent val="0"/>
              <c:showBubbleSize val="0"/>
            </c:dLbl>
            <c:showLegendKey val="0"/>
            <c:showVal val="1"/>
            <c:showCatName val="1"/>
            <c:showSerName val="0"/>
            <c:showPercent val="0"/>
            <c:showBubbleSize val="0"/>
            <c:showLeaderLines val="1"/>
          </c:dLbls>
          <c:cat>
            <c:strRef>
              <c:f>Hoja1!$P$37:$P$48</c:f>
              <c:strCache>
                <c:ptCount val="12"/>
                <c:pt idx="0">
                  <c:v>ALEMANA</c:v>
                </c:pt>
                <c:pt idx="1">
                  <c:v>AUSTRALIANA</c:v>
                </c:pt>
                <c:pt idx="2">
                  <c:v>CHILENA </c:v>
                </c:pt>
                <c:pt idx="3">
                  <c:v>COLOMBIANA</c:v>
                </c:pt>
                <c:pt idx="4">
                  <c:v>ESPAÑOLA</c:v>
                </c:pt>
                <c:pt idx="5">
                  <c:v>ESTADOUNIDENSE</c:v>
                </c:pt>
                <c:pt idx="6">
                  <c:v>FRANCESA</c:v>
                </c:pt>
                <c:pt idx="7">
                  <c:v>HOLANDESA</c:v>
                </c:pt>
                <c:pt idx="8">
                  <c:v>INGLESA</c:v>
                </c:pt>
                <c:pt idx="9">
                  <c:v>ISRAELÍ</c:v>
                </c:pt>
                <c:pt idx="10">
                  <c:v>ITALIANA</c:v>
                </c:pt>
                <c:pt idx="11">
                  <c:v>NEOZELANDESA</c:v>
                </c:pt>
              </c:strCache>
            </c:strRef>
          </c:cat>
          <c:val>
            <c:numRef>
              <c:f>Hoja1!$Q$37:$Q$48</c:f>
              <c:numCache>
                <c:formatCode>General</c:formatCode>
                <c:ptCount val="12"/>
                <c:pt idx="0">
                  <c:v>20</c:v>
                </c:pt>
                <c:pt idx="1">
                  <c:v>6</c:v>
                </c:pt>
                <c:pt idx="2">
                  <c:v>2</c:v>
                </c:pt>
                <c:pt idx="3">
                  <c:v>18</c:v>
                </c:pt>
                <c:pt idx="4">
                  <c:v>1</c:v>
                </c:pt>
                <c:pt idx="5">
                  <c:v>6</c:v>
                </c:pt>
                <c:pt idx="6">
                  <c:v>6</c:v>
                </c:pt>
                <c:pt idx="7">
                  <c:v>96</c:v>
                </c:pt>
                <c:pt idx="8">
                  <c:v>4</c:v>
                </c:pt>
                <c:pt idx="9">
                  <c:v>6</c:v>
                </c:pt>
                <c:pt idx="10">
                  <c:v>4</c:v>
                </c:pt>
                <c:pt idx="11">
                  <c:v>1</c:v>
                </c:pt>
              </c:numCache>
            </c:numRef>
          </c:val>
        </c:ser>
        <c:dLbls>
          <c:showLegendKey val="0"/>
          <c:showVal val="0"/>
          <c:showCatName val="1"/>
          <c:showSerName val="0"/>
          <c:showPercent val="0"/>
          <c:showBubbleSize val="0"/>
          <c:showLeaderLines val="1"/>
        </c:dLbls>
        <c:firstSliceAng val="0"/>
      </c:pieChart>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u="sng"/>
            </a:pPr>
            <a:r>
              <a:rPr lang="es-ES" sz="1400" u="none"/>
              <a:t>Número de registros por</a:t>
            </a:r>
            <a:r>
              <a:rPr lang="es-ES" sz="1400" u="none" baseline="0"/>
              <a:t> tipo de inscripción</a:t>
            </a:r>
          </a:p>
          <a:p>
            <a:pPr>
              <a:defRPr sz="1400" u="sng"/>
            </a:pPr>
            <a:r>
              <a:rPr lang="es-ES" sz="1400" u="none" baseline="0"/>
              <a:t>- diciembre de 2014 - </a:t>
            </a:r>
          </a:p>
        </c:rich>
      </c:tx>
      <c:layout>
        <c:manualLayout>
          <c:xMode val="edge"/>
          <c:yMode val="edge"/>
          <c:x val="0.23360421410738291"/>
          <c:y val="0"/>
        </c:manualLayout>
      </c:layout>
      <c:overlay val="0"/>
    </c:title>
    <c:autoTitleDeleted val="0"/>
    <c:view3D>
      <c:rotX val="40"/>
      <c:rotY val="100"/>
      <c:rAngAx val="0"/>
      <c:perspective val="0"/>
    </c:view3D>
    <c:floor>
      <c:thickness val="0"/>
    </c:floor>
    <c:sideWall>
      <c:thickness val="0"/>
    </c:sideWall>
    <c:backWall>
      <c:thickness val="0"/>
    </c:backWall>
    <c:plotArea>
      <c:layout>
        <c:manualLayout>
          <c:layoutTarget val="inner"/>
          <c:xMode val="edge"/>
          <c:yMode val="edge"/>
          <c:x val="1.1904761904761913E-2"/>
          <c:y val="0.10011935449034873"/>
          <c:w val="0.96726190476190432"/>
          <c:h val="0.87364331694674191"/>
        </c:manualLayout>
      </c:layout>
      <c:pie3DChart>
        <c:varyColors val="1"/>
        <c:ser>
          <c:idx val="0"/>
          <c:order val="0"/>
          <c:tx>
            <c:strRef>
              <c:f>Sheet1!$B$1</c:f>
              <c:strCache>
                <c:ptCount val="1"/>
                <c:pt idx="0">
                  <c:v>COUNT(V.VARIETYID)</c:v>
                </c:pt>
              </c:strCache>
            </c:strRef>
          </c:tx>
          <c:dPt>
            <c:idx val="4"/>
            <c:bubble3D val="0"/>
            <c:explosion val="16"/>
            <c:spPr>
              <a:solidFill>
                <a:schemeClr val="accent6"/>
              </a:solidFill>
            </c:spPr>
          </c:dPt>
          <c:dLbls>
            <c:dLbl>
              <c:idx val="0"/>
              <c:layout>
                <c:manualLayout>
                  <c:x val="0.11833209873156099"/>
                  <c:y val="-1.8444232932421898E-2"/>
                </c:manualLayout>
              </c:layout>
              <c:tx>
                <c:rich>
                  <a:bodyPr/>
                  <a:lstStyle/>
                  <a:p>
                    <a:pPr>
                      <a:defRPr/>
                    </a:pPr>
                    <a:r>
                      <a:rPr lang="en-US"/>
                      <a:t>Derechos de obtentor; 258.846 </a:t>
                    </a:r>
                    <a:r>
                      <a:rPr lang="en-US" sz="1000" b="0" i="0" u="none" strike="noStrike" baseline="0"/>
                      <a:t>inscripciones</a:t>
                    </a:r>
                    <a:r>
                      <a:rPr lang="en-US"/>
                      <a:t>; </a:t>
                    </a:r>
                  </a:p>
                  <a:p>
                    <a:pPr>
                      <a:defRPr/>
                    </a:pPr>
                    <a:r>
                      <a:rPr lang="en-US"/>
                      <a:t>29%</a:t>
                    </a:r>
                  </a:p>
                </c:rich>
              </c:tx>
              <c:spPr/>
              <c:dLblPos val="bestFit"/>
              <c:showLegendKey val="0"/>
              <c:showVal val="1"/>
              <c:showCatName val="1"/>
              <c:showSerName val="0"/>
              <c:showPercent val="1"/>
              <c:showBubbleSize val="0"/>
            </c:dLbl>
            <c:dLbl>
              <c:idx val="1"/>
              <c:layout>
                <c:manualLayout>
                  <c:x val="-2.2133706273340378E-2"/>
                  <c:y val="2.3165100784584395E-2"/>
                </c:manualLayout>
              </c:layout>
              <c:tx>
                <c:rich>
                  <a:bodyPr/>
                  <a:lstStyle/>
                  <a:p>
                    <a:pPr>
                      <a:defRPr/>
                    </a:pPr>
                    <a:r>
                      <a:rPr lang="en-US"/>
                      <a:t>Registros comerciales; 130.330 </a:t>
                    </a:r>
                    <a:r>
                      <a:rPr lang="en-US" sz="1000" b="0" i="0" u="none" strike="noStrike" baseline="0"/>
                      <a:t>inscripciones</a:t>
                    </a:r>
                    <a:r>
                      <a:rPr lang="en-US"/>
                      <a:t>; </a:t>
                    </a:r>
                  </a:p>
                  <a:p>
                    <a:pPr>
                      <a:defRPr/>
                    </a:pPr>
                    <a:r>
                      <a:rPr lang="en-US"/>
                      <a:t>15%</a:t>
                    </a:r>
                  </a:p>
                </c:rich>
              </c:tx>
              <c:spPr/>
              <c:dLblPos val="bestFit"/>
              <c:showLegendKey val="0"/>
              <c:showVal val="1"/>
              <c:showCatName val="1"/>
              <c:showSerName val="0"/>
              <c:showPercent val="1"/>
              <c:showBubbleSize val="0"/>
            </c:dLbl>
            <c:dLbl>
              <c:idx val="2"/>
              <c:layout>
                <c:manualLayout>
                  <c:x val="-8.7932727921204934E-2"/>
                  <c:y val="4.6049724553661561E-2"/>
                </c:manualLayout>
              </c:layout>
              <c:tx>
                <c:rich>
                  <a:bodyPr/>
                  <a:lstStyle/>
                  <a:p>
                    <a:pPr>
                      <a:defRPr/>
                    </a:pPr>
                    <a:r>
                      <a:rPr lang="en-US"/>
                      <a:t>Listas nacionales; </a:t>
                    </a:r>
                  </a:p>
                  <a:p>
                    <a:pPr>
                      <a:defRPr/>
                    </a:pPr>
                    <a:r>
                      <a:rPr lang="en-US"/>
                      <a:t>352.330 inscripciones;  40%</a:t>
                    </a:r>
                  </a:p>
                </c:rich>
              </c:tx>
              <c:spPr/>
              <c:dLblPos val="bestFit"/>
              <c:showLegendKey val="0"/>
              <c:showVal val="1"/>
              <c:showCatName val="1"/>
              <c:showSerName val="0"/>
              <c:showPercent val="1"/>
              <c:showBubbleSize val="0"/>
            </c:dLbl>
            <c:dLbl>
              <c:idx val="3"/>
              <c:layout>
                <c:manualLayout>
                  <c:x val="9.4942638108404143E-2"/>
                  <c:y val="-5.8437044324057899E-2"/>
                </c:manualLayout>
              </c:layout>
              <c:tx>
                <c:rich>
                  <a:bodyPr/>
                  <a:lstStyle/>
                  <a:p>
                    <a:pPr>
                      <a:defRPr/>
                    </a:pPr>
                    <a:r>
                      <a:rPr lang="en-US"/>
                      <a:t>Patentes de plantas; </a:t>
                    </a:r>
                  </a:p>
                  <a:p>
                    <a:pPr>
                      <a:defRPr/>
                    </a:pPr>
                    <a:r>
                      <a:rPr lang="en-US"/>
                      <a:t>26.398</a:t>
                    </a:r>
                    <a:r>
                      <a:rPr lang="en-US" baseline="0"/>
                      <a:t> </a:t>
                    </a:r>
                    <a:r>
                      <a:rPr lang="en-US"/>
                      <a:t>inscripciones;</a:t>
                    </a:r>
                  </a:p>
                  <a:p>
                    <a:pPr>
                      <a:defRPr/>
                    </a:pPr>
                    <a:r>
                      <a:rPr lang="en-US"/>
                      <a:t>3%</a:t>
                    </a:r>
                  </a:p>
                </c:rich>
              </c:tx>
              <c:spPr/>
              <c:dLblPos val="bestFit"/>
              <c:showLegendKey val="0"/>
              <c:showVal val="1"/>
              <c:showCatName val="1"/>
              <c:showSerName val="0"/>
              <c:showPercent val="1"/>
              <c:showBubbleSize val="0"/>
            </c:dLbl>
            <c:dLbl>
              <c:idx val="4"/>
              <c:layout>
                <c:manualLayout>
                  <c:x val="3.027594750354588E-2"/>
                  <c:y val="0.11604213060904348"/>
                </c:manualLayout>
              </c:layout>
              <c:tx>
                <c:rich>
                  <a:bodyPr/>
                  <a:lstStyle/>
                  <a:p>
                    <a:pPr>
                      <a:defRPr/>
                    </a:pPr>
                    <a:r>
                      <a:rPr lang="en-US"/>
                      <a:t>Marcas comunitarias; </a:t>
                    </a:r>
                  </a:p>
                  <a:p>
                    <a:pPr>
                      <a:defRPr/>
                    </a:pPr>
                    <a:r>
                      <a:rPr lang="en-US"/>
                      <a:t>30.733 </a:t>
                    </a:r>
                    <a:r>
                      <a:rPr lang="en-US" sz="1000" b="0" i="0" u="none" strike="noStrike" baseline="0"/>
                      <a:t>inscripciones</a:t>
                    </a:r>
                    <a:r>
                      <a:rPr lang="en-US"/>
                      <a:t>; </a:t>
                    </a:r>
                  </a:p>
                  <a:p>
                    <a:pPr>
                      <a:defRPr/>
                    </a:pPr>
                    <a:r>
                      <a:rPr lang="en-US"/>
                      <a:t>3%</a:t>
                    </a:r>
                  </a:p>
                </c:rich>
              </c:tx>
              <c:spPr/>
              <c:dLblPos val="bestFit"/>
              <c:showLegendKey val="0"/>
              <c:showVal val="1"/>
              <c:showCatName val="1"/>
              <c:showSerName val="0"/>
              <c:showPercent val="1"/>
              <c:showBubbleSize val="0"/>
            </c:dLbl>
            <c:dLbl>
              <c:idx val="5"/>
              <c:layout>
                <c:manualLayout>
                  <c:x val="1.6247149859063906E-2"/>
                  <c:y val="0.14086668500071711"/>
                </c:manualLayout>
              </c:layout>
              <c:tx>
                <c:rich>
                  <a:bodyPr/>
                  <a:lstStyle/>
                  <a:p>
                    <a:pPr>
                      <a:defRPr/>
                    </a:pPr>
                    <a:r>
                      <a:rPr lang="en-US"/>
                      <a:t>Otros</a:t>
                    </a:r>
                    <a:r>
                      <a:rPr lang="en-US" baseline="0"/>
                      <a:t> registros</a:t>
                    </a:r>
                    <a:r>
                      <a:rPr lang="en-US"/>
                      <a:t>; </a:t>
                    </a:r>
                  </a:p>
                  <a:p>
                    <a:pPr>
                      <a:defRPr/>
                    </a:pPr>
                    <a:r>
                      <a:rPr lang="en-US"/>
                      <a:t>91.273 </a:t>
                    </a:r>
                    <a:r>
                      <a:rPr lang="en-US" sz="1000" b="0" i="0" u="none" strike="noStrike" baseline="0"/>
                      <a:t>inscripciones</a:t>
                    </a:r>
                    <a:r>
                      <a:rPr lang="en-US"/>
                      <a:t>; </a:t>
                    </a:r>
                  </a:p>
                  <a:p>
                    <a:pPr>
                      <a:defRPr/>
                    </a:pPr>
                    <a:r>
                      <a:rPr lang="en-US"/>
                      <a:t>10%</a:t>
                    </a:r>
                  </a:p>
                </c:rich>
              </c:tx>
              <c:spPr/>
              <c:dLblPos val="bestFit"/>
              <c:showLegendKey val="0"/>
              <c:showVal val="1"/>
              <c:showCatName val="1"/>
              <c:showSerName val="0"/>
              <c:showPercent val="1"/>
              <c:showBubbleSize val="0"/>
            </c:dLbl>
            <c:dLbl>
              <c:idx val="6"/>
              <c:layout>
                <c:manualLayout>
                  <c:x val="4.9432789106153119E-2"/>
                  <c:y val="-2.0822710220256475E-3"/>
                </c:manualLayout>
              </c:layout>
              <c:spPr/>
              <c:txPr>
                <a:bodyPr/>
                <a:lstStyle/>
                <a:p>
                  <a:pPr>
                    <a:defRPr/>
                  </a:pPr>
                  <a:endParaRPr lang="en-US"/>
                </a:p>
              </c:txPr>
              <c:dLblPos val="bestFit"/>
              <c:showLegendKey val="0"/>
              <c:showVal val="1"/>
              <c:showCatName val="1"/>
              <c:showSerName val="0"/>
              <c:showPercent val="1"/>
              <c:showBubbleSize val="0"/>
            </c:dLbl>
            <c:dLblPos val="inEnd"/>
            <c:showLegendKey val="0"/>
            <c:showVal val="1"/>
            <c:showCatName val="1"/>
            <c:showSerName val="0"/>
            <c:showPercent val="1"/>
            <c:showBubbleSize val="0"/>
            <c:showLeaderLines val="1"/>
          </c:dLbls>
          <c:cat>
            <c:strRef>
              <c:f>Sheet1!$A$2:$A$10</c:f>
              <c:strCache>
                <c:ptCount val="6"/>
                <c:pt idx="0">
                  <c:v>Plant Breeder's Rights</c:v>
                </c:pt>
                <c:pt idx="1">
                  <c:v>Commercial registers</c:v>
                </c:pt>
                <c:pt idx="2">
                  <c:v>National Listing</c:v>
                </c:pt>
                <c:pt idx="3">
                  <c:v>Plant Patents</c:v>
                </c:pt>
                <c:pt idx="4">
                  <c:v>CTM (Community Trade Marks)</c:v>
                </c:pt>
                <c:pt idx="5">
                  <c:v>Other registers</c:v>
                </c:pt>
              </c:strCache>
            </c:strRef>
          </c:cat>
          <c:val>
            <c:numRef>
              <c:f>Sheet1!$B$2:$B$10</c:f>
              <c:numCache>
                <c:formatCode>General</c:formatCode>
                <c:ptCount val="6"/>
                <c:pt idx="0">
                  <c:v>258846</c:v>
                </c:pt>
                <c:pt idx="1">
                  <c:v>130330</c:v>
                </c:pt>
                <c:pt idx="2">
                  <c:v>352330</c:v>
                </c:pt>
                <c:pt idx="3">
                  <c:v>26398</c:v>
                </c:pt>
                <c:pt idx="4">
                  <c:v>30733</c:v>
                </c:pt>
                <c:pt idx="5">
                  <c:v>91273</c:v>
                </c:pt>
              </c:numCache>
            </c:numRef>
          </c:val>
        </c:ser>
        <c:dLbls>
          <c:showLegendKey val="0"/>
          <c:showVal val="0"/>
          <c:showCatName val="0"/>
          <c:showSerName val="0"/>
          <c:showPercent val="0"/>
          <c:showBubbleSize val="0"/>
          <c:showLeaderLines val="1"/>
        </c:dLbls>
      </c:pie3DChart>
      <c:spPr>
        <a:noFill/>
        <a:ln w="25400">
          <a:noFill/>
        </a:ln>
      </c:spPr>
    </c:plotArea>
    <c:plotVisOnly val="1"/>
    <c:dispBlanksAs val="zero"/>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s-ES" sz="1000"/>
              <a:t>Empleo del menú de extracción de información </a:t>
            </a:r>
            <a:r>
              <a:rPr lang="es-ES" sz="1000" baseline="0"/>
              <a:t>(“Search Varieties”) en 2014</a:t>
            </a:r>
          </a:p>
          <a:p>
            <a:pPr>
              <a:defRPr/>
            </a:pPr>
            <a:r>
              <a:rPr lang="es-ES" sz="1000" baseline="0"/>
              <a:t>(Número de páginas cargadas)</a:t>
            </a:r>
          </a:p>
        </c:rich>
      </c:tx>
      <c:layout>
        <c:manualLayout>
          <c:xMode val="edge"/>
          <c:yMode val="edge"/>
          <c:x val="8.3702900285943682E-2"/>
          <c:y val="2.8215377380672473E-2"/>
        </c:manualLayout>
      </c:layout>
      <c:overlay val="0"/>
    </c:title>
    <c:autoTitleDeleted val="0"/>
    <c:plotArea>
      <c:layout/>
      <c:barChart>
        <c:barDir val="col"/>
        <c:grouping val="clustered"/>
        <c:varyColors val="0"/>
        <c:ser>
          <c:idx val="0"/>
          <c:order val="0"/>
          <c:tx>
            <c:strRef>
              <c:f>'1_-_Monthly_report_crosstab'!$A$2</c:f>
              <c:strCache>
                <c:ptCount val="1"/>
                <c:pt idx="0">
                  <c:v>retrievingtool </c:v>
                </c:pt>
              </c:strCache>
            </c:strRef>
          </c:tx>
          <c:spPr>
            <a:solidFill>
              <a:schemeClr val="tx2"/>
            </a:solidFill>
          </c:spPr>
          <c:invertIfNegative val="0"/>
          <c:dLbls>
            <c:dLbl>
              <c:idx val="11"/>
              <c:layout>
                <c:manualLayout>
                  <c:x val="0"/>
                  <c:y val="-7.994356924523871E-2"/>
                </c:manualLayout>
              </c:layout>
              <c:tx>
                <c:rich>
                  <a:bodyPr/>
                  <a:lstStyle/>
                  <a:p>
                    <a:pPr>
                      <a:defRPr sz="900"/>
                    </a:pPr>
                    <a:r>
                      <a:rPr lang="en-US" sz="900"/>
                      <a:t>herramienta de búsqueda; 15.849</a:t>
                    </a:r>
                  </a:p>
                </c:rich>
              </c:tx>
              <c:spPr/>
              <c:showLegendKey val="0"/>
              <c:showVal val="1"/>
              <c:showCatName val="0"/>
              <c:showSerName val="1"/>
              <c:showPercent val="0"/>
              <c:showBubbleSize val="0"/>
            </c:dLbl>
            <c:showLegendKey val="0"/>
            <c:showVal val="0"/>
            <c:showCatName val="0"/>
            <c:showSerName val="0"/>
            <c:showPercent val="0"/>
            <c:showBubbleSize val="0"/>
          </c:dLbls>
          <c:cat>
            <c:numRef>
              <c:f>'1_-_Monthly_report_crosstab'!$B$1:$M$1</c:f>
              <c:numCache>
                <c:formatCode>[$-409]mmm\-yy;@</c:formatCode>
                <c:ptCount val="12"/>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numCache>
            </c:numRef>
          </c:cat>
          <c:val>
            <c:numRef>
              <c:f>'1_-_Monthly_report_crosstab'!$B$2:$M$2</c:f>
              <c:numCache>
                <c:formatCode>General</c:formatCode>
                <c:ptCount val="12"/>
                <c:pt idx="0">
                  <c:v>6.4180000000000001</c:v>
                </c:pt>
                <c:pt idx="1">
                  <c:v>7.7160000000000002</c:v>
                </c:pt>
                <c:pt idx="2">
                  <c:v>6.6760000000000002</c:v>
                </c:pt>
                <c:pt idx="3">
                  <c:v>5.7510000000000003</c:v>
                </c:pt>
                <c:pt idx="4">
                  <c:v>5.8390000000000004</c:v>
                </c:pt>
                <c:pt idx="5">
                  <c:v>3.6789999999999998</c:v>
                </c:pt>
                <c:pt idx="6">
                  <c:v>4.9429999999999996</c:v>
                </c:pt>
                <c:pt idx="7">
                  <c:v>5.3239999999999963</c:v>
                </c:pt>
                <c:pt idx="8">
                  <c:v>10.907</c:v>
                </c:pt>
                <c:pt idx="9">
                  <c:v>19.587</c:v>
                </c:pt>
                <c:pt idx="10">
                  <c:v>18.946000000000002</c:v>
                </c:pt>
                <c:pt idx="11">
                  <c:v>15.849</c:v>
                </c:pt>
              </c:numCache>
            </c:numRef>
          </c:val>
        </c:ser>
        <c:dLbls>
          <c:showLegendKey val="0"/>
          <c:showVal val="1"/>
          <c:showCatName val="0"/>
          <c:showSerName val="0"/>
          <c:showPercent val="0"/>
          <c:showBubbleSize val="0"/>
        </c:dLbls>
        <c:gapWidth val="150"/>
        <c:axId val="116076928"/>
        <c:axId val="116078464"/>
      </c:barChart>
      <c:dateAx>
        <c:axId val="116076928"/>
        <c:scaling>
          <c:orientation val="minMax"/>
        </c:scaling>
        <c:delete val="0"/>
        <c:axPos val="b"/>
        <c:numFmt formatCode="[$-C0A]mmm\-yy;@" sourceLinked="0"/>
        <c:majorTickMark val="none"/>
        <c:minorTickMark val="none"/>
        <c:tickLblPos val="nextTo"/>
        <c:crossAx val="116078464"/>
        <c:crosses val="autoZero"/>
        <c:auto val="0"/>
        <c:lblOffset val="100"/>
        <c:baseTimeUnit val="months"/>
      </c:dateAx>
      <c:valAx>
        <c:axId val="116078464"/>
        <c:scaling>
          <c:orientation val="minMax"/>
        </c:scaling>
        <c:delete val="0"/>
        <c:axPos val="l"/>
        <c:majorGridlines/>
        <c:numFmt formatCode="General" sourceLinked="1"/>
        <c:majorTickMark val="none"/>
        <c:minorTickMark val="none"/>
        <c:tickLblPos val="nextTo"/>
        <c:crossAx val="116076928"/>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a:pPr>
            <a:r>
              <a:rPr lang="en-US" sz="1000"/>
              <a:t>Años</a:t>
            </a:r>
          </a:p>
        </c:rich>
      </c:tx>
      <c:layout>
        <c:manualLayout>
          <c:xMode val="edge"/>
          <c:yMode val="edge"/>
          <c:x val="0.46161050575748791"/>
          <c:y val="2.8429288524596041E-2"/>
        </c:manualLayout>
      </c:layout>
      <c:overlay val="0"/>
    </c:title>
    <c:autoTitleDeleted val="0"/>
    <c:plotArea>
      <c:layout>
        <c:manualLayout>
          <c:layoutTarget val="inner"/>
          <c:xMode val="edge"/>
          <c:yMode val="edge"/>
          <c:x val="0.14359040978463569"/>
          <c:y val="7.5947389251132313E-2"/>
          <c:w val="0.72933128308456463"/>
          <c:h val="0.8489070617457285"/>
        </c:manualLayout>
      </c:layout>
      <c:barChart>
        <c:barDir val="col"/>
        <c:grouping val="clustered"/>
        <c:varyColors val="0"/>
        <c:ser>
          <c:idx val="1"/>
          <c:order val="1"/>
          <c:invertIfNegative val="0"/>
          <c:dPt>
            <c:idx val="0"/>
            <c:invertIfNegative val="0"/>
            <c:bubble3D val="0"/>
            <c:spPr>
              <a:solidFill>
                <a:srgbClr val="0070C0"/>
              </a:solidFill>
            </c:spPr>
          </c:dPt>
          <c:dPt>
            <c:idx val="1"/>
            <c:invertIfNegative val="0"/>
            <c:bubble3D val="0"/>
            <c:spPr>
              <a:solidFill>
                <a:srgbClr val="AFAC3C"/>
              </a:solidFill>
            </c:spPr>
          </c:dPt>
          <c:dPt>
            <c:idx val="3"/>
            <c:invertIfNegative val="0"/>
            <c:bubble3D val="0"/>
            <c:spPr>
              <a:solidFill>
                <a:srgbClr val="C00000"/>
              </a:solidFill>
            </c:spPr>
          </c:dPt>
          <c:dLbls>
            <c:dLbl>
              <c:idx val="0"/>
              <c:tx>
                <c:rich>
                  <a:bodyPr/>
                  <a:lstStyle/>
                  <a:p>
                    <a:r>
                      <a:rPr lang="en-US"/>
                      <a:t>4.587 peticiones</a:t>
                    </a:r>
                    <a:br>
                      <a:rPr lang="en-US"/>
                    </a:br>
                    <a:r>
                      <a:rPr lang="en-US"/>
                      <a:t>0%</a:t>
                    </a:r>
                  </a:p>
                </c:rich>
              </c:tx>
              <c:dLblPos val="outEnd"/>
              <c:showLegendKey val="0"/>
              <c:showVal val="1"/>
              <c:showCatName val="0"/>
              <c:showSerName val="0"/>
              <c:showPercent val="0"/>
              <c:showBubbleSize val="0"/>
            </c:dLbl>
            <c:dLbl>
              <c:idx val="1"/>
              <c:tx>
                <c:rich>
                  <a:bodyPr/>
                  <a:lstStyle/>
                  <a:p>
                    <a:r>
                      <a:rPr lang="en-US"/>
                      <a:t>5.213 </a:t>
                    </a:r>
                    <a:r>
                      <a:rPr lang="en-US" sz="900" b="0" i="0" u="none" strike="noStrike" baseline="0"/>
                      <a:t>peticiones</a:t>
                    </a:r>
                    <a:br>
                      <a:rPr lang="en-US" sz="900" b="0" i="0" u="none" strike="noStrike" baseline="0"/>
                    </a:br>
                    <a:r>
                      <a:rPr lang="en-US" sz="900" b="0" i="0" u="none" strike="noStrike" baseline="0"/>
                      <a:t> </a:t>
                    </a:r>
                    <a:r>
                      <a:rPr lang="en-US"/>
                      <a:t>+14%</a:t>
                    </a:r>
                  </a:p>
                </c:rich>
              </c:tx>
              <c:dLblPos val="outEnd"/>
              <c:showLegendKey val="0"/>
              <c:showVal val="1"/>
              <c:showCatName val="0"/>
              <c:showSerName val="0"/>
              <c:showPercent val="0"/>
              <c:showBubbleSize val="0"/>
            </c:dLbl>
            <c:dLbl>
              <c:idx val="2"/>
              <c:tx>
                <c:rich>
                  <a:bodyPr/>
                  <a:lstStyle/>
                  <a:p>
                    <a:r>
                      <a:rPr lang="en-US"/>
                      <a:t>5.801 </a:t>
                    </a:r>
                    <a:r>
                      <a:rPr lang="en-US" sz="900" b="0" i="0" u="none" strike="noStrike" baseline="0"/>
                      <a:t>peticiones</a:t>
                    </a:r>
                    <a:r>
                      <a:rPr lang="en-US"/>
                      <a:t/>
                    </a:r>
                    <a:br>
                      <a:rPr lang="en-US"/>
                    </a:br>
                    <a:r>
                      <a:rPr lang="en-US"/>
                      <a:t>+11%</a:t>
                    </a:r>
                  </a:p>
                </c:rich>
              </c:tx>
              <c:dLblPos val="outEnd"/>
              <c:showLegendKey val="0"/>
              <c:showVal val="1"/>
              <c:showCatName val="0"/>
              <c:showSerName val="0"/>
              <c:showPercent val="0"/>
              <c:showBubbleSize val="0"/>
            </c:dLbl>
            <c:dLbl>
              <c:idx val="3"/>
              <c:tx>
                <c:rich>
                  <a:bodyPr/>
                  <a:lstStyle/>
                  <a:p>
                    <a:r>
                      <a:rPr lang="en-US"/>
                      <a:t>6.639 </a:t>
                    </a:r>
                    <a:r>
                      <a:rPr lang="en-US" sz="900" b="0" i="0" u="none" strike="noStrike" baseline="0"/>
                      <a:t>peticiones</a:t>
                    </a:r>
                    <a:r>
                      <a:rPr lang="en-US"/>
                      <a:t/>
                    </a:r>
                    <a:br>
                      <a:rPr lang="en-US"/>
                    </a:br>
                    <a:r>
                      <a:rPr lang="en-US"/>
                      <a:t>+14%</a:t>
                    </a:r>
                  </a:p>
                </c:rich>
              </c:tx>
              <c:dLblPos val="outEnd"/>
              <c:showLegendKey val="0"/>
              <c:showVal val="1"/>
              <c:showCatName val="0"/>
              <c:showSerName val="0"/>
              <c:showPercent val="0"/>
              <c:showBubbleSize val="0"/>
            </c:dLbl>
            <c:txPr>
              <a:bodyPr/>
              <a:lstStyle/>
              <a:p>
                <a:pPr>
                  <a:defRPr sz="900"/>
                </a:pPr>
                <a:endParaRPr lang="en-US"/>
              </a:p>
            </c:txPr>
            <c:dLblPos val="outEnd"/>
            <c:showLegendKey val="0"/>
            <c:showVal val="1"/>
            <c:showCatName val="0"/>
            <c:showSerName val="0"/>
            <c:showPercent val="0"/>
            <c:showBubbleSize val="0"/>
            <c:showLeaderLines val="0"/>
          </c:dLbls>
          <c:cat>
            <c:numRef>
              <c:f>Sheet5!$A$1:$A$4</c:f>
              <c:numCache>
                <c:formatCode>General</c:formatCode>
                <c:ptCount val="4"/>
                <c:pt idx="0">
                  <c:v>2011</c:v>
                </c:pt>
                <c:pt idx="1">
                  <c:v>2012</c:v>
                </c:pt>
                <c:pt idx="2">
                  <c:v>2013</c:v>
                </c:pt>
                <c:pt idx="3">
                  <c:v>2014</c:v>
                </c:pt>
              </c:numCache>
            </c:numRef>
          </c:cat>
          <c:val>
            <c:numRef>
              <c:f>Sheet5!$C$1:$C$4</c:f>
              <c:numCache>
                <c:formatCode>#,##0" demandes"</c:formatCode>
                <c:ptCount val="4"/>
                <c:pt idx="0">
                  <c:v>4587</c:v>
                </c:pt>
                <c:pt idx="1">
                  <c:v>5213</c:v>
                </c:pt>
                <c:pt idx="2">
                  <c:v>5801</c:v>
                </c:pt>
                <c:pt idx="3">
                  <c:v>6639</c:v>
                </c:pt>
              </c:numCache>
            </c:numRef>
          </c:val>
        </c:ser>
        <c:dLbls>
          <c:showLegendKey val="0"/>
          <c:showVal val="0"/>
          <c:showCatName val="0"/>
          <c:showSerName val="0"/>
          <c:showPercent val="0"/>
          <c:showBubbleSize val="0"/>
        </c:dLbls>
        <c:gapWidth val="39"/>
        <c:axId val="116206976"/>
        <c:axId val="116208768"/>
      </c:barChart>
      <c:lineChart>
        <c:grouping val="standard"/>
        <c:varyColors val="0"/>
        <c:ser>
          <c:idx val="0"/>
          <c:order val="0"/>
          <c:spPr>
            <a:ln>
              <a:solidFill>
                <a:srgbClr val="680000"/>
              </a:solidFill>
            </a:ln>
          </c:spPr>
          <c:marker>
            <c:symbol val="none"/>
          </c:marker>
          <c:dLbls>
            <c:dLblPos val="t"/>
            <c:showLegendKey val="0"/>
            <c:showVal val="1"/>
            <c:showCatName val="0"/>
            <c:showSerName val="0"/>
            <c:showPercent val="0"/>
            <c:showBubbleSize val="0"/>
            <c:showLeaderLines val="0"/>
          </c:dLbls>
          <c:cat>
            <c:numRef>
              <c:f>Sheet5!$A$1:$A$4</c:f>
              <c:numCache>
                <c:formatCode>General</c:formatCode>
                <c:ptCount val="4"/>
                <c:pt idx="0">
                  <c:v>2011</c:v>
                </c:pt>
                <c:pt idx="1">
                  <c:v>2012</c:v>
                </c:pt>
                <c:pt idx="2">
                  <c:v>2013</c:v>
                </c:pt>
                <c:pt idx="3">
                  <c:v>2014</c:v>
                </c:pt>
              </c:numCache>
            </c:numRef>
          </c:cat>
          <c:val>
            <c:numRef>
              <c:f>Sheet5!$B$1:$B$4</c:f>
              <c:numCache>
                <c:formatCode>General</c:formatCode>
                <c:ptCount val="4"/>
                <c:pt idx="0">
                  <c:v>25</c:v>
                </c:pt>
                <c:pt idx="1">
                  <c:v>26</c:v>
                </c:pt>
                <c:pt idx="2">
                  <c:v>27</c:v>
                </c:pt>
                <c:pt idx="3">
                  <c:v>26</c:v>
                </c:pt>
              </c:numCache>
            </c:numRef>
          </c:val>
          <c:smooth val="0"/>
        </c:ser>
        <c:dLbls>
          <c:showLegendKey val="0"/>
          <c:showVal val="0"/>
          <c:showCatName val="0"/>
          <c:showSerName val="0"/>
          <c:showPercent val="0"/>
          <c:showBubbleSize val="0"/>
        </c:dLbls>
        <c:marker val="1"/>
        <c:smooth val="0"/>
        <c:axId val="116216960"/>
        <c:axId val="116210688"/>
      </c:lineChart>
      <c:catAx>
        <c:axId val="116206976"/>
        <c:scaling>
          <c:orientation val="minMax"/>
        </c:scaling>
        <c:delete val="0"/>
        <c:axPos val="b"/>
        <c:numFmt formatCode="General" sourceLinked="1"/>
        <c:majorTickMark val="out"/>
        <c:minorTickMark val="none"/>
        <c:tickLblPos val="nextTo"/>
        <c:crossAx val="116208768"/>
        <c:crosses val="autoZero"/>
        <c:auto val="1"/>
        <c:lblAlgn val="ctr"/>
        <c:lblOffset val="100"/>
        <c:noMultiLvlLbl val="0"/>
      </c:catAx>
      <c:valAx>
        <c:axId val="116208768"/>
        <c:scaling>
          <c:orientation val="minMax"/>
          <c:max val="7500"/>
        </c:scaling>
        <c:delete val="0"/>
        <c:axPos val="l"/>
        <c:majorGridlines>
          <c:spPr>
            <a:ln>
              <a:noFill/>
            </a:ln>
          </c:spPr>
        </c:majorGridlines>
        <c:title>
          <c:tx>
            <c:rich>
              <a:bodyPr rot="-5400000" vert="horz"/>
              <a:lstStyle/>
              <a:p>
                <a:pPr>
                  <a:defRPr/>
                </a:pPr>
                <a:r>
                  <a:rPr lang="en-US"/>
                  <a:t>Peticiones de comprobación de denominaciones</a:t>
                </a:r>
              </a:p>
            </c:rich>
          </c:tx>
          <c:layout>
            <c:manualLayout>
              <c:xMode val="edge"/>
              <c:yMode val="edge"/>
              <c:x val="2.7943123271207272E-2"/>
              <c:y val="0.32099778296320097"/>
            </c:manualLayout>
          </c:layout>
          <c:overlay val="0"/>
        </c:title>
        <c:numFmt formatCode="#,##0" sourceLinked="0"/>
        <c:majorTickMark val="out"/>
        <c:minorTickMark val="none"/>
        <c:tickLblPos val="nextTo"/>
        <c:crossAx val="116206976"/>
        <c:crosses val="autoZero"/>
        <c:crossBetween val="between"/>
        <c:majorUnit val="500"/>
      </c:valAx>
      <c:valAx>
        <c:axId val="116210688"/>
        <c:scaling>
          <c:orientation val="minMax"/>
          <c:max val="65"/>
          <c:min val="0"/>
        </c:scaling>
        <c:delete val="0"/>
        <c:axPos val="r"/>
        <c:title>
          <c:tx>
            <c:rich>
              <a:bodyPr rot="-5400000" vert="horz"/>
              <a:lstStyle/>
              <a:p>
                <a:pPr>
                  <a:defRPr/>
                </a:pPr>
                <a:r>
                  <a:rPr lang="en-US"/>
                  <a:t>Número de países</a:t>
                </a:r>
              </a:p>
            </c:rich>
          </c:tx>
          <c:layout>
            <c:manualLayout>
              <c:xMode val="edge"/>
              <c:yMode val="edge"/>
              <c:x val="0.92884947462375456"/>
              <c:y val="0.39521971586828913"/>
            </c:manualLayout>
          </c:layout>
          <c:overlay val="0"/>
        </c:title>
        <c:numFmt formatCode="General" sourceLinked="1"/>
        <c:majorTickMark val="out"/>
        <c:minorTickMark val="none"/>
        <c:tickLblPos val="nextTo"/>
        <c:crossAx val="116216960"/>
        <c:crosses val="max"/>
        <c:crossBetween val="between"/>
        <c:majorUnit val="5"/>
        <c:minorUnit val="0.1"/>
      </c:valAx>
      <c:catAx>
        <c:axId val="116216960"/>
        <c:scaling>
          <c:orientation val="minMax"/>
        </c:scaling>
        <c:delete val="1"/>
        <c:axPos val="b"/>
        <c:numFmt formatCode="General" sourceLinked="1"/>
        <c:majorTickMark val="out"/>
        <c:minorTickMark val="none"/>
        <c:tickLblPos val="none"/>
        <c:crossAx val="116210688"/>
        <c:crosses val="autoZero"/>
        <c:auto val="1"/>
        <c:lblAlgn val="ctr"/>
        <c:lblOffset val="100"/>
        <c:noMultiLvlLbl val="0"/>
      </c:catAx>
      <c:spPr>
        <a:noFill/>
        <a:ln>
          <a:solidFill>
            <a:schemeClr val="tx1"/>
          </a:solidFill>
        </a:ln>
      </c:spPr>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781CC-6D02-4D05-8E4D-6B4E5331D3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C_49_ES.dotx</Template>
  <TotalTime>51</TotalTime>
  <Pages>55</Pages>
  <Words>20837</Words>
  <Characters>111927</Characters>
  <Application>Microsoft Office Word</Application>
  <DocSecurity>0</DocSecurity>
  <Lines>932</Lines>
  <Paragraphs>264</Paragraphs>
  <ScaleCrop>false</ScaleCrop>
  <HeadingPairs>
    <vt:vector size="2" baseType="variant">
      <vt:variant>
        <vt:lpstr>Title</vt:lpstr>
      </vt:variant>
      <vt:variant>
        <vt:i4>1</vt:i4>
      </vt:variant>
    </vt:vector>
  </HeadingPairs>
  <TitlesOfParts>
    <vt:vector size="1" baseType="lpstr">
      <vt:lpstr>C/49/15</vt:lpstr>
    </vt:vector>
  </TitlesOfParts>
  <Company>UPOV</Company>
  <LinksUpToDate>false</LinksUpToDate>
  <CharactersWithSpaces>132500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C/49/15</dc:title>
  <dc:creator>BESSE Ariane</dc:creator>
  <cp:lastModifiedBy>SANCHEZ-VIZCAINO GOMEZ Rosa Maria</cp:lastModifiedBy>
  <cp:revision>26</cp:revision>
  <cp:lastPrinted>2015-10-20T08:26:00Z</cp:lastPrinted>
  <dcterms:created xsi:type="dcterms:W3CDTF">2015-10-12T13:42:00Z</dcterms:created>
  <dcterms:modified xsi:type="dcterms:W3CDTF">2015-10-20T08:26:00Z</dcterms:modified>
</cp:coreProperties>
</file>