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4555F" w:rsidTr="00C13808">
        <w:trPr>
          <w:trHeight w:val="1760"/>
        </w:trPr>
        <w:tc>
          <w:tcPr>
            <w:tcW w:w="4243" w:type="dxa"/>
          </w:tcPr>
          <w:p w:rsidR="000D7780" w:rsidRPr="00F00A88" w:rsidRDefault="000D7780" w:rsidP="00F45372"/>
        </w:tc>
        <w:tc>
          <w:tcPr>
            <w:tcW w:w="1646" w:type="dxa"/>
            <w:vAlign w:val="center"/>
          </w:tcPr>
          <w:p w:rsidR="000D7780" w:rsidRPr="00E87FDB" w:rsidRDefault="00745D66" w:rsidP="00F45372">
            <w:pPr>
              <w:pStyle w:val="LogoUPOV"/>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4555F" w:rsidRDefault="00A47CDB" w:rsidP="00F45372">
            <w:pPr>
              <w:pStyle w:val="Lettrine"/>
              <w:rPr>
                <w:lang w:val="es-ES"/>
              </w:rPr>
            </w:pPr>
            <w:r w:rsidRPr="0064555F">
              <w:rPr>
                <w:lang w:val="es-ES"/>
              </w:rPr>
              <w:t>S</w:t>
            </w:r>
          </w:p>
          <w:p w:rsidR="000D7780" w:rsidRPr="0064555F" w:rsidRDefault="009A0B1E" w:rsidP="003E7998">
            <w:pPr>
              <w:pStyle w:val="Docoriginal"/>
              <w:ind w:left="880"/>
              <w:rPr>
                <w:lang w:val="es-ES"/>
              </w:rPr>
            </w:pPr>
            <w:r w:rsidRPr="0064555F">
              <w:rPr>
                <w:lang w:val="es-ES"/>
              </w:rPr>
              <w:t>C/49/</w:t>
            </w:r>
            <w:bookmarkStart w:id="0" w:name="Code"/>
            <w:bookmarkEnd w:id="0"/>
            <w:r w:rsidRPr="0064555F">
              <w:rPr>
                <w:lang w:val="es-ES"/>
              </w:rPr>
              <w:t>14</w:t>
            </w:r>
          </w:p>
          <w:p w:rsidR="000D7780" w:rsidRPr="0064555F" w:rsidRDefault="0061555F" w:rsidP="003E7998">
            <w:pPr>
              <w:pStyle w:val="Docoriginal"/>
              <w:ind w:left="880"/>
              <w:rPr>
                <w:b w:val="0"/>
                <w:spacing w:val="0"/>
                <w:lang w:val="es-ES"/>
              </w:rPr>
            </w:pPr>
            <w:r w:rsidRPr="0064555F">
              <w:rPr>
                <w:rStyle w:val="StyleDoclangBold"/>
                <w:b/>
                <w:spacing w:val="0"/>
                <w:lang w:val="es-ES"/>
              </w:rPr>
              <w:t>ORIGINAL:</w:t>
            </w:r>
            <w:r w:rsidRPr="0064555F">
              <w:rPr>
                <w:rStyle w:val="StyleDocoriginalNotBold1"/>
                <w:spacing w:val="0"/>
                <w:lang w:val="es-ES"/>
              </w:rPr>
              <w:t xml:space="preserve">  </w:t>
            </w:r>
            <w:bookmarkStart w:id="1" w:name="Original"/>
            <w:bookmarkEnd w:id="1"/>
            <w:r w:rsidRPr="0064555F">
              <w:rPr>
                <w:b w:val="0"/>
                <w:spacing w:val="0"/>
                <w:lang w:val="es-ES"/>
              </w:rPr>
              <w:t>Inglés</w:t>
            </w:r>
          </w:p>
          <w:p w:rsidR="000D7780" w:rsidRPr="0064555F" w:rsidRDefault="00A47CDB" w:rsidP="00E40A4F">
            <w:pPr>
              <w:pStyle w:val="Docoriginal"/>
              <w:ind w:left="880"/>
              <w:rPr>
                <w:lang w:val="es-ES"/>
              </w:rPr>
            </w:pPr>
            <w:r w:rsidRPr="0064555F">
              <w:rPr>
                <w:lang w:val="es-ES"/>
              </w:rPr>
              <w:t>FECHA:</w:t>
            </w:r>
            <w:r w:rsidRPr="0064555F">
              <w:rPr>
                <w:b w:val="0"/>
                <w:spacing w:val="0"/>
                <w:lang w:val="es-ES"/>
              </w:rPr>
              <w:t xml:space="preserve"> </w:t>
            </w:r>
            <w:r w:rsidRPr="0064555F">
              <w:rPr>
                <w:rStyle w:val="StyleDocoriginalNotBold1"/>
                <w:spacing w:val="0"/>
                <w:lang w:val="es-ES"/>
              </w:rPr>
              <w:t xml:space="preserve"> </w:t>
            </w:r>
            <w:bookmarkStart w:id="2" w:name="Date"/>
            <w:bookmarkEnd w:id="2"/>
            <w:r w:rsidR="00E40A4F">
              <w:rPr>
                <w:rStyle w:val="StyleDocoriginalNotBold1"/>
                <w:spacing w:val="0"/>
                <w:lang w:val="es-ES"/>
              </w:rPr>
              <w:t>14 de septiembre de 2015</w:t>
            </w:r>
          </w:p>
        </w:tc>
      </w:tr>
      <w:tr w:rsidR="00A028E2" w:rsidRPr="0064555F" w:rsidTr="00C13808">
        <w:tc>
          <w:tcPr>
            <w:tcW w:w="10131" w:type="dxa"/>
            <w:gridSpan w:val="3"/>
          </w:tcPr>
          <w:p w:rsidR="00A028E2" w:rsidRPr="00E87FDB" w:rsidRDefault="00A028E2" w:rsidP="00EC237D">
            <w:pPr>
              <w:pStyle w:val="upove"/>
              <w:rPr>
                <w:sz w:val="28"/>
                <w:lang w:val="es-ES_tradnl"/>
              </w:rPr>
            </w:pPr>
            <w:r w:rsidRPr="00E87FDB">
              <w:rPr>
                <w:spacing w:val="2"/>
                <w:lang w:val="es-ES_tradnl"/>
              </w:rPr>
              <w:t>UNIÓN INTERNACIONAL PARA LA PROTECCIÓN DE LAS OBTENCIONES VEGETALES</w:t>
            </w:r>
          </w:p>
        </w:tc>
      </w:tr>
      <w:tr w:rsidR="000D7780" w:rsidRPr="00E87FDB" w:rsidTr="00C13808">
        <w:tc>
          <w:tcPr>
            <w:tcW w:w="10131" w:type="dxa"/>
            <w:gridSpan w:val="3"/>
          </w:tcPr>
          <w:p w:rsidR="000D7780" w:rsidRPr="00E87FDB" w:rsidRDefault="00A47CDB" w:rsidP="00F45372">
            <w:pPr>
              <w:pStyle w:val="Country"/>
            </w:pPr>
            <w:proofErr w:type="spellStart"/>
            <w:r>
              <w:t>Ginebra</w:t>
            </w:r>
            <w:proofErr w:type="spellEnd"/>
          </w:p>
        </w:tc>
      </w:tr>
    </w:tbl>
    <w:p w:rsidR="000D7780" w:rsidRPr="00E87FDB" w:rsidRDefault="00E80F31" w:rsidP="00F45372">
      <w:pPr>
        <w:pStyle w:val="Sessiontc"/>
      </w:pPr>
      <w:r>
        <w:t>CONSEJO</w:t>
      </w:r>
    </w:p>
    <w:p w:rsidR="00361821" w:rsidRPr="0064555F" w:rsidRDefault="00A47CDB" w:rsidP="00F45372">
      <w:pPr>
        <w:pStyle w:val="Sessiontcplacedate"/>
        <w:rPr>
          <w:lang w:val="es-ES"/>
        </w:rPr>
      </w:pPr>
      <w:r w:rsidRPr="0064555F">
        <w:rPr>
          <w:lang w:val="es-ES"/>
        </w:rPr>
        <w:t>Cuadragésima novena sesión ordinaria</w:t>
      </w:r>
      <w:r w:rsidRPr="0064555F">
        <w:rPr>
          <w:lang w:val="es-ES"/>
        </w:rPr>
        <w:br/>
        <w:t>Ginebra, 29 de octubre de 2015</w:t>
      </w:r>
    </w:p>
    <w:p w:rsidR="000D7780" w:rsidRPr="0064555F" w:rsidRDefault="00E87FDB" w:rsidP="00F45372">
      <w:pPr>
        <w:pStyle w:val="Titleofdoc0"/>
        <w:rPr>
          <w:lang w:val="es-ES"/>
        </w:rPr>
      </w:pPr>
      <w:bookmarkStart w:id="3" w:name="TitleOfDoc"/>
      <w:bookmarkEnd w:id="3"/>
      <w:r w:rsidRPr="0064555F">
        <w:rPr>
          <w:snapToGrid w:val="0"/>
          <w:lang w:val="es-ES"/>
        </w:rPr>
        <w:t>aprobación de documentos</w:t>
      </w:r>
    </w:p>
    <w:p w:rsidR="000D7780" w:rsidRPr="0064555F" w:rsidRDefault="00A47CDB" w:rsidP="00F45372">
      <w:pPr>
        <w:pStyle w:val="preparedby1"/>
        <w:rPr>
          <w:lang w:val="es-ES"/>
        </w:rPr>
      </w:pPr>
      <w:bookmarkStart w:id="4" w:name="Prepared"/>
      <w:bookmarkEnd w:id="4"/>
      <w:r w:rsidRPr="0064555F">
        <w:rPr>
          <w:lang w:val="es-ES"/>
        </w:rPr>
        <w:t>Documento preparado por la Oficina de la Unión</w:t>
      </w:r>
      <w:r w:rsidRPr="0064555F">
        <w:rPr>
          <w:lang w:val="es-ES"/>
        </w:rPr>
        <w:br/>
      </w:r>
      <w:r w:rsidRPr="0064555F">
        <w:rPr>
          <w:lang w:val="es-ES"/>
        </w:rPr>
        <w:br/>
      </w:r>
      <w:r w:rsidRPr="0064555F">
        <w:rPr>
          <w:color w:val="A6A6A6"/>
          <w:lang w:val="es-ES"/>
        </w:rPr>
        <w:t>Descargo de responsabilidad</w:t>
      </w:r>
      <w:proofErr w:type="gramStart"/>
      <w:r w:rsidRPr="0064555F">
        <w:rPr>
          <w:color w:val="A6A6A6"/>
          <w:lang w:val="es-ES"/>
        </w:rPr>
        <w:t>:  el</w:t>
      </w:r>
      <w:proofErr w:type="gramEnd"/>
      <w:r w:rsidRPr="0064555F">
        <w:rPr>
          <w:color w:val="A6A6A6"/>
          <w:lang w:val="es-ES"/>
        </w:rPr>
        <w:t xml:space="preserve"> presente documento no constituye</w:t>
      </w:r>
      <w:r w:rsidRPr="0064555F">
        <w:rPr>
          <w:color w:val="A6A6A6"/>
          <w:lang w:val="es-ES"/>
        </w:rPr>
        <w:br/>
        <w:t>un documento de política u orientación de la UPOV</w:t>
      </w:r>
    </w:p>
    <w:p w:rsidR="00E87FDB" w:rsidRPr="0064555F" w:rsidRDefault="00033F9F" w:rsidP="00E87FDB">
      <w:pPr>
        <w:rPr>
          <w:spacing w:val="-2"/>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En el presente documento se ofrece información sobre los siguientes documentos, que se someterán a la aprobación del Consejo en su cuadragésima novena sesión ordinaria:</w:t>
      </w:r>
    </w:p>
    <w:p w:rsidR="00E87FDB" w:rsidRPr="0064555F" w:rsidRDefault="00E87FDB" w:rsidP="00E87FDB">
      <w:pPr>
        <w:rPr>
          <w:lang w:val="es-ES"/>
        </w:rPr>
      </w:pPr>
    </w:p>
    <w:p w:rsidR="00E87FDB" w:rsidRPr="0064555F" w:rsidRDefault="00E87FDB" w:rsidP="00E87FDB">
      <w:pPr>
        <w:ind w:left="567"/>
        <w:rPr>
          <w:bCs/>
          <w:snapToGrid w:val="0"/>
          <w:szCs w:val="24"/>
          <w:lang w:val="es-ES"/>
        </w:rPr>
      </w:pPr>
      <w:r w:rsidRPr="0064555F">
        <w:rPr>
          <w:snapToGrid w:val="0"/>
          <w:u w:val="single"/>
          <w:lang w:val="es-ES"/>
        </w:rPr>
        <w:t>Documentos TGP</w:t>
      </w:r>
      <w:r w:rsidRPr="0064555F">
        <w:rPr>
          <w:snapToGrid w:val="0"/>
          <w:lang w:val="es-ES"/>
        </w:rPr>
        <w:t>:</w:t>
      </w:r>
    </w:p>
    <w:p w:rsidR="00E87FDB" w:rsidRPr="0064555F" w:rsidRDefault="00E87FDB" w:rsidP="00E87FDB">
      <w:pPr>
        <w:ind w:left="2268" w:hanging="1701"/>
        <w:rPr>
          <w:bCs/>
          <w:snapToGrid w:val="0"/>
          <w:szCs w:val="24"/>
          <w:lang w:val="es-ES"/>
        </w:rPr>
      </w:pPr>
    </w:p>
    <w:p w:rsidR="00E87FDB" w:rsidRPr="0064555F" w:rsidRDefault="00E87FDB" w:rsidP="00E87FDB">
      <w:pPr>
        <w:ind w:left="1418" w:hanging="851"/>
        <w:rPr>
          <w:bCs/>
          <w:snapToGrid w:val="0"/>
          <w:szCs w:val="24"/>
          <w:lang w:val="es-ES"/>
        </w:rPr>
      </w:pPr>
      <w:r w:rsidRPr="0064555F">
        <w:rPr>
          <w:snapToGrid w:val="0"/>
          <w:lang w:val="es-ES"/>
        </w:rPr>
        <w:t>TGP/5</w:t>
      </w:r>
      <w:r w:rsidRPr="0064555F">
        <w:rPr>
          <w:lang w:val="es-ES"/>
        </w:rPr>
        <w:tab/>
      </w:r>
      <w:r w:rsidRPr="0064555F">
        <w:rPr>
          <w:snapToGrid w:val="0"/>
          <w:lang w:val="es-ES"/>
        </w:rPr>
        <w:t>Experiencia y cooperación en el examen de DHE (revisiones) (documento C/49/14, Anexo I):</w:t>
      </w:r>
    </w:p>
    <w:p w:rsidR="00E87FDB" w:rsidRPr="0064555F" w:rsidRDefault="00E87FDB" w:rsidP="00E87FDB">
      <w:pPr>
        <w:ind w:left="2552" w:hanging="1134"/>
        <w:rPr>
          <w:bCs/>
          <w:snapToGrid w:val="0"/>
          <w:szCs w:val="24"/>
          <w:lang w:val="es-ES"/>
        </w:rPr>
      </w:pPr>
    </w:p>
    <w:p w:rsidR="00E87FDB" w:rsidRPr="0064555F" w:rsidRDefault="00E87FDB" w:rsidP="00E87FDB">
      <w:pPr>
        <w:ind w:left="2552" w:hanging="1134"/>
        <w:rPr>
          <w:bCs/>
          <w:snapToGrid w:val="0"/>
          <w:szCs w:val="24"/>
          <w:lang w:val="es-ES"/>
        </w:rPr>
      </w:pPr>
      <w:r w:rsidRPr="0064555F">
        <w:rPr>
          <w:snapToGrid w:val="0"/>
          <w:lang w:val="es-ES"/>
        </w:rPr>
        <w:t>Sección 3:</w:t>
      </w:r>
      <w:r w:rsidRPr="0064555F">
        <w:rPr>
          <w:lang w:val="es-ES"/>
        </w:rPr>
        <w:tab/>
      </w:r>
      <w:r w:rsidRPr="0064555F">
        <w:rPr>
          <w:snapToGrid w:val="0"/>
          <w:lang w:val="es-ES"/>
        </w:rPr>
        <w:t>Cuestionario técnico que ha de completarse junto con la solicitud de derechos de obtentor</w:t>
      </w:r>
    </w:p>
    <w:p w:rsidR="00E87FDB" w:rsidRPr="0064555F" w:rsidRDefault="00E87FDB" w:rsidP="00E87FDB">
      <w:pPr>
        <w:ind w:left="2552" w:hanging="1134"/>
        <w:rPr>
          <w:bCs/>
          <w:snapToGrid w:val="0"/>
          <w:szCs w:val="24"/>
          <w:lang w:val="es-ES"/>
        </w:rPr>
      </w:pPr>
    </w:p>
    <w:p w:rsidR="00E87FDB" w:rsidRPr="0064555F" w:rsidRDefault="00E87FDB" w:rsidP="00E87FDB">
      <w:pPr>
        <w:ind w:left="2552" w:hanging="1134"/>
        <w:rPr>
          <w:bCs/>
          <w:snapToGrid w:val="0"/>
          <w:szCs w:val="24"/>
          <w:lang w:val="es-ES"/>
        </w:rPr>
      </w:pPr>
      <w:r w:rsidRPr="0064555F">
        <w:rPr>
          <w:snapToGrid w:val="0"/>
          <w:lang w:val="es-ES"/>
        </w:rPr>
        <w:t>Sección 8:</w:t>
      </w:r>
      <w:r w:rsidRPr="0064555F">
        <w:rPr>
          <w:lang w:val="es-ES"/>
        </w:rPr>
        <w:tab/>
      </w:r>
      <w:r w:rsidRPr="0064555F">
        <w:rPr>
          <w:snapToGrid w:val="0"/>
          <w:lang w:val="es-ES"/>
        </w:rPr>
        <w:t>Cooperación en el examen</w:t>
      </w:r>
    </w:p>
    <w:p w:rsidR="00E87FDB" w:rsidRPr="0064555F" w:rsidRDefault="00E87FDB" w:rsidP="00E87FDB">
      <w:pPr>
        <w:ind w:left="2552" w:hanging="1134"/>
        <w:rPr>
          <w:bCs/>
          <w:snapToGrid w:val="0"/>
          <w:szCs w:val="24"/>
          <w:lang w:val="es-ES"/>
        </w:rPr>
      </w:pPr>
    </w:p>
    <w:p w:rsidR="00E87FDB" w:rsidRPr="0064555F" w:rsidRDefault="00E87FDB" w:rsidP="00E87FDB">
      <w:pPr>
        <w:ind w:left="2552" w:hanging="1134"/>
        <w:rPr>
          <w:bCs/>
          <w:snapToGrid w:val="0"/>
          <w:szCs w:val="24"/>
          <w:lang w:val="es-ES"/>
        </w:rPr>
      </w:pPr>
      <w:r w:rsidRPr="0064555F">
        <w:rPr>
          <w:snapToGrid w:val="0"/>
          <w:lang w:val="es-ES"/>
        </w:rPr>
        <w:t>Sección 9:</w:t>
      </w:r>
      <w:r w:rsidRPr="0064555F">
        <w:rPr>
          <w:lang w:val="es-ES"/>
        </w:rPr>
        <w:tab/>
      </w:r>
      <w:r w:rsidRPr="0064555F">
        <w:rPr>
          <w:snapToGrid w:val="0"/>
          <w:lang w:val="es-ES"/>
        </w:rPr>
        <w:t>Listado de las especies respecto de las que se han adquirido conocimientos prácticos o para las que se han establecido directrices de examen nacionales</w:t>
      </w:r>
    </w:p>
    <w:p w:rsidR="00E87FDB" w:rsidRPr="0064555F" w:rsidRDefault="00E87FDB" w:rsidP="00E87FDB">
      <w:pPr>
        <w:ind w:left="1701" w:hanging="1134"/>
        <w:rPr>
          <w:bCs/>
          <w:snapToGrid w:val="0"/>
          <w:szCs w:val="24"/>
          <w:lang w:val="es-ES"/>
        </w:rPr>
      </w:pPr>
    </w:p>
    <w:p w:rsidR="00E87FDB" w:rsidRPr="0064555F" w:rsidRDefault="00E87FDB" w:rsidP="00E87FDB">
      <w:pPr>
        <w:ind w:left="1418" w:hanging="851"/>
        <w:rPr>
          <w:bCs/>
          <w:snapToGrid w:val="0"/>
          <w:szCs w:val="24"/>
          <w:lang w:val="es-ES"/>
        </w:rPr>
      </w:pPr>
      <w:r w:rsidRPr="0064555F">
        <w:rPr>
          <w:snapToGrid w:val="0"/>
          <w:lang w:val="es-ES"/>
        </w:rPr>
        <w:t>TGP/9</w:t>
      </w:r>
      <w:r w:rsidRPr="0064555F">
        <w:rPr>
          <w:lang w:val="es-ES"/>
        </w:rPr>
        <w:tab/>
      </w:r>
      <w:r w:rsidRPr="0064555F">
        <w:rPr>
          <w:snapToGrid w:val="0"/>
          <w:lang w:val="es-ES"/>
        </w:rPr>
        <w:t xml:space="preserve">Examen de la distinción (revisión) (documento TGP/9/2 </w:t>
      </w:r>
      <w:proofErr w:type="spellStart"/>
      <w:r w:rsidRPr="0064555F">
        <w:rPr>
          <w:snapToGrid w:val="0"/>
          <w:lang w:val="es-ES"/>
        </w:rPr>
        <w:t>Draft</w:t>
      </w:r>
      <w:proofErr w:type="spellEnd"/>
      <w:r w:rsidRPr="0064555F">
        <w:rPr>
          <w:snapToGrid w:val="0"/>
          <w:lang w:val="es-ES"/>
        </w:rPr>
        <w:t xml:space="preserve"> 1)</w:t>
      </w:r>
    </w:p>
    <w:p w:rsidR="00E87FDB" w:rsidRPr="0064555F" w:rsidRDefault="00E87FDB" w:rsidP="00E87FDB">
      <w:pPr>
        <w:ind w:left="1418" w:hanging="851"/>
        <w:rPr>
          <w:bCs/>
          <w:snapToGrid w:val="0"/>
          <w:szCs w:val="24"/>
          <w:lang w:val="es-ES"/>
        </w:rPr>
      </w:pPr>
    </w:p>
    <w:p w:rsidR="00E87FDB" w:rsidRPr="0064555F" w:rsidRDefault="00E87FDB" w:rsidP="00E87FDB">
      <w:pPr>
        <w:ind w:left="1418" w:hanging="851"/>
        <w:rPr>
          <w:bCs/>
          <w:snapToGrid w:val="0"/>
          <w:szCs w:val="24"/>
          <w:lang w:val="es-ES"/>
        </w:rPr>
      </w:pPr>
      <w:r w:rsidRPr="0064555F">
        <w:rPr>
          <w:snapToGrid w:val="0"/>
          <w:lang w:val="es-ES"/>
        </w:rPr>
        <w:t>TGP/14</w:t>
      </w:r>
      <w:r w:rsidRPr="0064555F">
        <w:rPr>
          <w:lang w:val="es-ES"/>
        </w:rPr>
        <w:tab/>
      </w:r>
      <w:r w:rsidRPr="0064555F">
        <w:rPr>
          <w:snapToGrid w:val="0"/>
          <w:lang w:val="es-ES"/>
        </w:rPr>
        <w:t>Glosario de términos utilizados en los documentos de la UPOV (revisión) (</w:t>
      </w:r>
      <w:proofErr w:type="gramStart"/>
      <w:r w:rsidRPr="0064555F">
        <w:rPr>
          <w:snapToGrid w:val="0"/>
          <w:lang w:val="es-ES"/>
        </w:rPr>
        <w:t>documento</w:t>
      </w:r>
      <w:proofErr w:type="gramEnd"/>
      <w:r w:rsidRPr="0064555F">
        <w:rPr>
          <w:snapToGrid w:val="0"/>
          <w:lang w:val="es-ES"/>
        </w:rPr>
        <w:t xml:space="preserve"> C/49/14, Anexo II) </w:t>
      </w:r>
    </w:p>
    <w:p w:rsidR="00E87FDB" w:rsidRPr="0064555F" w:rsidRDefault="00E87FDB" w:rsidP="00E87FDB">
      <w:pPr>
        <w:ind w:left="1418" w:hanging="851"/>
        <w:rPr>
          <w:bCs/>
          <w:snapToGrid w:val="0"/>
          <w:szCs w:val="24"/>
          <w:lang w:val="es-ES"/>
        </w:rPr>
      </w:pPr>
    </w:p>
    <w:p w:rsidR="00E87FDB" w:rsidRPr="0064555F" w:rsidRDefault="00E87FDB" w:rsidP="00E87FDB">
      <w:pPr>
        <w:ind w:left="1418" w:hanging="851"/>
        <w:rPr>
          <w:bCs/>
          <w:snapToGrid w:val="0"/>
          <w:szCs w:val="24"/>
          <w:lang w:val="es-ES"/>
        </w:rPr>
      </w:pPr>
      <w:r w:rsidRPr="0064555F">
        <w:rPr>
          <w:snapToGrid w:val="0"/>
          <w:lang w:val="es-ES"/>
        </w:rPr>
        <w:t>TGP/0</w:t>
      </w:r>
      <w:r w:rsidRPr="0064555F">
        <w:rPr>
          <w:lang w:val="es-ES"/>
        </w:rPr>
        <w:tab/>
      </w:r>
      <w:r w:rsidRPr="0064555F">
        <w:rPr>
          <w:snapToGrid w:val="0"/>
          <w:lang w:val="es-ES"/>
        </w:rPr>
        <w:t>Lista de documentos TGP y fechas de última publicació</w:t>
      </w:r>
      <w:r w:rsidR="00E40A4F">
        <w:rPr>
          <w:snapToGrid w:val="0"/>
          <w:lang w:val="es-ES"/>
        </w:rPr>
        <w:t>n (revisión) (documento TGP/0/8 </w:t>
      </w:r>
      <w:proofErr w:type="spellStart"/>
      <w:r w:rsidRPr="0064555F">
        <w:rPr>
          <w:snapToGrid w:val="0"/>
          <w:lang w:val="es-ES"/>
        </w:rPr>
        <w:t>Draft</w:t>
      </w:r>
      <w:proofErr w:type="spellEnd"/>
      <w:r w:rsidRPr="0064555F">
        <w:rPr>
          <w:snapToGrid w:val="0"/>
          <w:lang w:val="es-ES"/>
        </w:rPr>
        <w:t xml:space="preserve"> 1) </w:t>
      </w:r>
    </w:p>
    <w:p w:rsidR="00E87FDB" w:rsidRPr="0064555F" w:rsidRDefault="00E87FDB" w:rsidP="00E87FDB">
      <w:pPr>
        <w:ind w:left="2268" w:hanging="1701"/>
        <w:rPr>
          <w:bCs/>
          <w:snapToGrid w:val="0"/>
          <w:szCs w:val="24"/>
          <w:lang w:val="es-ES"/>
        </w:rPr>
      </w:pPr>
    </w:p>
    <w:p w:rsidR="00E87FDB" w:rsidRPr="0064555F" w:rsidRDefault="00E87FDB" w:rsidP="00E87FDB">
      <w:pPr>
        <w:ind w:left="567"/>
        <w:rPr>
          <w:bCs/>
          <w:snapToGrid w:val="0"/>
          <w:szCs w:val="24"/>
          <w:lang w:val="es-ES"/>
        </w:rPr>
      </w:pPr>
      <w:r w:rsidRPr="0064555F">
        <w:rPr>
          <w:snapToGrid w:val="0"/>
          <w:u w:val="single"/>
          <w:lang w:val="es-ES"/>
        </w:rPr>
        <w:t>Notas explicativas</w:t>
      </w:r>
      <w:r w:rsidRPr="0064555F">
        <w:rPr>
          <w:snapToGrid w:val="0"/>
          <w:lang w:val="es-ES"/>
        </w:rPr>
        <w:t>:</w:t>
      </w:r>
    </w:p>
    <w:p w:rsidR="00E87FDB" w:rsidRPr="0064555F" w:rsidRDefault="00E87FDB" w:rsidP="00E87FDB">
      <w:pPr>
        <w:ind w:left="567"/>
        <w:rPr>
          <w:bCs/>
          <w:snapToGrid w:val="0"/>
          <w:szCs w:val="24"/>
          <w:lang w:val="es-ES"/>
        </w:rPr>
      </w:pPr>
    </w:p>
    <w:p w:rsidR="00E87FDB" w:rsidRPr="0064555F" w:rsidRDefault="00E87FDB" w:rsidP="00E87FDB">
      <w:pPr>
        <w:ind w:left="2268" w:hanging="1701"/>
        <w:rPr>
          <w:bCs/>
          <w:snapToGrid w:val="0"/>
          <w:szCs w:val="24"/>
          <w:lang w:val="es-ES"/>
        </w:rPr>
      </w:pPr>
      <w:r w:rsidRPr="0064555F">
        <w:rPr>
          <w:snapToGrid w:val="0"/>
          <w:lang w:val="es-ES"/>
        </w:rPr>
        <w:t>UPOV/EXN/CAN</w:t>
      </w:r>
      <w:r w:rsidRPr="0064555F">
        <w:rPr>
          <w:lang w:val="es-ES"/>
        </w:rPr>
        <w:tab/>
      </w:r>
      <w:r w:rsidRPr="0064555F">
        <w:rPr>
          <w:snapToGrid w:val="0"/>
          <w:lang w:val="es-ES"/>
        </w:rPr>
        <w:t xml:space="preserve">Notas explicativas sobre la caducidad del derecho de obtentor con arreglo al Convenio de la UPOV (revisión) (documento UPOV/EXN/CAN/2 </w:t>
      </w:r>
      <w:proofErr w:type="spellStart"/>
      <w:r w:rsidRPr="0064555F">
        <w:rPr>
          <w:snapToGrid w:val="0"/>
          <w:lang w:val="es-ES"/>
        </w:rPr>
        <w:t>Draft</w:t>
      </w:r>
      <w:proofErr w:type="spellEnd"/>
      <w:r w:rsidRPr="0064555F">
        <w:rPr>
          <w:snapToGrid w:val="0"/>
          <w:lang w:val="es-ES"/>
        </w:rPr>
        <w:t xml:space="preserve"> 4)</w:t>
      </w:r>
    </w:p>
    <w:p w:rsidR="00E87FDB" w:rsidRPr="0064555F" w:rsidRDefault="00E87FDB" w:rsidP="00E87FDB">
      <w:pPr>
        <w:ind w:left="2268" w:hanging="1701"/>
        <w:rPr>
          <w:bCs/>
          <w:snapToGrid w:val="0"/>
          <w:szCs w:val="24"/>
          <w:lang w:val="es-ES"/>
        </w:rPr>
      </w:pPr>
    </w:p>
    <w:p w:rsidR="00E87FDB" w:rsidRPr="0064555F" w:rsidRDefault="00E87FDB" w:rsidP="00E87FDB">
      <w:pPr>
        <w:ind w:left="2268" w:hanging="1701"/>
        <w:rPr>
          <w:bCs/>
          <w:snapToGrid w:val="0"/>
          <w:szCs w:val="24"/>
          <w:lang w:val="es-ES"/>
        </w:rPr>
      </w:pPr>
      <w:r w:rsidRPr="0064555F">
        <w:rPr>
          <w:snapToGrid w:val="0"/>
          <w:lang w:val="es-ES"/>
        </w:rPr>
        <w:t>UPOV/EXN/NUL</w:t>
      </w:r>
      <w:r w:rsidRPr="0064555F">
        <w:rPr>
          <w:lang w:val="es-ES"/>
        </w:rPr>
        <w:tab/>
      </w:r>
      <w:r w:rsidRPr="0064555F">
        <w:rPr>
          <w:snapToGrid w:val="0"/>
          <w:lang w:val="es-ES"/>
        </w:rPr>
        <w:t xml:space="preserve">Notas explicativas sobre la nulidad del derecho de obtentor con arreglo al Convenio de la UPOV (revisión) (documento UPOV/EXN/NUL/2 </w:t>
      </w:r>
      <w:proofErr w:type="spellStart"/>
      <w:r w:rsidRPr="0064555F">
        <w:rPr>
          <w:snapToGrid w:val="0"/>
          <w:lang w:val="es-ES"/>
        </w:rPr>
        <w:t>Draft</w:t>
      </w:r>
      <w:proofErr w:type="spellEnd"/>
      <w:r w:rsidRPr="0064555F">
        <w:rPr>
          <w:snapToGrid w:val="0"/>
          <w:lang w:val="es-ES"/>
        </w:rPr>
        <w:t xml:space="preserve"> 4)</w:t>
      </w:r>
    </w:p>
    <w:p w:rsidR="00E87FDB" w:rsidRPr="0064555F" w:rsidRDefault="00E87FDB" w:rsidP="00E87FDB">
      <w:pPr>
        <w:ind w:left="2268" w:hanging="1701"/>
        <w:rPr>
          <w:bCs/>
          <w:snapToGrid w:val="0"/>
          <w:szCs w:val="24"/>
          <w:lang w:val="es-ES"/>
        </w:rPr>
      </w:pPr>
    </w:p>
    <w:p w:rsidR="00E87FDB" w:rsidRPr="0064555F" w:rsidRDefault="00E87FDB" w:rsidP="00E87FDB">
      <w:pPr>
        <w:keepNext/>
        <w:ind w:left="2268" w:hanging="1701"/>
        <w:rPr>
          <w:bCs/>
          <w:snapToGrid w:val="0"/>
          <w:szCs w:val="24"/>
          <w:lang w:val="es-ES"/>
        </w:rPr>
      </w:pPr>
      <w:r w:rsidRPr="0064555F">
        <w:rPr>
          <w:snapToGrid w:val="0"/>
          <w:lang w:val="es-ES"/>
        </w:rPr>
        <w:t>UPOV/EXN/PRP</w:t>
      </w:r>
      <w:r w:rsidRPr="0064555F">
        <w:rPr>
          <w:lang w:val="es-ES"/>
        </w:rPr>
        <w:tab/>
      </w:r>
      <w:r w:rsidRPr="0064555F">
        <w:rPr>
          <w:snapToGrid w:val="0"/>
          <w:lang w:val="es-ES"/>
        </w:rPr>
        <w:t xml:space="preserve">Notas explicativas sobre la protección provisional con arreglo al Convenio de la UPOV (revisión) (documento UPOV/EXN/PRP/2 </w:t>
      </w:r>
      <w:proofErr w:type="spellStart"/>
      <w:r w:rsidRPr="0064555F">
        <w:rPr>
          <w:snapToGrid w:val="0"/>
          <w:lang w:val="es-ES"/>
        </w:rPr>
        <w:t>Draft</w:t>
      </w:r>
      <w:proofErr w:type="spellEnd"/>
      <w:r w:rsidRPr="0064555F">
        <w:rPr>
          <w:snapToGrid w:val="0"/>
          <w:lang w:val="es-ES"/>
        </w:rPr>
        <w:t xml:space="preserve"> 4)</w:t>
      </w:r>
    </w:p>
    <w:p w:rsidR="00E87FDB" w:rsidRPr="0064555F" w:rsidRDefault="00E87FDB" w:rsidP="00E87FDB">
      <w:pPr>
        <w:ind w:left="2835" w:hanging="1701"/>
        <w:rPr>
          <w:bCs/>
          <w:snapToGrid w:val="0"/>
          <w:szCs w:val="24"/>
          <w:lang w:val="es-ES"/>
        </w:rPr>
      </w:pPr>
    </w:p>
    <w:p w:rsidR="00E87FDB" w:rsidRPr="0064555F" w:rsidRDefault="00E87FDB" w:rsidP="00E87FDB">
      <w:pPr>
        <w:keepNext/>
        <w:ind w:left="567"/>
        <w:rPr>
          <w:bCs/>
          <w:snapToGrid w:val="0"/>
          <w:szCs w:val="24"/>
          <w:lang w:val="es-ES"/>
        </w:rPr>
      </w:pPr>
      <w:r w:rsidRPr="0064555F">
        <w:rPr>
          <w:snapToGrid w:val="0"/>
          <w:u w:val="single"/>
          <w:lang w:val="es-ES"/>
        </w:rPr>
        <w:lastRenderedPageBreak/>
        <w:t>Documentos de información</w:t>
      </w:r>
      <w:r w:rsidRPr="0064555F">
        <w:rPr>
          <w:snapToGrid w:val="0"/>
          <w:lang w:val="es-ES"/>
        </w:rPr>
        <w:t>:</w:t>
      </w:r>
    </w:p>
    <w:p w:rsidR="00E87FDB" w:rsidRPr="0064555F" w:rsidRDefault="00E87FDB" w:rsidP="00E87FDB">
      <w:pPr>
        <w:keepNext/>
        <w:ind w:left="2268" w:hanging="1701"/>
        <w:rPr>
          <w:bCs/>
          <w:snapToGrid w:val="0"/>
          <w:szCs w:val="24"/>
          <w:lang w:val="es-ES"/>
        </w:rPr>
      </w:pPr>
    </w:p>
    <w:p w:rsidR="00E87FDB" w:rsidRPr="0064555F" w:rsidRDefault="00E87FDB" w:rsidP="00E87FDB">
      <w:pPr>
        <w:ind w:left="2268" w:hanging="1701"/>
        <w:rPr>
          <w:bCs/>
          <w:snapToGrid w:val="0"/>
          <w:szCs w:val="24"/>
          <w:lang w:val="es-ES"/>
        </w:rPr>
      </w:pPr>
      <w:r w:rsidRPr="0064555F">
        <w:rPr>
          <w:snapToGrid w:val="0"/>
          <w:lang w:val="es-ES"/>
        </w:rPr>
        <w:t>UPOV/INF/6</w:t>
      </w:r>
      <w:r w:rsidRPr="0064555F">
        <w:rPr>
          <w:lang w:val="es-ES"/>
        </w:rPr>
        <w:tab/>
      </w:r>
      <w:r w:rsidRPr="0064555F">
        <w:rPr>
          <w:snapToGrid w:val="0"/>
          <w:lang w:val="es-ES"/>
        </w:rPr>
        <w:t>Orientaciones para la redacción de leyes basadas en el Acta de 1991 del Convenio de la UPOV (documento C/49/14, Anexo IV)</w:t>
      </w:r>
    </w:p>
    <w:p w:rsidR="00E87FDB" w:rsidRPr="0064555F" w:rsidRDefault="00E87FDB" w:rsidP="00E87FDB">
      <w:pPr>
        <w:ind w:left="2268" w:hanging="1701"/>
        <w:rPr>
          <w:bCs/>
          <w:snapToGrid w:val="0"/>
          <w:szCs w:val="24"/>
          <w:lang w:val="es-ES"/>
        </w:rPr>
      </w:pPr>
    </w:p>
    <w:p w:rsidR="00E87FDB" w:rsidRPr="0064555F" w:rsidRDefault="00E87FDB" w:rsidP="00E87FDB">
      <w:pPr>
        <w:ind w:left="2268" w:hanging="1701"/>
        <w:rPr>
          <w:bCs/>
          <w:snapToGrid w:val="0"/>
          <w:szCs w:val="24"/>
          <w:lang w:val="es-ES"/>
        </w:rPr>
      </w:pPr>
      <w:r w:rsidRPr="0064555F">
        <w:rPr>
          <w:snapToGrid w:val="0"/>
          <w:lang w:val="es-ES"/>
        </w:rPr>
        <w:t>UPOV/INF/12</w:t>
      </w:r>
      <w:r w:rsidRPr="0064555F">
        <w:rPr>
          <w:lang w:val="es-ES"/>
        </w:rPr>
        <w:tab/>
      </w:r>
      <w:r w:rsidRPr="0064555F">
        <w:rPr>
          <w:snapToGrid w:val="0"/>
          <w:lang w:val="es-ES"/>
        </w:rPr>
        <w:t>Notas explicativas sobre las denominaciones de variedades con arreglo al Convenio de la UPOV (revisión) (documento C/49/14, Anexo III)</w:t>
      </w:r>
    </w:p>
    <w:p w:rsidR="00E87FDB" w:rsidRPr="0064555F" w:rsidRDefault="00E87FDB" w:rsidP="00E87FDB">
      <w:pPr>
        <w:ind w:left="1701" w:hanging="1701"/>
        <w:rPr>
          <w:bCs/>
          <w:snapToGrid w:val="0"/>
          <w:szCs w:val="24"/>
          <w:lang w:val="es-ES"/>
        </w:rPr>
      </w:pPr>
    </w:p>
    <w:p w:rsidR="00E87FDB" w:rsidRPr="0064555F" w:rsidRDefault="00E87FDB" w:rsidP="00E87FDB">
      <w:pPr>
        <w:ind w:left="2268" w:hanging="1701"/>
        <w:rPr>
          <w:kern w:val="28"/>
          <w:lang w:val="es-ES"/>
        </w:rPr>
      </w:pPr>
      <w:r w:rsidRPr="0064555F">
        <w:rPr>
          <w:snapToGrid w:val="0"/>
          <w:lang w:val="es-ES"/>
        </w:rPr>
        <w:t>UPOV/INF/16</w:t>
      </w:r>
      <w:r w:rsidRPr="0064555F">
        <w:rPr>
          <w:lang w:val="es-ES"/>
        </w:rPr>
        <w:tab/>
      </w:r>
      <w:r w:rsidRPr="0064555F">
        <w:rPr>
          <w:snapToGrid w:val="0"/>
          <w:spacing w:val="-4"/>
          <w:lang w:val="es-ES"/>
        </w:rPr>
        <w:t>Programas informáticos para in</w:t>
      </w:r>
      <w:r w:rsidR="00E40A4F">
        <w:rPr>
          <w:snapToGrid w:val="0"/>
          <w:spacing w:val="-4"/>
          <w:lang w:val="es-ES"/>
        </w:rPr>
        <w:t>tercambio (revisión) (documento </w:t>
      </w:r>
      <w:r w:rsidRPr="0064555F">
        <w:rPr>
          <w:snapToGrid w:val="0"/>
          <w:spacing w:val="-4"/>
          <w:lang w:val="es-ES"/>
        </w:rPr>
        <w:t>UPOV/INF/16/5 </w:t>
      </w:r>
      <w:proofErr w:type="spellStart"/>
      <w:r w:rsidRPr="0064555F">
        <w:rPr>
          <w:snapToGrid w:val="0"/>
          <w:spacing w:val="-4"/>
          <w:lang w:val="es-ES"/>
        </w:rPr>
        <w:t>Draft</w:t>
      </w:r>
      <w:proofErr w:type="spellEnd"/>
      <w:r w:rsidRPr="0064555F">
        <w:rPr>
          <w:snapToGrid w:val="0"/>
          <w:spacing w:val="-4"/>
          <w:lang w:val="es-ES"/>
        </w:rPr>
        <w:t> 1)</w:t>
      </w:r>
    </w:p>
    <w:p w:rsidR="00E87FDB" w:rsidRPr="0064555F" w:rsidRDefault="00E87FDB" w:rsidP="00E87FDB">
      <w:pPr>
        <w:ind w:left="1134" w:hanging="1134"/>
        <w:rPr>
          <w:bCs/>
          <w:snapToGrid w:val="0"/>
          <w:szCs w:val="24"/>
          <w:lang w:val="es-ES"/>
        </w:rPr>
      </w:pPr>
    </w:p>
    <w:p w:rsidR="00E87FDB" w:rsidRPr="0064555F" w:rsidRDefault="00E87FDB" w:rsidP="00E87FDB">
      <w:pPr>
        <w:ind w:left="2268" w:hanging="1701"/>
        <w:rPr>
          <w:bCs/>
          <w:snapToGrid w:val="0"/>
          <w:spacing w:val="-4"/>
          <w:szCs w:val="24"/>
          <w:lang w:val="es-ES"/>
        </w:rPr>
      </w:pPr>
      <w:r w:rsidRPr="0064555F">
        <w:rPr>
          <w:snapToGrid w:val="0"/>
          <w:lang w:val="es-ES"/>
        </w:rPr>
        <w:t>UPOV/INF/22</w:t>
      </w:r>
      <w:r w:rsidRPr="0064555F">
        <w:rPr>
          <w:lang w:val="es-ES"/>
        </w:rPr>
        <w:tab/>
      </w:r>
      <w:r w:rsidRPr="0064555F">
        <w:rPr>
          <w:snapToGrid w:val="0"/>
          <w:spacing w:val="-4"/>
          <w:lang w:val="es-ES"/>
        </w:rPr>
        <w:t xml:space="preserve">Programas informáticos y equipos utilizados por los miembros de la Unión </w:t>
      </w:r>
      <w:r w:rsidR="006C5CD4">
        <w:rPr>
          <w:snapToGrid w:val="0"/>
          <w:spacing w:val="-4"/>
          <w:lang w:val="es-ES"/>
        </w:rPr>
        <w:t>(revisión)</w:t>
      </w:r>
      <w:r w:rsidRPr="0064555F">
        <w:rPr>
          <w:lang w:val="es-ES"/>
        </w:rPr>
        <w:tab/>
      </w:r>
      <w:r w:rsidRPr="0064555F">
        <w:rPr>
          <w:snapToGrid w:val="0"/>
          <w:spacing w:val="-4"/>
          <w:lang w:val="es-ES"/>
        </w:rPr>
        <w:t xml:space="preserve">(documento UPOV/INF/22/2 </w:t>
      </w:r>
      <w:proofErr w:type="spellStart"/>
      <w:r w:rsidRPr="0064555F">
        <w:rPr>
          <w:snapToGrid w:val="0"/>
          <w:spacing w:val="-4"/>
          <w:lang w:val="es-ES"/>
        </w:rPr>
        <w:t>Draft</w:t>
      </w:r>
      <w:proofErr w:type="spellEnd"/>
      <w:r w:rsidRPr="0064555F">
        <w:rPr>
          <w:snapToGrid w:val="0"/>
          <w:spacing w:val="-4"/>
          <w:lang w:val="es-ES"/>
        </w:rPr>
        <w:t xml:space="preserve"> 1)</w:t>
      </w:r>
    </w:p>
    <w:p w:rsidR="00E87FDB" w:rsidRPr="0064555F" w:rsidRDefault="00E87FDB" w:rsidP="00E87FDB">
      <w:pPr>
        <w:ind w:left="2268" w:hanging="1701"/>
        <w:rPr>
          <w:bCs/>
          <w:snapToGrid w:val="0"/>
          <w:spacing w:val="-4"/>
          <w:szCs w:val="24"/>
          <w:lang w:val="es-ES"/>
        </w:rPr>
      </w:pPr>
    </w:p>
    <w:p w:rsidR="00E87FDB" w:rsidRPr="0064555F" w:rsidRDefault="00E87FDB" w:rsidP="00E87FDB">
      <w:pPr>
        <w:ind w:left="2268" w:hanging="1701"/>
        <w:rPr>
          <w:kern w:val="28"/>
          <w:lang w:val="es-ES"/>
        </w:rPr>
      </w:pPr>
      <w:r w:rsidRPr="0064555F">
        <w:rPr>
          <w:lang w:val="es-ES"/>
        </w:rPr>
        <w:t>UPOV/INF-EXN:</w:t>
      </w:r>
      <w:r w:rsidRPr="0064555F">
        <w:rPr>
          <w:lang w:val="es-ES"/>
        </w:rPr>
        <w:tab/>
        <w:t xml:space="preserve">Lista de documentos UPOV/INF-EXN y fechas de última publicación </w:t>
      </w:r>
      <w:r w:rsidR="00E40A4F">
        <w:rPr>
          <w:lang w:val="es-ES"/>
        </w:rPr>
        <w:t xml:space="preserve">(revisión) </w:t>
      </w:r>
      <w:r w:rsidRPr="0064555F">
        <w:rPr>
          <w:lang w:val="es-ES"/>
        </w:rPr>
        <w:t xml:space="preserve">(documento UPOV/INFEXN/8 </w:t>
      </w:r>
      <w:proofErr w:type="spellStart"/>
      <w:r w:rsidRPr="0064555F">
        <w:rPr>
          <w:lang w:val="es-ES"/>
        </w:rPr>
        <w:t>Draft</w:t>
      </w:r>
      <w:proofErr w:type="spellEnd"/>
      <w:r w:rsidRPr="0064555F">
        <w:rPr>
          <w:lang w:val="es-ES"/>
        </w:rPr>
        <w:t xml:space="preserve"> 1)</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pStyle w:val="Heading1"/>
        <w:rPr>
          <w:lang w:val="es-ES"/>
        </w:rPr>
      </w:pPr>
      <w:r w:rsidRPr="0064555F">
        <w:rPr>
          <w:lang w:val="es-ES"/>
        </w:rPr>
        <w:t>DOCUMENTOS TGP</w:t>
      </w:r>
    </w:p>
    <w:p w:rsidR="00E87FDB" w:rsidRPr="0064555F" w:rsidRDefault="00E87FDB" w:rsidP="00E87FDB">
      <w:pPr>
        <w:keepNext/>
        <w:rPr>
          <w:lang w:val="es-ES"/>
        </w:rPr>
      </w:pPr>
    </w:p>
    <w:p w:rsidR="00E87FDB" w:rsidRPr="0064555F" w:rsidRDefault="00E87FDB" w:rsidP="00E87FDB">
      <w:pPr>
        <w:keepNext/>
        <w:tabs>
          <w:tab w:val="left" w:pos="0"/>
        </w:tabs>
        <w:rPr>
          <w:u w:val="single"/>
          <w:lang w:val="es-ES"/>
        </w:rPr>
      </w:pPr>
      <w:r w:rsidRPr="0064555F">
        <w:rPr>
          <w:u w:val="single"/>
          <w:lang w:val="es-ES"/>
        </w:rPr>
        <w:t>TGP/5</w:t>
      </w:r>
      <w:proofErr w:type="gramStart"/>
      <w:r w:rsidRPr="0064555F">
        <w:rPr>
          <w:u w:val="single"/>
          <w:lang w:val="es-ES"/>
        </w:rPr>
        <w:t>:  Experiencia</w:t>
      </w:r>
      <w:proofErr w:type="gramEnd"/>
      <w:r w:rsidRPr="0064555F">
        <w:rPr>
          <w:u w:val="single"/>
          <w:lang w:val="es-ES"/>
        </w:rPr>
        <w:t xml:space="preserve"> y cooperación en el examen DHE  (revisiones) (documento C/49/14, Anexo I)</w:t>
      </w:r>
    </w:p>
    <w:p w:rsidR="00E87FDB" w:rsidRPr="0064555F" w:rsidRDefault="00E87FDB" w:rsidP="00E87FDB">
      <w:pPr>
        <w:keepNext/>
        <w:rPr>
          <w:lang w:val="es-ES"/>
        </w:rPr>
      </w:pPr>
    </w:p>
    <w:p w:rsidR="00E87FDB" w:rsidRPr="0064555F" w:rsidRDefault="00033F9F" w:rsidP="00E87FDB">
      <w:pPr>
        <w:keepNext/>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Comité Técnico</w:t>
      </w:r>
      <w:r w:rsidR="00E40A4F">
        <w:rPr>
          <w:lang w:val="es-ES"/>
        </w:rPr>
        <w:t xml:space="preserve"> (TC)</w:t>
      </w:r>
      <w:r w:rsidR="00E87FDB" w:rsidRPr="0064555F">
        <w:rPr>
          <w:lang w:val="es-ES"/>
        </w:rPr>
        <w:t>, en su quincuagésima primera sesión celebrada en Ginebra del 23 al 25 de marzo de 2015</w:t>
      </w:r>
      <w:r w:rsidR="00972690" w:rsidRPr="0064555F">
        <w:rPr>
          <w:lang w:val="es-ES"/>
        </w:rPr>
        <w:t>,</w:t>
      </w:r>
      <w:r w:rsidR="00E87FDB" w:rsidRPr="0064555F">
        <w:rPr>
          <w:lang w:val="es-ES"/>
        </w:rPr>
        <w:t xml:space="preserve"> y el Comité Administrativo y Jurídico (CAJ) en su septuagésima</w:t>
      </w:r>
      <w:r w:rsidR="00972690" w:rsidRPr="0064555F">
        <w:rPr>
          <w:lang w:val="es-ES"/>
        </w:rPr>
        <w:t> </w:t>
      </w:r>
      <w:r w:rsidR="00E87FDB" w:rsidRPr="0064555F">
        <w:rPr>
          <w:lang w:val="es-ES"/>
        </w:rPr>
        <w:t xml:space="preserve">primera sesión, celebrada en </w:t>
      </w:r>
      <w:r w:rsidR="00E40A4F">
        <w:rPr>
          <w:lang w:val="es-ES"/>
        </w:rPr>
        <w:t xml:space="preserve">Ginebra el 26 de marzo de </w:t>
      </w:r>
      <w:r w:rsidR="00E87FDB" w:rsidRPr="0064555F">
        <w:rPr>
          <w:lang w:val="es-ES"/>
        </w:rPr>
        <w:t>2015, dieron su conformidad a las propuestas de revisión del documento TGP/5 “Experiencia y cooperación en el examen DHE”, Sección 3</w:t>
      </w:r>
      <w:r w:rsidR="00662220" w:rsidRPr="0064555F">
        <w:rPr>
          <w:lang w:val="es-ES"/>
        </w:rPr>
        <w:t xml:space="preserve">: </w:t>
      </w:r>
      <w:r w:rsidR="00E87FDB" w:rsidRPr="0064555F">
        <w:rPr>
          <w:lang w:val="es-ES"/>
        </w:rPr>
        <w:t>“Cuestionario técnico que ha de completarse junto con la solicitud de derechos de obtentor”, Sección 8</w:t>
      </w:r>
      <w:r w:rsidR="00662220" w:rsidRPr="0064555F">
        <w:rPr>
          <w:lang w:val="es-ES"/>
        </w:rPr>
        <w:t xml:space="preserve">: </w:t>
      </w:r>
      <w:r w:rsidR="00E87FDB" w:rsidRPr="0064555F">
        <w:rPr>
          <w:lang w:val="es-ES"/>
        </w:rPr>
        <w:t>“Cooperación en el examen” y Sección 9</w:t>
      </w:r>
      <w:r w:rsidR="00662220" w:rsidRPr="0064555F">
        <w:rPr>
          <w:lang w:val="es-ES"/>
        </w:rPr>
        <w:t xml:space="preserve">: </w:t>
      </w:r>
      <w:r w:rsidR="00E87FDB" w:rsidRPr="0064555F">
        <w:rPr>
          <w:lang w:val="es-ES"/>
        </w:rPr>
        <w:t>“Listado de las especies respecto de las que se han adquirido conocimientos prácticos o para las que se han establecido directrices de examen nacionales”, que se exponen en el Anexo I del presente documento (véanse los párrafos 163 a 165 del documento TC/51/39 “Informe” y los párrafos 74 a 76 del documento CAJ/71/10 “Informe sobre las conclusiones”).</w:t>
      </w:r>
    </w:p>
    <w:p w:rsidR="00E87FDB" w:rsidRPr="0064555F" w:rsidRDefault="00E87FDB" w:rsidP="00E87FDB">
      <w:pPr>
        <w:keepNext/>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Sobre esa base, el TC y el CAJ convinieron en que las Secciones 3, 8 y 9 del documento TGP/5 se sometieran a la aprobación del Consejo en su cuadragésima novena sesión ordinaria.</w:t>
      </w:r>
    </w:p>
    <w:p w:rsidR="00E87FDB" w:rsidRPr="0064555F" w:rsidRDefault="00E87FDB" w:rsidP="00E87FDB">
      <w:pPr>
        <w:rPr>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Se invita al Consejo a aprobar la revisión del documento TGP/5</w:t>
      </w:r>
      <w:r w:rsidR="00662220" w:rsidRPr="0064555F">
        <w:rPr>
          <w:lang w:val="es-ES"/>
        </w:rPr>
        <w:t xml:space="preserve">: </w:t>
      </w:r>
      <w:r w:rsidR="00E87FDB" w:rsidRPr="0064555F">
        <w:rPr>
          <w:lang w:val="es-ES"/>
        </w:rPr>
        <w:t>“Experiencia y cooperación en el examen de DHE”:</w:t>
      </w:r>
    </w:p>
    <w:p w:rsidR="00E87FDB" w:rsidRPr="0064555F" w:rsidRDefault="00E87FDB" w:rsidP="00E87FDB">
      <w:pPr>
        <w:pStyle w:val="DecisionParagraphs"/>
        <w:rPr>
          <w:lang w:val="es-ES"/>
        </w:rPr>
      </w:pPr>
    </w:p>
    <w:p w:rsidR="00E87FDB" w:rsidRPr="0064555F" w:rsidRDefault="00E87FDB" w:rsidP="00E87FDB">
      <w:pPr>
        <w:pStyle w:val="DecisionParagraphs"/>
        <w:tabs>
          <w:tab w:val="left" w:pos="5954"/>
        </w:tabs>
        <w:rPr>
          <w:lang w:val="es-ES"/>
        </w:rPr>
      </w:pPr>
      <w:r w:rsidRPr="0064555F">
        <w:rPr>
          <w:lang w:val="es-ES"/>
        </w:rPr>
        <w:tab/>
        <w:t>a)</w:t>
      </w:r>
      <w:r w:rsidRPr="0064555F">
        <w:rPr>
          <w:lang w:val="es-ES"/>
        </w:rPr>
        <w:tab/>
        <w:t>Sección 3</w:t>
      </w:r>
      <w:r w:rsidR="00662220" w:rsidRPr="0064555F">
        <w:rPr>
          <w:lang w:val="es-ES"/>
        </w:rPr>
        <w:t xml:space="preserve">: </w:t>
      </w:r>
      <w:r w:rsidRPr="0064555F">
        <w:rPr>
          <w:lang w:val="es-ES"/>
        </w:rPr>
        <w:t>“Cuestionario técnico que ha de completarse junto con la solicitud de derechos de obtentor”,</w:t>
      </w:r>
    </w:p>
    <w:p w:rsidR="00E87FDB" w:rsidRPr="0064555F" w:rsidRDefault="00E87FDB" w:rsidP="00E87FDB">
      <w:pPr>
        <w:pStyle w:val="DecisionParagraphs"/>
        <w:tabs>
          <w:tab w:val="left" w:pos="5954"/>
        </w:tabs>
        <w:rPr>
          <w:lang w:val="es-ES"/>
        </w:rPr>
      </w:pPr>
    </w:p>
    <w:p w:rsidR="00E87FDB" w:rsidRPr="0064555F" w:rsidRDefault="00E87FDB" w:rsidP="00E87FDB">
      <w:pPr>
        <w:pStyle w:val="DecisionParagraphs"/>
        <w:tabs>
          <w:tab w:val="left" w:pos="5954"/>
        </w:tabs>
        <w:rPr>
          <w:lang w:val="es-ES"/>
        </w:rPr>
      </w:pPr>
      <w:r w:rsidRPr="0064555F">
        <w:rPr>
          <w:lang w:val="es-ES"/>
        </w:rPr>
        <w:tab/>
        <w:t>b)</w:t>
      </w:r>
      <w:r w:rsidRPr="0064555F">
        <w:rPr>
          <w:lang w:val="es-ES"/>
        </w:rPr>
        <w:tab/>
        <w:t>Sección 8</w:t>
      </w:r>
      <w:r w:rsidR="00662220" w:rsidRPr="0064555F">
        <w:rPr>
          <w:lang w:val="es-ES"/>
        </w:rPr>
        <w:t xml:space="preserve">: </w:t>
      </w:r>
      <w:r w:rsidRPr="0064555F">
        <w:rPr>
          <w:lang w:val="es-ES"/>
        </w:rPr>
        <w:t xml:space="preserve">“Cooperación en el examen” y </w:t>
      </w:r>
    </w:p>
    <w:p w:rsidR="00E87FDB" w:rsidRPr="0064555F" w:rsidRDefault="00E87FDB" w:rsidP="00E87FDB">
      <w:pPr>
        <w:pStyle w:val="DecisionParagraphs"/>
        <w:tabs>
          <w:tab w:val="left" w:pos="5954"/>
        </w:tabs>
        <w:rPr>
          <w:lang w:val="es-ES"/>
        </w:rPr>
      </w:pPr>
    </w:p>
    <w:p w:rsidR="00E87FDB" w:rsidRPr="0064555F" w:rsidRDefault="00E87FDB" w:rsidP="00E87FDB">
      <w:pPr>
        <w:pStyle w:val="DecisionParagraphs"/>
        <w:tabs>
          <w:tab w:val="left" w:pos="5954"/>
        </w:tabs>
        <w:rPr>
          <w:lang w:val="es-ES"/>
        </w:rPr>
      </w:pPr>
      <w:r w:rsidRPr="0064555F">
        <w:rPr>
          <w:lang w:val="es-ES"/>
        </w:rPr>
        <w:tab/>
        <w:t>c)</w:t>
      </w:r>
      <w:r w:rsidRPr="0064555F">
        <w:rPr>
          <w:lang w:val="es-ES"/>
        </w:rPr>
        <w:tab/>
        <w:t>Sección 9</w:t>
      </w:r>
      <w:r w:rsidR="00662220" w:rsidRPr="0064555F">
        <w:rPr>
          <w:lang w:val="es-ES"/>
        </w:rPr>
        <w:t xml:space="preserve">: </w:t>
      </w:r>
      <w:r w:rsidRPr="0064555F">
        <w:rPr>
          <w:lang w:val="es-ES"/>
        </w:rPr>
        <w:t xml:space="preserve">“Listado de las especies respecto de las que se han adquirido conocimientos prácticos o para las que se han establecido directrices de examen nacionales”, </w:t>
      </w:r>
    </w:p>
    <w:p w:rsidR="00E87FDB" w:rsidRPr="0064555F" w:rsidRDefault="00E87FDB" w:rsidP="00E87FDB">
      <w:pPr>
        <w:pStyle w:val="DecisionParagraphs"/>
        <w:tabs>
          <w:tab w:val="left" w:pos="5954"/>
        </w:tabs>
        <w:rPr>
          <w:lang w:val="es-ES"/>
        </w:rPr>
      </w:pPr>
    </w:p>
    <w:p w:rsidR="00E87FDB" w:rsidRPr="0064555F" w:rsidRDefault="00972690" w:rsidP="00E87FDB">
      <w:pPr>
        <w:pStyle w:val="DecisionParagraphs"/>
        <w:tabs>
          <w:tab w:val="left" w:pos="5954"/>
        </w:tabs>
        <w:rPr>
          <w:lang w:val="es-ES"/>
        </w:rPr>
      </w:pPr>
      <w:proofErr w:type="gramStart"/>
      <w:r w:rsidRPr="0064555F">
        <w:rPr>
          <w:lang w:val="es-ES"/>
        </w:rPr>
        <w:t>sobre</w:t>
      </w:r>
      <w:proofErr w:type="gramEnd"/>
      <w:r w:rsidRPr="0064555F">
        <w:rPr>
          <w:lang w:val="es-ES"/>
        </w:rPr>
        <w:t xml:space="preserve"> la base de</w:t>
      </w:r>
      <w:r w:rsidR="00E87FDB" w:rsidRPr="0064555F">
        <w:rPr>
          <w:lang w:val="es-ES"/>
        </w:rPr>
        <w:t xml:space="preserve"> las modificaciones propuestas en el Anexo I del presente documento.</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keepNext/>
        <w:rPr>
          <w:u w:val="single"/>
          <w:lang w:val="es-ES"/>
        </w:rPr>
      </w:pPr>
      <w:r w:rsidRPr="0064555F">
        <w:rPr>
          <w:u w:val="single"/>
          <w:lang w:val="es-ES"/>
        </w:rPr>
        <w:t>TGP/9</w:t>
      </w:r>
      <w:proofErr w:type="gramStart"/>
      <w:r w:rsidRPr="0064555F">
        <w:rPr>
          <w:u w:val="single"/>
          <w:lang w:val="es-ES"/>
        </w:rPr>
        <w:t>:  Examen</w:t>
      </w:r>
      <w:proofErr w:type="gramEnd"/>
      <w:r w:rsidRPr="0064555F">
        <w:rPr>
          <w:u w:val="single"/>
          <w:lang w:val="es-ES"/>
        </w:rPr>
        <w:t xml:space="preserve"> de la distinción (revisión) (documento TGP/9/2 </w:t>
      </w:r>
      <w:proofErr w:type="spellStart"/>
      <w:r w:rsidRPr="0064555F">
        <w:rPr>
          <w:u w:val="single"/>
          <w:lang w:val="es-ES"/>
        </w:rPr>
        <w:t>Draft</w:t>
      </w:r>
      <w:proofErr w:type="spellEnd"/>
      <w:r w:rsidRPr="0064555F">
        <w:rPr>
          <w:u w:val="single"/>
          <w:lang w:val="es-ES"/>
        </w:rPr>
        <w:t xml:space="preserve"> 1)</w:t>
      </w:r>
    </w:p>
    <w:p w:rsidR="00E87FDB" w:rsidRPr="0064555F" w:rsidRDefault="00E87FDB" w:rsidP="00E87FDB">
      <w:pPr>
        <w:keepNext/>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 xml:space="preserve">El TC, en su quincuagésima primera sesión, y el CAJ, en su septuagésima primera sesión, aprobaron las propuestas de revisión del texto del documento TGP/9/1 “Examen de la distinción” y convinieron en que la versión revisada de ese documento (documento TGP/9/2 </w:t>
      </w:r>
      <w:proofErr w:type="spellStart"/>
      <w:r w:rsidR="00E87FDB" w:rsidRPr="0064555F">
        <w:rPr>
          <w:lang w:val="es-ES"/>
        </w:rPr>
        <w:t>Draft</w:t>
      </w:r>
      <w:proofErr w:type="spellEnd"/>
      <w:r w:rsidR="00E87FDB" w:rsidRPr="0064555F">
        <w:rPr>
          <w:lang w:val="es-ES"/>
        </w:rPr>
        <w:t xml:space="preserve"> 1) se </w:t>
      </w:r>
      <w:r w:rsidR="00F52A64">
        <w:rPr>
          <w:lang w:val="es-ES"/>
        </w:rPr>
        <w:t>sometiera</w:t>
      </w:r>
      <w:r w:rsidR="00E87FDB" w:rsidRPr="0064555F">
        <w:rPr>
          <w:lang w:val="es-ES"/>
        </w:rPr>
        <w:t xml:space="preserve"> a la aprobación del </w:t>
      </w:r>
      <w:r w:rsidR="00E40A4F">
        <w:rPr>
          <w:lang w:val="es-ES"/>
        </w:rPr>
        <w:t xml:space="preserve">Consejo en su cuadragésima </w:t>
      </w:r>
      <w:r w:rsidR="00E87FDB" w:rsidRPr="0064555F">
        <w:rPr>
          <w:lang w:val="es-ES"/>
        </w:rPr>
        <w:t>novena sesión</w:t>
      </w:r>
      <w:r w:rsidR="00E40A4F">
        <w:rPr>
          <w:lang w:val="es-ES"/>
        </w:rPr>
        <w:t xml:space="preserve"> ordinaria (véanse los párrafos 114 a 121 del documento </w:t>
      </w:r>
      <w:r w:rsidR="00E87FDB" w:rsidRPr="0064555F">
        <w:rPr>
          <w:lang w:val="es-ES"/>
        </w:rPr>
        <w:t>TC/51/39 “Informe” y los párrafos 64 a 69 del documento CAJ/71/10 “Informe sobre las conclusiones”).</w:t>
      </w:r>
    </w:p>
    <w:p w:rsidR="00E87FDB" w:rsidRPr="0064555F" w:rsidRDefault="00E87FDB" w:rsidP="00E87FDB">
      <w:pPr>
        <w:rPr>
          <w:lang w:val="es-ES"/>
        </w:rPr>
      </w:pPr>
    </w:p>
    <w:p w:rsidR="00E87FDB" w:rsidRPr="0064555F" w:rsidRDefault="00033F9F" w:rsidP="00E87FDB">
      <w:pPr>
        <w:rPr>
          <w:lang w:val="es-ES"/>
        </w:rPr>
      </w:pPr>
      <w:r w:rsidRPr="00294914">
        <w:lastRenderedPageBreak/>
        <w:fldChar w:fldCharType="begin"/>
      </w:r>
      <w:r w:rsidR="00E87FDB" w:rsidRPr="0064555F">
        <w:rPr>
          <w:lang w:val="es-ES"/>
        </w:rPr>
        <w:instrText xml:space="preserve"> AUTONUM  </w:instrText>
      </w:r>
      <w:r w:rsidRPr="00294914">
        <w:fldChar w:fldCharType="end"/>
      </w:r>
      <w:r w:rsidR="00E87FDB" w:rsidRPr="0064555F">
        <w:rPr>
          <w:lang w:val="es-ES"/>
        </w:rPr>
        <w:tab/>
        <w:t>El TC y el CAJ tomaron nota de que los respectivos miembros del Comité de Redacción examinarán las traducciones al alemán, español y francés del texto original en inglés antes de que se presente al Consejo el proyecto de documento TGP/9/2.  El documento TGP/9/2 </w:t>
      </w:r>
      <w:proofErr w:type="spellStart"/>
      <w:r w:rsidR="00E87FDB" w:rsidRPr="0064555F">
        <w:rPr>
          <w:lang w:val="es-ES"/>
        </w:rPr>
        <w:t>Draft</w:t>
      </w:r>
      <w:proofErr w:type="spellEnd"/>
      <w:r w:rsidR="00E87FDB" w:rsidRPr="0064555F">
        <w:rPr>
          <w:lang w:val="es-ES"/>
        </w:rPr>
        <w:t> 1 incorpora las enmiendas acordadas por el TC y el CAJ, como se señala en los párrafos 5 y 6, y los cambios de redacción propuestos por los respectivos miembros del Comité de Redacción.</w:t>
      </w:r>
    </w:p>
    <w:p w:rsidR="00E87FDB" w:rsidRPr="0064555F" w:rsidRDefault="00E87FDB" w:rsidP="00E87FDB">
      <w:pPr>
        <w:rPr>
          <w:lang w:val="es-ES"/>
        </w:rPr>
      </w:pPr>
    </w:p>
    <w:p w:rsidR="00E87FDB" w:rsidRPr="0064555F" w:rsidRDefault="00033F9F" w:rsidP="00E87FDB">
      <w:pPr>
        <w:pStyle w:val="DecisionParagraphs"/>
        <w:keepLine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 xml:space="preserve">Se invita al Consejo a aprobar la revisión del documento TGP/9/1 “Examen de la distinción” (documento TGP/9/2), sobre la base del documento TGP/9/2 </w:t>
      </w:r>
      <w:proofErr w:type="spellStart"/>
      <w:r w:rsidR="00E87FDB" w:rsidRPr="0064555F">
        <w:rPr>
          <w:lang w:val="es-ES"/>
        </w:rPr>
        <w:t>Draft</w:t>
      </w:r>
      <w:proofErr w:type="spellEnd"/>
      <w:r w:rsidR="00E87FDB" w:rsidRPr="0064555F">
        <w:rPr>
          <w:lang w:val="es-ES"/>
        </w:rPr>
        <w:t> 1.</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keepNext/>
        <w:rPr>
          <w:u w:val="single"/>
          <w:lang w:val="es-ES"/>
        </w:rPr>
      </w:pPr>
      <w:r w:rsidRPr="0064555F">
        <w:rPr>
          <w:snapToGrid w:val="0"/>
          <w:u w:val="single"/>
          <w:lang w:val="es-ES"/>
        </w:rPr>
        <w:t>TGP/14</w:t>
      </w:r>
      <w:proofErr w:type="gramStart"/>
      <w:r w:rsidRPr="0064555F">
        <w:rPr>
          <w:snapToGrid w:val="0"/>
          <w:u w:val="single"/>
          <w:lang w:val="es-ES"/>
        </w:rPr>
        <w:t>:  Glosario</w:t>
      </w:r>
      <w:proofErr w:type="gramEnd"/>
      <w:r w:rsidRPr="0064555F">
        <w:rPr>
          <w:snapToGrid w:val="0"/>
          <w:u w:val="single"/>
          <w:lang w:val="es-ES"/>
        </w:rPr>
        <w:t xml:space="preserve"> de términos utilizados en los documentos de la UPOV (revisión) (documento C/49/14, Anexo II)</w:t>
      </w:r>
    </w:p>
    <w:p w:rsidR="00E87FDB" w:rsidRPr="0064555F" w:rsidRDefault="00E87FDB" w:rsidP="00E87FDB">
      <w:pPr>
        <w:keepNext/>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TC, en su quincuagésima primera sesión, y el CAJ, en su septuagésima primera sesión, aprobaron las propuestas de revisión del documento TGP/14/2 “</w:t>
      </w:r>
      <w:r w:rsidR="00E87FDB" w:rsidRPr="0064555F">
        <w:rPr>
          <w:snapToGrid w:val="0"/>
          <w:lang w:val="es-ES"/>
        </w:rPr>
        <w:t>Glosario de términos utilizados en los documentos de la UPOV”,</w:t>
      </w:r>
      <w:r w:rsidR="00E87FDB" w:rsidRPr="0064555F">
        <w:rPr>
          <w:lang w:val="es-ES"/>
        </w:rPr>
        <w:t xml:space="preserve"> Sección 2.4 “Caracteres de la forma del ápice/punta”, que se exponen en el Anexo II del presente documento (véanse los párrafos 122 a 125 del documento TC/51/39 “Informe” y los párrafos 70 a 72 del documento CAJ/71/10 “Informe sobre las conclusiones”).</w:t>
      </w:r>
    </w:p>
    <w:p w:rsidR="00E87FDB" w:rsidRPr="0064555F" w:rsidRDefault="00E87FDB" w:rsidP="00E87FDB">
      <w:pPr>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Sobre esa base, el TC y el CAJ convinieron en que el documento TGP/14/2, Sección 2.4, se sometiera a la aprobación del Consejo en su cuadragésima novena sesión ordinaria.</w:t>
      </w:r>
    </w:p>
    <w:p w:rsidR="00E87FDB" w:rsidRPr="0064555F" w:rsidRDefault="00E87FDB" w:rsidP="00E87FDB">
      <w:pPr>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TC y el CAJ tomaron nota de que los respectivos miembros del Comité de Redacción examinarán las traducciones al alemán, español y francés del texto original en inglés antes de la presentación al Consejo para que considere su aprobación.  El Anexo II de este documento incorpora las enmiendas acordadas por el TC y el CAJ, como se dispone en los párrafos 9 y 10, y los cambios de redacción propuestos por los respectivos miembros del Comité de Redacción.</w:t>
      </w:r>
    </w:p>
    <w:p w:rsidR="00E87FDB" w:rsidRPr="0064555F" w:rsidRDefault="00E87FDB" w:rsidP="00E87FDB">
      <w:pPr>
        <w:rPr>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Se invita al Consejo a aprobar la revisión del documento TGP/14/2 “Glosario de términos utilizados en los documentos de la UPOV”, Sección 2.4 “Caracteres de la forma del ápice/punta”, basándose en las modificaciones propuestas en el Anexo II del presente documento.</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keepNext/>
        <w:ind w:left="851" w:hanging="851"/>
        <w:rPr>
          <w:u w:val="single"/>
          <w:lang w:val="es-ES"/>
        </w:rPr>
      </w:pPr>
      <w:r w:rsidRPr="0064555F">
        <w:rPr>
          <w:u w:val="single"/>
          <w:lang w:val="es-ES"/>
        </w:rPr>
        <w:t>TGP/0</w:t>
      </w:r>
      <w:proofErr w:type="gramStart"/>
      <w:r w:rsidRPr="0064555F">
        <w:rPr>
          <w:u w:val="single"/>
          <w:lang w:val="es-ES"/>
        </w:rPr>
        <w:t xml:space="preserve">:  </w:t>
      </w:r>
      <w:r w:rsidRPr="0064555F">
        <w:rPr>
          <w:snapToGrid w:val="0"/>
          <w:u w:val="single"/>
          <w:lang w:val="es-ES"/>
        </w:rPr>
        <w:t>Lista</w:t>
      </w:r>
      <w:proofErr w:type="gramEnd"/>
      <w:r w:rsidRPr="0064555F">
        <w:rPr>
          <w:snapToGrid w:val="0"/>
          <w:u w:val="single"/>
          <w:lang w:val="es-ES"/>
        </w:rPr>
        <w:t xml:space="preserve"> de documentos TGP y fechas de última publicación (revisión) (documento TGP/0/8 </w:t>
      </w:r>
      <w:proofErr w:type="spellStart"/>
      <w:r w:rsidRPr="0064555F">
        <w:rPr>
          <w:snapToGrid w:val="0"/>
          <w:u w:val="single"/>
          <w:lang w:val="es-ES"/>
        </w:rPr>
        <w:t>Draft</w:t>
      </w:r>
      <w:proofErr w:type="spellEnd"/>
      <w:r w:rsidRPr="0064555F">
        <w:rPr>
          <w:snapToGrid w:val="0"/>
          <w:u w:val="single"/>
          <w:lang w:val="es-ES"/>
        </w:rPr>
        <w:t xml:space="preserve"> 1)</w:t>
      </w:r>
    </w:p>
    <w:p w:rsidR="00E87FDB" w:rsidRPr="0064555F" w:rsidRDefault="00E87FDB" w:rsidP="00E87FDB">
      <w:pPr>
        <w:keepNext/>
        <w:rPr>
          <w:lang w:val="es-ES"/>
        </w:rPr>
      </w:pPr>
    </w:p>
    <w:p w:rsidR="00E87FDB" w:rsidRPr="0064555F" w:rsidRDefault="00033F9F" w:rsidP="00E87FDB">
      <w:pPr>
        <w:rPr>
          <w:rFonts w:cs="Arial"/>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Junto con la aprobación de los documentos TGP revisados en la cuadragésima novena sesión ordinaria del Consejo, se propone aprobar la revisión del documento TGP/0</w:t>
      </w:r>
      <w:r w:rsidR="008A5C43">
        <w:rPr>
          <w:lang w:val="es-ES"/>
        </w:rPr>
        <w:t>/7</w:t>
      </w:r>
      <w:r w:rsidR="00E87FDB" w:rsidRPr="0064555F">
        <w:rPr>
          <w:lang w:val="es-ES"/>
        </w:rPr>
        <w:t xml:space="preserve"> sobre la base del documento TGP/0/8 </w:t>
      </w:r>
      <w:proofErr w:type="spellStart"/>
      <w:r w:rsidR="00E87FDB" w:rsidRPr="0064555F">
        <w:rPr>
          <w:lang w:val="es-ES"/>
        </w:rPr>
        <w:t>Draft</w:t>
      </w:r>
      <w:proofErr w:type="spellEnd"/>
      <w:r w:rsidR="00E87FDB" w:rsidRPr="0064555F">
        <w:rPr>
          <w:lang w:val="es-ES"/>
        </w:rPr>
        <w:t xml:space="preserve"> 1 (véanse </w:t>
      </w:r>
      <w:r w:rsidR="001D2246" w:rsidRPr="0064555F">
        <w:rPr>
          <w:lang w:val="es-ES"/>
        </w:rPr>
        <w:t>el párrafo 113 del</w:t>
      </w:r>
      <w:r w:rsidR="00E87FDB" w:rsidRPr="0064555F">
        <w:rPr>
          <w:lang w:val="es-ES"/>
        </w:rPr>
        <w:t xml:space="preserve"> documento TC/51/39 “Informe” y </w:t>
      </w:r>
      <w:r w:rsidR="001D2246" w:rsidRPr="0064555F">
        <w:rPr>
          <w:lang w:val="es-ES"/>
        </w:rPr>
        <w:t>el párrafo 77 del documento </w:t>
      </w:r>
      <w:r w:rsidR="00E87FDB" w:rsidRPr="0064555F">
        <w:rPr>
          <w:lang w:val="es-ES"/>
        </w:rPr>
        <w:t>CAJ/71/10 “Informe sobre las conclusiones”).</w:t>
      </w:r>
    </w:p>
    <w:p w:rsidR="00E87FDB" w:rsidRPr="0064555F" w:rsidRDefault="00E87FDB" w:rsidP="00E87FDB">
      <w:pPr>
        <w:rPr>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Se invita al Consejo a aprobar la revisión del documento</w:t>
      </w:r>
      <w:r w:rsidR="001D2246" w:rsidRPr="0064555F">
        <w:rPr>
          <w:lang w:val="es-ES"/>
        </w:rPr>
        <w:t> </w:t>
      </w:r>
      <w:r w:rsidR="00E87FDB" w:rsidRPr="0064555F">
        <w:rPr>
          <w:lang w:val="es-ES"/>
        </w:rPr>
        <w:t>TGP/0</w:t>
      </w:r>
      <w:r w:rsidR="008A5C43">
        <w:rPr>
          <w:lang w:val="es-ES"/>
        </w:rPr>
        <w:t>/7</w:t>
      </w:r>
      <w:r w:rsidR="00E87FDB" w:rsidRPr="0064555F">
        <w:rPr>
          <w:lang w:val="es-ES"/>
        </w:rPr>
        <w:t xml:space="preserve"> “Lista de documentos</w:t>
      </w:r>
      <w:r w:rsidR="001D2246" w:rsidRPr="0064555F">
        <w:rPr>
          <w:lang w:val="es-ES"/>
        </w:rPr>
        <w:t> </w:t>
      </w:r>
      <w:r w:rsidR="00E87FDB" w:rsidRPr="0064555F">
        <w:rPr>
          <w:lang w:val="es-ES"/>
        </w:rPr>
        <w:t>TGP y fechas de última publicación” (documento TGP/0/8) sobre la base del documento TGP/0/8 </w:t>
      </w:r>
      <w:proofErr w:type="spellStart"/>
      <w:r w:rsidR="00E87FDB" w:rsidRPr="0064555F">
        <w:rPr>
          <w:lang w:val="es-ES"/>
        </w:rPr>
        <w:t>Draft</w:t>
      </w:r>
      <w:proofErr w:type="spellEnd"/>
      <w:r w:rsidR="00E87FDB" w:rsidRPr="0064555F">
        <w:rPr>
          <w:lang w:val="es-ES"/>
        </w:rPr>
        <w:t> 1.</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r w:rsidRPr="0064555F">
        <w:rPr>
          <w:lang w:val="es-ES"/>
        </w:rPr>
        <w:t>NOTAS EXPLICATIVAS</w:t>
      </w:r>
    </w:p>
    <w:p w:rsidR="00E87FDB" w:rsidRPr="0064555F" w:rsidRDefault="00E87FDB" w:rsidP="00E87FDB">
      <w:pPr>
        <w:rPr>
          <w:lang w:val="es-ES"/>
        </w:rPr>
      </w:pPr>
    </w:p>
    <w:p w:rsidR="00E87FDB" w:rsidRPr="0064555F" w:rsidRDefault="00E87FDB" w:rsidP="00E87FDB">
      <w:pPr>
        <w:rPr>
          <w:u w:val="single"/>
          <w:lang w:val="es-ES"/>
        </w:rPr>
      </w:pPr>
      <w:r w:rsidRPr="0064555F">
        <w:rPr>
          <w:u w:val="single"/>
          <w:lang w:val="es-ES"/>
        </w:rPr>
        <w:t>UPOV/EXN/CAN</w:t>
      </w:r>
      <w:proofErr w:type="gramStart"/>
      <w:r w:rsidRPr="0064555F">
        <w:rPr>
          <w:u w:val="single"/>
          <w:lang w:val="es-ES"/>
        </w:rPr>
        <w:t>:  Notas</w:t>
      </w:r>
      <w:proofErr w:type="gramEnd"/>
      <w:r w:rsidRPr="0064555F">
        <w:rPr>
          <w:u w:val="single"/>
          <w:lang w:val="es-ES"/>
        </w:rPr>
        <w:t xml:space="preserve"> explicativas sobre la caducidad del derecho de obtentor con arreglo al Convenio de la UPOV (revisión) (documento UPOV/EXN/CAN/2 </w:t>
      </w:r>
      <w:proofErr w:type="spellStart"/>
      <w:r w:rsidRPr="0064555F">
        <w:rPr>
          <w:u w:val="single"/>
          <w:lang w:val="es-ES"/>
        </w:rPr>
        <w:t>Draft</w:t>
      </w:r>
      <w:proofErr w:type="spellEnd"/>
      <w:r w:rsidRPr="0064555F">
        <w:rPr>
          <w:u w:val="single"/>
          <w:lang w:val="es-ES"/>
        </w:rPr>
        <w:t xml:space="preserve"> 4)</w:t>
      </w:r>
    </w:p>
    <w:p w:rsidR="00E87FDB" w:rsidRPr="0064555F" w:rsidRDefault="00E87FDB" w:rsidP="00E87FDB">
      <w:pPr>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CAJ, en su septuagésima primera sesión, aprobó el documento UPOV/EXN/CAN/2 </w:t>
      </w:r>
      <w:proofErr w:type="spellStart"/>
      <w:r w:rsidR="00E87FDB" w:rsidRPr="0064555F">
        <w:rPr>
          <w:lang w:val="es-ES"/>
        </w:rPr>
        <w:t>Draft</w:t>
      </w:r>
      <w:proofErr w:type="spellEnd"/>
      <w:r w:rsidR="00E87FDB" w:rsidRPr="0064555F">
        <w:rPr>
          <w:lang w:val="es-ES"/>
        </w:rPr>
        <w:t> 3 como punto de partida de la revisión del documento UPOV/EXN/CAN/1 “Notas explicativas sobre la caducidad del derecho de obtentor con arreglo al Convenio de la UPOV” y convino en que el proyecto de documento UPOV/EXN/CAN/2 se sometiera a la aprobación del Consejo en su cuadragésima novena sesión ordinaria (véase el párrafo 17 del documento CAJ/71/10 “Informe sobre las conclusiones”).</w:t>
      </w:r>
    </w:p>
    <w:p w:rsidR="00E87FDB" w:rsidRPr="0064555F" w:rsidRDefault="00E87FDB" w:rsidP="00E87FDB">
      <w:pPr>
        <w:rPr>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Se invita al Consejo a aprobar la revisión del documento UPOV/EXN/CAN/1 “Notas explicativas sobre la caducidad del derecho de obtentor con arreglo al Convenio de la UPOV” (documento UPOV/EXN/CAN/2), sobre la base del documento UPOV/EXN/CAN/2 </w:t>
      </w:r>
      <w:proofErr w:type="spellStart"/>
      <w:r w:rsidR="00E87FDB" w:rsidRPr="0064555F">
        <w:rPr>
          <w:lang w:val="es-ES"/>
        </w:rPr>
        <w:t>Draft</w:t>
      </w:r>
      <w:proofErr w:type="spellEnd"/>
      <w:r w:rsidR="00E87FDB" w:rsidRPr="0064555F">
        <w:rPr>
          <w:lang w:val="es-ES"/>
        </w:rPr>
        <w:t> 4.</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keepNext/>
        <w:rPr>
          <w:u w:val="single"/>
          <w:lang w:val="es-ES"/>
        </w:rPr>
      </w:pPr>
      <w:r w:rsidRPr="0064555F">
        <w:rPr>
          <w:u w:val="single"/>
          <w:lang w:val="es-ES"/>
        </w:rPr>
        <w:t>UPOV/EXN/NUL</w:t>
      </w:r>
      <w:proofErr w:type="gramStart"/>
      <w:r w:rsidRPr="0064555F">
        <w:rPr>
          <w:u w:val="single"/>
          <w:lang w:val="es-ES"/>
        </w:rPr>
        <w:t>:  Notas</w:t>
      </w:r>
      <w:proofErr w:type="gramEnd"/>
      <w:r w:rsidRPr="0064555F">
        <w:rPr>
          <w:u w:val="single"/>
          <w:lang w:val="es-ES"/>
        </w:rPr>
        <w:t xml:space="preserve"> explicativas sobre la nulidad del derecho de obtentor con arreglo al Convenio de la UPOV (revisión) (documento UPOV/EXN/NUL/2 </w:t>
      </w:r>
      <w:proofErr w:type="spellStart"/>
      <w:r w:rsidRPr="0064555F">
        <w:rPr>
          <w:u w:val="single"/>
          <w:lang w:val="es-ES"/>
        </w:rPr>
        <w:t>Draft</w:t>
      </w:r>
      <w:proofErr w:type="spellEnd"/>
      <w:r w:rsidRPr="0064555F">
        <w:rPr>
          <w:u w:val="single"/>
          <w:lang w:val="es-ES"/>
        </w:rPr>
        <w:t xml:space="preserve"> 4)</w:t>
      </w:r>
    </w:p>
    <w:p w:rsidR="00E87FDB" w:rsidRPr="0064555F" w:rsidRDefault="00E87FDB" w:rsidP="00E87FDB">
      <w:pPr>
        <w:keepNext/>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CAJ, en su septuagésima primera sesión, aprobó el documento UPOV/EXN/NUL/2 </w:t>
      </w:r>
      <w:proofErr w:type="spellStart"/>
      <w:r w:rsidR="00E87FDB" w:rsidRPr="0064555F">
        <w:rPr>
          <w:lang w:val="es-ES"/>
        </w:rPr>
        <w:t>Draft</w:t>
      </w:r>
      <w:proofErr w:type="spellEnd"/>
      <w:r w:rsidR="00E87FDB" w:rsidRPr="0064555F">
        <w:rPr>
          <w:lang w:val="es-ES"/>
        </w:rPr>
        <w:t> 3 como punto de partida de la revisión del documento UPOV/EXN/NUL/1 “Notas explicativas sobre la nulidad del derecho de obtentor con arreglo al Convenio de la UPOV” y convino en que el proyecto de documento UPOV/EXN/NUL/2 se sometiera a la aprobación del Consejo en su cuadragésima novena sesión ordinaria (véase el párrafo 19 del documento CAJ/71/10 “Informe sobre las conclusiones”).</w:t>
      </w:r>
    </w:p>
    <w:p w:rsidR="00E87FDB" w:rsidRPr="0064555F" w:rsidRDefault="00E87FDB" w:rsidP="00E87FDB">
      <w:pPr>
        <w:rPr>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 xml:space="preserve">Se invita al Consejo a aprobar la revisión del documento UPOV/EXN/NUL/1 “Notas explicativas sobre la nulidad del derecho de obtentor </w:t>
      </w:r>
      <w:r w:rsidR="00F52A64">
        <w:rPr>
          <w:lang w:val="es-ES"/>
        </w:rPr>
        <w:br/>
      </w:r>
      <w:r w:rsidR="00E87FDB" w:rsidRPr="0064555F">
        <w:rPr>
          <w:lang w:val="es-ES"/>
        </w:rPr>
        <w:t>con arreglo al Convenio de la UPOV” (documento UPOV/EXN/NUL/2), sobre la base del documento UPOV/EXN/NUL/2 </w:t>
      </w:r>
      <w:proofErr w:type="spellStart"/>
      <w:r w:rsidR="00E87FDB" w:rsidRPr="0064555F">
        <w:rPr>
          <w:lang w:val="es-ES"/>
        </w:rPr>
        <w:t>Draft</w:t>
      </w:r>
      <w:proofErr w:type="spellEnd"/>
      <w:r w:rsidR="00E87FDB" w:rsidRPr="0064555F">
        <w:rPr>
          <w:lang w:val="es-ES"/>
        </w:rPr>
        <w:t> 4.</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u w:val="single"/>
          <w:lang w:val="es-ES"/>
        </w:rPr>
      </w:pPr>
      <w:r w:rsidRPr="0064555F">
        <w:rPr>
          <w:u w:val="single"/>
          <w:lang w:val="es-ES"/>
        </w:rPr>
        <w:t>UPOV/EXN/PRP</w:t>
      </w:r>
      <w:proofErr w:type="gramStart"/>
      <w:r w:rsidRPr="0064555F">
        <w:rPr>
          <w:u w:val="single"/>
          <w:lang w:val="es-ES"/>
        </w:rPr>
        <w:t>:  Notas</w:t>
      </w:r>
      <w:proofErr w:type="gramEnd"/>
      <w:r w:rsidRPr="0064555F">
        <w:rPr>
          <w:u w:val="single"/>
          <w:lang w:val="es-ES"/>
        </w:rPr>
        <w:t xml:space="preserve"> explicativas sobre la protección provisional con arreglo al Convenio de la UPOV (revisión) documento UPOV/EXN/PRP/2 </w:t>
      </w:r>
      <w:proofErr w:type="spellStart"/>
      <w:r w:rsidRPr="0064555F">
        <w:rPr>
          <w:u w:val="single"/>
          <w:lang w:val="es-ES"/>
        </w:rPr>
        <w:t>Draft</w:t>
      </w:r>
      <w:proofErr w:type="spellEnd"/>
      <w:r w:rsidRPr="0064555F">
        <w:rPr>
          <w:u w:val="single"/>
          <w:lang w:val="es-ES"/>
        </w:rPr>
        <w:t> 4)</w:t>
      </w:r>
    </w:p>
    <w:p w:rsidR="00E87FDB" w:rsidRPr="0064555F" w:rsidRDefault="00E87FDB" w:rsidP="00E87FDB">
      <w:pPr>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CAJ, en su septuagésima primera sesión, aprobó el documento UPOV/EXN/PRP/2 </w:t>
      </w:r>
      <w:proofErr w:type="spellStart"/>
      <w:r w:rsidR="00E87FDB" w:rsidRPr="0064555F">
        <w:rPr>
          <w:lang w:val="es-ES"/>
        </w:rPr>
        <w:t>Draft</w:t>
      </w:r>
      <w:proofErr w:type="spellEnd"/>
      <w:r w:rsidR="00E87FDB" w:rsidRPr="0064555F">
        <w:rPr>
          <w:lang w:val="es-ES"/>
        </w:rPr>
        <w:t> 3 como punto de partida de la revisión del documento UPOV/EXN/PRP/1 “Notas explicativas sobre la protección provisional con arreglo al Convenio de la UPOV” y convino en que el proyecto de documento UPOV/EXN/PRP/2 se sometiera a la aprobación del Consejo en su cuadragésima novena sesión ordinaria (véase el párrafo 20 del documento CAJ/71/10 “Informe sobre las conclusiones”).</w:t>
      </w:r>
    </w:p>
    <w:p w:rsidR="00E87FDB" w:rsidRPr="0064555F" w:rsidRDefault="00E87FDB" w:rsidP="00E87FDB">
      <w:pPr>
        <w:rPr>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 xml:space="preserve">Se invita al Consejo a aprobar la revisión del documento UPOV/EXN/PRP/1 “Notas explicativas sobre la protección provisional con </w:t>
      </w:r>
      <w:r w:rsidR="00F52A64">
        <w:rPr>
          <w:lang w:val="es-ES"/>
        </w:rPr>
        <w:br/>
      </w:r>
      <w:r w:rsidR="00E87FDB" w:rsidRPr="0064555F">
        <w:rPr>
          <w:lang w:val="es-ES"/>
        </w:rPr>
        <w:t>arreglo al Convenio de la UPOV” (documento UPOV/EXN/PRP/2), sobre la base del documento UPOV/EXN/PRP/2 </w:t>
      </w:r>
      <w:proofErr w:type="spellStart"/>
      <w:r w:rsidR="00E87FDB" w:rsidRPr="0064555F">
        <w:rPr>
          <w:lang w:val="es-ES"/>
        </w:rPr>
        <w:t>Draft</w:t>
      </w:r>
      <w:proofErr w:type="spellEnd"/>
      <w:r w:rsidR="00E87FDB" w:rsidRPr="0064555F">
        <w:rPr>
          <w:lang w:val="es-ES"/>
        </w:rPr>
        <w:t> 4.</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keepNext/>
        <w:tabs>
          <w:tab w:val="left" w:pos="567"/>
        </w:tabs>
        <w:ind w:left="567" w:hanging="567"/>
        <w:rPr>
          <w:lang w:val="es-ES"/>
        </w:rPr>
      </w:pPr>
      <w:r w:rsidRPr="0064555F">
        <w:rPr>
          <w:lang w:val="es-ES"/>
        </w:rPr>
        <w:t>DOCUMENTOS DE INFORMACIÓN</w:t>
      </w:r>
    </w:p>
    <w:p w:rsidR="00E87FDB" w:rsidRPr="0064555F" w:rsidRDefault="00E87FDB" w:rsidP="00E87FDB">
      <w:pPr>
        <w:keepNext/>
        <w:rPr>
          <w:lang w:val="es-ES"/>
        </w:rPr>
      </w:pPr>
    </w:p>
    <w:p w:rsidR="00E87FDB" w:rsidRPr="0064555F" w:rsidRDefault="00E87FDB" w:rsidP="00E87FDB">
      <w:pPr>
        <w:rPr>
          <w:u w:val="single"/>
          <w:lang w:val="es-ES"/>
        </w:rPr>
      </w:pPr>
      <w:r w:rsidRPr="0064555F">
        <w:rPr>
          <w:u w:val="single"/>
          <w:lang w:val="es-ES"/>
        </w:rPr>
        <w:t>UPOV/INF/6</w:t>
      </w:r>
      <w:proofErr w:type="gramStart"/>
      <w:r w:rsidRPr="0064555F">
        <w:rPr>
          <w:u w:val="single"/>
          <w:lang w:val="es-ES"/>
        </w:rPr>
        <w:t>:  Orientaciones</w:t>
      </w:r>
      <w:proofErr w:type="gramEnd"/>
      <w:r w:rsidRPr="0064555F">
        <w:rPr>
          <w:u w:val="single"/>
          <w:lang w:val="es-ES"/>
        </w:rPr>
        <w:t xml:space="preserve"> para la redacción de leyes basadas en el </w:t>
      </w:r>
      <w:r w:rsidR="00F52A64">
        <w:rPr>
          <w:u w:val="single"/>
          <w:lang w:val="es-ES"/>
        </w:rPr>
        <w:t>Acta de 1991 del Convenio de la </w:t>
      </w:r>
      <w:r w:rsidRPr="0064555F">
        <w:rPr>
          <w:u w:val="single"/>
          <w:lang w:val="es-ES"/>
        </w:rPr>
        <w:t>UPOV (revisión) (documento C/49/14, Anexo IV)</w:t>
      </w:r>
    </w:p>
    <w:p w:rsidR="00E87FDB" w:rsidRPr="0064555F" w:rsidRDefault="00E87FDB" w:rsidP="00E87FDB">
      <w:pPr>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documento UPOV/INF/6, Parte II “Notas basadas en material de información sobre determinados artículos del Acta de 1991 del Convenio de la UPOV” incluye extractos de las notas explicativas.</w:t>
      </w:r>
    </w:p>
    <w:p w:rsidR="00E87FDB" w:rsidRPr="0064555F" w:rsidRDefault="00E87FDB" w:rsidP="00E87FDB">
      <w:pPr>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CAJ, en su septuagésima primera sesión, tomó nota de que se invitar</w:t>
      </w:r>
      <w:r w:rsidR="00523FA0" w:rsidRPr="0064555F">
        <w:rPr>
          <w:lang w:val="es-ES"/>
        </w:rPr>
        <w:t>ía</w:t>
      </w:r>
      <w:r w:rsidR="00E87FDB" w:rsidRPr="0064555F">
        <w:rPr>
          <w:lang w:val="es-ES"/>
        </w:rPr>
        <w:t xml:space="preserve"> al Consejo a aprobar la revisión del documento UPOV/INF/6/3 (documento UPOV/INF/6/4), junto con las notas explicativas que se someter</w:t>
      </w:r>
      <w:r w:rsidR="00C53D97" w:rsidRPr="0064555F">
        <w:rPr>
          <w:lang w:val="es-ES"/>
        </w:rPr>
        <w:t>ía</w:t>
      </w:r>
      <w:r w:rsidR="00E87FDB" w:rsidRPr="0064555F">
        <w:rPr>
          <w:lang w:val="es-ES"/>
        </w:rPr>
        <w:t>n a la aprobación del Consejo en su cuadragésima novena sesión ordinaria (véa</w:t>
      </w:r>
      <w:r w:rsidR="00C53D97" w:rsidRPr="0064555F">
        <w:rPr>
          <w:lang w:val="es-ES"/>
        </w:rPr>
        <w:t>n</w:t>
      </w:r>
      <w:r w:rsidR="00E87FDB" w:rsidRPr="0064555F">
        <w:rPr>
          <w:lang w:val="es-ES"/>
        </w:rPr>
        <w:t xml:space="preserve">se </w:t>
      </w:r>
      <w:r w:rsidR="00C53D97" w:rsidRPr="0064555F">
        <w:rPr>
          <w:lang w:val="es-ES"/>
        </w:rPr>
        <w:t xml:space="preserve">los párrafos 15 a 20 de </w:t>
      </w:r>
      <w:r w:rsidR="00E87FDB" w:rsidRPr="0064555F">
        <w:rPr>
          <w:lang w:val="es-ES"/>
        </w:rPr>
        <w:t>la sección “NOTAS EXPLICATIVAS“</w:t>
      </w:r>
      <w:r w:rsidR="00C53D97" w:rsidRPr="0064555F">
        <w:rPr>
          <w:lang w:val="es-ES"/>
        </w:rPr>
        <w:t xml:space="preserve"> </w:t>
      </w:r>
      <w:r w:rsidR="00F52A64">
        <w:rPr>
          <w:lang w:val="es-ES"/>
        </w:rPr>
        <w:t xml:space="preserve">y la sección “UPOV/INF/12: </w:t>
      </w:r>
      <w:r w:rsidR="00E87FDB" w:rsidRPr="0064555F">
        <w:rPr>
          <w:lang w:val="es-ES"/>
        </w:rPr>
        <w:t>Notas explicativas sobre las denominaciones de variedades con arreglo al Convenio de la UPOV (revisión)”, párrafos 2</w:t>
      </w:r>
      <w:r w:rsidR="005C6CE8">
        <w:rPr>
          <w:lang w:val="es-ES"/>
        </w:rPr>
        <w:t>3</w:t>
      </w:r>
      <w:r w:rsidR="00E87FDB" w:rsidRPr="0064555F">
        <w:rPr>
          <w:lang w:val="es-ES"/>
        </w:rPr>
        <w:t xml:space="preserve"> </w:t>
      </w:r>
      <w:r w:rsidR="00F52A64">
        <w:rPr>
          <w:lang w:val="es-ES"/>
        </w:rPr>
        <w:t>a</w:t>
      </w:r>
      <w:r w:rsidR="00E87FDB" w:rsidRPr="0064555F">
        <w:rPr>
          <w:lang w:val="es-ES"/>
        </w:rPr>
        <w:t> 2</w:t>
      </w:r>
      <w:r w:rsidR="005C6CE8">
        <w:rPr>
          <w:lang w:val="es-ES"/>
        </w:rPr>
        <w:t>5</w:t>
      </w:r>
      <w:bookmarkStart w:id="5" w:name="_GoBack"/>
      <w:bookmarkEnd w:id="5"/>
      <w:r w:rsidR="00E87FDB" w:rsidRPr="0064555F">
        <w:rPr>
          <w:lang w:val="es-ES"/>
        </w:rPr>
        <w:t xml:space="preserve"> de este documento).</w:t>
      </w:r>
    </w:p>
    <w:p w:rsidR="00E87FDB" w:rsidRPr="0064555F" w:rsidRDefault="00E87FDB" w:rsidP="00E87FDB">
      <w:pPr>
        <w:rPr>
          <w:lang w:val="es-ES"/>
        </w:rPr>
      </w:pPr>
    </w:p>
    <w:p w:rsidR="00E87FDB" w:rsidRPr="0064555F" w:rsidRDefault="00033F9F" w:rsidP="00F52A64">
      <w:pPr>
        <w:pStyle w:val="DecisionParagraphs"/>
        <w:keepLine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Se invita al Consejo a aprobar la revisión del documento UPOV/INF/6 “Orientaciones para la redacción de leyes basadas en el Acta de 1991 del Convenio de la UPOV” (documento UPOV/INF/6/4), sobre la base de las modificaciones propuestas del documento UPOV/INF/</w:t>
      </w:r>
      <w:r w:rsidR="00F52A64">
        <w:rPr>
          <w:lang w:val="es-ES"/>
        </w:rPr>
        <w:t>6</w:t>
      </w:r>
      <w:r w:rsidR="00E87FDB" w:rsidRPr="0064555F">
        <w:rPr>
          <w:lang w:val="es-ES"/>
        </w:rPr>
        <w:t>/3, que se exponen en el Anexo IV del presente documento.</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u w:val="single"/>
          <w:lang w:val="es-ES"/>
        </w:rPr>
      </w:pPr>
      <w:r w:rsidRPr="0064555F">
        <w:rPr>
          <w:u w:val="single"/>
          <w:lang w:val="es-ES"/>
        </w:rPr>
        <w:t>UPOV/INF/12</w:t>
      </w:r>
      <w:proofErr w:type="gramStart"/>
      <w:r w:rsidRPr="0064555F">
        <w:rPr>
          <w:u w:val="single"/>
          <w:lang w:val="es-ES"/>
        </w:rPr>
        <w:t>:  Notas</w:t>
      </w:r>
      <w:proofErr w:type="gramEnd"/>
      <w:r w:rsidRPr="0064555F">
        <w:rPr>
          <w:u w:val="single"/>
          <w:lang w:val="es-ES"/>
        </w:rPr>
        <w:t xml:space="preserve"> explicativas sobre las denominaciones de variedades con arreglo al Convenio de la</w:t>
      </w:r>
      <w:r w:rsidR="00C53D97" w:rsidRPr="0064555F">
        <w:rPr>
          <w:u w:val="single"/>
          <w:lang w:val="es-ES"/>
        </w:rPr>
        <w:t> </w:t>
      </w:r>
      <w:r w:rsidRPr="0064555F">
        <w:rPr>
          <w:u w:val="single"/>
          <w:lang w:val="es-ES"/>
        </w:rPr>
        <w:t>UPOV (revisión) (documento C/49/14, Anexo III)</w:t>
      </w:r>
    </w:p>
    <w:p w:rsidR="00E87FDB" w:rsidRPr="0064555F" w:rsidRDefault="00E87FDB" w:rsidP="00E87FDB">
      <w:pPr>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TC, en su quincuagésima primera sesión, y el CAJ, en su septuagésima primera sesión, aprobaron las propuestas de revisión del documento UPOV/INF/12/4 “Notas explicativas sobre las denominaciones de variedades con arreglo al Convenio de la UPOV”, que se exponen en el Anexo III del presente documento (véanse</w:t>
      </w:r>
      <w:r w:rsidR="00F52A64">
        <w:rPr>
          <w:lang w:val="es-ES"/>
        </w:rPr>
        <w:t xml:space="preserve"> el párrafo 184 del</w:t>
      </w:r>
      <w:r w:rsidR="00E87FDB" w:rsidRPr="0064555F">
        <w:rPr>
          <w:lang w:val="es-ES"/>
        </w:rPr>
        <w:t xml:space="preserve"> documento TC/51/39 “Informe” </w:t>
      </w:r>
      <w:r w:rsidR="00F52A64">
        <w:rPr>
          <w:lang w:val="es-ES"/>
        </w:rPr>
        <w:t xml:space="preserve">y el </w:t>
      </w:r>
      <w:r w:rsidR="00F52A64" w:rsidRPr="0064555F">
        <w:rPr>
          <w:lang w:val="es-ES"/>
        </w:rPr>
        <w:t>párrafo 34</w:t>
      </w:r>
      <w:r w:rsidR="00F52A64">
        <w:rPr>
          <w:lang w:val="es-ES"/>
        </w:rPr>
        <w:t xml:space="preserve"> del documento </w:t>
      </w:r>
      <w:r w:rsidR="00E87FDB" w:rsidRPr="0064555F">
        <w:rPr>
          <w:lang w:val="es-ES"/>
        </w:rPr>
        <w:t>CAJ/71/10 “Informe sobre las conclusiones”).</w:t>
      </w:r>
    </w:p>
    <w:p w:rsidR="00E87FDB" w:rsidRPr="0064555F" w:rsidRDefault="00E87FDB" w:rsidP="00E87FDB">
      <w:pPr>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C53D97" w:rsidRPr="0064555F">
        <w:rPr>
          <w:lang w:val="es-ES"/>
        </w:rPr>
        <w:tab/>
        <w:t>Sobre esa base, el TC y el </w:t>
      </w:r>
      <w:r w:rsidR="00E87FDB" w:rsidRPr="0064555F">
        <w:rPr>
          <w:lang w:val="es-ES"/>
        </w:rPr>
        <w:t>CAJ convinieron en que la revisión del documento UPOV/INF/12/4 (documento UPOV/INF/12/5) se sometiera a la aprobación del Consejo en su cuadragésima novena sesión ordinaria.</w:t>
      </w:r>
    </w:p>
    <w:p w:rsidR="00E87FDB" w:rsidRPr="0064555F" w:rsidRDefault="00E87FDB" w:rsidP="00E87FDB">
      <w:pPr>
        <w:rPr>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Se invita al Consejo a aprobar la revisión del documento UPOV/INF/12/4 “Notas explicativas sobre las denominaciones de variedades con arreglo al Convenio de la UPOV” (documento UPOV/INF/12/5), basándose en las modificaciones propuestas en el Anexo III del presente documento.</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keepNext/>
        <w:rPr>
          <w:u w:val="single"/>
          <w:lang w:val="es-ES"/>
        </w:rPr>
      </w:pPr>
      <w:r w:rsidRPr="0064555F">
        <w:rPr>
          <w:u w:val="single"/>
          <w:lang w:val="es-ES"/>
        </w:rPr>
        <w:t>UPOV/INF/16</w:t>
      </w:r>
      <w:proofErr w:type="gramStart"/>
      <w:r w:rsidRPr="0064555F">
        <w:rPr>
          <w:u w:val="single"/>
          <w:lang w:val="es-ES"/>
        </w:rPr>
        <w:t>:  Programas</w:t>
      </w:r>
      <w:proofErr w:type="gramEnd"/>
      <w:r w:rsidRPr="0064555F">
        <w:rPr>
          <w:u w:val="single"/>
          <w:lang w:val="es-ES"/>
        </w:rPr>
        <w:t xml:space="preserve"> informáticos para intercambio (revisión) (documento UPOV/INF/16/5 </w:t>
      </w:r>
      <w:proofErr w:type="spellStart"/>
      <w:r w:rsidRPr="0064555F">
        <w:rPr>
          <w:u w:val="single"/>
          <w:lang w:val="es-ES"/>
        </w:rPr>
        <w:t>Draft</w:t>
      </w:r>
      <w:proofErr w:type="spellEnd"/>
      <w:r w:rsidRPr="0064555F">
        <w:rPr>
          <w:u w:val="single"/>
          <w:lang w:val="es-ES"/>
        </w:rPr>
        <w:t> 1)</w:t>
      </w:r>
    </w:p>
    <w:p w:rsidR="00E87FDB" w:rsidRPr="0064555F" w:rsidRDefault="00E87FDB" w:rsidP="00E87FDB">
      <w:pPr>
        <w:keepNext/>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El TC, en su quincuagésima primera sesión, y el CAJ, en su septuagésima primera sesión, aprobaron la propuesta de revisión del documento UPOV/INF/16/4 “Programas informáticos para intercambio” y convinieron en que se somet</w:t>
      </w:r>
      <w:r w:rsidR="006C5CD4">
        <w:rPr>
          <w:lang w:val="es-ES"/>
        </w:rPr>
        <w:t>iera</w:t>
      </w:r>
      <w:r w:rsidR="00E87FDB" w:rsidRPr="0064555F">
        <w:rPr>
          <w:lang w:val="es-ES"/>
        </w:rPr>
        <w:t xml:space="preserve"> a la aprobación del Consejo en su cuadragésima novena sesión ordinaria una versión revisada de ese documento (documento UPOV/INF/16/5 </w:t>
      </w:r>
      <w:proofErr w:type="spellStart"/>
      <w:r w:rsidR="00E87FDB" w:rsidRPr="0064555F">
        <w:rPr>
          <w:lang w:val="es-ES"/>
        </w:rPr>
        <w:t>Draft</w:t>
      </w:r>
      <w:proofErr w:type="spellEnd"/>
      <w:r w:rsidR="00E87FDB" w:rsidRPr="0064555F">
        <w:rPr>
          <w:lang w:val="es-ES"/>
        </w:rPr>
        <w:t> 1) (véanse los párrafos 206 y 207 del documento TC/51/39 “Informe” y los párrafos 58 y 59 del documento CAJ/71/10 “Informe sobre las conclusiones”).</w:t>
      </w:r>
    </w:p>
    <w:p w:rsidR="00E87FDB" w:rsidRPr="0064555F" w:rsidRDefault="00E87FDB" w:rsidP="00E87FDB">
      <w:pPr>
        <w:rPr>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 xml:space="preserve">Se invita al Consejo a aprobar la revisión del documento UPOV/INF/16/4 “Programas informáticos para intercambio” (documento UPOV/INF/16/5) sobre la base del documento UPOV/INF/16/5 </w:t>
      </w:r>
      <w:proofErr w:type="spellStart"/>
      <w:r w:rsidR="00E87FDB" w:rsidRPr="0064555F">
        <w:rPr>
          <w:lang w:val="es-ES"/>
        </w:rPr>
        <w:t>Draft</w:t>
      </w:r>
      <w:proofErr w:type="spellEnd"/>
      <w:r w:rsidR="00E87FDB" w:rsidRPr="0064555F">
        <w:rPr>
          <w:lang w:val="es-ES"/>
        </w:rPr>
        <w:t> 1.</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bCs/>
          <w:snapToGrid w:val="0"/>
          <w:spacing w:val="-4"/>
          <w:szCs w:val="24"/>
          <w:u w:val="single"/>
          <w:lang w:val="es-ES"/>
        </w:rPr>
      </w:pPr>
      <w:r w:rsidRPr="0064555F">
        <w:rPr>
          <w:snapToGrid w:val="0"/>
          <w:spacing w:val="-4"/>
          <w:u w:val="single"/>
          <w:lang w:val="es-ES"/>
        </w:rPr>
        <w:t>UPOV/INF/22</w:t>
      </w:r>
      <w:proofErr w:type="gramStart"/>
      <w:r w:rsidRPr="0064555F">
        <w:rPr>
          <w:snapToGrid w:val="0"/>
          <w:spacing w:val="-4"/>
          <w:u w:val="single"/>
          <w:lang w:val="es-ES"/>
        </w:rPr>
        <w:t>:  Programas</w:t>
      </w:r>
      <w:proofErr w:type="gramEnd"/>
      <w:r w:rsidRPr="0064555F">
        <w:rPr>
          <w:snapToGrid w:val="0"/>
          <w:spacing w:val="-4"/>
          <w:u w:val="single"/>
          <w:lang w:val="es-ES"/>
        </w:rPr>
        <w:t xml:space="preserve"> informáticos y equipos utilizados por los miembros de la Unión (revisión) (documento UPOV/INF/22/2 </w:t>
      </w:r>
      <w:proofErr w:type="spellStart"/>
      <w:r w:rsidRPr="0064555F">
        <w:rPr>
          <w:snapToGrid w:val="0"/>
          <w:spacing w:val="-4"/>
          <w:u w:val="single"/>
          <w:lang w:val="es-ES"/>
        </w:rPr>
        <w:t>Draft</w:t>
      </w:r>
      <w:proofErr w:type="spellEnd"/>
      <w:r w:rsidRPr="0064555F">
        <w:rPr>
          <w:snapToGrid w:val="0"/>
          <w:spacing w:val="-4"/>
          <w:u w:val="single"/>
          <w:lang w:val="es-ES"/>
        </w:rPr>
        <w:t> 1)</w:t>
      </w:r>
    </w:p>
    <w:p w:rsidR="00E87FDB" w:rsidRPr="0064555F" w:rsidRDefault="00E87FDB" w:rsidP="00E87FDB">
      <w:pPr>
        <w:keepNext/>
        <w:rPr>
          <w:bCs/>
          <w:snapToGrid w:val="0"/>
          <w:spacing w:val="-4"/>
          <w:szCs w:val="24"/>
          <w:lang w:val="es-ES"/>
        </w:rPr>
      </w:pPr>
    </w:p>
    <w:p w:rsidR="00E87FDB" w:rsidRPr="0064555F" w:rsidRDefault="00033F9F" w:rsidP="00E87FDB">
      <w:pPr>
        <w:rPr>
          <w:iCs/>
          <w:lang w:val="es-ES"/>
        </w:rPr>
      </w:pPr>
      <w:r w:rsidRPr="00294914">
        <w:rPr>
          <w:color w:val="000000"/>
        </w:rPr>
        <w:fldChar w:fldCharType="begin"/>
      </w:r>
      <w:r w:rsidR="00E87FDB" w:rsidRPr="0064555F">
        <w:rPr>
          <w:color w:val="000000"/>
          <w:lang w:val="es-ES"/>
        </w:rPr>
        <w:instrText xml:space="preserve"> AUTONUM  </w:instrText>
      </w:r>
      <w:r w:rsidRPr="00294914">
        <w:rPr>
          <w:color w:val="000000"/>
        </w:rPr>
        <w:fldChar w:fldCharType="end"/>
      </w:r>
      <w:r w:rsidR="00E87FDB" w:rsidRPr="0064555F">
        <w:rPr>
          <w:lang w:val="es-ES"/>
        </w:rPr>
        <w:tab/>
        <w:t xml:space="preserve">El TC, en su quincuagésima primera sesión, y el CAJ, en su septuagésima primera sesión, aprobaron las propuestas de revisión del texto del documento </w:t>
      </w:r>
      <w:r w:rsidR="00E87FDB" w:rsidRPr="0064555F">
        <w:rPr>
          <w:snapToGrid w:val="0"/>
          <w:lang w:val="es-ES"/>
        </w:rPr>
        <w:t xml:space="preserve">UPOV/INF/22 “Programas informáticos y equipos utilizados por los miembros de la Unión”, </w:t>
      </w:r>
      <w:r w:rsidR="00E87FDB" w:rsidRPr="0064555F">
        <w:rPr>
          <w:lang w:val="es-ES"/>
        </w:rPr>
        <w:t>con sujeción a las correcciones que ha de presentar Alemania y a la verificación de los datos proporcionados por el Uruguay.</w:t>
      </w:r>
    </w:p>
    <w:p w:rsidR="00E87FDB" w:rsidRPr="0064555F" w:rsidRDefault="00E87FDB" w:rsidP="00E87FDB">
      <w:pPr>
        <w:rPr>
          <w:iCs/>
          <w:lang w:val="es-ES"/>
        </w:rPr>
      </w:pPr>
    </w:p>
    <w:p w:rsidR="00E87FDB" w:rsidRPr="0064555F" w:rsidRDefault="00033F9F" w:rsidP="00E87FDB">
      <w:pPr>
        <w:rPr>
          <w:rFonts w:eastAsia="MS Mincho"/>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Sobre esa base, el TC y el CAJ convinieron en que el proyecto de documento UPOV/INF/22/2 se sometiera a la aprobación del Consejo en su cuadragésima novena sesión ordinaria (véanse los párrafos 209 y 210 del documento TC/51/39 “Informe” y los párrafos 61 y 62 del documento CAJ/71/10 “Informe sobre las conclusiones”).</w:t>
      </w:r>
    </w:p>
    <w:p w:rsidR="00E87FDB" w:rsidRPr="0064555F" w:rsidRDefault="00E87FDB" w:rsidP="00E87FDB">
      <w:pPr>
        <w:rPr>
          <w:rFonts w:eastAsia="MS Mincho"/>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 xml:space="preserve">Se invita al Consejo a aprobar la revisión del documento UPOV/INF/22/1 “Programas informáticos y equipos utilizados por los miembros de la Unión” (documento UPOV/INF/22/2), sobre la base del documento UPOV/INF/22/2 </w:t>
      </w:r>
      <w:proofErr w:type="spellStart"/>
      <w:r w:rsidR="00E87FDB" w:rsidRPr="0064555F">
        <w:rPr>
          <w:lang w:val="es-ES"/>
        </w:rPr>
        <w:t>Draft</w:t>
      </w:r>
      <w:proofErr w:type="spellEnd"/>
      <w:r w:rsidR="00E87FDB" w:rsidRPr="0064555F">
        <w:rPr>
          <w:lang w:val="es-ES"/>
        </w:rPr>
        <w:t> 1.</w:t>
      </w:r>
    </w:p>
    <w:p w:rsidR="00E87FDB" w:rsidRPr="0064555F" w:rsidRDefault="00E87FDB" w:rsidP="00E87FDB">
      <w:pPr>
        <w:tabs>
          <w:tab w:val="left" w:pos="1701"/>
        </w:tabs>
        <w:rPr>
          <w:spacing w:val="-2"/>
          <w:szCs w:val="24"/>
          <w:u w:val="single"/>
          <w:lang w:val="es-ES"/>
        </w:rPr>
      </w:pPr>
    </w:p>
    <w:p w:rsidR="00E87FDB" w:rsidRPr="0064555F" w:rsidRDefault="00E87FDB" w:rsidP="00E87FDB">
      <w:pPr>
        <w:keepNext/>
        <w:rPr>
          <w:u w:val="single"/>
          <w:lang w:val="es-ES"/>
        </w:rPr>
      </w:pPr>
      <w:r w:rsidRPr="0064555F">
        <w:rPr>
          <w:snapToGrid w:val="0"/>
          <w:u w:val="single"/>
          <w:lang w:val="es-ES"/>
        </w:rPr>
        <w:t>UPOV/INF-EXN</w:t>
      </w:r>
      <w:proofErr w:type="gramStart"/>
      <w:r w:rsidRPr="0064555F">
        <w:rPr>
          <w:snapToGrid w:val="0"/>
          <w:u w:val="single"/>
          <w:lang w:val="es-ES"/>
        </w:rPr>
        <w:t xml:space="preserve">:  </w:t>
      </w:r>
      <w:r w:rsidRPr="0064555F">
        <w:rPr>
          <w:u w:val="single"/>
          <w:lang w:val="es-ES"/>
        </w:rPr>
        <w:t>Lista</w:t>
      </w:r>
      <w:proofErr w:type="gramEnd"/>
      <w:r w:rsidRPr="0064555F">
        <w:rPr>
          <w:u w:val="single"/>
          <w:lang w:val="es-ES"/>
        </w:rPr>
        <w:t xml:space="preserve"> de documentos UPOV/INF-EXN y fechas de última publicación (revisión) (documento UPOV/INF</w:t>
      </w:r>
      <w:r w:rsidRPr="0064555F">
        <w:rPr>
          <w:u w:val="single"/>
          <w:lang w:val="es-ES"/>
        </w:rPr>
        <w:noBreakHyphen/>
        <w:t>EXN/8 </w:t>
      </w:r>
      <w:proofErr w:type="spellStart"/>
      <w:r w:rsidRPr="0064555F">
        <w:rPr>
          <w:u w:val="single"/>
          <w:lang w:val="es-ES"/>
        </w:rPr>
        <w:t>Draft</w:t>
      </w:r>
      <w:proofErr w:type="spellEnd"/>
      <w:r w:rsidRPr="0064555F">
        <w:rPr>
          <w:u w:val="single"/>
          <w:lang w:val="es-ES"/>
        </w:rPr>
        <w:t> 1)</w:t>
      </w:r>
    </w:p>
    <w:p w:rsidR="00E87FDB" w:rsidRPr="0064555F" w:rsidRDefault="00E87FDB" w:rsidP="00E87FDB">
      <w:pPr>
        <w:keepNext/>
        <w:rPr>
          <w:lang w:val="es-ES"/>
        </w:rPr>
      </w:pPr>
    </w:p>
    <w:p w:rsidR="00E87FDB" w:rsidRPr="0064555F" w:rsidRDefault="00033F9F" w:rsidP="00E87FDB">
      <w:pPr>
        <w:rPr>
          <w:lang w:val="es-ES"/>
        </w:rPr>
      </w:pPr>
      <w:r w:rsidRPr="00294914">
        <w:fldChar w:fldCharType="begin"/>
      </w:r>
      <w:r w:rsidR="00E87FDB" w:rsidRPr="0064555F">
        <w:rPr>
          <w:lang w:val="es-ES"/>
        </w:rPr>
        <w:instrText xml:space="preserve"> AUTONUM  </w:instrText>
      </w:r>
      <w:r w:rsidRPr="00294914">
        <w:fldChar w:fldCharType="end"/>
      </w:r>
      <w:r w:rsidR="00543169" w:rsidRPr="0064555F">
        <w:rPr>
          <w:lang w:val="es-ES"/>
        </w:rPr>
        <w:tab/>
      </w:r>
      <w:r w:rsidR="00E87FDB" w:rsidRPr="0064555F">
        <w:rPr>
          <w:lang w:val="es-ES"/>
        </w:rPr>
        <w:t>Junto con los documentos de información que se someterán a la aprobación del Consejo en su cuadragésima novena sesión ordinaria, se propone aprobar la revisión del documento UPOV/INF</w:t>
      </w:r>
      <w:r w:rsidR="00E87FDB" w:rsidRPr="0064555F">
        <w:rPr>
          <w:lang w:val="es-ES"/>
        </w:rPr>
        <w:noBreakHyphen/>
        <w:t>EXN/</w:t>
      </w:r>
      <w:r w:rsidR="00167617">
        <w:rPr>
          <w:lang w:val="es-ES"/>
        </w:rPr>
        <w:t>7</w:t>
      </w:r>
      <w:r w:rsidR="00E87FDB" w:rsidRPr="0064555F">
        <w:rPr>
          <w:lang w:val="es-ES"/>
        </w:rPr>
        <w:t xml:space="preserve"> “Lista de documentos UPOV/INF</w:t>
      </w:r>
      <w:r w:rsidR="00E87FDB" w:rsidRPr="0064555F">
        <w:rPr>
          <w:lang w:val="es-ES"/>
        </w:rPr>
        <w:noBreakHyphen/>
        <w:t>EXN y fechas de última publicación” sobre la base del documento UPOV/INF</w:t>
      </w:r>
      <w:r w:rsidR="00E87FDB" w:rsidRPr="0064555F">
        <w:rPr>
          <w:lang w:val="es-ES"/>
        </w:rPr>
        <w:noBreakHyphen/>
        <w:t>EXN/8 </w:t>
      </w:r>
      <w:proofErr w:type="spellStart"/>
      <w:r w:rsidR="00E87FDB" w:rsidRPr="0064555F">
        <w:rPr>
          <w:lang w:val="es-ES"/>
        </w:rPr>
        <w:t>Draft</w:t>
      </w:r>
      <w:proofErr w:type="spellEnd"/>
      <w:r w:rsidR="00E87FDB" w:rsidRPr="0064555F">
        <w:rPr>
          <w:lang w:val="es-ES"/>
        </w:rPr>
        <w:t> 1.</w:t>
      </w:r>
    </w:p>
    <w:p w:rsidR="00E87FDB" w:rsidRPr="0064555F" w:rsidRDefault="00E87FDB" w:rsidP="00E87FDB">
      <w:pPr>
        <w:rPr>
          <w:lang w:val="es-ES"/>
        </w:rPr>
      </w:pPr>
    </w:p>
    <w:p w:rsidR="00E87FDB" w:rsidRPr="0064555F" w:rsidRDefault="00033F9F" w:rsidP="00E87FDB">
      <w:pPr>
        <w:pStyle w:val="DecisionParagraphs"/>
        <w:rPr>
          <w:lang w:val="es-ES"/>
        </w:rPr>
      </w:pPr>
      <w:r w:rsidRPr="00294914">
        <w:fldChar w:fldCharType="begin"/>
      </w:r>
      <w:r w:rsidR="00E87FDB" w:rsidRPr="0064555F">
        <w:rPr>
          <w:lang w:val="es-ES"/>
        </w:rPr>
        <w:instrText xml:space="preserve"> AUTONUM  </w:instrText>
      </w:r>
      <w:r w:rsidRPr="00294914">
        <w:fldChar w:fldCharType="end"/>
      </w:r>
      <w:r w:rsidR="00E87FDB" w:rsidRPr="0064555F">
        <w:rPr>
          <w:lang w:val="es-ES"/>
        </w:rPr>
        <w:tab/>
        <w:t>Se invita al Consejo a aprobar la revisión del</w:t>
      </w:r>
      <w:r w:rsidR="00543169" w:rsidRPr="0064555F">
        <w:rPr>
          <w:lang w:val="es-ES"/>
        </w:rPr>
        <w:t xml:space="preserve"> </w:t>
      </w:r>
      <w:r w:rsidR="00F16E06">
        <w:rPr>
          <w:lang w:val="es-ES"/>
        </w:rPr>
        <w:t xml:space="preserve">documento </w:t>
      </w:r>
      <w:r w:rsidR="00E87FDB" w:rsidRPr="0064555F">
        <w:rPr>
          <w:lang w:val="es-ES"/>
        </w:rPr>
        <w:t>UPOV</w:t>
      </w:r>
      <w:r w:rsidR="00F16E06">
        <w:rPr>
          <w:lang w:val="es-ES"/>
        </w:rPr>
        <w:t xml:space="preserve">/INF-EXN/7 “Lista de documentos </w:t>
      </w:r>
      <w:r w:rsidR="00E87FDB" w:rsidRPr="0064555F">
        <w:rPr>
          <w:lang w:val="es-ES"/>
        </w:rPr>
        <w:t>UPOV/INF</w:t>
      </w:r>
      <w:r w:rsidR="00E87FDB" w:rsidRPr="0064555F">
        <w:rPr>
          <w:lang w:val="es-ES"/>
        </w:rPr>
        <w:noBreakHyphen/>
        <w:t>EXN y fechas de última publicación” (documento UPOV/INF-EXN/8) sobre la base del documento UPOV/INF</w:t>
      </w:r>
      <w:r w:rsidR="008C1449">
        <w:rPr>
          <w:lang w:val="es-ES"/>
        </w:rPr>
        <w:t>-</w:t>
      </w:r>
      <w:r w:rsidR="00E87FDB" w:rsidRPr="0064555F">
        <w:rPr>
          <w:lang w:val="es-ES"/>
        </w:rPr>
        <w:t>EXN/8 </w:t>
      </w:r>
      <w:proofErr w:type="spellStart"/>
      <w:r w:rsidR="00E87FDB" w:rsidRPr="0064555F">
        <w:rPr>
          <w:lang w:val="es-ES"/>
        </w:rPr>
        <w:t>Draft</w:t>
      </w:r>
      <w:proofErr w:type="spellEnd"/>
      <w:r w:rsidR="00E87FDB" w:rsidRPr="0064555F">
        <w:rPr>
          <w:lang w:val="es-ES"/>
        </w:rPr>
        <w:t> 1.</w:t>
      </w:r>
    </w:p>
    <w:p w:rsidR="00E87FDB" w:rsidRPr="0064555F" w:rsidRDefault="00E87FDB" w:rsidP="00E87FDB">
      <w:pPr>
        <w:rPr>
          <w:snapToGrid w:val="0"/>
          <w:lang w:val="es-ES"/>
        </w:rPr>
      </w:pPr>
    </w:p>
    <w:p w:rsidR="00E87FDB" w:rsidRPr="0064555F" w:rsidRDefault="00E87FDB" w:rsidP="00E87FDB">
      <w:pPr>
        <w:rPr>
          <w:snapToGrid w:val="0"/>
          <w:lang w:val="es-ES"/>
        </w:rPr>
      </w:pPr>
    </w:p>
    <w:p w:rsidR="00E87FDB" w:rsidRPr="0064555F" w:rsidRDefault="00E87FDB" w:rsidP="00E87FDB">
      <w:pPr>
        <w:tabs>
          <w:tab w:val="left" w:pos="1701"/>
        </w:tabs>
        <w:rPr>
          <w:spacing w:val="-2"/>
          <w:szCs w:val="24"/>
          <w:u w:val="single"/>
          <w:lang w:val="es-ES"/>
        </w:rPr>
      </w:pPr>
    </w:p>
    <w:p w:rsidR="00E87FDB" w:rsidRPr="0064555F" w:rsidRDefault="00E87FDB" w:rsidP="00E87FDB">
      <w:pPr>
        <w:jc w:val="right"/>
        <w:rPr>
          <w:lang w:val="es-ES"/>
        </w:rPr>
      </w:pPr>
      <w:r w:rsidRPr="0064555F">
        <w:rPr>
          <w:lang w:val="es-ES"/>
        </w:rPr>
        <w:t>[Siguen los Anexos]</w:t>
      </w:r>
    </w:p>
    <w:p w:rsidR="00E87FDB" w:rsidRPr="0064555F" w:rsidRDefault="00E87FDB" w:rsidP="00E87FDB">
      <w:pPr>
        <w:rPr>
          <w:lang w:val="es-ES"/>
        </w:rPr>
      </w:pPr>
    </w:p>
    <w:p w:rsidR="00E87FDB" w:rsidRPr="0064555F" w:rsidRDefault="00E87FDB" w:rsidP="00E87FDB">
      <w:pPr>
        <w:rPr>
          <w:lang w:val="es-ES"/>
        </w:rPr>
        <w:sectPr w:rsidR="00E87FDB" w:rsidRPr="0064555F" w:rsidSect="00906DDC">
          <w:headerReference w:type="default" r:id="rId8"/>
          <w:pgSz w:w="11907" w:h="16840" w:code="9"/>
          <w:pgMar w:top="510" w:right="1134" w:bottom="1134" w:left="1134" w:header="510" w:footer="680" w:gutter="0"/>
          <w:cols w:space="720"/>
          <w:titlePg/>
        </w:sectPr>
      </w:pPr>
    </w:p>
    <w:p w:rsidR="00E87FDB" w:rsidRPr="0064555F" w:rsidRDefault="00E87FDB" w:rsidP="00E87FDB">
      <w:pPr>
        <w:jc w:val="center"/>
        <w:rPr>
          <w:lang w:val="es-ES"/>
        </w:rPr>
      </w:pPr>
      <w:r w:rsidRPr="0064555F">
        <w:rPr>
          <w:lang w:val="es-ES"/>
        </w:rPr>
        <w:t>PROPUESTAS DE MODIFICACIÓN DEL</w:t>
      </w:r>
    </w:p>
    <w:p w:rsidR="00E87FDB" w:rsidRPr="0064555F" w:rsidRDefault="00E87FDB" w:rsidP="00E87FDB">
      <w:pPr>
        <w:jc w:val="center"/>
        <w:rPr>
          <w:bCs/>
          <w:snapToGrid w:val="0"/>
          <w:szCs w:val="24"/>
          <w:lang w:val="es-ES"/>
        </w:rPr>
      </w:pPr>
      <w:r w:rsidRPr="0064555F">
        <w:rPr>
          <w:lang w:val="es-ES"/>
        </w:rPr>
        <w:t>DOCUMENTO TGP/5 “</w:t>
      </w:r>
      <w:r w:rsidRPr="0064555F">
        <w:rPr>
          <w:snapToGrid w:val="0"/>
          <w:lang w:val="es-ES"/>
        </w:rPr>
        <w:t>EXPERIENCIA Y COOPERACIÓN EN EL EXAMEN DHE”</w:t>
      </w:r>
    </w:p>
    <w:p w:rsidR="00E87FDB" w:rsidRPr="0064555F" w:rsidRDefault="00E87FDB" w:rsidP="00E87FDB">
      <w:pPr>
        <w:jc w:val="center"/>
        <w:rPr>
          <w:lang w:val="es-ES"/>
        </w:rPr>
      </w:pPr>
    </w:p>
    <w:p w:rsidR="00E87FDB" w:rsidRPr="0064555F" w:rsidRDefault="00E87FDB" w:rsidP="00E87FDB">
      <w:pPr>
        <w:jc w:val="center"/>
        <w:rPr>
          <w:lang w:val="es-ES"/>
        </w:rPr>
      </w:pPr>
    </w:p>
    <w:p w:rsidR="00E87FDB" w:rsidRPr="0064555F" w:rsidRDefault="00E87FDB" w:rsidP="00E87FDB">
      <w:pPr>
        <w:jc w:val="center"/>
        <w:rPr>
          <w:lang w:val="es-ES"/>
        </w:rPr>
      </w:pPr>
    </w:p>
    <w:p w:rsidR="00E87FDB" w:rsidRPr="0064555F" w:rsidRDefault="00E87FDB" w:rsidP="00E87FDB">
      <w:pPr>
        <w:pStyle w:val="Heading4"/>
        <w:rPr>
          <w:lang w:val="es-ES"/>
        </w:rPr>
      </w:pPr>
      <w:bookmarkStart w:id="6" w:name="_Toc412193736"/>
      <w:r w:rsidRPr="0064555F">
        <w:rPr>
          <w:lang w:val="es-ES"/>
        </w:rPr>
        <w:t>i)</w:t>
      </w:r>
      <w:r w:rsidRPr="0064555F">
        <w:rPr>
          <w:lang w:val="es-ES"/>
        </w:rPr>
        <w:tab/>
        <w:t>Revisión del documento TGP/5</w:t>
      </w:r>
      <w:proofErr w:type="gramStart"/>
      <w:r w:rsidR="00662220" w:rsidRPr="0064555F">
        <w:rPr>
          <w:lang w:val="es-ES"/>
        </w:rPr>
        <w:t xml:space="preserve">:  </w:t>
      </w:r>
      <w:r w:rsidRPr="0064555F">
        <w:rPr>
          <w:lang w:val="es-ES"/>
        </w:rPr>
        <w:t>Sección</w:t>
      </w:r>
      <w:proofErr w:type="gramEnd"/>
      <w:r w:rsidRPr="0064555F">
        <w:rPr>
          <w:lang w:val="es-ES"/>
        </w:rPr>
        <w:t xml:space="preserve"> 3</w:t>
      </w:r>
      <w:r w:rsidR="00662220" w:rsidRPr="0064555F">
        <w:rPr>
          <w:lang w:val="es-ES"/>
        </w:rPr>
        <w:t xml:space="preserve">:  </w:t>
      </w:r>
      <w:r w:rsidRPr="0064555F">
        <w:rPr>
          <w:lang w:val="es-ES"/>
        </w:rPr>
        <w:t>Cuestionario técnico que ha de completarse junto con la solicitud de derechos de obtentor</w:t>
      </w:r>
      <w:bookmarkEnd w:id="6"/>
    </w:p>
    <w:p w:rsidR="00E87FDB" w:rsidRPr="0064555F" w:rsidRDefault="00E87FDB" w:rsidP="00E87FDB">
      <w:pPr>
        <w:rPr>
          <w:lang w:val="es-ES"/>
        </w:rPr>
      </w:pPr>
    </w:p>
    <w:p w:rsidR="00E87FDB" w:rsidRPr="0064555F" w:rsidRDefault="00E87FDB" w:rsidP="00E87FDB">
      <w:pPr>
        <w:rPr>
          <w:lang w:val="es-ES"/>
        </w:rPr>
      </w:pPr>
      <w:r w:rsidRPr="0064555F">
        <w:rPr>
          <w:lang w:val="es-ES"/>
        </w:rPr>
        <w:tab/>
      </w:r>
      <w:r w:rsidR="00543169" w:rsidRPr="0064555F">
        <w:rPr>
          <w:lang w:val="es-ES"/>
        </w:rPr>
        <w:t>El texto p</w:t>
      </w:r>
      <w:r w:rsidR="008C1449">
        <w:rPr>
          <w:lang w:val="es-ES"/>
        </w:rPr>
        <w:t>ropuesto para la Sección 3 del d</w:t>
      </w:r>
      <w:r w:rsidR="00543169" w:rsidRPr="0064555F">
        <w:rPr>
          <w:lang w:val="es-ES"/>
        </w:rPr>
        <w:t>ocumento TGP/5 es</w:t>
      </w:r>
      <w:r w:rsidRPr="0064555F">
        <w:rPr>
          <w:lang w:val="es-ES"/>
        </w:rPr>
        <w:t xml:space="preserve"> el siguiente:</w:t>
      </w:r>
    </w:p>
    <w:p w:rsidR="00E87FDB" w:rsidRPr="0064555F" w:rsidRDefault="00E87FDB" w:rsidP="00E87FDB">
      <w:pPr>
        <w:rPr>
          <w:lang w:val="es-ES"/>
        </w:rPr>
      </w:pPr>
    </w:p>
    <w:p w:rsidR="00E87FDB" w:rsidRPr="0064555F" w:rsidRDefault="00E87FDB" w:rsidP="00E87FDB">
      <w:pPr>
        <w:ind w:left="567" w:right="567" w:firstLine="567"/>
        <w:rPr>
          <w:sz w:val="18"/>
          <w:lang w:val="es-ES"/>
        </w:rPr>
      </w:pPr>
      <w:r w:rsidRPr="0064555F">
        <w:rPr>
          <w:sz w:val="18"/>
          <w:lang w:val="es-ES"/>
        </w:rPr>
        <w:t>“En el Capítulo 10 del Anexo I</w:t>
      </w:r>
      <w:proofErr w:type="gramStart"/>
      <w:r w:rsidR="00662220" w:rsidRPr="0064555F">
        <w:rPr>
          <w:sz w:val="18"/>
          <w:lang w:val="es-ES"/>
        </w:rPr>
        <w:t xml:space="preserve">:  </w:t>
      </w:r>
      <w:r w:rsidRPr="0064555F">
        <w:rPr>
          <w:sz w:val="18"/>
          <w:lang w:val="es-ES"/>
        </w:rPr>
        <w:t>Plantilla</w:t>
      </w:r>
      <w:proofErr w:type="gramEnd"/>
      <w:r w:rsidRPr="0064555F">
        <w:rPr>
          <w:sz w:val="18"/>
          <w:lang w:val="es-ES"/>
        </w:rPr>
        <w:t xml:space="preserve"> de los documentos TG del documento TGP/7, ‘Elaboración de las directrices de examen’, figura un cuestionario técnico tipo.  </w:t>
      </w:r>
      <w:r w:rsidRPr="0064555F">
        <w:rPr>
          <w:lang w:val="es-ES"/>
        </w:rPr>
        <w:t>Las directrices de examen de la UPOV</w:t>
      </w:r>
      <w:r w:rsidRPr="0064555F">
        <w:rPr>
          <w:sz w:val="18"/>
          <w:lang w:val="es-ES"/>
        </w:rPr>
        <w:t xml:space="preserve"> (</w:t>
      </w:r>
      <w:hyperlink r:id="rId9">
        <w:r w:rsidRPr="0064555F">
          <w:rPr>
            <w:rStyle w:val="Hyperlink"/>
            <w:sz w:val="18"/>
            <w:lang w:val="es-ES"/>
          </w:rPr>
          <w:t>http://www.upov.int/edocs/tgpdocs/es/tgp_7.pdf</w:t>
        </w:r>
      </w:hyperlink>
      <w:r w:rsidRPr="0064555F">
        <w:rPr>
          <w:sz w:val="18"/>
          <w:lang w:val="es-ES"/>
        </w:rPr>
        <w:t>)</w:t>
      </w:r>
      <w:r w:rsidRPr="0064555F">
        <w:rPr>
          <w:lang w:val="es-ES"/>
        </w:rPr>
        <w:t xml:space="preserve"> incluyen, en el Capítulo 10, un cuestionario técnico destinado específicamente a variedades cubiertas por esas directrices de examen.”</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pStyle w:val="Heading4"/>
        <w:rPr>
          <w:lang w:val="es-ES"/>
        </w:rPr>
      </w:pPr>
      <w:r w:rsidRPr="0064555F">
        <w:rPr>
          <w:lang w:val="es-ES"/>
        </w:rPr>
        <w:t>ii)</w:t>
      </w:r>
      <w:r w:rsidRPr="0064555F">
        <w:rPr>
          <w:lang w:val="es-ES"/>
        </w:rPr>
        <w:tab/>
        <w:t>Revisión del documento TGP/5</w:t>
      </w:r>
      <w:proofErr w:type="gramStart"/>
      <w:r w:rsidR="00662220" w:rsidRPr="0064555F">
        <w:rPr>
          <w:lang w:val="es-ES"/>
        </w:rPr>
        <w:t xml:space="preserve">:  </w:t>
      </w:r>
      <w:r w:rsidRPr="0064555F">
        <w:rPr>
          <w:lang w:val="es-ES"/>
        </w:rPr>
        <w:t>Sección</w:t>
      </w:r>
      <w:proofErr w:type="gramEnd"/>
      <w:r w:rsidRPr="0064555F">
        <w:rPr>
          <w:lang w:val="es-ES"/>
        </w:rPr>
        <w:t xml:space="preserve"> 8</w:t>
      </w:r>
      <w:r w:rsidR="00662220" w:rsidRPr="0064555F">
        <w:rPr>
          <w:lang w:val="es-ES"/>
        </w:rPr>
        <w:t xml:space="preserve">:  </w:t>
      </w:r>
      <w:r w:rsidRPr="0064555F">
        <w:rPr>
          <w:lang w:val="es-ES"/>
        </w:rPr>
        <w:t>Cooperación en el examen</w:t>
      </w:r>
    </w:p>
    <w:p w:rsidR="00E87FDB" w:rsidRPr="0064555F" w:rsidRDefault="00E87FDB" w:rsidP="00E87FDB">
      <w:pPr>
        <w:rPr>
          <w:lang w:val="es-ES"/>
        </w:rPr>
      </w:pPr>
    </w:p>
    <w:p w:rsidR="00E87FDB" w:rsidRPr="0064555F" w:rsidRDefault="00E87FDB" w:rsidP="00E87FDB">
      <w:pPr>
        <w:rPr>
          <w:lang w:val="es-ES"/>
        </w:rPr>
      </w:pPr>
      <w:r w:rsidRPr="0064555F">
        <w:rPr>
          <w:lang w:val="es-ES"/>
        </w:rPr>
        <w:tab/>
      </w:r>
      <w:r w:rsidR="00543169" w:rsidRPr="0064555F">
        <w:rPr>
          <w:lang w:val="es-ES"/>
        </w:rPr>
        <w:t>El texto p</w:t>
      </w:r>
      <w:r w:rsidR="004B5DC9">
        <w:rPr>
          <w:lang w:val="es-ES"/>
        </w:rPr>
        <w:t>ropuesto para la Sección 8 del d</w:t>
      </w:r>
      <w:r w:rsidR="00543169" w:rsidRPr="0064555F">
        <w:rPr>
          <w:lang w:val="es-ES"/>
        </w:rPr>
        <w:t>ocumento TGP/5</w:t>
      </w:r>
      <w:r w:rsidRPr="0064555F">
        <w:rPr>
          <w:lang w:val="es-ES"/>
        </w:rPr>
        <w:t xml:space="preserve"> </w:t>
      </w:r>
      <w:r w:rsidR="00543169" w:rsidRPr="0064555F">
        <w:rPr>
          <w:lang w:val="es-ES"/>
        </w:rPr>
        <w:t>es</w:t>
      </w:r>
      <w:r w:rsidRPr="0064555F">
        <w:rPr>
          <w:lang w:val="es-ES"/>
        </w:rPr>
        <w:t xml:space="preserve"> el siguiente:</w:t>
      </w:r>
    </w:p>
    <w:p w:rsidR="00E87FDB" w:rsidRPr="0064555F" w:rsidRDefault="00E87FDB" w:rsidP="00E87FDB">
      <w:pPr>
        <w:rPr>
          <w:lang w:val="es-ES"/>
        </w:rPr>
      </w:pPr>
    </w:p>
    <w:p w:rsidR="00E87FDB" w:rsidRPr="0064555F" w:rsidRDefault="00E87FDB" w:rsidP="00E87FDB">
      <w:pPr>
        <w:ind w:left="567" w:right="567"/>
        <w:rPr>
          <w:sz w:val="18"/>
          <w:lang w:val="es-ES"/>
        </w:rPr>
      </w:pPr>
      <w:r w:rsidRPr="0064555F">
        <w:rPr>
          <w:lang w:val="es-ES"/>
        </w:rPr>
        <w:tab/>
      </w:r>
      <w:r w:rsidRPr="0064555F">
        <w:rPr>
          <w:sz w:val="18"/>
          <w:lang w:val="es-ES"/>
        </w:rPr>
        <w:t>“Un resumen de las actividades de cooperación en materia de examen entre las autoridades figura en forma de documento del Consejo:</w:t>
      </w:r>
    </w:p>
    <w:p w:rsidR="00E87FDB" w:rsidRPr="0064555F" w:rsidRDefault="00E87FDB" w:rsidP="00E87FDB">
      <w:pPr>
        <w:ind w:left="567" w:right="567"/>
        <w:rPr>
          <w:sz w:val="18"/>
          <w:lang w:val="es-ES"/>
        </w:rPr>
      </w:pPr>
    </w:p>
    <w:p w:rsidR="00E87FDB" w:rsidRPr="0064555F" w:rsidRDefault="00E87FDB" w:rsidP="00E87FDB">
      <w:pPr>
        <w:ind w:left="567" w:right="567" w:firstLine="567"/>
        <w:rPr>
          <w:sz w:val="18"/>
          <w:lang w:val="es-ES"/>
        </w:rPr>
      </w:pPr>
      <w:r w:rsidRPr="0064555F">
        <w:rPr>
          <w:sz w:val="18"/>
          <w:lang w:val="es-ES"/>
        </w:rPr>
        <w:t>“C</w:t>
      </w:r>
      <w:proofErr w:type="gramStart"/>
      <w:r w:rsidRPr="0064555F">
        <w:rPr>
          <w:sz w:val="18"/>
          <w:lang w:val="es-ES"/>
        </w:rPr>
        <w:t>/[</w:t>
      </w:r>
      <w:proofErr w:type="gramEnd"/>
      <w:r w:rsidRPr="0064555F">
        <w:rPr>
          <w:sz w:val="18"/>
          <w:lang w:val="es-ES"/>
        </w:rPr>
        <w:t>sesión]/5 (por ejemplo, C/</w:t>
      </w:r>
      <w:r w:rsidRPr="004B5DC9">
        <w:rPr>
          <w:sz w:val="18"/>
          <w:lang w:val="es-ES"/>
        </w:rPr>
        <w:t>49</w:t>
      </w:r>
      <w:r w:rsidRPr="0064555F">
        <w:rPr>
          <w:sz w:val="18"/>
          <w:lang w:val="es-ES"/>
        </w:rPr>
        <w:t>/5),</w:t>
      </w:r>
      <w:r w:rsidRPr="0064555F">
        <w:rPr>
          <w:lang w:val="es-ES"/>
        </w:rPr>
        <w:t xml:space="preserve"> (</w:t>
      </w:r>
      <w:hyperlink r:id="rId10">
        <w:r w:rsidRPr="0064555F">
          <w:rPr>
            <w:rStyle w:val="Hyperlink"/>
            <w:sz w:val="18"/>
            <w:lang w:val="es-ES"/>
          </w:rPr>
          <w:t>http://www.upov.int/meetings/es/topic.jsp?group_id=251</w:t>
        </w:r>
      </w:hyperlink>
      <w:r w:rsidRPr="0064555F">
        <w:rPr>
          <w:lang w:val="es-ES"/>
        </w:rPr>
        <w:t>)</w:t>
      </w:r>
      <w:r w:rsidRPr="0064555F">
        <w:rPr>
          <w:sz w:val="18"/>
          <w:lang w:val="es-ES"/>
        </w:rPr>
        <w:t>.”</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pStyle w:val="Heading4"/>
        <w:rPr>
          <w:lang w:val="es-ES"/>
        </w:rPr>
      </w:pPr>
      <w:r w:rsidRPr="0064555F">
        <w:rPr>
          <w:lang w:val="es-ES"/>
        </w:rPr>
        <w:t>iii)</w:t>
      </w:r>
      <w:r w:rsidRPr="0064555F">
        <w:rPr>
          <w:lang w:val="es-ES"/>
        </w:rPr>
        <w:tab/>
        <w:t>Revisión del documento TGP/5</w:t>
      </w:r>
      <w:proofErr w:type="gramStart"/>
      <w:r w:rsidR="00662220" w:rsidRPr="0064555F">
        <w:rPr>
          <w:lang w:val="es-ES"/>
        </w:rPr>
        <w:t xml:space="preserve">:  </w:t>
      </w:r>
      <w:r w:rsidRPr="0064555F">
        <w:rPr>
          <w:lang w:val="es-ES"/>
        </w:rPr>
        <w:t>Sección</w:t>
      </w:r>
      <w:proofErr w:type="gramEnd"/>
      <w:r w:rsidRPr="0064555F">
        <w:rPr>
          <w:lang w:val="es-ES"/>
        </w:rPr>
        <w:t> 9</w:t>
      </w:r>
      <w:r w:rsidR="00662220" w:rsidRPr="0064555F">
        <w:rPr>
          <w:lang w:val="es-ES"/>
        </w:rPr>
        <w:t xml:space="preserve">:  </w:t>
      </w:r>
      <w:r w:rsidRPr="0064555F">
        <w:rPr>
          <w:lang w:val="es-ES"/>
        </w:rPr>
        <w:t>Listado de las especies respecto de las que se han adquirido conocimientos prácticos o para las que se han establecido directrices de examen nacionales</w:t>
      </w:r>
    </w:p>
    <w:p w:rsidR="00E87FDB" w:rsidRPr="0064555F" w:rsidRDefault="00E87FDB" w:rsidP="00E87FDB">
      <w:pPr>
        <w:keepNext/>
        <w:rPr>
          <w:lang w:val="es-ES"/>
        </w:rPr>
      </w:pPr>
    </w:p>
    <w:p w:rsidR="00E87FDB" w:rsidRPr="0064555F" w:rsidRDefault="00E87FDB" w:rsidP="00E87FDB">
      <w:pPr>
        <w:rPr>
          <w:lang w:val="es-ES"/>
        </w:rPr>
      </w:pPr>
      <w:r w:rsidRPr="0064555F">
        <w:rPr>
          <w:lang w:val="es-ES"/>
        </w:rPr>
        <w:tab/>
      </w:r>
      <w:r w:rsidR="00543169" w:rsidRPr="0064555F">
        <w:rPr>
          <w:lang w:val="es-ES"/>
        </w:rPr>
        <w:t xml:space="preserve">El texto propuesto para la Sección 9 del </w:t>
      </w:r>
      <w:r w:rsidRPr="0064555F">
        <w:rPr>
          <w:lang w:val="es-ES"/>
        </w:rPr>
        <w:t>Documento TGP/5</w:t>
      </w:r>
      <w:r w:rsidR="00543169" w:rsidRPr="0064555F">
        <w:rPr>
          <w:lang w:val="es-ES"/>
        </w:rPr>
        <w:t xml:space="preserve"> es</w:t>
      </w:r>
      <w:r w:rsidRPr="0064555F">
        <w:rPr>
          <w:lang w:val="es-ES"/>
        </w:rPr>
        <w:t xml:space="preserve"> el siguiente:</w:t>
      </w:r>
    </w:p>
    <w:p w:rsidR="00E87FDB" w:rsidRPr="0064555F" w:rsidRDefault="00E87FDB" w:rsidP="00E87FDB">
      <w:pPr>
        <w:rPr>
          <w:lang w:val="es-ES"/>
        </w:rPr>
      </w:pPr>
    </w:p>
    <w:p w:rsidR="00E87FDB" w:rsidRPr="0064555F" w:rsidRDefault="00E87FDB" w:rsidP="00E87FDB">
      <w:pPr>
        <w:ind w:left="567" w:right="567" w:firstLine="567"/>
        <w:rPr>
          <w:sz w:val="18"/>
          <w:lang w:val="es-ES"/>
        </w:rPr>
      </w:pPr>
      <w:r w:rsidRPr="0064555F">
        <w:rPr>
          <w:sz w:val="18"/>
          <w:lang w:val="es-ES"/>
        </w:rPr>
        <w:t>“Una lista de géneros y especies respecto de las que se han adquirido conocimientos prácticos o para las que se han establecido directrices de examen nacionales figura en el documento del Comité Técnico:</w:t>
      </w:r>
    </w:p>
    <w:p w:rsidR="00E87FDB" w:rsidRPr="0064555F" w:rsidRDefault="00E87FDB" w:rsidP="00E87FDB">
      <w:pPr>
        <w:ind w:left="567" w:right="567"/>
        <w:rPr>
          <w:sz w:val="18"/>
          <w:lang w:val="es-ES"/>
        </w:rPr>
      </w:pPr>
    </w:p>
    <w:p w:rsidR="00E87FDB" w:rsidRPr="0064555F" w:rsidRDefault="00E87FDB" w:rsidP="00E87FDB">
      <w:pPr>
        <w:ind w:left="567" w:right="567" w:firstLine="567"/>
        <w:rPr>
          <w:sz w:val="18"/>
          <w:lang w:val="es-ES"/>
        </w:rPr>
      </w:pPr>
      <w:r w:rsidRPr="00241317">
        <w:rPr>
          <w:sz w:val="18"/>
          <w:lang w:val="es-ES"/>
        </w:rPr>
        <w:t>“TC</w:t>
      </w:r>
      <w:proofErr w:type="gramStart"/>
      <w:r w:rsidRPr="00241317">
        <w:rPr>
          <w:sz w:val="18"/>
          <w:lang w:val="es-ES"/>
        </w:rPr>
        <w:t>/[</w:t>
      </w:r>
      <w:proofErr w:type="gramEnd"/>
      <w:r w:rsidRPr="00241317">
        <w:rPr>
          <w:sz w:val="18"/>
          <w:lang w:val="es-ES"/>
        </w:rPr>
        <w:t>sesión]/4 (por ejemplo, TC/51/4),</w:t>
      </w:r>
      <w:r w:rsidRPr="0064555F">
        <w:rPr>
          <w:lang w:val="es-ES"/>
        </w:rPr>
        <w:t xml:space="preserve"> (</w:t>
      </w:r>
      <w:hyperlink r:id="rId11">
        <w:r w:rsidRPr="0064555F">
          <w:rPr>
            <w:rStyle w:val="Hyperlink"/>
            <w:sz w:val="18"/>
            <w:lang w:val="es-ES"/>
          </w:rPr>
          <w:t>http://www.upov.int/meetings/es/topic.jsp?group_id=254</w:t>
        </w:r>
      </w:hyperlink>
      <w:r w:rsidRPr="0064555F">
        <w:rPr>
          <w:lang w:val="es-ES"/>
        </w:rPr>
        <w:t>)</w:t>
      </w:r>
      <w:r w:rsidRPr="00241317">
        <w:rPr>
          <w:sz w:val="18"/>
          <w:lang w:val="es-ES"/>
        </w:rPr>
        <w:t>.”</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jc w:val="right"/>
        <w:rPr>
          <w:lang w:val="es-ES"/>
        </w:rPr>
      </w:pPr>
      <w:r w:rsidRPr="0064555F">
        <w:rPr>
          <w:lang w:val="es-ES"/>
        </w:rPr>
        <w:t>[Sigue el Anexo II]</w:t>
      </w:r>
    </w:p>
    <w:p w:rsidR="00E87FDB" w:rsidRPr="0064555F" w:rsidRDefault="00E87FDB" w:rsidP="00E87FDB">
      <w:pPr>
        <w:rPr>
          <w:lang w:val="es-ES"/>
        </w:rPr>
      </w:pPr>
    </w:p>
    <w:p w:rsidR="00E87FDB" w:rsidRPr="0064555F" w:rsidRDefault="00E87FDB" w:rsidP="00E87FDB">
      <w:pPr>
        <w:rPr>
          <w:lang w:val="es-ES"/>
        </w:rPr>
        <w:sectPr w:rsidR="00E87FDB" w:rsidRPr="0064555F" w:rsidSect="00906DDC">
          <w:headerReference w:type="first" r:id="rId12"/>
          <w:pgSz w:w="11907" w:h="16840" w:code="9"/>
          <w:pgMar w:top="510" w:right="1134" w:bottom="1134" w:left="1134" w:header="510" w:footer="680" w:gutter="0"/>
          <w:cols w:space="720"/>
          <w:titlePg/>
        </w:sectPr>
      </w:pPr>
    </w:p>
    <w:p w:rsidR="00E87FDB" w:rsidRPr="0064555F" w:rsidRDefault="00E87FDB" w:rsidP="00E87FDB">
      <w:pPr>
        <w:jc w:val="center"/>
        <w:rPr>
          <w:lang w:val="es-ES"/>
        </w:rPr>
      </w:pPr>
      <w:r w:rsidRPr="0064555F">
        <w:rPr>
          <w:lang w:val="es-ES"/>
        </w:rPr>
        <w:t>PROPUESTAS DE MODIFICACIÓN DEL</w:t>
      </w:r>
    </w:p>
    <w:p w:rsidR="00E87FDB" w:rsidRPr="0064555F" w:rsidRDefault="00E87FDB" w:rsidP="00E87FDB">
      <w:pPr>
        <w:jc w:val="center"/>
        <w:rPr>
          <w:bCs/>
          <w:snapToGrid w:val="0"/>
          <w:szCs w:val="24"/>
          <w:lang w:val="es-ES"/>
        </w:rPr>
      </w:pPr>
      <w:r w:rsidRPr="0064555F">
        <w:rPr>
          <w:lang w:val="es-ES"/>
        </w:rPr>
        <w:t>DOCUMENTO TGP/14/1 “</w:t>
      </w:r>
      <w:r w:rsidRPr="0064555F">
        <w:rPr>
          <w:snapToGrid w:val="0"/>
          <w:lang w:val="es-ES"/>
        </w:rPr>
        <w:t>GLOSARIO DE TÉRMINOS UTILIZADOS EN LOS DOCUMENTOS DE LA</w:t>
      </w:r>
      <w:r w:rsidR="002D303F" w:rsidRPr="0064555F">
        <w:rPr>
          <w:snapToGrid w:val="0"/>
          <w:lang w:val="es-ES"/>
        </w:rPr>
        <w:t> </w:t>
      </w:r>
      <w:r w:rsidRPr="0064555F">
        <w:rPr>
          <w:snapToGrid w:val="0"/>
          <w:lang w:val="es-ES"/>
        </w:rPr>
        <w:t>UPOV”</w:t>
      </w:r>
    </w:p>
    <w:p w:rsidR="00E87FDB" w:rsidRPr="0064555F" w:rsidRDefault="00E87FDB" w:rsidP="00E87FDB">
      <w:pPr>
        <w:jc w:val="center"/>
        <w:rPr>
          <w:bCs/>
          <w:snapToGrid w:val="0"/>
          <w:szCs w:val="24"/>
          <w:lang w:val="es-ES"/>
        </w:rPr>
      </w:pPr>
    </w:p>
    <w:p w:rsidR="00E87FDB" w:rsidRPr="0064555F" w:rsidRDefault="00E87FDB" w:rsidP="00E87FDB">
      <w:pPr>
        <w:jc w:val="center"/>
        <w:rPr>
          <w:bCs/>
          <w:snapToGrid w:val="0"/>
          <w:szCs w:val="24"/>
          <w:lang w:val="es-ES"/>
        </w:rPr>
      </w:pPr>
    </w:p>
    <w:p w:rsidR="00E87FDB" w:rsidRPr="0064555F" w:rsidRDefault="00E87FDB" w:rsidP="00E87FDB">
      <w:pPr>
        <w:jc w:val="center"/>
        <w:rPr>
          <w:bCs/>
          <w:snapToGrid w:val="0"/>
          <w:szCs w:val="24"/>
          <w:lang w:val="es-ES"/>
        </w:rPr>
      </w:pPr>
    </w:p>
    <w:p w:rsidR="00E87FDB" w:rsidRPr="0064555F" w:rsidRDefault="00E87FDB" w:rsidP="00E87FDB">
      <w:pPr>
        <w:rPr>
          <w:lang w:val="es-ES"/>
        </w:rPr>
      </w:pPr>
    </w:p>
    <w:p w:rsidR="00E87FDB" w:rsidRPr="004B5DC9" w:rsidRDefault="00E87FDB" w:rsidP="004B5DC9">
      <w:pPr>
        <w:rPr>
          <w:i/>
          <w:lang w:val="es-ES"/>
        </w:rPr>
      </w:pPr>
      <w:r w:rsidRPr="004B5DC9">
        <w:rPr>
          <w:i/>
          <w:lang w:val="es-ES"/>
        </w:rPr>
        <w:t>i)</w:t>
      </w:r>
      <w:r w:rsidRPr="004B5DC9">
        <w:rPr>
          <w:i/>
          <w:lang w:val="es-ES"/>
        </w:rPr>
        <w:tab/>
        <w:t>Sección 2.4</w:t>
      </w:r>
      <w:proofErr w:type="gramStart"/>
      <w:r w:rsidR="00662220" w:rsidRPr="004B5DC9">
        <w:rPr>
          <w:i/>
          <w:lang w:val="es-ES"/>
        </w:rPr>
        <w:t xml:space="preserve">:  </w:t>
      </w:r>
      <w:r w:rsidRPr="004B5DC9">
        <w:rPr>
          <w:i/>
          <w:lang w:val="es-ES"/>
        </w:rPr>
        <w:t>“</w:t>
      </w:r>
      <w:proofErr w:type="gramEnd"/>
      <w:r w:rsidRPr="004B5DC9">
        <w:rPr>
          <w:i/>
          <w:lang w:val="es-ES"/>
        </w:rPr>
        <w:t>Caracteres de la forma del ápice/punta”</w:t>
      </w:r>
    </w:p>
    <w:p w:rsidR="00E87FDB" w:rsidRPr="0064555F" w:rsidRDefault="00E87FDB" w:rsidP="00E87FDB">
      <w:pPr>
        <w:rPr>
          <w:lang w:val="es-ES"/>
        </w:rPr>
      </w:pPr>
    </w:p>
    <w:p w:rsidR="00E87FDB" w:rsidRPr="0064555F" w:rsidRDefault="00E87FDB" w:rsidP="00E87FDB">
      <w:pPr>
        <w:keepNext/>
        <w:rPr>
          <w:lang w:val="es-ES"/>
        </w:rPr>
      </w:pPr>
      <w:r w:rsidRPr="0064555F">
        <w:rPr>
          <w:lang w:val="es-ES"/>
        </w:rPr>
        <w:t>1.</w:t>
      </w:r>
      <w:r w:rsidRPr="0064555F">
        <w:rPr>
          <w:lang w:val="es-ES"/>
        </w:rPr>
        <w:tab/>
        <w:t xml:space="preserve">El texto </w:t>
      </w:r>
      <w:r w:rsidR="002D303F" w:rsidRPr="0064555F">
        <w:rPr>
          <w:lang w:val="es-ES"/>
        </w:rPr>
        <w:t>propuesto para</w:t>
      </w:r>
      <w:r w:rsidRPr="0064555F">
        <w:rPr>
          <w:lang w:val="es-ES"/>
        </w:rPr>
        <w:t xml:space="preserve"> la Sección 2.4 del documento TGP/14 </w:t>
      </w:r>
      <w:r w:rsidR="002D303F" w:rsidRPr="0064555F">
        <w:rPr>
          <w:lang w:val="es-ES"/>
        </w:rPr>
        <w:t>es</w:t>
      </w:r>
      <w:r w:rsidRPr="0064555F">
        <w:rPr>
          <w:lang w:val="es-ES"/>
        </w:rPr>
        <w:t xml:space="preserve"> el siguiente:</w:t>
      </w:r>
    </w:p>
    <w:p w:rsidR="00E87FDB" w:rsidRPr="0064555F" w:rsidRDefault="00E87FDB" w:rsidP="00E87FDB">
      <w:pPr>
        <w:rPr>
          <w:lang w:val="es-ES"/>
        </w:rPr>
      </w:pPr>
    </w:p>
    <w:p w:rsidR="00E87FDB" w:rsidRPr="0064555F" w:rsidRDefault="00E87FDB" w:rsidP="00E87FDB">
      <w:pPr>
        <w:keepNext/>
        <w:ind w:left="567"/>
        <w:outlineLvl w:val="3"/>
        <w:rPr>
          <w:i/>
          <w:sz w:val="18"/>
          <w:lang w:val="es-ES"/>
        </w:rPr>
      </w:pPr>
      <w:r w:rsidRPr="0064555F">
        <w:rPr>
          <w:i/>
          <w:sz w:val="18"/>
          <w:lang w:val="es-ES"/>
        </w:rPr>
        <w:t>“2.4</w:t>
      </w:r>
      <w:r w:rsidRPr="0064555F">
        <w:rPr>
          <w:lang w:val="es-ES"/>
        </w:rPr>
        <w:tab/>
      </w:r>
      <w:r w:rsidRPr="0064555F">
        <w:rPr>
          <w:i/>
          <w:sz w:val="18"/>
          <w:lang w:val="es-ES"/>
        </w:rPr>
        <w:t>Caracteres de la forma del ápice/punta</w:t>
      </w:r>
    </w:p>
    <w:p w:rsidR="00E87FDB" w:rsidRPr="0064555F" w:rsidRDefault="00E87FDB" w:rsidP="00E87FDB">
      <w:pPr>
        <w:keepNext/>
        <w:ind w:left="567" w:right="567"/>
        <w:rPr>
          <w:rFonts w:cs="Arial"/>
          <w:sz w:val="18"/>
          <w:lang w:val="es-ES"/>
        </w:rPr>
      </w:pPr>
    </w:p>
    <w:p w:rsidR="00E87FDB" w:rsidRPr="0064555F" w:rsidRDefault="00E87FDB" w:rsidP="00E87FDB">
      <w:pPr>
        <w:keepNext/>
        <w:ind w:left="567" w:right="567"/>
        <w:rPr>
          <w:sz w:val="18"/>
          <w:shd w:val="clear" w:color="auto" w:fill="FFFFFF"/>
          <w:lang w:val="es-ES"/>
        </w:rPr>
      </w:pPr>
      <w:r w:rsidRPr="0064555F">
        <w:rPr>
          <w:sz w:val="18"/>
          <w:shd w:val="clear" w:color="auto" w:fill="FFFFFF"/>
          <w:lang w:val="es-ES"/>
        </w:rPr>
        <w:t>“2.4.1</w:t>
      </w:r>
      <w:r w:rsidRPr="0064555F">
        <w:rPr>
          <w:sz w:val="18"/>
          <w:shd w:val="clear" w:color="auto" w:fill="FFFFFF"/>
          <w:lang w:val="es-ES"/>
        </w:rPr>
        <w:tab/>
        <w:t xml:space="preserve">El </w:t>
      </w:r>
      <w:r w:rsidR="004B5DC9">
        <w:rPr>
          <w:sz w:val="18"/>
          <w:shd w:val="clear" w:color="auto" w:fill="FFFFFF"/>
          <w:lang w:val="es-ES"/>
        </w:rPr>
        <w:t>Á</w:t>
      </w:r>
      <w:r w:rsidRPr="0064555F">
        <w:rPr>
          <w:sz w:val="18"/>
          <w:shd w:val="clear" w:color="auto" w:fill="FFFFFF"/>
          <w:lang w:val="es-ES"/>
        </w:rPr>
        <w:t>PICE (parte apical o distal) de un órgano o de una parte de una planta es el extremo más alejado del punto de inserción</w:t>
      </w:r>
      <w:r w:rsidR="00662220" w:rsidRPr="0064555F">
        <w:rPr>
          <w:sz w:val="18"/>
          <w:shd w:val="clear" w:color="auto" w:fill="FFFFFF"/>
          <w:lang w:val="es-ES"/>
        </w:rPr>
        <w:t xml:space="preserve">.  </w:t>
      </w:r>
      <w:r w:rsidRPr="0064555F">
        <w:rPr>
          <w:sz w:val="18"/>
          <w:shd w:val="clear" w:color="auto" w:fill="FFFFFF"/>
          <w:lang w:val="es-ES"/>
        </w:rPr>
        <w:t>En algunos casos, la extremidad distal del ápice puede adoptar la forma de ‘PUNTA’ diferenciada.</w:t>
      </w:r>
    </w:p>
    <w:p w:rsidR="00E87FDB" w:rsidRPr="0064555F" w:rsidRDefault="00E87FDB" w:rsidP="00E87FDB">
      <w:pPr>
        <w:keepNext/>
        <w:ind w:left="567" w:right="567"/>
        <w:rPr>
          <w:sz w:val="18"/>
          <w:lang w:val="es-ES"/>
        </w:rPr>
      </w:pPr>
    </w:p>
    <w:p w:rsidR="00E87FDB" w:rsidRPr="0064555F" w:rsidRDefault="00E87FDB" w:rsidP="00E87FDB">
      <w:pPr>
        <w:ind w:left="567" w:right="567"/>
        <w:rPr>
          <w:sz w:val="18"/>
          <w:lang w:val="es-ES"/>
        </w:rPr>
      </w:pPr>
      <w:r w:rsidRPr="0064555F">
        <w:rPr>
          <w:sz w:val="18"/>
          <w:lang w:val="es-ES"/>
        </w:rPr>
        <w:t>“2.4.2</w:t>
      </w:r>
      <w:r w:rsidRPr="0064555F">
        <w:rPr>
          <w:lang w:val="es-ES"/>
        </w:rPr>
        <w:tab/>
      </w:r>
      <w:r w:rsidRPr="0064555F">
        <w:rPr>
          <w:sz w:val="18"/>
          <w:shd w:val="clear" w:color="auto" w:fill="FFFFFF"/>
          <w:lang w:val="es-ES"/>
        </w:rPr>
        <w:t>Al analizar el planteamiento para describir el ápice, deberían tenerse en cuenta el tamaño del órgano y el número de formas del ápice</w:t>
      </w:r>
      <w:r w:rsidR="00662220" w:rsidRPr="0064555F">
        <w:rPr>
          <w:sz w:val="18"/>
          <w:shd w:val="clear" w:color="auto" w:fill="FFFFFF"/>
          <w:lang w:val="es-ES"/>
        </w:rPr>
        <w:t xml:space="preserve">.  </w:t>
      </w:r>
      <w:r w:rsidRPr="0064555F">
        <w:rPr>
          <w:sz w:val="18"/>
          <w:shd w:val="clear" w:color="auto" w:fill="FFFFFF"/>
          <w:lang w:val="es-ES"/>
        </w:rPr>
        <w:t>Los caracteres relativos al ápice se pueden describir en términos sencillos y la presencia de una punta diferenciada, en su caso, debería describirse aparte, como carácter independiente</w:t>
      </w:r>
      <w:r w:rsidR="00662220" w:rsidRPr="0064555F">
        <w:rPr>
          <w:sz w:val="18"/>
          <w:shd w:val="clear" w:color="auto" w:fill="FFFFFF"/>
          <w:lang w:val="es-ES"/>
        </w:rPr>
        <w:t xml:space="preserve">.  </w:t>
      </w:r>
      <w:r w:rsidRPr="0064555F">
        <w:rPr>
          <w:sz w:val="18"/>
          <w:shd w:val="clear" w:color="auto" w:fill="FFFFFF"/>
          <w:lang w:val="es-ES"/>
        </w:rPr>
        <w:t xml:space="preserve">Por lo general, no es necesario separar el carácter de forma del ápice en caracteres </w:t>
      </w:r>
      <w:r w:rsidR="004B5DC9">
        <w:rPr>
          <w:sz w:val="18"/>
          <w:shd w:val="clear" w:color="auto" w:fill="FFFFFF"/>
          <w:lang w:val="es-ES"/>
        </w:rPr>
        <w:t xml:space="preserve">diferenciados de forma de punta y de </w:t>
      </w:r>
      <w:r w:rsidRPr="0064555F">
        <w:rPr>
          <w:sz w:val="18"/>
          <w:shd w:val="clear" w:color="auto" w:fill="FFFFFF"/>
          <w:lang w:val="es-ES"/>
        </w:rPr>
        <w:t>ápice.</w:t>
      </w:r>
      <w:r w:rsidRPr="0064555F">
        <w:rPr>
          <w:sz w:val="18"/>
          <w:lang w:val="es-ES"/>
        </w:rPr>
        <w:t xml:space="preserve"> </w:t>
      </w:r>
    </w:p>
    <w:p w:rsidR="00E87FDB" w:rsidRPr="0064555F" w:rsidRDefault="00E87FDB" w:rsidP="00E87FDB">
      <w:pPr>
        <w:ind w:left="567" w:right="567"/>
        <w:rPr>
          <w:sz w:val="18"/>
          <w:lang w:val="es-ES"/>
        </w:rPr>
      </w:pPr>
    </w:p>
    <w:p w:rsidR="00E87FDB" w:rsidRPr="0064555F" w:rsidRDefault="00E87FDB" w:rsidP="00E87FDB">
      <w:pPr>
        <w:ind w:left="567" w:right="567"/>
        <w:rPr>
          <w:sz w:val="18"/>
          <w:shd w:val="clear" w:color="auto" w:fill="FFFFFF"/>
          <w:lang w:val="es-ES"/>
        </w:rPr>
      </w:pPr>
      <w:r w:rsidRPr="0064555F">
        <w:rPr>
          <w:sz w:val="18"/>
          <w:shd w:val="clear" w:color="auto" w:fill="FFFFFF"/>
          <w:lang w:val="es-ES"/>
        </w:rPr>
        <w:t>“2.4.3</w:t>
      </w:r>
      <w:r w:rsidRPr="0064555F">
        <w:rPr>
          <w:sz w:val="18"/>
          <w:shd w:val="clear" w:color="auto" w:fill="FFFFFF"/>
          <w:lang w:val="es-ES"/>
        </w:rPr>
        <w:tab/>
        <w:t xml:space="preserve">En los casos en que sea pertinente separar los caracteres de </w:t>
      </w:r>
      <w:r w:rsidR="0006501B">
        <w:rPr>
          <w:sz w:val="18"/>
          <w:shd w:val="clear" w:color="auto" w:fill="FFFFFF"/>
          <w:lang w:val="es-ES"/>
        </w:rPr>
        <w:t xml:space="preserve">la </w:t>
      </w:r>
      <w:r w:rsidRPr="0064555F">
        <w:rPr>
          <w:sz w:val="18"/>
          <w:shd w:val="clear" w:color="auto" w:fill="FFFFFF"/>
          <w:lang w:val="es-ES"/>
        </w:rPr>
        <w:t xml:space="preserve">punta diferenciada y </w:t>
      </w:r>
      <w:r w:rsidR="0006501B">
        <w:rPr>
          <w:sz w:val="18"/>
          <w:shd w:val="clear" w:color="auto" w:fill="FFFFFF"/>
          <w:lang w:val="es-ES"/>
        </w:rPr>
        <w:t xml:space="preserve">el </w:t>
      </w:r>
      <w:r w:rsidRPr="0064555F">
        <w:rPr>
          <w:sz w:val="18"/>
          <w:shd w:val="clear" w:color="auto" w:fill="FFFFFF"/>
          <w:lang w:val="es-ES"/>
        </w:rPr>
        <w:t>ápice, se adopta como forma general la forma del ápice, excluyendo la punta diferenciada (si la hubiere) y la separación de la punta y el ápice deberá indicarse en la explicación del carácter.  Por ejemplo:</w:t>
      </w:r>
    </w:p>
    <w:p w:rsidR="00E87FDB" w:rsidRPr="0064555F" w:rsidRDefault="00E87FDB" w:rsidP="00E87FDB">
      <w:pPr>
        <w:ind w:left="567" w:right="567"/>
        <w:rPr>
          <w:sz w:val="18"/>
          <w:lang w:val="es-ES"/>
        </w:rPr>
      </w:pPr>
    </w:p>
    <w:p w:rsidR="00E87FDB" w:rsidRPr="0064555F" w:rsidRDefault="00E87FDB" w:rsidP="00E87FDB">
      <w:pPr>
        <w:ind w:left="567" w:right="567"/>
        <w:rPr>
          <w:sz w:val="18"/>
          <w:lang w:val="es-ES"/>
        </w:rPr>
      </w:pPr>
      <w:r w:rsidRPr="0064555F">
        <w:rPr>
          <w:sz w:val="18"/>
          <w:lang w:val="es-ES"/>
        </w:rPr>
        <w:t>[…]”</w:t>
      </w:r>
    </w:p>
    <w:p w:rsidR="00E87FDB" w:rsidRPr="0064555F" w:rsidRDefault="00E87FDB" w:rsidP="00E87FDB">
      <w:pPr>
        <w:rPr>
          <w:lang w:val="es-ES"/>
        </w:rPr>
      </w:pPr>
    </w:p>
    <w:p w:rsidR="00E87FDB" w:rsidRPr="0064555F" w:rsidRDefault="00E87FDB" w:rsidP="00E87FDB">
      <w:pPr>
        <w:rPr>
          <w:lang w:val="es-ES"/>
        </w:rPr>
      </w:pPr>
    </w:p>
    <w:p w:rsidR="00E87FDB" w:rsidRPr="00E12D12" w:rsidRDefault="00E87FDB" w:rsidP="00E12D12">
      <w:pPr>
        <w:rPr>
          <w:i/>
          <w:lang w:val="es-ES"/>
        </w:rPr>
      </w:pPr>
      <w:r w:rsidRPr="00E12D12">
        <w:rPr>
          <w:i/>
          <w:lang w:val="es-ES"/>
        </w:rPr>
        <w:t>ii)</w:t>
      </w:r>
      <w:r w:rsidRPr="00E12D12">
        <w:rPr>
          <w:i/>
          <w:lang w:val="es-ES"/>
        </w:rPr>
        <w:tab/>
        <w:t>Subsección 3</w:t>
      </w:r>
      <w:proofErr w:type="gramStart"/>
      <w:r w:rsidR="00662220" w:rsidRPr="00E12D12">
        <w:rPr>
          <w:i/>
          <w:lang w:val="es-ES"/>
        </w:rPr>
        <w:t xml:space="preserve">:  </w:t>
      </w:r>
      <w:r w:rsidRPr="00E12D12">
        <w:rPr>
          <w:i/>
          <w:lang w:val="es-ES"/>
        </w:rPr>
        <w:t>“</w:t>
      </w:r>
      <w:proofErr w:type="gramEnd"/>
      <w:r w:rsidRPr="00E12D12">
        <w:rPr>
          <w:i/>
          <w:lang w:val="es-ES"/>
        </w:rPr>
        <w:t>Color”</w:t>
      </w:r>
    </w:p>
    <w:p w:rsidR="00E87FDB" w:rsidRPr="0064555F" w:rsidRDefault="00E87FDB" w:rsidP="00E87FDB">
      <w:pPr>
        <w:rPr>
          <w:lang w:val="es-ES"/>
        </w:rPr>
      </w:pPr>
    </w:p>
    <w:p w:rsidR="00E87FDB" w:rsidRPr="0064555F" w:rsidRDefault="00E87FDB" w:rsidP="00E87FDB">
      <w:pPr>
        <w:rPr>
          <w:lang w:val="es-ES"/>
        </w:rPr>
      </w:pPr>
      <w:r w:rsidRPr="0064555F">
        <w:rPr>
          <w:lang w:val="es-ES"/>
        </w:rPr>
        <w:t>2.</w:t>
      </w:r>
      <w:r w:rsidRPr="0064555F">
        <w:rPr>
          <w:lang w:val="es-ES"/>
        </w:rPr>
        <w:tab/>
        <w:t>La traducción al francés del grupo de color “rojo púrpura oscuro” debe corregirse para que figure “rouge-</w:t>
      </w:r>
      <w:proofErr w:type="spellStart"/>
      <w:r w:rsidRPr="0064555F">
        <w:rPr>
          <w:lang w:val="es-ES"/>
        </w:rPr>
        <w:t>pourpre</w:t>
      </w:r>
      <w:proofErr w:type="spellEnd"/>
      <w:r w:rsidRPr="0064555F">
        <w:rPr>
          <w:lang w:val="es-ES"/>
        </w:rPr>
        <w:t xml:space="preserve"> </w:t>
      </w:r>
      <w:proofErr w:type="spellStart"/>
      <w:r w:rsidRPr="0064555F">
        <w:rPr>
          <w:lang w:val="es-ES"/>
        </w:rPr>
        <w:t>foncé</w:t>
      </w:r>
      <w:proofErr w:type="spellEnd"/>
      <w:r w:rsidRPr="0064555F">
        <w:rPr>
          <w:lang w:val="es-ES"/>
        </w:rPr>
        <w:t>”.</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jc w:val="right"/>
        <w:rPr>
          <w:lang w:val="es-ES"/>
        </w:rPr>
      </w:pPr>
      <w:r w:rsidRPr="0064555F">
        <w:rPr>
          <w:lang w:val="es-ES"/>
        </w:rPr>
        <w:t>[Sigue el Anexo III]</w:t>
      </w:r>
    </w:p>
    <w:p w:rsidR="00E87FDB" w:rsidRPr="0064555F" w:rsidRDefault="00E87FDB" w:rsidP="00E87FDB">
      <w:pPr>
        <w:rPr>
          <w:lang w:val="es-ES"/>
        </w:rPr>
      </w:pPr>
    </w:p>
    <w:p w:rsidR="00E87FDB" w:rsidRPr="0064555F" w:rsidRDefault="00E87FDB" w:rsidP="00E87FDB">
      <w:pPr>
        <w:rPr>
          <w:lang w:val="es-ES"/>
        </w:rPr>
        <w:sectPr w:rsidR="00E87FDB" w:rsidRPr="0064555F" w:rsidSect="00906DDC">
          <w:headerReference w:type="first" r:id="rId13"/>
          <w:pgSz w:w="11907" w:h="16840" w:code="9"/>
          <w:pgMar w:top="510" w:right="1134" w:bottom="1134" w:left="1134" w:header="510" w:footer="680" w:gutter="0"/>
          <w:cols w:space="720"/>
          <w:titlePg/>
        </w:sectPr>
      </w:pPr>
    </w:p>
    <w:p w:rsidR="00E87FDB" w:rsidRPr="0064555F" w:rsidRDefault="00E87FDB" w:rsidP="00E87FDB">
      <w:pPr>
        <w:jc w:val="center"/>
        <w:rPr>
          <w:lang w:val="es-ES"/>
        </w:rPr>
      </w:pPr>
      <w:r w:rsidRPr="0064555F">
        <w:rPr>
          <w:lang w:val="es-ES"/>
        </w:rPr>
        <w:t xml:space="preserve">PROPUESTAS DE MODIFICACIÓN DEL </w:t>
      </w:r>
      <w:r w:rsidRPr="0064555F">
        <w:rPr>
          <w:lang w:val="es-ES"/>
        </w:rPr>
        <w:br/>
        <w:t>DOCUMENTO UPOV/INF/12/4 “NOTAS EXPLICATIVAS SOBRE LAS DENOMINACIONES DE VARIEDADES CON ARREGLO AL CONVENIO DE LA UPOV”</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r w:rsidRPr="0064555F">
        <w:rPr>
          <w:lang w:val="es-ES"/>
        </w:rPr>
        <w:t>En la sección “Notas explicativas – Párrafo 7)”, insertar un nuevo párrafo, el 7.2, que se indica a continuación:</w:t>
      </w:r>
    </w:p>
    <w:p w:rsidR="00E87FDB" w:rsidRPr="0064555F" w:rsidRDefault="00E87FDB" w:rsidP="00E87FDB">
      <w:pPr>
        <w:rPr>
          <w:lang w:val="es-ES"/>
        </w:rPr>
      </w:pPr>
    </w:p>
    <w:p w:rsidR="00E87FDB" w:rsidRPr="0064555F" w:rsidRDefault="00E87FDB" w:rsidP="00E87FDB">
      <w:pPr>
        <w:jc w:val="center"/>
        <w:rPr>
          <w:b/>
          <w:lang w:val="es-ES"/>
        </w:rPr>
      </w:pPr>
      <w:r w:rsidRPr="0064555F">
        <w:rPr>
          <w:b/>
          <w:lang w:val="es-ES"/>
        </w:rPr>
        <w:t>Párrafo 7</w:t>
      </w:r>
    </w:p>
    <w:p w:rsidR="00E87FDB" w:rsidRPr="0064555F" w:rsidRDefault="00E87FDB" w:rsidP="00E87FDB">
      <w:pPr>
        <w:rPr>
          <w:b/>
          <w:lang w:val="es-ES"/>
        </w:rPr>
      </w:pPr>
    </w:p>
    <w:p w:rsidR="00E87FDB" w:rsidRPr="0064555F" w:rsidRDefault="00E87FDB" w:rsidP="00E87FDB">
      <w:pPr>
        <w:rPr>
          <w:b/>
          <w:lang w:val="es-ES"/>
        </w:rPr>
      </w:pPr>
      <w:r w:rsidRPr="0064555F">
        <w:rPr>
          <w:lang w:val="es-ES"/>
        </w:rPr>
        <w:tab/>
      </w:r>
      <w:r w:rsidRPr="0064555F">
        <w:rPr>
          <w:b/>
          <w:lang w:val="es-ES"/>
        </w:rPr>
        <w:t>[</w:t>
      </w:r>
      <w:r w:rsidRPr="0064555F">
        <w:rPr>
          <w:b/>
          <w:i/>
          <w:lang w:val="es-ES"/>
        </w:rPr>
        <w:t>Obligación de utilizar la denominación</w:t>
      </w:r>
      <w:r w:rsidRPr="0064555F">
        <w:rPr>
          <w:b/>
          <w:lang w:val="es-ES"/>
        </w:rPr>
        <w:t>] Quien, en el territorio de una Parte Contratante, proceda a la puesta en venta o a la comercialización del material de reproducción o de multiplicación vegetativa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rsidR="00E87FDB" w:rsidRPr="0064555F" w:rsidRDefault="00E87FDB" w:rsidP="00E87FDB">
      <w:pPr>
        <w:rPr>
          <w:lang w:val="es-ES"/>
        </w:rPr>
      </w:pPr>
    </w:p>
    <w:p w:rsidR="00E87FDB" w:rsidRPr="0064555F" w:rsidRDefault="00E87FDB" w:rsidP="00E87FDB">
      <w:pPr>
        <w:rPr>
          <w:i/>
          <w:lang w:val="es-ES"/>
        </w:rPr>
      </w:pPr>
      <w:r w:rsidRPr="0064555F">
        <w:rPr>
          <w:i/>
          <w:lang w:val="es-ES"/>
        </w:rPr>
        <w:t>Nota explicativa – Párrafo 7)</w:t>
      </w:r>
    </w:p>
    <w:p w:rsidR="00E87FDB" w:rsidRPr="0064555F" w:rsidRDefault="00E87FDB" w:rsidP="00E87FDB">
      <w:pPr>
        <w:rPr>
          <w:lang w:val="es-ES"/>
        </w:rPr>
      </w:pPr>
    </w:p>
    <w:p w:rsidR="00E87FDB" w:rsidRPr="0064555F" w:rsidRDefault="00E87FDB" w:rsidP="00E87FDB">
      <w:pPr>
        <w:rPr>
          <w:lang w:val="es-ES"/>
        </w:rPr>
      </w:pPr>
      <w:r w:rsidRPr="0064555F">
        <w:rPr>
          <w:lang w:val="es-ES"/>
        </w:rPr>
        <w:t>7.1</w:t>
      </w:r>
      <w:r w:rsidRPr="0064555F">
        <w:rPr>
          <w:lang w:val="es-ES"/>
        </w:rPr>
        <w:tab/>
        <w:t>Si se descubre que los derechos anteriores de un tercero impiden el uso de la denominación de la variedad registrada, la autoridad exigirá al obtentor que proponga otra denominación.  El Artículo 22.1)b</w:t>
      </w:r>
      <w:proofErr w:type="gramStart"/>
      <w:r w:rsidRPr="0064555F">
        <w:rPr>
          <w:lang w:val="es-ES"/>
        </w:rPr>
        <w:t>)iii</w:t>
      </w:r>
      <w:proofErr w:type="gramEnd"/>
      <w:r w:rsidRPr="0064555F">
        <w:rPr>
          <w:lang w:val="es-ES"/>
        </w:rPr>
        <w:t xml:space="preserve">) del Acta de 1991 establece que el derecho del obtentor podrá ser cancelado si “el obtentor no propone otra denominación adecuada, en caso de cancelación de la denominación de la variedad después de la concesión del derecho”.  </w:t>
      </w:r>
    </w:p>
    <w:p w:rsidR="00E87FDB" w:rsidRPr="0064555F" w:rsidRDefault="00E87FDB" w:rsidP="00E87FDB">
      <w:pPr>
        <w:rPr>
          <w:lang w:val="es-ES"/>
        </w:rPr>
      </w:pPr>
    </w:p>
    <w:p w:rsidR="00E87FDB" w:rsidRPr="0064555F" w:rsidRDefault="00E87FDB" w:rsidP="00E87FDB">
      <w:pPr>
        <w:rPr>
          <w:lang w:val="es-ES"/>
        </w:rPr>
      </w:pPr>
      <w:r w:rsidRPr="0064555F">
        <w:rPr>
          <w:lang w:val="es-ES"/>
        </w:rPr>
        <w:t>7.2</w:t>
      </w:r>
      <w:r w:rsidRPr="0064555F">
        <w:rPr>
          <w:lang w:val="es-ES"/>
        </w:rPr>
        <w:tab/>
        <w:t>Los elementos siguientes constituyen orientaciones relativas a los cambios de la denominación de variedades registradas:</w:t>
      </w:r>
    </w:p>
    <w:p w:rsidR="00E87FDB" w:rsidRPr="0064555F" w:rsidRDefault="00E87FDB" w:rsidP="00E87FDB">
      <w:pPr>
        <w:rPr>
          <w:lang w:val="es-ES"/>
        </w:rPr>
      </w:pPr>
    </w:p>
    <w:p w:rsidR="00E87FDB" w:rsidRPr="0064555F" w:rsidRDefault="00E87FDB" w:rsidP="00E87FDB">
      <w:pPr>
        <w:ind w:firstLine="567"/>
        <w:rPr>
          <w:lang w:val="es-ES"/>
        </w:rPr>
      </w:pPr>
      <w:r w:rsidRPr="0064555F">
        <w:rPr>
          <w:lang w:val="es-ES"/>
        </w:rPr>
        <w:t>a)</w:t>
      </w:r>
      <w:r w:rsidRPr="0064555F">
        <w:rPr>
          <w:lang w:val="es-ES"/>
        </w:rPr>
        <w:tab/>
        <w:t xml:space="preserve">El Convenio de la UPOV establece que cuando se declara la caducidad de la denominación de la variedad tras la concesión del derecho, la denominación registrada debe modificarse.  La autoridad competente deberá declarar la caducidad de la denominación de una variedad si: </w:t>
      </w:r>
    </w:p>
    <w:p w:rsidR="00E87FDB" w:rsidRPr="0064555F" w:rsidRDefault="00E87FDB" w:rsidP="00E87FDB">
      <w:pPr>
        <w:pStyle w:val="ListParagraph"/>
        <w:rPr>
          <w:lang w:val="es-ES"/>
        </w:rPr>
      </w:pPr>
    </w:p>
    <w:p w:rsidR="00E87FDB" w:rsidRPr="0064555F" w:rsidRDefault="00E87FDB" w:rsidP="00E87FDB">
      <w:pPr>
        <w:ind w:firstLine="567"/>
        <w:rPr>
          <w:lang w:val="es-ES"/>
        </w:rPr>
      </w:pPr>
      <w:r w:rsidRPr="0064555F">
        <w:rPr>
          <w:lang w:val="es-ES"/>
        </w:rPr>
        <w:tab/>
        <w:t>i)</w:t>
      </w:r>
      <w:r w:rsidRPr="0064555F">
        <w:rPr>
          <w:lang w:val="es-ES"/>
        </w:rPr>
        <w:tab/>
        <w:t xml:space="preserve">en virtud de un derecho anterior, la utilización de la denominación de una variedad está prohibida a una persona que está obligada a utilizarla, de conformidad con lo dispuesto en el párrafo 7) (véase el párrafo 4 “Derechos anteriores de terceros”); </w:t>
      </w:r>
    </w:p>
    <w:p w:rsidR="00E87FDB" w:rsidRPr="0064555F" w:rsidRDefault="00E87FDB" w:rsidP="00E87FDB">
      <w:pPr>
        <w:ind w:firstLine="567"/>
        <w:rPr>
          <w:lang w:val="es-ES"/>
        </w:rPr>
      </w:pPr>
    </w:p>
    <w:p w:rsidR="00E87FDB" w:rsidRPr="0064555F" w:rsidRDefault="00E87FDB" w:rsidP="00E87FDB">
      <w:pPr>
        <w:ind w:firstLine="567"/>
        <w:rPr>
          <w:lang w:val="es-ES"/>
        </w:rPr>
      </w:pPr>
      <w:r w:rsidRPr="0064555F">
        <w:rPr>
          <w:lang w:val="es-ES"/>
        </w:rPr>
        <w:tab/>
        <w:t>ii)</w:t>
      </w:r>
      <w:r w:rsidRPr="0064555F">
        <w:rPr>
          <w:lang w:val="es-ES"/>
        </w:rPr>
        <w:tab/>
        <w:t xml:space="preserve">la denominación resultara inadecuada por ser contraria a las disposiciones del párrafo 2 “Características de la denominación”; </w:t>
      </w:r>
    </w:p>
    <w:p w:rsidR="00E87FDB" w:rsidRPr="0064555F" w:rsidRDefault="00E87FDB" w:rsidP="00E87FDB">
      <w:pPr>
        <w:pStyle w:val="ListParagraph"/>
        <w:ind w:left="1854"/>
        <w:rPr>
          <w:lang w:val="es-ES"/>
        </w:rPr>
      </w:pPr>
    </w:p>
    <w:p w:rsidR="00E87FDB" w:rsidRPr="0064555F" w:rsidRDefault="00E87FDB" w:rsidP="00E87FDB">
      <w:pPr>
        <w:ind w:firstLine="567"/>
        <w:rPr>
          <w:lang w:val="es-ES"/>
        </w:rPr>
      </w:pPr>
      <w:r w:rsidRPr="0064555F">
        <w:rPr>
          <w:lang w:val="es-ES"/>
        </w:rPr>
        <w:t>b)</w:t>
      </w:r>
      <w:r w:rsidRPr="0064555F">
        <w:rPr>
          <w:lang w:val="es-ES"/>
        </w:rPr>
        <w:tab/>
        <w:t>En casos en que la denominación registrada es rechazada posteriormente por otro miembro de la Unión por ser inadecuada en su territorio (por ejemplo, por derecho anterior), la autoridad puede considerar oportuno, a petición del obtentor, cambiar la denominación por la registrada en ese otro miembro de la Unión (véanse las disposiciones del párrafo 5 “Misma denominación en todas las Partes Contratantes”);  y</w:t>
      </w:r>
    </w:p>
    <w:p w:rsidR="00E87FDB" w:rsidRPr="0064555F" w:rsidRDefault="00E87FDB" w:rsidP="00E87FDB">
      <w:pPr>
        <w:rPr>
          <w:lang w:val="es-ES"/>
        </w:rPr>
      </w:pPr>
    </w:p>
    <w:p w:rsidR="00E87FDB" w:rsidRPr="0064555F" w:rsidRDefault="00E87FDB" w:rsidP="00E87FDB">
      <w:pPr>
        <w:ind w:firstLine="567"/>
        <w:rPr>
          <w:lang w:val="es-ES"/>
        </w:rPr>
      </w:pPr>
      <w:r w:rsidRPr="0064555F">
        <w:rPr>
          <w:lang w:val="es-ES"/>
        </w:rPr>
        <w:t>c)</w:t>
      </w:r>
      <w:r w:rsidRPr="0064555F">
        <w:rPr>
          <w:lang w:val="es-ES"/>
        </w:rPr>
        <w:tab/>
        <w:t>En general, salvo en los casos a) y b) indicados, no será pertinente que la autoridad cambie, a petición del obtentor, una denominación registrada.</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jc w:val="right"/>
        <w:rPr>
          <w:lang w:val="es-ES"/>
        </w:rPr>
      </w:pPr>
      <w:r w:rsidRPr="0064555F">
        <w:rPr>
          <w:lang w:val="es-ES"/>
        </w:rPr>
        <w:t>[Sigue el Anexo IV]</w:t>
      </w:r>
    </w:p>
    <w:p w:rsidR="00E87FDB" w:rsidRPr="0064555F" w:rsidRDefault="00E87FDB" w:rsidP="00E87FDB">
      <w:pPr>
        <w:rPr>
          <w:lang w:val="es-ES"/>
        </w:rPr>
      </w:pPr>
    </w:p>
    <w:p w:rsidR="00E87FDB" w:rsidRPr="0064555F" w:rsidRDefault="00E87FDB" w:rsidP="00E87FDB">
      <w:pPr>
        <w:rPr>
          <w:lang w:val="es-ES"/>
        </w:rPr>
        <w:sectPr w:rsidR="00E87FDB" w:rsidRPr="0064555F" w:rsidSect="00906DDC">
          <w:headerReference w:type="first" r:id="rId14"/>
          <w:pgSz w:w="11907" w:h="16840" w:code="9"/>
          <w:pgMar w:top="510" w:right="1134" w:bottom="1134" w:left="1134" w:header="510" w:footer="680" w:gutter="0"/>
          <w:cols w:space="720"/>
          <w:titlePg/>
        </w:sectPr>
      </w:pPr>
    </w:p>
    <w:p w:rsidR="00E87FDB" w:rsidRPr="0064555F" w:rsidRDefault="00E87FDB" w:rsidP="00E87FDB">
      <w:pPr>
        <w:jc w:val="center"/>
        <w:rPr>
          <w:lang w:val="es-ES"/>
        </w:rPr>
      </w:pPr>
      <w:r w:rsidRPr="0064555F">
        <w:rPr>
          <w:lang w:val="es-ES"/>
        </w:rPr>
        <w:t xml:space="preserve">PROPUESTAS DE MODIFICACIÓN DEL </w:t>
      </w:r>
      <w:r w:rsidRPr="0064555F">
        <w:rPr>
          <w:lang w:val="es-ES"/>
        </w:rPr>
        <w:br/>
        <w:t>DOCUMENTO UPOV/INF/6/3 “</w:t>
      </w:r>
      <w:r w:rsidRPr="0064555F">
        <w:rPr>
          <w:snapToGrid w:val="0"/>
          <w:lang w:val="es-ES"/>
        </w:rPr>
        <w:t>ORIENTACIONES PARA LA REDACCIÓN DE LEYES BASADAS EN EL ACTA DE 1991 DEL CONVENIO DE LA UPOV” (DOCUMENTO UPOV/INF/6/4)</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u w:val="single"/>
          <w:lang w:val="es-ES"/>
        </w:rPr>
      </w:pPr>
      <w:r w:rsidRPr="0064555F">
        <w:rPr>
          <w:u w:val="single"/>
          <w:lang w:val="es-ES"/>
        </w:rPr>
        <w:t>NOTAS SOBRE EL ARTÍCULO 13</w:t>
      </w:r>
      <w:proofErr w:type="gramStart"/>
      <w:r w:rsidRPr="0064555F">
        <w:rPr>
          <w:u w:val="single"/>
          <w:lang w:val="es-ES"/>
        </w:rPr>
        <w:t>:  PROTECCIÓN</w:t>
      </w:r>
      <w:proofErr w:type="gramEnd"/>
      <w:r w:rsidRPr="0064555F">
        <w:rPr>
          <w:u w:val="single"/>
          <w:lang w:val="es-ES"/>
        </w:rPr>
        <w:t xml:space="preserve"> PROVISIONAL</w:t>
      </w:r>
    </w:p>
    <w:p w:rsidR="00E87FDB" w:rsidRPr="0064555F" w:rsidRDefault="00E87FDB" w:rsidP="00E87FDB">
      <w:pPr>
        <w:rPr>
          <w:lang w:val="es-ES"/>
        </w:rPr>
      </w:pPr>
    </w:p>
    <w:p w:rsidR="00E87FDB" w:rsidRPr="0064555F" w:rsidRDefault="00E87FDB" w:rsidP="00E87FDB">
      <w:pPr>
        <w:rPr>
          <w:lang w:val="es-ES"/>
        </w:rPr>
      </w:pPr>
      <w:r w:rsidRPr="0064555F">
        <w:rPr>
          <w:lang w:val="es-ES"/>
        </w:rPr>
        <w:t xml:space="preserve">A reserva de la aprobación del Consejo, en su cuadragésima novena sesión ordinaria, de la revisión del documento UPOV/EXN/PRP/1 “Notas explicativas sobre la protección provisional con arreglo al Convenio de la UPOV” (presentada en el documento UPOV/EXN/PRP/2 </w:t>
      </w:r>
      <w:proofErr w:type="spellStart"/>
      <w:r w:rsidRPr="0064555F">
        <w:rPr>
          <w:lang w:val="es-ES"/>
        </w:rPr>
        <w:t>Draft</w:t>
      </w:r>
      <w:proofErr w:type="spellEnd"/>
      <w:r w:rsidRPr="0064555F">
        <w:rPr>
          <w:lang w:val="es-ES"/>
        </w:rPr>
        <w:t xml:space="preserve"> 4), se propone sustituir el texto de las “NOTAS SOBRE EL ARTÍCULO 13” por el nuevo texto del documento UPOV/EXN/PRP/2.</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u w:val="single"/>
          <w:lang w:val="es-ES"/>
        </w:rPr>
      </w:pPr>
      <w:r w:rsidRPr="0064555F">
        <w:rPr>
          <w:u w:val="single"/>
          <w:lang w:val="es-ES"/>
        </w:rPr>
        <w:t>NOTAS SOBRE EL ARTÍCULO 20</w:t>
      </w:r>
      <w:proofErr w:type="gramStart"/>
      <w:r w:rsidRPr="0064555F">
        <w:rPr>
          <w:u w:val="single"/>
          <w:lang w:val="es-ES"/>
        </w:rPr>
        <w:t>:  DENOMINACIÓN</w:t>
      </w:r>
      <w:proofErr w:type="gramEnd"/>
      <w:r w:rsidRPr="0064555F">
        <w:rPr>
          <w:u w:val="single"/>
          <w:lang w:val="es-ES"/>
        </w:rPr>
        <w:t xml:space="preserve"> DE LA VARIEDAD</w:t>
      </w:r>
    </w:p>
    <w:p w:rsidR="00E87FDB" w:rsidRPr="0064555F" w:rsidRDefault="00E87FDB" w:rsidP="00E87FDB">
      <w:pPr>
        <w:rPr>
          <w:lang w:val="es-ES"/>
        </w:rPr>
      </w:pPr>
    </w:p>
    <w:p w:rsidR="00E87FDB" w:rsidRPr="0064555F" w:rsidRDefault="00E87FDB" w:rsidP="00E87FDB">
      <w:pPr>
        <w:rPr>
          <w:lang w:val="es-ES"/>
        </w:rPr>
      </w:pPr>
      <w:r w:rsidRPr="0064555F">
        <w:rPr>
          <w:lang w:val="es-ES"/>
        </w:rPr>
        <w:t xml:space="preserve">A reserva de la aprobación del Consejo, en su cuadragésima novena sesión ordinaria, de la revisión del documento UPOV/INF/12/4 “Notas explicativas sobre </w:t>
      </w:r>
      <w:r w:rsidR="00D81228" w:rsidRPr="00D81228">
        <w:rPr>
          <w:lang w:val="es-ES"/>
        </w:rPr>
        <w:t xml:space="preserve">las denominaciones de variedades </w:t>
      </w:r>
      <w:r w:rsidRPr="0064555F">
        <w:rPr>
          <w:lang w:val="es-ES"/>
        </w:rPr>
        <w:t>con arreglo al Convenio de la UPOV” (que figura en el Anexo III del presente documento), se propone insertar un nuevo párrafo, el 7.2, en las “NOTAS SOBRE EL ARTÍCULO 20”, Artículo 20.7).</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u w:val="single"/>
          <w:lang w:val="es-ES"/>
        </w:rPr>
      </w:pPr>
      <w:r w:rsidRPr="0064555F">
        <w:rPr>
          <w:u w:val="single"/>
          <w:lang w:val="es-ES"/>
        </w:rPr>
        <w:t>NOTAS SOBRE EL ARTÍCULO 21</w:t>
      </w:r>
      <w:proofErr w:type="gramStart"/>
      <w:r w:rsidRPr="0064555F">
        <w:rPr>
          <w:u w:val="single"/>
          <w:lang w:val="es-ES"/>
        </w:rPr>
        <w:t>:  NULIDAD</w:t>
      </w:r>
      <w:proofErr w:type="gramEnd"/>
      <w:r w:rsidRPr="0064555F">
        <w:rPr>
          <w:u w:val="single"/>
          <w:lang w:val="es-ES"/>
        </w:rPr>
        <w:t xml:space="preserve"> DEL DERECHO DE OBTENTOR</w:t>
      </w:r>
    </w:p>
    <w:p w:rsidR="00E87FDB" w:rsidRPr="0064555F" w:rsidRDefault="00E87FDB" w:rsidP="00E87FDB">
      <w:pPr>
        <w:rPr>
          <w:lang w:val="es-ES"/>
        </w:rPr>
      </w:pPr>
    </w:p>
    <w:p w:rsidR="00E87FDB" w:rsidRPr="0064555F" w:rsidRDefault="00E87FDB" w:rsidP="00E87FDB">
      <w:pPr>
        <w:rPr>
          <w:lang w:val="es-ES"/>
        </w:rPr>
      </w:pPr>
      <w:r w:rsidRPr="0064555F">
        <w:rPr>
          <w:lang w:val="es-ES"/>
        </w:rPr>
        <w:t xml:space="preserve">A reserva de la aprobación del Consejo, en su cuadragésima novena sesión ordinaria, de la revisión del documento UPOV/EXN/NUL/1 “Notas explicativas sobre la </w:t>
      </w:r>
      <w:r w:rsidR="00E250DB">
        <w:rPr>
          <w:lang w:val="es-ES"/>
        </w:rPr>
        <w:t>n</w:t>
      </w:r>
      <w:r w:rsidRPr="0064555F">
        <w:rPr>
          <w:lang w:val="es-ES"/>
        </w:rPr>
        <w:t xml:space="preserve">ulidad del derecho de obtentor con arreglo al Convenio de la UPOV” (presentada en el documento UPOV/EXN/NUL/2 </w:t>
      </w:r>
      <w:proofErr w:type="spellStart"/>
      <w:r w:rsidRPr="0064555F">
        <w:rPr>
          <w:lang w:val="es-ES"/>
        </w:rPr>
        <w:t>Draft</w:t>
      </w:r>
      <w:proofErr w:type="spellEnd"/>
      <w:r w:rsidRPr="0064555F">
        <w:rPr>
          <w:lang w:val="es-ES"/>
        </w:rPr>
        <w:t xml:space="preserve"> 4), se propone sustituir el texto de las “NOTAS SOBRE EL ARTÍCULO 21” por el nuevo texto del documento UPOV/EXN/NUL/2.</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u w:val="single"/>
          <w:lang w:val="es-ES"/>
        </w:rPr>
      </w:pPr>
      <w:r w:rsidRPr="0064555F">
        <w:rPr>
          <w:u w:val="single"/>
          <w:lang w:val="es-ES"/>
        </w:rPr>
        <w:t>NOTAS SOBRE EL ARTÍCULO 22</w:t>
      </w:r>
      <w:proofErr w:type="gramStart"/>
      <w:r w:rsidRPr="0064555F">
        <w:rPr>
          <w:u w:val="single"/>
          <w:lang w:val="es-ES"/>
        </w:rPr>
        <w:t>:  CADUCIDAD</w:t>
      </w:r>
      <w:proofErr w:type="gramEnd"/>
      <w:r w:rsidRPr="0064555F">
        <w:rPr>
          <w:u w:val="single"/>
          <w:lang w:val="es-ES"/>
        </w:rPr>
        <w:t xml:space="preserve"> DEL DERECHO DE OBTENTOR</w:t>
      </w:r>
    </w:p>
    <w:p w:rsidR="00E87FDB" w:rsidRPr="0064555F" w:rsidRDefault="00E87FDB" w:rsidP="00E87FDB">
      <w:pPr>
        <w:rPr>
          <w:lang w:val="es-ES"/>
        </w:rPr>
      </w:pPr>
    </w:p>
    <w:p w:rsidR="00E87FDB" w:rsidRPr="0064555F" w:rsidRDefault="00E87FDB" w:rsidP="00E87FDB">
      <w:pPr>
        <w:rPr>
          <w:lang w:val="es-ES"/>
        </w:rPr>
      </w:pPr>
      <w:r w:rsidRPr="0064555F">
        <w:rPr>
          <w:lang w:val="es-ES"/>
        </w:rPr>
        <w:t xml:space="preserve">A reserva de la aprobación del Consejo, en su cuadragésima novena sesión ordinaria, de la revisión del documento UPOV/EXN/CAN/1 “Notas explicativas sobre </w:t>
      </w:r>
      <w:r w:rsidR="00E250DB">
        <w:rPr>
          <w:lang w:val="es-ES"/>
        </w:rPr>
        <w:t>la c</w:t>
      </w:r>
      <w:r w:rsidRPr="0064555F">
        <w:rPr>
          <w:lang w:val="es-ES"/>
        </w:rPr>
        <w:t xml:space="preserve">aducidad del derecho de obtentor con arreglo al Convenio de la UPOV” (presentada en el documento UPOV/EXN/CAN/2 </w:t>
      </w:r>
      <w:proofErr w:type="spellStart"/>
      <w:r w:rsidRPr="0064555F">
        <w:rPr>
          <w:lang w:val="es-ES"/>
        </w:rPr>
        <w:t>Draft</w:t>
      </w:r>
      <w:proofErr w:type="spellEnd"/>
      <w:r w:rsidRPr="0064555F">
        <w:rPr>
          <w:lang w:val="es-ES"/>
        </w:rPr>
        <w:t xml:space="preserve"> 4), se propone sustituir el texto de las “NOTAS SOBRE EL ARTÍCULO 22” por el nuevo texto del documento UPOV/EXN/CAN/2.</w:t>
      </w: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rPr>
          <w:lang w:val="es-ES"/>
        </w:rPr>
      </w:pPr>
    </w:p>
    <w:p w:rsidR="00E87FDB" w:rsidRPr="0064555F" w:rsidRDefault="00E87FDB" w:rsidP="00E87FDB">
      <w:pPr>
        <w:jc w:val="right"/>
        <w:rPr>
          <w:lang w:val="es-ES"/>
        </w:rPr>
      </w:pPr>
      <w:r w:rsidRPr="0064555F">
        <w:rPr>
          <w:lang w:val="es-ES"/>
        </w:rPr>
        <w:t>[Fin del Anexo IV y del documento]</w:t>
      </w:r>
    </w:p>
    <w:p w:rsidR="006B17D2" w:rsidRPr="0064555F" w:rsidRDefault="006B17D2" w:rsidP="00E87FDB">
      <w:pPr>
        <w:rPr>
          <w:lang w:val="es-ES"/>
        </w:rPr>
      </w:pPr>
    </w:p>
    <w:sectPr w:rsidR="006B17D2" w:rsidRPr="0064555F" w:rsidSect="00906DDC">
      <w:headerReference w:type="default" r:id="rId15"/>
      <w:headerReference w:type="first" r:id="rId16"/>
      <w:foot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8A" w:rsidRDefault="0058478A" w:rsidP="00F45372">
      <w:r>
        <w:separator/>
      </w:r>
    </w:p>
    <w:p w:rsidR="0058478A" w:rsidRDefault="0058478A" w:rsidP="00F45372"/>
    <w:p w:rsidR="0058478A" w:rsidRDefault="0058478A" w:rsidP="00F45372"/>
  </w:endnote>
  <w:endnote w:type="continuationSeparator" w:id="0">
    <w:p w:rsidR="0058478A" w:rsidRDefault="0058478A" w:rsidP="00F45372">
      <w:r>
        <w:separator/>
      </w:r>
    </w:p>
    <w:p w:rsidR="0058478A" w:rsidRPr="00B108A6" w:rsidRDefault="0058478A">
      <w:pPr>
        <w:pStyle w:val="Footer"/>
        <w:spacing w:after="60"/>
        <w:rPr>
          <w:sz w:val="18"/>
          <w:lang w:val="fr-FR"/>
        </w:rPr>
      </w:pPr>
      <w:r w:rsidRPr="00B108A6">
        <w:rPr>
          <w:sz w:val="18"/>
          <w:lang w:val="fr-FR"/>
        </w:rPr>
        <w:t>[Suite de la note de la page précédente]</w:t>
      </w:r>
    </w:p>
    <w:p w:rsidR="0058478A" w:rsidRPr="00B108A6" w:rsidRDefault="0058478A" w:rsidP="00F45372">
      <w:pPr>
        <w:rPr>
          <w:lang w:val="fr-FR"/>
        </w:rPr>
      </w:pPr>
    </w:p>
    <w:p w:rsidR="0058478A" w:rsidRPr="00B108A6" w:rsidRDefault="0058478A" w:rsidP="00F45372">
      <w:pPr>
        <w:rPr>
          <w:lang w:val="fr-FR"/>
        </w:rPr>
      </w:pPr>
    </w:p>
  </w:endnote>
  <w:endnote w:type="continuationNotice" w:id="1">
    <w:p w:rsidR="0058478A" w:rsidRPr="00B108A6" w:rsidRDefault="0058478A" w:rsidP="00F45372">
      <w:pPr>
        <w:rPr>
          <w:lang w:val="fr-FR"/>
        </w:rPr>
      </w:pPr>
      <w:r w:rsidRPr="00B108A6">
        <w:rPr>
          <w:lang w:val="fr-FR"/>
        </w:rPr>
        <w:t>[Suite de la note page suivante]</w:t>
      </w:r>
    </w:p>
    <w:p w:rsidR="0058478A" w:rsidRPr="00B108A6" w:rsidRDefault="0058478A" w:rsidP="00F45372">
      <w:pPr>
        <w:rPr>
          <w:lang w:val="fr-FR"/>
        </w:rPr>
      </w:pPr>
    </w:p>
    <w:p w:rsidR="0058478A" w:rsidRPr="00B108A6" w:rsidRDefault="0058478A"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E250DB" w:rsidRDefault="00721353" w:rsidP="00E25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8A" w:rsidRDefault="0058478A" w:rsidP="006A59FA">
      <w:pPr>
        <w:spacing w:before="120"/>
      </w:pPr>
      <w:r>
        <w:separator/>
      </w:r>
    </w:p>
  </w:footnote>
  <w:footnote w:type="continuationSeparator" w:id="0">
    <w:p w:rsidR="0058478A" w:rsidRDefault="0058478A" w:rsidP="00F45372">
      <w:r>
        <w:separator/>
      </w:r>
    </w:p>
  </w:footnote>
  <w:footnote w:type="continuationNotice" w:id="1">
    <w:p w:rsidR="0058478A" w:rsidRPr="00721353" w:rsidRDefault="0058478A"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DB" w:rsidRPr="00E87FDB" w:rsidRDefault="00E87FDB" w:rsidP="00E87FDB">
    <w:pPr>
      <w:pStyle w:val="Header"/>
      <w:rPr>
        <w:rStyle w:val="PageNumber"/>
      </w:rPr>
    </w:pPr>
    <w:r>
      <w:rPr>
        <w:rStyle w:val="PageNumber"/>
      </w:rPr>
      <w:t>C/49/14</w:t>
    </w:r>
  </w:p>
  <w:p w:rsidR="00E87FDB" w:rsidRPr="00E87FDB" w:rsidRDefault="00E87FDB" w:rsidP="00E87FDB">
    <w:pPr>
      <w:pStyle w:val="Header"/>
    </w:pPr>
    <w:proofErr w:type="spellStart"/>
    <w:proofErr w:type="gramStart"/>
    <w:r>
      <w:t>página</w:t>
    </w:r>
    <w:proofErr w:type="spellEnd"/>
    <w:proofErr w:type="gramEnd"/>
    <w:r>
      <w:t xml:space="preserve"> </w:t>
    </w:r>
    <w:r w:rsidR="00033F9F" w:rsidRPr="00E87FDB">
      <w:rPr>
        <w:rStyle w:val="PageNumber"/>
      </w:rPr>
      <w:fldChar w:fldCharType="begin"/>
    </w:r>
    <w:r w:rsidRPr="00E87FDB">
      <w:rPr>
        <w:rStyle w:val="PageNumber"/>
      </w:rPr>
      <w:instrText xml:space="preserve"> PAGE </w:instrText>
    </w:r>
    <w:r w:rsidR="00033F9F" w:rsidRPr="00E87FDB">
      <w:rPr>
        <w:rStyle w:val="PageNumber"/>
      </w:rPr>
      <w:fldChar w:fldCharType="separate"/>
    </w:r>
    <w:r w:rsidR="002A6B07">
      <w:rPr>
        <w:rStyle w:val="PageNumber"/>
        <w:noProof/>
      </w:rPr>
      <w:t>5</w:t>
    </w:r>
    <w:r w:rsidR="00033F9F" w:rsidRPr="00E87FDB">
      <w:rPr>
        <w:rStyle w:val="PageNumber"/>
      </w:rPr>
      <w:fldChar w:fldCharType="end"/>
    </w:r>
  </w:p>
  <w:p w:rsidR="00E87FDB" w:rsidRPr="00E87FDB" w:rsidRDefault="00E87FDB" w:rsidP="00E87FD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DB" w:rsidRDefault="00E87FDB">
    <w:pPr>
      <w:pStyle w:val="Header"/>
    </w:pPr>
    <w:r>
      <w:t>C/49/14</w:t>
    </w:r>
  </w:p>
  <w:p w:rsidR="00E87FDB" w:rsidRDefault="00E87FDB">
    <w:pPr>
      <w:pStyle w:val="Header"/>
    </w:pPr>
  </w:p>
  <w:p w:rsidR="00E87FDB" w:rsidRDefault="00E87FDB">
    <w:pPr>
      <w:pStyle w:val="Header"/>
    </w:pPr>
    <w:r>
      <w:t>ANEXO I</w:t>
    </w:r>
  </w:p>
  <w:p w:rsidR="00E87FDB" w:rsidRDefault="00E87F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DB" w:rsidRDefault="00E87FDB">
    <w:pPr>
      <w:pStyle w:val="Header"/>
    </w:pPr>
    <w:r>
      <w:t>C/49/14</w:t>
    </w:r>
  </w:p>
  <w:p w:rsidR="00E87FDB" w:rsidRDefault="00E87FDB">
    <w:pPr>
      <w:pStyle w:val="Header"/>
    </w:pPr>
  </w:p>
  <w:p w:rsidR="00E87FDB" w:rsidRDefault="00E87FDB">
    <w:pPr>
      <w:pStyle w:val="Header"/>
    </w:pPr>
    <w:r>
      <w:t>ANEXO II</w:t>
    </w:r>
  </w:p>
  <w:p w:rsidR="00E87FDB" w:rsidRDefault="00E87F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DB" w:rsidRDefault="00E87FDB">
    <w:pPr>
      <w:pStyle w:val="Header"/>
    </w:pPr>
    <w:r>
      <w:t>C/49/14</w:t>
    </w:r>
  </w:p>
  <w:p w:rsidR="00E87FDB" w:rsidRDefault="00E87FDB">
    <w:pPr>
      <w:pStyle w:val="Header"/>
    </w:pPr>
  </w:p>
  <w:p w:rsidR="00E87FDB" w:rsidRDefault="00E87FDB">
    <w:pPr>
      <w:pStyle w:val="Header"/>
    </w:pPr>
    <w:r>
      <w:t>ANEXO III</w:t>
    </w:r>
  </w:p>
  <w:p w:rsidR="00E87FDB" w:rsidRDefault="00E87F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9A0B1E" w:rsidP="00EB048E">
    <w:pPr>
      <w:pStyle w:val="Header"/>
      <w:rPr>
        <w:rStyle w:val="PageNumber"/>
      </w:rPr>
    </w:pPr>
    <w:r>
      <w:rPr>
        <w:rStyle w:val="PageNumber"/>
      </w:rPr>
      <w:t>C/49/</w:t>
    </w:r>
  </w:p>
  <w:p w:rsidR="00721353" w:rsidRPr="008D3729" w:rsidRDefault="00721353" w:rsidP="00EB048E">
    <w:pPr>
      <w:pStyle w:val="Header"/>
    </w:pPr>
    <w:proofErr w:type="spellStart"/>
    <w:proofErr w:type="gramStart"/>
    <w:r>
      <w:t>página</w:t>
    </w:r>
    <w:proofErr w:type="spellEnd"/>
    <w:proofErr w:type="gramEnd"/>
    <w:r>
      <w:t xml:space="preserve"> </w:t>
    </w:r>
    <w:r w:rsidR="00033F9F" w:rsidRPr="008D3729">
      <w:rPr>
        <w:rStyle w:val="PageNumber"/>
      </w:rPr>
      <w:fldChar w:fldCharType="begin"/>
    </w:r>
    <w:r w:rsidRPr="008D3729">
      <w:rPr>
        <w:rStyle w:val="PageNumber"/>
      </w:rPr>
      <w:instrText xml:space="preserve"> PAGE </w:instrText>
    </w:r>
    <w:r w:rsidR="00033F9F" w:rsidRPr="008D3729">
      <w:rPr>
        <w:rStyle w:val="PageNumber"/>
      </w:rPr>
      <w:fldChar w:fldCharType="separate"/>
    </w:r>
    <w:r w:rsidR="002A6B07">
      <w:rPr>
        <w:rStyle w:val="PageNumber"/>
        <w:noProof/>
      </w:rPr>
      <w:t>10</w:t>
    </w:r>
    <w:r w:rsidR="00033F9F" w:rsidRPr="008D3729">
      <w:rPr>
        <w:rStyle w:val="PageNumber"/>
      </w:rPr>
      <w:fldChar w:fldCharType="end"/>
    </w:r>
  </w:p>
  <w:p w:rsidR="00721353" w:rsidRPr="008D3729" w:rsidRDefault="00721353" w:rsidP="00F4537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DB" w:rsidRDefault="00E87FDB">
    <w:pPr>
      <w:pStyle w:val="Header"/>
    </w:pPr>
    <w:r>
      <w:t>C/49/14</w:t>
    </w:r>
  </w:p>
  <w:p w:rsidR="00E87FDB" w:rsidRDefault="00E87FDB">
    <w:pPr>
      <w:pStyle w:val="Header"/>
    </w:pPr>
  </w:p>
  <w:p w:rsidR="00E87FDB" w:rsidRDefault="00E87FDB">
    <w:pPr>
      <w:pStyle w:val="Header"/>
    </w:pPr>
    <w:r>
      <w:t>ANEXO IV</w:t>
    </w:r>
  </w:p>
  <w:p w:rsidR="00E87FDB" w:rsidRDefault="00E87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2B"/>
    <w:rsid w:val="0000571E"/>
    <w:rsid w:val="00007A07"/>
    <w:rsid w:val="00010CF3"/>
    <w:rsid w:val="00011E27"/>
    <w:rsid w:val="000148BC"/>
    <w:rsid w:val="00022DA1"/>
    <w:rsid w:val="00024AB8"/>
    <w:rsid w:val="00030854"/>
    <w:rsid w:val="00033F9F"/>
    <w:rsid w:val="00036028"/>
    <w:rsid w:val="00044642"/>
    <w:rsid w:val="000446B9"/>
    <w:rsid w:val="00047E21"/>
    <w:rsid w:val="0006501B"/>
    <w:rsid w:val="00085505"/>
    <w:rsid w:val="000C244A"/>
    <w:rsid w:val="000C7021"/>
    <w:rsid w:val="000D6BBC"/>
    <w:rsid w:val="000D7780"/>
    <w:rsid w:val="00105929"/>
    <w:rsid w:val="001131D5"/>
    <w:rsid w:val="00141DB8"/>
    <w:rsid w:val="00142198"/>
    <w:rsid w:val="00167617"/>
    <w:rsid w:val="0017474A"/>
    <w:rsid w:val="001758C6"/>
    <w:rsid w:val="001A063A"/>
    <w:rsid w:val="001C5971"/>
    <w:rsid w:val="001D2246"/>
    <w:rsid w:val="001F7DBD"/>
    <w:rsid w:val="0021332C"/>
    <w:rsid w:val="00213982"/>
    <w:rsid w:val="00235267"/>
    <w:rsid w:val="00241317"/>
    <w:rsid w:val="0024416D"/>
    <w:rsid w:val="00264A36"/>
    <w:rsid w:val="00266E18"/>
    <w:rsid w:val="002800A0"/>
    <w:rsid w:val="002801B3"/>
    <w:rsid w:val="00281060"/>
    <w:rsid w:val="002940E8"/>
    <w:rsid w:val="002A6B07"/>
    <w:rsid w:val="002A6E50"/>
    <w:rsid w:val="002C256A"/>
    <w:rsid w:val="002D303F"/>
    <w:rsid w:val="002F1488"/>
    <w:rsid w:val="003005E3"/>
    <w:rsid w:val="00305A7F"/>
    <w:rsid w:val="003152FE"/>
    <w:rsid w:val="00320AE8"/>
    <w:rsid w:val="00327436"/>
    <w:rsid w:val="00344BD6"/>
    <w:rsid w:val="0035528D"/>
    <w:rsid w:val="00361821"/>
    <w:rsid w:val="00370631"/>
    <w:rsid w:val="00373109"/>
    <w:rsid w:val="003D227C"/>
    <w:rsid w:val="003D2B4D"/>
    <w:rsid w:val="003D7E71"/>
    <w:rsid w:val="003E7998"/>
    <w:rsid w:val="00404CE3"/>
    <w:rsid w:val="00444A88"/>
    <w:rsid w:val="00474DA4"/>
    <w:rsid w:val="00484DA4"/>
    <w:rsid w:val="004B5DC9"/>
    <w:rsid w:val="004D047D"/>
    <w:rsid w:val="004F305A"/>
    <w:rsid w:val="00512164"/>
    <w:rsid w:val="00520297"/>
    <w:rsid w:val="00523FA0"/>
    <w:rsid w:val="005338F9"/>
    <w:rsid w:val="0054281C"/>
    <w:rsid w:val="00543169"/>
    <w:rsid w:val="0055268D"/>
    <w:rsid w:val="00576BE4"/>
    <w:rsid w:val="00576BF0"/>
    <w:rsid w:val="0058478A"/>
    <w:rsid w:val="005A400A"/>
    <w:rsid w:val="005C0C9B"/>
    <w:rsid w:val="005C6CE8"/>
    <w:rsid w:val="00612379"/>
    <w:rsid w:val="0061555F"/>
    <w:rsid w:val="00620ED1"/>
    <w:rsid w:val="00641200"/>
    <w:rsid w:val="0064555F"/>
    <w:rsid w:val="00662220"/>
    <w:rsid w:val="00675EB1"/>
    <w:rsid w:val="00687EB4"/>
    <w:rsid w:val="006A59FA"/>
    <w:rsid w:val="006B17D2"/>
    <w:rsid w:val="006C224E"/>
    <w:rsid w:val="006C5CD4"/>
    <w:rsid w:val="006D780A"/>
    <w:rsid w:val="00721353"/>
    <w:rsid w:val="00732DEC"/>
    <w:rsid w:val="00735BD5"/>
    <w:rsid w:val="00745D66"/>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40CE9"/>
    <w:rsid w:val="00867AC1"/>
    <w:rsid w:val="008A5C43"/>
    <w:rsid w:val="008A743F"/>
    <w:rsid w:val="008C0970"/>
    <w:rsid w:val="008C1449"/>
    <w:rsid w:val="008D2CF7"/>
    <w:rsid w:val="008D3729"/>
    <w:rsid w:val="00900C26"/>
    <w:rsid w:val="0090197F"/>
    <w:rsid w:val="00906DDC"/>
    <w:rsid w:val="00934E09"/>
    <w:rsid w:val="00936253"/>
    <w:rsid w:val="00952DD4"/>
    <w:rsid w:val="00970FED"/>
    <w:rsid w:val="00972690"/>
    <w:rsid w:val="00997029"/>
    <w:rsid w:val="009A0B1E"/>
    <w:rsid w:val="009D690D"/>
    <w:rsid w:val="009E65B6"/>
    <w:rsid w:val="00A028E2"/>
    <w:rsid w:val="00A42AC3"/>
    <w:rsid w:val="00A430CF"/>
    <w:rsid w:val="00A47CDB"/>
    <w:rsid w:val="00A54309"/>
    <w:rsid w:val="00A929D4"/>
    <w:rsid w:val="00AB2B93"/>
    <w:rsid w:val="00AB7E5B"/>
    <w:rsid w:val="00AE0EF1"/>
    <w:rsid w:val="00B07301"/>
    <w:rsid w:val="00B108A6"/>
    <w:rsid w:val="00B224DE"/>
    <w:rsid w:val="00B72907"/>
    <w:rsid w:val="00B84BBD"/>
    <w:rsid w:val="00BA43FB"/>
    <w:rsid w:val="00BC127D"/>
    <w:rsid w:val="00BC1FE6"/>
    <w:rsid w:val="00C061B6"/>
    <w:rsid w:val="00C13808"/>
    <w:rsid w:val="00C2446C"/>
    <w:rsid w:val="00C36AE5"/>
    <w:rsid w:val="00C41F17"/>
    <w:rsid w:val="00C53D97"/>
    <w:rsid w:val="00C5791C"/>
    <w:rsid w:val="00C66290"/>
    <w:rsid w:val="00C72B7A"/>
    <w:rsid w:val="00C92624"/>
    <w:rsid w:val="00C973F2"/>
    <w:rsid w:val="00CA774A"/>
    <w:rsid w:val="00CC11B0"/>
    <w:rsid w:val="00CF7E36"/>
    <w:rsid w:val="00D261C5"/>
    <w:rsid w:val="00D3708D"/>
    <w:rsid w:val="00D40426"/>
    <w:rsid w:val="00D57C96"/>
    <w:rsid w:val="00D72695"/>
    <w:rsid w:val="00D81228"/>
    <w:rsid w:val="00D91203"/>
    <w:rsid w:val="00D95174"/>
    <w:rsid w:val="00DA4685"/>
    <w:rsid w:val="00DA6F36"/>
    <w:rsid w:val="00DB596E"/>
    <w:rsid w:val="00DC00EA"/>
    <w:rsid w:val="00DC73F0"/>
    <w:rsid w:val="00E12D12"/>
    <w:rsid w:val="00E14071"/>
    <w:rsid w:val="00E250DB"/>
    <w:rsid w:val="00E40A4F"/>
    <w:rsid w:val="00E72D49"/>
    <w:rsid w:val="00E7593C"/>
    <w:rsid w:val="00E7678A"/>
    <w:rsid w:val="00E80F31"/>
    <w:rsid w:val="00E87FDB"/>
    <w:rsid w:val="00E935F1"/>
    <w:rsid w:val="00E94A81"/>
    <w:rsid w:val="00EA1FFB"/>
    <w:rsid w:val="00EA5245"/>
    <w:rsid w:val="00EB048E"/>
    <w:rsid w:val="00EE34DF"/>
    <w:rsid w:val="00EF2F89"/>
    <w:rsid w:val="00F00A88"/>
    <w:rsid w:val="00F104A8"/>
    <w:rsid w:val="00F1237A"/>
    <w:rsid w:val="00F16E06"/>
    <w:rsid w:val="00F22CBD"/>
    <w:rsid w:val="00F45372"/>
    <w:rsid w:val="00F52A64"/>
    <w:rsid w:val="00F560F7"/>
    <w:rsid w:val="00F6334D"/>
    <w:rsid w:val="00F73179"/>
    <w:rsid w:val="00FA49AB"/>
    <w:rsid w:val="00FC662B"/>
    <w:rsid w:val="00FE39C7"/>
    <w:rsid w:val="00FE7F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DecisionParagraphsChar">
    <w:name w:val="DecisionParagraphs Char"/>
    <w:basedOn w:val="DefaultParagraphFont"/>
    <w:link w:val="DecisionParagraphs"/>
    <w:rsid w:val="00E87FDB"/>
    <w:rPr>
      <w:rFonts w:ascii="Arial" w:hAnsi="Arial"/>
      <w:i/>
    </w:rPr>
  </w:style>
  <w:style w:type="paragraph" w:styleId="ListParagraph">
    <w:name w:val="List Paragraph"/>
    <w:basedOn w:val="Normal"/>
    <w:uiPriority w:val="34"/>
    <w:qFormat/>
    <w:rsid w:val="00E87F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DecisionParagraphsChar">
    <w:name w:val="DecisionParagraphs Char"/>
    <w:basedOn w:val="DefaultParagraphFont"/>
    <w:link w:val="DecisionParagraphs"/>
    <w:rsid w:val="00E87FDB"/>
    <w:rPr>
      <w:rFonts w:ascii="Arial" w:hAnsi="Arial"/>
      <w:i/>
    </w:rPr>
  </w:style>
  <w:style w:type="paragraph" w:styleId="ListParagraph">
    <w:name w:val="List Paragraph"/>
    <w:basedOn w:val="Normal"/>
    <w:uiPriority w:val="34"/>
    <w:qFormat/>
    <w:rsid w:val="00E87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meetings/es/topic.jsp?group_id=254"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upov.int/meetings/es/topic.jsp?group_id=2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pov.int/edocs/tgpdocs/es/tgp_7.pdf"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2D0DCA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2D0DCA8.dotx</Template>
  <TotalTime>80</TotalTime>
  <Pages>10</Pages>
  <Words>3456</Words>
  <Characters>19828</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C/49/14</vt:lpstr>
      <vt:lpstr>C/49/14</vt:lpstr>
    </vt:vector>
  </TitlesOfParts>
  <Company>UPOV</Company>
  <LinksUpToDate>false</LinksUpToDate>
  <CharactersWithSpaces>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C/49/14</dc:title>
  <dc:creator>DianaG</dc:creator>
  <dc:description>DG (trad. ext.) 24/8/2015</dc:description>
  <cp:lastModifiedBy>SANCHEZ-VIZCAINO GOMEZ Rosa Maria</cp:lastModifiedBy>
  <cp:revision>18</cp:revision>
  <cp:lastPrinted>2015-09-28T16:22:00Z</cp:lastPrinted>
  <dcterms:created xsi:type="dcterms:W3CDTF">2015-09-04T08:49:00Z</dcterms:created>
  <dcterms:modified xsi:type="dcterms:W3CDTF">2015-09-28T16:22:00Z</dcterms:modified>
</cp:coreProperties>
</file>